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7C92E8">
      <w:pPr>
        <w:pStyle w:val="53"/>
        <w:numPr>
          <w:ilvl w:val="0"/>
          <w:numId w:val="0"/>
        </w:numPr>
        <w:rPr>
          <w:rFonts w:ascii="黑体" w:hAnsi="黑体" w:eastAsia="黑体"/>
          <w:b w:val="0"/>
          <w:sz w:val="21"/>
          <w:szCs w:val="21"/>
        </w:rPr>
      </w:pPr>
    </w:p>
    <w:p w14:paraId="3D92A714">
      <w:pPr>
        <w:pStyle w:val="53"/>
        <w:numPr>
          <w:ilvl w:val="0"/>
          <w:numId w:val="0"/>
        </w:numPr>
        <w:rPr>
          <w:rFonts w:ascii="黑体" w:hAnsi="黑体" w:eastAsia="黑体"/>
          <w:b w:val="0"/>
          <w:sz w:val="21"/>
          <w:szCs w:val="21"/>
        </w:rPr>
      </w:pPr>
    </w:p>
    <w:p w14:paraId="6EF480F5">
      <w:pPr>
        <w:pStyle w:val="53"/>
        <w:numPr>
          <w:ilvl w:val="0"/>
          <w:numId w:val="0"/>
        </w:numPr>
        <w:rPr>
          <w:rFonts w:ascii="黑体" w:hAnsi="黑体" w:eastAsia="黑体"/>
          <w:b w:val="0"/>
          <w:sz w:val="21"/>
          <w:szCs w:val="21"/>
        </w:rPr>
      </w:pPr>
    </w:p>
    <w:p w14:paraId="6A386A98">
      <w:pPr>
        <w:pStyle w:val="53"/>
        <w:numPr>
          <w:ilvl w:val="0"/>
          <w:numId w:val="0"/>
        </w:numPr>
        <w:rPr>
          <w:rFonts w:ascii="黑体" w:hAnsi="黑体" w:eastAsia="黑体"/>
          <w:b w:val="0"/>
          <w:sz w:val="21"/>
          <w:szCs w:val="21"/>
        </w:rPr>
      </w:pPr>
    </w:p>
    <w:p w14:paraId="6B7165FC">
      <w:pPr>
        <w:pStyle w:val="53"/>
        <w:numPr>
          <w:ilvl w:val="0"/>
          <w:numId w:val="0"/>
        </w:numPr>
        <w:rPr>
          <w:rFonts w:ascii="黑体" w:hAnsi="黑体" w:eastAsia="黑体"/>
          <w:b w:val="0"/>
          <w:sz w:val="21"/>
          <w:szCs w:val="21"/>
        </w:rPr>
      </w:pPr>
    </w:p>
    <w:p w14:paraId="6BC6E2C0">
      <w:pPr>
        <w:pStyle w:val="53"/>
        <w:numPr>
          <w:ilvl w:val="0"/>
          <w:numId w:val="0"/>
        </w:numPr>
        <w:rPr>
          <w:rFonts w:ascii="黑体" w:hAnsi="黑体" w:eastAsia="黑体"/>
          <w:b w:val="0"/>
          <w:sz w:val="21"/>
          <w:szCs w:val="21"/>
        </w:rPr>
      </w:pPr>
    </w:p>
    <w:p w14:paraId="01F353A5">
      <w:pPr>
        <w:pStyle w:val="53"/>
        <w:numPr>
          <w:ilvl w:val="0"/>
          <w:numId w:val="0"/>
        </w:numPr>
        <w:jc w:val="center"/>
        <w:rPr>
          <w:rFonts w:ascii="黑体" w:hAnsi="黑体" w:eastAsia="黑体"/>
          <w:b w:val="0"/>
          <w:sz w:val="44"/>
          <w:szCs w:val="44"/>
        </w:rPr>
      </w:pPr>
      <w:r>
        <w:rPr>
          <w:rFonts w:hint="eastAsia" w:ascii="黑体" w:hAnsi="黑体" w:eastAsia="黑体"/>
          <w:b w:val="0"/>
          <w:sz w:val="44"/>
          <w:szCs w:val="44"/>
          <w:lang w:val="en-US" w:eastAsia="zh-CN"/>
        </w:rPr>
        <w:t>工程建设标准</w:t>
      </w:r>
      <w:r>
        <w:rPr>
          <w:rFonts w:hint="eastAsia" w:ascii="黑体" w:hAnsi="黑体" w:eastAsia="黑体"/>
          <w:b w:val="0"/>
          <w:sz w:val="44"/>
          <w:szCs w:val="44"/>
        </w:rPr>
        <w:t>(</w:t>
      </w:r>
      <w:r>
        <w:rPr>
          <w:rFonts w:hint="eastAsia" w:ascii="黑体" w:hAnsi="黑体"/>
          <w:b w:val="0"/>
          <w:sz w:val="44"/>
          <w:szCs w:val="44"/>
          <w:lang w:val="en-US" w:eastAsia="zh-CN"/>
        </w:rPr>
        <w:t>建筑</w:t>
      </w:r>
      <w:r>
        <w:rPr>
          <w:rFonts w:hint="eastAsia" w:ascii="黑体" w:hAnsi="黑体" w:eastAsia="黑体"/>
          <w:b w:val="0"/>
          <w:sz w:val="44"/>
          <w:szCs w:val="44"/>
          <w:lang w:val="en-US" w:eastAsia="zh-CN"/>
        </w:rPr>
        <w:t>专业</w:t>
      </w:r>
      <w:r>
        <w:rPr>
          <w:rFonts w:hint="eastAsia" w:ascii="黑体" w:hAnsi="黑体" w:eastAsia="黑体"/>
          <w:b w:val="0"/>
          <w:sz w:val="44"/>
          <w:szCs w:val="44"/>
        </w:rPr>
        <w:t>)</w:t>
      </w:r>
    </w:p>
    <w:p w14:paraId="41ABC309">
      <w:pPr>
        <w:pStyle w:val="53"/>
        <w:numPr>
          <w:ilvl w:val="0"/>
          <w:numId w:val="0"/>
        </w:numPr>
        <w:rPr>
          <w:rFonts w:ascii="黑体" w:hAnsi="黑体" w:eastAsia="黑体"/>
          <w:b w:val="0"/>
          <w:sz w:val="21"/>
          <w:szCs w:val="21"/>
        </w:rPr>
      </w:pPr>
    </w:p>
    <w:p w14:paraId="6C680499">
      <w:pPr>
        <w:pStyle w:val="53"/>
        <w:numPr>
          <w:ilvl w:val="0"/>
          <w:numId w:val="0"/>
        </w:numPr>
        <w:jc w:val="center"/>
        <w:rPr>
          <w:rFonts w:hint="eastAsia" w:ascii="黑体" w:hAnsi="黑体"/>
          <w:b w:val="0"/>
          <w:sz w:val="52"/>
          <w:szCs w:val="21"/>
          <w:lang w:val="en-US" w:eastAsia="zh-CN"/>
        </w:rPr>
      </w:pPr>
    </w:p>
    <w:p w14:paraId="1EF83364">
      <w:pPr>
        <w:pStyle w:val="53"/>
        <w:numPr>
          <w:ilvl w:val="0"/>
          <w:numId w:val="0"/>
        </w:numPr>
        <w:jc w:val="center"/>
        <w:rPr>
          <w:rFonts w:hint="eastAsia" w:ascii="黑体" w:hAnsi="黑体"/>
          <w:b w:val="0"/>
          <w:sz w:val="52"/>
          <w:szCs w:val="21"/>
          <w:lang w:val="en-US" w:eastAsia="zh-CN"/>
        </w:rPr>
      </w:pPr>
    </w:p>
    <w:p w14:paraId="22F73BDC">
      <w:pPr>
        <w:pStyle w:val="53"/>
        <w:numPr>
          <w:ilvl w:val="0"/>
          <w:numId w:val="0"/>
        </w:numPr>
        <w:jc w:val="center"/>
        <w:rPr>
          <w:rFonts w:hint="eastAsia" w:ascii="黑体" w:hAnsi="黑体"/>
          <w:b w:val="0"/>
          <w:sz w:val="52"/>
          <w:szCs w:val="21"/>
          <w:lang w:val="en-US" w:eastAsia="zh-CN"/>
        </w:rPr>
      </w:pPr>
    </w:p>
    <w:p w14:paraId="3357EB37">
      <w:pPr>
        <w:pStyle w:val="53"/>
        <w:numPr>
          <w:ilvl w:val="0"/>
          <w:numId w:val="0"/>
        </w:numPr>
        <w:jc w:val="center"/>
        <w:rPr>
          <w:rFonts w:hint="eastAsia" w:ascii="黑体" w:hAnsi="黑体"/>
          <w:b w:val="0"/>
          <w:sz w:val="52"/>
          <w:szCs w:val="21"/>
          <w:lang w:val="en-US" w:eastAsia="zh-CN"/>
        </w:rPr>
      </w:pPr>
    </w:p>
    <w:p w14:paraId="0CA17902">
      <w:pPr>
        <w:pStyle w:val="53"/>
        <w:numPr>
          <w:ilvl w:val="0"/>
          <w:numId w:val="0"/>
        </w:numPr>
        <w:jc w:val="center"/>
        <w:rPr>
          <w:rFonts w:hint="eastAsia" w:ascii="黑体" w:hAnsi="黑体"/>
          <w:b w:val="0"/>
          <w:sz w:val="52"/>
          <w:szCs w:val="21"/>
          <w:lang w:val="en-US" w:eastAsia="zh-CN"/>
        </w:rPr>
      </w:pPr>
    </w:p>
    <w:p w14:paraId="597DE4B4">
      <w:pPr>
        <w:pStyle w:val="53"/>
        <w:numPr>
          <w:ilvl w:val="0"/>
          <w:numId w:val="0"/>
        </w:numPr>
        <w:jc w:val="center"/>
        <w:rPr>
          <w:rFonts w:hint="eastAsia" w:ascii="黑体" w:hAnsi="黑体"/>
          <w:b w:val="0"/>
          <w:sz w:val="52"/>
          <w:szCs w:val="21"/>
          <w:lang w:val="en-US" w:eastAsia="zh-CN"/>
        </w:rPr>
      </w:pPr>
    </w:p>
    <w:p w14:paraId="5D102F49">
      <w:pPr>
        <w:pStyle w:val="53"/>
        <w:numPr>
          <w:ilvl w:val="0"/>
          <w:numId w:val="0"/>
        </w:numPr>
        <w:jc w:val="center"/>
        <w:rPr>
          <w:rFonts w:hint="eastAsia" w:ascii="黑体" w:hAnsi="黑体"/>
          <w:b w:val="0"/>
          <w:sz w:val="52"/>
          <w:szCs w:val="21"/>
          <w:lang w:val="en-US" w:eastAsia="zh-CN"/>
        </w:rPr>
      </w:pPr>
    </w:p>
    <w:p w14:paraId="4F57128A">
      <w:pPr>
        <w:pStyle w:val="53"/>
        <w:numPr>
          <w:ilvl w:val="0"/>
          <w:numId w:val="0"/>
        </w:numPr>
        <w:jc w:val="center"/>
        <w:rPr>
          <w:rFonts w:hint="eastAsia" w:ascii="黑体" w:hAnsi="黑体"/>
          <w:b w:val="0"/>
          <w:sz w:val="52"/>
          <w:szCs w:val="21"/>
          <w:lang w:val="en-US" w:eastAsia="zh-CN"/>
        </w:rPr>
      </w:pPr>
    </w:p>
    <w:p w14:paraId="48752A3C">
      <w:pPr>
        <w:pStyle w:val="53"/>
        <w:numPr>
          <w:ilvl w:val="0"/>
          <w:numId w:val="0"/>
        </w:numPr>
        <w:jc w:val="center"/>
        <w:rPr>
          <w:rFonts w:hint="eastAsia" w:ascii="黑体" w:hAnsi="黑体"/>
          <w:b w:val="0"/>
          <w:sz w:val="52"/>
          <w:szCs w:val="21"/>
          <w:lang w:val="en-US" w:eastAsia="zh-CN"/>
        </w:rPr>
      </w:pPr>
    </w:p>
    <w:p w14:paraId="17FA9F83">
      <w:pPr>
        <w:pStyle w:val="53"/>
        <w:numPr>
          <w:ilvl w:val="0"/>
          <w:numId w:val="0"/>
        </w:numPr>
        <w:jc w:val="center"/>
        <w:rPr>
          <w:rFonts w:hint="eastAsia" w:ascii="黑体" w:hAnsi="黑体"/>
          <w:b w:val="0"/>
          <w:sz w:val="52"/>
          <w:szCs w:val="21"/>
          <w:lang w:val="en-US" w:eastAsia="zh-CN"/>
        </w:rPr>
      </w:pPr>
    </w:p>
    <w:p w14:paraId="2B1F3FE1">
      <w:pPr>
        <w:pStyle w:val="53"/>
        <w:numPr>
          <w:ilvl w:val="0"/>
          <w:numId w:val="0"/>
        </w:numPr>
        <w:jc w:val="center"/>
        <w:rPr>
          <w:rFonts w:hint="eastAsia" w:ascii="黑体" w:hAnsi="黑体"/>
          <w:b w:val="0"/>
          <w:sz w:val="52"/>
          <w:szCs w:val="21"/>
          <w:lang w:val="en-US" w:eastAsia="zh-CN"/>
        </w:rPr>
      </w:pPr>
    </w:p>
    <w:p w14:paraId="6ECEAC69">
      <w:pPr>
        <w:pStyle w:val="53"/>
        <w:numPr>
          <w:ilvl w:val="0"/>
          <w:numId w:val="0"/>
        </w:numPr>
        <w:jc w:val="center"/>
        <w:rPr>
          <w:rFonts w:hint="eastAsia" w:ascii="黑体" w:hAnsi="黑体"/>
          <w:b w:val="0"/>
          <w:sz w:val="52"/>
          <w:szCs w:val="21"/>
          <w:lang w:val="en-US" w:eastAsia="zh-CN"/>
        </w:rPr>
      </w:pPr>
    </w:p>
    <w:sdt>
      <w:sdtPr>
        <w:rPr>
          <w:rFonts w:hint="eastAsia" w:ascii="Times New Roman" w:hAnsi="Times New Roman"/>
          <w:b w:val="0"/>
          <w:bCs w:val="0"/>
          <w:kern w:val="0"/>
          <w:sz w:val="18"/>
          <w:szCs w:val="24"/>
          <w:lang w:val="zh-CN"/>
        </w:rPr>
        <w:id w:val="-676645955"/>
        <w:docPartObj>
          <w:docPartGallery w:val="Table of Contents"/>
          <w:docPartUnique/>
        </w:docPartObj>
      </w:sdtPr>
      <w:sdtEndPr>
        <w:rPr>
          <w:rStyle w:val="41"/>
          <w:rFonts w:hint="eastAsia" w:ascii="Calibri" w:hAnsi="Calibri"/>
          <w:b w:val="0"/>
          <w:bCs w:val="0"/>
          <w:color w:val="0000FF"/>
          <w:kern w:val="0"/>
          <w:sz w:val="22"/>
          <w:szCs w:val="22"/>
          <w:u w:val="single"/>
          <w:lang w:val="en-US"/>
        </w:rPr>
      </w:sdtEndPr>
      <w:sdtContent>
        <w:p w14:paraId="1B06C644">
          <w:pPr>
            <w:pStyle w:val="32"/>
            <w:rPr>
              <w:b w:val="0"/>
            </w:rPr>
          </w:pPr>
          <w:bookmarkStart w:id="0" w:name="_Toc174556761"/>
          <w:r>
            <w:rPr>
              <w:rFonts w:hint="eastAsia"/>
              <w:b w:val="0"/>
              <w:lang w:val="zh-CN"/>
            </w:rPr>
            <w:t xml:space="preserve">目 </w:t>
          </w:r>
          <w:r>
            <w:rPr>
              <w:b w:val="0"/>
              <w:lang w:val="zh-CN"/>
            </w:rPr>
            <w:t xml:space="preserve"> </w:t>
          </w:r>
          <w:r>
            <w:rPr>
              <w:rFonts w:hint="eastAsia"/>
              <w:b w:val="0"/>
              <w:lang w:val="zh-CN"/>
            </w:rPr>
            <w:t>录</w:t>
          </w:r>
          <w:bookmarkEnd w:id="0"/>
        </w:p>
        <w:p w14:paraId="26899E46">
          <w:pPr>
            <w:pStyle w:val="25"/>
            <w:tabs>
              <w:tab w:val="right" w:leader="dot" w:pos="9628"/>
            </w:tabs>
            <w:rPr>
              <w:rFonts w:asciiTheme="minorHAnsi" w:hAnsiTheme="minorHAnsi" w:eastAsiaTheme="minorEastAsia" w:cstheme="minorBidi"/>
              <w:kern w:val="2"/>
              <w:sz w:val="21"/>
            </w:rPr>
          </w:pPr>
          <w:r>
            <w:rPr>
              <w:rFonts w:hint="eastAsia" w:ascii="黑体" w:hAnsi="黑体"/>
              <w:sz w:val="18"/>
              <w:szCs w:val="18"/>
            </w:rPr>
            <w:fldChar w:fldCharType="begin"/>
          </w:r>
          <w:r>
            <w:rPr>
              <w:rFonts w:hint="eastAsia" w:ascii="黑体" w:hAnsi="黑体"/>
              <w:sz w:val="18"/>
              <w:szCs w:val="18"/>
            </w:rPr>
            <w:instrText xml:space="preserve"> TOC \o "1-3" \h \z \u </w:instrText>
          </w:r>
          <w:r>
            <w:rPr>
              <w:rFonts w:hint="eastAsia" w:ascii="黑体" w:hAnsi="黑体"/>
              <w:sz w:val="18"/>
              <w:szCs w:val="18"/>
            </w:rPr>
            <w:fldChar w:fldCharType="separate"/>
          </w:r>
        </w:p>
        <w:p w14:paraId="345E7E34">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"_Toc174556762" </w:instrText>
          </w:r>
          <w:r>
            <w:fldChar w:fldCharType="separate"/>
          </w:r>
          <w:r>
            <w:rPr>
              <w:rStyle w:val="41"/>
            </w:rPr>
            <w:t>第1篇</w:t>
          </w:r>
          <w:r>
            <w:rPr>
              <w:rFonts w:asciiTheme="minorHAnsi" w:hAnsiTheme="minorHAnsi" w:eastAsiaTheme="minorEastAsia" w:cstheme="minorBidi"/>
              <w:kern w:val="2"/>
              <w:sz w:val="21"/>
            </w:rPr>
            <w:tab/>
          </w:r>
          <w:r>
            <w:rPr>
              <w:rStyle w:val="41"/>
            </w:rPr>
            <w:t>工料规范总则</w:t>
          </w:r>
          <w:r>
            <w:tab/>
          </w:r>
          <w:r>
            <w:fldChar w:fldCharType="begin"/>
          </w:r>
          <w:r>
            <w:instrText xml:space="preserve"> PAGEREF _Toc174556762 \h </w:instrText>
          </w:r>
          <w:r>
            <w:fldChar w:fldCharType="separate"/>
          </w:r>
          <w:r>
            <w:t>1</w:t>
          </w:r>
          <w:r>
            <w:fldChar w:fldCharType="end"/>
          </w:r>
          <w:r>
            <w:fldChar w:fldCharType="end"/>
          </w:r>
        </w:p>
        <w:p w14:paraId="222D0132">
          <w:pPr>
            <w:pStyle w:val="29"/>
            <w:rPr>
              <w:rFonts w:asciiTheme="minorHAnsi" w:hAnsiTheme="minorHAnsi" w:eastAsiaTheme="minorEastAsia" w:cstheme="minorBidi"/>
              <w:b w:val="0"/>
              <w:kern w:val="2"/>
              <w:sz w:val="21"/>
            </w:rPr>
          </w:pPr>
          <w:r>
            <w:fldChar w:fldCharType="begin"/>
          </w:r>
          <w:r>
            <w:instrText xml:space="preserve"> HYPERLINK \l "_Toc174556763" </w:instrText>
          </w:r>
          <w:r>
            <w:fldChar w:fldCharType="separate"/>
          </w:r>
          <w:r>
            <w:rPr>
              <w:rStyle w:val="41"/>
              <w:b w:val="0"/>
            </w:rPr>
            <w:t>1.1</w:t>
          </w:r>
          <w:r>
            <w:rPr>
              <w:rFonts w:asciiTheme="minorHAnsi" w:hAnsiTheme="minorHAnsi" w:eastAsiaTheme="minorEastAsia" w:cstheme="minorBidi"/>
              <w:b w:val="0"/>
              <w:kern w:val="2"/>
              <w:sz w:val="21"/>
            </w:rPr>
            <w:tab/>
          </w:r>
          <w:r>
            <w:rPr>
              <w:rStyle w:val="41"/>
              <w:b w:val="0"/>
            </w:rPr>
            <w:t>目的</w:t>
          </w:r>
          <w:r>
            <w:rPr>
              <w:b w:val="0"/>
            </w:rPr>
            <w:tab/>
          </w:r>
          <w:r>
            <w:rPr>
              <w:b w:val="0"/>
            </w:rPr>
            <w:fldChar w:fldCharType="begin"/>
          </w:r>
          <w:r>
            <w:rPr>
              <w:b w:val="0"/>
            </w:rPr>
            <w:instrText xml:space="preserve"> PAGEREF _Toc174556763 \h </w:instrText>
          </w:r>
          <w:r>
            <w:rPr>
              <w:b w:val="0"/>
            </w:rPr>
            <w:fldChar w:fldCharType="separate"/>
          </w:r>
          <w:r>
            <w:rPr>
              <w:b w:val="0"/>
            </w:rPr>
            <w:t>1</w:t>
          </w:r>
          <w:r>
            <w:rPr>
              <w:b w:val="0"/>
            </w:rPr>
            <w:fldChar w:fldCharType="end"/>
          </w:r>
          <w:r>
            <w:rPr>
              <w:b w:val="0"/>
            </w:rPr>
            <w:fldChar w:fldCharType="end"/>
          </w:r>
        </w:p>
        <w:p w14:paraId="52C563E8">
          <w:pPr>
            <w:pStyle w:val="29"/>
            <w:rPr>
              <w:rFonts w:asciiTheme="minorHAnsi" w:hAnsiTheme="minorHAnsi" w:eastAsiaTheme="minorEastAsia" w:cstheme="minorBidi"/>
              <w:b w:val="0"/>
              <w:kern w:val="2"/>
              <w:sz w:val="21"/>
            </w:rPr>
          </w:pPr>
          <w:r>
            <w:fldChar w:fldCharType="begin"/>
          </w:r>
          <w:r>
            <w:instrText xml:space="preserve"> HYPERLINK \l "_Toc174556764" </w:instrText>
          </w:r>
          <w:r>
            <w:fldChar w:fldCharType="separate"/>
          </w:r>
          <w:r>
            <w:rPr>
              <w:rStyle w:val="41"/>
              <w:b w:val="0"/>
            </w:rPr>
            <w:t>1.2</w:t>
          </w:r>
          <w:r>
            <w:rPr>
              <w:rFonts w:asciiTheme="minorHAnsi" w:hAnsiTheme="minorHAnsi" w:eastAsiaTheme="minorEastAsia" w:cstheme="minorBidi"/>
              <w:b w:val="0"/>
              <w:kern w:val="2"/>
              <w:sz w:val="21"/>
            </w:rPr>
            <w:tab/>
          </w:r>
          <w:r>
            <w:rPr>
              <w:rStyle w:val="41"/>
              <w:b w:val="0"/>
            </w:rPr>
            <w:t>适用范围</w:t>
          </w:r>
          <w:r>
            <w:rPr>
              <w:b w:val="0"/>
            </w:rPr>
            <w:tab/>
          </w:r>
          <w:r>
            <w:rPr>
              <w:b w:val="0"/>
            </w:rPr>
            <w:fldChar w:fldCharType="begin"/>
          </w:r>
          <w:r>
            <w:rPr>
              <w:b w:val="0"/>
            </w:rPr>
            <w:instrText xml:space="preserve"> PAGEREF _Toc174556764 \h </w:instrText>
          </w:r>
          <w:r>
            <w:rPr>
              <w:b w:val="0"/>
            </w:rPr>
            <w:fldChar w:fldCharType="separate"/>
          </w:r>
          <w:r>
            <w:rPr>
              <w:b w:val="0"/>
            </w:rPr>
            <w:t>1</w:t>
          </w:r>
          <w:r>
            <w:rPr>
              <w:b w:val="0"/>
            </w:rPr>
            <w:fldChar w:fldCharType="end"/>
          </w:r>
          <w:r>
            <w:rPr>
              <w:b w:val="0"/>
            </w:rPr>
            <w:fldChar w:fldCharType="end"/>
          </w:r>
        </w:p>
        <w:p w14:paraId="16783D69">
          <w:pPr>
            <w:pStyle w:val="29"/>
            <w:rPr>
              <w:rFonts w:asciiTheme="minorHAnsi" w:hAnsiTheme="minorHAnsi" w:eastAsiaTheme="minorEastAsia" w:cstheme="minorBidi"/>
              <w:b w:val="0"/>
              <w:kern w:val="2"/>
              <w:sz w:val="21"/>
            </w:rPr>
          </w:pPr>
          <w:r>
            <w:fldChar w:fldCharType="begin"/>
          </w:r>
          <w:r>
            <w:instrText xml:space="preserve"> HYPERLINK \l "_Toc174556765" </w:instrText>
          </w:r>
          <w:r>
            <w:fldChar w:fldCharType="separate"/>
          </w:r>
          <w:r>
            <w:rPr>
              <w:rStyle w:val="41"/>
              <w:b w:val="0"/>
            </w:rPr>
            <w:t>1.3</w:t>
          </w:r>
          <w:r>
            <w:rPr>
              <w:rFonts w:asciiTheme="minorHAnsi" w:hAnsiTheme="minorHAnsi" w:eastAsiaTheme="minorEastAsia" w:cstheme="minorBidi"/>
              <w:b w:val="0"/>
              <w:kern w:val="2"/>
              <w:sz w:val="21"/>
            </w:rPr>
            <w:tab/>
          </w:r>
          <w:r>
            <w:rPr>
              <w:rStyle w:val="41"/>
              <w:b w:val="0"/>
            </w:rPr>
            <w:t>应用导则</w:t>
          </w:r>
          <w:r>
            <w:rPr>
              <w:b w:val="0"/>
            </w:rPr>
            <w:tab/>
          </w:r>
          <w:r>
            <w:rPr>
              <w:b w:val="0"/>
            </w:rPr>
            <w:fldChar w:fldCharType="begin"/>
          </w:r>
          <w:r>
            <w:rPr>
              <w:b w:val="0"/>
            </w:rPr>
            <w:instrText xml:space="preserve"> PAGEREF _Toc174556765 \h </w:instrText>
          </w:r>
          <w:r>
            <w:rPr>
              <w:b w:val="0"/>
            </w:rPr>
            <w:fldChar w:fldCharType="separate"/>
          </w:r>
          <w:r>
            <w:rPr>
              <w:b w:val="0"/>
            </w:rPr>
            <w:t>1</w:t>
          </w:r>
          <w:r>
            <w:rPr>
              <w:b w:val="0"/>
            </w:rPr>
            <w:fldChar w:fldCharType="end"/>
          </w:r>
          <w:r>
            <w:rPr>
              <w:b w:val="0"/>
            </w:rPr>
            <w:fldChar w:fldCharType="end"/>
          </w:r>
        </w:p>
        <w:p w14:paraId="5A5C71AE">
          <w:pPr>
            <w:pStyle w:val="29"/>
            <w:rPr>
              <w:rFonts w:asciiTheme="minorHAnsi" w:hAnsiTheme="minorHAnsi" w:eastAsiaTheme="minorEastAsia" w:cstheme="minorBidi"/>
              <w:b w:val="0"/>
              <w:kern w:val="2"/>
              <w:sz w:val="21"/>
            </w:rPr>
          </w:pPr>
          <w:r>
            <w:fldChar w:fldCharType="begin"/>
          </w:r>
          <w:r>
            <w:instrText xml:space="preserve"> HYPERLINK \l "_Toc174556766" </w:instrText>
          </w:r>
          <w:r>
            <w:fldChar w:fldCharType="separate"/>
          </w:r>
          <w:r>
            <w:rPr>
              <w:rStyle w:val="41"/>
              <w:b w:val="0"/>
            </w:rPr>
            <w:t>1.4</w:t>
          </w:r>
          <w:r>
            <w:rPr>
              <w:rFonts w:asciiTheme="minorHAnsi" w:hAnsiTheme="minorHAnsi" w:eastAsiaTheme="minorEastAsia" w:cstheme="minorBidi"/>
              <w:b w:val="0"/>
              <w:kern w:val="2"/>
              <w:sz w:val="21"/>
            </w:rPr>
            <w:tab/>
          </w:r>
          <w:r>
            <w:rPr>
              <w:rStyle w:val="41"/>
              <w:b w:val="0"/>
            </w:rPr>
            <w:t>注意事项</w:t>
          </w:r>
          <w:r>
            <w:rPr>
              <w:b w:val="0"/>
            </w:rPr>
            <w:tab/>
          </w:r>
          <w:r>
            <w:rPr>
              <w:b w:val="0"/>
            </w:rPr>
            <w:fldChar w:fldCharType="begin"/>
          </w:r>
          <w:r>
            <w:rPr>
              <w:b w:val="0"/>
            </w:rPr>
            <w:instrText xml:space="preserve"> PAGEREF _Toc174556766 \h </w:instrText>
          </w:r>
          <w:r>
            <w:rPr>
              <w:b w:val="0"/>
            </w:rPr>
            <w:fldChar w:fldCharType="separate"/>
          </w:r>
          <w:r>
            <w:rPr>
              <w:b w:val="0"/>
            </w:rPr>
            <w:t>1</w:t>
          </w:r>
          <w:r>
            <w:rPr>
              <w:b w:val="0"/>
            </w:rPr>
            <w:fldChar w:fldCharType="end"/>
          </w:r>
          <w:r>
            <w:rPr>
              <w:b w:val="0"/>
            </w:rPr>
            <w:fldChar w:fldCharType="end"/>
          </w:r>
        </w:p>
        <w:p w14:paraId="7996942E">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"_Toc174556767" </w:instrText>
          </w:r>
          <w:r>
            <w:fldChar w:fldCharType="separate"/>
          </w:r>
          <w:r>
            <w:rPr>
              <w:rStyle w:val="41"/>
            </w:rPr>
            <w:t>第2篇</w:t>
          </w:r>
          <w:r>
            <w:rPr>
              <w:rFonts w:asciiTheme="minorHAnsi" w:hAnsiTheme="minorHAnsi" w:eastAsiaTheme="minorEastAsia" w:cstheme="minorBidi"/>
              <w:kern w:val="2"/>
              <w:sz w:val="21"/>
            </w:rPr>
            <w:tab/>
          </w:r>
          <w:r>
            <w:rPr>
              <w:rStyle w:val="41"/>
            </w:rPr>
            <w:t>砌体工程</w:t>
          </w:r>
          <w:r>
            <w:tab/>
          </w:r>
          <w:r>
            <w:fldChar w:fldCharType="begin"/>
          </w:r>
          <w:r>
            <w:instrText xml:space="preserve"> PAGEREF _Toc174556767 \h </w:instrText>
          </w:r>
          <w:r>
            <w:fldChar w:fldCharType="separate"/>
          </w:r>
          <w:r>
            <w:t>2</w:t>
          </w:r>
          <w:r>
            <w:fldChar w:fldCharType="end"/>
          </w:r>
          <w:r>
            <w:fldChar w:fldCharType="end"/>
          </w:r>
        </w:p>
        <w:p w14:paraId="7F478BEC">
          <w:pPr>
            <w:pStyle w:val="29"/>
            <w:rPr>
              <w:rFonts w:asciiTheme="minorHAnsi" w:hAnsiTheme="minorHAnsi" w:eastAsiaTheme="minorEastAsia" w:cstheme="minorBidi"/>
              <w:b w:val="0"/>
              <w:kern w:val="2"/>
              <w:sz w:val="21"/>
            </w:rPr>
          </w:pPr>
          <w:r>
            <w:fldChar w:fldCharType="begin"/>
          </w:r>
          <w:r>
            <w:instrText xml:space="preserve"> HYPERLINK \l "_Toc174556768" </w:instrText>
          </w:r>
          <w:r>
            <w:fldChar w:fldCharType="separate"/>
          </w:r>
          <w:r>
            <w:rPr>
              <w:rStyle w:val="41"/>
              <w:b w:val="0"/>
            </w:rPr>
            <w:t>2.1</w:t>
          </w:r>
          <w:r>
            <w:rPr>
              <w:rFonts w:asciiTheme="minorHAnsi" w:hAnsiTheme="minorHAnsi" w:eastAsiaTheme="minorEastAsia" w:cstheme="minorBidi"/>
              <w:b w:val="0"/>
              <w:kern w:val="2"/>
              <w:sz w:val="21"/>
            </w:rPr>
            <w:tab/>
          </w:r>
          <w:r>
            <w:rPr>
              <w:rStyle w:val="41"/>
              <w:b w:val="0"/>
            </w:rPr>
            <w:t>概述</w:t>
          </w:r>
          <w:r>
            <w:rPr>
              <w:b w:val="0"/>
            </w:rPr>
            <w:tab/>
          </w:r>
          <w:r>
            <w:rPr>
              <w:b w:val="0"/>
            </w:rPr>
            <w:fldChar w:fldCharType="begin"/>
          </w:r>
          <w:r>
            <w:rPr>
              <w:b w:val="0"/>
            </w:rPr>
            <w:instrText xml:space="preserve"> PAGEREF _Toc174556768 \h </w:instrText>
          </w:r>
          <w:r>
            <w:rPr>
              <w:b w:val="0"/>
            </w:rPr>
            <w:fldChar w:fldCharType="separate"/>
          </w:r>
          <w:r>
            <w:rPr>
              <w:b w:val="0"/>
            </w:rPr>
            <w:t>2</w:t>
          </w:r>
          <w:r>
            <w:rPr>
              <w:b w:val="0"/>
            </w:rPr>
            <w:fldChar w:fldCharType="end"/>
          </w:r>
          <w:r>
            <w:rPr>
              <w:b w:val="0"/>
            </w:rPr>
            <w:fldChar w:fldCharType="end"/>
          </w:r>
        </w:p>
        <w:p w14:paraId="1DEBC3F5">
          <w:pPr>
            <w:pStyle w:val="29"/>
            <w:rPr>
              <w:rFonts w:asciiTheme="minorHAnsi" w:hAnsiTheme="minorHAnsi" w:eastAsiaTheme="minorEastAsia" w:cstheme="minorBidi"/>
              <w:b w:val="0"/>
              <w:kern w:val="2"/>
              <w:sz w:val="21"/>
            </w:rPr>
          </w:pPr>
          <w:r>
            <w:fldChar w:fldCharType="begin"/>
          </w:r>
          <w:r>
            <w:instrText xml:space="preserve"> HYPERLINK \l "_Toc174556769" </w:instrText>
          </w:r>
          <w:r>
            <w:fldChar w:fldCharType="separate"/>
          </w:r>
          <w:r>
            <w:rPr>
              <w:rStyle w:val="41"/>
              <w:b w:val="0"/>
            </w:rPr>
            <w:t>2.2</w:t>
          </w:r>
          <w:r>
            <w:rPr>
              <w:rFonts w:asciiTheme="minorHAnsi" w:hAnsiTheme="minorHAnsi" w:eastAsiaTheme="minorEastAsia" w:cstheme="minorBidi"/>
              <w:b w:val="0"/>
              <w:kern w:val="2"/>
              <w:sz w:val="21"/>
            </w:rPr>
            <w:tab/>
          </w:r>
          <w:r>
            <w:rPr>
              <w:rStyle w:val="41"/>
              <w:b w:val="0"/>
            </w:rPr>
            <w:t>加气混凝土砌块</w:t>
          </w:r>
          <w:r>
            <w:rPr>
              <w:b w:val="0"/>
            </w:rPr>
            <w:tab/>
          </w:r>
          <w:r>
            <w:rPr>
              <w:b w:val="0"/>
            </w:rPr>
            <w:fldChar w:fldCharType="begin"/>
          </w:r>
          <w:r>
            <w:rPr>
              <w:b w:val="0"/>
            </w:rPr>
            <w:instrText xml:space="preserve"> PAGEREF _Toc174556769 \h </w:instrText>
          </w:r>
          <w:r>
            <w:rPr>
              <w:b w:val="0"/>
            </w:rPr>
            <w:fldChar w:fldCharType="separate"/>
          </w:r>
          <w:r>
            <w:rPr>
              <w:b w:val="0"/>
            </w:rPr>
            <w:t>3</w:t>
          </w:r>
          <w:r>
            <w:rPr>
              <w:b w:val="0"/>
            </w:rPr>
            <w:fldChar w:fldCharType="end"/>
          </w:r>
          <w:r>
            <w:rPr>
              <w:b w:val="0"/>
            </w:rPr>
            <w:fldChar w:fldCharType="end"/>
          </w:r>
        </w:p>
        <w:p w14:paraId="5B488675">
          <w:pPr>
            <w:pStyle w:val="29"/>
            <w:rPr>
              <w:rFonts w:asciiTheme="minorHAnsi" w:hAnsiTheme="minorHAnsi" w:eastAsiaTheme="minorEastAsia" w:cstheme="minorBidi"/>
              <w:b w:val="0"/>
              <w:kern w:val="2"/>
              <w:sz w:val="21"/>
            </w:rPr>
          </w:pPr>
          <w:r>
            <w:fldChar w:fldCharType="begin"/>
          </w:r>
          <w:r>
            <w:instrText xml:space="preserve"> HYPERLINK \l "_Toc174556770" </w:instrText>
          </w:r>
          <w:r>
            <w:fldChar w:fldCharType="separate"/>
          </w:r>
          <w:r>
            <w:rPr>
              <w:rStyle w:val="41"/>
              <w:b w:val="0"/>
              <w:bCs w:val="0"/>
            </w:rPr>
            <w:t>2.3</w:t>
          </w:r>
          <w:r>
            <w:rPr>
              <w:rFonts w:asciiTheme="minorHAnsi" w:hAnsiTheme="minorHAnsi" w:eastAsiaTheme="minorEastAsia" w:cstheme="minorBidi"/>
              <w:b w:val="0"/>
              <w:kern w:val="2"/>
              <w:sz w:val="21"/>
            </w:rPr>
            <w:tab/>
          </w:r>
          <w:r>
            <w:rPr>
              <w:rStyle w:val="41"/>
              <w:b w:val="0"/>
              <w:bCs w:val="0"/>
            </w:rPr>
            <w:t>ALC墙板(蒸气加压混凝土墙板-简称ALC墙板)</w:t>
          </w:r>
          <w:r>
            <w:rPr>
              <w:b w:val="0"/>
            </w:rPr>
            <w:tab/>
          </w:r>
          <w:r>
            <w:rPr>
              <w:b w:val="0"/>
            </w:rPr>
            <w:fldChar w:fldCharType="begin"/>
          </w:r>
          <w:r>
            <w:rPr>
              <w:b w:val="0"/>
            </w:rPr>
            <w:instrText xml:space="preserve"> PAGEREF _Toc174556770 \h </w:instrText>
          </w:r>
          <w:r>
            <w:rPr>
              <w:b w:val="0"/>
            </w:rPr>
            <w:fldChar w:fldCharType="separate"/>
          </w:r>
          <w:r>
            <w:rPr>
              <w:b w:val="0"/>
            </w:rPr>
            <w:t>6</w:t>
          </w:r>
          <w:r>
            <w:rPr>
              <w:b w:val="0"/>
            </w:rPr>
            <w:fldChar w:fldCharType="end"/>
          </w:r>
          <w:r>
            <w:rPr>
              <w:b w:val="0"/>
            </w:rPr>
            <w:fldChar w:fldCharType="end"/>
          </w:r>
        </w:p>
        <w:p w14:paraId="6FE87B9A">
          <w:pPr>
            <w:pStyle w:val="17"/>
            <w:tabs>
              <w:tab w:val="right" w:leader="dot" w:pos="9628"/>
            </w:tabs>
            <w:rPr>
              <w:rFonts w:asciiTheme="minorHAnsi" w:hAnsiTheme="minorHAnsi" w:eastAsiaTheme="minorEastAsia" w:cstheme="minorBidi"/>
              <w:kern w:val="2"/>
              <w:sz w:val="21"/>
            </w:rPr>
          </w:pPr>
          <w:r>
            <w:fldChar w:fldCharType="begin"/>
          </w:r>
          <w:r>
            <w:instrText xml:space="preserve"> HYPERLINK \l "_Toc174556771" </w:instrText>
          </w:r>
          <w:r>
            <w:fldChar w:fldCharType="separate"/>
          </w:r>
          <w:r>
            <w:rPr>
              <w:rStyle w:val="41"/>
              <w:rFonts w:ascii="黑体" w:hAnsi="黑体"/>
            </w:rPr>
            <w:t>2.3.3.7、辅材技术要求</w:t>
          </w:r>
          <w:r>
            <w:tab/>
          </w:r>
          <w:r>
            <w:fldChar w:fldCharType="begin"/>
          </w:r>
          <w:r>
            <w:instrText xml:space="preserve"> PAGEREF _Toc174556771 \h </w:instrText>
          </w:r>
          <w:r>
            <w:fldChar w:fldCharType="separate"/>
          </w:r>
          <w:r>
            <w:t>9</w:t>
          </w:r>
          <w:r>
            <w:fldChar w:fldCharType="end"/>
          </w:r>
          <w:r>
            <w:fldChar w:fldCharType="end"/>
          </w:r>
        </w:p>
        <w:p w14:paraId="3FCCE93C">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"_Toc174556772" </w:instrText>
          </w:r>
          <w:r>
            <w:fldChar w:fldCharType="separate"/>
          </w:r>
          <w:r>
            <w:rPr>
              <w:rStyle w:val="41"/>
            </w:rPr>
            <w:t>第3篇</w:t>
          </w:r>
          <w:r>
            <w:rPr>
              <w:rFonts w:asciiTheme="minorHAnsi" w:hAnsiTheme="minorHAnsi" w:eastAsiaTheme="minorEastAsia" w:cstheme="minorBidi"/>
              <w:kern w:val="2"/>
              <w:sz w:val="21"/>
            </w:rPr>
            <w:tab/>
          </w:r>
          <w:r>
            <w:rPr>
              <w:rStyle w:val="41"/>
            </w:rPr>
            <w:t>门窗</w:t>
          </w:r>
          <w:r>
            <w:tab/>
          </w:r>
          <w:r>
            <w:fldChar w:fldCharType="begin"/>
          </w:r>
          <w:r>
            <w:instrText xml:space="preserve"> PAGEREF _Toc174556772 \h </w:instrText>
          </w:r>
          <w:r>
            <w:fldChar w:fldCharType="separate"/>
          </w:r>
          <w:r>
            <w:t>20</w:t>
          </w:r>
          <w:r>
            <w:fldChar w:fldCharType="end"/>
          </w:r>
          <w:r>
            <w:fldChar w:fldCharType="end"/>
          </w:r>
        </w:p>
        <w:p w14:paraId="553C79DF">
          <w:pPr>
            <w:pStyle w:val="29"/>
            <w:rPr>
              <w:rFonts w:asciiTheme="minorHAnsi" w:hAnsiTheme="minorHAnsi" w:eastAsiaTheme="minorEastAsia" w:cstheme="minorBidi"/>
              <w:b w:val="0"/>
              <w:kern w:val="2"/>
              <w:sz w:val="21"/>
            </w:rPr>
          </w:pPr>
          <w:r>
            <w:fldChar w:fldCharType="begin"/>
          </w:r>
          <w:r>
            <w:instrText xml:space="preserve"> HYPERLINK \l "_Toc174556773" </w:instrText>
          </w:r>
          <w:r>
            <w:fldChar w:fldCharType="separate"/>
          </w:r>
          <w:r>
            <w:rPr>
              <w:rStyle w:val="41"/>
              <w:b w:val="0"/>
            </w:rPr>
            <w:t>3.1</w:t>
          </w:r>
          <w:r>
            <w:rPr>
              <w:rFonts w:asciiTheme="minorHAnsi" w:hAnsiTheme="minorHAnsi" w:eastAsiaTheme="minorEastAsia" w:cstheme="minorBidi"/>
              <w:b w:val="0"/>
              <w:kern w:val="2"/>
              <w:sz w:val="21"/>
            </w:rPr>
            <w:tab/>
          </w:r>
          <w:r>
            <w:rPr>
              <w:rStyle w:val="41"/>
              <w:b w:val="0"/>
            </w:rPr>
            <w:t>概述</w:t>
          </w:r>
          <w:r>
            <w:rPr>
              <w:b w:val="0"/>
            </w:rPr>
            <w:tab/>
          </w:r>
          <w:r>
            <w:rPr>
              <w:b w:val="0"/>
            </w:rPr>
            <w:fldChar w:fldCharType="begin"/>
          </w:r>
          <w:r>
            <w:rPr>
              <w:b w:val="0"/>
            </w:rPr>
            <w:instrText xml:space="preserve"> PAGEREF _Toc174556773 \h </w:instrText>
          </w:r>
          <w:r>
            <w:rPr>
              <w:b w:val="0"/>
            </w:rPr>
            <w:fldChar w:fldCharType="separate"/>
          </w:r>
          <w:r>
            <w:rPr>
              <w:b w:val="0"/>
            </w:rPr>
            <w:t>20</w:t>
          </w:r>
          <w:r>
            <w:rPr>
              <w:b w:val="0"/>
            </w:rPr>
            <w:fldChar w:fldCharType="end"/>
          </w:r>
          <w:r>
            <w:rPr>
              <w:b w:val="0"/>
            </w:rPr>
            <w:fldChar w:fldCharType="end"/>
          </w:r>
        </w:p>
        <w:p w14:paraId="1FBE45CB">
          <w:pPr>
            <w:pStyle w:val="29"/>
            <w:rPr>
              <w:rFonts w:asciiTheme="minorHAnsi" w:hAnsiTheme="minorHAnsi" w:eastAsiaTheme="minorEastAsia" w:cstheme="minorBidi"/>
              <w:b w:val="0"/>
              <w:kern w:val="2"/>
              <w:sz w:val="21"/>
            </w:rPr>
          </w:pPr>
          <w:r>
            <w:fldChar w:fldCharType="begin"/>
          </w:r>
          <w:r>
            <w:instrText xml:space="preserve"> HYPERLINK \l "_Toc174556774" </w:instrText>
          </w:r>
          <w:r>
            <w:fldChar w:fldCharType="separate"/>
          </w:r>
          <w:r>
            <w:rPr>
              <w:rStyle w:val="41"/>
              <w:b w:val="0"/>
            </w:rPr>
            <w:t>3.2</w:t>
          </w:r>
          <w:r>
            <w:rPr>
              <w:rFonts w:asciiTheme="minorHAnsi" w:hAnsiTheme="minorHAnsi" w:eastAsiaTheme="minorEastAsia" w:cstheme="minorBidi"/>
              <w:b w:val="0"/>
              <w:kern w:val="2"/>
              <w:sz w:val="21"/>
            </w:rPr>
            <w:tab/>
          </w:r>
          <w:r>
            <w:rPr>
              <w:rStyle w:val="41"/>
              <w:b w:val="0"/>
            </w:rPr>
            <w:t>钢质防火门</w:t>
          </w:r>
          <w:r>
            <w:rPr>
              <w:b w:val="0"/>
            </w:rPr>
            <w:tab/>
          </w:r>
          <w:r>
            <w:rPr>
              <w:b w:val="0"/>
            </w:rPr>
            <w:fldChar w:fldCharType="begin"/>
          </w:r>
          <w:r>
            <w:rPr>
              <w:b w:val="0"/>
            </w:rPr>
            <w:instrText xml:space="preserve"> PAGEREF _Toc174556774 \h </w:instrText>
          </w:r>
          <w:r>
            <w:rPr>
              <w:b w:val="0"/>
            </w:rPr>
            <w:fldChar w:fldCharType="separate"/>
          </w:r>
          <w:r>
            <w:rPr>
              <w:b w:val="0"/>
            </w:rPr>
            <w:t>22</w:t>
          </w:r>
          <w:r>
            <w:rPr>
              <w:b w:val="0"/>
            </w:rPr>
            <w:fldChar w:fldCharType="end"/>
          </w:r>
          <w:r>
            <w:rPr>
              <w:b w:val="0"/>
            </w:rPr>
            <w:fldChar w:fldCharType="end"/>
          </w:r>
        </w:p>
        <w:p w14:paraId="5E5FF658">
          <w:pPr>
            <w:pStyle w:val="29"/>
            <w:rPr>
              <w:rFonts w:asciiTheme="minorHAnsi" w:hAnsiTheme="minorHAnsi" w:eastAsiaTheme="minorEastAsia" w:cstheme="minorBidi"/>
              <w:b w:val="0"/>
              <w:kern w:val="2"/>
              <w:sz w:val="21"/>
            </w:rPr>
          </w:pPr>
          <w:r>
            <w:fldChar w:fldCharType="begin"/>
          </w:r>
          <w:r>
            <w:instrText xml:space="preserve"> HYPERLINK \l "_Toc174556775" </w:instrText>
          </w:r>
          <w:r>
            <w:fldChar w:fldCharType="separate"/>
          </w:r>
          <w:r>
            <w:rPr>
              <w:rStyle w:val="41"/>
              <w:b w:val="0"/>
            </w:rPr>
            <w:t>3.3</w:t>
          </w:r>
          <w:r>
            <w:rPr>
              <w:rFonts w:asciiTheme="minorHAnsi" w:hAnsiTheme="minorHAnsi" w:eastAsiaTheme="minorEastAsia" w:cstheme="minorBidi"/>
              <w:b w:val="0"/>
              <w:kern w:val="2"/>
              <w:sz w:val="21"/>
            </w:rPr>
            <w:tab/>
          </w:r>
          <w:r>
            <w:rPr>
              <w:rStyle w:val="41"/>
              <w:b w:val="0"/>
            </w:rPr>
            <w:t>不锈钢防火门</w:t>
          </w:r>
          <w:r>
            <w:rPr>
              <w:b w:val="0"/>
            </w:rPr>
            <w:tab/>
          </w:r>
          <w:r>
            <w:rPr>
              <w:b w:val="0"/>
            </w:rPr>
            <w:fldChar w:fldCharType="begin"/>
          </w:r>
          <w:r>
            <w:rPr>
              <w:b w:val="0"/>
            </w:rPr>
            <w:instrText xml:space="preserve"> PAGEREF _Toc174556775 \h </w:instrText>
          </w:r>
          <w:r>
            <w:rPr>
              <w:b w:val="0"/>
            </w:rPr>
            <w:fldChar w:fldCharType="separate"/>
          </w:r>
          <w:r>
            <w:rPr>
              <w:b w:val="0"/>
            </w:rPr>
            <w:t>24</w:t>
          </w:r>
          <w:r>
            <w:rPr>
              <w:b w:val="0"/>
            </w:rPr>
            <w:fldChar w:fldCharType="end"/>
          </w:r>
          <w:r>
            <w:rPr>
              <w:b w:val="0"/>
            </w:rPr>
            <w:fldChar w:fldCharType="end"/>
          </w:r>
        </w:p>
        <w:p w14:paraId="53FFB811">
          <w:pPr>
            <w:pStyle w:val="29"/>
            <w:rPr>
              <w:rFonts w:asciiTheme="minorHAnsi" w:hAnsiTheme="minorHAnsi" w:eastAsiaTheme="minorEastAsia" w:cstheme="minorBidi"/>
              <w:b w:val="0"/>
              <w:kern w:val="2"/>
              <w:sz w:val="21"/>
            </w:rPr>
          </w:pPr>
          <w:r>
            <w:fldChar w:fldCharType="begin"/>
          </w:r>
          <w:r>
            <w:instrText xml:space="preserve"> HYPERLINK \l "_Toc174556776" </w:instrText>
          </w:r>
          <w:r>
            <w:fldChar w:fldCharType="separate"/>
          </w:r>
          <w:r>
            <w:rPr>
              <w:rStyle w:val="41"/>
              <w:b w:val="0"/>
            </w:rPr>
            <w:t>3.4</w:t>
          </w:r>
          <w:r>
            <w:rPr>
              <w:rFonts w:asciiTheme="minorHAnsi" w:hAnsiTheme="minorHAnsi" w:eastAsiaTheme="minorEastAsia" w:cstheme="minorBidi"/>
              <w:b w:val="0"/>
              <w:kern w:val="2"/>
              <w:sz w:val="21"/>
            </w:rPr>
            <w:tab/>
          </w:r>
          <w:r>
            <w:rPr>
              <w:rStyle w:val="41"/>
              <w:b w:val="0"/>
            </w:rPr>
            <w:t>门窗五金</w:t>
          </w:r>
          <w:r>
            <w:rPr>
              <w:b w:val="0"/>
            </w:rPr>
            <w:tab/>
          </w:r>
          <w:r>
            <w:rPr>
              <w:b w:val="0"/>
            </w:rPr>
            <w:fldChar w:fldCharType="begin"/>
          </w:r>
          <w:r>
            <w:rPr>
              <w:b w:val="0"/>
            </w:rPr>
            <w:instrText xml:space="preserve"> PAGEREF _Toc174556776 \h </w:instrText>
          </w:r>
          <w:r>
            <w:rPr>
              <w:b w:val="0"/>
            </w:rPr>
            <w:fldChar w:fldCharType="separate"/>
          </w:r>
          <w:r>
            <w:rPr>
              <w:b w:val="0"/>
            </w:rPr>
            <w:t>26</w:t>
          </w:r>
          <w:r>
            <w:rPr>
              <w:b w:val="0"/>
            </w:rPr>
            <w:fldChar w:fldCharType="end"/>
          </w:r>
          <w:r>
            <w:rPr>
              <w:b w:val="0"/>
            </w:rPr>
            <w:fldChar w:fldCharType="end"/>
          </w:r>
        </w:p>
        <w:p w14:paraId="77A18318">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"_Toc174556777" </w:instrText>
          </w:r>
          <w:r>
            <w:fldChar w:fldCharType="separate"/>
          </w:r>
          <w:r>
            <w:rPr>
              <w:rStyle w:val="41"/>
            </w:rPr>
            <w:t>第4篇</w:t>
          </w:r>
          <w:r>
            <w:rPr>
              <w:rFonts w:asciiTheme="minorHAnsi" w:hAnsiTheme="minorHAnsi" w:eastAsiaTheme="minorEastAsia" w:cstheme="minorBidi"/>
              <w:kern w:val="2"/>
              <w:sz w:val="21"/>
            </w:rPr>
            <w:tab/>
          </w:r>
          <w:r>
            <w:rPr>
              <w:rStyle w:val="41"/>
            </w:rPr>
            <w:t>卷帘门</w:t>
          </w:r>
          <w:r>
            <w:tab/>
          </w:r>
          <w:r>
            <w:fldChar w:fldCharType="begin"/>
          </w:r>
          <w:r>
            <w:instrText xml:space="preserve"> PAGEREF _Toc174556777 \h </w:instrText>
          </w:r>
          <w:r>
            <w:fldChar w:fldCharType="separate"/>
          </w:r>
          <w:r>
            <w:t>30</w:t>
          </w:r>
          <w:r>
            <w:fldChar w:fldCharType="end"/>
          </w:r>
          <w:r>
            <w:fldChar w:fldCharType="end"/>
          </w:r>
        </w:p>
        <w:p w14:paraId="56D12DC8">
          <w:pPr>
            <w:pStyle w:val="29"/>
            <w:rPr>
              <w:rFonts w:asciiTheme="minorHAnsi" w:hAnsiTheme="minorHAnsi" w:eastAsiaTheme="minorEastAsia" w:cstheme="minorBidi"/>
              <w:b w:val="0"/>
              <w:kern w:val="2"/>
              <w:sz w:val="21"/>
            </w:rPr>
          </w:pPr>
          <w:r>
            <w:fldChar w:fldCharType="begin"/>
          </w:r>
          <w:r>
            <w:instrText xml:space="preserve"> HYPERLINK \l "_Toc174556778" </w:instrText>
          </w:r>
          <w:r>
            <w:fldChar w:fldCharType="separate"/>
          </w:r>
          <w:r>
            <w:rPr>
              <w:rStyle w:val="41"/>
              <w:b w:val="0"/>
            </w:rPr>
            <w:t>4.1</w:t>
          </w:r>
          <w:r>
            <w:rPr>
              <w:rFonts w:asciiTheme="minorHAnsi" w:hAnsiTheme="minorHAnsi" w:eastAsiaTheme="minorEastAsia" w:cstheme="minorBidi"/>
              <w:b w:val="0"/>
              <w:kern w:val="2"/>
              <w:sz w:val="21"/>
            </w:rPr>
            <w:tab/>
          </w:r>
          <w:r>
            <w:rPr>
              <w:rStyle w:val="41"/>
              <w:b w:val="0"/>
            </w:rPr>
            <w:t>概述</w:t>
          </w:r>
          <w:r>
            <w:rPr>
              <w:b w:val="0"/>
            </w:rPr>
            <w:tab/>
          </w:r>
          <w:r>
            <w:rPr>
              <w:b w:val="0"/>
            </w:rPr>
            <w:fldChar w:fldCharType="begin"/>
          </w:r>
          <w:r>
            <w:rPr>
              <w:b w:val="0"/>
            </w:rPr>
            <w:instrText xml:space="preserve"> PAGEREF _Toc174556778 \h </w:instrText>
          </w:r>
          <w:r>
            <w:rPr>
              <w:b w:val="0"/>
            </w:rPr>
            <w:fldChar w:fldCharType="separate"/>
          </w:r>
          <w:r>
            <w:rPr>
              <w:b w:val="0"/>
            </w:rPr>
            <w:t>30</w:t>
          </w:r>
          <w:r>
            <w:rPr>
              <w:b w:val="0"/>
            </w:rPr>
            <w:fldChar w:fldCharType="end"/>
          </w:r>
          <w:r>
            <w:rPr>
              <w:b w:val="0"/>
            </w:rPr>
            <w:fldChar w:fldCharType="end"/>
          </w:r>
        </w:p>
        <w:p w14:paraId="1E1822D5">
          <w:pPr>
            <w:pStyle w:val="25"/>
            <w:tabs>
              <w:tab w:val="right" w:leader="dot" w:pos="9628"/>
            </w:tabs>
            <w:ind w:firstLine="220" w:firstLineChars="100"/>
            <w:rPr>
              <w:rFonts w:asciiTheme="minorHAnsi" w:hAnsiTheme="minorHAnsi" w:eastAsiaTheme="minorEastAsia" w:cstheme="minorBidi"/>
              <w:kern w:val="2"/>
              <w:sz w:val="21"/>
            </w:rPr>
          </w:pPr>
          <w:r>
            <w:fldChar w:fldCharType="begin"/>
          </w:r>
          <w:r>
            <w:instrText xml:space="preserve"> HYPERLINK \l "_Toc174556779" </w:instrText>
          </w:r>
          <w:r>
            <w:fldChar w:fldCharType="separate"/>
          </w:r>
          <w:r>
            <w:rPr>
              <w:rStyle w:val="41"/>
            </w:rPr>
            <w:t>防火卷帘</w:t>
          </w:r>
          <w:r>
            <w:tab/>
          </w:r>
          <w:r>
            <w:fldChar w:fldCharType="begin"/>
          </w:r>
          <w:r>
            <w:instrText xml:space="preserve"> PAGEREF _Toc174556779 \h </w:instrText>
          </w:r>
          <w:r>
            <w:fldChar w:fldCharType="separate"/>
          </w:r>
          <w:r>
            <w:t>32</w:t>
          </w:r>
          <w:r>
            <w:fldChar w:fldCharType="end"/>
          </w:r>
          <w:r>
            <w:fldChar w:fldCharType="end"/>
          </w:r>
        </w:p>
        <w:p w14:paraId="7D541E7D">
          <w:pPr>
            <w:pStyle w:val="29"/>
            <w:rPr>
              <w:rFonts w:asciiTheme="minorHAnsi" w:hAnsiTheme="minorHAnsi" w:eastAsiaTheme="minorEastAsia" w:cstheme="minorBidi"/>
              <w:b w:val="0"/>
              <w:kern w:val="2"/>
              <w:sz w:val="21"/>
            </w:rPr>
          </w:pPr>
          <w:r>
            <w:fldChar w:fldCharType="begin"/>
          </w:r>
          <w:r>
            <w:instrText xml:space="preserve"> HYPERLINK \l "_Toc174556780" </w:instrText>
          </w:r>
          <w:r>
            <w:fldChar w:fldCharType="separate"/>
          </w:r>
          <w:r>
            <w:rPr>
              <w:rStyle w:val="41"/>
              <w:b w:val="0"/>
            </w:rPr>
            <w:t>4.2</w:t>
          </w:r>
          <w:r>
            <w:rPr>
              <w:rFonts w:asciiTheme="minorHAnsi" w:hAnsiTheme="minorHAnsi" w:eastAsiaTheme="minorEastAsia" w:cstheme="minorBidi"/>
              <w:b w:val="0"/>
              <w:kern w:val="2"/>
              <w:sz w:val="21"/>
            </w:rPr>
            <w:tab/>
          </w:r>
          <w:r>
            <w:rPr>
              <w:rStyle w:val="41"/>
              <w:b w:val="0"/>
            </w:rPr>
            <w:t>通用技术条件：</w:t>
          </w:r>
          <w:r>
            <w:rPr>
              <w:b w:val="0"/>
            </w:rPr>
            <w:tab/>
          </w:r>
          <w:r>
            <w:rPr>
              <w:b w:val="0"/>
            </w:rPr>
            <w:fldChar w:fldCharType="begin"/>
          </w:r>
          <w:r>
            <w:rPr>
              <w:b w:val="0"/>
            </w:rPr>
            <w:instrText xml:space="preserve"> PAGEREF _Toc174556780 \h </w:instrText>
          </w:r>
          <w:r>
            <w:rPr>
              <w:b w:val="0"/>
            </w:rPr>
            <w:fldChar w:fldCharType="separate"/>
          </w:r>
          <w:r>
            <w:rPr>
              <w:b w:val="0"/>
            </w:rPr>
            <w:t>32</w:t>
          </w:r>
          <w:r>
            <w:rPr>
              <w:b w:val="0"/>
            </w:rPr>
            <w:fldChar w:fldCharType="end"/>
          </w:r>
          <w:r>
            <w:rPr>
              <w:b w:val="0"/>
            </w:rPr>
            <w:fldChar w:fldCharType="end"/>
          </w:r>
        </w:p>
        <w:p w14:paraId="21C7AD37">
          <w:pPr>
            <w:pStyle w:val="29"/>
            <w:rPr>
              <w:rFonts w:asciiTheme="minorHAnsi" w:hAnsiTheme="minorHAnsi" w:eastAsiaTheme="minorEastAsia" w:cstheme="minorBidi"/>
              <w:b w:val="0"/>
              <w:kern w:val="2"/>
              <w:sz w:val="21"/>
            </w:rPr>
          </w:pPr>
          <w:r>
            <w:fldChar w:fldCharType="begin"/>
          </w:r>
          <w:r>
            <w:instrText xml:space="preserve"> HYPERLINK \l "_Toc174556781" </w:instrText>
          </w:r>
          <w:r>
            <w:fldChar w:fldCharType="separate"/>
          </w:r>
          <w:r>
            <w:rPr>
              <w:rStyle w:val="41"/>
              <w:b w:val="0"/>
            </w:rPr>
            <w:t>4.3</w:t>
          </w:r>
          <w:r>
            <w:rPr>
              <w:rFonts w:asciiTheme="minorHAnsi" w:hAnsiTheme="minorHAnsi" w:eastAsiaTheme="minorEastAsia" w:cstheme="minorBidi"/>
              <w:b w:val="0"/>
              <w:kern w:val="2"/>
              <w:sz w:val="21"/>
            </w:rPr>
            <w:tab/>
          </w:r>
          <w:r>
            <w:rPr>
              <w:rStyle w:val="41"/>
              <w:b w:val="0"/>
            </w:rPr>
            <w:t>零部件</w:t>
          </w:r>
          <w:r>
            <w:rPr>
              <w:b w:val="0"/>
            </w:rPr>
            <w:tab/>
          </w:r>
          <w:r>
            <w:rPr>
              <w:b w:val="0"/>
            </w:rPr>
            <w:fldChar w:fldCharType="begin"/>
          </w:r>
          <w:r>
            <w:rPr>
              <w:b w:val="0"/>
            </w:rPr>
            <w:instrText xml:space="preserve"> PAGEREF _Toc174556781 \h </w:instrText>
          </w:r>
          <w:r>
            <w:rPr>
              <w:b w:val="0"/>
            </w:rPr>
            <w:fldChar w:fldCharType="separate"/>
          </w:r>
          <w:r>
            <w:rPr>
              <w:b w:val="0"/>
            </w:rPr>
            <w:t>32</w:t>
          </w:r>
          <w:r>
            <w:rPr>
              <w:b w:val="0"/>
            </w:rPr>
            <w:fldChar w:fldCharType="end"/>
          </w:r>
          <w:r>
            <w:rPr>
              <w:b w:val="0"/>
            </w:rPr>
            <w:fldChar w:fldCharType="end"/>
          </w:r>
        </w:p>
        <w:p w14:paraId="219E4FEF">
          <w:pPr>
            <w:pStyle w:val="29"/>
            <w:rPr>
              <w:rFonts w:asciiTheme="minorHAnsi" w:hAnsiTheme="minorHAnsi" w:eastAsiaTheme="minorEastAsia" w:cstheme="minorBidi"/>
              <w:b w:val="0"/>
              <w:kern w:val="2"/>
              <w:sz w:val="21"/>
            </w:rPr>
          </w:pPr>
          <w:r>
            <w:fldChar w:fldCharType="begin"/>
          </w:r>
          <w:r>
            <w:instrText xml:space="preserve"> HYPERLINK \l "_Toc174556782" </w:instrText>
          </w:r>
          <w:r>
            <w:fldChar w:fldCharType="separate"/>
          </w:r>
          <w:r>
            <w:rPr>
              <w:rStyle w:val="41"/>
              <w:b w:val="0"/>
            </w:rPr>
            <w:t>4.4</w:t>
          </w:r>
          <w:r>
            <w:rPr>
              <w:rFonts w:asciiTheme="minorHAnsi" w:hAnsiTheme="minorHAnsi" w:eastAsiaTheme="minorEastAsia" w:cstheme="minorBidi"/>
              <w:b w:val="0"/>
              <w:kern w:val="2"/>
              <w:sz w:val="21"/>
            </w:rPr>
            <w:tab/>
          </w:r>
          <w:r>
            <w:rPr>
              <w:rStyle w:val="41"/>
              <w:b w:val="0"/>
            </w:rPr>
            <w:t>性能要求</w:t>
          </w:r>
          <w:r>
            <w:rPr>
              <w:b w:val="0"/>
            </w:rPr>
            <w:tab/>
          </w:r>
          <w:r>
            <w:rPr>
              <w:b w:val="0"/>
            </w:rPr>
            <w:fldChar w:fldCharType="begin"/>
          </w:r>
          <w:r>
            <w:rPr>
              <w:b w:val="0"/>
            </w:rPr>
            <w:instrText xml:space="preserve"> PAGEREF _Toc174556782 \h </w:instrText>
          </w:r>
          <w:r>
            <w:rPr>
              <w:b w:val="0"/>
            </w:rPr>
            <w:fldChar w:fldCharType="separate"/>
          </w:r>
          <w:r>
            <w:rPr>
              <w:b w:val="0"/>
            </w:rPr>
            <w:t>34</w:t>
          </w:r>
          <w:r>
            <w:rPr>
              <w:b w:val="0"/>
            </w:rPr>
            <w:fldChar w:fldCharType="end"/>
          </w:r>
          <w:r>
            <w:rPr>
              <w:b w:val="0"/>
            </w:rPr>
            <w:fldChar w:fldCharType="end"/>
          </w:r>
        </w:p>
        <w:p w14:paraId="0C91A435">
          <w:pPr>
            <w:pStyle w:val="29"/>
            <w:rPr>
              <w:rFonts w:asciiTheme="minorHAnsi" w:hAnsiTheme="minorHAnsi" w:eastAsiaTheme="minorEastAsia" w:cstheme="minorBidi"/>
              <w:b w:val="0"/>
              <w:kern w:val="2"/>
              <w:sz w:val="21"/>
            </w:rPr>
          </w:pPr>
          <w:r>
            <w:fldChar w:fldCharType="begin"/>
          </w:r>
          <w:r>
            <w:instrText xml:space="preserve"> HYPERLINK \l "_Toc174556783" </w:instrText>
          </w:r>
          <w:r>
            <w:fldChar w:fldCharType="separate"/>
          </w:r>
          <w:r>
            <w:rPr>
              <w:rStyle w:val="41"/>
              <w:b w:val="0"/>
            </w:rPr>
            <w:t>4.5</w:t>
          </w:r>
          <w:r>
            <w:rPr>
              <w:rFonts w:asciiTheme="minorHAnsi" w:hAnsiTheme="minorHAnsi" w:eastAsiaTheme="minorEastAsia" w:cstheme="minorBidi"/>
              <w:b w:val="0"/>
              <w:kern w:val="2"/>
              <w:sz w:val="21"/>
            </w:rPr>
            <w:tab/>
          </w:r>
          <w:r>
            <w:rPr>
              <w:rStyle w:val="41"/>
              <w:b w:val="0"/>
            </w:rPr>
            <w:t>供应商提交资料</w:t>
          </w:r>
          <w:r>
            <w:rPr>
              <w:b w:val="0"/>
            </w:rPr>
            <w:tab/>
          </w:r>
          <w:r>
            <w:rPr>
              <w:b w:val="0"/>
            </w:rPr>
            <w:fldChar w:fldCharType="begin"/>
          </w:r>
          <w:r>
            <w:rPr>
              <w:b w:val="0"/>
            </w:rPr>
            <w:instrText xml:space="preserve"> PAGEREF _Toc174556783 \h </w:instrText>
          </w:r>
          <w:r>
            <w:rPr>
              <w:b w:val="0"/>
            </w:rPr>
            <w:fldChar w:fldCharType="separate"/>
          </w:r>
          <w:r>
            <w:rPr>
              <w:b w:val="0"/>
            </w:rPr>
            <w:t>34</w:t>
          </w:r>
          <w:r>
            <w:rPr>
              <w:b w:val="0"/>
            </w:rPr>
            <w:fldChar w:fldCharType="end"/>
          </w:r>
          <w:r>
            <w:rPr>
              <w:b w:val="0"/>
            </w:rPr>
            <w:fldChar w:fldCharType="end"/>
          </w:r>
        </w:p>
        <w:p w14:paraId="39EC16C4">
          <w:pPr>
            <w:pStyle w:val="29"/>
            <w:rPr>
              <w:rFonts w:asciiTheme="minorHAnsi" w:hAnsiTheme="minorHAnsi" w:eastAsiaTheme="minorEastAsia" w:cstheme="minorBidi"/>
              <w:b w:val="0"/>
              <w:kern w:val="2"/>
              <w:sz w:val="21"/>
            </w:rPr>
          </w:pPr>
          <w:r>
            <w:fldChar w:fldCharType="begin"/>
          </w:r>
          <w:r>
            <w:instrText xml:space="preserve"> HYPERLINK \l "_Toc174556784" </w:instrText>
          </w:r>
          <w:r>
            <w:fldChar w:fldCharType="separate"/>
          </w:r>
          <w:r>
            <w:rPr>
              <w:rStyle w:val="41"/>
              <w:b w:val="0"/>
            </w:rPr>
            <w:t>4.6</w:t>
          </w:r>
          <w:r>
            <w:rPr>
              <w:rFonts w:asciiTheme="minorHAnsi" w:hAnsiTheme="minorHAnsi" w:eastAsiaTheme="minorEastAsia" w:cstheme="minorBidi"/>
              <w:b w:val="0"/>
              <w:kern w:val="2"/>
              <w:sz w:val="21"/>
            </w:rPr>
            <w:tab/>
          </w:r>
          <w:r>
            <w:rPr>
              <w:rStyle w:val="41"/>
              <w:b w:val="0"/>
            </w:rPr>
            <w:t>安装及施工工艺要求</w:t>
          </w:r>
          <w:r>
            <w:rPr>
              <w:b w:val="0"/>
            </w:rPr>
            <w:tab/>
          </w:r>
          <w:r>
            <w:rPr>
              <w:b w:val="0"/>
            </w:rPr>
            <w:fldChar w:fldCharType="begin"/>
          </w:r>
          <w:r>
            <w:rPr>
              <w:b w:val="0"/>
            </w:rPr>
            <w:instrText xml:space="preserve"> PAGEREF _Toc174556784 \h </w:instrText>
          </w:r>
          <w:r>
            <w:rPr>
              <w:b w:val="0"/>
            </w:rPr>
            <w:fldChar w:fldCharType="separate"/>
          </w:r>
          <w:r>
            <w:rPr>
              <w:b w:val="0"/>
            </w:rPr>
            <w:t>34</w:t>
          </w:r>
          <w:r>
            <w:rPr>
              <w:b w:val="0"/>
            </w:rPr>
            <w:fldChar w:fldCharType="end"/>
          </w:r>
          <w:r>
            <w:rPr>
              <w:b w:val="0"/>
            </w:rPr>
            <w:fldChar w:fldCharType="end"/>
          </w:r>
        </w:p>
        <w:p w14:paraId="0D39B77E">
          <w:pPr>
            <w:pStyle w:val="29"/>
            <w:rPr>
              <w:rFonts w:asciiTheme="minorHAnsi" w:hAnsiTheme="minorHAnsi" w:eastAsiaTheme="minorEastAsia" w:cstheme="minorBidi"/>
              <w:b w:val="0"/>
              <w:kern w:val="2"/>
              <w:sz w:val="21"/>
            </w:rPr>
          </w:pPr>
          <w:r>
            <w:fldChar w:fldCharType="begin"/>
          </w:r>
          <w:r>
            <w:instrText xml:space="preserve"> HYPERLINK \l "_Toc174556785" </w:instrText>
          </w:r>
          <w:r>
            <w:fldChar w:fldCharType="separate"/>
          </w:r>
          <w:r>
            <w:rPr>
              <w:rStyle w:val="41"/>
              <w:b w:val="0"/>
            </w:rPr>
            <w:t>4.7</w:t>
          </w:r>
          <w:r>
            <w:rPr>
              <w:rFonts w:asciiTheme="minorHAnsi" w:hAnsiTheme="minorHAnsi" w:eastAsiaTheme="minorEastAsia" w:cstheme="minorBidi"/>
              <w:b w:val="0"/>
              <w:kern w:val="2"/>
              <w:sz w:val="21"/>
            </w:rPr>
            <w:tab/>
          </w:r>
          <w:r>
            <w:rPr>
              <w:rStyle w:val="41"/>
              <w:b w:val="0"/>
            </w:rPr>
            <w:t>其它</w:t>
          </w:r>
          <w:r>
            <w:rPr>
              <w:b w:val="0"/>
            </w:rPr>
            <w:tab/>
          </w:r>
          <w:r>
            <w:rPr>
              <w:b w:val="0"/>
            </w:rPr>
            <w:fldChar w:fldCharType="begin"/>
          </w:r>
          <w:r>
            <w:rPr>
              <w:b w:val="0"/>
            </w:rPr>
            <w:instrText xml:space="preserve"> PAGEREF _Toc174556785 \h </w:instrText>
          </w:r>
          <w:r>
            <w:rPr>
              <w:b w:val="0"/>
            </w:rPr>
            <w:fldChar w:fldCharType="separate"/>
          </w:r>
          <w:r>
            <w:rPr>
              <w:b w:val="0"/>
            </w:rPr>
            <w:t>36</w:t>
          </w:r>
          <w:r>
            <w:rPr>
              <w:b w:val="0"/>
            </w:rPr>
            <w:fldChar w:fldCharType="end"/>
          </w:r>
          <w:r>
            <w:rPr>
              <w:b w:val="0"/>
            </w:rPr>
            <w:fldChar w:fldCharType="end"/>
          </w:r>
        </w:p>
        <w:p w14:paraId="5AA5707E">
          <w:pPr>
            <w:pStyle w:val="29"/>
            <w:rPr>
              <w:rFonts w:asciiTheme="minorHAnsi" w:hAnsiTheme="minorHAnsi" w:eastAsiaTheme="minorEastAsia" w:cstheme="minorBidi"/>
              <w:b w:val="0"/>
              <w:kern w:val="2"/>
              <w:sz w:val="21"/>
            </w:rPr>
          </w:pPr>
          <w:r>
            <w:fldChar w:fldCharType="begin"/>
          </w:r>
          <w:r>
            <w:instrText xml:space="preserve"> HYPERLINK \l "_Toc174556786" </w:instrText>
          </w:r>
          <w:r>
            <w:fldChar w:fldCharType="separate"/>
          </w:r>
          <w:r>
            <w:rPr>
              <w:rStyle w:val="41"/>
              <w:b w:val="0"/>
            </w:rPr>
            <w:t>4.8</w:t>
          </w:r>
          <w:r>
            <w:rPr>
              <w:rFonts w:asciiTheme="minorHAnsi" w:hAnsiTheme="minorHAnsi" w:eastAsiaTheme="minorEastAsia" w:cstheme="minorBidi"/>
              <w:b w:val="0"/>
              <w:kern w:val="2"/>
              <w:sz w:val="21"/>
            </w:rPr>
            <w:tab/>
          </w:r>
          <w:r>
            <w:rPr>
              <w:rStyle w:val="41"/>
              <w:b w:val="0"/>
            </w:rPr>
            <w:t>保修要求：</w:t>
          </w:r>
          <w:r>
            <w:rPr>
              <w:b w:val="0"/>
            </w:rPr>
            <w:tab/>
          </w:r>
          <w:r>
            <w:rPr>
              <w:b w:val="0"/>
            </w:rPr>
            <w:fldChar w:fldCharType="begin"/>
          </w:r>
          <w:r>
            <w:rPr>
              <w:b w:val="0"/>
            </w:rPr>
            <w:instrText xml:space="preserve"> PAGEREF _Toc174556786 \h </w:instrText>
          </w:r>
          <w:r>
            <w:rPr>
              <w:b w:val="0"/>
            </w:rPr>
            <w:fldChar w:fldCharType="separate"/>
          </w:r>
          <w:r>
            <w:rPr>
              <w:b w:val="0"/>
            </w:rPr>
            <w:t>36</w:t>
          </w:r>
          <w:r>
            <w:rPr>
              <w:b w:val="0"/>
            </w:rPr>
            <w:fldChar w:fldCharType="end"/>
          </w:r>
          <w:r>
            <w:rPr>
              <w:b w:val="0"/>
            </w:rPr>
            <w:fldChar w:fldCharType="end"/>
          </w:r>
        </w:p>
        <w:p w14:paraId="00F90439">
          <w:pPr>
            <w:pStyle w:val="25"/>
            <w:tabs>
              <w:tab w:val="right" w:leader="dot" w:pos="9628"/>
            </w:tabs>
            <w:ind w:firstLine="220" w:firstLineChars="100"/>
            <w:rPr>
              <w:rFonts w:asciiTheme="minorHAnsi" w:hAnsiTheme="minorHAnsi" w:eastAsiaTheme="minorEastAsia" w:cstheme="minorBidi"/>
              <w:kern w:val="2"/>
              <w:sz w:val="21"/>
            </w:rPr>
          </w:pPr>
          <w:r>
            <w:fldChar w:fldCharType="begin"/>
          </w:r>
          <w:r>
            <w:instrText xml:space="preserve"> HYPERLINK \l "_Toc174556787" </w:instrText>
          </w:r>
          <w:r>
            <w:fldChar w:fldCharType="separate"/>
          </w:r>
          <w:r>
            <w:rPr>
              <w:rStyle w:val="41"/>
            </w:rPr>
            <w:t>普通卷帘门</w:t>
          </w:r>
          <w:r>
            <w:tab/>
          </w:r>
          <w:r>
            <w:fldChar w:fldCharType="begin"/>
          </w:r>
          <w:r>
            <w:instrText xml:space="preserve"> PAGEREF _Toc174556787 \h </w:instrText>
          </w:r>
          <w:r>
            <w:fldChar w:fldCharType="separate"/>
          </w:r>
          <w:r>
            <w:t>36</w:t>
          </w:r>
          <w:r>
            <w:fldChar w:fldCharType="end"/>
          </w:r>
          <w:r>
            <w:fldChar w:fldCharType="end"/>
          </w:r>
        </w:p>
        <w:p w14:paraId="6192BD67">
          <w:pPr>
            <w:pStyle w:val="29"/>
            <w:rPr>
              <w:rFonts w:asciiTheme="minorHAnsi" w:hAnsiTheme="minorHAnsi" w:eastAsiaTheme="minorEastAsia" w:cstheme="minorBidi"/>
              <w:b w:val="0"/>
              <w:kern w:val="2"/>
              <w:sz w:val="21"/>
            </w:rPr>
          </w:pPr>
          <w:r>
            <w:fldChar w:fldCharType="begin"/>
          </w:r>
          <w:r>
            <w:instrText xml:space="preserve"> HYPERLINK \l "_Toc174556788" </w:instrText>
          </w:r>
          <w:r>
            <w:fldChar w:fldCharType="separate"/>
          </w:r>
          <w:r>
            <w:rPr>
              <w:rStyle w:val="41"/>
              <w:b w:val="0"/>
            </w:rPr>
            <w:t>4.9</w:t>
          </w:r>
          <w:r>
            <w:rPr>
              <w:rFonts w:asciiTheme="minorHAnsi" w:hAnsiTheme="minorHAnsi" w:eastAsiaTheme="minorEastAsia" w:cstheme="minorBidi"/>
              <w:b w:val="0"/>
              <w:kern w:val="2"/>
              <w:sz w:val="21"/>
            </w:rPr>
            <w:tab/>
          </w:r>
          <w:r>
            <w:rPr>
              <w:rStyle w:val="41"/>
              <w:b w:val="0"/>
            </w:rPr>
            <w:t>通用技术条件：</w:t>
          </w:r>
          <w:r>
            <w:rPr>
              <w:b w:val="0"/>
            </w:rPr>
            <w:tab/>
          </w:r>
          <w:r>
            <w:rPr>
              <w:b w:val="0"/>
            </w:rPr>
            <w:fldChar w:fldCharType="begin"/>
          </w:r>
          <w:r>
            <w:rPr>
              <w:b w:val="0"/>
            </w:rPr>
            <w:instrText xml:space="preserve"> PAGEREF _Toc174556788 \h </w:instrText>
          </w:r>
          <w:r>
            <w:rPr>
              <w:b w:val="0"/>
            </w:rPr>
            <w:fldChar w:fldCharType="separate"/>
          </w:r>
          <w:r>
            <w:rPr>
              <w:b w:val="0"/>
            </w:rPr>
            <w:t>36</w:t>
          </w:r>
          <w:r>
            <w:rPr>
              <w:b w:val="0"/>
            </w:rPr>
            <w:fldChar w:fldCharType="end"/>
          </w:r>
          <w:r>
            <w:rPr>
              <w:b w:val="0"/>
            </w:rPr>
            <w:fldChar w:fldCharType="end"/>
          </w:r>
        </w:p>
        <w:p w14:paraId="0942EB8C">
          <w:pPr>
            <w:pStyle w:val="29"/>
            <w:rPr>
              <w:rFonts w:asciiTheme="minorHAnsi" w:hAnsiTheme="minorHAnsi" w:eastAsiaTheme="minorEastAsia" w:cstheme="minorBidi"/>
              <w:b w:val="0"/>
              <w:kern w:val="2"/>
              <w:sz w:val="21"/>
            </w:rPr>
          </w:pPr>
          <w:r>
            <w:fldChar w:fldCharType="begin"/>
          </w:r>
          <w:r>
            <w:instrText xml:space="preserve"> HYPERLINK \l "_Toc174556789" </w:instrText>
          </w:r>
          <w:r>
            <w:fldChar w:fldCharType="separate"/>
          </w:r>
          <w:r>
            <w:rPr>
              <w:rStyle w:val="41"/>
              <w:b w:val="0"/>
            </w:rPr>
            <w:t>4.10</w:t>
          </w:r>
          <w:r>
            <w:rPr>
              <w:rFonts w:asciiTheme="minorHAnsi" w:hAnsiTheme="minorHAnsi" w:eastAsiaTheme="minorEastAsia" w:cstheme="minorBidi"/>
              <w:b w:val="0"/>
              <w:kern w:val="2"/>
              <w:sz w:val="21"/>
            </w:rPr>
            <w:tab/>
          </w:r>
          <w:r>
            <w:rPr>
              <w:rStyle w:val="41"/>
              <w:b w:val="0"/>
            </w:rPr>
            <w:t>零部件</w:t>
          </w:r>
          <w:r>
            <w:rPr>
              <w:b w:val="0"/>
            </w:rPr>
            <w:tab/>
          </w:r>
          <w:r>
            <w:rPr>
              <w:b w:val="0"/>
            </w:rPr>
            <w:fldChar w:fldCharType="begin"/>
          </w:r>
          <w:r>
            <w:rPr>
              <w:b w:val="0"/>
            </w:rPr>
            <w:instrText xml:space="preserve"> PAGEREF _Toc174556789 \h </w:instrText>
          </w:r>
          <w:r>
            <w:rPr>
              <w:b w:val="0"/>
            </w:rPr>
            <w:fldChar w:fldCharType="separate"/>
          </w:r>
          <w:r>
            <w:rPr>
              <w:b w:val="0"/>
            </w:rPr>
            <w:t>36</w:t>
          </w:r>
          <w:r>
            <w:rPr>
              <w:b w:val="0"/>
            </w:rPr>
            <w:fldChar w:fldCharType="end"/>
          </w:r>
          <w:r>
            <w:rPr>
              <w:b w:val="0"/>
            </w:rPr>
            <w:fldChar w:fldCharType="end"/>
          </w:r>
        </w:p>
        <w:p w14:paraId="4F92C912">
          <w:pPr>
            <w:pStyle w:val="29"/>
            <w:rPr>
              <w:rFonts w:asciiTheme="minorHAnsi" w:hAnsiTheme="minorHAnsi" w:eastAsiaTheme="minorEastAsia" w:cstheme="minorBidi"/>
              <w:b w:val="0"/>
              <w:kern w:val="2"/>
              <w:sz w:val="21"/>
            </w:rPr>
          </w:pPr>
          <w:r>
            <w:fldChar w:fldCharType="begin"/>
          </w:r>
          <w:r>
            <w:instrText xml:space="preserve"> HYPERLINK \l "_Toc174556790" </w:instrText>
          </w:r>
          <w:r>
            <w:fldChar w:fldCharType="separate"/>
          </w:r>
          <w:r>
            <w:rPr>
              <w:rStyle w:val="41"/>
              <w:b w:val="0"/>
            </w:rPr>
            <w:t>4.11</w:t>
          </w:r>
          <w:r>
            <w:rPr>
              <w:rFonts w:asciiTheme="minorHAnsi" w:hAnsiTheme="minorHAnsi" w:eastAsiaTheme="minorEastAsia" w:cstheme="minorBidi"/>
              <w:b w:val="0"/>
              <w:kern w:val="2"/>
              <w:sz w:val="21"/>
            </w:rPr>
            <w:tab/>
          </w:r>
          <w:r>
            <w:rPr>
              <w:rStyle w:val="41"/>
              <w:b w:val="0"/>
            </w:rPr>
            <w:t>性能要求</w:t>
          </w:r>
          <w:r>
            <w:rPr>
              <w:b w:val="0"/>
            </w:rPr>
            <w:tab/>
          </w:r>
          <w:r>
            <w:rPr>
              <w:b w:val="0"/>
            </w:rPr>
            <w:fldChar w:fldCharType="begin"/>
          </w:r>
          <w:r>
            <w:rPr>
              <w:b w:val="0"/>
            </w:rPr>
            <w:instrText xml:space="preserve"> PAGEREF _Toc174556790 \h </w:instrText>
          </w:r>
          <w:r>
            <w:rPr>
              <w:b w:val="0"/>
            </w:rPr>
            <w:fldChar w:fldCharType="separate"/>
          </w:r>
          <w:r>
            <w:rPr>
              <w:b w:val="0"/>
            </w:rPr>
            <w:t>37</w:t>
          </w:r>
          <w:r>
            <w:rPr>
              <w:b w:val="0"/>
            </w:rPr>
            <w:fldChar w:fldCharType="end"/>
          </w:r>
          <w:r>
            <w:rPr>
              <w:b w:val="0"/>
            </w:rPr>
            <w:fldChar w:fldCharType="end"/>
          </w:r>
        </w:p>
        <w:p w14:paraId="00D8C9C7">
          <w:pPr>
            <w:pStyle w:val="29"/>
            <w:rPr>
              <w:rFonts w:asciiTheme="minorHAnsi" w:hAnsiTheme="minorHAnsi" w:eastAsiaTheme="minorEastAsia" w:cstheme="minorBidi"/>
              <w:b w:val="0"/>
              <w:kern w:val="2"/>
              <w:sz w:val="21"/>
            </w:rPr>
          </w:pPr>
          <w:r>
            <w:fldChar w:fldCharType="begin"/>
          </w:r>
          <w:r>
            <w:instrText xml:space="preserve"> HYPERLINK \l "_Toc174556791" </w:instrText>
          </w:r>
          <w:r>
            <w:fldChar w:fldCharType="separate"/>
          </w:r>
          <w:r>
            <w:rPr>
              <w:rStyle w:val="41"/>
              <w:b w:val="0"/>
            </w:rPr>
            <w:t>4.12</w:t>
          </w:r>
          <w:r>
            <w:rPr>
              <w:rFonts w:asciiTheme="minorHAnsi" w:hAnsiTheme="minorHAnsi" w:eastAsiaTheme="minorEastAsia" w:cstheme="minorBidi"/>
              <w:b w:val="0"/>
              <w:kern w:val="2"/>
              <w:sz w:val="21"/>
            </w:rPr>
            <w:tab/>
          </w:r>
          <w:r>
            <w:rPr>
              <w:rStyle w:val="41"/>
              <w:b w:val="0"/>
            </w:rPr>
            <w:t>外观质量</w:t>
          </w:r>
          <w:r>
            <w:rPr>
              <w:b w:val="0"/>
            </w:rPr>
            <w:tab/>
          </w:r>
          <w:r>
            <w:rPr>
              <w:b w:val="0"/>
            </w:rPr>
            <w:fldChar w:fldCharType="begin"/>
          </w:r>
          <w:r>
            <w:rPr>
              <w:b w:val="0"/>
            </w:rPr>
            <w:instrText xml:space="preserve"> PAGEREF _Toc174556791 \h </w:instrText>
          </w:r>
          <w:r>
            <w:rPr>
              <w:b w:val="0"/>
            </w:rPr>
            <w:fldChar w:fldCharType="separate"/>
          </w:r>
          <w:r>
            <w:rPr>
              <w:b w:val="0"/>
            </w:rPr>
            <w:t>38</w:t>
          </w:r>
          <w:r>
            <w:rPr>
              <w:b w:val="0"/>
            </w:rPr>
            <w:fldChar w:fldCharType="end"/>
          </w:r>
          <w:r>
            <w:rPr>
              <w:b w:val="0"/>
            </w:rPr>
            <w:fldChar w:fldCharType="end"/>
          </w:r>
        </w:p>
        <w:p w14:paraId="5A41094A">
          <w:pPr>
            <w:pStyle w:val="29"/>
            <w:rPr>
              <w:rFonts w:asciiTheme="minorHAnsi" w:hAnsiTheme="minorHAnsi" w:eastAsiaTheme="minorEastAsia" w:cstheme="minorBidi"/>
              <w:b w:val="0"/>
              <w:kern w:val="2"/>
              <w:sz w:val="21"/>
            </w:rPr>
          </w:pPr>
          <w:r>
            <w:fldChar w:fldCharType="begin"/>
          </w:r>
          <w:r>
            <w:instrText xml:space="preserve"> HYPERLINK \l "_Toc174556792" </w:instrText>
          </w:r>
          <w:r>
            <w:fldChar w:fldCharType="separate"/>
          </w:r>
          <w:r>
            <w:rPr>
              <w:rStyle w:val="41"/>
              <w:b w:val="0"/>
            </w:rPr>
            <w:t>4.13</w:t>
          </w:r>
          <w:r>
            <w:rPr>
              <w:rFonts w:asciiTheme="minorHAnsi" w:hAnsiTheme="minorHAnsi" w:eastAsiaTheme="minorEastAsia" w:cstheme="minorBidi"/>
              <w:b w:val="0"/>
              <w:kern w:val="2"/>
              <w:sz w:val="21"/>
            </w:rPr>
            <w:tab/>
          </w:r>
          <w:r>
            <w:rPr>
              <w:rStyle w:val="41"/>
              <w:b w:val="0"/>
            </w:rPr>
            <w:t>供应商提交资料</w:t>
          </w:r>
          <w:r>
            <w:rPr>
              <w:b w:val="0"/>
            </w:rPr>
            <w:tab/>
          </w:r>
          <w:r>
            <w:rPr>
              <w:b w:val="0"/>
            </w:rPr>
            <w:fldChar w:fldCharType="begin"/>
          </w:r>
          <w:r>
            <w:rPr>
              <w:b w:val="0"/>
            </w:rPr>
            <w:instrText xml:space="preserve"> PAGEREF _Toc174556792 \h </w:instrText>
          </w:r>
          <w:r>
            <w:rPr>
              <w:b w:val="0"/>
            </w:rPr>
            <w:fldChar w:fldCharType="separate"/>
          </w:r>
          <w:r>
            <w:rPr>
              <w:b w:val="0"/>
            </w:rPr>
            <w:t>38</w:t>
          </w:r>
          <w:r>
            <w:rPr>
              <w:b w:val="0"/>
            </w:rPr>
            <w:fldChar w:fldCharType="end"/>
          </w:r>
          <w:r>
            <w:rPr>
              <w:b w:val="0"/>
            </w:rPr>
            <w:fldChar w:fldCharType="end"/>
          </w:r>
        </w:p>
        <w:p w14:paraId="2765F88C">
          <w:pPr>
            <w:pStyle w:val="29"/>
            <w:rPr>
              <w:rFonts w:asciiTheme="minorHAnsi" w:hAnsiTheme="minorHAnsi" w:eastAsiaTheme="minorEastAsia" w:cstheme="minorBidi"/>
              <w:b w:val="0"/>
              <w:kern w:val="2"/>
              <w:sz w:val="21"/>
            </w:rPr>
          </w:pPr>
          <w:r>
            <w:fldChar w:fldCharType="begin"/>
          </w:r>
          <w:r>
            <w:instrText xml:space="preserve"> HYPERLINK \l "_Toc174556793" </w:instrText>
          </w:r>
          <w:r>
            <w:fldChar w:fldCharType="separate"/>
          </w:r>
          <w:r>
            <w:rPr>
              <w:rStyle w:val="41"/>
              <w:b w:val="0"/>
            </w:rPr>
            <w:t>4.14</w:t>
          </w:r>
          <w:r>
            <w:rPr>
              <w:rFonts w:asciiTheme="minorHAnsi" w:hAnsiTheme="minorHAnsi" w:eastAsiaTheme="minorEastAsia" w:cstheme="minorBidi"/>
              <w:b w:val="0"/>
              <w:kern w:val="2"/>
              <w:sz w:val="21"/>
            </w:rPr>
            <w:tab/>
          </w:r>
          <w:r>
            <w:rPr>
              <w:rStyle w:val="41"/>
              <w:b w:val="0"/>
            </w:rPr>
            <w:t>检验</w:t>
          </w:r>
          <w:r>
            <w:rPr>
              <w:b w:val="0"/>
            </w:rPr>
            <w:tab/>
          </w:r>
          <w:r>
            <w:rPr>
              <w:b w:val="0"/>
            </w:rPr>
            <w:fldChar w:fldCharType="begin"/>
          </w:r>
          <w:r>
            <w:rPr>
              <w:b w:val="0"/>
            </w:rPr>
            <w:instrText xml:space="preserve"> PAGEREF _Toc174556793 \h </w:instrText>
          </w:r>
          <w:r>
            <w:rPr>
              <w:b w:val="0"/>
            </w:rPr>
            <w:fldChar w:fldCharType="separate"/>
          </w:r>
          <w:r>
            <w:rPr>
              <w:b w:val="0"/>
            </w:rPr>
            <w:t>38</w:t>
          </w:r>
          <w:r>
            <w:rPr>
              <w:b w:val="0"/>
            </w:rPr>
            <w:fldChar w:fldCharType="end"/>
          </w:r>
          <w:r>
            <w:rPr>
              <w:b w:val="0"/>
            </w:rPr>
            <w:fldChar w:fldCharType="end"/>
          </w:r>
        </w:p>
        <w:p w14:paraId="2EF0F5BB">
          <w:pPr>
            <w:pStyle w:val="29"/>
            <w:rPr>
              <w:rFonts w:asciiTheme="minorHAnsi" w:hAnsiTheme="minorHAnsi" w:eastAsiaTheme="minorEastAsia" w:cstheme="minorBidi"/>
              <w:b w:val="0"/>
              <w:kern w:val="2"/>
              <w:sz w:val="21"/>
            </w:rPr>
          </w:pPr>
          <w:r>
            <w:fldChar w:fldCharType="begin"/>
          </w:r>
          <w:r>
            <w:instrText xml:space="preserve"> HYPERLINK \l "_Toc174556794" </w:instrText>
          </w:r>
          <w:r>
            <w:fldChar w:fldCharType="separate"/>
          </w:r>
          <w:r>
            <w:rPr>
              <w:rStyle w:val="41"/>
              <w:b w:val="0"/>
            </w:rPr>
            <w:t>4.15</w:t>
          </w:r>
          <w:r>
            <w:rPr>
              <w:rFonts w:asciiTheme="minorHAnsi" w:hAnsiTheme="minorHAnsi" w:eastAsiaTheme="minorEastAsia" w:cstheme="minorBidi"/>
              <w:b w:val="0"/>
              <w:kern w:val="2"/>
              <w:sz w:val="21"/>
            </w:rPr>
            <w:tab/>
          </w:r>
          <w:r>
            <w:rPr>
              <w:rStyle w:val="41"/>
              <w:b w:val="0"/>
            </w:rPr>
            <w:t>标志、包装、运输、储存</w:t>
          </w:r>
          <w:r>
            <w:rPr>
              <w:b w:val="0"/>
            </w:rPr>
            <w:tab/>
          </w:r>
          <w:r>
            <w:rPr>
              <w:b w:val="0"/>
            </w:rPr>
            <w:fldChar w:fldCharType="begin"/>
          </w:r>
          <w:r>
            <w:rPr>
              <w:b w:val="0"/>
            </w:rPr>
            <w:instrText xml:space="preserve"> PAGEREF _Toc174556794 \h </w:instrText>
          </w:r>
          <w:r>
            <w:rPr>
              <w:b w:val="0"/>
            </w:rPr>
            <w:fldChar w:fldCharType="separate"/>
          </w:r>
          <w:r>
            <w:rPr>
              <w:b w:val="0"/>
            </w:rPr>
            <w:t>39</w:t>
          </w:r>
          <w:r>
            <w:rPr>
              <w:b w:val="0"/>
            </w:rPr>
            <w:fldChar w:fldCharType="end"/>
          </w:r>
          <w:r>
            <w:rPr>
              <w:b w:val="0"/>
            </w:rPr>
            <w:fldChar w:fldCharType="end"/>
          </w:r>
        </w:p>
        <w:p w14:paraId="1CE20FCA">
          <w:pPr>
            <w:pStyle w:val="29"/>
            <w:rPr>
              <w:rFonts w:asciiTheme="minorHAnsi" w:hAnsiTheme="minorHAnsi" w:eastAsiaTheme="minorEastAsia" w:cstheme="minorBidi"/>
              <w:b w:val="0"/>
              <w:kern w:val="2"/>
              <w:sz w:val="21"/>
            </w:rPr>
          </w:pPr>
          <w:r>
            <w:fldChar w:fldCharType="begin"/>
          </w:r>
          <w:r>
            <w:instrText xml:space="preserve"> HYPERLINK \l "_Toc174556795" </w:instrText>
          </w:r>
          <w:r>
            <w:fldChar w:fldCharType="separate"/>
          </w:r>
          <w:r>
            <w:rPr>
              <w:rStyle w:val="41"/>
              <w:b w:val="0"/>
            </w:rPr>
            <w:t>4.16</w:t>
          </w:r>
          <w:r>
            <w:rPr>
              <w:rFonts w:asciiTheme="minorHAnsi" w:hAnsiTheme="minorHAnsi" w:eastAsiaTheme="minorEastAsia" w:cstheme="minorBidi"/>
              <w:b w:val="0"/>
              <w:kern w:val="2"/>
              <w:sz w:val="21"/>
            </w:rPr>
            <w:tab/>
          </w:r>
          <w:r>
            <w:rPr>
              <w:rStyle w:val="41"/>
              <w:b w:val="0"/>
            </w:rPr>
            <w:t>保修要求：</w:t>
          </w:r>
          <w:r>
            <w:rPr>
              <w:b w:val="0"/>
            </w:rPr>
            <w:tab/>
          </w:r>
          <w:r>
            <w:rPr>
              <w:b w:val="0"/>
            </w:rPr>
            <w:fldChar w:fldCharType="begin"/>
          </w:r>
          <w:r>
            <w:rPr>
              <w:b w:val="0"/>
            </w:rPr>
            <w:instrText xml:space="preserve"> PAGEREF _Toc174556795 \h </w:instrText>
          </w:r>
          <w:r>
            <w:rPr>
              <w:b w:val="0"/>
            </w:rPr>
            <w:fldChar w:fldCharType="separate"/>
          </w:r>
          <w:r>
            <w:rPr>
              <w:b w:val="0"/>
            </w:rPr>
            <w:t>39</w:t>
          </w:r>
          <w:r>
            <w:rPr>
              <w:b w:val="0"/>
            </w:rPr>
            <w:fldChar w:fldCharType="end"/>
          </w:r>
          <w:r>
            <w:rPr>
              <w:b w:val="0"/>
            </w:rPr>
            <w:fldChar w:fldCharType="end"/>
          </w:r>
        </w:p>
        <w:p w14:paraId="1F08456B">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"_Toc174556796" </w:instrText>
          </w:r>
          <w:r>
            <w:fldChar w:fldCharType="separate"/>
          </w:r>
          <w:r>
            <w:rPr>
              <w:rStyle w:val="41"/>
            </w:rPr>
            <w:t>第5篇</w:t>
          </w:r>
          <w:r>
            <w:rPr>
              <w:rFonts w:asciiTheme="minorHAnsi" w:hAnsiTheme="minorHAnsi" w:eastAsiaTheme="minorEastAsia" w:cstheme="minorBidi"/>
              <w:kern w:val="2"/>
              <w:sz w:val="21"/>
            </w:rPr>
            <w:tab/>
          </w:r>
          <w:r>
            <w:rPr>
              <w:rStyle w:val="41"/>
            </w:rPr>
            <w:t>栏杆</w:t>
          </w:r>
          <w:r>
            <w:tab/>
          </w:r>
          <w:r>
            <w:fldChar w:fldCharType="begin"/>
          </w:r>
          <w:r>
            <w:instrText xml:space="preserve"> PAGEREF _Toc174556796 \h </w:instrText>
          </w:r>
          <w:r>
            <w:fldChar w:fldCharType="separate"/>
          </w:r>
          <w:r>
            <w:t>40</w:t>
          </w:r>
          <w:r>
            <w:fldChar w:fldCharType="end"/>
          </w:r>
          <w:r>
            <w:fldChar w:fldCharType="end"/>
          </w:r>
        </w:p>
        <w:p w14:paraId="241764D0">
          <w:pPr>
            <w:pStyle w:val="29"/>
            <w:rPr>
              <w:rFonts w:asciiTheme="minorHAnsi" w:hAnsiTheme="minorHAnsi" w:eastAsiaTheme="minorEastAsia" w:cstheme="minorBidi"/>
              <w:b w:val="0"/>
              <w:kern w:val="2"/>
              <w:sz w:val="21"/>
            </w:rPr>
          </w:pPr>
          <w:r>
            <w:fldChar w:fldCharType="begin"/>
          </w:r>
          <w:r>
            <w:instrText xml:space="preserve"> HYPERLINK \l "_Toc174556797" </w:instrText>
          </w:r>
          <w:r>
            <w:fldChar w:fldCharType="separate"/>
          </w:r>
          <w:r>
            <w:rPr>
              <w:rStyle w:val="41"/>
              <w:b w:val="0"/>
            </w:rPr>
            <w:t>5.1</w:t>
          </w:r>
          <w:r>
            <w:rPr>
              <w:rFonts w:asciiTheme="minorHAnsi" w:hAnsiTheme="minorHAnsi" w:eastAsiaTheme="minorEastAsia" w:cstheme="minorBidi"/>
              <w:b w:val="0"/>
              <w:kern w:val="2"/>
              <w:sz w:val="21"/>
            </w:rPr>
            <w:tab/>
          </w:r>
          <w:r>
            <w:rPr>
              <w:rStyle w:val="41"/>
              <w:b w:val="0"/>
            </w:rPr>
            <w:t>不锈钢栏杆</w:t>
          </w:r>
          <w:r>
            <w:rPr>
              <w:b w:val="0"/>
            </w:rPr>
            <w:tab/>
          </w:r>
          <w:r>
            <w:rPr>
              <w:b w:val="0"/>
            </w:rPr>
            <w:fldChar w:fldCharType="begin"/>
          </w:r>
          <w:r>
            <w:rPr>
              <w:b w:val="0"/>
            </w:rPr>
            <w:instrText xml:space="preserve"> PAGEREF _Toc174556797 \h </w:instrText>
          </w:r>
          <w:r>
            <w:rPr>
              <w:b w:val="0"/>
            </w:rPr>
            <w:fldChar w:fldCharType="separate"/>
          </w:r>
          <w:r>
            <w:rPr>
              <w:b w:val="0"/>
            </w:rPr>
            <w:t>40</w:t>
          </w:r>
          <w:r>
            <w:rPr>
              <w:b w:val="0"/>
            </w:rPr>
            <w:fldChar w:fldCharType="end"/>
          </w:r>
          <w:r>
            <w:rPr>
              <w:b w:val="0"/>
            </w:rPr>
            <w:fldChar w:fldCharType="end"/>
          </w:r>
        </w:p>
        <w:p w14:paraId="65361CCB">
          <w:pPr>
            <w:pStyle w:val="29"/>
            <w:rPr>
              <w:rFonts w:asciiTheme="minorHAnsi" w:hAnsiTheme="minorHAnsi" w:eastAsiaTheme="minorEastAsia" w:cstheme="minorBidi"/>
              <w:b w:val="0"/>
              <w:kern w:val="2"/>
              <w:sz w:val="21"/>
            </w:rPr>
          </w:pPr>
          <w:r>
            <w:fldChar w:fldCharType="begin"/>
          </w:r>
          <w:r>
            <w:instrText xml:space="preserve"> HYPERLINK \l "_Toc174556798" </w:instrText>
          </w:r>
          <w:r>
            <w:fldChar w:fldCharType="separate"/>
          </w:r>
          <w:r>
            <w:rPr>
              <w:rStyle w:val="41"/>
              <w:b w:val="0"/>
            </w:rPr>
            <w:t>5.2</w:t>
          </w:r>
          <w:r>
            <w:rPr>
              <w:rFonts w:asciiTheme="minorHAnsi" w:hAnsiTheme="minorHAnsi" w:eastAsiaTheme="minorEastAsia" w:cstheme="minorBidi"/>
              <w:b w:val="0"/>
              <w:kern w:val="2"/>
              <w:sz w:val="21"/>
            </w:rPr>
            <w:tab/>
          </w:r>
          <w:r>
            <w:rPr>
              <w:rStyle w:val="41"/>
              <w:b w:val="0"/>
            </w:rPr>
            <w:t>栏杆和围栏大门设计及选用标准</w:t>
          </w:r>
          <w:r>
            <w:rPr>
              <w:b w:val="0"/>
            </w:rPr>
            <w:tab/>
          </w:r>
          <w:r>
            <w:rPr>
              <w:b w:val="0"/>
            </w:rPr>
            <w:fldChar w:fldCharType="begin"/>
          </w:r>
          <w:r>
            <w:rPr>
              <w:b w:val="0"/>
            </w:rPr>
            <w:instrText xml:space="preserve"> PAGEREF _Toc174556798 \h </w:instrText>
          </w:r>
          <w:r>
            <w:rPr>
              <w:b w:val="0"/>
            </w:rPr>
            <w:fldChar w:fldCharType="separate"/>
          </w:r>
          <w:r>
            <w:rPr>
              <w:b w:val="0"/>
            </w:rPr>
            <w:t>41</w:t>
          </w:r>
          <w:r>
            <w:rPr>
              <w:b w:val="0"/>
            </w:rPr>
            <w:fldChar w:fldCharType="end"/>
          </w:r>
          <w:r>
            <w:rPr>
              <w:b w:val="0"/>
            </w:rPr>
            <w:fldChar w:fldCharType="end"/>
          </w:r>
        </w:p>
        <w:p w14:paraId="46C251F1">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"_Toc174556799" </w:instrText>
          </w:r>
          <w:r>
            <w:fldChar w:fldCharType="separate"/>
          </w:r>
          <w:r>
            <w:rPr>
              <w:rStyle w:val="41"/>
            </w:rPr>
            <w:t>第6篇</w:t>
          </w:r>
          <w:r>
            <w:rPr>
              <w:rFonts w:asciiTheme="minorHAnsi" w:hAnsiTheme="minorHAnsi" w:eastAsiaTheme="minorEastAsia" w:cstheme="minorBidi"/>
              <w:kern w:val="2"/>
              <w:sz w:val="21"/>
            </w:rPr>
            <w:tab/>
          </w:r>
          <w:r>
            <w:rPr>
              <w:rStyle w:val="41"/>
            </w:rPr>
            <w:t>保温/隔热</w:t>
          </w:r>
          <w:r>
            <w:tab/>
          </w:r>
          <w:r>
            <w:fldChar w:fldCharType="begin"/>
          </w:r>
          <w:r>
            <w:instrText xml:space="preserve"> PAGEREF _Toc174556799 \h </w:instrText>
          </w:r>
          <w:r>
            <w:fldChar w:fldCharType="separate"/>
          </w:r>
          <w:r>
            <w:t>46</w:t>
          </w:r>
          <w:r>
            <w:fldChar w:fldCharType="end"/>
          </w:r>
          <w:r>
            <w:fldChar w:fldCharType="end"/>
          </w:r>
        </w:p>
        <w:p w14:paraId="7EF21B5B">
          <w:pPr>
            <w:pStyle w:val="29"/>
            <w:rPr>
              <w:rFonts w:asciiTheme="minorHAnsi" w:hAnsiTheme="minorHAnsi" w:eastAsiaTheme="minorEastAsia" w:cstheme="minorBidi"/>
              <w:b w:val="0"/>
              <w:kern w:val="2"/>
              <w:sz w:val="21"/>
            </w:rPr>
          </w:pPr>
          <w:r>
            <w:fldChar w:fldCharType="begin"/>
          </w:r>
          <w:r>
            <w:instrText xml:space="preserve"> HYPERLINK \l "_Toc174556800" </w:instrText>
          </w:r>
          <w:r>
            <w:fldChar w:fldCharType="separate"/>
          </w:r>
          <w:r>
            <w:rPr>
              <w:rStyle w:val="41"/>
              <w:b w:val="0"/>
            </w:rPr>
            <w:t>6.1</w:t>
          </w:r>
          <w:r>
            <w:rPr>
              <w:rFonts w:asciiTheme="minorHAnsi" w:hAnsiTheme="minorHAnsi" w:eastAsiaTheme="minorEastAsia" w:cstheme="minorBidi"/>
              <w:b w:val="0"/>
              <w:kern w:val="2"/>
              <w:sz w:val="21"/>
            </w:rPr>
            <w:tab/>
          </w:r>
          <w:r>
            <w:rPr>
              <w:rStyle w:val="41"/>
              <w:b w:val="0"/>
            </w:rPr>
            <w:t>规范规程</w:t>
          </w:r>
          <w:r>
            <w:rPr>
              <w:b w:val="0"/>
            </w:rPr>
            <w:tab/>
          </w:r>
          <w:r>
            <w:rPr>
              <w:b w:val="0"/>
            </w:rPr>
            <w:fldChar w:fldCharType="begin"/>
          </w:r>
          <w:r>
            <w:rPr>
              <w:b w:val="0"/>
            </w:rPr>
            <w:instrText xml:space="preserve"> PAGEREF _Toc174556800 \h </w:instrText>
          </w:r>
          <w:r>
            <w:rPr>
              <w:b w:val="0"/>
            </w:rPr>
            <w:fldChar w:fldCharType="separate"/>
          </w:r>
          <w:r>
            <w:rPr>
              <w:b w:val="0"/>
            </w:rPr>
            <w:t>46</w:t>
          </w:r>
          <w:r>
            <w:rPr>
              <w:b w:val="0"/>
            </w:rPr>
            <w:fldChar w:fldCharType="end"/>
          </w:r>
          <w:r>
            <w:rPr>
              <w:b w:val="0"/>
            </w:rPr>
            <w:fldChar w:fldCharType="end"/>
          </w:r>
        </w:p>
        <w:p w14:paraId="339F45B5">
          <w:pPr>
            <w:pStyle w:val="29"/>
            <w:rPr>
              <w:rFonts w:asciiTheme="minorHAnsi" w:hAnsiTheme="minorHAnsi" w:eastAsiaTheme="minorEastAsia" w:cstheme="minorBidi"/>
              <w:b w:val="0"/>
              <w:kern w:val="2"/>
              <w:sz w:val="21"/>
            </w:rPr>
          </w:pPr>
          <w:r>
            <w:fldChar w:fldCharType="begin"/>
          </w:r>
          <w:r>
            <w:instrText xml:space="preserve"> HYPERLINK \l "_Toc174556801" </w:instrText>
          </w:r>
          <w:r>
            <w:fldChar w:fldCharType="separate"/>
          </w:r>
          <w:r>
            <w:rPr>
              <w:rStyle w:val="41"/>
              <w:b w:val="0"/>
            </w:rPr>
            <w:t>6.2</w:t>
          </w:r>
          <w:r>
            <w:rPr>
              <w:rFonts w:asciiTheme="minorHAnsi" w:hAnsiTheme="minorHAnsi" w:eastAsiaTheme="minorEastAsia" w:cstheme="minorBidi"/>
              <w:b w:val="0"/>
              <w:kern w:val="2"/>
              <w:sz w:val="21"/>
            </w:rPr>
            <w:tab/>
          </w:r>
          <w:r>
            <w:rPr>
              <w:rStyle w:val="41"/>
              <w:b w:val="0"/>
            </w:rPr>
            <w:t>绝热用挤塑聚苯板</w:t>
          </w:r>
          <w:r>
            <w:rPr>
              <w:b w:val="0"/>
            </w:rPr>
            <w:tab/>
          </w:r>
          <w:r>
            <w:rPr>
              <w:b w:val="0"/>
            </w:rPr>
            <w:fldChar w:fldCharType="begin"/>
          </w:r>
          <w:r>
            <w:rPr>
              <w:b w:val="0"/>
            </w:rPr>
            <w:instrText xml:space="preserve"> PAGEREF _Toc174556801 \h </w:instrText>
          </w:r>
          <w:r>
            <w:rPr>
              <w:b w:val="0"/>
            </w:rPr>
            <w:fldChar w:fldCharType="separate"/>
          </w:r>
          <w:r>
            <w:rPr>
              <w:b w:val="0"/>
            </w:rPr>
            <w:t>46</w:t>
          </w:r>
          <w:r>
            <w:rPr>
              <w:b w:val="0"/>
            </w:rPr>
            <w:fldChar w:fldCharType="end"/>
          </w:r>
          <w:r>
            <w:rPr>
              <w:b w:val="0"/>
            </w:rPr>
            <w:fldChar w:fldCharType="end"/>
          </w:r>
        </w:p>
        <w:p w14:paraId="5DC79882">
          <w:pPr>
            <w:pStyle w:val="29"/>
            <w:rPr>
              <w:rFonts w:asciiTheme="minorHAnsi" w:hAnsiTheme="minorHAnsi" w:eastAsiaTheme="minorEastAsia" w:cstheme="minorBidi"/>
              <w:b w:val="0"/>
              <w:kern w:val="2"/>
              <w:sz w:val="21"/>
            </w:rPr>
          </w:pPr>
          <w:r>
            <w:fldChar w:fldCharType="begin"/>
          </w:r>
          <w:r>
            <w:instrText xml:space="preserve"> HYPERLINK \l "_Toc174556802" </w:instrText>
          </w:r>
          <w:r>
            <w:fldChar w:fldCharType="separate"/>
          </w:r>
          <w:r>
            <w:rPr>
              <w:rStyle w:val="41"/>
              <w:b w:val="0"/>
            </w:rPr>
            <w:t>6.3</w:t>
          </w:r>
          <w:r>
            <w:rPr>
              <w:rFonts w:asciiTheme="minorHAnsi" w:hAnsiTheme="minorHAnsi" w:eastAsiaTheme="minorEastAsia" w:cstheme="minorBidi"/>
              <w:b w:val="0"/>
              <w:kern w:val="2"/>
              <w:sz w:val="21"/>
            </w:rPr>
            <w:tab/>
          </w:r>
          <w:r>
            <w:rPr>
              <w:rStyle w:val="41"/>
              <w:b w:val="0"/>
            </w:rPr>
            <w:t>建筑用岩棉板</w:t>
          </w:r>
          <w:r>
            <w:rPr>
              <w:b w:val="0"/>
            </w:rPr>
            <w:tab/>
          </w:r>
          <w:r>
            <w:rPr>
              <w:b w:val="0"/>
            </w:rPr>
            <w:fldChar w:fldCharType="begin"/>
          </w:r>
          <w:r>
            <w:rPr>
              <w:b w:val="0"/>
            </w:rPr>
            <w:instrText xml:space="preserve"> PAGEREF _Toc174556802 \h </w:instrText>
          </w:r>
          <w:r>
            <w:rPr>
              <w:b w:val="0"/>
            </w:rPr>
            <w:fldChar w:fldCharType="separate"/>
          </w:r>
          <w:r>
            <w:rPr>
              <w:b w:val="0"/>
            </w:rPr>
            <w:t>48</w:t>
          </w:r>
          <w:r>
            <w:rPr>
              <w:b w:val="0"/>
            </w:rPr>
            <w:fldChar w:fldCharType="end"/>
          </w:r>
          <w:r>
            <w:rPr>
              <w:b w:val="0"/>
            </w:rPr>
            <w:fldChar w:fldCharType="end"/>
          </w:r>
        </w:p>
        <w:p w14:paraId="5626860E">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"_Toc174556803" </w:instrText>
          </w:r>
          <w:r>
            <w:fldChar w:fldCharType="separate"/>
          </w:r>
          <w:r>
            <w:rPr>
              <w:rStyle w:val="41"/>
            </w:rPr>
            <w:t>第7篇</w:t>
          </w:r>
          <w:r>
            <w:rPr>
              <w:rFonts w:asciiTheme="minorHAnsi" w:hAnsiTheme="minorHAnsi" w:eastAsiaTheme="minorEastAsia" w:cstheme="minorBidi"/>
              <w:kern w:val="2"/>
              <w:sz w:val="21"/>
            </w:rPr>
            <w:tab/>
          </w:r>
          <w:r>
            <w:rPr>
              <w:rStyle w:val="41"/>
            </w:rPr>
            <w:t>墙面抹灰</w:t>
          </w:r>
          <w:r>
            <w:tab/>
          </w:r>
          <w:r>
            <w:fldChar w:fldCharType="begin"/>
          </w:r>
          <w:r>
            <w:instrText xml:space="preserve"> PAGEREF _Toc174556803 \h </w:instrText>
          </w:r>
          <w:r>
            <w:fldChar w:fldCharType="separate"/>
          </w:r>
          <w:r>
            <w:t>51</w:t>
          </w:r>
          <w:r>
            <w:fldChar w:fldCharType="end"/>
          </w:r>
          <w:r>
            <w:fldChar w:fldCharType="end"/>
          </w:r>
        </w:p>
        <w:p w14:paraId="60997879">
          <w:pPr>
            <w:pStyle w:val="29"/>
            <w:rPr>
              <w:rFonts w:asciiTheme="minorHAnsi" w:hAnsiTheme="minorHAnsi" w:eastAsiaTheme="minorEastAsia" w:cstheme="minorBidi"/>
              <w:b w:val="0"/>
              <w:kern w:val="2"/>
              <w:sz w:val="21"/>
            </w:rPr>
          </w:pPr>
          <w:r>
            <w:fldChar w:fldCharType="begin"/>
          </w:r>
          <w:r>
            <w:instrText xml:space="preserve"> HYPERLINK \l "_Toc174556804" </w:instrText>
          </w:r>
          <w:r>
            <w:fldChar w:fldCharType="separate"/>
          </w:r>
          <w:r>
            <w:rPr>
              <w:rStyle w:val="41"/>
              <w:b w:val="0"/>
            </w:rPr>
            <w:t>7.1</w:t>
          </w:r>
          <w:r>
            <w:rPr>
              <w:rFonts w:asciiTheme="minorHAnsi" w:hAnsiTheme="minorHAnsi" w:eastAsiaTheme="minorEastAsia" w:cstheme="minorBidi"/>
              <w:b w:val="0"/>
              <w:kern w:val="2"/>
              <w:sz w:val="21"/>
            </w:rPr>
            <w:tab/>
          </w:r>
          <w:r>
            <w:rPr>
              <w:rStyle w:val="41"/>
              <w:b w:val="0"/>
            </w:rPr>
            <w:t>概述</w:t>
          </w:r>
          <w:r>
            <w:rPr>
              <w:b w:val="0"/>
            </w:rPr>
            <w:tab/>
          </w:r>
          <w:r>
            <w:rPr>
              <w:b w:val="0"/>
            </w:rPr>
            <w:fldChar w:fldCharType="begin"/>
          </w:r>
          <w:r>
            <w:rPr>
              <w:b w:val="0"/>
            </w:rPr>
            <w:instrText xml:space="preserve"> PAGEREF _Toc174556804 \h </w:instrText>
          </w:r>
          <w:r>
            <w:rPr>
              <w:b w:val="0"/>
            </w:rPr>
            <w:fldChar w:fldCharType="separate"/>
          </w:r>
          <w:r>
            <w:rPr>
              <w:b w:val="0"/>
            </w:rPr>
            <w:t>51</w:t>
          </w:r>
          <w:r>
            <w:rPr>
              <w:b w:val="0"/>
            </w:rPr>
            <w:fldChar w:fldCharType="end"/>
          </w:r>
          <w:r>
            <w:rPr>
              <w:b w:val="0"/>
            </w:rPr>
            <w:fldChar w:fldCharType="end"/>
          </w:r>
        </w:p>
        <w:p w14:paraId="146969A0">
          <w:pPr>
            <w:pStyle w:val="29"/>
            <w:rPr>
              <w:rFonts w:asciiTheme="minorHAnsi" w:hAnsiTheme="minorHAnsi" w:eastAsiaTheme="minorEastAsia" w:cstheme="minorBidi"/>
              <w:b w:val="0"/>
              <w:kern w:val="2"/>
              <w:sz w:val="21"/>
            </w:rPr>
          </w:pPr>
          <w:r>
            <w:fldChar w:fldCharType="begin"/>
          </w:r>
          <w:r>
            <w:instrText xml:space="preserve"> HYPERLINK \l "_Toc174556805" </w:instrText>
          </w:r>
          <w:r>
            <w:fldChar w:fldCharType="separate"/>
          </w:r>
          <w:r>
            <w:rPr>
              <w:rStyle w:val="41"/>
              <w:b w:val="0"/>
            </w:rPr>
            <w:t>7.2</w:t>
          </w:r>
          <w:r>
            <w:rPr>
              <w:rFonts w:asciiTheme="minorHAnsi" w:hAnsiTheme="minorHAnsi" w:eastAsiaTheme="minorEastAsia" w:cstheme="minorBidi"/>
              <w:b w:val="0"/>
              <w:kern w:val="2"/>
              <w:sz w:val="21"/>
            </w:rPr>
            <w:tab/>
          </w:r>
          <w:r>
            <w:rPr>
              <w:rStyle w:val="41"/>
              <w:b w:val="0"/>
            </w:rPr>
            <w:t>技术要求</w:t>
          </w:r>
          <w:r>
            <w:rPr>
              <w:b w:val="0"/>
            </w:rPr>
            <w:tab/>
          </w:r>
          <w:r>
            <w:rPr>
              <w:b w:val="0"/>
            </w:rPr>
            <w:fldChar w:fldCharType="begin"/>
          </w:r>
          <w:r>
            <w:rPr>
              <w:b w:val="0"/>
            </w:rPr>
            <w:instrText xml:space="preserve"> PAGEREF _Toc174556805 \h </w:instrText>
          </w:r>
          <w:r>
            <w:rPr>
              <w:b w:val="0"/>
            </w:rPr>
            <w:fldChar w:fldCharType="separate"/>
          </w:r>
          <w:r>
            <w:rPr>
              <w:b w:val="0"/>
            </w:rPr>
            <w:t>51</w:t>
          </w:r>
          <w:r>
            <w:rPr>
              <w:b w:val="0"/>
            </w:rPr>
            <w:fldChar w:fldCharType="end"/>
          </w:r>
          <w:r>
            <w:rPr>
              <w:b w:val="0"/>
            </w:rPr>
            <w:fldChar w:fldCharType="end"/>
          </w:r>
        </w:p>
        <w:p w14:paraId="454C304B">
          <w:pPr>
            <w:pStyle w:val="29"/>
            <w:rPr>
              <w:rFonts w:asciiTheme="minorHAnsi" w:hAnsiTheme="minorHAnsi" w:eastAsiaTheme="minorEastAsia" w:cstheme="minorBidi"/>
              <w:b w:val="0"/>
              <w:kern w:val="2"/>
              <w:sz w:val="21"/>
            </w:rPr>
          </w:pPr>
          <w:r>
            <w:fldChar w:fldCharType="begin"/>
          </w:r>
          <w:r>
            <w:instrText xml:space="preserve"> HYPERLINK \l "_Toc174556806" </w:instrText>
          </w:r>
          <w:r>
            <w:fldChar w:fldCharType="separate"/>
          </w:r>
          <w:r>
            <w:rPr>
              <w:rStyle w:val="41"/>
              <w:b w:val="0"/>
            </w:rPr>
            <w:t>7.3</w:t>
          </w:r>
          <w:r>
            <w:rPr>
              <w:rFonts w:asciiTheme="minorHAnsi" w:hAnsiTheme="minorHAnsi" w:eastAsiaTheme="minorEastAsia" w:cstheme="minorBidi"/>
              <w:b w:val="0"/>
              <w:kern w:val="2"/>
              <w:sz w:val="21"/>
            </w:rPr>
            <w:tab/>
          </w:r>
          <w:r>
            <w:rPr>
              <w:rStyle w:val="41"/>
              <w:b w:val="0"/>
            </w:rPr>
            <w:t>抹灰砂浆及辅助材料</w:t>
          </w:r>
          <w:r>
            <w:rPr>
              <w:b w:val="0"/>
            </w:rPr>
            <w:tab/>
          </w:r>
          <w:r>
            <w:rPr>
              <w:b w:val="0"/>
            </w:rPr>
            <w:fldChar w:fldCharType="begin"/>
          </w:r>
          <w:r>
            <w:rPr>
              <w:b w:val="0"/>
            </w:rPr>
            <w:instrText xml:space="preserve"> PAGEREF _Toc174556806 \h </w:instrText>
          </w:r>
          <w:r>
            <w:rPr>
              <w:b w:val="0"/>
            </w:rPr>
            <w:fldChar w:fldCharType="separate"/>
          </w:r>
          <w:r>
            <w:rPr>
              <w:b w:val="0"/>
            </w:rPr>
            <w:t>52</w:t>
          </w:r>
          <w:r>
            <w:rPr>
              <w:b w:val="0"/>
            </w:rPr>
            <w:fldChar w:fldCharType="end"/>
          </w:r>
          <w:r>
            <w:rPr>
              <w:b w:val="0"/>
            </w:rPr>
            <w:fldChar w:fldCharType="end"/>
          </w:r>
        </w:p>
        <w:p w14:paraId="17A16691">
          <w:pPr>
            <w:pStyle w:val="29"/>
            <w:rPr>
              <w:rFonts w:asciiTheme="minorHAnsi" w:hAnsiTheme="minorHAnsi" w:eastAsiaTheme="minorEastAsia" w:cstheme="minorBidi"/>
              <w:b w:val="0"/>
              <w:kern w:val="2"/>
              <w:sz w:val="21"/>
            </w:rPr>
          </w:pPr>
          <w:r>
            <w:fldChar w:fldCharType="begin"/>
          </w:r>
          <w:r>
            <w:instrText xml:space="preserve"> HYPERLINK \l "_Toc174556807" </w:instrText>
          </w:r>
          <w:r>
            <w:fldChar w:fldCharType="separate"/>
          </w:r>
          <w:r>
            <w:rPr>
              <w:rStyle w:val="41"/>
              <w:b w:val="0"/>
            </w:rPr>
            <w:t>7.4</w:t>
          </w:r>
          <w:r>
            <w:rPr>
              <w:rFonts w:asciiTheme="minorHAnsi" w:hAnsiTheme="minorHAnsi" w:eastAsiaTheme="minorEastAsia" w:cstheme="minorBidi"/>
              <w:b w:val="0"/>
              <w:kern w:val="2"/>
              <w:sz w:val="21"/>
            </w:rPr>
            <w:tab/>
          </w:r>
          <w:r>
            <w:rPr>
              <w:rStyle w:val="41"/>
              <w:b w:val="0"/>
            </w:rPr>
            <w:t>施工及验收</w:t>
          </w:r>
          <w:r>
            <w:rPr>
              <w:b w:val="0"/>
            </w:rPr>
            <w:tab/>
          </w:r>
          <w:r>
            <w:rPr>
              <w:b w:val="0"/>
            </w:rPr>
            <w:fldChar w:fldCharType="begin"/>
          </w:r>
          <w:r>
            <w:rPr>
              <w:b w:val="0"/>
            </w:rPr>
            <w:instrText xml:space="preserve"> PAGEREF _Toc174556807 \h </w:instrText>
          </w:r>
          <w:r>
            <w:rPr>
              <w:b w:val="0"/>
            </w:rPr>
            <w:fldChar w:fldCharType="separate"/>
          </w:r>
          <w:r>
            <w:rPr>
              <w:b w:val="0"/>
            </w:rPr>
            <w:t>53</w:t>
          </w:r>
          <w:r>
            <w:rPr>
              <w:b w:val="0"/>
            </w:rPr>
            <w:fldChar w:fldCharType="end"/>
          </w:r>
          <w:r>
            <w:rPr>
              <w:b w:val="0"/>
            </w:rPr>
            <w:fldChar w:fldCharType="end"/>
          </w:r>
        </w:p>
        <w:p w14:paraId="1FFC9AD5">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"_Toc174556808" </w:instrText>
          </w:r>
          <w:r>
            <w:fldChar w:fldCharType="separate"/>
          </w:r>
          <w:r>
            <w:rPr>
              <w:rStyle w:val="41"/>
            </w:rPr>
            <w:t>第8篇</w:t>
          </w:r>
          <w:r>
            <w:rPr>
              <w:rFonts w:asciiTheme="minorHAnsi" w:hAnsiTheme="minorHAnsi" w:eastAsiaTheme="minorEastAsia" w:cstheme="minorBidi"/>
              <w:kern w:val="2"/>
              <w:sz w:val="21"/>
            </w:rPr>
            <w:tab/>
          </w:r>
          <w:r>
            <w:rPr>
              <w:rStyle w:val="41"/>
            </w:rPr>
            <w:t>防水/防潮</w:t>
          </w:r>
          <w:r>
            <w:tab/>
          </w:r>
          <w:r>
            <w:fldChar w:fldCharType="begin"/>
          </w:r>
          <w:r>
            <w:instrText xml:space="preserve"> PAGEREF _Toc174556808 \h </w:instrText>
          </w:r>
          <w:r>
            <w:fldChar w:fldCharType="separate"/>
          </w:r>
          <w:r>
            <w:t>54</w:t>
          </w:r>
          <w:r>
            <w:fldChar w:fldCharType="end"/>
          </w:r>
          <w:r>
            <w:fldChar w:fldCharType="end"/>
          </w:r>
        </w:p>
        <w:p w14:paraId="6D41CDEE">
          <w:pPr>
            <w:pStyle w:val="29"/>
            <w:rPr>
              <w:rFonts w:asciiTheme="minorHAnsi" w:hAnsiTheme="minorHAnsi" w:eastAsiaTheme="minorEastAsia" w:cstheme="minorBidi"/>
              <w:b w:val="0"/>
              <w:kern w:val="2"/>
              <w:sz w:val="21"/>
            </w:rPr>
          </w:pPr>
          <w:r>
            <w:fldChar w:fldCharType="begin"/>
          </w:r>
          <w:r>
            <w:instrText xml:space="preserve"> HYPERLINK \l "_Toc174556809" </w:instrText>
          </w:r>
          <w:r>
            <w:fldChar w:fldCharType="separate"/>
          </w:r>
          <w:r>
            <w:rPr>
              <w:rStyle w:val="41"/>
              <w:b w:val="0"/>
            </w:rPr>
            <w:t>8.1</w:t>
          </w:r>
          <w:r>
            <w:rPr>
              <w:rFonts w:asciiTheme="minorHAnsi" w:hAnsiTheme="minorHAnsi" w:eastAsiaTheme="minorEastAsia" w:cstheme="minorBidi"/>
              <w:b w:val="0"/>
              <w:kern w:val="2"/>
              <w:sz w:val="21"/>
            </w:rPr>
            <w:tab/>
          </w:r>
          <w:r>
            <w:rPr>
              <w:rStyle w:val="41"/>
              <w:b w:val="0"/>
            </w:rPr>
            <w:t>编制依据</w:t>
          </w:r>
          <w:r>
            <w:rPr>
              <w:b w:val="0"/>
            </w:rPr>
            <w:tab/>
          </w:r>
          <w:r>
            <w:rPr>
              <w:b w:val="0"/>
            </w:rPr>
            <w:fldChar w:fldCharType="begin"/>
          </w:r>
          <w:r>
            <w:rPr>
              <w:b w:val="0"/>
            </w:rPr>
            <w:instrText xml:space="preserve"> PAGEREF _Toc174556809 \h </w:instrText>
          </w:r>
          <w:r>
            <w:rPr>
              <w:b w:val="0"/>
            </w:rPr>
            <w:fldChar w:fldCharType="separate"/>
          </w:r>
          <w:r>
            <w:rPr>
              <w:b w:val="0"/>
            </w:rPr>
            <w:t>54</w:t>
          </w:r>
          <w:r>
            <w:rPr>
              <w:b w:val="0"/>
            </w:rPr>
            <w:fldChar w:fldCharType="end"/>
          </w:r>
          <w:r>
            <w:rPr>
              <w:b w:val="0"/>
            </w:rPr>
            <w:fldChar w:fldCharType="end"/>
          </w:r>
        </w:p>
        <w:p w14:paraId="698F89CD">
          <w:pPr>
            <w:pStyle w:val="29"/>
            <w:rPr>
              <w:rFonts w:asciiTheme="minorHAnsi" w:hAnsiTheme="minorHAnsi" w:eastAsiaTheme="minorEastAsia" w:cstheme="minorBidi"/>
              <w:b w:val="0"/>
              <w:kern w:val="2"/>
              <w:sz w:val="21"/>
            </w:rPr>
          </w:pPr>
          <w:r>
            <w:fldChar w:fldCharType="begin"/>
          </w:r>
          <w:r>
            <w:instrText xml:space="preserve"> HYPERLINK \l "_Toc174556810" </w:instrText>
          </w:r>
          <w:r>
            <w:fldChar w:fldCharType="separate"/>
          </w:r>
          <w:r>
            <w:rPr>
              <w:rStyle w:val="41"/>
              <w:b w:val="0"/>
            </w:rPr>
            <w:t>8.2</w:t>
          </w:r>
          <w:r>
            <w:rPr>
              <w:rFonts w:asciiTheme="minorHAnsi" w:hAnsiTheme="minorHAnsi" w:eastAsiaTheme="minorEastAsia" w:cstheme="minorBidi"/>
              <w:b w:val="0"/>
              <w:kern w:val="2"/>
              <w:sz w:val="21"/>
            </w:rPr>
            <w:tab/>
          </w:r>
          <w:r>
            <w:rPr>
              <w:rStyle w:val="41"/>
              <w:b w:val="0"/>
            </w:rPr>
            <w:t>防水材料</w:t>
          </w:r>
          <w:r>
            <w:rPr>
              <w:b w:val="0"/>
            </w:rPr>
            <w:tab/>
          </w:r>
          <w:r>
            <w:rPr>
              <w:b w:val="0"/>
            </w:rPr>
            <w:fldChar w:fldCharType="begin"/>
          </w:r>
          <w:r>
            <w:rPr>
              <w:b w:val="0"/>
            </w:rPr>
            <w:instrText xml:space="preserve"> PAGEREF _Toc174556810 \h </w:instrText>
          </w:r>
          <w:r>
            <w:rPr>
              <w:b w:val="0"/>
            </w:rPr>
            <w:fldChar w:fldCharType="separate"/>
          </w:r>
          <w:r>
            <w:rPr>
              <w:b w:val="0"/>
            </w:rPr>
            <w:t>54</w:t>
          </w:r>
          <w:r>
            <w:rPr>
              <w:b w:val="0"/>
            </w:rPr>
            <w:fldChar w:fldCharType="end"/>
          </w:r>
          <w:r>
            <w:rPr>
              <w:b w:val="0"/>
            </w:rPr>
            <w:fldChar w:fldCharType="end"/>
          </w:r>
        </w:p>
        <w:p w14:paraId="193AEC09">
          <w:pPr>
            <w:pStyle w:val="29"/>
            <w:rPr>
              <w:rFonts w:asciiTheme="minorHAnsi" w:hAnsiTheme="minorHAnsi" w:eastAsiaTheme="minorEastAsia" w:cstheme="minorBidi"/>
              <w:b w:val="0"/>
              <w:kern w:val="2"/>
              <w:sz w:val="21"/>
            </w:rPr>
          </w:pPr>
          <w:r>
            <w:fldChar w:fldCharType="begin"/>
          </w:r>
          <w:r>
            <w:instrText xml:space="preserve"> HYPERLINK \l "_Toc174556811" </w:instrText>
          </w:r>
          <w:r>
            <w:fldChar w:fldCharType="separate"/>
          </w:r>
          <w:r>
            <w:rPr>
              <w:rStyle w:val="41"/>
              <w:b w:val="0"/>
            </w:rPr>
            <w:t>8.3</w:t>
          </w:r>
          <w:r>
            <w:rPr>
              <w:rFonts w:asciiTheme="minorHAnsi" w:hAnsiTheme="minorHAnsi" w:eastAsiaTheme="minorEastAsia" w:cstheme="minorBidi"/>
              <w:b w:val="0"/>
              <w:kern w:val="2"/>
              <w:sz w:val="21"/>
            </w:rPr>
            <w:tab/>
          </w:r>
          <w:r>
            <w:rPr>
              <w:rStyle w:val="41"/>
              <w:b w:val="0"/>
            </w:rPr>
            <w:t>地下室防水工程</w:t>
          </w:r>
          <w:r>
            <w:rPr>
              <w:b w:val="0"/>
            </w:rPr>
            <w:tab/>
          </w:r>
          <w:r>
            <w:rPr>
              <w:b w:val="0"/>
            </w:rPr>
            <w:fldChar w:fldCharType="begin"/>
          </w:r>
          <w:r>
            <w:rPr>
              <w:b w:val="0"/>
            </w:rPr>
            <w:instrText xml:space="preserve"> PAGEREF _Toc174556811 \h </w:instrText>
          </w:r>
          <w:r>
            <w:rPr>
              <w:b w:val="0"/>
            </w:rPr>
            <w:fldChar w:fldCharType="separate"/>
          </w:r>
          <w:r>
            <w:rPr>
              <w:b w:val="0"/>
            </w:rPr>
            <w:t>56</w:t>
          </w:r>
          <w:r>
            <w:rPr>
              <w:b w:val="0"/>
            </w:rPr>
            <w:fldChar w:fldCharType="end"/>
          </w:r>
          <w:r>
            <w:rPr>
              <w:b w:val="0"/>
            </w:rPr>
            <w:fldChar w:fldCharType="end"/>
          </w:r>
        </w:p>
        <w:p w14:paraId="034833A5">
          <w:pPr>
            <w:pStyle w:val="29"/>
            <w:rPr>
              <w:rFonts w:asciiTheme="minorHAnsi" w:hAnsiTheme="minorHAnsi" w:eastAsiaTheme="minorEastAsia" w:cstheme="minorBidi"/>
              <w:b w:val="0"/>
              <w:kern w:val="2"/>
              <w:sz w:val="21"/>
            </w:rPr>
          </w:pPr>
          <w:r>
            <w:fldChar w:fldCharType="begin"/>
          </w:r>
          <w:r>
            <w:instrText xml:space="preserve"> HYPERLINK \l "_Toc174556812" </w:instrText>
          </w:r>
          <w:r>
            <w:fldChar w:fldCharType="separate"/>
          </w:r>
          <w:r>
            <w:rPr>
              <w:rStyle w:val="41"/>
              <w:b w:val="0"/>
            </w:rPr>
            <w:t>8.4</w:t>
          </w:r>
          <w:r>
            <w:rPr>
              <w:rFonts w:asciiTheme="minorHAnsi" w:hAnsiTheme="minorHAnsi" w:eastAsiaTheme="minorEastAsia" w:cstheme="minorBidi"/>
              <w:b w:val="0"/>
              <w:kern w:val="2"/>
              <w:sz w:val="21"/>
            </w:rPr>
            <w:tab/>
          </w:r>
          <w:r>
            <w:rPr>
              <w:rStyle w:val="41"/>
              <w:b w:val="0"/>
            </w:rPr>
            <w:t>屋面防水工程</w:t>
          </w:r>
          <w:r>
            <w:rPr>
              <w:b w:val="0"/>
            </w:rPr>
            <w:tab/>
          </w:r>
          <w:r>
            <w:rPr>
              <w:b w:val="0"/>
            </w:rPr>
            <w:fldChar w:fldCharType="begin"/>
          </w:r>
          <w:r>
            <w:rPr>
              <w:b w:val="0"/>
            </w:rPr>
            <w:instrText xml:space="preserve"> PAGEREF _Toc174556812 \h </w:instrText>
          </w:r>
          <w:r>
            <w:rPr>
              <w:b w:val="0"/>
            </w:rPr>
            <w:fldChar w:fldCharType="separate"/>
          </w:r>
          <w:r>
            <w:rPr>
              <w:b w:val="0"/>
            </w:rPr>
            <w:t>63</w:t>
          </w:r>
          <w:r>
            <w:rPr>
              <w:b w:val="0"/>
            </w:rPr>
            <w:fldChar w:fldCharType="end"/>
          </w:r>
          <w:r>
            <w:rPr>
              <w:b w:val="0"/>
            </w:rPr>
            <w:fldChar w:fldCharType="end"/>
          </w:r>
        </w:p>
        <w:p w14:paraId="6E280CA5">
          <w:pPr>
            <w:pStyle w:val="29"/>
            <w:rPr>
              <w:rFonts w:asciiTheme="minorHAnsi" w:hAnsiTheme="minorHAnsi" w:eastAsiaTheme="minorEastAsia" w:cstheme="minorBidi"/>
              <w:b w:val="0"/>
              <w:kern w:val="2"/>
              <w:sz w:val="21"/>
            </w:rPr>
          </w:pPr>
          <w:r>
            <w:fldChar w:fldCharType="begin"/>
          </w:r>
          <w:r>
            <w:instrText xml:space="preserve"> HYPERLINK \l "_Toc174556813" </w:instrText>
          </w:r>
          <w:r>
            <w:fldChar w:fldCharType="separate"/>
          </w:r>
          <w:r>
            <w:rPr>
              <w:rStyle w:val="41"/>
              <w:b w:val="0"/>
            </w:rPr>
            <w:t>8.5</w:t>
          </w:r>
          <w:r>
            <w:rPr>
              <w:rFonts w:asciiTheme="minorHAnsi" w:hAnsiTheme="minorHAnsi" w:eastAsiaTheme="minorEastAsia" w:cstheme="minorBidi"/>
              <w:b w:val="0"/>
              <w:kern w:val="2"/>
              <w:sz w:val="21"/>
            </w:rPr>
            <w:tab/>
          </w:r>
          <w:r>
            <w:rPr>
              <w:rStyle w:val="41"/>
              <w:b w:val="0"/>
            </w:rPr>
            <w:t>外墙防水工程</w:t>
          </w:r>
          <w:r>
            <w:rPr>
              <w:b w:val="0"/>
            </w:rPr>
            <w:tab/>
          </w:r>
          <w:r>
            <w:rPr>
              <w:b w:val="0"/>
            </w:rPr>
            <w:fldChar w:fldCharType="begin"/>
          </w:r>
          <w:r>
            <w:rPr>
              <w:b w:val="0"/>
            </w:rPr>
            <w:instrText xml:space="preserve"> PAGEREF _Toc174556813 \h </w:instrText>
          </w:r>
          <w:r>
            <w:rPr>
              <w:b w:val="0"/>
            </w:rPr>
            <w:fldChar w:fldCharType="separate"/>
          </w:r>
          <w:r>
            <w:rPr>
              <w:b w:val="0"/>
            </w:rPr>
            <w:t>68</w:t>
          </w:r>
          <w:r>
            <w:rPr>
              <w:b w:val="0"/>
            </w:rPr>
            <w:fldChar w:fldCharType="end"/>
          </w:r>
          <w:r>
            <w:rPr>
              <w:b w:val="0"/>
            </w:rPr>
            <w:fldChar w:fldCharType="end"/>
          </w:r>
        </w:p>
        <w:p w14:paraId="18890807">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"_Toc174556814" </w:instrText>
          </w:r>
          <w:r>
            <w:fldChar w:fldCharType="separate"/>
          </w:r>
          <w:r>
            <w:rPr>
              <w:rStyle w:val="41"/>
            </w:rPr>
            <w:t>第9篇</w:t>
          </w:r>
          <w:r>
            <w:rPr>
              <w:rFonts w:asciiTheme="minorHAnsi" w:hAnsiTheme="minorHAnsi" w:eastAsiaTheme="minorEastAsia" w:cstheme="minorBidi"/>
              <w:kern w:val="2"/>
              <w:sz w:val="21"/>
            </w:rPr>
            <w:tab/>
          </w:r>
          <w:r>
            <w:rPr>
              <w:rStyle w:val="41"/>
            </w:rPr>
            <w:t>地面</w:t>
          </w:r>
          <w:r>
            <w:tab/>
          </w:r>
          <w:r>
            <w:fldChar w:fldCharType="begin"/>
          </w:r>
          <w:r>
            <w:instrText xml:space="preserve"> PAGEREF _Toc174556814 \h </w:instrText>
          </w:r>
          <w:r>
            <w:fldChar w:fldCharType="separate"/>
          </w:r>
          <w:r>
            <w:t>73</w:t>
          </w:r>
          <w:r>
            <w:fldChar w:fldCharType="end"/>
          </w:r>
          <w:r>
            <w:fldChar w:fldCharType="end"/>
          </w:r>
        </w:p>
        <w:p w14:paraId="5061D27E">
          <w:pPr>
            <w:pStyle w:val="29"/>
            <w:rPr>
              <w:rFonts w:asciiTheme="minorHAnsi" w:hAnsiTheme="minorHAnsi" w:eastAsiaTheme="minorEastAsia" w:cstheme="minorBidi"/>
              <w:b w:val="0"/>
              <w:kern w:val="2"/>
              <w:sz w:val="21"/>
            </w:rPr>
          </w:pPr>
          <w:r>
            <w:fldChar w:fldCharType="begin"/>
          </w:r>
          <w:r>
            <w:instrText xml:space="preserve"> HYPERLINK \l "_Toc174556815" </w:instrText>
          </w:r>
          <w:r>
            <w:fldChar w:fldCharType="separate"/>
          </w:r>
          <w:r>
            <w:rPr>
              <w:rStyle w:val="41"/>
              <w:b w:val="0"/>
            </w:rPr>
            <w:t>9.1</w:t>
          </w:r>
          <w:r>
            <w:rPr>
              <w:rFonts w:asciiTheme="minorHAnsi" w:hAnsiTheme="minorHAnsi" w:eastAsiaTheme="minorEastAsia" w:cstheme="minorBidi"/>
              <w:b w:val="0"/>
              <w:kern w:val="2"/>
              <w:sz w:val="21"/>
            </w:rPr>
            <w:tab/>
          </w:r>
          <w:r>
            <w:rPr>
              <w:rStyle w:val="41"/>
              <w:b w:val="0"/>
            </w:rPr>
            <w:t>概述</w:t>
          </w:r>
          <w:r>
            <w:rPr>
              <w:b w:val="0"/>
            </w:rPr>
            <w:tab/>
          </w:r>
          <w:r>
            <w:rPr>
              <w:b w:val="0"/>
            </w:rPr>
            <w:fldChar w:fldCharType="begin"/>
          </w:r>
          <w:r>
            <w:rPr>
              <w:b w:val="0"/>
            </w:rPr>
            <w:instrText xml:space="preserve"> PAGEREF _Toc174556815 \h </w:instrText>
          </w:r>
          <w:r>
            <w:rPr>
              <w:b w:val="0"/>
            </w:rPr>
            <w:fldChar w:fldCharType="separate"/>
          </w:r>
          <w:r>
            <w:rPr>
              <w:b w:val="0"/>
            </w:rPr>
            <w:t>73</w:t>
          </w:r>
          <w:r>
            <w:rPr>
              <w:b w:val="0"/>
            </w:rPr>
            <w:fldChar w:fldCharType="end"/>
          </w:r>
          <w:r>
            <w:rPr>
              <w:b w:val="0"/>
            </w:rPr>
            <w:fldChar w:fldCharType="end"/>
          </w:r>
        </w:p>
        <w:p w14:paraId="6F7EDD70">
          <w:pPr>
            <w:pStyle w:val="29"/>
            <w:rPr>
              <w:rFonts w:asciiTheme="minorHAnsi" w:hAnsiTheme="minorHAnsi" w:eastAsiaTheme="minorEastAsia" w:cstheme="minorBidi"/>
              <w:b w:val="0"/>
              <w:kern w:val="2"/>
              <w:sz w:val="21"/>
            </w:rPr>
          </w:pPr>
          <w:r>
            <w:fldChar w:fldCharType="begin"/>
          </w:r>
          <w:r>
            <w:instrText xml:space="preserve"> HYPERLINK \l "_Toc174556816" </w:instrText>
          </w:r>
          <w:r>
            <w:fldChar w:fldCharType="separate"/>
          </w:r>
          <w:r>
            <w:rPr>
              <w:rStyle w:val="41"/>
              <w:b w:val="0"/>
            </w:rPr>
            <w:t>9.2</w:t>
          </w:r>
          <w:r>
            <w:rPr>
              <w:rFonts w:asciiTheme="minorHAnsi" w:hAnsiTheme="minorHAnsi" w:eastAsiaTheme="minorEastAsia" w:cstheme="minorBidi"/>
              <w:b w:val="0"/>
              <w:kern w:val="2"/>
              <w:sz w:val="21"/>
            </w:rPr>
            <w:tab/>
          </w:r>
          <w:r>
            <w:rPr>
              <w:rStyle w:val="41"/>
              <w:b w:val="0"/>
            </w:rPr>
            <w:t>环氧地坪</w:t>
          </w:r>
          <w:r>
            <w:rPr>
              <w:b w:val="0"/>
            </w:rPr>
            <w:tab/>
          </w:r>
          <w:r>
            <w:rPr>
              <w:b w:val="0"/>
            </w:rPr>
            <w:fldChar w:fldCharType="begin"/>
          </w:r>
          <w:r>
            <w:rPr>
              <w:b w:val="0"/>
            </w:rPr>
            <w:instrText xml:space="preserve"> PAGEREF _Toc174556816 \h </w:instrText>
          </w:r>
          <w:r>
            <w:rPr>
              <w:b w:val="0"/>
            </w:rPr>
            <w:fldChar w:fldCharType="separate"/>
          </w:r>
          <w:r>
            <w:rPr>
              <w:b w:val="0"/>
            </w:rPr>
            <w:t>73</w:t>
          </w:r>
          <w:r>
            <w:rPr>
              <w:b w:val="0"/>
            </w:rPr>
            <w:fldChar w:fldCharType="end"/>
          </w:r>
          <w:r>
            <w:rPr>
              <w:b w:val="0"/>
            </w:rPr>
            <w:fldChar w:fldCharType="end"/>
          </w:r>
        </w:p>
        <w:p w14:paraId="29196023">
          <w:pPr>
            <w:pStyle w:val="29"/>
            <w:rPr>
              <w:rFonts w:asciiTheme="minorHAnsi" w:hAnsiTheme="minorHAnsi" w:eastAsiaTheme="minorEastAsia" w:cstheme="minorBidi"/>
              <w:b w:val="0"/>
              <w:kern w:val="2"/>
              <w:sz w:val="21"/>
            </w:rPr>
          </w:pPr>
          <w:r>
            <w:fldChar w:fldCharType="begin"/>
          </w:r>
          <w:r>
            <w:instrText xml:space="preserve"> HYPERLINK \l "_Toc174556817" </w:instrText>
          </w:r>
          <w:r>
            <w:fldChar w:fldCharType="separate"/>
          </w:r>
          <w:r>
            <w:rPr>
              <w:rStyle w:val="41"/>
              <w:b w:val="0"/>
            </w:rPr>
            <w:t>9.3</w:t>
          </w:r>
          <w:r>
            <w:rPr>
              <w:rFonts w:asciiTheme="minorHAnsi" w:hAnsiTheme="minorHAnsi" w:eastAsiaTheme="minorEastAsia" w:cstheme="minorBidi"/>
              <w:b w:val="0"/>
              <w:kern w:val="2"/>
              <w:sz w:val="21"/>
            </w:rPr>
            <w:tab/>
          </w:r>
          <w:r>
            <w:rPr>
              <w:rStyle w:val="41"/>
              <w:b w:val="0"/>
            </w:rPr>
            <w:t>车库环氧地坪</w:t>
          </w:r>
          <w:r>
            <w:rPr>
              <w:b w:val="0"/>
            </w:rPr>
            <w:tab/>
          </w:r>
          <w:r>
            <w:rPr>
              <w:b w:val="0"/>
            </w:rPr>
            <w:fldChar w:fldCharType="begin"/>
          </w:r>
          <w:r>
            <w:rPr>
              <w:b w:val="0"/>
            </w:rPr>
            <w:instrText xml:space="preserve"> PAGEREF _Toc174556817 \h </w:instrText>
          </w:r>
          <w:r>
            <w:rPr>
              <w:b w:val="0"/>
            </w:rPr>
            <w:fldChar w:fldCharType="separate"/>
          </w:r>
          <w:r>
            <w:rPr>
              <w:b w:val="0"/>
            </w:rPr>
            <w:t>75</w:t>
          </w:r>
          <w:r>
            <w:rPr>
              <w:b w:val="0"/>
            </w:rPr>
            <w:fldChar w:fldCharType="end"/>
          </w:r>
          <w:r>
            <w:rPr>
              <w:b w:val="0"/>
            </w:rPr>
            <w:fldChar w:fldCharType="end"/>
          </w:r>
        </w:p>
        <w:p w14:paraId="612B92C4">
          <w:pPr>
            <w:pStyle w:val="29"/>
            <w:rPr>
              <w:rFonts w:asciiTheme="minorHAnsi" w:hAnsiTheme="minorHAnsi" w:eastAsiaTheme="minorEastAsia" w:cstheme="minorBidi"/>
              <w:b w:val="0"/>
              <w:kern w:val="2"/>
              <w:sz w:val="21"/>
            </w:rPr>
          </w:pPr>
          <w:r>
            <w:fldChar w:fldCharType="begin"/>
          </w:r>
          <w:r>
            <w:instrText xml:space="preserve"> HYPERLINK \l "_Toc174556818" </w:instrText>
          </w:r>
          <w:r>
            <w:fldChar w:fldCharType="separate"/>
          </w:r>
          <w:r>
            <w:rPr>
              <w:rStyle w:val="41"/>
              <w:b w:val="0"/>
            </w:rPr>
            <w:t>9.4</w:t>
          </w:r>
          <w:r>
            <w:rPr>
              <w:rFonts w:asciiTheme="minorHAnsi" w:hAnsiTheme="minorHAnsi" w:eastAsiaTheme="minorEastAsia" w:cstheme="minorBidi"/>
              <w:b w:val="0"/>
              <w:kern w:val="2"/>
              <w:sz w:val="21"/>
            </w:rPr>
            <w:tab/>
          </w:r>
          <w:r>
            <w:rPr>
              <w:rStyle w:val="41"/>
              <w:b w:val="0"/>
            </w:rPr>
            <w:t>环氧防静电地坪</w:t>
          </w:r>
          <w:r>
            <w:rPr>
              <w:b w:val="0"/>
            </w:rPr>
            <w:tab/>
          </w:r>
          <w:r>
            <w:rPr>
              <w:b w:val="0"/>
            </w:rPr>
            <w:fldChar w:fldCharType="begin"/>
          </w:r>
          <w:r>
            <w:rPr>
              <w:b w:val="0"/>
            </w:rPr>
            <w:instrText xml:space="preserve"> PAGEREF _Toc174556818 \h </w:instrText>
          </w:r>
          <w:r>
            <w:rPr>
              <w:b w:val="0"/>
            </w:rPr>
            <w:fldChar w:fldCharType="separate"/>
          </w:r>
          <w:r>
            <w:rPr>
              <w:b w:val="0"/>
            </w:rPr>
            <w:t>80</w:t>
          </w:r>
          <w:r>
            <w:rPr>
              <w:b w:val="0"/>
            </w:rPr>
            <w:fldChar w:fldCharType="end"/>
          </w:r>
          <w:r>
            <w:rPr>
              <w:b w:val="0"/>
            </w:rPr>
            <w:fldChar w:fldCharType="end"/>
          </w:r>
        </w:p>
        <w:p w14:paraId="6E838D72">
          <w:pPr>
            <w:pStyle w:val="29"/>
            <w:rPr>
              <w:rFonts w:asciiTheme="minorHAnsi" w:hAnsiTheme="minorHAnsi" w:eastAsiaTheme="minorEastAsia" w:cstheme="minorBidi"/>
              <w:b w:val="0"/>
              <w:kern w:val="2"/>
              <w:sz w:val="21"/>
            </w:rPr>
          </w:pPr>
          <w:r>
            <w:fldChar w:fldCharType="begin"/>
          </w:r>
          <w:r>
            <w:instrText xml:space="preserve"> HYPERLINK \l "_Toc174556819" </w:instrText>
          </w:r>
          <w:r>
            <w:fldChar w:fldCharType="separate"/>
          </w:r>
          <w:r>
            <w:rPr>
              <w:rStyle w:val="41"/>
              <w:b w:val="0"/>
            </w:rPr>
            <w:t>9.5</w:t>
          </w:r>
          <w:r>
            <w:rPr>
              <w:rFonts w:asciiTheme="minorHAnsi" w:hAnsiTheme="minorHAnsi" w:eastAsiaTheme="minorEastAsia" w:cstheme="minorBidi"/>
              <w:b w:val="0"/>
              <w:kern w:val="2"/>
              <w:sz w:val="21"/>
            </w:rPr>
            <w:tab/>
          </w:r>
          <w:r>
            <w:rPr>
              <w:rStyle w:val="41"/>
              <w:b w:val="0"/>
            </w:rPr>
            <w:t>花岗石地面</w:t>
          </w:r>
          <w:r>
            <w:rPr>
              <w:b w:val="0"/>
            </w:rPr>
            <w:tab/>
          </w:r>
          <w:r>
            <w:rPr>
              <w:b w:val="0"/>
            </w:rPr>
            <w:fldChar w:fldCharType="begin"/>
          </w:r>
          <w:r>
            <w:rPr>
              <w:b w:val="0"/>
            </w:rPr>
            <w:instrText xml:space="preserve"> PAGEREF _Toc174556819 \h </w:instrText>
          </w:r>
          <w:r>
            <w:rPr>
              <w:b w:val="0"/>
            </w:rPr>
            <w:fldChar w:fldCharType="separate"/>
          </w:r>
          <w:r>
            <w:rPr>
              <w:b w:val="0"/>
            </w:rPr>
            <w:t>84</w:t>
          </w:r>
          <w:r>
            <w:rPr>
              <w:b w:val="0"/>
            </w:rPr>
            <w:fldChar w:fldCharType="end"/>
          </w:r>
          <w:r>
            <w:rPr>
              <w:b w:val="0"/>
            </w:rPr>
            <w:fldChar w:fldCharType="end"/>
          </w:r>
        </w:p>
        <w:p w14:paraId="74DE940F">
          <w:pPr>
            <w:pStyle w:val="29"/>
            <w:rPr>
              <w:rFonts w:asciiTheme="minorHAnsi" w:hAnsiTheme="minorHAnsi" w:eastAsiaTheme="minorEastAsia" w:cstheme="minorBidi"/>
              <w:b w:val="0"/>
              <w:kern w:val="2"/>
              <w:sz w:val="21"/>
            </w:rPr>
          </w:pPr>
          <w:r>
            <w:fldChar w:fldCharType="begin"/>
          </w:r>
          <w:r>
            <w:instrText xml:space="preserve"> HYPERLINK \l "_Toc174556820" </w:instrText>
          </w:r>
          <w:r>
            <w:fldChar w:fldCharType="separate"/>
          </w:r>
          <w:r>
            <w:rPr>
              <w:rStyle w:val="41"/>
              <w:b w:val="0"/>
            </w:rPr>
            <w:t>9.6</w:t>
          </w:r>
          <w:r>
            <w:rPr>
              <w:rFonts w:asciiTheme="minorHAnsi" w:hAnsiTheme="minorHAnsi" w:eastAsiaTheme="minorEastAsia" w:cstheme="minorBidi"/>
              <w:b w:val="0"/>
              <w:kern w:val="2"/>
              <w:sz w:val="21"/>
            </w:rPr>
            <w:tab/>
          </w:r>
          <w:r>
            <w:rPr>
              <w:rStyle w:val="41"/>
              <w:b w:val="0"/>
            </w:rPr>
            <w:t>陶瓷地砖</w:t>
          </w:r>
          <w:r>
            <w:rPr>
              <w:b w:val="0"/>
            </w:rPr>
            <w:tab/>
          </w:r>
          <w:r>
            <w:rPr>
              <w:b w:val="0"/>
            </w:rPr>
            <w:fldChar w:fldCharType="begin"/>
          </w:r>
          <w:r>
            <w:rPr>
              <w:b w:val="0"/>
            </w:rPr>
            <w:instrText xml:space="preserve"> PAGEREF _Toc174556820 \h </w:instrText>
          </w:r>
          <w:r>
            <w:rPr>
              <w:b w:val="0"/>
            </w:rPr>
            <w:fldChar w:fldCharType="separate"/>
          </w:r>
          <w:r>
            <w:rPr>
              <w:b w:val="0"/>
            </w:rPr>
            <w:t>85</w:t>
          </w:r>
          <w:r>
            <w:rPr>
              <w:b w:val="0"/>
            </w:rPr>
            <w:fldChar w:fldCharType="end"/>
          </w:r>
          <w:r>
            <w:rPr>
              <w:b w:val="0"/>
            </w:rPr>
            <w:fldChar w:fldCharType="end"/>
          </w:r>
        </w:p>
        <w:p w14:paraId="0A3DEC0C">
          <w:pPr>
            <w:pStyle w:val="29"/>
            <w:rPr>
              <w:rFonts w:asciiTheme="minorHAnsi" w:hAnsiTheme="minorHAnsi" w:eastAsiaTheme="minorEastAsia" w:cstheme="minorBidi"/>
              <w:b w:val="0"/>
              <w:kern w:val="2"/>
              <w:sz w:val="21"/>
            </w:rPr>
          </w:pPr>
          <w:r>
            <w:fldChar w:fldCharType="begin"/>
          </w:r>
          <w:r>
            <w:instrText xml:space="preserve"> HYPERLINK \l "_Toc174556821" </w:instrText>
          </w:r>
          <w:r>
            <w:fldChar w:fldCharType="separate"/>
          </w:r>
          <w:r>
            <w:rPr>
              <w:rStyle w:val="41"/>
              <w:b w:val="0"/>
            </w:rPr>
            <w:t>9.7</w:t>
          </w:r>
          <w:r>
            <w:rPr>
              <w:rFonts w:asciiTheme="minorHAnsi" w:hAnsiTheme="minorHAnsi" w:eastAsiaTheme="minorEastAsia" w:cstheme="minorBidi"/>
              <w:b w:val="0"/>
              <w:kern w:val="2"/>
              <w:sz w:val="21"/>
            </w:rPr>
            <w:tab/>
          </w:r>
          <w:r>
            <w:rPr>
              <w:rStyle w:val="41"/>
              <w:b w:val="0"/>
            </w:rPr>
            <w:t>防静电架空地板</w:t>
          </w:r>
          <w:r>
            <w:rPr>
              <w:b w:val="0"/>
            </w:rPr>
            <w:tab/>
          </w:r>
          <w:r>
            <w:rPr>
              <w:b w:val="0"/>
            </w:rPr>
            <w:fldChar w:fldCharType="begin"/>
          </w:r>
          <w:r>
            <w:rPr>
              <w:b w:val="0"/>
            </w:rPr>
            <w:instrText xml:space="preserve"> PAGEREF _Toc174556821 \h </w:instrText>
          </w:r>
          <w:r>
            <w:rPr>
              <w:b w:val="0"/>
            </w:rPr>
            <w:fldChar w:fldCharType="separate"/>
          </w:r>
          <w:r>
            <w:rPr>
              <w:b w:val="0"/>
            </w:rPr>
            <w:t>87</w:t>
          </w:r>
          <w:r>
            <w:rPr>
              <w:b w:val="0"/>
            </w:rPr>
            <w:fldChar w:fldCharType="end"/>
          </w:r>
          <w:r>
            <w:rPr>
              <w:b w:val="0"/>
            </w:rPr>
            <w:fldChar w:fldCharType="end"/>
          </w:r>
        </w:p>
        <w:p w14:paraId="0F56A1C7">
          <w:pPr>
            <w:pStyle w:val="29"/>
            <w:rPr>
              <w:rFonts w:asciiTheme="minorHAnsi" w:hAnsiTheme="minorHAnsi" w:eastAsiaTheme="minorEastAsia" w:cstheme="minorBidi"/>
              <w:b w:val="0"/>
              <w:kern w:val="2"/>
              <w:sz w:val="21"/>
            </w:rPr>
          </w:pPr>
          <w:r>
            <w:fldChar w:fldCharType="begin"/>
          </w:r>
          <w:r>
            <w:instrText xml:space="preserve"> HYPERLINK \l "_Toc174556822" </w:instrText>
          </w:r>
          <w:r>
            <w:fldChar w:fldCharType="separate"/>
          </w:r>
          <w:r>
            <w:rPr>
              <w:rStyle w:val="41"/>
              <w:b w:val="0"/>
            </w:rPr>
            <w:t>9.8</w:t>
          </w:r>
          <w:r>
            <w:rPr>
              <w:rFonts w:asciiTheme="minorHAnsi" w:hAnsiTheme="minorHAnsi" w:eastAsiaTheme="minorEastAsia" w:cstheme="minorBidi"/>
              <w:b w:val="0"/>
              <w:kern w:val="2"/>
              <w:sz w:val="21"/>
            </w:rPr>
            <w:tab/>
          </w:r>
          <w:r>
            <w:rPr>
              <w:rStyle w:val="41"/>
              <w:b w:val="0"/>
            </w:rPr>
            <w:t>混凝土硬化地面</w:t>
          </w:r>
          <w:r>
            <w:rPr>
              <w:b w:val="0"/>
            </w:rPr>
            <w:tab/>
          </w:r>
          <w:r>
            <w:rPr>
              <w:b w:val="0"/>
            </w:rPr>
            <w:fldChar w:fldCharType="begin"/>
          </w:r>
          <w:r>
            <w:rPr>
              <w:b w:val="0"/>
            </w:rPr>
            <w:instrText xml:space="preserve"> PAGEREF _Toc174556822 \h </w:instrText>
          </w:r>
          <w:r>
            <w:rPr>
              <w:b w:val="0"/>
            </w:rPr>
            <w:fldChar w:fldCharType="separate"/>
          </w:r>
          <w:r>
            <w:rPr>
              <w:b w:val="0"/>
            </w:rPr>
            <w:t>100</w:t>
          </w:r>
          <w:r>
            <w:rPr>
              <w:b w:val="0"/>
            </w:rPr>
            <w:fldChar w:fldCharType="end"/>
          </w:r>
          <w:r>
            <w:rPr>
              <w:b w:val="0"/>
            </w:rPr>
            <w:fldChar w:fldCharType="end"/>
          </w:r>
        </w:p>
        <w:p w14:paraId="2204FFC5">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"_Toc174556823" </w:instrText>
          </w:r>
          <w:r>
            <w:fldChar w:fldCharType="separate"/>
          </w:r>
          <w:r>
            <w:rPr>
              <w:rStyle w:val="41"/>
            </w:rPr>
            <w:t>第10篇</w:t>
          </w:r>
          <w:r>
            <w:rPr>
              <w:rFonts w:asciiTheme="minorHAnsi" w:hAnsiTheme="minorHAnsi" w:eastAsiaTheme="minorEastAsia" w:cstheme="minorBidi"/>
              <w:kern w:val="2"/>
              <w:sz w:val="21"/>
            </w:rPr>
            <w:tab/>
          </w:r>
          <w:r>
            <w:rPr>
              <w:rStyle w:val="41"/>
            </w:rPr>
            <w:t>墙面</w:t>
          </w:r>
          <w:r>
            <w:tab/>
          </w:r>
          <w:r>
            <w:fldChar w:fldCharType="begin"/>
          </w:r>
          <w:r>
            <w:instrText xml:space="preserve"> PAGEREF _Toc174556823 \h </w:instrText>
          </w:r>
          <w:r>
            <w:fldChar w:fldCharType="separate"/>
          </w:r>
          <w:r>
            <w:t>106</w:t>
          </w:r>
          <w:r>
            <w:fldChar w:fldCharType="end"/>
          </w:r>
          <w:r>
            <w:fldChar w:fldCharType="end"/>
          </w:r>
        </w:p>
        <w:p w14:paraId="425342E6">
          <w:pPr>
            <w:pStyle w:val="29"/>
            <w:rPr>
              <w:rFonts w:asciiTheme="minorHAnsi" w:hAnsiTheme="minorHAnsi" w:eastAsiaTheme="minorEastAsia" w:cstheme="minorBidi"/>
              <w:b w:val="0"/>
              <w:kern w:val="2"/>
              <w:sz w:val="21"/>
            </w:rPr>
          </w:pPr>
          <w:r>
            <w:fldChar w:fldCharType="begin"/>
          </w:r>
          <w:r>
            <w:instrText xml:space="preserve"> HYPERLINK \l "_Toc174556824" </w:instrText>
          </w:r>
          <w:r>
            <w:fldChar w:fldCharType="separate"/>
          </w:r>
          <w:r>
            <w:rPr>
              <w:rStyle w:val="41"/>
              <w:b w:val="0"/>
            </w:rPr>
            <w:t>10.1</w:t>
          </w:r>
          <w:r>
            <w:rPr>
              <w:rFonts w:asciiTheme="minorHAnsi" w:hAnsiTheme="minorHAnsi" w:eastAsiaTheme="minorEastAsia" w:cstheme="minorBidi"/>
              <w:b w:val="0"/>
              <w:kern w:val="2"/>
              <w:sz w:val="21"/>
            </w:rPr>
            <w:tab/>
          </w:r>
          <w:r>
            <w:rPr>
              <w:rStyle w:val="41"/>
              <w:b w:val="0"/>
            </w:rPr>
            <w:t>概述</w:t>
          </w:r>
          <w:r>
            <w:rPr>
              <w:b w:val="0"/>
            </w:rPr>
            <w:tab/>
          </w:r>
          <w:r>
            <w:rPr>
              <w:b w:val="0"/>
            </w:rPr>
            <w:fldChar w:fldCharType="begin"/>
          </w:r>
          <w:r>
            <w:rPr>
              <w:b w:val="0"/>
            </w:rPr>
            <w:instrText xml:space="preserve"> PAGEREF _Toc174556824 \h </w:instrText>
          </w:r>
          <w:r>
            <w:rPr>
              <w:b w:val="0"/>
            </w:rPr>
            <w:fldChar w:fldCharType="separate"/>
          </w:r>
          <w:r>
            <w:rPr>
              <w:b w:val="0"/>
            </w:rPr>
            <w:t>106</w:t>
          </w:r>
          <w:r>
            <w:rPr>
              <w:b w:val="0"/>
            </w:rPr>
            <w:fldChar w:fldCharType="end"/>
          </w:r>
          <w:r>
            <w:rPr>
              <w:b w:val="0"/>
            </w:rPr>
            <w:fldChar w:fldCharType="end"/>
          </w:r>
        </w:p>
        <w:p w14:paraId="522ADCE0">
          <w:pPr>
            <w:pStyle w:val="29"/>
            <w:rPr>
              <w:rFonts w:asciiTheme="minorHAnsi" w:hAnsiTheme="minorHAnsi" w:eastAsiaTheme="minorEastAsia" w:cstheme="minorBidi"/>
              <w:b w:val="0"/>
              <w:kern w:val="2"/>
              <w:sz w:val="21"/>
            </w:rPr>
          </w:pPr>
          <w:r>
            <w:fldChar w:fldCharType="begin"/>
          </w:r>
          <w:r>
            <w:instrText xml:space="preserve"> HYPERLINK \l "_Toc174556825" </w:instrText>
          </w:r>
          <w:r>
            <w:fldChar w:fldCharType="separate"/>
          </w:r>
          <w:r>
            <w:rPr>
              <w:rStyle w:val="41"/>
              <w:b w:val="0"/>
            </w:rPr>
            <w:t>10.2</w:t>
          </w:r>
          <w:r>
            <w:rPr>
              <w:rFonts w:asciiTheme="minorHAnsi" w:hAnsiTheme="minorHAnsi" w:eastAsiaTheme="minorEastAsia" w:cstheme="minorBidi"/>
              <w:b w:val="0"/>
              <w:kern w:val="2"/>
              <w:sz w:val="21"/>
            </w:rPr>
            <w:tab/>
          </w:r>
          <w:r>
            <w:rPr>
              <w:rStyle w:val="41"/>
              <w:b w:val="0"/>
            </w:rPr>
            <w:t>外墙涂料</w:t>
          </w:r>
          <w:r>
            <w:rPr>
              <w:b w:val="0"/>
            </w:rPr>
            <w:tab/>
          </w:r>
          <w:r>
            <w:rPr>
              <w:b w:val="0"/>
            </w:rPr>
            <w:fldChar w:fldCharType="begin"/>
          </w:r>
          <w:r>
            <w:rPr>
              <w:b w:val="0"/>
            </w:rPr>
            <w:instrText xml:space="preserve"> PAGEREF _Toc174556825 \h </w:instrText>
          </w:r>
          <w:r>
            <w:rPr>
              <w:b w:val="0"/>
            </w:rPr>
            <w:fldChar w:fldCharType="separate"/>
          </w:r>
          <w:r>
            <w:rPr>
              <w:b w:val="0"/>
            </w:rPr>
            <w:t>106</w:t>
          </w:r>
          <w:r>
            <w:rPr>
              <w:b w:val="0"/>
            </w:rPr>
            <w:fldChar w:fldCharType="end"/>
          </w:r>
          <w:r>
            <w:rPr>
              <w:b w:val="0"/>
            </w:rPr>
            <w:fldChar w:fldCharType="end"/>
          </w:r>
        </w:p>
        <w:p w14:paraId="7225B7D7">
          <w:pPr>
            <w:pStyle w:val="29"/>
            <w:rPr>
              <w:rFonts w:asciiTheme="minorHAnsi" w:hAnsiTheme="minorHAnsi" w:eastAsiaTheme="minorEastAsia" w:cstheme="minorBidi"/>
              <w:b w:val="0"/>
              <w:kern w:val="2"/>
              <w:sz w:val="21"/>
            </w:rPr>
          </w:pPr>
          <w:r>
            <w:fldChar w:fldCharType="begin"/>
          </w:r>
          <w:r>
            <w:instrText xml:space="preserve"> HYPERLINK \l "_Toc174556826" </w:instrText>
          </w:r>
          <w:r>
            <w:fldChar w:fldCharType="separate"/>
          </w:r>
          <w:r>
            <w:rPr>
              <w:rStyle w:val="41"/>
              <w:b w:val="0"/>
            </w:rPr>
            <w:t>10.3</w:t>
          </w:r>
          <w:r>
            <w:rPr>
              <w:rFonts w:asciiTheme="minorHAnsi" w:hAnsiTheme="minorHAnsi" w:eastAsiaTheme="minorEastAsia" w:cstheme="minorBidi"/>
              <w:b w:val="0"/>
              <w:kern w:val="2"/>
              <w:sz w:val="21"/>
            </w:rPr>
            <w:tab/>
          </w:r>
          <w:r>
            <w:rPr>
              <w:rStyle w:val="41"/>
              <w:b w:val="0"/>
            </w:rPr>
            <w:t>真石漆</w:t>
          </w:r>
          <w:r>
            <w:rPr>
              <w:b w:val="0"/>
            </w:rPr>
            <w:tab/>
          </w:r>
          <w:r>
            <w:rPr>
              <w:b w:val="0"/>
            </w:rPr>
            <w:fldChar w:fldCharType="begin"/>
          </w:r>
          <w:r>
            <w:rPr>
              <w:b w:val="0"/>
            </w:rPr>
            <w:instrText xml:space="preserve"> PAGEREF _Toc174556826 \h </w:instrText>
          </w:r>
          <w:r>
            <w:rPr>
              <w:b w:val="0"/>
            </w:rPr>
            <w:fldChar w:fldCharType="separate"/>
          </w:r>
          <w:r>
            <w:rPr>
              <w:b w:val="0"/>
            </w:rPr>
            <w:t>107</w:t>
          </w:r>
          <w:r>
            <w:rPr>
              <w:b w:val="0"/>
            </w:rPr>
            <w:fldChar w:fldCharType="end"/>
          </w:r>
          <w:r>
            <w:rPr>
              <w:b w:val="0"/>
            </w:rPr>
            <w:fldChar w:fldCharType="end"/>
          </w:r>
        </w:p>
        <w:p w14:paraId="40DA7E55">
          <w:pPr>
            <w:pStyle w:val="29"/>
            <w:rPr>
              <w:rFonts w:asciiTheme="minorHAnsi" w:hAnsiTheme="minorHAnsi" w:eastAsiaTheme="minorEastAsia" w:cstheme="minorBidi"/>
              <w:b w:val="0"/>
              <w:kern w:val="2"/>
              <w:sz w:val="21"/>
            </w:rPr>
          </w:pPr>
          <w:r>
            <w:fldChar w:fldCharType="begin"/>
          </w:r>
          <w:r>
            <w:instrText xml:space="preserve"> HYPERLINK \l "_Toc174556827" </w:instrText>
          </w:r>
          <w:r>
            <w:fldChar w:fldCharType="separate"/>
          </w:r>
          <w:r>
            <w:rPr>
              <w:rStyle w:val="41"/>
              <w:b w:val="0"/>
            </w:rPr>
            <w:t>10.4</w:t>
          </w:r>
          <w:r>
            <w:rPr>
              <w:rFonts w:asciiTheme="minorHAnsi" w:hAnsiTheme="minorHAnsi" w:eastAsiaTheme="minorEastAsia" w:cstheme="minorBidi"/>
              <w:b w:val="0"/>
              <w:kern w:val="2"/>
              <w:sz w:val="21"/>
            </w:rPr>
            <w:tab/>
          </w:r>
          <w:r>
            <w:rPr>
              <w:rStyle w:val="41"/>
              <w:b w:val="0"/>
            </w:rPr>
            <w:t>干挂、湿贴石材</w:t>
          </w:r>
          <w:r>
            <w:rPr>
              <w:b w:val="0"/>
            </w:rPr>
            <w:tab/>
          </w:r>
          <w:r>
            <w:rPr>
              <w:b w:val="0"/>
            </w:rPr>
            <w:fldChar w:fldCharType="begin"/>
          </w:r>
          <w:r>
            <w:rPr>
              <w:b w:val="0"/>
            </w:rPr>
            <w:instrText xml:space="preserve"> PAGEREF _Toc174556827 \h </w:instrText>
          </w:r>
          <w:r>
            <w:rPr>
              <w:b w:val="0"/>
            </w:rPr>
            <w:fldChar w:fldCharType="separate"/>
          </w:r>
          <w:r>
            <w:rPr>
              <w:b w:val="0"/>
            </w:rPr>
            <w:t>112</w:t>
          </w:r>
          <w:r>
            <w:rPr>
              <w:b w:val="0"/>
            </w:rPr>
            <w:fldChar w:fldCharType="end"/>
          </w:r>
          <w:r>
            <w:rPr>
              <w:b w:val="0"/>
            </w:rPr>
            <w:fldChar w:fldCharType="end"/>
          </w:r>
        </w:p>
        <w:p w14:paraId="4942B43A">
          <w:pPr>
            <w:pStyle w:val="29"/>
            <w:rPr>
              <w:rFonts w:asciiTheme="minorHAnsi" w:hAnsiTheme="minorHAnsi" w:eastAsiaTheme="minorEastAsia" w:cstheme="minorBidi"/>
              <w:b w:val="0"/>
              <w:kern w:val="2"/>
              <w:sz w:val="21"/>
            </w:rPr>
          </w:pPr>
          <w:r>
            <w:fldChar w:fldCharType="begin"/>
          </w:r>
          <w:r>
            <w:instrText xml:space="preserve"> HYPERLINK \l "_Toc174556828" </w:instrText>
          </w:r>
          <w:r>
            <w:fldChar w:fldCharType="separate"/>
          </w:r>
          <w:r>
            <w:rPr>
              <w:rStyle w:val="41"/>
              <w:b w:val="0"/>
            </w:rPr>
            <w:t>10.5</w:t>
          </w:r>
          <w:r>
            <w:rPr>
              <w:rFonts w:asciiTheme="minorHAnsi" w:hAnsiTheme="minorHAnsi" w:eastAsiaTheme="minorEastAsia" w:cstheme="minorBidi"/>
              <w:b w:val="0"/>
              <w:kern w:val="2"/>
              <w:sz w:val="21"/>
            </w:rPr>
            <w:tab/>
          </w:r>
          <w:r>
            <w:rPr>
              <w:rStyle w:val="41"/>
              <w:b w:val="0"/>
            </w:rPr>
            <w:t>内墙乳胶漆</w:t>
          </w:r>
          <w:r>
            <w:rPr>
              <w:b w:val="0"/>
            </w:rPr>
            <w:tab/>
          </w:r>
          <w:r>
            <w:rPr>
              <w:b w:val="0"/>
            </w:rPr>
            <w:fldChar w:fldCharType="begin"/>
          </w:r>
          <w:r>
            <w:rPr>
              <w:b w:val="0"/>
            </w:rPr>
            <w:instrText xml:space="preserve"> PAGEREF _Toc174556828 \h </w:instrText>
          </w:r>
          <w:r>
            <w:rPr>
              <w:b w:val="0"/>
            </w:rPr>
            <w:fldChar w:fldCharType="separate"/>
          </w:r>
          <w:r>
            <w:rPr>
              <w:b w:val="0"/>
            </w:rPr>
            <w:t>113</w:t>
          </w:r>
          <w:r>
            <w:rPr>
              <w:b w:val="0"/>
            </w:rPr>
            <w:fldChar w:fldCharType="end"/>
          </w:r>
          <w:r>
            <w:rPr>
              <w:b w:val="0"/>
            </w:rPr>
            <w:fldChar w:fldCharType="end"/>
          </w:r>
        </w:p>
        <w:p w14:paraId="441A1969">
          <w:pPr>
            <w:pStyle w:val="29"/>
            <w:rPr>
              <w:rFonts w:asciiTheme="minorHAnsi" w:hAnsiTheme="minorHAnsi" w:eastAsiaTheme="minorEastAsia" w:cstheme="minorBidi"/>
              <w:b w:val="0"/>
              <w:kern w:val="2"/>
              <w:sz w:val="21"/>
            </w:rPr>
          </w:pPr>
          <w:r>
            <w:fldChar w:fldCharType="begin"/>
          </w:r>
          <w:r>
            <w:instrText xml:space="preserve"> HYPERLINK \l "_Toc174556829" </w:instrText>
          </w:r>
          <w:r>
            <w:fldChar w:fldCharType="separate"/>
          </w:r>
          <w:r>
            <w:rPr>
              <w:rStyle w:val="41"/>
              <w:b w:val="0"/>
            </w:rPr>
            <w:t>10.6</w:t>
          </w:r>
          <w:r>
            <w:rPr>
              <w:rFonts w:asciiTheme="minorHAnsi" w:hAnsiTheme="minorHAnsi" w:eastAsiaTheme="minorEastAsia" w:cstheme="minorBidi"/>
              <w:b w:val="0"/>
              <w:kern w:val="2"/>
              <w:sz w:val="21"/>
            </w:rPr>
            <w:tab/>
          </w:r>
          <w:r>
            <w:rPr>
              <w:rStyle w:val="41"/>
              <w:b w:val="0"/>
            </w:rPr>
            <w:t>吸音墙面</w:t>
          </w:r>
          <w:r>
            <w:rPr>
              <w:b w:val="0"/>
            </w:rPr>
            <w:tab/>
          </w:r>
          <w:r>
            <w:rPr>
              <w:b w:val="0"/>
            </w:rPr>
            <w:fldChar w:fldCharType="begin"/>
          </w:r>
          <w:r>
            <w:rPr>
              <w:b w:val="0"/>
            </w:rPr>
            <w:instrText xml:space="preserve"> PAGEREF _Toc174556829 \h </w:instrText>
          </w:r>
          <w:r>
            <w:rPr>
              <w:b w:val="0"/>
            </w:rPr>
            <w:fldChar w:fldCharType="separate"/>
          </w:r>
          <w:r>
            <w:rPr>
              <w:b w:val="0"/>
            </w:rPr>
            <w:t>115</w:t>
          </w:r>
          <w:r>
            <w:rPr>
              <w:b w:val="0"/>
            </w:rPr>
            <w:fldChar w:fldCharType="end"/>
          </w:r>
          <w:r>
            <w:rPr>
              <w:b w:val="0"/>
            </w:rPr>
            <w:fldChar w:fldCharType="end"/>
          </w:r>
        </w:p>
        <w:p w14:paraId="36FC6DA2">
          <w:pPr>
            <w:pStyle w:val="29"/>
            <w:rPr>
              <w:rFonts w:asciiTheme="minorHAnsi" w:hAnsiTheme="minorHAnsi" w:eastAsiaTheme="minorEastAsia" w:cstheme="minorBidi"/>
              <w:b w:val="0"/>
              <w:kern w:val="2"/>
              <w:sz w:val="21"/>
            </w:rPr>
          </w:pPr>
          <w:r>
            <w:fldChar w:fldCharType="begin"/>
          </w:r>
          <w:r>
            <w:instrText xml:space="preserve"> HYPERLINK \l "_Toc174556830" </w:instrText>
          </w:r>
          <w:r>
            <w:fldChar w:fldCharType="separate"/>
          </w:r>
          <w:r>
            <w:rPr>
              <w:rStyle w:val="41"/>
              <w:b w:val="0"/>
            </w:rPr>
            <w:t>10.7</w:t>
          </w:r>
          <w:r>
            <w:rPr>
              <w:rFonts w:asciiTheme="minorHAnsi" w:hAnsiTheme="minorHAnsi" w:eastAsiaTheme="minorEastAsia" w:cstheme="minorBidi"/>
              <w:b w:val="0"/>
              <w:kern w:val="2"/>
              <w:sz w:val="21"/>
            </w:rPr>
            <w:tab/>
          </w:r>
          <w:r>
            <w:rPr>
              <w:rStyle w:val="41"/>
              <w:b w:val="0"/>
            </w:rPr>
            <w:t>内隔墙板</w:t>
          </w:r>
          <w:r>
            <w:rPr>
              <w:b w:val="0"/>
            </w:rPr>
            <w:tab/>
          </w:r>
          <w:r>
            <w:rPr>
              <w:b w:val="0"/>
            </w:rPr>
            <w:fldChar w:fldCharType="begin"/>
          </w:r>
          <w:r>
            <w:rPr>
              <w:b w:val="0"/>
            </w:rPr>
            <w:instrText xml:space="preserve"> PAGEREF _Toc174556830 \h </w:instrText>
          </w:r>
          <w:r>
            <w:rPr>
              <w:b w:val="0"/>
            </w:rPr>
            <w:fldChar w:fldCharType="separate"/>
          </w:r>
          <w:r>
            <w:rPr>
              <w:b w:val="0"/>
            </w:rPr>
            <w:t>116</w:t>
          </w:r>
          <w:r>
            <w:rPr>
              <w:b w:val="0"/>
            </w:rPr>
            <w:fldChar w:fldCharType="end"/>
          </w:r>
          <w:r>
            <w:rPr>
              <w:b w:val="0"/>
            </w:rPr>
            <w:fldChar w:fldCharType="end"/>
          </w:r>
        </w:p>
        <w:p w14:paraId="00FC9653">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"_Toc174556831" </w:instrText>
          </w:r>
          <w:r>
            <w:fldChar w:fldCharType="separate"/>
          </w:r>
          <w:r>
            <w:rPr>
              <w:rStyle w:val="41"/>
            </w:rPr>
            <w:t>第11篇</w:t>
          </w:r>
          <w:r>
            <w:rPr>
              <w:rFonts w:asciiTheme="minorHAnsi" w:hAnsiTheme="minorHAnsi" w:eastAsiaTheme="minorEastAsia" w:cstheme="minorBidi"/>
              <w:kern w:val="2"/>
              <w:sz w:val="21"/>
            </w:rPr>
            <w:tab/>
          </w:r>
          <w:r>
            <w:rPr>
              <w:rStyle w:val="41"/>
            </w:rPr>
            <w:t>顶棚</w:t>
          </w:r>
          <w:r>
            <w:tab/>
          </w:r>
          <w:r>
            <w:fldChar w:fldCharType="begin"/>
          </w:r>
          <w:r>
            <w:instrText xml:space="preserve"> PAGEREF _Toc174556831 \h </w:instrText>
          </w:r>
          <w:r>
            <w:fldChar w:fldCharType="separate"/>
          </w:r>
          <w:r>
            <w:t>121</w:t>
          </w:r>
          <w:r>
            <w:fldChar w:fldCharType="end"/>
          </w:r>
          <w:r>
            <w:fldChar w:fldCharType="end"/>
          </w:r>
        </w:p>
        <w:p w14:paraId="0E99377A">
          <w:pPr>
            <w:pStyle w:val="29"/>
            <w:rPr>
              <w:rFonts w:asciiTheme="minorHAnsi" w:hAnsiTheme="minorHAnsi" w:eastAsiaTheme="minorEastAsia" w:cstheme="minorBidi"/>
              <w:b w:val="0"/>
              <w:kern w:val="2"/>
              <w:sz w:val="21"/>
            </w:rPr>
          </w:pPr>
          <w:r>
            <w:fldChar w:fldCharType="begin"/>
          </w:r>
          <w:r>
            <w:instrText xml:space="preserve"> HYPERLINK \l "_Toc174556832" </w:instrText>
          </w:r>
          <w:r>
            <w:fldChar w:fldCharType="separate"/>
          </w:r>
          <w:r>
            <w:rPr>
              <w:rStyle w:val="41"/>
              <w:b w:val="0"/>
            </w:rPr>
            <w:t>11.1</w:t>
          </w:r>
          <w:r>
            <w:rPr>
              <w:rFonts w:asciiTheme="minorHAnsi" w:hAnsiTheme="minorHAnsi" w:eastAsiaTheme="minorEastAsia" w:cstheme="minorBidi"/>
              <w:b w:val="0"/>
              <w:kern w:val="2"/>
              <w:sz w:val="21"/>
            </w:rPr>
            <w:tab/>
          </w:r>
          <w:r>
            <w:rPr>
              <w:rStyle w:val="41"/>
              <w:b w:val="0"/>
            </w:rPr>
            <w:t>概述</w:t>
          </w:r>
          <w:r>
            <w:rPr>
              <w:b w:val="0"/>
            </w:rPr>
            <w:tab/>
          </w:r>
          <w:r>
            <w:rPr>
              <w:b w:val="0"/>
            </w:rPr>
            <w:fldChar w:fldCharType="begin"/>
          </w:r>
          <w:r>
            <w:rPr>
              <w:b w:val="0"/>
            </w:rPr>
            <w:instrText xml:space="preserve"> PAGEREF _Toc174556832 \h </w:instrText>
          </w:r>
          <w:r>
            <w:rPr>
              <w:b w:val="0"/>
            </w:rPr>
            <w:fldChar w:fldCharType="separate"/>
          </w:r>
          <w:r>
            <w:rPr>
              <w:b w:val="0"/>
            </w:rPr>
            <w:t>121</w:t>
          </w:r>
          <w:r>
            <w:rPr>
              <w:b w:val="0"/>
            </w:rPr>
            <w:fldChar w:fldCharType="end"/>
          </w:r>
          <w:r>
            <w:rPr>
              <w:b w:val="0"/>
            </w:rPr>
            <w:fldChar w:fldCharType="end"/>
          </w:r>
        </w:p>
        <w:p w14:paraId="2FEE5B7C">
          <w:pPr>
            <w:pStyle w:val="29"/>
            <w:rPr>
              <w:rFonts w:asciiTheme="minorHAnsi" w:hAnsiTheme="minorHAnsi" w:eastAsiaTheme="minorEastAsia" w:cstheme="minorBidi"/>
              <w:b w:val="0"/>
              <w:kern w:val="2"/>
              <w:sz w:val="21"/>
            </w:rPr>
          </w:pPr>
          <w:r>
            <w:fldChar w:fldCharType="begin"/>
          </w:r>
          <w:r>
            <w:instrText xml:space="preserve"> HYPERLINK \l "_Toc174556833" </w:instrText>
          </w:r>
          <w:r>
            <w:fldChar w:fldCharType="separate"/>
          </w:r>
          <w:r>
            <w:rPr>
              <w:rStyle w:val="41"/>
              <w:b w:val="0"/>
            </w:rPr>
            <w:t>11.2</w:t>
          </w:r>
          <w:r>
            <w:rPr>
              <w:rFonts w:asciiTheme="minorHAnsi" w:hAnsiTheme="minorHAnsi" w:eastAsiaTheme="minorEastAsia" w:cstheme="minorBidi"/>
              <w:b w:val="0"/>
              <w:kern w:val="2"/>
              <w:sz w:val="21"/>
            </w:rPr>
            <w:tab/>
          </w:r>
          <w:r>
            <w:rPr>
              <w:rStyle w:val="41"/>
              <w:b w:val="0"/>
            </w:rPr>
            <w:t>乳胶漆</w:t>
          </w:r>
          <w:r>
            <w:rPr>
              <w:b w:val="0"/>
            </w:rPr>
            <w:tab/>
          </w:r>
          <w:r>
            <w:rPr>
              <w:b w:val="0"/>
            </w:rPr>
            <w:fldChar w:fldCharType="begin"/>
          </w:r>
          <w:r>
            <w:rPr>
              <w:b w:val="0"/>
            </w:rPr>
            <w:instrText xml:space="preserve"> PAGEREF _Toc174556833 \h </w:instrText>
          </w:r>
          <w:r>
            <w:rPr>
              <w:b w:val="0"/>
            </w:rPr>
            <w:fldChar w:fldCharType="separate"/>
          </w:r>
          <w:r>
            <w:rPr>
              <w:b w:val="0"/>
            </w:rPr>
            <w:t>121</w:t>
          </w:r>
          <w:r>
            <w:rPr>
              <w:b w:val="0"/>
            </w:rPr>
            <w:fldChar w:fldCharType="end"/>
          </w:r>
          <w:r>
            <w:rPr>
              <w:b w:val="0"/>
            </w:rPr>
            <w:fldChar w:fldCharType="end"/>
          </w:r>
        </w:p>
        <w:p w14:paraId="30C2CC82">
          <w:pPr>
            <w:pStyle w:val="29"/>
            <w:rPr>
              <w:rFonts w:asciiTheme="minorHAnsi" w:hAnsiTheme="minorHAnsi" w:eastAsiaTheme="minorEastAsia" w:cstheme="minorBidi"/>
              <w:b w:val="0"/>
              <w:kern w:val="2"/>
              <w:sz w:val="21"/>
            </w:rPr>
          </w:pPr>
          <w:r>
            <w:fldChar w:fldCharType="begin"/>
          </w:r>
          <w:r>
            <w:instrText xml:space="preserve"> HYPERLINK \l "_Toc174556834" </w:instrText>
          </w:r>
          <w:r>
            <w:fldChar w:fldCharType="separate"/>
          </w:r>
          <w:r>
            <w:rPr>
              <w:rStyle w:val="41"/>
              <w:b w:val="0"/>
            </w:rPr>
            <w:t>11.3</w:t>
          </w:r>
          <w:r>
            <w:rPr>
              <w:rFonts w:asciiTheme="minorHAnsi" w:hAnsiTheme="minorHAnsi" w:eastAsiaTheme="minorEastAsia" w:cstheme="minorBidi"/>
              <w:b w:val="0"/>
              <w:kern w:val="2"/>
              <w:sz w:val="21"/>
            </w:rPr>
            <w:tab/>
          </w:r>
          <w:r>
            <w:rPr>
              <w:rStyle w:val="41"/>
              <w:b w:val="0"/>
            </w:rPr>
            <w:t>吸音吊顶</w:t>
          </w:r>
          <w:r>
            <w:rPr>
              <w:b w:val="0"/>
            </w:rPr>
            <w:tab/>
          </w:r>
          <w:r>
            <w:rPr>
              <w:b w:val="0"/>
            </w:rPr>
            <w:fldChar w:fldCharType="begin"/>
          </w:r>
          <w:r>
            <w:rPr>
              <w:b w:val="0"/>
            </w:rPr>
            <w:instrText xml:space="preserve"> PAGEREF _Toc174556834 \h </w:instrText>
          </w:r>
          <w:r>
            <w:rPr>
              <w:b w:val="0"/>
            </w:rPr>
            <w:fldChar w:fldCharType="separate"/>
          </w:r>
          <w:r>
            <w:rPr>
              <w:b w:val="0"/>
            </w:rPr>
            <w:t>121</w:t>
          </w:r>
          <w:r>
            <w:rPr>
              <w:b w:val="0"/>
            </w:rPr>
            <w:fldChar w:fldCharType="end"/>
          </w:r>
          <w:r>
            <w:rPr>
              <w:b w:val="0"/>
            </w:rPr>
            <w:fldChar w:fldCharType="end"/>
          </w:r>
        </w:p>
        <w:p w14:paraId="7E3EC5C3">
          <w:pPr>
            <w:pStyle w:val="29"/>
            <w:rPr>
              <w:rFonts w:asciiTheme="minorHAnsi" w:hAnsiTheme="minorHAnsi" w:eastAsiaTheme="minorEastAsia" w:cstheme="minorBidi"/>
              <w:b w:val="0"/>
              <w:kern w:val="2"/>
              <w:sz w:val="21"/>
            </w:rPr>
          </w:pPr>
          <w:r>
            <w:fldChar w:fldCharType="begin"/>
          </w:r>
          <w:r>
            <w:instrText xml:space="preserve"> HYPERLINK \l "_Toc174556835" </w:instrText>
          </w:r>
          <w:r>
            <w:fldChar w:fldCharType="separate"/>
          </w:r>
          <w:r>
            <w:rPr>
              <w:rStyle w:val="41"/>
              <w:b w:val="0"/>
            </w:rPr>
            <w:t>11.4</w:t>
          </w:r>
          <w:r>
            <w:rPr>
              <w:rFonts w:asciiTheme="minorHAnsi" w:hAnsiTheme="minorHAnsi" w:eastAsiaTheme="minorEastAsia" w:cstheme="minorBidi"/>
              <w:b w:val="0"/>
              <w:kern w:val="2"/>
              <w:sz w:val="21"/>
            </w:rPr>
            <w:tab/>
          </w:r>
          <w:r>
            <w:rPr>
              <w:rStyle w:val="41"/>
              <w:b w:val="0"/>
            </w:rPr>
            <w:t>金属天花吊顶</w:t>
          </w:r>
          <w:r>
            <w:rPr>
              <w:b w:val="0"/>
            </w:rPr>
            <w:tab/>
          </w:r>
          <w:r>
            <w:rPr>
              <w:b w:val="0"/>
            </w:rPr>
            <w:fldChar w:fldCharType="begin"/>
          </w:r>
          <w:r>
            <w:rPr>
              <w:b w:val="0"/>
            </w:rPr>
            <w:instrText xml:space="preserve"> PAGEREF _Toc174556835 \h </w:instrText>
          </w:r>
          <w:r>
            <w:rPr>
              <w:b w:val="0"/>
            </w:rPr>
            <w:fldChar w:fldCharType="separate"/>
          </w:r>
          <w:r>
            <w:rPr>
              <w:b w:val="0"/>
            </w:rPr>
            <w:t>121</w:t>
          </w:r>
          <w:r>
            <w:rPr>
              <w:b w:val="0"/>
            </w:rPr>
            <w:fldChar w:fldCharType="end"/>
          </w:r>
          <w:r>
            <w:rPr>
              <w:b w:val="0"/>
            </w:rPr>
            <w:fldChar w:fldCharType="end"/>
          </w:r>
        </w:p>
        <w:p w14:paraId="1B31CC5C">
          <w:pPr>
            <w:pStyle w:val="25"/>
            <w:tabs>
              <w:tab w:val="left" w:pos="1260"/>
              <w:tab w:val="right" w:leader="dot" w:pos="9628"/>
            </w:tabs>
            <w:rPr>
              <w:rFonts w:asciiTheme="minorHAnsi" w:hAnsiTheme="minorHAnsi" w:eastAsiaTheme="minorEastAsia" w:cstheme="minorBidi"/>
              <w:kern w:val="2"/>
              <w:sz w:val="21"/>
            </w:rPr>
          </w:pPr>
          <w:r>
            <w:fldChar w:fldCharType="begin"/>
          </w:r>
          <w:r>
            <w:instrText xml:space="preserve"> HYPERLINK \l "_Toc174556836" </w:instrText>
          </w:r>
          <w:r>
            <w:fldChar w:fldCharType="separate"/>
          </w:r>
          <w:r>
            <w:rPr>
              <w:rStyle w:val="41"/>
            </w:rPr>
            <w:t>第12篇</w:t>
          </w:r>
          <w:r>
            <w:rPr>
              <w:rFonts w:asciiTheme="minorHAnsi" w:hAnsiTheme="minorHAnsi" w:eastAsiaTheme="minorEastAsia" w:cstheme="minorBidi"/>
              <w:kern w:val="2"/>
              <w:sz w:val="21"/>
            </w:rPr>
            <w:tab/>
          </w:r>
          <w:r>
            <w:rPr>
              <w:rStyle w:val="41"/>
            </w:rPr>
            <w:t>室外工程</w:t>
          </w:r>
          <w:r>
            <w:tab/>
          </w:r>
          <w:r>
            <w:fldChar w:fldCharType="begin"/>
          </w:r>
          <w:r>
            <w:instrText xml:space="preserve"> PAGEREF _Toc174556836 \h </w:instrText>
          </w:r>
          <w:r>
            <w:fldChar w:fldCharType="separate"/>
          </w:r>
          <w:r>
            <w:t>126</w:t>
          </w:r>
          <w:r>
            <w:fldChar w:fldCharType="end"/>
          </w:r>
          <w:r>
            <w:fldChar w:fldCharType="end"/>
          </w:r>
        </w:p>
        <w:p w14:paraId="2AC4C6CB">
          <w:pPr>
            <w:pStyle w:val="29"/>
            <w:rPr>
              <w:rFonts w:asciiTheme="minorHAnsi" w:hAnsiTheme="minorHAnsi" w:eastAsiaTheme="minorEastAsia" w:cstheme="minorBidi"/>
              <w:b w:val="0"/>
              <w:kern w:val="2"/>
              <w:sz w:val="21"/>
            </w:rPr>
          </w:pPr>
          <w:r>
            <w:fldChar w:fldCharType="begin"/>
          </w:r>
          <w:r>
            <w:instrText xml:space="preserve"> HYPERLINK \l "_Toc174556837" </w:instrText>
          </w:r>
          <w:r>
            <w:fldChar w:fldCharType="separate"/>
          </w:r>
          <w:r>
            <w:rPr>
              <w:rStyle w:val="41"/>
              <w:b w:val="0"/>
            </w:rPr>
            <w:t>12.1</w:t>
          </w:r>
          <w:r>
            <w:rPr>
              <w:rFonts w:asciiTheme="minorHAnsi" w:hAnsiTheme="minorHAnsi" w:eastAsiaTheme="minorEastAsia" w:cstheme="minorBidi"/>
              <w:b w:val="0"/>
              <w:kern w:val="2"/>
              <w:sz w:val="21"/>
            </w:rPr>
            <w:tab/>
          </w:r>
          <w:r>
            <w:rPr>
              <w:rStyle w:val="41"/>
              <w:b w:val="0"/>
            </w:rPr>
            <w:t>道路工程</w:t>
          </w:r>
          <w:r>
            <w:rPr>
              <w:b w:val="0"/>
            </w:rPr>
            <w:tab/>
          </w:r>
          <w:r>
            <w:rPr>
              <w:b w:val="0"/>
            </w:rPr>
            <w:fldChar w:fldCharType="begin"/>
          </w:r>
          <w:r>
            <w:rPr>
              <w:b w:val="0"/>
            </w:rPr>
            <w:instrText xml:space="preserve"> PAGEREF _Toc174556837 \h </w:instrText>
          </w:r>
          <w:r>
            <w:rPr>
              <w:b w:val="0"/>
            </w:rPr>
            <w:fldChar w:fldCharType="separate"/>
          </w:r>
          <w:r>
            <w:rPr>
              <w:b w:val="0"/>
            </w:rPr>
            <w:t>126</w:t>
          </w:r>
          <w:r>
            <w:rPr>
              <w:b w:val="0"/>
            </w:rPr>
            <w:fldChar w:fldCharType="end"/>
          </w:r>
          <w:r>
            <w:rPr>
              <w:b w:val="0"/>
            </w:rPr>
            <w:fldChar w:fldCharType="end"/>
          </w:r>
        </w:p>
        <w:p w14:paraId="74E82108">
          <w:pPr>
            <w:pStyle w:val="29"/>
            <w:rPr>
              <w:rFonts w:asciiTheme="minorHAnsi" w:hAnsiTheme="minorHAnsi" w:eastAsiaTheme="minorEastAsia" w:cstheme="minorBidi"/>
              <w:b w:val="0"/>
              <w:kern w:val="2"/>
              <w:sz w:val="21"/>
            </w:rPr>
          </w:pPr>
          <w:r>
            <w:fldChar w:fldCharType="begin"/>
          </w:r>
          <w:r>
            <w:instrText xml:space="preserve"> HYPERLINK \l "_Toc174556838" </w:instrText>
          </w:r>
          <w:r>
            <w:fldChar w:fldCharType="separate"/>
          </w:r>
          <w:r>
            <w:rPr>
              <w:rStyle w:val="41"/>
              <w:b w:val="0"/>
            </w:rPr>
            <w:t>12.2</w:t>
          </w:r>
          <w:r>
            <w:rPr>
              <w:rFonts w:asciiTheme="minorHAnsi" w:hAnsiTheme="minorHAnsi" w:eastAsiaTheme="minorEastAsia" w:cstheme="minorBidi"/>
              <w:b w:val="0"/>
              <w:kern w:val="2"/>
              <w:sz w:val="21"/>
            </w:rPr>
            <w:tab/>
          </w:r>
          <w:r>
            <w:rPr>
              <w:rStyle w:val="41"/>
              <w:b w:val="0"/>
            </w:rPr>
            <w:t>围墙</w:t>
          </w:r>
          <w:r>
            <w:rPr>
              <w:b w:val="0"/>
            </w:rPr>
            <w:tab/>
          </w:r>
          <w:r>
            <w:rPr>
              <w:b w:val="0"/>
            </w:rPr>
            <w:fldChar w:fldCharType="begin"/>
          </w:r>
          <w:r>
            <w:rPr>
              <w:b w:val="0"/>
            </w:rPr>
            <w:instrText xml:space="preserve"> PAGEREF _Toc174556838 \h </w:instrText>
          </w:r>
          <w:r>
            <w:rPr>
              <w:b w:val="0"/>
            </w:rPr>
            <w:fldChar w:fldCharType="separate"/>
          </w:r>
          <w:r>
            <w:rPr>
              <w:b w:val="0"/>
            </w:rPr>
            <w:t>131</w:t>
          </w:r>
          <w:r>
            <w:rPr>
              <w:b w:val="0"/>
            </w:rPr>
            <w:fldChar w:fldCharType="end"/>
          </w:r>
          <w:r>
            <w:rPr>
              <w:b w:val="0"/>
            </w:rPr>
            <w:fldChar w:fldCharType="end"/>
          </w:r>
        </w:p>
        <w:p w14:paraId="58A277AD">
          <w:pPr>
            <w:pStyle w:val="25"/>
            <w:tabs>
              <w:tab w:val="left" w:pos="1050"/>
              <w:tab w:val="right" w:leader="dot" w:pos="9628"/>
            </w:tabs>
            <w:rPr>
              <w:rStyle w:val="41"/>
              <w:color w:val="auto"/>
              <w:u w:val="none"/>
            </w:rPr>
          </w:pPr>
          <w:r>
            <w:rPr>
              <w:rFonts w:hint="eastAsia" w:ascii="黑体" w:hAnsi="黑体"/>
              <w:bCs/>
              <w:szCs w:val="18"/>
              <w:lang w:val="zh-CN"/>
            </w:rPr>
            <w:fldChar w:fldCharType="end"/>
          </w:r>
          <w:r>
            <w:rPr>
              <w:rStyle w:val="41"/>
              <w:rFonts w:hint="eastAsia"/>
              <w:color w:val="auto"/>
              <w:u w:val="none"/>
            </w:rPr>
            <w:t>附件一：防火封堵工程技术规范</w:t>
          </w:r>
        </w:p>
        <w:p w14:paraId="38A8BF7D">
          <w:pPr>
            <w:pStyle w:val="25"/>
            <w:tabs>
              <w:tab w:val="left" w:pos="1050"/>
              <w:tab w:val="right" w:leader="dot" w:pos="9628"/>
            </w:tabs>
            <w:rPr>
              <w:rStyle w:val="41"/>
              <w:color w:val="auto"/>
              <w:u w:val="none"/>
            </w:rPr>
          </w:pPr>
          <w:r>
            <w:rPr>
              <w:rStyle w:val="41"/>
              <w:rFonts w:hint="eastAsia"/>
              <w:color w:val="auto"/>
              <w:u w:val="none"/>
            </w:rPr>
            <w:t>附件</w:t>
          </w:r>
          <w:r>
            <w:rPr>
              <w:rStyle w:val="41"/>
              <w:rFonts w:hint="eastAsia"/>
              <w:color w:val="auto"/>
              <w:u w:val="none"/>
              <w:lang w:val="en-US" w:eastAsia="zh-CN"/>
            </w:rPr>
            <w:t>二</w:t>
          </w:r>
          <w:r>
            <w:rPr>
              <w:rStyle w:val="41"/>
              <w:rFonts w:hint="eastAsia"/>
              <w:color w:val="auto"/>
              <w:u w:val="none"/>
            </w:rPr>
            <w:t>：疏水板技术标准</w:t>
          </w:r>
        </w:p>
        <w:p w14:paraId="290A4671">
          <w:pPr>
            <w:pStyle w:val="25"/>
            <w:tabs>
              <w:tab w:val="left" w:pos="1050"/>
              <w:tab w:val="right" w:leader="dot" w:pos="9628"/>
            </w:tabs>
            <w:rPr>
              <w:rStyle w:val="41"/>
              <w:color w:val="auto"/>
              <w:u w:val="none"/>
            </w:rPr>
          </w:pPr>
          <w:r>
            <w:rPr>
              <w:rStyle w:val="41"/>
              <w:color w:val="auto"/>
              <w:u w:val="none"/>
            </w:rPr>
            <w:t>附件</w:t>
          </w:r>
          <w:r>
            <w:rPr>
              <w:rStyle w:val="41"/>
              <w:rFonts w:hint="eastAsia"/>
              <w:color w:val="auto"/>
              <w:u w:val="none"/>
              <w:lang w:val="en-US" w:eastAsia="zh-CN"/>
            </w:rPr>
            <w:t>三</w:t>
          </w:r>
          <w:r>
            <w:rPr>
              <w:rStyle w:val="41"/>
              <w:color w:val="auto"/>
              <w:u w:val="none"/>
            </w:rPr>
            <w:t>：浮筑楼板技术规范</w:t>
          </w:r>
        </w:p>
        <w:p w14:paraId="7A13516E">
          <w:pPr>
            <w:pStyle w:val="25"/>
            <w:tabs>
              <w:tab w:val="left" w:pos="1050"/>
              <w:tab w:val="right" w:leader="dot" w:pos="9628"/>
            </w:tabs>
            <w:rPr>
              <w:rStyle w:val="41"/>
              <w:rFonts w:hint="eastAsia" w:ascii="黑体" w:hAnsi="黑体" w:eastAsia="黑体" w:cs="黑体"/>
              <w:color w:val="auto"/>
              <w:u w:val="none"/>
            </w:rPr>
          </w:pPr>
          <w:r>
            <w:rPr>
              <w:rStyle w:val="41"/>
              <w:rFonts w:hint="eastAsia" w:ascii="黑体" w:hAnsi="黑体" w:eastAsia="黑体" w:cs="黑体"/>
              <w:color w:val="auto"/>
              <w:u w:val="none"/>
            </w:rPr>
            <w:t>附件</w:t>
          </w:r>
          <w:r>
            <w:rPr>
              <w:rStyle w:val="41"/>
              <w:rFonts w:hint="eastAsia" w:ascii="黑体" w:hAnsi="黑体" w:eastAsia="黑体" w:cs="黑体"/>
              <w:color w:val="auto"/>
              <w:u w:val="none"/>
              <w:lang w:val="en-US" w:eastAsia="zh-CN"/>
            </w:rPr>
            <w:t>四</w:t>
          </w:r>
          <w:r>
            <w:rPr>
              <w:rStyle w:val="41"/>
              <w:rFonts w:hint="eastAsia" w:ascii="黑体" w:hAnsi="黑体" w:eastAsia="黑体" w:cs="黑体"/>
              <w:color w:val="auto"/>
              <w:u w:val="none"/>
            </w:rPr>
            <w:t>：钢结构防腐与防火涂料设计标准</w:t>
          </w:r>
        </w:p>
        <w:p w14:paraId="5AC99051">
          <w:pPr>
            <w:pStyle w:val="25"/>
            <w:tabs>
              <w:tab w:val="left" w:pos="1050"/>
              <w:tab w:val="right" w:leader="dot" w:pos="9628"/>
            </w:tabs>
            <w:rPr>
              <w:rStyle w:val="41"/>
              <w:rFonts w:hint="eastAsia" w:ascii="黑体" w:hAnsi="黑体" w:eastAsia="黑体" w:cs="黑体"/>
              <w:color w:val="auto"/>
              <w:u w:val="none"/>
            </w:rPr>
          </w:pPr>
          <w:r>
            <w:rPr>
              <w:rStyle w:val="41"/>
              <w:rFonts w:hint="eastAsia" w:ascii="黑体" w:hAnsi="黑体" w:eastAsia="黑体" w:cs="黑体"/>
              <w:color w:val="auto"/>
              <w:u w:val="none"/>
            </w:rPr>
            <w:fldChar w:fldCharType="begin"/>
          </w:r>
          <w:r>
            <w:rPr>
              <w:rStyle w:val="41"/>
              <w:rFonts w:hint="eastAsia" w:ascii="黑体" w:hAnsi="黑体" w:eastAsia="黑体" w:cs="黑体"/>
              <w:color w:val="auto"/>
              <w:u w:val="none"/>
            </w:rPr>
            <w:instrText xml:space="preserve"> HYPERLINK \l "OLE_LINK1" </w:instrText>
          </w:r>
          <w:r>
            <w:rPr>
              <w:rStyle w:val="41"/>
              <w:rFonts w:hint="eastAsia" w:ascii="黑体" w:hAnsi="黑体" w:eastAsia="黑体" w:cs="黑体"/>
              <w:color w:val="auto"/>
              <w:u w:val="none"/>
            </w:rPr>
            <w:fldChar w:fldCharType="separate"/>
          </w:r>
          <w:r>
            <w:rPr>
              <w:rStyle w:val="41"/>
              <w:rFonts w:hint="eastAsia" w:ascii="黑体" w:hAnsi="黑体" w:eastAsia="黑体" w:cs="黑体"/>
              <w:color w:val="auto"/>
              <w:u w:val="none"/>
            </w:rPr>
            <w:t>附件</w:t>
          </w:r>
          <w:r>
            <w:rPr>
              <w:rStyle w:val="41"/>
              <w:rFonts w:hint="eastAsia" w:ascii="黑体" w:hAnsi="黑体" w:eastAsia="黑体" w:cs="黑体"/>
              <w:color w:val="auto"/>
              <w:u w:val="none"/>
              <w:lang w:val="en-US" w:eastAsia="zh-CN"/>
            </w:rPr>
            <w:t>五</w:t>
          </w:r>
          <w:r>
            <w:rPr>
              <w:rStyle w:val="41"/>
              <w:rFonts w:hint="eastAsia" w:ascii="黑体" w:hAnsi="黑体" w:eastAsia="黑体" w:cs="黑体"/>
              <w:color w:val="auto"/>
              <w:u w:val="none"/>
            </w:rPr>
            <w:t>：钢结构防火涂料产品与施工技术标准</w:t>
          </w:r>
          <w:r>
            <w:rPr>
              <w:rStyle w:val="41"/>
              <w:rFonts w:hint="eastAsia" w:ascii="黑体" w:hAnsi="黑体" w:eastAsia="黑体" w:cs="黑体"/>
              <w:color w:val="auto"/>
              <w:u w:val="none"/>
            </w:rPr>
            <w:fldChar w:fldCharType="end"/>
          </w:r>
        </w:p>
        <w:p w14:paraId="18F225A5">
          <w:pPr>
            <w:pStyle w:val="25"/>
            <w:tabs>
              <w:tab w:val="left" w:pos="1050"/>
              <w:tab w:val="right" w:leader="dot" w:pos="9628"/>
            </w:tabs>
            <w:rPr>
              <w:rStyle w:val="41"/>
              <w:color w:val="auto"/>
              <w:u w:val="none"/>
            </w:rPr>
          </w:pPr>
        </w:p>
      </w:sdtContent>
    </w:sdt>
    <w:p w14:paraId="2144869D">
      <w:pPr>
        <w:pStyle w:val="2"/>
        <w:ind w:left="365" w:hanging="365"/>
        <w:rPr>
          <w:sz w:val="21"/>
        </w:rPr>
        <w:sectPr>
          <w:pgSz w:w="11906" w:h="16838"/>
          <w:pgMar w:top="709" w:right="1134" w:bottom="709" w:left="1134" w:header="794" w:footer="488" w:gutter="0"/>
          <w:pgNumType w:start="1"/>
          <w:cols w:space="425" w:num="1"/>
          <w:docGrid w:type="lines" w:linePitch="312" w:charSpace="0"/>
        </w:sectPr>
      </w:pPr>
      <w:bookmarkStart w:id="1" w:name="_Toc174556762"/>
    </w:p>
    <w:p w14:paraId="56F90C21">
      <w:pPr>
        <w:pStyle w:val="2"/>
        <w:ind w:left="365" w:hanging="365"/>
        <w:rPr>
          <w:sz w:val="21"/>
        </w:rPr>
      </w:pPr>
      <w:r>
        <w:rPr>
          <w:rFonts w:hint="eastAsia"/>
          <w:sz w:val="21"/>
        </w:rPr>
        <w:t>工料规范总则</w:t>
      </w:r>
      <w:bookmarkEnd w:id="1"/>
    </w:p>
    <w:p w14:paraId="757B6643">
      <w:pPr>
        <w:pStyle w:val="3"/>
        <w:jc w:val="left"/>
      </w:pPr>
      <w:bookmarkStart w:id="2" w:name="_Toc174556763"/>
      <w:r>
        <w:rPr>
          <w:rFonts w:hint="eastAsia"/>
        </w:rPr>
        <w:t>目的</w:t>
      </w:r>
      <w:bookmarkEnd w:id="2"/>
    </w:p>
    <w:p w14:paraId="052FB7A8">
      <w:pPr>
        <w:pStyle w:val="96"/>
        <w:ind w:left="849" w:firstLine="0"/>
        <w:jc w:val="left"/>
        <w:rPr>
          <w:b w:val="0"/>
          <w:sz w:val="18"/>
        </w:rPr>
      </w:pPr>
      <w:r>
        <w:rPr>
          <w:rFonts w:hint="eastAsia"/>
          <w:b w:val="0"/>
          <w:sz w:val="18"/>
        </w:rPr>
        <w:t>保证各专业材料设备统招、专业分包招标及项目履行过程中的需要，提高招标和项目履行过程中技术清晰度，做到技术依据统一。</w:t>
      </w:r>
    </w:p>
    <w:p w14:paraId="2A9F6E7F">
      <w:pPr>
        <w:pStyle w:val="3"/>
        <w:jc w:val="left"/>
      </w:pPr>
      <w:bookmarkStart w:id="3" w:name="_Toc174556764"/>
      <w:r>
        <w:rPr>
          <w:rFonts w:hint="eastAsia"/>
        </w:rPr>
        <w:t>适用范围</w:t>
      </w:r>
      <w:bookmarkEnd w:id="3"/>
    </w:p>
    <w:p w14:paraId="67C35BCD">
      <w:pPr>
        <w:pStyle w:val="96"/>
        <w:ind w:left="849" w:firstLine="0"/>
        <w:jc w:val="left"/>
        <w:rPr>
          <w:b w:val="0"/>
          <w:sz w:val="18"/>
        </w:rPr>
      </w:pPr>
      <w:r>
        <w:rPr>
          <w:rFonts w:hint="eastAsia"/>
          <w:b w:val="0"/>
          <w:sz w:val="18"/>
        </w:rPr>
        <w:t>保证各专业材料设备统招、专业分包招标及项目履行过程中的需要，提高招标和项目履行过程中技术清晰度，做到技术依据统一。</w:t>
      </w:r>
    </w:p>
    <w:p w14:paraId="31BC03B8">
      <w:pPr>
        <w:pStyle w:val="3"/>
        <w:jc w:val="left"/>
      </w:pPr>
      <w:bookmarkStart w:id="4" w:name="_Toc174556765"/>
      <w:r>
        <w:rPr>
          <w:rFonts w:hint="eastAsia"/>
        </w:rPr>
        <w:t>应用导则</w:t>
      </w:r>
      <w:bookmarkEnd w:id="4"/>
    </w:p>
    <w:p w14:paraId="52B27195">
      <w:pPr>
        <w:pStyle w:val="96"/>
        <w:numPr>
          <w:ilvl w:val="2"/>
          <w:numId w:val="5"/>
        </w:numPr>
        <w:jc w:val="left"/>
        <w:rPr>
          <w:b w:val="0"/>
          <w:sz w:val="18"/>
        </w:rPr>
      </w:pPr>
      <w:r>
        <w:rPr>
          <w:rFonts w:hint="eastAsia"/>
          <w:b w:val="0"/>
          <w:sz w:val="18"/>
        </w:rPr>
        <w:t>如某项目设计师能够就上述专业提供成熟完整的工料规范，经设计处、商务评审部审定之后建议使用设计师提供的版本，保证项目设计资料的完整性、系统性、配套性；如工料规范未能达到要求，则建议设计师在本工料规范基础上修订。</w:t>
      </w:r>
    </w:p>
    <w:p w14:paraId="51E5CCDC">
      <w:pPr>
        <w:pStyle w:val="96"/>
        <w:numPr>
          <w:ilvl w:val="2"/>
          <w:numId w:val="5"/>
        </w:numPr>
        <w:jc w:val="left"/>
        <w:rPr>
          <w:b w:val="0"/>
          <w:sz w:val="18"/>
        </w:rPr>
      </w:pPr>
      <w:r>
        <w:rPr>
          <w:rFonts w:hint="eastAsia"/>
          <w:b w:val="0"/>
          <w:sz w:val="18"/>
        </w:rPr>
        <w:t>本工料规范为一般性指导文件，具体工程需要根据工程的具体设计和应用情况进行修改，以适用于工程项目的实际情况。</w:t>
      </w:r>
    </w:p>
    <w:p w14:paraId="1B0F00F6">
      <w:pPr>
        <w:pStyle w:val="96"/>
        <w:numPr>
          <w:ilvl w:val="2"/>
          <w:numId w:val="5"/>
        </w:numPr>
        <w:jc w:val="left"/>
        <w:rPr>
          <w:b w:val="0"/>
          <w:sz w:val="18"/>
        </w:rPr>
      </w:pPr>
      <w:r>
        <w:rPr>
          <w:rFonts w:hint="eastAsia"/>
          <w:b w:val="0"/>
          <w:sz w:val="18"/>
        </w:rPr>
        <w:t>本工料规范在制定的过程中参考了各种具体设备、具体的系统，可能会存在技术条款的排他性，在招标时允许潜在供应单位提出异议和/或质疑，该异议/或质疑提出经过相应的决策机构评审之后可以适当调整。</w:t>
      </w:r>
    </w:p>
    <w:p w14:paraId="2A4D3FFB">
      <w:pPr>
        <w:pStyle w:val="96"/>
        <w:numPr>
          <w:ilvl w:val="2"/>
          <w:numId w:val="5"/>
        </w:numPr>
        <w:jc w:val="left"/>
        <w:rPr>
          <w:b w:val="0"/>
          <w:sz w:val="18"/>
        </w:rPr>
      </w:pPr>
      <w:r>
        <w:rPr>
          <w:rFonts w:hint="eastAsia"/>
          <w:b w:val="0"/>
          <w:sz w:val="18"/>
        </w:rPr>
        <w:t>本工料规范每一章节都独成体系，单独设备或材料统招时可以独立选用，唯选用本工料规范章节仅为通用之技术条款；本工料规范独立章节作为材料设备招标使用时需与相应工程配合之规定、商务要求之规定才能作为招标文件的一部分使用。</w:t>
      </w:r>
    </w:p>
    <w:p w14:paraId="4D39AF63">
      <w:pPr>
        <w:pStyle w:val="96"/>
        <w:numPr>
          <w:ilvl w:val="2"/>
          <w:numId w:val="5"/>
        </w:numPr>
        <w:jc w:val="left"/>
        <w:rPr>
          <w:b w:val="0"/>
          <w:sz w:val="18"/>
        </w:rPr>
      </w:pPr>
      <w:r>
        <w:rPr>
          <w:rFonts w:hint="eastAsia"/>
          <w:b w:val="0"/>
          <w:sz w:val="18"/>
        </w:rPr>
        <w:t>本工料规范应结合合同、图纸及其他技术要求共同使用。</w:t>
      </w:r>
    </w:p>
    <w:p w14:paraId="64F15160">
      <w:pPr>
        <w:pStyle w:val="3"/>
        <w:jc w:val="left"/>
      </w:pPr>
      <w:bookmarkStart w:id="5" w:name="_Toc174556766"/>
      <w:r>
        <w:rPr>
          <w:rFonts w:hint="eastAsia"/>
        </w:rPr>
        <w:t>注意事项</w:t>
      </w:r>
      <w:bookmarkEnd w:id="5"/>
    </w:p>
    <w:p w14:paraId="7C9094B6">
      <w:pPr>
        <w:pStyle w:val="97"/>
        <w:numPr>
          <w:ilvl w:val="2"/>
          <w:numId w:val="6"/>
        </w:numPr>
        <w:jc w:val="left"/>
      </w:pPr>
      <w:r>
        <w:rPr>
          <w:rFonts w:hint="eastAsia"/>
        </w:rPr>
        <w:t>本工料规范作为技术管理要求的一部分，若有部分条款与相应的国家、行业、当地政府特殊要求相冲突或低于它们技术规定、技术要求的，须遵循国家、行业、当地政府的技术规定或要求。</w:t>
      </w:r>
    </w:p>
    <w:p w14:paraId="4990D936">
      <w:pPr>
        <w:pStyle w:val="97"/>
        <w:numPr>
          <w:ilvl w:val="2"/>
          <w:numId w:val="6"/>
        </w:numPr>
        <w:jc w:val="left"/>
      </w:pPr>
      <w:r>
        <w:rPr>
          <w:rFonts w:hint="eastAsia"/>
        </w:rPr>
        <w:t>公司新建、改扩建工程除了需要遵循本工料规范规定外，尚应符合其他专业有关规定和工料规范的要求。</w:t>
      </w:r>
    </w:p>
    <w:p w14:paraId="799995F1">
      <w:pPr>
        <w:pStyle w:val="97"/>
        <w:numPr>
          <w:ilvl w:val="2"/>
          <w:numId w:val="6"/>
        </w:numPr>
        <w:jc w:val="left"/>
        <w:sectPr>
          <w:footerReference r:id="rId3" w:type="default"/>
          <w:pgSz w:w="11906" w:h="16838"/>
          <w:pgMar w:top="709" w:right="1134" w:bottom="709" w:left="1134" w:header="794" w:footer="488" w:gutter="0"/>
          <w:pgNumType w:fmt="decimal" w:start="1"/>
          <w:cols w:space="425" w:num="1"/>
          <w:docGrid w:type="lines" w:linePitch="312" w:charSpace="0"/>
        </w:sectPr>
      </w:pPr>
      <w:r>
        <w:rPr>
          <w:rFonts w:hint="eastAsia"/>
        </w:rPr>
        <w:t>本工料规范依据现国家有关工程质量的法律、法规、管理标准和技术标准，结合公司项目管理的要求、标准和管理程序及其管理实践进行编制。</w:t>
      </w:r>
    </w:p>
    <w:p w14:paraId="4C3EF95A">
      <w:pPr>
        <w:pStyle w:val="2"/>
        <w:ind w:left="426" w:hanging="426"/>
        <w:rPr>
          <w:sz w:val="21"/>
        </w:rPr>
      </w:pPr>
      <w:bookmarkStart w:id="6" w:name="_Toc399688982"/>
      <w:bookmarkStart w:id="7" w:name="_Toc174556767"/>
      <w:r>
        <w:rPr>
          <w:rFonts w:hint="eastAsia"/>
          <w:sz w:val="21"/>
        </w:rPr>
        <w:t>砌体工程</w:t>
      </w:r>
      <w:bookmarkEnd w:id="6"/>
      <w:bookmarkEnd w:id="7"/>
    </w:p>
    <w:p w14:paraId="3385B3C7">
      <w:pPr>
        <w:pStyle w:val="3"/>
        <w:jc w:val="left"/>
      </w:pPr>
      <w:bookmarkStart w:id="8" w:name="_Toc174556768"/>
      <w:bookmarkStart w:id="9" w:name="_Toc399688983"/>
      <w:r>
        <w:rPr>
          <w:rFonts w:hint="eastAsia"/>
        </w:rPr>
        <w:t>概述</w:t>
      </w:r>
      <w:bookmarkEnd w:id="8"/>
      <w:bookmarkEnd w:id="9"/>
    </w:p>
    <w:p w14:paraId="5D804AF0">
      <w:pPr>
        <w:pStyle w:val="97"/>
      </w:pPr>
      <w:r>
        <w:rPr>
          <w:rFonts w:hint="eastAsia"/>
        </w:rPr>
        <w:t>砌体墙体一般要求</w:t>
      </w:r>
    </w:p>
    <w:p w14:paraId="07B75BE8">
      <w:pPr>
        <w:pStyle w:val="111"/>
        <w:numPr>
          <w:ilvl w:val="0"/>
          <w:numId w:val="7"/>
        </w:numPr>
      </w:pPr>
      <w:r>
        <w:rPr>
          <w:rFonts w:hint="eastAsia"/>
        </w:rPr>
        <w:t>本篇</w:t>
      </w:r>
      <w:r>
        <w:t>所述砌体均指非承重的填充墙，用于建筑外墙及室内功能房间的分隔墙体</w:t>
      </w:r>
      <w:r>
        <w:rPr>
          <w:rFonts w:hint="eastAsia"/>
        </w:rPr>
        <w:t>。</w:t>
      </w:r>
      <w:r>
        <w:t>承重</w:t>
      </w:r>
      <w:r>
        <w:rPr>
          <w:rFonts w:hint="eastAsia"/>
        </w:rPr>
        <w:t>墙体</w:t>
      </w:r>
      <w:r>
        <w:t>的技术要求按结构</w:t>
      </w:r>
      <w:r>
        <w:rPr>
          <w:rFonts w:hint="eastAsia"/>
        </w:rPr>
        <w:t>设计</w:t>
      </w:r>
      <w:r>
        <w:t>。</w:t>
      </w:r>
    </w:p>
    <w:p w14:paraId="0F486ECF">
      <w:pPr>
        <w:pStyle w:val="111"/>
        <w:numPr>
          <w:ilvl w:val="0"/>
          <w:numId w:val="7"/>
        </w:numPr>
        <w:jc w:val="left"/>
      </w:pPr>
      <w:r>
        <w:rPr>
          <w:rFonts w:hint="eastAsia"/>
        </w:rPr>
        <w:t>本</w:t>
      </w:r>
      <w:r>
        <w:t>规范与设计图纸配套，用于工程招标及施工。当</w:t>
      </w:r>
      <w:r>
        <w:rPr>
          <w:rFonts w:hint="eastAsia"/>
        </w:rPr>
        <w:t>设计</w:t>
      </w:r>
      <w:r>
        <w:t>图纸</w:t>
      </w:r>
      <w:r>
        <w:rPr>
          <w:rFonts w:hint="eastAsia"/>
        </w:rPr>
        <w:t>没有</w:t>
      </w:r>
      <w:r>
        <w:t>明确的要求</w:t>
      </w:r>
      <w:r>
        <w:rPr>
          <w:rFonts w:hint="eastAsia"/>
        </w:rPr>
        <w:t>或</w:t>
      </w:r>
      <w:r>
        <w:t>要求低于本规范</w:t>
      </w:r>
      <w:r>
        <w:rPr>
          <w:rFonts w:hint="eastAsia"/>
        </w:rPr>
        <w:t>时</w:t>
      </w:r>
      <w:r>
        <w:t>，均按</w:t>
      </w:r>
      <w:r>
        <w:rPr>
          <w:rFonts w:hint="eastAsia"/>
        </w:rPr>
        <w:t>本</w:t>
      </w:r>
      <w:r>
        <w:t>规范的</w:t>
      </w:r>
      <w:r>
        <w:rPr>
          <w:rFonts w:hint="eastAsia"/>
        </w:rPr>
        <w:t>要求</w:t>
      </w:r>
      <w:r>
        <w:t>处理。</w:t>
      </w:r>
    </w:p>
    <w:p w14:paraId="717EE8AA">
      <w:pPr>
        <w:pStyle w:val="111"/>
        <w:numPr>
          <w:ilvl w:val="0"/>
          <w:numId w:val="7"/>
        </w:numPr>
        <w:jc w:val="left"/>
      </w:pPr>
      <w:r>
        <w:rPr>
          <w:rFonts w:hint="eastAsia"/>
        </w:rPr>
        <w:t>砌体</w:t>
      </w:r>
      <w:r>
        <w:t>墙需</w:t>
      </w:r>
      <w:r>
        <w:rPr>
          <w:rFonts w:hint="eastAsia"/>
        </w:rPr>
        <w:t>结</w:t>
      </w:r>
      <w:r>
        <w:t>合抗震</w:t>
      </w:r>
      <w:r>
        <w:rPr>
          <w:rFonts w:hint="eastAsia"/>
        </w:rPr>
        <w:t>及</w:t>
      </w:r>
      <w:r>
        <w:t>墙体安全要求</w:t>
      </w:r>
      <w:r>
        <w:rPr>
          <w:rFonts w:hint="eastAsia"/>
        </w:rPr>
        <w:t>设置</w:t>
      </w:r>
      <w:r>
        <w:t>构造柱、</w:t>
      </w:r>
      <w:r>
        <w:rPr>
          <w:rFonts w:hint="eastAsia"/>
        </w:rPr>
        <w:t>框住</w:t>
      </w:r>
      <w:r>
        <w:t>、圈梁、</w:t>
      </w:r>
      <w:r>
        <w:rPr>
          <w:rFonts w:hint="eastAsia"/>
        </w:rPr>
        <w:t>水平</w:t>
      </w:r>
      <w:r>
        <w:t>系梁、连接钢筋等。施工</w:t>
      </w:r>
      <w:r>
        <w:rPr>
          <w:rFonts w:hint="eastAsia"/>
        </w:rPr>
        <w:t>墙</w:t>
      </w:r>
      <w:r>
        <w:t>，承包商应根据设计要求及国家现行规范</w:t>
      </w:r>
      <w:r>
        <w:rPr>
          <w:rFonts w:hint="eastAsia"/>
        </w:rPr>
        <w:t>及国家标准</w:t>
      </w:r>
      <w:r>
        <w:t>图集</w:t>
      </w:r>
      <w:r>
        <w:rPr>
          <w:rFonts w:hint="eastAsia"/>
        </w:rPr>
        <w:t>13</w:t>
      </w:r>
      <w:r>
        <w:t>J104的</w:t>
      </w:r>
      <w:r>
        <w:rPr>
          <w:rFonts w:hint="eastAsia"/>
        </w:rPr>
        <w:t>有关</w:t>
      </w:r>
      <w:r>
        <w:t>要求</w:t>
      </w:r>
      <w:r>
        <w:rPr>
          <w:rFonts w:hint="eastAsia"/>
        </w:rPr>
        <w:t>，</w:t>
      </w:r>
      <w:r>
        <w:t>绘制深化设计图</w:t>
      </w:r>
      <w:r>
        <w:rPr>
          <w:rFonts w:hint="eastAsia"/>
        </w:rPr>
        <w:t>，报</w:t>
      </w:r>
      <w:r>
        <w:t>设计师审批后实施。</w:t>
      </w:r>
    </w:p>
    <w:p w14:paraId="0C961A99">
      <w:pPr>
        <w:pStyle w:val="111"/>
        <w:numPr>
          <w:ilvl w:val="0"/>
          <w:numId w:val="7"/>
        </w:numPr>
        <w:jc w:val="left"/>
      </w:pPr>
      <w:r>
        <w:rPr>
          <w:rFonts w:hint="eastAsia"/>
        </w:rPr>
        <w:t>墙体</w:t>
      </w:r>
      <w:r>
        <w:t>的</w:t>
      </w:r>
      <w:r>
        <w:rPr>
          <w:rFonts w:hint="eastAsia"/>
        </w:rPr>
        <w:t>洞口</w:t>
      </w:r>
      <w:r>
        <w:t>应事先预留，避免事后开凿。施工</w:t>
      </w:r>
      <w:r>
        <w:rPr>
          <w:rFonts w:hint="eastAsia"/>
        </w:rPr>
        <w:t>前</w:t>
      </w:r>
      <w:r>
        <w:t>应只会相关设备专业，核实洞口的位置及尺寸。凡</w:t>
      </w:r>
      <w:r>
        <w:rPr>
          <w:rFonts w:hint="eastAsia"/>
        </w:rPr>
        <w:t>没有</w:t>
      </w:r>
      <w:r>
        <w:t>与相关专业协调引起的返工责任</w:t>
      </w:r>
      <w:r>
        <w:rPr>
          <w:rFonts w:hint="eastAsia"/>
        </w:rPr>
        <w:t>由土建</w:t>
      </w:r>
      <w:r>
        <w:t>承包商自行承担。</w:t>
      </w:r>
    </w:p>
    <w:p w14:paraId="5D652F28">
      <w:pPr>
        <w:pStyle w:val="111"/>
        <w:numPr>
          <w:ilvl w:val="0"/>
          <w:numId w:val="7"/>
        </w:numPr>
        <w:jc w:val="left"/>
      </w:pPr>
      <w:r>
        <w:rPr>
          <w:rFonts w:hint="eastAsia"/>
        </w:rPr>
        <w:t>所有</w:t>
      </w:r>
      <w:r>
        <w:t>加气混凝土墙体</w:t>
      </w:r>
      <w:r>
        <w:rPr>
          <w:rFonts w:hint="eastAsia"/>
        </w:rPr>
        <w:t>根</w:t>
      </w:r>
      <w:r>
        <w:t>部</w:t>
      </w:r>
      <w:r>
        <w:rPr>
          <w:rFonts w:hint="eastAsia"/>
        </w:rPr>
        <w:t>均</w:t>
      </w:r>
      <w:r>
        <w:t>设混凝土坎墙。设计</w:t>
      </w:r>
      <w:r>
        <w:rPr>
          <w:rFonts w:hint="eastAsia"/>
        </w:rPr>
        <w:t>无</w:t>
      </w:r>
      <w:r>
        <w:t>规定时，坎墙高度</w:t>
      </w:r>
      <w:r>
        <w:rPr>
          <w:rFonts w:hint="eastAsia"/>
        </w:rPr>
        <w:t>不小于</w:t>
      </w:r>
      <w:r>
        <w:t>建筑完成面</w:t>
      </w:r>
      <w:r>
        <w:rPr>
          <w:rFonts w:hint="eastAsia"/>
        </w:rPr>
        <w:t>200</w:t>
      </w:r>
      <w:r>
        <w:t>mm</w:t>
      </w:r>
      <w:r>
        <w:rPr>
          <w:rFonts w:hint="eastAsia"/>
        </w:rPr>
        <w:t>。</w:t>
      </w:r>
      <w:r>
        <w:t>坎墙</w:t>
      </w:r>
      <w:r>
        <w:rPr>
          <w:rFonts w:hint="eastAsia"/>
        </w:rPr>
        <w:t>混凝土</w:t>
      </w:r>
      <w:r>
        <w:t>不低于C20，必须振捣密实</w:t>
      </w:r>
      <w:r>
        <w:rPr>
          <w:rFonts w:hint="eastAsia"/>
        </w:rPr>
        <w:t>，与</w:t>
      </w:r>
      <w:r>
        <w:t>结构板分离浇筑时，</w:t>
      </w:r>
      <w:r>
        <w:rPr>
          <w:rFonts w:hint="eastAsia"/>
        </w:rPr>
        <w:t>基面打毛且</w:t>
      </w:r>
      <w:r>
        <w:t>清洗干净</w:t>
      </w:r>
      <w:r>
        <w:rPr>
          <w:rFonts w:hint="eastAsia"/>
        </w:rPr>
        <w:t>。当</w:t>
      </w:r>
      <w:r>
        <w:t>坎墙宽度</w:t>
      </w:r>
      <w:r>
        <w:rPr>
          <w:rFonts w:hint="eastAsia"/>
        </w:rPr>
        <w:t>为200</w:t>
      </w:r>
      <w:r>
        <w:t>~300</w:t>
      </w:r>
      <w:r>
        <w:rPr>
          <w:rFonts w:hint="eastAsia"/>
        </w:rPr>
        <w:t>，</w:t>
      </w:r>
      <w:r>
        <w:t>高度不大于</w:t>
      </w:r>
      <w:r>
        <w:rPr>
          <w:rFonts w:hint="eastAsia"/>
        </w:rPr>
        <w:t>300时，</w:t>
      </w:r>
      <w:r>
        <w:t>可设</w:t>
      </w:r>
      <w:r>
        <w:rPr>
          <w:rFonts w:hint="eastAsia"/>
        </w:rPr>
        <w:t>2Φ8</w:t>
      </w:r>
      <w:r>
        <w:t>@250</w:t>
      </w:r>
      <w:r>
        <w:rPr>
          <w:rFonts w:hint="eastAsia"/>
        </w:rPr>
        <w:t>插</w:t>
      </w:r>
      <w:r>
        <w:t>筋</w:t>
      </w:r>
      <w:r>
        <w:rPr>
          <w:rFonts w:hint="eastAsia"/>
        </w:rPr>
        <w:t>（</w:t>
      </w:r>
      <w:r>
        <w:t>箍筋），纵筋2</w:t>
      </w:r>
      <w:r>
        <w:rPr>
          <w:rFonts w:hint="eastAsia"/>
        </w:rPr>
        <w:t>Φ</w:t>
      </w:r>
      <w:r>
        <w:t>10</w:t>
      </w:r>
      <w:r>
        <w:rPr>
          <w:rFonts w:hint="eastAsia"/>
        </w:rPr>
        <w:t>与</w:t>
      </w:r>
      <w:r>
        <w:t>插筋</w:t>
      </w:r>
      <w:r>
        <w:rPr>
          <w:rFonts w:hint="eastAsia"/>
        </w:rPr>
        <w:t>连接</w:t>
      </w:r>
      <w:r>
        <w:t>。</w:t>
      </w:r>
      <w:r>
        <w:rPr>
          <w:rFonts w:hint="eastAsia"/>
        </w:rPr>
        <w:t>100厚</w:t>
      </w:r>
      <w:r>
        <w:t>坎墙，可设一排</w:t>
      </w:r>
      <w:r>
        <w:rPr>
          <w:rFonts w:hint="eastAsia"/>
        </w:rPr>
        <w:t>插</w:t>
      </w:r>
      <w:r>
        <w:t>筋与纵筋</w:t>
      </w:r>
      <w:r>
        <w:rPr>
          <w:rFonts w:hint="eastAsia"/>
        </w:rPr>
        <w:t>1Φ</w:t>
      </w:r>
      <w:r>
        <w:t>10</w:t>
      </w:r>
      <w:r>
        <w:rPr>
          <w:rFonts w:hint="eastAsia"/>
        </w:rPr>
        <w:t>连接</w:t>
      </w:r>
      <w:r>
        <w:t>。</w:t>
      </w:r>
    </w:p>
    <w:p w14:paraId="6D89388B">
      <w:pPr>
        <w:pStyle w:val="111"/>
        <w:numPr>
          <w:ilvl w:val="0"/>
          <w:numId w:val="7"/>
        </w:numPr>
        <w:jc w:val="left"/>
      </w:pPr>
      <w:r>
        <w:rPr>
          <w:rFonts w:hint="eastAsia"/>
        </w:rPr>
        <w:t>为了</w:t>
      </w:r>
      <w:r>
        <w:t>提高工程质量，</w:t>
      </w:r>
      <w:r>
        <w:rPr>
          <w:rFonts w:hint="eastAsia"/>
        </w:rPr>
        <w:t>本</w:t>
      </w:r>
      <w:r>
        <w:t>规范</w:t>
      </w:r>
      <w:r>
        <w:rPr>
          <w:rFonts w:hint="eastAsia"/>
        </w:rPr>
        <w:t>的加气混凝土</w:t>
      </w:r>
      <w:r>
        <w:t>墙体默认采用优等品</w:t>
      </w:r>
      <w:r>
        <w:rPr>
          <w:rFonts w:hint="eastAsia"/>
        </w:rPr>
        <w:t>薄层粘结</w:t>
      </w:r>
      <w:r>
        <w:t>砌筑，</w:t>
      </w:r>
      <w:r>
        <w:rPr>
          <w:rFonts w:hint="eastAsia"/>
        </w:rPr>
        <w:t>其</w:t>
      </w:r>
      <w:r>
        <w:t>灰缝厚度</w:t>
      </w:r>
      <w:r>
        <w:rPr>
          <w:rFonts w:hint="eastAsia"/>
        </w:rPr>
        <w:t>为3</w:t>
      </w:r>
      <w:r>
        <w:t>~5mm</w:t>
      </w:r>
      <w:r>
        <w:rPr>
          <w:rFonts w:hint="eastAsia"/>
        </w:rPr>
        <w:t>。砂浆饱满度</w:t>
      </w:r>
      <w:r>
        <w:t>应不小于</w:t>
      </w:r>
      <w:r>
        <w:rPr>
          <w:rFonts w:hint="eastAsia"/>
        </w:rPr>
        <w:t>95</w:t>
      </w:r>
      <w:r>
        <w:t>%。</w:t>
      </w:r>
    </w:p>
    <w:p w14:paraId="79BFB3ED">
      <w:pPr>
        <w:pStyle w:val="111"/>
        <w:numPr>
          <w:ilvl w:val="0"/>
          <w:numId w:val="7"/>
        </w:numPr>
        <w:jc w:val="left"/>
      </w:pPr>
      <w:r>
        <w:t>如</w:t>
      </w:r>
      <w:r>
        <w:rPr>
          <w:rFonts w:hint="eastAsia"/>
        </w:rPr>
        <w:t>市场难以</w:t>
      </w:r>
      <w:r>
        <w:t>采购到优等品砌块，</w:t>
      </w:r>
      <w:r>
        <w:rPr>
          <w:rFonts w:hint="eastAsia"/>
        </w:rPr>
        <w:t>需选用</w:t>
      </w:r>
      <w:r>
        <w:t>合格品</w:t>
      </w:r>
      <w:r>
        <w:rPr>
          <w:rFonts w:hint="eastAsia"/>
        </w:rPr>
        <w:t>等级</w:t>
      </w:r>
      <w:r>
        <w:t>的砌块</w:t>
      </w:r>
      <w:r>
        <w:rPr>
          <w:rFonts w:hint="eastAsia"/>
        </w:rPr>
        <w:t>，</w:t>
      </w:r>
      <w:r>
        <w:t>承包商应</w:t>
      </w:r>
      <w:r>
        <w:rPr>
          <w:rFonts w:hint="eastAsia"/>
        </w:rPr>
        <w:t>在投标时</w:t>
      </w:r>
      <w:r>
        <w:t>提出并</w:t>
      </w:r>
      <w:r>
        <w:rPr>
          <w:rFonts w:hint="eastAsia"/>
        </w:rPr>
        <w:t>征</w:t>
      </w:r>
      <w:r>
        <w:t>得发包方</w:t>
      </w:r>
      <w:r>
        <w:rPr>
          <w:rFonts w:hint="eastAsia"/>
        </w:rPr>
        <w:t>同意</w:t>
      </w:r>
      <w:r>
        <w:t>。</w:t>
      </w:r>
      <w:r>
        <w:rPr>
          <w:rFonts w:hint="eastAsia"/>
        </w:rPr>
        <w:t>合格品砌筑</w:t>
      </w:r>
      <w:r>
        <w:t>时其灰缝厚度</w:t>
      </w:r>
      <w:r>
        <w:rPr>
          <w:rFonts w:hint="eastAsia"/>
        </w:rPr>
        <w:t>宜</w:t>
      </w:r>
      <w:r>
        <w:t>为</w:t>
      </w:r>
      <w:r>
        <w:rPr>
          <w:rFonts w:hint="eastAsia"/>
        </w:rPr>
        <w:t>10</w:t>
      </w:r>
      <w:r>
        <w:t>~15mm</w:t>
      </w:r>
      <w:r>
        <w:rPr>
          <w:rFonts w:hint="eastAsia"/>
        </w:rPr>
        <w:t>，砂浆</w:t>
      </w:r>
      <w:r>
        <w:t>饱满度垂直缝应不小于</w:t>
      </w:r>
      <w:r>
        <w:rPr>
          <w:rFonts w:hint="eastAsia"/>
        </w:rPr>
        <w:t>85</w:t>
      </w:r>
      <w:r>
        <w:t>%，水平缝应不小于</w:t>
      </w:r>
      <w:r>
        <w:rPr>
          <w:rFonts w:hint="eastAsia"/>
        </w:rPr>
        <w:t>90</w:t>
      </w:r>
      <w:r>
        <w:t>%</w:t>
      </w:r>
      <w:r>
        <w:rPr>
          <w:rFonts w:hint="eastAsia"/>
        </w:rPr>
        <w:t>。</w:t>
      </w:r>
    </w:p>
    <w:p w14:paraId="15A628AA">
      <w:pPr>
        <w:pStyle w:val="111"/>
        <w:numPr>
          <w:ilvl w:val="0"/>
          <w:numId w:val="7"/>
        </w:numPr>
        <w:jc w:val="left"/>
      </w:pPr>
      <w:r>
        <w:rPr>
          <w:rFonts w:hint="eastAsia"/>
        </w:rPr>
        <w:t>砌体材料的</w:t>
      </w:r>
      <w:r>
        <w:t>选用</w:t>
      </w:r>
      <w:r>
        <w:rPr>
          <w:rFonts w:hint="eastAsia"/>
        </w:rPr>
        <w:t>应</w:t>
      </w:r>
      <w:r>
        <w:t>符合以下要求：</w:t>
      </w:r>
    </w:p>
    <w:p w14:paraId="71BDBB64">
      <w:pPr>
        <w:pStyle w:val="97"/>
        <w:numPr>
          <w:ilvl w:val="0"/>
          <w:numId w:val="8"/>
        </w:numPr>
        <w:jc w:val="left"/>
      </w:pPr>
      <w:r>
        <w:rPr>
          <w:rFonts w:hint="eastAsia"/>
        </w:rPr>
        <w:t>加气混凝土墙体</w:t>
      </w:r>
      <w:r>
        <w:t>：采用B07密度级别的优等品（优先）或合格品，</w:t>
      </w:r>
      <w:r>
        <w:rPr>
          <w:rFonts w:hint="eastAsia"/>
        </w:rPr>
        <w:t>砌筑</w:t>
      </w:r>
      <w:r>
        <w:t>砂浆</w:t>
      </w:r>
      <w:r>
        <w:rPr>
          <w:rFonts w:hint="eastAsia"/>
        </w:rPr>
        <w:t>内墙为</w:t>
      </w:r>
      <w:r>
        <w:t>Ma5.0</w:t>
      </w:r>
      <w:r>
        <w:rPr>
          <w:rFonts w:hint="eastAsia"/>
        </w:rPr>
        <w:t>，外墙</w:t>
      </w:r>
      <w:r>
        <w:t>为Ma7.5。</w:t>
      </w:r>
    </w:p>
    <w:p w14:paraId="3962781A">
      <w:pPr>
        <w:pStyle w:val="97"/>
        <w:numPr>
          <w:ilvl w:val="0"/>
          <w:numId w:val="8"/>
        </w:numPr>
        <w:jc w:val="left"/>
      </w:pPr>
      <w:r>
        <w:rPr>
          <w:rFonts w:hint="eastAsia"/>
        </w:rPr>
        <w:t>蒸压</w:t>
      </w:r>
      <w:r>
        <w:t>灰砂砖墙体：</w:t>
      </w:r>
      <w:r>
        <w:rPr>
          <w:rFonts w:hint="eastAsia"/>
        </w:rPr>
        <w:t>采用</w:t>
      </w:r>
      <w:r>
        <w:t>MU15</w:t>
      </w:r>
      <w:r>
        <w:rPr>
          <w:rFonts w:hint="eastAsia"/>
        </w:rPr>
        <w:t>以上砖，</w:t>
      </w:r>
      <w:r>
        <w:t>M10砂浆</w:t>
      </w:r>
      <w:r>
        <w:rPr>
          <w:rFonts w:hint="eastAsia"/>
        </w:rPr>
        <w:t>。</w:t>
      </w:r>
    </w:p>
    <w:p w14:paraId="7CCB42D2">
      <w:pPr>
        <w:spacing w:line="360" w:lineRule="auto"/>
        <w:ind w:left="425"/>
        <w:jc w:val="left"/>
        <w:rPr>
          <w:rFonts w:ascii="黑体" w:hAnsi="黑体"/>
          <w:szCs w:val="18"/>
        </w:rPr>
      </w:pPr>
    </w:p>
    <w:p w14:paraId="4AC7E3CA">
      <w:pPr>
        <w:pStyle w:val="97"/>
      </w:pPr>
      <w:r>
        <w:rPr>
          <w:rFonts w:hint="eastAsia"/>
        </w:rPr>
        <w:t>规范依据</w:t>
      </w:r>
    </w:p>
    <w:p w14:paraId="4E8006CF">
      <w:pPr>
        <w:spacing w:line="360" w:lineRule="auto"/>
        <w:ind w:firstLine="990" w:firstLineChars="550"/>
        <w:jc w:val="left"/>
        <w:rPr>
          <w:rFonts w:ascii="黑体" w:hAnsi="黑体"/>
          <w:szCs w:val="18"/>
        </w:rPr>
      </w:pPr>
      <w:r>
        <w:rPr>
          <w:rFonts w:hint="eastAsia" w:ascii="黑体" w:hAnsi="黑体"/>
          <w:szCs w:val="18"/>
        </w:rPr>
        <w:t>除另有注明外，本工程须符合设计、图纸和相关国家、地方及行业标准，主要包括但不限于：</w:t>
      </w:r>
    </w:p>
    <w:p w14:paraId="29376DCA">
      <w:pPr>
        <w:pStyle w:val="97"/>
        <w:numPr>
          <w:ilvl w:val="0"/>
          <w:numId w:val="9"/>
        </w:numPr>
      </w:pPr>
      <w:r>
        <w:rPr>
          <w:rFonts w:hint="eastAsia"/>
        </w:rPr>
        <w:t>《工程建设标准强制性条文》</w:t>
      </w:r>
    </w:p>
    <w:p w14:paraId="6AC419DE">
      <w:pPr>
        <w:pStyle w:val="97"/>
        <w:numPr>
          <w:ilvl w:val="0"/>
          <w:numId w:val="9"/>
        </w:numPr>
      </w:pPr>
      <w:r>
        <w:rPr>
          <w:rFonts w:hint="eastAsia"/>
        </w:rPr>
        <w:t>《建筑工程施工质量验收统一标准》（GB50300</w:t>
      </w:r>
      <w:r>
        <w:t>）</w:t>
      </w:r>
    </w:p>
    <w:p w14:paraId="74FEA582">
      <w:pPr>
        <w:pStyle w:val="97"/>
        <w:numPr>
          <w:ilvl w:val="0"/>
          <w:numId w:val="9"/>
        </w:numPr>
      </w:pPr>
      <w:r>
        <w:rPr>
          <w:rFonts w:hint="eastAsia"/>
        </w:rPr>
        <w:t>《建筑装饰装修工程施工及验收规范》（GB50210</w:t>
      </w:r>
      <w:r>
        <w:t>）</w:t>
      </w:r>
    </w:p>
    <w:p w14:paraId="2489BA8B">
      <w:pPr>
        <w:pStyle w:val="97"/>
        <w:numPr>
          <w:ilvl w:val="0"/>
          <w:numId w:val="9"/>
        </w:numPr>
      </w:pPr>
      <w:r>
        <w:rPr>
          <w:rFonts w:hint="eastAsia"/>
        </w:rPr>
        <w:t>《</w:t>
      </w:r>
      <w:r>
        <w:t>墙体材料应用统一技术规范》（GB50574-2010）</w:t>
      </w:r>
    </w:p>
    <w:p w14:paraId="5FF29A83">
      <w:pPr>
        <w:pStyle w:val="97"/>
        <w:numPr>
          <w:ilvl w:val="0"/>
          <w:numId w:val="9"/>
        </w:numPr>
      </w:pPr>
      <w:r>
        <w:rPr>
          <w:rFonts w:hint="eastAsia"/>
        </w:rPr>
        <w:t>《砌体结构工程施工质量验收规范》（GB 50203</w:t>
      </w:r>
      <w:r>
        <w:t>-2011</w:t>
      </w:r>
      <w:r>
        <w:rPr>
          <w:rFonts w:hint="eastAsia"/>
        </w:rPr>
        <w:t>）</w:t>
      </w:r>
    </w:p>
    <w:p w14:paraId="6D14B614">
      <w:pPr>
        <w:pStyle w:val="97"/>
        <w:numPr>
          <w:ilvl w:val="0"/>
          <w:numId w:val="9"/>
        </w:numPr>
      </w:pPr>
      <w:r>
        <w:rPr>
          <w:rFonts w:hint="eastAsia"/>
        </w:rPr>
        <w:t>《</w:t>
      </w:r>
      <w:r>
        <w:t>蒸压加气混凝土砌块</w:t>
      </w:r>
      <w:r>
        <w:rPr>
          <w:rFonts w:hint="eastAsia"/>
        </w:rPr>
        <w:t>》（GB 11968</w:t>
      </w:r>
      <w:r>
        <w:t>-2006）</w:t>
      </w:r>
    </w:p>
    <w:p w14:paraId="276C99F5">
      <w:pPr>
        <w:pStyle w:val="97"/>
        <w:numPr>
          <w:ilvl w:val="0"/>
          <w:numId w:val="9"/>
        </w:numPr>
      </w:pPr>
      <w:r>
        <w:rPr>
          <w:rFonts w:hint="eastAsia"/>
        </w:rPr>
        <w:t>《蒸压加气混凝土建筑应用技术规程》（JGJ/T17）</w:t>
      </w:r>
    </w:p>
    <w:p w14:paraId="228D704E">
      <w:pPr>
        <w:pStyle w:val="97"/>
        <w:numPr>
          <w:ilvl w:val="0"/>
          <w:numId w:val="9"/>
        </w:numPr>
      </w:pPr>
      <w:r>
        <w:rPr>
          <w:rFonts w:hint="eastAsia"/>
        </w:rPr>
        <w:t>《蒸压加气砼用砌筑砂浆与抹灰砂浆》（JC890）</w:t>
      </w:r>
    </w:p>
    <w:p w14:paraId="1D2A4798">
      <w:pPr>
        <w:pStyle w:val="97"/>
        <w:numPr>
          <w:ilvl w:val="0"/>
          <w:numId w:val="9"/>
        </w:numPr>
      </w:pPr>
      <w:r>
        <w:rPr>
          <w:rFonts w:hint="eastAsia"/>
        </w:rPr>
        <w:t>《抹灰砂浆技术规程》（JGJT220）</w:t>
      </w:r>
    </w:p>
    <w:p w14:paraId="359317D5">
      <w:pPr>
        <w:pStyle w:val="97"/>
        <w:numPr>
          <w:ilvl w:val="0"/>
          <w:numId w:val="9"/>
        </w:numPr>
      </w:pPr>
      <w:r>
        <w:rPr>
          <w:rFonts w:hint="eastAsia"/>
        </w:rPr>
        <w:t>《蒸压加气混凝土砌块、板材构造》（</w:t>
      </w:r>
      <w:r>
        <w:t>13J104</w:t>
      </w:r>
      <w:r>
        <w:rPr>
          <w:rFonts w:hint="eastAsia"/>
        </w:rPr>
        <w:t>）</w:t>
      </w:r>
    </w:p>
    <w:p w14:paraId="0A398311">
      <w:pPr>
        <w:pStyle w:val="97"/>
        <w:numPr>
          <w:ilvl w:val="0"/>
          <w:numId w:val="9"/>
        </w:numPr>
      </w:pPr>
      <w:r>
        <w:rPr>
          <w:rFonts w:hint="eastAsia"/>
        </w:rPr>
        <w:t>《粉煤灰砖》（</w:t>
      </w:r>
      <w:r>
        <w:t>JC239</w:t>
      </w:r>
      <w:r>
        <w:rPr>
          <w:rFonts w:hint="eastAsia"/>
        </w:rPr>
        <w:t>）</w:t>
      </w:r>
    </w:p>
    <w:p w14:paraId="31F14B97">
      <w:pPr>
        <w:spacing w:line="360" w:lineRule="auto"/>
        <w:ind w:left="420"/>
        <w:jc w:val="left"/>
        <w:rPr>
          <w:rFonts w:ascii="黑体" w:hAnsi="黑体"/>
          <w:szCs w:val="18"/>
        </w:rPr>
      </w:pPr>
    </w:p>
    <w:p w14:paraId="60CD0A9E">
      <w:pPr>
        <w:pStyle w:val="3"/>
        <w:jc w:val="left"/>
      </w:pPr>
      <w:bookmarkStart w:id="10" w:name="_Toc399688984"/>
      <w:bookmarkStart w:id="11" w:name="_Toc174556769"/>
      <w:r>
        <w:rPr>
          <w:rFonts w:hint="eastAsia"/>
        </w:rPr>
        <w:t>加气混凝土砌块</w:t>
      </w:r>
      <w:bookmarkEnd w:id="10"/>
      <w:bookmarkEnd w:id="11"/>
    </w:p>
    <w:p w14:paraId="7FE5257E">
      <w:pPr>
        <w:pStyle w:val="97"/>
      </w:pPr>
      <w:r>
        <w:rPr>
          <w:rFonts w:hint="eastAsia"/>
        </w:rPr>
        <w:t>材料技术要求</w:t>
      </w:r>
    </w:p>
    <w:p w14:paraId="1A2DCC58">
      <w:pPr>
        <w:pStyle w:val="111"/>
        <w:jc w:val="left"/>
      </w:pPr>
      <w:r>
        <w:t xml:space="preserve">砌体工程所用的材料应有产品的合格证书、产品性能检测报告，包括砌筑砂浆的试块试验报告 </w:t>
      </w:r>
      <w:r>
        <w:rPr>
          <w:rFonts w:hint="eastAsia"/>
        </w:rPr>
        <w:t>。</w:t>
      </w:r>
    </w:p>
    <w:p w14:paraId="226843FD">
      <w:pPr>
        <w:pStyle w:val="111"/>
        <w:jc w:val="left"/>
      </w:pPr>
      <w:r>
        <w:t>不得使用外观质量不合格的砌块，施工时所用的砌块产品龄期不应小于28天。</w:t>
      </w:r>
    </w:p>
    <w:p w14:paraId="3DF0DA26">
      <w:pPr>
        <w:pStyle w:val="111"/>
        <w:jc w:val="left"/>
      </w:pPr>
      <w:r>
        <w:rPr>
          <w:rFonts w:hint="eastAsia"/>
        </w:rPr>
        <w:t>加气混凝土砌块厂家的要求：</w:t>
      </w:r>
    </w:p>
    <w:p w14:paraId="77ACA037">
      <w:pPr>
        <w:numPr>
          <w:ilvl w:val="0"/>
          <w:numId w:val="10"/>
        </w:numPr>
        <w:autoSpaceDE w:val="0"/>
        <w:autoSpaceDN w:val="0"/>
        <w:adjustRightInd w:val="0"/>
        <w:spacing w:line="360" w:lineRule="auto"/>
        <w:jc w:val="left"/>
        <w:rPr>
          <w:rFonts w:ascii="黑体" w:hAnsi="黑体" w:cs="宋体"/>
          <w:kern w:val="0"/>
          <w:szCs w:val="18"/>
        </w:rPr>
      </w:pPr>
      <w:r>
        <w:rPr>
          <w:rFonts w:ascii="黑体" w:hAnsi="黑体" w:cs="宋体"/>
          <w:kern w:val="0"/>
          <w:szCs w:val="18"/>
        </w:rPr>
        <w:t>生产企业年生产能力在10万立方米以上。</w:t>
      </w:r>
    </w:p>
    <w:p w14:paraId="6634FCEC">
      <w:pPr>
        <w:numPr>
          <w:ilvl w:val="0"/>
          <w:numId w:val="10"/>
        </w:numPr>
        <w:autoSpaceDE w:val="0"/>
        <w:autoSpaceDN w:val="0"/>
        <w:adjustRightInd w:val="0"/>
        <w:spacing w:line="360" w:lineRule="auto"/>
        <w:jc w:val="left"/>
        <w:rPr>
          <w:rFonts w:ascii="黑体" w:hAnsi="黑体" w:cs="宋体"/>
          <w:kern w:val="0"/>
          <w:szCs w:val="18"/>
        </w:rPr>
      </w:pPr>
      <w:r>
        <w:rPr>
          <w:rFonts w:ascii="黑体" w:hAnsi="黑体" w:cs="宋体"/>
          <w:kern w:val="0"/>
          <w:szCs w:val="18"/>
        </w:rPr>
        <w:t>有配套完整的生产线，采用自动配料、机械切割和蒸压养护生产工艺。</w:t>
      </w:r>
    </w:p>
    <w:p w14:paraId="4401BD47">
      <w:pPr>
        <w:numPr>
          <w:ilvl w:val="0"/>
          <w:numId w:val="10"/>
        </w:numPr>
        <w:autoSpaceDE w:val="0"/>
        <w:autoSpaceDN w:val="0"/>
        <w:adjustRightInd w:val="0"/>
        <w:spacing w:line="360" w:lineRule="auto"/>
        <w:jc w:val="left"/>
        <w:rPr>
          <w:rFonts w:ascii="黑体" w:hAnsi="黑体" w:cs="宋体"/>
          <w:kern w:val="0"/>
          <w:szCs w:val="18"/>
        </w:rPr>
      </w:pPr>
      <w:r>
        <w:rPr>
          <w:rFonts w:ascii="黑体" w:hAnsi="黑体" w:cs="宋体"/>
          <w:kern w:val="0"/>
          <w:szCs w:val="18"/>
        </w:rPr>
        <w:t>蒸汽供应量和蒸汽压力满足生产规模与工艺质量要求；产品堆放场地应能存放15天以上产量的产品（不低于4000平方米），并应有防雨遮盖。</w:t>
      </w:r>
    </w:p>
    <w:p w14:paraId="4FA28EBD">
      <w:pPr>
        <w:pStyle w:val="111"/>
        <w:jc w:val="left"/>
      </w:pPr>
      <w:r>
        <w:rPr>
          <w:rFonts w:hint="eastAsia"/>
        </w:rPr>
        <w:t>加气块主要质量控制指标应</w:t>
      </w:r>
      <w:r>
        <w:t>符合</w:t>
      </w:r>
      <w:r>
        <w:rPr>
          <w:rFonts w:hint="eastAsia"/>
        </w:rPr>
        <w:t>《</w:t>
      </w:r>
      <w:r>
        <w:t>蒸压加气混凝土砌块》GB11968-2006的要求，</w:t>
      </w:r>
      <w:r>
        <w:rPr>
          <w:rFonts w:hint="eastAsia"/>
        </w:rPr>
        <w:t>相关</w:t>
      </w:r>
      <w:r>
        <w:t>材料的主要指标分列如下</w:t>
      </w:r>
      <w:r>
        <w:rPr>
          <w:rFonts w:hint="eastAsia"/>
        </w:rPr>
        <w:t>，</w:t>
      </w:r>
      <w:r>
        <w:t>未予列出的部分详见该</w:t>
      </w:r>
      <w:r>
        <w:rPr>
          <w:rFonts w:hint="eastAsia"/>
        </w:rPr>
        <w:t>标准：</w:t>
      </w:r>
    </w:p>
    <w:p w14:paraId="08316541">
      <w:pPr>
        <w:numPr>
          <w:ilvl w:val="0"/>
          <w:numId w:val="10"/>
        </w:numPr>
        <w:autoSpaceDE w:val="0"/>
        <w:autoSpaceDN w:val="0"/>
        <w:adjustRightInd w:val="0"/>
        <w:spacing w:line="360" w:lineRule="auto"/>
        <w:jc w:val="left"/>
        <w:rPr>
          <w:rFonts w:ascii="黑体" w:hAnsi="黑体" w:cs="宋体"/>
          <w:kern w:val="0"/>
          <w:szCs w:val="18"/>
        </w:rPr>
      </w:pPr>
      <w:r>
        <w:rPr>
          <w:rFonts w:ascii="黑体" w:hAnsi="黑体" w:cs="宋体"/>
          <w:kern w:val="0"/>
          <w:szCs w:val="18"/>
        </w:rPr>
        <w:t>抗压强度</w:t>
      </w:r>
      <w:r>
        <w:rPr>
          <w:rFonts w:hint="eastAsia" w:ascii="黑体" w:hAnsi="黑体" w:cs="宋体"/>
          <w:kern w:val="0"/>
          <w:szCs w:val="18"/>
        </w:rPr>
        <w:t>要求</w:t>
      </w:r>
      <w:r>
        <w:rPr>
          <w:rFonts w:ascii="黑体" w:hAnsi="黑体" w:cs="宋体"/>
          <w:kern w:val="0"/>
          <w:szCs w:val="18"/>
        </w:rPr>
        <w:t>：</w:t>
      </w:r>
      <w:r>
        <w:rPr>
          <w:rFonts w:hint="eastAsia" w:ascii="黑体" w:hAnsi="黑体" w:cs="宋体"/>
          <w:kern w:val="0"/>
          <w:szCs w:val="18"/>
        </w:rPr>
        <w:t>B07</w:t>
      </w:r>
      <w:r>
        <w:rPr>
          <w:rFonts w:ascii="黑体" w:hAnsi="黑体" w:cs="宋体"/>
          <w:kern w:val="0"/>
          <w:szCs w:val="18"/>
        </w:rPr>
        <w:t>优等品A7</w:t>
      </w:r>
      <w:r>
        <w:rPr>
          <w:rFonts w:hint="eastAsia" w:ascii="黑体" w:hAnsi="黑体" w:cs="宋体"/>
          <w:kern w:val="0"/>
          <w:szCs w:val="18"/>
        </w:rPr>
        <w:t>.</w:t>
      </w:r>
      <w:r>
        <w:rPr>
          <w:rFonts w:ascii="黑体" w:hAnsi="黑体" w:cs="宋体"/>
          <w:kern w:val="0"/>
          <w:szCs w:val="18"/>
        </w:rPr>
        <w:t>5，抗压强度平均值≥7.5MPa</w:t>
      </w:r>
      <w:r>
        <w:rPr>
          <w:rFonts w:hint="eastAsia" w:ascii="黑体" w:hAnsi="黑体" w:cs="宋体"/>
          <w:kern w:val="0"/>
          <w:szCs w:val="18"/>
        </w:rPr>
        <w:t>，</w:t>
      </w:r>
      <w:r>
        <w:rPr>
          <w:rFonts w:ascii="黑体" w:hAnsi="黑体" w:cs="宋体"/>
          <w:kern w:val="0"/>
          <w:szCs w:val="18"/>
        </w:rPr>
        <w:t>单</w:t>
      </w:r>
      <w:r>
        <w:rPr>
          <w:rFonts w:hint="eastAsia" w:ascii="黑体" w:hAnsi="黑体" w:cs="宋体"/>
          <w:kern w:val="0"/>
          <w:szCs w:val="18"/>
        </w:rPr>
        <w:t>块</w:t>
      </w:r>
      <w:r>
        <w:rPr>
          <w:rFonts w:ascii="黑体" w:hAnsi="黑体" w:cs="宋体"/>
          <w:kern w:val="0"/>
          <w:szCs w:val="18"/>
        </w:rPr>
        <w:t>最小值不小于</w:t>
      </w:r>
      <w:r>
        <w:rPr>
          <w:rFonts w:hint="eastAsia" w:ascii="黑体" w:hAnsi="黑体" w:cs="宋体"/>
          <w:kern w:val="0"/>
          <w:szCs w:val="18"/>
        </w:rPr>
        <w:t>6</w:t>
      </w:r>
      <w:r>
        <w:rPr>
          <w:rFonts w:ascii="黑体" w:hAnsi="黑体" w:cs="宋体"/>
          <w:kern w:val="0"/>
          <w:szCs w:val="18"/>
        </w:rPr>
        <w:t xml:space="preserve">.0MPa </w:t>
      </w:r>
      <w:r>
        <w:rPr>
          <w:rFonts w:hint="eastAsia" w:ascii="黑体" w:hAnsi="黑体" w:cs="宋体"/>
          <w:kern w:val="0"/>
          <w:szCs w:val="18"/>
        </w:rPr>
        <w:t>；</w:t>
      </w:r>
      <w:r>
        <w:rPr>
          <w:rFonts w:ascii="黑体" w:hAnsi="黑体" w:cs="宋体"/>
          <w:kern w:val="0"/>
          <w:szCs w:val="18"/>
        </w:rPr>
        <w:t>B07合格品</w:t>
      </w:r>
      <w:r>
        <w:rPr>
          <w:rFonts w:hint="eastAsia" w:ascii="黑体" w:hAnsi="黑体" w:cs="宋体"/>
          <w:kern w:val="0"/>
          <w:szCs w:val="18"/>
        </w:rPr>
        <w:t>A</w:t>
      </w:r>
      <w:r>
        <w:rPr>
          <w:rFonts w:ascii="黑体" w:hAnsi="黑体" w:cs="宋体"/>
          <w:kern w:val="0"/>
          <w:szCs w:val="18"/>
        </w:rPr>
        <w:t>5.0</w:t>
      </w:r>
      <w:r>
        <w:rPr>
          <w:rFonts w:hint="eastAsia" w:ascii="黑体" w:hAnsi="黑体" w:cs="宋体"/>
          <w:kern w:val="0"/>
          <w:szCs w:val="18"/>
        </w:rPr>
        <w:t>，</w:t>
      </w:r>
      <w:r>
        <w:rPr>
          <w:rFonts w:ascii="黑体" w:hAnsi="黑体" w:cs="宋体"/>
          <w:kern w:val="0"/>
          <w:szCs w:val="18"/>
        </w:rPr>
        <w:t>抗压强度平均值≥5.0MPa</w:t>
      </w:r>
      <w:r>
        <w:rPr>
          <w:rFonts w:hint="eastAsia" w:ascii="黑体" w:hAnsi="黑体" w:cs="宋体"/>
          <w:kern w:val="0"/>
          <w:szCs w:val="18"/>
        </w:rPr>
        <w:t>，</w:t>
      </w:r>
      <w:r>
        <w:rPr>
          <w:rFonts w:ascii="黑体" w:hAnsi="黑体" w:cs="宋体"/>
          <w:kern w:val="0"/>
          <w:szCs w:val="18"/>
        </w:rPr>
        <w:t>单</w:t>
      </w:r>
      <w:r>
        <w:rPr>
          <w:rFonts w:hint="eastAsia" w:ascii="黑体" w:hAnsi="黑体" w:cs="宋体"/>
          <w:kern w:val="0"/>
          <w:szCs w:val="18"/>
        </w:rPr>
        <w:t>块</w:t>
      </w:r>
      <w:r>
        <w:rPr>
          <w:rFonts w:ascii="黑体" w:hAnsi="黑体" w:cs="宋体"/>
          <w:kern w:val="0"/>
          <w:szCs w:val="18"/>
        </w:rPr>
        <w:t>最小值不小于4.0MPa</w:t>
      </w:r>
    </w:p>
    <w:p w14:paraId="0A3AAF82">
      <w:pPr>
        <w:numPr>
          <w:ilvl w:val="0"/>
          <w:numId w:val="10"/>
        </w:numPr>
        <w:autoSpaceDE w:val="0"/>
        <w:autoSpaceDN w:val="0"/>
        <w:adjustRightInd w:val="0"/>
        <w:spacing w:line="360" w:lineRule="auto"/>
        <w:jc w:val="left"/>
        <w:rPr>
          <w:rFonts w:ascii="黑体" w:hAnsi="黑体"/>
          <w:kern w:val="0"/>
          <w:szCs w:val="18"/>
        </w:rPr>
      </w:pPr>
      <w:r>
        <w:rPr>
          <w:rFonts w:ascii="黑体" w:hAnsi="黑体" w:cs="宋体"/>
          <w:kern w:val="0"/>
          <w:szCs w:val="18"/>
        </w:rPr>
        <w:t>干密度</w:t>
      </w:r>
      <w:r>
        <w:rPr>
          <w:rFonts w:hint="eastAsia" w:ascii="黑体" w:hAnsi="黑体" w:cs="宋体"/>
          <w:kern w:val="0"/>
          <w:szCs w:val="18"/>
        </w:rPr>
        <w:t>要求</w:t>
      </w:r>
      <w:r>
        <w:rPr>
          <w:rFonts w:ascii="黑体" w:hAnsi="黑体" w:cs="宋体"/>
          <w:kern w:val="0"/>
          <w:szCs w:val="18"/>
        </w:rPr>
        <w:t>：B0</w:t>
      </w:r>
      <w:r>
        <w:rPr>
          <w:rFonts w:hint="eastAsia" w:ascii="黑体" w:hAnsi="黑体" w:cs="宋体"/>
          <w:kern w:val="0"/>
          <w:szCs w:val="18"/>
        </w:rPr>
        <w:t>7优等品</w:t>
      </w:r>
      <w:r>
        <w:rPr>
          <w:rFonts w:ascii="黑体" w:hAnsi="黑体" w:cs="宋体"/>
          <w:kern w:val="0"/>
          <w:szCs w:val="18"/>
        </w:rPr>
        <w:t>，干密度≤</w:t>
      </w:r>
      <w:r>
        <w:rPr>
          <w:rFonts w:hint="eastAsia" w:ascii="黑体" w:hAnsi="黑体" w:cs="宋体"/>
          <w:kern w:val="0"/>
          <w:szCs w:val="18"/>
        </w:rPr>
        <w:t>7</w:t>
      </w:r>
      <w:r>
        <w:rPr>
          <w:rFonts w:ascii="黑体" w:hAnsi="黑体" w:cs="宋体"/>
          <w:kern w:val="0"/>
          <w:szCs w:val="18"/>
        </w:rPr>
        <w:t xml:space="preserve">00kg/m3 </w:t>
      </w:r>
      <w:r>
        <w:rPr>
          <w:rFonts w:hint="eastAsia" w:ascii="黑体" w:hAnsi="黑体" w:cs="宋体"/>
          <w:kern w:val="0"/>
          <w:szCs w:val="18"/>
        </w:rPr>
        <w:t>；</w:t>
      </w:r>
      <w:r>
        <w:rPr>
          <w:rFonts w:ascii="黑体" w:hAnsi="黑体" w:cs="宋体"/>
          <w:kern w:val="0"/>
          <w:szCs w:val="18"/>
        </w:rPr>
        <w:t>B0</w:t>
      </w:r>
      <w:r>
        <w:rPr>
          <w:rFonts w:hint="eastAsia" w:ascii="黑体" w:hAnsi="黑体" w:cs="宋体"/>
          <w:kern w:val="0"/>
          <w:szCs w:val="18"/>
        </w:rPr>
        <w:t>7合格品</w:t>
      </w:r>
      <w:r>
        <w:rPr>
          <w:rFonts w:ascii="黑体" w:hAnsi="黑体" w:cs="宋体"/>
          <w:kern w:val="0"/>
          <w:szCs w:val="18"/>
        </w:rPr>
        <w:t>，干密度≤</w:t>
      </w:r>
      <w:r>
        <w:rPr>
          <w:rFonts w:hint="eastAsia" w:ascii="黑体" w:hAnsi="黑体" w:cs="宋体"/>
          <w:kern w:val="0"/>
          <w:szCs w:val="18"/>
        </w:rPr>
        <w:t>725</w:t>
      </w:r>
      <w:r>
        <w:rPr>
          <w:rFonts w:ascii="黑体" w:hAnsi="黑体" w:cs="宋体"/>
          <w:kern w:val="0"/>
          <w:szCs w:val="18"/>
        </w:rPr>
        <w:t>kg/m3</w:t>
      </w:r>
    </w:p>
    <w:p w14:paraId="79C5DE2A">
      <w:pPr>
        <w:numPr>
          <w:ilvl w:val="0"/>
          <w:numId w:val="10"/>
        </w:numPr>
        <w:spacing w:line="360" w:lineRule="auto"/>
        <w:jc w:val="left"/>
        <w:rPr>
          <w:rFonts w:ascii="黑体" w:hAnsi="黑体"/>
          <w:szCs w:val="18"/>
        </w:rPr>
      </w:pPr>
      <w:r>
        <w:rPr>
          <w:rFonts w:hint="eastAsia" w:ascii="黑体" w:hAnsi="黑体" w:cs="宋体"/>
          <w:kern w:val="0"/>
          <w:szCs w:val="18"/>
        </w:rPr>
        <w:t>砌块尺寸允许</w:t>
      </w:r>
      <w:r>
        <w:rPr>
          <w:rFonts w:ascii="黑体" w:hAnsi="黑体" w:cs="宋体"/>
          <w:kern w:val="0"/>
          <w:szCs w:val="18"/>
        </w:rPr>
        <w:t xml:space="preserve">偏差和外观要求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5107"/>
        <w:gridCol w:w="1134"/>
        <w:gridCol w:w="1129"/>
      </w:tblGrid>
      <w:tr w14:paraId="2137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0" w:type="dxa"/>
            <w:gridSpan w:val="2"/>
            <w:vMerge w:val="restart"/>
            <w:vAlign w:val="center"/>
          </w:tcPr>
          <w:p w14:paraId="6B268653">
            <w:pPr>
              <w:jc w:val="center"/>
              <w:rPr>
                <w:rFonts w:ascii="黑体" w:hAnsi="黑体"/>
                <w:szCs w:val="18"/>
              </w:rPr>
            </w:pPr>
            <w:r>
              <w:rPr>
                <w:rFonts w:hint="eastAsia" w:ascii="黑体" w:hAnsi="黑体"/>
                <w:szCs w:val="18"/>
              </w:rPr>
              <w:t xml:space="preserve">项  </w:t>
            </w:r>
            <w:r>
              <w:rPr>
                <w:rFonts w:ascii="黑体" w:hAnsi="黑体"/>
                <w:szCs w:val="18"/>
              </w:rPr>
              <w:t xml:space="preserve"> </w:t>
            </w:r>
            <w:r>
              <w:rPr>
                <w:rFonts w:hint="eastAsia" w:ascii="黑体" w:hAnsi="黑体"/>
                <w:szCs w:val="18"/>
              </w:rPr>
              <w:t xml:space="preserve">  目</w:t>
            </w:r>
          </w:p>
        </w:tc>
        <w:tc>
          <w:tcPr>
            <w:tcW w:w="2263" w:type="dxa"/>
            <w:gridSpan w:val="2"/>
          </w:tcPr>
          <w:p w14:paraId="02BD5A04">
            <w:pPr>
              <w:jc w:val="left"/>
              <w:rPr>
                <w:rFonts w:ascii="黑体" w:hAnsi="黑体"/>
                <w:szCs w:val="18"/>
              </w:rPr>
            </w:pPr>
            <w:r>
              <w:rPr>
                <w:rFonts w:hint="eastAsia" w:ascii="黑体" w:hAnsi="黑体"/>
                <w:szCs w:val="18"/>
              </w:rPr>
              <w:t>指  标</w:t>
            </w:r>
          </w:p>
        </w:tc>
      </w:tr>
      <w:tr w14:paraId="009D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0" w:type="dxa"/>
            <w:gridSpan w:val="2"/>
            <w:vMerge w:val="continue"/>
          </w:tcPr>
          <w:p w14:paraId="0A6669DD">
            <w:pPr>
              <w:jc w:val="left"/>
              <w:rPr>
                <w:rFonts w:ascii="黑体" w:hAnsi="黑体"/>
                <w:szCs w:val="18"/>
              </w:rPr>
            </w:pPr>
          </w:p>
        </w:tc>
        <w:tc>
          <w:tcPr>
            <w:tcW w:w="1134" w:type="dxa"/>
          </w:tcPr>
          <w:p w14:paraId="38141E91">
            <w:pPr>
              <w:jc w:val="left"/>
              <w:rPr>
                <w:rFonts w:ascii="黑体" w:hAnsi="黑体"/>
                <w:szCs w:val="18"/>
              </w:rPr>
            </w:pPr>
            <w:r>
              <w:rPr>
                <w:rFonts w:hint="eastAsia" w:ascii="黑体" w:hAnsi="黑体"/>
                <w:szCs w:val="18"/>
              </w:rPr>
              <w:t>优等品</w:t>
            </w:r>
            <w:r>
              <w:rPr>
                <w:rFonts w:ascii="黑体" w:hAnsi="黑体"/>
                <w:szCs w:val="18"/>
              </w:rPr>
              <w:t>（A）</w:t>
            </w:r>
          </w:p>
        </w:tc>
        <w:tc>
          <w:tcPr>
            <w:tcW w:w="1129" w:type="dxa"/>
          </w:tcPr>
          <w:p w14:paraId="65BFFD9C">
            <w:pPr>
              <w:jc w:val="left"/>
              <w:rPr>
                <w:rFonts w:ascii="黑体" w:hAnsi="黑体"/>
                <w:szCs w:val="18"/>
              </w:rPr>
            </w:pPr>
            <w:r>
              <w:rPr>
                <w:rFonts w:hint="eastAsia" w:ascii="黑体" w:hAnsi="黑体"/>
                <w:szCs w:val="18"/>
              </w:rPr>
              <w:t>合格品</w:t>
            </w:r>
            <w:r>
              <w:rPr>
                <w:rFonts w:ascii="黑体" w:hAnsi="黑体"/>
                <w:szCs w:val="18"/>
              </w:rPr>
              <w:t>（B）</w:t>
            </w:r>
          </w:p>
        </w:tc>
      </w:tr>
      <w:tr w14:paraId="2A01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Pr>
          <w:p w14:paraId="177927A1">
            <w:pPr>
              <w:spacing w:line="360" w:lineRule="auto"/>
              <w:jc w:val="left"/>
              <w:rPr>
                <w:rFonts w:ascii="黑体" w:hAnsi="黑体"/>
                <w:szCs w:val="18"/>
              </w:rPr>
            </w:pPr>
            <w:r>
              <w:rPr>
                <w:rFonts w:hint="eastAsia" w:ascii="黑体" w:hAnsi="黑体"/>
                <w:szCs w:val="18"/>
              </w:rPr>
              <w:t>尺寸</w:t>
            </w:r>
            <w:r>
              <w:rPr>
                <w:rFonts w:ascii="黑体" w:hAnsi="黑体"/>
                <w:szCs w:val="18"/>
              </w:rPr>
              <w:t>允许偏差</w:t>
            </w:r>
          </w:p>
        </w:tc>
        <w:tc>
          <w:tcPr>
            <w:tcW w:w="5107" w:type="dxa"/>
          </w:tcPr>
          <w:p w14:paraId="668BAC11">
            <w:pPr>
              <w:jc w:val="left"/>
              <w:rPr>
                <w:rFonts w:ascii="黑体" w:hAnsi="黑体"/>
                <w:szCs w:val="18"/>
              </w:rPr>
            </w:pPr>
            <w:r>
              <w:rPr>
                <w:rFonts w:hint="eastAsia" w:ascii="黑体" w:hAnsi="黑体"/>
                <w:szCs w:val="18"/>
              </w:rPr>
              <w:t>长度</w:t>
            </w:r>
            <w:r>
              <w:rPr>
                <w:rFonts w:ascii="黑体" w:hAnsi="黑体"/>
                <w:szCs w:val="18"/>
              </w:rPr>
              <w:t>L（mm）</w:t>
            </w:r>
          </w:p>
        </w:tc>
        <w:tc>
          <w:tcPr>
            <w:tcW w:w="1134" w:type="dxa"/>
          </w:tcPr>
          <w:p w14:paraId="17AEADE2">
            <w:pPr>
              <w:jc w:val="left"/>
              <w:rPr>
                <w:rFonts w:ascii="黑体" w:hAnsi="黑体"/>
                <w:szCs w:val="18"/>
              </w:rPr>
            </w:pPr>
            <w:r>
              <w:rPr>
                <w:rFonts w:hint="eastAsia" w:ascii="黑体" w:hAnsi="黑体"/>
                <w:szCs w:val="18"/>
              </w:rPr>
              <w:t>±</w:t>
            </w:r>
            <w:r>
              <w:rPr>
                <w:rFonts w:ascii="黑体" w:hAnsi="黑体"/>
                <w:szCs w:val="18"/>
              </w:rPr>
              <w:t>3</w:t>
            </w:r>
          </w:p>
        </w:tc>
        <w:tc>
          <w:tcPr>
            <w:tcW w:w="1129" w:type="dxa"/>
          </w:tcPr>
          <w:p w14:paraId="3839848F">
            <w:pPr>
              <w:jc w:val="left"/>
              <w:rPr>
                <w:rFonts w:ascii="黑体" w:hAnsi="黑体"/>
                <w:szCs w:val="18"/>
              </w:rPr>
            </w:pPr>
            <w:r>
              <w:rPr>
                <w:rFonts w:hint="eastAsia" w:ascii="黑体" w:hAnsi="黑体"/>
                <w:szCs w:val="18"/>
              </w:rPr>
              <w:t>±</w:t>
            </w:r>
            <w:r>
              <w:rPr>
                <w:rFonts w:ascii="黑体" w:hAnsi="黑体"/>
                <w:szCs w:val="18"/>
              </w:rPr>
              <w:t>4</w:t>
            </w:r>
          </w:p>
        </w:tc>
      </w:tr>
      <w:tr w14:paraId="2D2B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5A842FCA">
            <w:pPr>
              <w:spacing w:line="360" w:lineRule="auto"/>
              <w:jc w:val="left"/>
              <w:rPr>
                <w:rFonts w:ascii="黑体" w:hAnsi="黑体"/>
                <w:szCs w:val="18"/>
              </w:rPr>
            </w:pPr>
          </w:p>
        </w:tc>
        <w:tc>
          <w:tcPr>
            <w:tcW w:w="5107" w:type="dxa"/>
          </w:tcPr>
          <w:p w14:paraId="71B06717">
            <w:pPr>
              <w:jc w:val="left"/>
              <w:rPr>
                <w:rFonts w:ascii="黑体" w:hAnsi="黑体"/>
                <w:szCs w:val="18"/>
              </w:rPr>
            </w:pPr>
            <w:r>
              <w:rPr>
                <w:rFonts w:hint="eastAsia" w:ascii="黑体" w:hAnsi="黑体"/>
                <w:szCs w:val="18"/>
              </w:rPr>
              <w:t>宽度</w:t>
            </w:r>
            <w:r>
              <w:rPr>
                <w:rFonts w:ascii="黑体" w:hAnsi="黑体"/>
                <w:szCs w:val="18"/>
              </w:rPr>
              <w:t>B（mm）</w:t>
            </w:r>
          </w:p>
        </w:tc>
        <w:tc>
          <w:tcPr>
            <w:tcW w:w="1134" w:type="dxa"/>
          </w:tcPr>
          <w:p w14:paraId="4F80E73D">
            <w:pPr>
              <w:jc w:val="left"/>
              <w:rPr>
                <w:rFonts w:ascii="黑体" w:hAnsi="黑体"/>
                <w:szCs w:val="18"/>
              </w:rPr>
            </w:pPr>
            <w:r>
              <w:rPr>
                <w:rFonts w:hint="eastAsia" w:ascii="黑体" w:hAnsi="黑体"/>
                <w:szCs w:val="18"/>
              </w:rPr>
              <w:t>±</w:t>
            </w:r>
            <w:r>
              <w:rPr>
                <w:rFonts w:ascii="黑体" w:hAnsi="黑体"/>
                <w:szCs w:val="18"/>
              </w:rPr>
              <w:t>1</w:t>
            </w:r>
          </w:p>
        </w:tc>
        <w:tc>
          <w:tcPr>
            <w:tcW w:w="1129" w:type="dxa"/>
          </w:tcPr>
          <w:p w14:paraId="1677E717">
            <w:pPr>
              <w:jc w:val="left"/>
              <w:rPr>
                <w:rFonts w:ascii="黑体" w:hAnsi="黑体"/>
                <w:szCs w:val="18"/>
              </w:rPr>
            </w:pPr>
            <w:r>
              <w:rPr>
                <w:rFonts w:hint="eastAsia" w:ascii="黑体" w:hAnsi="黑体"/>
                <w:szCs w:val="18"/>
              </w:rPr>
              <w:t>±</w:t>
            </w:r>
            <w:r>
              <w:rPr>
                <w:rFonts w:ascii="黑体" w:hAnsi="黑体"/>
                <w:szCs w:val="18"/>
              </w:rPr>
              <w:t>2</w:t>
            </w:r>
          </w:p>
        </w:tc>
      </w:tr>
      <w:tr w14:paraId="1FC1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5B0D47F2">
            <w:pPr>
              <w:spacing w:line="360" w:lineRule="auto"/>
              <w:jc w:val="left"/>
              <w:rPr>
                <w:rFonts w:ascii="黑体" w:hAnsi="黑体"/>
                <w:szCs w:val="18"/>
              </w:rPr>
            </w:pPr>
          </w:p>
        </w:tc>
        <w:tc>
          <w:tcPr>
            <w:tcW w:w="5107" w:type="dxa"/>
          </w:tcPr>
          <w:p w14:paraId="31B544B0">
            <w:pPr>
              <w:jc w:val="left"/>
              <w:rPr>
                <w:rFonts w:ascii="黑体" w:hAnsi="黑体"/>
                <w:szCs w:val="18"/>
              </w:rPr>
            </w:pPr>
            <w:r>
              <w:rPr>
                <w:rFonts w:hint="eastAsia" w:ascii="黑体" w:hAnsi="黑体"/>
                <w:szCs w:val="18"/>
              </w:rPr>
              <w:t>高度</w:t>
            </w:r>
            <w:r>
              <w:rPr>
                <w:rFonts w:ascii="黑体" w:hAnsi="黑体"/>
                <w:szCs w:val="18"/>
              </w:rPr>
              <w:t>H（mm）</w:t>
            </w:r>
          </w:p>
        </w:tc>
        <w:tc>
          <w:tcPr>
            <w:tcW w:w="1134" w:type="dxa"/>
          </w:tcPr>
          <w:p w14:paraId="0ACEEE7F">
            <w:pPr>
              <w:jc w:val="left"/>
              <w:rPr>
                <w:rFonts w:ascii="黑体" w:hAnsi="黑体"/>
                <w:szCs w:val="18"/>
              </w:rPr>
            </w:pPr>
            <w:r>
              <w:rPr>
                <w:rFonts w:hint="eastAsia" w:ascii="黑体" w:hAnsi="黑体"/>
                <w:szCs w:val="18"/>
              </w:rPr>
              <w:t>±</w:t>
            </w:r>
            <w:r>
              <w:rPr>
                <w:rFonts w:ascii="黑体" w:hAnsi="黑体"/>
                <w:szCs w:val="18"/>
              </w:rPr>
              <w:t>1</w:t>
            </w:r>
          </w:p>
        </w:tc>
        <w:tc>
          <w:tcPr>
            <w:tcW w:w="1129" w:type="dxa"/>
          </w:tcPr>
          <w:p w14:paraId="2A4D4B7C">
            <w:pPr>
              <w:jc w:val="left"/>
              <w:rPr>
                <w:rFonts w:ascii="黑体" w:hAnsi="黑体"/>
                <w:szCs w:val="18"/>
              </w:rPr>
            </w:pPr>
            <w:r>
              <w:rPr>
                <w:rFonts w:hint="eastAsia" w:ascii="黑体" w:hAnsi="黑体"/>
                <w:szCs w:val="18"/>
              </w:rPr>
              <w:t>±</w:t>
            </w:r>
            <w:r>
              <w:rPr>
                <w:rFonts w:ascii="黑体" w:hAnsi="黑体"/>
                <w:szCs w:val="18"/>
              </w:rPr>
              <w:t>2</w:t>
            </w:r>
          </w:p>
        </w:tc>
      </w:tr>
      <w:tr w14:paraId="6DE9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Pr>
          <w:p w14:paraId="3EA5EE57">
            <w:pPr>
              <w:spacing w:line="360" w:lineRule="auto"/>
              <w:jc w:val="left"/>
              <w:rPr>
                <w:rFonts w:ascii="黑体" w:hAnsi="黑体"/>
                <w:szCs w:val="18"/>
              </w:rPr>
            </w:pPr>
            <w:r>
              <w:rPr>
                <w:rFonts w:hint="eastAsia" w:ascii="黑体" w:hAnsi="黑体"/>
                <w:szCs w:val="18"/>
              </w:rPr>
              <w:t>缺棱</w:t>
            </w:r>
            <w:r>
              <w:rPr>
                <w:rFonts w:ascii="黑体" w:hAnsi="黑体"/>
                <w:szCs w:val="18"/>
              </w:rPr>
              <w:t>掉</w:t>
            </w:r>
            <w:r>
              <w:rPr>
                <w:rFonts w:hint="eastAsia" w:ascii="黑体" w:hAnsi="黑体"/>
                <w:szCs w:val="18"/>
              </w:rPr>
              <w:t>角</w:t>
            </w:r>
          </w:p>
        </w:tc>
        <w:tc>
          <w:tcPr>
            <w:tcW w:w="5107" w:type="dxa"/>
          </w:tcPr>
          <w:p w14:paraId="0C284372">
            <w:pPr>
              <w:jc w:val="left"/>
              <w:rPr>
                <w:rFonts w:ascii="黑体" w:hAnsi="黑体"/>
                <w:szCs w:val="18"/>
              </w:rPr>
            </w:pPr>
            <w:r>
              <w:rPr>
                <w:rFonts w:hint="eastAsia" w:ascii="黑体" w:hAnsi="黑体"/>
                <w:szCs w:val="18"/>
              </w:rPr>
              <w:t>最小</w:t>
            </w:r>
            <w:r>
              <w:rPr>
                <w:rFonts w:ascii="黑体" w:hAnsi="黑体"/>
                <w:szCs w:val="18"/>
              </w:rPr>
              <w:t>尺寸不得大于（mm）</w:t>
            </w:r>
          </w:p>
        </w:tc>
        <w:tc>
          <w:tcPr>
            <w:tcW w:w="1134" w:type="dxa"/>
          </w:tcPr>
          <w:p w14:paraId="30E8EB8D">
            <w:pPr>
              <w:jc w:val="left"/>
              <w:rPr>
                <w:rFonts w:ascii="黑体" w:hAnsi="黑体"/>
                <w:szCs w:val="18"/>
              </w:rPr>
            </w:pPr>
            <w:r>
              <w:rPr>
                <w:rFonts w:ascii="黑体" w:hAnsi="黑体"/>
                <w:szCs w:val="18"/>
              </w:rPr>
              <w:t>0</w:t>
            </w:r>
          </w:p>
        </w:tc>
        <w:tc>
          <w:tcPr>
            <w:tcW w:w="1129" w:type="dxa"/>
          </w:tcPr>
          <w:p w14:paraId="2C861F60">
            <w:pPr>
              <w:jc w:val="left"/>
              <w:rPr>
                <w:rFonts w:ascii="黑体" w:hAnsi="黑体"/>
                <w:szCs w:val="18"/>
              </w:rPr>
            </w:pPr>
            <w:r>
              <w:rPr>
                <w:rFonts w:ascii="黑体" w:hAnsi="黑体"/>
                <w:szCs w:val="18"/>
              </w:rPr>
              <w:t>30</w:t>
            </w:r>
          </w:p>
        </w:tc>
      </w:tr>
      <w:tr w14:paraId="1A7A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0802D74D">
            <w:pPr>
              <w:spacing w:line="360" w:lineRule="auto"/>
              <w:jc w:val="left"/>
              <w:rPr>
                <w:rFonts w:ascii="黑体" w:hAnsi="黑体"/>
                <w:szCs w:val="18"/>
              </w:rPr>
            </w:pPr>
          </w:p>
        </w:tc>
        <w:tc>
          <w:tcPr>
            <w:tcW w:w="5107" w:type="dxa"/>
          </w:tcPr>
          <w:p w14:paraId="1826B9AB">
            <w:pPr>
              <w:jc w:val="left"/>
              <w:rPr>
                <w:rFonts w:ascii="黑体" w:hAnsi="黑体"/>
                <w:szCs w:val="18"/>
              </w:rPr>
            </w:pPr>
            <w:r>
              <w:rPr>
                <w:rFonts w:hint="eastAsia" w:ascii="黑体" w:hAnsi="黑体"/>
                <w:szCs w:val="18"/>
              </w:rPr>
              <w:t>最大</w:t>
            </w:r>
            <w:r>
              <w:rPr>
                <w:rFonts w:ascii="黑体" w:hAnsi="黑体"/>
                <w:szCs w:val="18"/>
              </w:rPr>
              <w:t>尺寸不得大于（mm）</w:t>
            </w:r>
          </w:p>
        </w:tc>
        <w:tc>
          <w:tcPr>
            <w:tcW w:w="1134" w:type="dxa"/>
          </w:tcPr>
          <w:p w14:paraId="4A471A1D">
            <w:pPr>
              <w:jc w:val="left"/>
              <w:rPr>
                <w:rFonts w:ascii="黑体" w:hAnsi="黑体"/>
                <w:szCs w:val="18"/>
              </w:rPr>
            </w:pPr>
            <w:r>
              <w:rPr>
                <w:rFonts w:ascii="黑体" w:hAnsi="黑体"/>
                <w:szCs w:val="18"/>
              </w:rPr>
              <w:t>0</w:t>
            </w:r>
          </w:p>
        </w:tc>
        <w:tc>
          <w:tcPr>
            <w:tcW w:w="1129" w:type="dxa"/>
          </w:tcPr>
          <w:p w14:paraId="53DCE6F4">
            <w:pPr>
              <w:jc w:val="left"/>
              <w:rPr>
                <w:rFonts w:ascii="黑体" w:hAnsi="黑体"/>
                <w:szCs w:val="18"/>
              </w:rPr>
            </w:pPr>
            <w:r>
              <w:rPr>
                <w:rFonts w:ascii="黑体" w:hAnsi="黑体"/>
                <w:szCs w:val="18"/>
              </w:rPr>
              <w:t>70</w:t>
            </w:r>
          </w:p>
        </w:tc>
      </w:tr>
      <w:tr w14:paraId="17FB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6DD8EDCB">
            <w:pPr>
              <w:spacing w:line="360" w:lineRule="auto"/>
              <w:jc w:val="left"/>
              <w:rPr>
                <w:rFonts w:ascii="黑体" w:hAnsi="黑体"/>
                <w:szCs w:val="18"/>
              </w:rPr>
            </w:pPr>
          </w:p>
        </w:tc>
        <w:tc>
          <w:tcPr>
            <w:tcW w:w="5107" w:type="dxa"/>
          </w:tcPr>
          <w:p w14:paraId="20AB05BF">
            <w:pPr>
              <w:jc w:val="left"/>
              <w:rPr>
                <w:rFonts w:ascii="黑体" w:hAnsi="黑体"/>
                <w:szCs w:val="18"/>
              </w:rPr>
            </w:pPr>
            <w:r>
              <w:rPr>
                <w:rFonts w:hint="eastAsia" w:ascii="黑体" w:hAnsi="黑体"/>
                <w:szCs w:val="18"/>
              </w:rPr>
              <w:t>大于</w:t>
            </w:r>
            <w:r>
              <w:rPr>
                <w:rFonts w:ascii="黑体" w:hAnsi="黑体"/>
                <w:szCs w:val="18"/>
              </w:rPr>
              <w:t>以上尺寸的缺棱掉角个数，不多于（个）</w:t>
            </w:r>
          </w:p>
        </w:tc>
        <w:tc>
          <w:tcPr>
            <w:tcW w:w="1134" w:type="dxa"/>
          </w:tcPr>
          <w:p w14:paraId="5F444069">
            <w:pPr>
              <w:jc w:val="left"/>
              <w:rPr>
                <w:rFonts w:ascii="黑体" w:hAnsi="黑体"/>
                <w:szCs w:val="18"/>
              </w:rPr>
            </w:pPr>
            <w:r>
              <w:rPr>
                <w:rFonts w:ascii="黑体" w:hAnsi="黑体"/>
                <w:szCs w:val="18"/>
              </w:rPr>
              <w:t>0</w:t>
            </w:r>
          </w:p>
        </w:tc>
        <w:tc>
          <w:tcPr>
            <w:tcW w:w="1129" w:type="dxa"/>
          </w:tcPr>
          <w:p w14:paraId="2CB7817A">
            <w:pPr>
              <w:jc w:val="left"/>
              <w:rPr>
                <w:rFonts w:ascii="黑体" w:hAnsi="黑体"/>
                <w:szCs w:val="18"/>
              </w:rPr>
            </w:pPr>
            <w:r>
              <w:rPr>
                <w:rFonts w:ascii="黑体" w:hAnsi="黑体"/>
                <w:szCs w:val="18"/>
              </w:rPr>
              <w:t>2</w:t>
            </w:r>
          </w:p>
        </w:tc>
      </w:tr>
      <w:tr w14:paraId="0BFA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tcPr>
          <w:p w14:paraId="5381F245">
            <w:pPr>
              <w:spacing w:line="360" w:lineRule="auto"/>
              <w:jc w:val="left"/>
              <w:rPr>
                <w:rFonts w:ascii="黑体" w:hAnsi="黑体"/>
                <w:szCs w:val="18"/>
              </w:rPr>
            </w:pPr>
            <w:r>
              <w:rPr>
                <w:rFonts w:hint="eastAsia" w:ascii="黑体" w:hAnsi="黑体"/>
                <w:szCs w:val="18"/>
              </w:rPr>
              <w:t>裂纹</w:t>
            </w:r>
            <w:r>
              <w:rPr>
                <w:rFonts w:ascii="黑体" w:hAnsi="黑体"/>
                <w:szCs w:val="18"/>
              </w:rPr>
              <w:t>长度</w:t>
            </w:r>
          </w:p>
        </w:tc>
        <w:tc>
          <w:tcPr>
            <w:tcW w:w="5107" w:type="dxa"/>
          </w:tcPr>
          <w:p w14:paraId="18418CD1">
            <w:pPr>
              <w:jc w:val="left"/>
              <w:rPr>
                <w:rFonts w:ascii="黑体" w:hAnsi="黑体"/>
                <w:szCs w:val="18"/>
              </w:rPr>
            </w:pPr>
            <w:r>
              <w:rPr>
                <w:rFonts w:hint="eastAsia" w:ascii="黑体" w:hAnsi="黑体"/>
                <w:szCs w:val="18"/>
              </w:rPr>
              <w:t>贯穿</w:t>
            </w:r>
            <w:r>
              <w:rPr>
                <w:rFonts w:ascii="黑体" w:hAnsi="黑体"/>
                <w:szCs w:val="18"/>
              </w:rPr>
              <w:t>一棱二面的裂纹长度</w:t>
            </w:r>
            <w:r>
              <w:rPr>
                <w:rFonts w:hint="eastAsia" w:ascii="黑体" w:hAnsi="黑体"/>
                <w:szCs w:val="18"/>
              </w:rPr>
              <w:t>不得</w:t>
            </w:r>
            <w:r>
              <w:rPr>
                <w:rFonts w:ascii="黑体" w:hAnsi="黑体"/>
                <w:szCs w:val="18"/>
              </w:rPr>
              <w:t>大于裂纹所在面的裂纹防锈尺寸总和的</w:t>
            </w:r>
          </w:p>
        </w:tc>
        <w:tc>
          <w:tcPr>
            <w:tcW w:w="1134" w:type="dxa"/>
          </w:tcPr>
          <w:p w14:paraId="46CB49DD">
            <w:pPr>
              <w:jc w:val="left"/>
              <w:rPr>
                <w:rFonts w:ascii="黑体" w:hAnsi="黑体"/>
                <w:szCs w:val="18"/>
              </w:rPr>
            </w:pPr>
            <w:r>
              <w:rPr>
                <w:rFonts w:ascii="黑体" w:hAnsi="黑体"/>
                <w:szCs w:val="18"/>
              </w:rPr>
              <w:t>0</w:t>
            </w:r>
          </w:p>
        </w:tc>
        <w:tc>
          <w:tcPr>
            <w:tcW w:w="1129" w:type="dxa"/>
          </w:tcPr>
          <w:p w14:paraId="7C93E7A4">
            <w:pPr>
              <w:jc w:val="left"/>
              <w:rPr>
                <w:rFonts w:ascii="黑体" w:hAnsi="黑体"/>
                <w:szCs w:val="18"/>
              </w:rPr>
            </w:pPr>
            <w:r>
              <w:rPr>
                <w:rFonts w:ascii="黑体" w:hAnsi="黑体"/>
                <w:szCs w:val="18"/>
              </w:rPr>
              <w:t>1</w:t>
            </w:r>
            <w:r>
              <w:rPr>
                <w:rFonts w:hint="eastAsia" w:ascii="黑体" w:hAnsi="黑体"/>
                <w:szCs w:val="18"/>
              </w:rPr>
              <w:t>/3</w:t>
            </w:r>
          </w:p>
        </w:tc>
      </w:tr>
      <w:tr w14:paraId="0C1E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5BE9B22F">
            <w:pPr>
              <w:spacing w:line="360" w:lineRule="auto"/>
              <w:jc w:val="left"/>
              <w:rPr>
                <w:rFonts w:ascii="黑体" w:hAnsi="黑体"/>
                <w:szCs w:val="18"/>
              </w:rPr>
            </w:pPr>
          </w:p>
        </w:tc>
        <w:tc>
          <w:tcPr>
            <w:tcW w:w="5107" w:type="dxa"/>
          </w:tcPr>
          <w:p w14:paraId="6D4DF792">
            <w:pPr>
              <w:jc w:val="left"/>
              <w:rPr>
                <w:rFonts w:ascii="黑体" w:hAnsi="黑体"/>
                <w:szCs w:val="18"/>
              </w:rPr>
            </w:pPr>
            <w:r>
              <w:rPr>
                <w:rFonts w:hint="eastAsia" w:ascii="黑体" w:hAnsi="黑体"/>
                <w:szCs w:val="18"/>
              </w:rPr>
              <w:t>任意</w:t>
            </w:r>
            <w:r>
              <w:rPr>
                <w:rFonts w:ascii="黑体" w:hAnsi="黑体"/>
                <w:szCs w:val="18"/>
              </w:rPr>
              <w:t>一面上的裂纹长度不得大于裂纹方向尺寸的</w:t>
            </w:r>
          </w:p>
        </w:tc>
        <w:tc>
          <w:tcPr>
            <w:tcW w:w="1134" w:type="dxa"/>
          </w:tcPr>
          <w:p w14:paraId="2765810F">
            <w:pPr>
              <w:jc w:val="left"/>
              <w:rPr>
                <w:rFonts w:ascii="黑体" w:hAnsi="黑体"/>
                <w:szCs w:val="18"/>
              </w:rPr>
            </w:pPr>
            <w:r>
              <w:rPr>
                <w:rFonts w:ascii="黑体" w:hAnsi="黑体"/>
                <w:szCs w:val="18"/>
              </w:rPr>
              <w:t>0</w:t>
            </w:r>
          </w:p>
        </w:tc>
        <w:tc>
          <w:tcPr>
            <w:tcW w:w="1129" w:type="dxa"/>
          </w:tcPr>
          <w:p w14:paraId="23CF1200">
            <w:pPr>
              <w:jc w:val="left"/>
              <w:rPr>
                <w:rFonts w:ascii="黑体" w:hAnsi="黑体"/>
                <w:szCs w:val="18"/>
              </w:rPr>
            </w:pPr>
            <w:r>
              <w:rPr>
                <w:rFonts w:ascii="黑体" w:hAnsi="黑体"/>
                <w:szCs w:val="18"/>
              </w:rPr>
              <w:t>1</w:t>
            </w:r>
            <w:r>
              <w:rPr>
                <w:rFonts w:hint="eastAsia" w:ascii="黑体" w:hAnsi="黑体"/>
                <w:szCs w:val="18"/>
              </w:rPr>
              <w:t>/2</w:t>
            </w:r>
          </w:p>
        </w:tc>
      </w:tr>
      <w:tr w14:paraId="53AE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14:paraId="6777E36E">
            <w:pPr>
              <w:spacing w:line="360" w:lineRule="auto"/>
              <w:jc w:val="left"/>
              <w:rPr>
                <w:rFonts w:ascii="黑体" w:hAnsi="黑体"/>
                <w:szCs w:val="18"/>
              </w:rPr>
            </w:pPr>
          </w:p>
        </w:tc>
        <w:tc>
          <w:tcPr>
            <w:tcW w:w="5107" w:type="dxa"/>
          </w:tcPr>
          <w:p w14:paraId="32D8A0BC">
            <w:pPr>
              <w:jc w:val="left"/>
              <w:rPr>
                <w:rFonts w:ascii="黑体" w:hAnsi="黑体"/>
                <w:szCs w:val="18"/>
              </w:rPr>
            </w:pPr>
            <w:r>
              <w:rPr>
                <w:rFonts w:hint="eastAsia" w:ascii="黑体" w:hAnsi="黑体"/>
                <w:szCs w:val="18"/>
              </w:rPr>
              <w:t>大于</w:t>
            </w:r>
            <w:r>
              <w:rPr>
                <w:rFonts w:ascii="黑体" w:hAnsi="黑体"/>
                <w:szCs w:val="18"/>
              </w:rPr>
              <w:t>以上尺寸的裂纹条数，不多于（条）</w:t>
            </w:r>
          </w:p>
        </w:tc>
        <w:tc>
          <w:tcPr>
            <w:tcW w:w="1134" w:type="dxa"/>
          </w:tcPr>
          <w:p w14:paraId="4FF2F60C">
            <w:pPr>
              <w:jc w:val="left"/>
              <w:rPr>
                <w:rFonts w:ascii="黑体" w:hAnsi="黑体"/>
                <w:szCs w:val="18"/>
              </w:rPr>
            </w:pPr>
            <w:r>
              <w:rPr>
                <w:rFonts w:ascii="黑体" w:hAnsi="黑体"/>
                <w:szCs w:val="18"/>
              </w:rPr>
              <w:t>0</w:t>
            </w:r>
          </w:p>
        </w:tc>
        <w:tc>
          <w:tcPr>
            <w:tcW w:w="1129" w:type="dxa"/>
          </w:tcPr>
          <w:p w14:paraId="1CC224A4">
            <w:pPr>
              <w:jc w:val="left"/>
              <w:rPr>
                <w:rFonts w:ascii="黑体" w:hAnsi="黑体"/>
                <w:szCs w:val="18"/>
              </w:rPr>
            </w:pPr>
            <w:r>
              <w:rPr>
                <w:rFonts w:ascii="黑体" w:hAnsi="黑体"/>
                <w:szCs w:val="18"/>
              </w:rPr>
              <w:t>2</w:t>
            </w:r>
          </w:p>
        </w:tc>
      </w:tr>
      <w:tr w14:paraId="2F57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0" w:type="dxa"/>
            <w:gridSpan w:val="2"/>
          </w:tcPr>
          <w:p w14:paraId="32022DC2">
            <w:pPr>
              <w:jc w:val="left"/>
              <w:rPr>
                <w:rFonts w:ascii="黑体" w:hAnsi="黑体"/>
                <w:szCs w:val="18"/>
              </w:rPr>
            </w:pPr>
            <w:r>
              <w:rPr>
                <w:rFonts w:hint="eastAsia" w:ascii="黑体" w:hAnsi="黑体"/>
                <w:szCs w:val="18"/>
              </w:rPr>
              <w:t>爆裂</w:t>
            </w:r>
            <w:r>
              <w:rPr>
                <w:rFonts w:ascii="黑体" w:hAnsi="黑体"/>
                <w:szCs w:val="18"/>
              </w:rPr>
              <w:t>、粘膜和损坏深度不得大于（mm）</w:t>
            </w:r>
          </w:p>
        </w:tc>
        <w:tc>
          <w:tcPr>
            <w:tcW w:w="1134" w:type="dxa"/>
          </w:tcPr>
          <w:p w14:paraId="69A0310B">
            <w:pPr>
              <w:jc w:val="left"/>
              <w:rPr>
                <w:rFonts w:ascii="黑体" w:hAnsi="黑体"/>
                <w:szCs w:val="18"/>
              </w:rPr>
            </w:pPr>
            <w:r>
              <w:rPr>
                <w:rFonts w:ascii="黑体" w:hAnsi="黑体"/>
                <w:szCs w:val="18"/>
              </w:rPr>
              <w:t>10</w:t>
            </w:r>
          </w:p>
        </w:tc>
        <w:tc>
          <w:tcPr>
            <w:tcW w:w="1129" w:type="dxa"/>
          </w:tcPr>
          <w:p w14:paraId="08979DC1">
            <w:pPr>
              <w:jc w:val="left"/>
              <w:rPr>
                <w:rFonts w:ascii="黑体" w:hAnsi="黑体"/>
                <w:szCs w:val="18"/>
              </w:rPr>
            </w:pPr>
            <w:r>
              <w:rPr>
                <w:rFonts w:ascii="黑体" w:hAnsi="黑体"/>
                <w:szCs w:val="18"/>
              </w:rPr>
              <w:t>30</w:t>
            </w:r>
          </w:p>
        </w:tc>
      </w:tr>
      <w:tr w14:paraId="341B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0" w:type="dxa"/>
            <w:gridSpan w:val="2"/>
          </w:tcPr>
          <w:p w14:paraId="3BCF9000">
            <w:pPr>
              <w:jc w:val="left"/>
              <w:rPr>
                <w:rFonts w:ascii="黑体" w:hAnsi="黑体"/>
                <w:szCs w:val="18"/>
              </w:rPr>
            </w:pPr>
            <w:r>
              <w:rPr>
                <w:rFonts w:hint="eastAsia" w:ascii="黑体" w:hAnsi="黑体"/>
                <w:szCs w:val="18"/>
              </w:rPr>
              <w:t>平面</w:t>
            </w:r>
            <w:r>
              <w:rPr>
                <w:rFonts w:ascii="黑体" w:hAnsi="黑体"/>
                <w:szCs w:val="18"/>
              </w:rPr>
              <w:t>弯曲、表面疏松、表面层裂</w:t>
            </w:r>
            <w:r>
              <w:rPr>
                <w:rFonts w:hint="eastAsia" w:ascii="黑体" w:hAnsi="黑体"/>
                <w:szCs w:val="18"/>
              </w:rPr>
              <w:t>、</w:t>
            </w:r>
            <w:r>
              <w:rPr>
                <w:rFonts w:ascii="黑体" w:hAnsi="黑体"/>
                <w:szCs w:val="18"/>
              </w:rPr>
              <w:t>表面油污</w:t>
            </w:r>
          </w:p>
        </w:tc>
        <w:tc>
          <w:tcPr>
            <w:tcW w:w="2263" w:type="dxa"/>
            <w:gridSpan w:val="2"/>
          </w:tcPr>
          <w:p w14:paraId="1AE55BDE">
            <w:pPr>
              <w:jc w:val="left"/>
              <w:rPr>
                <w:rFonts w:ascii="黑体" w:hAnsi="黑体"/>
                <w:szCs w:val="18"/>
              </w:rPr>
            </w:pPr>
            <w:r>
              <w:rPr>
                <w:rFonts w:hint="eastAsia" w:ascii="黑体" w:hAnsi="黑体"/>
                <w:szCs w:val="18"/>
              </w:rPr>
              <w:t>不</w:t>
            </w:r>
            <w:r>
              <w:rPr>
                <w:rFonts w:ascii="黑体" w:hAnsi="黑体"/>
                <w:szCs w:val="18"/>
              </w:rPr>
              <w:t>允许</w:t>
            </w:r>
          </w:p>
        </w:tc>
      </w:tr>
    </w:tbl>
    <w:p w14:paraId="54CA4EB0">
      <w:pPr>
        <w:spacing w:line="360" w:lineRule="auto"/>
        <w:jc w:val="left"/>
        <w:rPr>
          <w:rFonts w:ascii="黑体" w:hAnsi="黑体"/>
          <w:szCs w:val="18"/>
        </w:rPr>
      </w:pPr>
    </w:p>
    <w:p w14:paraId="33BD0867">
      <w:pPr>
        <w:numPr>
          <w:ilvl w:val="0"/>
          <w:numId w:val="10"/>
        </w:numPr>
        <w:spacing w:line="360" w:lineRule="auto"/>
        <w:jc w:val="left"/>
        <w:rPr>
          <w:rFonts w:ascii="黑体" w:hAnsi="黑体" w:cs="宋体"/>
          <w:kern w:val="0"/>
          <w:szCs w:val="18"/>
        </w:rPr>
      </w:pPr>
      <w:r>
        <w:rPr>
          <w:rFonts w:ascii="黑体" w:hAnsi="黑体" w:cs="宋体"/>
          <w:kern w:val="0"/>
          <w:szCs w:val="18"/>
        </w:rPr>
        <w:t>干燥收缩</w:t>
      </w:r>
      <w:r>
        <w:rPr>
          <w:rFonts w:hint="eastAsia" w:ascii="黑体" w:hAnsi="黑体" w:cs="宋体"/>
          <w:kern w:val="0"/>
          <w:szCs w:val="18"/>
        </w:rPr>
        <w:t>值：</w:t>
      </w:r>
      <w:r>
        <w:rPr>
          <w:rFonts w:ascii="黑体" w:hAnsi="黑体" w:cs="宋体"/>
          <w:kern w:val="0"/>
          <w:szCs w:val="18"/>
        </w:rPr>
        <w:t>标准法：≤0.5mm/m</w:t>
      </w:r>
      <w:r>
        <w:rPr>
          <w:rFonts w:hint="eastAsia" w:ascii="黑体" w:hAnsi="黑体" w:cs="宋体"/>
          <w:kern w:val="0"/>
          <w:szCs w:val="18"/>
        </w:rPr>
        <w:t>、</w:t>
      </w:r>
      <w:r>
        <w:rPr>
          <w:rFonts w:ascii="黑体" w:hAnsi="黑体" w:cs="宋体"/>
          <w:kern w:val="0"/>
          <w:szCs w:val="18"/>
        </w:rPr>
        <w:t>快速法：≤0.8mm/m</w:t>
      </w:r>
      <w:r>
        <w:rPr>
          <w:rFonts w:hint="eastAsia" w:ascii="黑体" w:hAnsi="黑体"/>
          <w:szCs w:val="18"/>
        </w:rPr>
        <w:t>（提供检测报告）</w:t>
      </w:r>
    </w:p>
    <w:p w14:paraId="1C8F3F95">
      <w:pPr>
        <w:numPr>
          <w:ilvl w:val="0"/>
          <w:numId w:val="10"/>
        </w:numPr>
        <w:spacing w:line="360" w:lineRule="auto"/>
        <w:jc w:val="left"/>
        <w:rPr>
          <w:rFonts w:ascii="黑体" w:hAnsi="黑体"/>
          <w:szCs w:val="18"/>
        </w:rPr>
      </w:pPr>
      <w:r>
        <w:rPr>
          <w:rFonts w:ascii="黑体" w:hAnsi="黑体"/>
          <w:szCs w:val="18"/>
        </w:rPr>
        <w:t>抗冻性</w:t>
      </w:r>
      <w:r>
        <w:rPr>
          <w:rFonts w:hint="eastAsia" w:ascii="黑体" w:hAnsi="黑体"/>
          <w:szCs w:val="18"/>
        </w:rPr>
        <w:t>：</w:t>
      </w:r>
      <w:r>
        <w:rPr>
          <w:rFonts w:ascii="黑体" w:hAnsi="黑体" w:cs="宋体"/>
          <w:kern w:val="0"/>
          <w:szCs w:val="18"/>
        </w:rPr>
        <w:t>质量损失：≤5.0%</w:t>
      </w:r>
      <w:r>
        <w:rPr>
          <w:rFonts w:hint="eastAsia" w:ascii="黑体" w:hAnsi="黑体" w:cs="宋体"/>
          <w:kern w:val="0"/>
          <w:szCs w:val="18"/>
        </w:rPr>
        <w:t>，</w:t>
      </w:r>
      <w:r>
        <w:rPr>
          <w:rFonts w:ascii="黑体" w:hAnsi="黑体" w:cs="宋体"/>
          <w:kern w:val="0"/>
          <w:szCs w:val="18"/>
        </w:rPr>
        <w:t>冻后强度：</w:t>
      </w:r>
      <w:r>
        <w:rPr>
          <w:rFonts w:hint="eastAsia" w:ascii="黑体" w:hAnsi="黑体" w:cs="宋体"/>
          <w:kern w:val="0"/>
          <w:szCs w:val="18"/>
        </w:rPr>
        <w:t>优等品≥6.</w:t>
      </w:r>
      <w:r>
        <w:rPr>
          <w:rFonts w:ascii="黑体" w:hAnsi="黑体" w:cs="宋体"/>
          <w:kern w:val="0"/>
          <w:szCs w:val="18"/>
        </w:rPr>
        <w:t>0</w:t>
      </w:r>
      <w:r>
        <w:rPr>
          <w:rFonts w:hint="eastAsia" w:ascii="黑体" w:hAnsi="黑体" w:cs="宋体"/>
          <w:kern w:val="0"/>
          <w:szCs w:val="18"/>
        </w:rPr>
        <w:t>，</w:t>
      </w:r>
      <w:r>
        <w:rPr>
          <w:rFonts w:ascii="黑体" w:hAnsi="黑体" w:cs="宋体"/>
          <w:kern w:val="0"/>
          <w:szCs w:val="18"/>
        </w:rPr>
        <w:t>合格品≥</w:t>
      </w:r>
      <w:r>
        <w:rPr>
          <w:rFonts w:hint="eastAsia" w:ascii="黑体" w:hAnsi="黑体" w:cs="宋体"/>
          <w:kern w:val="0"/>
          <w:szCs w:val="18"/>
        </w:rPr>
        <w:t>4</w:t>
      </w:r>
      <w:r>
        <w:rPr>
          <w:rFonts w:ascii="黑体" w:hAnsi="黑体" w:cs="宋体"/>
          <w:kern w:val="0"/>
          <w:szCs w:val="18"/>
        </w:rPr>
        <w:t>.0MPa</w:t>
      </w:r>
    </w:p>
    <w:p w14:paraId="0719CAA1">
      <w:pPr>
        <w:numPr>
          <w:ilvl w:val="0"/>
          <w:numId w:val="10"/>
        </w:numPr>
        <w:spacing w:line="360" w:lineRule="auto"/>
        <w:jc w:val="left"/>
        <w:rPr>
          <w:rFonts w:ascii="黑体" w:hAnsi="黑体"/>
          <w:szCs w:val="18"/>
        </w:rPr>
      </w:pPr>
      <w:r>
        <w:rPr>
          <w:rFonts w:ascii="黑体" w:hAnsi="黑体" w:cs="宋体"/>
          <w:kern w:val="0"/>
          <w:szCs w:val="18"/>
        </w:rPr>
        <w:t>导热系数（干态）：0.</w:t>
      </w:r>
      <w:r>
        <w:rPr>
          <w:rFonts w:hint="eastAsia" w:ascii="黑体" w:hAnsi="黑体" w:cs="宋体"/>
          <w:kern w:val="0"/>
          <w:szCs w:val="18"/>
        </w:rPr>
        <w:t>18</w:t>
      </w:r>
      <w:r>
        <w:rPr>
          <w:rFonts w:ascii="黑体" w:hAnsi="黑体" w:cs="宋体"/>
          <w:kern w:val="0"/>
          <w:szCs w:val="18"/>
        </w:rPr>
        <w:t>W/(m·K)</w:t>
      </w:r>
    </w:p>
    <w:p w14:paraId="5E0224E3">
      <w:pPr>
        <w:numPr>
          <w:ilvl w:val="0"/>
          <w:numId w:val="10"/>
        </w:numPr>
        <w:spacing w:line="360" w:lineRule="auto"/>
        <w:jc w:val="left"/>
        <w:rPr>
          <w:rFonts w:ascii="黑体" w:hAnsi="黑体"/>
          <w:szCs w:val="18"/>
        </w:rPr>
      </w:pPr>
      <w:r>
        <w:rPr>
          <w:rFonts w:ascii="黑体" w:hAnsi="黑体" w:cs="宋体"/>
          <w:kern w:val="0"/>
          <w:szCs w:val="18"/>
        </w:rPr>
        <w:t>砌体墙为防火墙时，系统耐火极限不小于3h</w:t>
      </w:r>
    </w:p>
    <w:p w14:paraId="4CF831B7">
      <w:pPr>
        <w:numPr>
          <w:ilvl w:val="0"/>
          <w:numId w:val="10"/>
        </w:numPr>
        <w:autoSpaceDE w:val="0"/>
        <w:autoSpaceDN w:val="0"/>
        <w:adjustRightInd w:val="0"/>
        <w:spacing w:line="360" w:lineRule="auto"/>
        <w:jc w:val="left"/>
        <w:rPr>
          <w:rFonts w:ascii="黑体" w:hAnsi="黑体"/>
          <w:kern w:val="0"/>
          <w:szCs w:val="18"/>
        </w:rPr>
      </w:pPr>
      <w:r>
        <w:rPr>
          <w:rFonts w:ascii="黑体" w:hAnsi="黑体" w:cs="宋体"/>
          <w:kern w:val="0"/>
          <w:szCs w:val="18"/>
        </w:rPr>
        <w:t xml:space="preserve">设备用房隔墙隔声量不小于50dB </w:t>
      </w:r>
    </w:p>
    <w:p w14:paraId="5C2AE95D">
      <w:pPr>
        <w:numPr>
          <w:ilvl w:val="0"/>
          <w:numId w:val="10"/>
        </w:numPr>
        <w:spacing w:line="360" w:lineRule="auto"/>
        <w:jc w:val="left"/>
        <w:rPr>
          <w:rFonts w:ascii="黑体" w:hAnsi="黑体"/>
          <w:szCs w:val="18"/>
        </w:rPr>
      </w:pPr>
      <w:r>
        <w:rPr>
          <w:rFonts w:hint="eastAsia" w:ascii="黑体" w:hAnsi="黑体"/>
          <w:szCs w:val="18"/>
        </w:rPr>
        <w:t>放射性达标（提供检测报告）</w:t>
      </w:r>
    </w:p>
    <w:p w14:paraId="0387B3E9">
      <w:pPr>
        <w:pStyle w:val="111"/>
        <w:jc w:val="left"/>
      </w:pPr>
      <w:r>
        <w:t>砌筑砂浆</w:t>
      </w:r>
      <w:r>
        <w:rPr>
          <w:rFonts w:hint="eastAsia"/>
        </w:rPr>
        <w:t>性能</w:t>
      </w:r>
      <w:r>
        <w:t>指标应符合以下规定</w:t>
      </w:r>
      <w:r>
        <w:rPr>
          <w:rFonts w:hint="eastAsia"/>
        </w:rPr>
        <w:t xml:space="preserve">： </w:t>
      </w:r>
    </w:p>
    <w:p w14:paraId="2EE1D4E0">
      <w:pPr>
        <w:numPr>
          <w:ilvl w:val="0"/>
          <w:numId w:val="10"/>
        </w:numPr>
        <w:spacing w:line="360" w:lineRule="auto"/>
        <w:jc w:val="left"/>
        <w:rPr>
          <w:rFonts w:ascii="黑体" w:hAnsi="黑体"/>
          <w:szCs w:val="18"/>
        </w:rPr>
      </w:pPr>
      <w:r>
        <w:rPr>
          <w:rFonts w:ascii="黑体" w:hAnsi="黑体"/>
          <w:szCs w:val="18"/>
        </w:rPr>
        <w:t xml:space="preserve">强度级别：Ma5.0，抗压强度平均值≥5MPa </w:t>
      </w:r>
    </w:p>
    <w:p w14:paraId="3D9DD643">
      <w:pPr>
        <w:numPr>
          <w:ilvl w:val="0"/>
          <w:numId w:val="10"/>
        </w:numPr>
        <w:spacing w:line="360" w:lineRule="auto"/>
        <w:jc w:val="left"/>
        <w:rPr>
          <w:rFonts w:ascii="黑体" w:hAnsi="黑体"/>
          <w:szCs w:val="18"/>
        </w:rPr>
      </w:pPr>
      <w:r>
        <w:rPr>
          <w:rFonts w:hint="eastAsia" w:ascii="黑体" w:hAnsi="黑体"/>
          <w:szCs w:val="18"/>
        </w:rPr>
        <w:t>干</w:t>
      </w:r>
      <w:r>
        <w:rPr>
          <w:rFonts w:ascii="黑体" w:hAnsi="黑体"/>
          <w:szCs w:val="18"/>
        </w:rPr>
        <w:t>密度</w:t>
      </w:r>
      <w:r>
        <w:rPr>
          <w:rFonts w:hint="eastAsia" w:ascii="黑体" w:hAnsi="黑体"/>
          <w:szCs w:val="18"/>
        </w:rPr>
        <w:t>≤1800</w:t>
      </w:r>
      <w:r>
        <w:rPr>
          <w:rFonts w:ascii="黑体" w:hAnsi="黑体"/>
          <w:szCs w:val="18"/>
        </w:rPr>
        <w:t>kg/m</w:t>
      </w:r>
      <w:r>
        <w:rPr>
          <w:rFonts w:ascii="黑体" w:hAnsi="黑体"/>
          <w:szCs w:val="18"/>
          <w:vertAlign w:val="superscript"/>
        </w:rPr>
        <w:t xml:space="preserve">3 </w:t>
      </w:r>
    </w:p>
    <w:p w14:paraId="55657B85">
      <w:pPr>
        <w:numPr>
          <w:ilvl w:val="0"/>
          <w:numId w:val="10"/>
        </w:numPr>
        <w:spacing w:line="360" w:lineRule="auto"/>
        <w:jc w:val="left"/>
        <w:rPr>
          <w:rFonts w:ascii="黑体" w:hAnsi="黑体"/>
          <w:szCs w:val="18"/>
        </w:rPr>
      </w:pPr>
      <w:r>
        <w:rPr>
          <w:rFonts w:hint="eastAsia" w:ascii="黑体" w:hAnsi="黑体"/>
          <w:szCs w:val="18"/>
        </w:rPr>
        <w:t>分</w:t>
      </w:r>
      <w:r>
        <w:rPr>
          <w:rFonts w:ascii="黑体" w:hAnsi="黑体"/>
          <w:szCs w:val="18"/>
        </w:rPr>
        <w:t>层度</w:t>
      </w:r>
      <w:r>
        <w:rPr>
          <w:rFonts w:hint="eastAsia" w:ascii="黑体" w:hAnsi="黑体"/>
          <w:szCs w:val="18"/>
        </w:rPr>
        <w:t>≤20</w:t>
      </w:r>
      <w:r>
        <w:rPr>
          <w:rFonts w:ascii="黑体" w:hAnsi="黑体"/>
          <w:szCs w:val="18"/>
        </w:rPr>
        <w:t>mm</w:t>
      </w:r>
    </w:p>
    <w:p w14:paraId="6BDBC664">
      <w:pPr>
        <w:numPr>
          <w:ilvl w:val="0"/>
          <w:numId w:val="10"/>
        </w:numPr>
        <w:spacing w:line="360" w:lineRule="auto"/>
        <w:jc w:val="left"/>
        <w:rPr>
          <w:rFonts w:ascii="黑体" w:hAnsi="黑体"/>
          <w:szCs w:val="18"/>
        </w:rPr>
      </w:pPr>
      <w:r>
        <w:rPr>
          <w:rFonts w:hint="eastAsia" w:ascii="黑体" w:hAnsi="黑体"/>
          <w:szCs w:val="18"/>
        </w:rPr>
        <w:t>凝结</w:t>
      </w:r>
      <w:r>
        <w:rPr>
          <w:rFonts w:ascii="黑体" w:hAnsi="黑体"/>
          <w:szCs w:val="18"/>
        </w:rPr>
        <w:t>时间：贯入阻力达到</w:t>
      </w:r>
      <w:r>
        <w:rPr>
          <w:rFonts w:hint="eastAsia" w:ascii="黑体" w:hAnsi="黑体"/>
          <w:szCs w:val="18"/>
        </w:rPr>
        <w:t>0.5</w:t>
      </w:r>
      <w:r>
        <w:rPr>
          <w:rFonts w:ascii="黑体" w:hAnsi="黑体"/>
          <w:szCs w:val="18"/>
        </w:rPr>
        <w:t>MPa时，</w:t>
      </w:r>
      <w:r>
        <w:rPr>
          <w:rFonts w:hint="eastAsia" w:ascii="黑体" w:hAnsi="黑体"/>
          <w:szCs w:val="18"/>
        </w:rPr>
        <w:t>3</w:t>
      </w:r>
      <w:r>
        <w:rPr>
          <w:rFonts w:ascii="黑体" w:hAnsi="黑体"/>
          <w:szCs w:val="18"/>
        </w:rPr>
        <w:t>~5h</w:t>
      </w:r>
    </w:p>
    <w:p w14:paraId="06EBAF56">
      <w:pPr>
        <w:numPr>
          <w:ilvl w:val="0"/>
          <w:numId w:val="10"/>
        </w:numPr>
        <w:spacing w:line="360" w:lineRule="auto"/>
        <w:jc w:val="left"/>
        <w:rPr>
          <w:rFonts w:ascii="黑体" w:hAnsi="黑体"/>
          <w:szCs w:val="18"/>
        </w:rPr>
      </w:pPr>
      <w:r>
        <w:rPr>
          <w:rFonts w:hint="eastAsia" w:ascii="黑体" w:hAnsi="黑体"/>
          <w:szCs w:val="18"/>
        </w:rPr>
        <w:t>导热</w:t>
      </w:r>
      <w:r>
        <w:rPr>
          <w:rFonts w:ascii="黑体" w:hAnsi="黑体"/>
          <w:szCs w:val="18"/>
        </w:rPr>
        <w:t>系数</w:t>
      </w:r>
      <w:r>
        <w:rPr>
          <w:rFonts w:hint="eastAsia" w:ascii="黑体" w:hAnsi="黑体"/>
          <w:szCs w:val="18"/>
        </w:rPr>
        <w:t>≤1.1</w:t>
      </w:r>
      <w:r>
        <w:rPr>
          <w:rFonts w:ascii="黑体" w:hAnsi="黑体"/>
          <w:szCs w:val="18"/>
        </w:rPr>
        <w:t>W/m.k</w:t>
      </w:r>
    </w:p>
    <w:p w14:paraId="7B4B1FAB">
      <w:pPr>
        <w:numPr>
          <w:ilvl w:val="0"/>
          <w:numId w:val="10"/>
        </w:numPr>
        <w:spacing w:line="360" w:lineRule="auto"/>
        <w:jc w:val="left"/>
        <w:rPr>
          <w:rFonts w:ascii="黑体" w:hAnsi="黑体"/>
          <w:szCs w:val="18"/>
        </w:rPr>
      </w:pPr>
      <w:r>
        <w:rPr>
          <w:rFonts w:ascii="黑体" w:hAnsi="黑体" w:cs="宋体"/>
          <w:kern w:val="0"/>
          <w:szCs w:val="18"/>
        </w:rPr>
        <w:t>粘结强度：≥0.20MPa</w:t>
      </w:r>
    </w:p>
    <w:p w14:paraId="19D19275">
      <w:pPr>
        <w:numPr>
          <w:ilvl w:val="0"/>
          <w:numId w:val="10"/>
        </w:numPr>
        <w:spacing w:line="360" w:lineRule="auto"/>
        <w:jc w:val="left"/>
        <w:rPr>
          <w:rFonts w:ascii="黑体" w:hAnsi="黑体"/>
          <w:szCs w:val="18"/>
        </w:rPr>
      </w:pPr>
      <w:r>
        <w:rPr>
          <w:rFonts w:ascii="黑体" w:hAnsi="黑体" w:cs="宋体"/>
          <w:kern w:val="0"/>
          <w:szCs w:val="18"/>
        </w:rPr>
        <w:t>抗冻性25次，质量损失≤5%，强度损失≤20%</w:t>
      </w:r>
    </w:p>
    <w:p w14:paraId="495D60DB">
      <w:pPr>
        <w:numPr>
          <w:ilvl w:val="0"/>
          <w:numId w:val="10"/>
        </w:numPr>
        <w:spacing w:line="360" w:lineRule="auto"/>
        <w:jc w:val="left"/>
        <w:rPr>
          <w:rFonts w:ascii="黑体" w:hAnsi="黑体"/>
          <w:szCs w:val="18"/>
        </w:rPr>
      </w:pPr>
      <w:r>
        <w:rPr>
          <w:rFonts w:ascii="黑体" w:hAnsi="黑体" w:cs="宋体"/>
          <w:kern w:val="0"/>
          <w:szCs w:val="18"/>
        </w:rPr>
        <w:t>收缩值：≤1.1mm/m</w:t>
      </w:r>
    </w:p>
    <w:p w14:paraId="144D1B08">
      <w:pPr>
        <w:spacing w:line="360" w:lineRule="auto"/>
        <w:jc w:val="left"/>
        <w:rPr>
          <w:rFonts w:ascii="黑体" w:hAnsi="黑体" w:cs="宋体"/>
          <w:kern w:val="0"/>
          <w:szCs w:val="18"/>
        </w:rPr>
      </w:pPr>
    </w:p>
    <w:p w14:paraId="3BB73099">
      <w:pPr>
        <w:pStyle w:val="97"/>
      </w:pPr>
      <w:r>
        <w:t xml:space="preserve">供应商提交资料 </w:t>
      </w:r>
    </w:p>
    <w:p w14:paraId="5FF55897">
      <w:pPr>
        <w:pStyle w:val="111"/>
        <w:jc w:val="left"/>
      </w:pPr>
      <w:r>
        <w:t xml:space="preserve">砌块样品信息资料，包括供应商、产品品牌、产品名、尺寸模数、批号以及其它要求的材料信息。 </w:t>
      </w:r>
    </w:p>
    <w:p w14:paraId="77124BD2">
      <w:pPr>
        <w:pStyle w:val="111"/>
        <w:jc w:val="left"/>
      </w:pPr>
      <w:r>
        <w:t>样品：砌块、所有配套产品包括砌筑砂浆、配筋、锚固件和其它金属配件等。</w:t>
      </w:r>
    </w:p>
    <w:p w14:paraId="06090049">
      <w:pPr>
        <w:pStyle w:val="111"/>
        <w:jc w:val="left"/>
      </w:pPr>
      <w:r>
        <w:t xml:space="preserve">供应商推荐的施工技术方法。 </w:t>
      </w:r>
    </w:p>
    <w:p w14:paraId="015ABBBF">
      <w:pPr>
        <w:spacing w:line="360" w:lineRule="auto"/>
        <w:jc w:val="left"/>
        <w:rPr>
          <w:rFonts w:ascii="黑体" w:hAnsi="黑体"/>
          <w:b/>
          <w:szCs w:val="18"/>
        </w:rPr>
      </w:pPr>
    </w:p>
    <w:p w14:paraId="55E7561F">
      <w:pPr>
        <w:pStyle w:val="97"/>
      </w:pPr>
      <w:r>
        <w:t>承包人质量保证</w:t>
      </w:r>
    </w:p>
    <w:p w14:paraId="177C1B20">
      <w:pPr>
        <w:pStyle w:val="111"/>
        <w:jc w:val="left"/>
      </w:pPr>
      <w:r>
        <w:t xml:space="preserve">承包人应按照发包人发出的有效施工图纸进行施工。施工单位应按照有效的施工图纸翻样，施工单位制作的翻样图必须符合现行中国国家标准及有关规程。 </w:t>
      </w:r>
    </w:p>
    <w:p w14:paraId="190A4807">
      <w:pPr>
        <w:pStyle w:val="111"/>
        <w:jc w:val="left"/>
      </w:pPr>
      <w:r>
        <w:t xml:space="preserve">砌块、砌筑砂浆应符合上述规范要求，并由认可的第三方独立的检测机构进行检测；所有砌块产品必须保持同一品质。 </w:t>
      </w:r>
    </w:p>
    <w:p w14:paraId="138C56B9">
      <w:pPr>
        <w:pStyle w:val="111"/>
        <w:jc w:val="left"/>
      </w:pPr>
      <w:r>
        <w:t>承包人在认可的区域根据图纸要求制作样板墙，认可后的样板墙可以作为整个完整工程的一部分。</w:t>
      </w:r>
    </w:p>
    <w:p w14:paraId="75F7FF0E">
      <w:pPr>
        <w:pStyle w:val="111"/>
        <w:jc w:val="left"/>
      </w:pPr>
      <w:r>
        <w:t xml:space="preserve">工程须根据技术规格与合约文件施工，并达到发包人及有关设计单位和监理单位满意为准，若各规范内容有互相抵触时按较严格的条款执行。 </w:t>
      </w:r>
    </w:p>
    <w:p w14:paraId="5C71F8D8">
      <w:pPr>
        <w:spacing w:line="360" w:lineRule="auto"/>
        <w:jc w:val="left"/>
        <w:rPr>
          <w:rFonts w:ascii="黑体" w:hAnsi="黑体"/>
          <w:szCs w:val="18"/>
        </w:rPr>
      </w:pPr>
    </w:p>
    <w:p w14:paraId="01356D32">
      <w:pPr>
        <w:pStyle w:val="97"/>
      </w:pPr>
      <w:r>
        <w:rPr>
          <w:rFonts w:hint="eastAsia"/>
        </w:rPr>
        <w:t>施工技术要求：</w:t>
      </w:r>
    </w:p>
    <w:p w14:paraId="3FD8854D">
      <w:pPr>
        <w:pStyle w:val="111"/>
        <w:jc w:val="left"/>
      </w:pPr>
      <w:r>
        <w:rPr>
          <w:rFonts w:hint="eastAsia"/>
        </w:rPr>
        <w:t>砌筑墙体时，蒸压加气混凝土砌块的生产龄期应超过</w:t>
      </w:r>
      <w:r>
        <w:t>28</w:t>
      </w:r>
      <w:r>
        <w:rPr>
          <w:rFonts w:hint="eastAsia"/>
        </w:rPr>
        <w:t>天。</w:t>
      </w:r>
    </w:p>
    <w:p w14:paraId="0A9F27D1">
      <w:pPr>
        <w:pStyle w:val="111"/>
        <w:jc w:val="left"/>
      </w:pPr>
      <w:r>
        <w:rPr>
          <w:rFonts w:hint="eastAsia"/>
        </w:rPr>
        <w:t>为减少施工中的现场切锯工作量，避免浪费，便于备料，加气混凝土砌块砌筑前均应进行砌块排列设计。</w:t>
      </w:r>
    </w:p>
    <w:p w14:paraId="18A19E2F">
      <w:pPr>
        <w:pStyle w:val="111"/>
        <w:jc w:val="left"/>
      </w:pPr>
      <w:r>
        <w:rPr>
          <w:rFonts w:hint="eastAsia"/>
        </w:rPr>
        <w:t>在砌筑位置放出墙身边线，以砌块每皮高度制作皮数杆，并竖立于墙的两端，皮数杆宜立于墙体转角处，且相距不应大于15m。</w:t>
      </w:r>
    </w:p>
    <w:p w14:paraId="7688BEAD">
      <w:pPr>
        <w:pStyle w:val="111"/>
        <w:jc w:val="left"/>
      </w:pPr>
      <w:r>
        <w:rPr>
          <w:rFonts w:hint="eastAsia"/>
        </w:rPr>
        <w:t>加气混凝土砌块砌筑时，上墙</w:t>
      </w:r>
      <w:r>
        <w:t>含水率，在严寒及寒冷地区，宜控制在</w:t>
      </w:r>
      <w:r>
        <w:rPr>
          <w:rFonts w:hint="eastAsia"/>
        </w:rPr>
        <w:t>15</w:t>
      </w:r>
      <w:r>
        <w:t>%~20%，其他地区</w:t>
      </w:r>
      <w:r>
        <w:rPr>
          <w:rFonts w:hint="eastAsia"/>
        </w:rPr>
        <w:t>宜</w:t>
      </w:r>
      <w:r>
        <w:t>&lt; 30</w:t>
      </w:r>
      <w:r>
        <w:rPr>
          <w:rFonts w:hint="eastAsia"/>
        </w:rPr>
        <w:t>%，如砌块干燥，应在砌筑前向砌筑面适量浇水。禁止用水管对着砌块淋水，宜用小勺浇水，浇水量控制控制方法：A，砌块渗水深度小于8MM；B，手摸有润泽感。</w:t>
      </w:r>
    </w:p>
    <w:p w14:paraId="48DDF87E">
      <w:pPr>
        <w:pStyle w:val="111"/>
        <w:jc w:val="left"/>
      </w:pPr>
      <w:r>
        <w:rPr>
          <w:rFonts w:hint="eastAsia"/>
        </w:rPr>
        <w:t>不同干密度和强度等级的加气混凝土不应混砌。加气混凝土砌块也不得与其他砖、砌块混砌。但在墙底、墙顶局部采用小块实心砖和多孔砖砌筑不视为混砌。</w:t>
      </w:r>
    </w:p>
    <w:p w14:paraId="7C46FB74">
      <w:pPr>
        <w:pStyle w:val="111"/>
        <w:jc w:val="left"/>
      </w:pPr>
      <w:r>
        <w:rPr>
          <w:rFonts w:hint="eastAsia"/>
        </w:rPr>
        <w:t>灰缝应横平竖直，砂浆饱满。符合2.1.1条</w:t>
      </w:r>
      <w:r>
        <w:t>的有关规定。</w:t>
      </w:r>
    </w:p>
    <w:p w14:paraId="66931D33">
      <w:pPr>
        <w:pStyle w:val="111"/>
        <w:jc w:val="left"/>
      </w:pPr>
      <w:r>
        <w:rPr>
          <w:rFonts w:hint="eastAsia"/>
        </w:rPr>
        <w:t>砌块墙的转角处，应隔皮纵、横墙砌块相互搭砌错缝，上下皮搭接长度不宜小于砌块长度的1/3，并不应小150mm。砌块墙的T字交接处，应使横墙砌块隔皮端面露头，见图1-2。</w:t>
      </w:r>
    </w:p>
    <w:p w14:paraId="2FDBA059">
      <w:pPr>
        <w:pStyle w:val="111"/>
        <w:jc w:val="left"/>
      </w:pPr>
      <w:r>
        <w:rPr>
          <w:rFonts w:hint="eastAsia"/>
        </w:rPr>
        <w:drawing>
          <wp:anchor distT="0" distB="0" distL="114300" distR="114300" simplePos="0" relativeHeight="251660288" behindDoc="1" locked="0" layoutInCell="1" allowOverlap="1">
            <wp:simplePos x="0" y="0"/>
            <wp:positionH relativeFrom="column">
              <wp:posOffset>1946910</wp:posOffset>
            </wp:positionH>
            <wp:positionV relativeFrom="paragraph">
              <wp:posOffset>-76200</wp:posOffset>
            </wp:positionV>
            <wp:extent cx="2374265" cy="1811655"/>
            <wp:effectExtent l="19050" t="0" r="7236" b="0"/>
            <wp:wrapTopAndBottom/>
            <wp:docPr id="9" name="图片 9" descr="http://www.gzaac.com/image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gzaac.com/images2/1-2.jpg"/>
                    <pic:cNvPicPr>
                      <a:picLocks noChangeAspect="1" noChangeArrowheads="1"/>
                    </pic:cNvPicPr>
                  </pic:nvPicPr>
                  <pic:blipFill>
                    <a:blip r:embed="rId14" r:link="rId15" cstate="print"/>
                    <a:srcRect/>
                    <a:stretch>
                      <a:fillRect/>
                    </a:stretch>
                  </pic:blipFill>
                  <pic:spPr>
                    <a:xfrm>
                      <a:off x="0" y="0"/>
                      <a:ext cx="2374014" cy="1811547"/>
                    </a:xfrm>
                    <a:prstGeom prst="rect">
                      <a:avLst/>
                    </a:prstGeom>
                    <a:noFill/>
                    <a:ln w="9525">
                      <a:noFill/>
                      <a:miter lim="800000"/>
                      <a:headEnd/>
                      <a:tailEnd/>
                    </a:ln>
                  </pic:spPr>
                </pic:pic>
              </a:graphicData>
            </a:graphic>
          </wp:anchor>
        </w:drawing>
      </w:r>
      <w:r>
        <w:rPr>
          <w:rFonts w:hint="eastAsia"/>
        </w:rPr>
        <w:t>所有砌体</w:t>
      </w:r>
      <w:r>
        <w:t>墙，如</w:t>
      </w:r>
      <w:r>
        <w:rPr>
          <w:rFonts w:hint="eastAsia"/>
        </w:rPr>
        <w:t>设计</w:t>
      </w:r>
      <w:r>
        <w:t>图纸未特别注明</w:t>
      </w:r>
      <w:r>
        <w:rPr>
          <w:rFonts w:hint="eastAsia"/>
        </w:rPr>
        <w:t>，</w:t>
      </w:r>
      <w:r>
        <w:t>均砌到结构</w:t>
      </w:r>
      <w:r>
        <w:rPr>
          <w:rFonts w:hint="eastAsia"/>
        </w:rPr>
        <w:t>梁</w:t>
      </w:r>
      <w:r>
        <w:t>板底。</w:t>
      </w:r>
      <w:r>
        <w:rPr>
          <w:rFonts w:hint="eastAsia"/>
        </w:rPr>
        <w:t>砌到接近上层梁、板底约300mm，待下部砌体沉缩。在抹灰前（间隔时间不少于7天），用蒸压粉煤灰砖斜砌挤紧，砖倾斜度为60度左右，砂浆应饱满。</w:t>
      </w:r>
    </w:p>
    <w:p w14:paraId="720833E0">
      <w:pPr>
        <w:pStyle w:val="111"/>
        <w:jc w:val="left"/>
      </w:pPr>
      <w:r>
        <w:rPr>
          <w:rFonts w:hint="eastAsia"/>
        </w:rPr>
        <w:t>墙体洞口上部应设过梁，每边支撑长度不小于300mm。</w:t>
      </w:r>
    </w:p>
    <w:p w14:paraId="13A96DD6">
      <w:pPr>
        <w:pStyle w:val="111"/>
        <w:jc w:val="left"/>
      </w:pPr>
      <w:r>
        <w:rPr>
          <w:rFonts w:hint="eastAsia"/>
        </w:rPr>
        <w:drawing>
          <wp:anchor distT="0" distB="0" distL="114300" distR="114300" simplePos="0" relativeHeight="251659264" behindDoc="0" locked="0" layoutInCell="1" allowOverlap="1">
            <wp:simplePos x="0" y="0"/>
            <wp:positionH relativeFrom="column">
              <wp:posOffset>3362960</wp:posOffset>
            </wp:positionH>
            <wp:positionV relativeFrom="paragraph">
              <wp:posOffset>100965</wp:posOffset>
            </wp:positionV>
            <wp:extent cx="2633980" cy="1793875"/>
            <wp:effectExtent l="19050" t="0" r="0" b="0"/>
            <wp:wrapSquare wrapText="bothSides"/>
            <wp:docPr id="8" name="图片 8" descr="http://www.gzaac.com/images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gzaac.com/images2/1-3.jpg"/>
                    <pic:cNvPicPr>
                      <a:picLocks noChangeAspect="1" noChangeArrowheads="1"/>
                    </pic:cNvPicPr>
                  </pic:nvPicPr>
                  <pic:blipFill>
                    <a:blip r:embed="rId16" r:link="rId17" cstate="print"/>
                    <a:srcRect/>
                    <a:stretch>
                      <a:fillRect/>
                    </a:stretch>
                  </pic:blipFill>
                  <pic:spPr>
                    <a:xfrm>
                      <a:off x="0" y="0"/>
                      <a:ext cx="2633980" cy="1793875"/>
                    </a:xfrm>
                    <a:prstGeom prst="rect">
                      <a:avLst/>
                    </a:prstGeom>
                    <a:noFill/>
                    <a:ln w="9525">
                      <a:noFill/>
                      <a:miter lim="800000"/>
                      <a:headEnd/>
                      <a:tailEnd/>
                    </a:ln>
                  </pic:spPr>
                </pic:pic>
              </a:graphicData>
            </a:graphic>
          </wp:anchor>
        </w:drawing>
      </w:r>
      <w:r>
        <w:rPr>
          <w:rFonts w:hint="eastAsia"/>
        </w:rPr>
        <w:t>砌块墙与承重墙或柱交接处，应在承重墙或柱的水平灰缝内预埋拉结钢筋，应符合</w:t>
      </w:r>
      <w:r>
        <w:t>设计要求，或按国标图集</w:t>
      </w:r>
      <w:r>
        <w:rPr>
          <w:rFonts w:hint="eastAsia"/>
        </w:rPr>
        <w:t>13</w:t>
      </w:r>
      <w:r>
        <w:t>J104的有关要求处理。</w:t>
      </w:r>
    </w:p>
    <w:p w14:paraId="755404D3">
      <w:pPr>
        <w:pStyle w:val="111"/>
        <w:jc w:val="left"/>
      </w:pPr>
      <w:r>
        <w:rPr>
          <w:rFonts w:hint="eastAsia"/>
        </w:rPr>
        <w:t>加气混凝土砌块墙上不得留脚手眼。</w:t>
      </w:r>
    </w:p>
    <w:p w14:paraId="038F2F25">
      <w:pPr>
        <w:pStyle w:val="111"/>
        <w:jc w:val="left"/>
      </w:pPr>
      <w:r>
        <w:rPr>
          <w:rFonts w:hint="eastAsia"/>
        </w:rPr>
        <w:t>切锯砌块应使用专用工具（锯），不得用斧或瓦刀任意砍劈。</w:t>
      </w:r>
    </w:p>
    <w:p w14:paraId="0F2101C6">
      <w:pPr>
        <w:pStyle w:val="111"/>
        <w:jc w:val="left"/>
      </w:pPr>
      <w:r>
        <w:rPr>
          <w:rFonts w:hint="eastAsia"/>
        </w:rPr>
        <w:t>加气混凝土砌块墙每天砌筑高度不宜超过1.5m或一步脚手架高度内。但在停砌后最高一皮砖因其自重太轻而容易造成与砂浆的胶结不充分而产生裂缝，应在停砌时最高一皮砖上以一皮浮砖压顶，第二天继续砌筑时再将其取走。</w:t>
      </w:r>
      <w:r>
        <w:t xml:space="preserve"> </w:t>
      </w:r>
    </w:p>
    <w:p w14:paraId="7181ECE9">
      <w:pPr>
        <w:pStyle w:val="111"/>
        <w:jc w:val="left"/>
      </w:pPr>
      <w:r>
        <w:rPr>
          <w:rFonts w:hint="eastAsia"/>
        </w:rPr>
        <w:t>墙上孔洞需要堵塞时，应用经切锯而成的异型砌块和加气混凝土修补砂浆填堵，不得用其他材料塞堵（如碎砖、混凝土或普通砂浆等）。</w:t>
      </w:r>
    </w:p>
    <w:p w14:paraId="61532123">
      <w:pPr>
        <w:pStyle w:val="111"/>
        <w:jc w:val="left"/>
      </w:pPr>
      <w:r>
        <w:rPr>
          <w:rFonts w:hint="eastAsia"/>
        </w:rPr>
        <w:t>砌筑时每皮砌块均须拉基准线，灰缝要求横平竖直。每一块砌块全长上铺满砂浆，铺浆要厚薄均匀，浆面平整，保证灰缝厚度。铺浆后立即放置砌块，要求一次摆正找平。如不立即放置砌块（只可上下按放，不可左右推动），砂浆凝固了，须铲去砂浆，重新砌筑。竖缝严禁用水冲浆灌缝，可采用挡板堵缝法填满、捣实、刮平，也可采用其他能保证竖缝</w:t>
      </w:r>
      <w:r>
        <w:t xml:space="preserve"> </w:t>
      </w:r>
      <w:r>
        <w:rPr>
          <w:rFonts w:hint="eastAsia"/>
        </w:rPr>
        <w:t>砂浆饱满的方法。随砌随将灰缝钩成深 的凹缝。</w:t>
      </w:r>
    </w:p>
    <w:p w14:paraId="61186E41">
      <w:pPr>
        <w:pStyle w:val="111"/>
        <w:jc w:val="left"/>
      </w:pPr>
      <w:r>
        <w:rPr>
          <w:rFonts w:hint="eastAsia"/>
        </w:rPr>
        <w:t>砌体的转角处和交接处的各方向砌体应同时砌筑。对不能同时砌筑而又必须留置的临时间处，应按图1-4的要求留置斜槎。接槎时，应先清理基面、浇适度水润湿，然后铺浆接砌，并做到灰缝饱满。埋入砌体内部的拉结钢筋，应设置正确、平直，其预留拉结外露部分在施工中不得任意弯折。</w:t>
      </w:r>
    </w:p>
    <w:p w14:paraId="524B3565">
      <w:pPr>
        <w:pStyle w:val="111"/>
        <w:jc w:val="left"/>
      </w:pPr>
      <w:r>
        <w:rPr>
          <w:rFonts w:hint="eastAsia"/>
        </w:rPr>
        <w:drawing>
          <wp:anchor distT="0" distB="0" distL="114300" distR="114300" simplePos="0" relativeHeight="251661312" behindDoc="1" locked="0" layoutInCell="1" allowOverlap="1">
            <wp:simplePos x="0" y="0"/>
            <wp:positionH relativeFrom="column">
              <wp:posOffset>2331085</wp:posOffset>
            </wp:positionH>
            <wp:positionV relativeFrom="paragraph">
              <wp:posOffset>128270</wp:posOffset>
            </wp:positionV>
            <wp:extent cx="1901825" cy="1948815"/>
            <wp:effectExtent l="19050" t="0" r="3175" b="0"/>
            <wp:wrapTopAndBottom/>
            <wp:docPr id="10" name="图片 10" descr="http://www.gzaac.com/images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gzaac.com/images2/1-4.jpg"/>
                    <pic:cNvPicPr>
                      <a:picLocks noChangeAspect="1" noChangeArrowheads="1"/>
                    </pic:cNvPicPr>
                  </pic:nvPicPr>
                  <pic:blipFill>
                    <a:blip r:embed="rId18" r:link="rId19" cstate="print">
                      <a:lum contrast="20000"/>
                    </a:blip>
                    <a:srcRect/>
                    <a:stretch>
                      <a:fillRect/>
                    </a:stretch>
                  </pic:blipFill>
                  <pic:spPr>
                    <a:xfrm>
                      <a:off x="0" y="0"/>
                      <a:ext cx="1901825" cy="1948815"/>
                    </a:xfrm>
                    <a:prstGeom prst="rect">
                      <a:avLst/>
                    </a:prstGeom>
                    <a:noFill/>
                    <a:ln w="9525">
                      <a:noFill/>
                      <a:miter lim="800000"/>
                      <a:headEnd/>
                      <a:tailEnd/>
                    </a:ln>
                  </pic:spPr>
                </pic:pic>
              </a:graphicData>
            </a:graphic>
          </wp:anchor>
        </w:drawing>
      </w:r>
      <w:r>
        <w:rPr>
          <w:rFonts w:hint="eastAsia"/>
        </w:rPr>
        <w:t>浇注钢筋混凝土圈梁前应清理基面，扫除灰渣，圈梁模板应润湿，而圈梁下砌体适当洒水浇水，然后浇注。</w:t>
      </w:r>
    </w:p>
    <w:p w14:paraId="0912BF9E">
      <w:pPr>
        <w:pStyle w:val="111"/>
        <w:jc w:val="left"/>
      </w:pPr>
      <w:r>
        <w:rPr>
          <w:rFonts w:hint="eastAsia"/>
        </w:rPr>
        <w:t>外墙在窗台处设计无窗台板时，砌筑时必须预埋</w:t>
      </w:r>
      <w:r>
        <w:t>2</w:t>
      </w:r>
      <w:r>
        <w:rPr>
          <w:rFonts w:hint="eastAsia"/>
        </w:rPr>
        <w:t>根φ</w:t>
      </w:r>
      <w:r>
        <w:t>6</w:t>
      </w:r>
      <w:r>
        <w:rPr>
          <w:rFonts w:hint="eastAsia"/>
        </w:rPr>
        <w:t>钢筋，伸入墙内</w:t>
      </w:r>
      <w:r>
        <w:t>300 mm</w:t>
      </w:r>
      <w:r>
        <w:rPr>
          <w:rFonts w:hint="eastAsia"/>
        </w:rPr>
        <w:t>，并预留</w:t>
      </w:r>
      <w:r>
        <w:t>80mm</w:t>
      </w:r>
      <w:r>
        <w:rPr>
          <w:rFonts w:hint="eastAsia"/>
        </w:rPr>
        <w:t>高度后浇</w:t>
      </w:r>
      <w:r>
        <w:t>C20</w:t>
      </w:r>
      <w:r>
        <w:rPr>
          <w:rFonts w:hint="eastAsia"/>
        </w:rPr>
        <w:t>混凝土现浇窗台卧梁。</w:t>
      </w:r>
    </w:p>
    <w:p w14:paraId="0F65C510">
      <w:pPr>
        <w:pStyle w:val="111"/>
        <w:jc w:val="left"/>
      </w:pPr>
      <w:r>
        <w:rPr>
          <w:rFonts w:hint="eastAsia"/>
        </w:rPr>
        <w:t>设计无规定时，不得有集中荷载直接作用在加气混凝土墙上，否则，应设置梁垫或采取其他措施。</w:t>
      </w:r>
    </w:p>
    <w:p w14:paraId="7DF0BB39">
      <w:pPr>
        <w:pStyle w:val="111"/>
        <w:jc w:val="left"/>
      </w:pPr>
      <w:r>
        <w:rPr>
          <w:rFonts w:hint="eastAsia"/>
        </w:rPr>
        <w:t>现浇混凝土养护浇水时，不能长时间流淌，避免发生砌体浸泡现象。</w:t>
      </w:r>
    </w:p>
    <w:p w14:paraId="06A230C2">
      <w:pPr>
        <w:pStyle w:val="111"/>
        <w:jc w:val="left"/>
      </w:pPr>
      <w:r>
        <w:rPr>
          <w:rFonts w:hint="eastAsia"/>
        </w:rPr>
        <w:t>穿越墙体的水管要严防渗漏。穿墙、附墙或埋入墙内的铁件应做防腐处理。</w:t>
      </w:r>
    </w:p>
    <w:p w14:paraId="695EB852">
      <w:pPr>
        <w:pStyle w:val="111"/>
        <w:jc w:val="left"/>
      </w:pPr>
      <w:r>
        <w:rPr>
          <w:rFonts w:hint="eastAsia"/>
        </w:rPr>
        <w:t>雨天不宜砌筑，并对砌块和砌体采取遮盖措施。</w:t>
      </w:r>
    </w:p>
    <w:p w14:paraId="24204E3D">
      <w:pPr>
        <w:pStyle w:val="111"/>
        <w:jc w:val="left"/>
      </w:pPr>
      <w:r>
        <w:rPr>
          <w:rFonts w:hint="eastAsia"/>
        </w:rPr>
        <w:t>任何情况下严禁在加气块墙体上任意打凿开槽埋管，必须用无齿锯切割，暗埋安装管并打压后随即用砂浆填实抹平后表面挂钉钢丝网。</w:t>
      </w:r>
    </w:p>
    <w:p w14:paraId="1AFD62B8">
      <w:pPr>
        <w:autoSpaceDE w:val="0"/>
        <w:autoSpaceDN w:val="0"/>
        <w:adjustRightInd w:val="0"/>
        <w:spacing w:line="360" w:lineRule="auto"/>
        <w:jc w:val="left"/>
        <w:rPr>
          <w:rFonts w:ascii="黑体" w:hAnsi="黑体"/>
          <w:kern w:val="0"/>
          <w:szCs w:val="18"/>
        </w:rPr>
      </w:pPr>
    </w:p>
    <w:p w14:paraId="25FC16DB">
      <w:pPr>
        <w:pStyle w:val="97"/>
      </w:pPr>
      <w:r>
        <w:rPr>
          <w:rFonts w:hint="eastAsia"/>
        </w:rPr>
        <w:t>检验和验收</w:t>
      </w:r>
    </w:p>
    <w:p w14:paraId="66552E74">
      <w:pPr>
        <w:pStyle w:val="111"/>
        <w:jc w:val="left"/>
      </w:pPr>
      <w:r>
        <w:t>砌体的检验与验收，应严格遵守《砌体工程施工质量验收标准》GB50203</w:t>
      </w:r>
      <w:r>
        <w:rPr>
          <w:rFonts w:hint="eastAsia"/>
        </w:rPr>
        <w:t>。</w:t>
      </w:r>
    </w:p>
    <w:p w14:paraId="427987D1">
      <w:pPr>
        <w:pStyle w:val="111"/>
        <w:jc w:val="left"/>
      </w:pPr>
      <w:r>
        <w:t xml:space="preserve">工程师可以从工地备料中随即选取砌块，在认可的实验室进行测试，如果所选的砌块不能满足以上性能要求包括强度，工程师可以要求拆除已建成的墙体并从工地上退回备料，由此造成的费用由承包商负责。 </w:t>
      </w:r>
    </w:p>
    <w:p w14:paraId="61298E0D">
      <w:pPr>
        <w:pStyle w:val="111"/>
        <w:jc w:val="left"/>
      </w:pPr>
      <w:r>
        <w:t xml:space="preserve">填充墙砌体尺寸允许偏差满足下表规定要求 </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4"/>
        <w:gridCol w:w="921"/>
        <w:gridCol w:w="922"/>
        <w:gridCol w:w="1701"/>
        <w:gridCol w:w="3594"/>
      </w:tblGrid>
      <w:tr w14:paraId="1B130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1B1C8C2C">
            <w:pPr>
              <w:autoSpaceDE w:val="0"/>
              <w:autoSpaceDN w:val="0"/>
              <w:adjustRightInd w:val="0"/>
              <w:jc w:val="left"/>
              <w:rPr>
                <w:rFonts w:ascii="黑体" w:hAnsi="黑体" w:cs="宋体"/>
                <w:kern w:val="0"/>
                <w:szCs w:val="18"/>
              </w:rPr>
            </w:pPr>
            <w:r>
              <w:rPr>
                <w:rFonts w:ascii="黑体" w:hAnsi="黑体" w:cs="宋体"/>
                <w:kern w:val="0"/>
                <w:szCs w:val="18"/>
              </w:rPr>
              <w:t>项次</w:t>
            </w:r>
          </w:p>
        </w:tc>
        <w:tc>
          <w:tcPr>
            <w:tcW w:w="1843" w:type="dxa"/>
            <w:gridSpan w:val="2"/>
          </w:tcPr>
          <w:p w14:paraId="48D6513C">
            <w:pPr>
              <w:autoSpaceDE w:val="0"/>
              <w:autoSpaceDN w:val="0"/>
              <w:adjustRightInd w:val="0"/>
              <w:jc w:val="left"/>
              <w:rPr>
                <w:rFonts w:ascii="黑体" w:hAnsi="黑体" w:cs="宋体"/>
                <w:kern w:val="0"/>
                <w:szCs w:val="18"/>
              </w:rPr>
            </w:pPr>
            <w:r>
              <w:rPr>
                <w:rFonts w:ascii="黑体" w:hAnsi="黑体" w:cs="宋体"/>
                <w:kern w:val="0"/>
                <w:szCs w:val="18"/>
              </w:rPr>
              <w:t>项目</w:t>
            </w:r>
          </w:p>
        </w:tc>
        <w:tc>
          <w:tcPr>
            <w:tcW w:w="1701" w:type="dxa"/>
          </w:tcPr>
          <w:p w14:paraId="3E721EE6">
            <w:pPr>
              <w:autoSpaceDE w:val="0"/>
              <w:autoSpaceDN w:val="0"/>
              <w:adjustRightInd w:val="0"/>
              <w:jc w:val="left"/>
              <w:rPr>
                <w:rFonts w:ascii="黑体" w:hAnsi="黑体" w:cs="宋体"/>
                <w:kern w:val="0"/>
                <w:szCs w:val="18"/>
              </w:rPr>
            </w:pPr>
            <w:r>
              <w:rPr>
                <w:rFonts w:ascii="黑体" w:hAnsi="黑体" w:cs="宋体"/>
                <w:kern w:val="0"/>
                <w:szCs w:val="18"/>
              </w:rPr>
              <w:t>允许偏差(mm)</w:t>
            </w:r>
          </w:p>
        </w:tc>
        <w:tc>
          <w:tcPr>
            <w:tcW w:w="3594" w:type="dxa"/>
          </w:tcPr>
          <w:p w14:paraId="67CCF29F">
            <w:pPr>
              <w:autoSpaceDE w:val="0"/>
              <w:autoSpaceDN w:val="0"/>
              <w:adjustRightInd w:val="0"/>
              <w:jc w:val="left"/>
              <w:rPr>
                <w:rFonts w:ascii="黑体" w:hAnsi="黑体" w:cs="宋体"/>
                <w:kern w:val="0"/>
                <w:szCs w:val="18"/>
              </w:rPr>
            </w:pPr>
            <w:r>
              <w:rPr>
                <w:rFonts w:ascii="黑体" w:hAnsi="黑体" w:cs="宋体"/>
                <w:kern w:val="0"/>
                <w:szCs w:val="18"/>
              </w:rPr>
              <w:t>检验方法</w:t>
            </w:r>
          </w:p>
        </w:tc>
      </w:tr>
      <w:tr w14:paraId="4C8D1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7863175F">
            <w:pPr>
              <w:pStyle w:val="113"/>
              <w:tabs>
                <w:tab w:val="left" w:pos="0"/>
              </w:tabs>
              <w:spacing w:line="240" w:lineRule="auto"/>
              <w:ind w:left="788" w:leftChars="202" w:hanging="424" w:hangingChars="236"/>
              <w:jc w:val="left"/>
            </w:pPr>
          </w:p>
        </w:tc>
        <w:tc>
          <w:tcPr>
            <w:tcW w:w="1843" w:type="dxa"/>
            <w:gridSpan w:val="2"/>
          </w:tcPr>
          <w:p w14:paraId="486EA664">
            <w:pPr>
              <w:autoSpaceDE w:val="0"/>
              <w:autoSpaceDN w:val="0"/>
              <w:adjustRightInd w:val="0"/>
              <w:jc w:val="left"/>
              <w:rPr>
                <w:rFonts w:ascii="黑体" w:hAnsi="黑体" w:cs="宋体"/>
                <w:kern w:val="0"/>
                <w:szCs w:val="18"/>
              </w:rPr>
            </w:pPr>
            <w:r>
              <w:rPr>
                <w:rFonts w:hint="eastAsia" w:ascii="黑体" w:hAnsi="黑体" w:cs="宋体"/>
                <w:kern w:val="0"/>
                <w:szCs w:val="18"/>
              </w:rPr>
              <w:t>基础顶面和楼面标高</w:t>
            </w:r>
          </w:p>
        </w:tc>
        <w:tc>
          <w:tcPr>
            <w:tcW w:w="1701" w:type="dxa"/>
          </w:tcPr>
          <w:p w14:paraId="2702D194">
            <w:pPr>
              <w:autoSpaceDE w:val="0"/>
              <w:autoSpaceDN w:val="0"/>
              <w:adjustRightInd w:val="0"/>
              <w:jc w:val="left"/>
              <w:rPr>
                <w:rFonts w:ascii="黑体" w:hAnsi="黑体" w:cs="宋体"/>
                <w:kern w:val="0"/>
                <w:szCs w:val="18"/>
              </w:rPr>
            </w:pPr>
            <w:r>
              <w:rPr>
                <w:rFonts w:ascii="黑体" w:hAnsi="黑体" w:cs="宋体"/>
                <w:kern w:val="0"/>
                <w:szCs w:val="18"/>
              </w:rPr>
              <w:t>±</w:t>
            </w:r>
            <w:r>
              <w:rPr>
                <w:rFonts w:hint="eastAsia" w:ascii="黑体" w:hAnsi="黑体" w:cs="宋体"/>
                <w:kern w:val="0"/>
                <w:szCs w:val="18"/>
              </w:rPr>
              <w:t>1</w:t>
            </w:r>
            <w:r>
              <w:rPr>
                <w:rFonts w:ascii="黑体" w:hAnsi="黑体" w:cs="宋体"/>
                <w:kern w:val="0"/>
                <w:szCs w:val="18"/>
              </w:rPr>
              <w:t>5</w:t>
            </w:r>
          </w:p>
        </w:tc>
        <w:tc>
          <w:tcPr>
            <w:tcW w:w="3594" w:type="dxa"/>
          </w:tcPr>
          <w:p w14:paraId="5D88D031">
            <w:pPr>
              <w:autoSpaceDE w:val="0"/>
              <w:autoSpaceDN w:val="0"/>
              <w:adjustRightInd w:val="0"/>
              <w:jc w:val="left"/>
              <w:rPr>
                <w:rFonts w:ascii="黑体" w:hAnsi="黑体" w:cs="宋体"/>
                <w:kern w:val="0"/>
                <w:szCs w:val="18"/>
              </w:rPr>
            </w:pPr>
            <w:r>
              <w:rPr>
                <w:rFonts w:hint="eastAsia" w:ascii="黑体" w:hAnsi="黑体" w:cs="宋体"/>
                <w:kern w:val="0"/>
                <w:szCs w:val="18"/>
              </w:rPr>
              <w:t>用经纬仪检查</w:t>
            </w:r>
          </w:p>
        </w:tc>
      </w:tr>
      <w:tr w14:paraId="66BD8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3FB07186">
            <w:pPr>
              <w:pStyle w:val="113"/>
              <w:spacing w:line="240" w:lineRule="auto"/>
              <w:ind w:left="788" w:leftChars="202" w:hanging="424" w:hangingChars="236"/>
              <w:jc w:val="left"/>
            </w:pPr>
          </w:p>
        </w:tc>
        <w:tc>
          <w:tcPr>
            <w:tcW w:w="1843" w:type="dxa"/>
            <w:gridSpan w:val="2"/>
          </w:tcPr>
          <w:p w14:paraId="53B2B0D5">
            <w:pPr>
              <w:autoSpaceDE w:val="0"/>
              <w:autoSpaceDN w:val="0"/>
              <w:adjustRightInd w:val="0"/>
              <w:jc w:val="left"/>
              <w:rPr>
                <w:rFonts w:ascii="黑体" w:hAnsi="黑体" w:cs="宋体"/>
                <w:kern w:val="0"/>
                <w:szCs w:val="18"/>
              </w:rPr>
            </w:pPr>
            <w:r>
              <w:rPr>
                <w:rFonts w:hint="eastAsia" w:ascii="黑体" w:hAnsi="黑体" w:cs="宋体"/>
                <w:kern w:val="0"/>
                <w:szCs w:val="18"/>
              </w:rPr>
              <w:t>砌体厚度</w:t>
            </w:r>
          </w:p>
        </w:tc>
        <w:tc>
          <w:tcPr>
            <w:tcW w:w="1701" w:type="dxa"/>
          </w:tcPr>
          <w:p w14:paraId="7C438A37">
            <w:pPr>
              <w:autoSpaceDE w:val="0"/>
              <w:autoSpaceDN w:val="0"/>
              <w:adjustRightInd w:val="0"/>
              <w:jc w:val="left"/>
              <w:rPr>
                <w:rFonts w:ascii="黑体" w:hAnsi="黑体" w:cs="宋体"/>
                <w:kern w:val="0"/>
                <w:szCs w:val="18"/>
              </w:rPr>
            </w:pPr>
            <w:r>
              <w:rPr>
                <w:rFonts w:ascii="黑体" w:hAnsi="黑体" w:cs="宋体"/>
                <w:kern w:val="0"/>
                <w:szCs w:val="18"/>
              </w:rPr>
              <w:t>±</w:t>
            </w:r>
            <w:r>
              <w:rPr>
                <w:rFonts w:hint="eastAsia" w:ascii="黑体" w:hAnsi="黑体" w:cs="宋体"/>
                <w:kern w:val="0"/>
                <w:szCs w:val="18"/>
              </w:rPr>
              <w:t>4</w:t>
            </w:r>
          </w:p>
        </w:tc>
        <w:tc>
          <w:tcPr>
            <w:tcW w:w="3594" w:type="dxa"/>
          </w:tcPr>
          <w:p w14:paraId="78D1E770">
            <w:pPr>
              <w:autoSpaceDE w:val="0"/>
              <w:autoSpaceDN w:val="0"/>
              <w:adjustRightInd w:val="0"/>
              <w:jc w:val="left"/>
              <w:rPr>
                <w:rFonts w:ascii="黑体" w:hAnsi="黑体" w:cs="宋体"/>
                <w:kern w:val="0"/>
                <w:szCs w:val="18"/>
              </w:rPr>
            </w:pPr>
            <w:r>
              <w:rPr>
                <w:rFonts w:ascii="黑体" w:hAnsi="黑体" w:cs="宋体"/>
                <w:kern w:val="0"/>
                <w:szCs w:val="18"/>
              </w:rPr>
              <w:t>用尺检查</w:t>
            </w:r>
          </w:p>
        </w:tc>
      </w:tr>
      <w:tr w14:paraId="16786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4B067CA8">
            <w:pPr>
              <w:pStyle w:val="113"/>
              <w:spacing w:line="240" w:lineRule="auto"/>
              <w:ind w:left="788" w:leftChars="202" w:hanging="424" w:hangingChars="236"/>
              <w:jc w:val="left"/>
            </w:pPr>
          </w:p>
        </w:tc>
        <w:tc>
          <w:tcPr>
            <w:tcW w:w="1843" w:type="dxa"/>
            <w:gridSpan w:val="2"/>
          </w:tcPr>
          <w:p w14:paraId="50F24A0D">
            <w:pPr>
              <w:autoSpaceDE w:val="0"/>
              <w:autoSpaceDN w:val="0"/>
              <w:adjustRightInd w:val="0"/>
              <w:jc w:val="left"/>
              <w:rPr>
                <w:rFonts w:ascii="黑体" w:hAnsi="黑体" w:cs="宋体"/>
                <w:kern w:val="0"/>
                <w:szCs w:val="18"/>
              </w:rPr>
            </w:pPr>
            <w:r>
              <w:rPr>
                <w:rFonts w:ascii="黑体" w:hAnsi="黑体" w:cs="宋体"/>
                <w:kern w:val="0"/>
                <w:szCs w:val="18"/>
              </w:rPr>
              <w:t>轴线位移</w:t>
            </w:r>
          </w:p>
        </w:tc>
        <w:tc>
          <w:tcPr>
            <w:tcW w:w="1701" w:type="dxa"/>
          </w:tcPr>
          <w:p w14:paraId="3CF69AE2">
            <w:pPr>
              <w:autoSpaceDE w:val="0"/>
              <w:autoSpaceDN w:val="0"/>
              <w:adjustRightInd w:val="0"/>
              <w:jc w:val="left"/>
              <w:rPr>
                <w:rFonts w:ascii="黑体" w:hAnsi="黑体" w:cs="宋体"/>
                <w:kern w:val="0"/>
                <w:szCs w:val="18"/>
              </w:rPr>
            </w:pPr>
            <w:r>
              <w:rPr>
                <w:rFonts w:hint="eastAsia" w:ascii="黑体" w:hAnsi="黑体" w:cs="宋体"/>
                <w:kern w:val="0"/>
                <w:szCs w:val="18"/>
              </w:rPr>
              <w:t>10</w:t>
            </w:r>
          </w:p>
        </w:tc>
        <w:tc>
          <w:tcPr>
            <w:tcW w:w="3594" w:type="dxa"/>
          </w:tcPr>
          <w:p w14:paraId="4FE5D744">
            <w:pPr>
              <w:autoSpaceDE w:val="0"/>
              <w:autoSpaceDN w:val="0"/>
              <w:adjustRightInd w:val="0"/>
              <w:jc w:val="left"/>
              <w:rPr>
                <w:rFonts w:ascii="黑体" w:hAnsi="黑体" w:cs="宋体"/>
                <w:kern w:val="0"/>
                <w:szCs w:val="18"/>
              </w:rPr>
            </w:pPr>
            <w:r>
              <w:rPr>
                <w:rFonts w:ascii="黑体" w:hAnsi="黑体" w:cs="宋体"/>
                <w:kern w:val="0"/>
                <w:szCs w:val="18"/>
              </w:rPr>
              <w:t>用尺检查</w:t>
            </w:r>
          </w:p>
        </w:tc>
      </w:tr>
      <w:tr w14:paraId="7D0CB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restart"/>
          </w:tcPr>
          <w:p w14:paraId="13C5030F">
            <w:pPr>
              <w:pStyle w:val="113"/>
              <w:spacing w:line="240" w:lineRule="auto"/>
              <w:ind w:left="788" w:leftChars="202" w:hanging="424" w:hangingChars="236"/>
              <w:jc w:val="left"/>
            </w:pPr>
          </w:p>
        </w:tc>
        <w:tc>
          <w:tcPr>
            <w:tcW w:w="921" w:type="dxa"/>
            <w:vMerge w:val="restart"/>
          </w:tcPr>
          <w:p w14:paraId="00164608">
            <w:pPr>
              <w:autoSpaceDE w:val="0"/>
              <w:autoSpaceDN w:val="0"/>
              <w:adjustRightInd w:val="0"/>
              <w:jc w:val="left"/>
              <w:rPr>
                <w:rFonts w:ascii="黑体" w:hAnsi="黑体" w:cs="宋体"/>
                <w:kern w:val="0"/>
                <w:szCs w:val="18"/>
              </w:rPr>
            </w:pPr>
            <w:r>
              <w:rPr>
                <w:rFonts w:hint="eastAsia" w:ascii="黑体" w:hAnsi="黑体" w:cs="宋体"/>
                <w:kern w:val="0"/>
                <w:szCs w:val="18"/>
              </w:rPr>
              <w:t>垂直度</w:t>
            </w:r>
          </w:p>
        </w:tc>
        <w:tc>
          <w:tcPr>
            <w:tcW w:w="922" w:type="dxa"/>
          </w:tcPr>
          <w:p w14:paraId="316DB0D4">
            <w:pPr>
              <w:autoSpaceDE w:val="0"/>
              <w:autoSpaceDN w:val="0"/>
              <w:adjustRightInd w:val="0"/>
              <w:jc w:val="left"/>
              <w:rPr>
                <w:rFonts w:ascii="黑体" w:hAnsi="黑体" w:cs="宋体"/>
                <w:kern w:val="0"/>
                <w:szCs w:val="18"/>
              </w:rPr>
            </w:pPr>
            <w:r>
              <w:rPr>
                <w:rFonts w:hint="eastAsia" w:ascii="黑体" w:hAnsi="黑体" w:cs="宋体"/>
                <w:kern w:val="0"/>
                <w:szCs w:val="18"/>
              </w:rPr>
              <w:t>每层</w:t>
            </w:r>
          </w:p>
        </w:tc>
        <w:tc>
          <w:tcPr>
            <w:tcW w:w="1701" w:type="dxa"/>
          </w:tcPr>
          <w:p w14:paraId="59448D37">
            <w:pPr>
              <w:autoSpaceDE w:val="0"/>
              <w:autoSpaceDN w:val="0"/>
              <w:adjustRightInd w:val="0"/>
              <w:jc w:val="left"/>
              <w:rPr>
                <w:rFonts w:ascii="黑体" w:hAnsi="黑体" w:cs="宋体"/>
                <w:kern w:val="0"/>
                <w:szCs w:val="18"/>
              </w:rPr>
            </w:pPr>
            <w:r>
              <w:rPr>
                <w:rFonts w:hint="eastAsia" w:ascii="黑体" w:hAnsi="黑体" w:cs="宋体"/>
                <w:kern w:val="0"/>
                <w:szCs w:val="18"/>
              </w:rPr>
              <w:t>5</w:t>
            </w:r>
          </w:p>
        </w:tc>
        <w:tc>
          <w:tcPr>
            <w:tcW w:w="3594" w:type="dxa"/>
            <w:vMerge w:val="restart"/>
          </w:tcPr>
          <w:p w14:paraId="131C4173">
            <w:pPr>
              <w:autoSpaceDE w:val="0"/>
              <w:autoSpaceDN w:val="0"/>
              <w:adjustRightInd w:val="0"/>
              <w:jc w:val="left"/>
              <w:rPr>
                <w:rFonts w:ascii="黑体" w:hAnsi="黑体" w:cs="宋体"/>
                <w:kern w:val="0"/>
                <w:szCs w:val="18"/>
              </w:rPr>
            </w:pPr>
            <w:r>
              <w:rPr>
                <w:rFonts w:ascii="黑体" w:hAnsi="黑体" w:cs="宋体"/>
                <w:kern w:val="0"/>
                <w:szCs w:val="18"/>
              </w:rPr>
              <w:t>用2m托线板或吊线、尺检查</w:t>
            </w:r>
          </w:p>
        </w:tc>
      </w:tr>
      <w:tr w14:paraId="7007C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vMerge w:val="continue"/>
          </w:tcPr>
          <w:p w14:paraId="385E3103">
            <w:pPr>
              <w:pStyle w:val="113"/>
              <w:spacing w:line="240" w:lineRule="auto"/>
              <w:ind w:left="788" w:leftChars="202" w:hanging="424" w:hangingChars="236"/>
              <w:jc w:val="left"/>
            </w:pPr>
          </w:p>
        </w:tc>
        <w:tc>
          <w:tcPr>
            <w:tcW w:w="921" w:type="dxa"/>
            <w:vMerge w:val="continue"/>
          </w:tcPr>
          <w:p w14:paraId="225A38E6">
            <w:pPr>
              <w:autoSpaceDE w:val="0"/>
              <w:autoSpaceDN w:val="0"/>
              <w:adjustRightInd w:val="0"/>
              <w:jc w:val="left"/>
              <w:rPr>
                <w:rFonts w:ascii="黑体" w:hAnsi="黑体" w:cs="宋体"/>
                <w:kern w:val="0"/>
                <w:szCs w:val="18"/>
              </w:rPr>
            </w:pPr>
          </w:p>
        </w:tc>
        <w:tc>
          <w:tcPr>
            <w:tcW w:w="922" w:type="dxa"/>
          </w:tcPr>
          <w:p w14:paraId="50E79490">
            <w:pPr>
              <w:autoSpaceDE w:val="0"/>
              <w:autoSpaceDN w:val="0"/>
              <w:adjustRightInd w:val="0"/>
              <w:jc w:val="left"/>
              <w:rPr>
                <w:rFonts w:ascii="黑体" w:hAnsi="黑体" w:cs="宋体"/>
                <w:kern w:val="0"/>
                <w:szCs w:val="18"/>
              </w:rPr>
            </w:pPr>
            <w:r>
              <w:rPr>
                <w:rFonts w:hint="eastAsia" w:ascii="黑体" w:hAnsi="黑体" w:cs="宋体"/>
                <w:kern w:val="0"/>
                <w:szCs w:val="18"/>
              </w:rPr>
              <w:t>全高</w:t>
            </w:r>
          </w:p>
        </w:tc>
        <w:tc>
          <w:tcPr>
            <w:tcW w:w="1701" w:type="dxa"/>
          </w:tcPr>
          <w:p w14:paraId="3727EF90">
            <w:pPr>
              <w:autoSpaceDE w:val="0"/>
              <w:autoSpaceDN w:val="0"/>
              <w:adjustRightInd w:val="0"/>
              <w:jc w:val="left"/>
              <w:rPr>
                <w:rFonts w:ascii="黑体" w:hAnsi="黑体" w:cs="宋体"/>
                <w:kern w:val="0"/>
                <w:szCs w:val="18"/>
              </w:rPr>
            </w:pPr>
            <w:r>
              <w:rPr>
                <w:rFonts w:hint="eastAsia" w:ascii="黑体" w:hAnsi="黑体" w:cs="宋体"/>
                <w:kern w:val="0"/>
                <w:szCs w:val="18"/>
              </w:rPr>
              <w:t>10</w:t>
            </w:r>
          </w:p>
        </w:tc>
        <w:tc>
          <w:tcPr>
            <w:tcW w:w="3594" w:type="dxa"/>
            <w:vMerge w:val="continue"/>
          </w:tcPr>
          <w:p w14:paraId="670B330E">
            <w:pPr>
              <w:autoSpaceDE w:val="0"/>
              <w:autoSpaceDN w:val="0"/>
              <w:adjustRightInd w:val="0"/>
              <w:jc w:val="left"/>
              <w:rPr>
                <w:rFonts w:ascii="黑体" w:hAnsi="黑体" w:cs="宋体"/>
                <w:kern w:val="0"/>
                <w:szCs w:val="18"/>
              </w:rPr>
            </w:pPr>
          </w:p>
        </w:tc>
      </w:tr>
      <w:tr w14:paraId="35987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44E84396">
            <w:pPr>
              <w:pStyle w:val="113"/>
              <w:spacing w:line="240" w:lineRule="auto"/>
              <w:ind w:left="788" w:leftChars="202" w:hanging="424" w:hangingChars="236"/>
              <w:jc w:val="left"/>
            </w:pPr>
          </w:p>
        </w:tc>
        <w:tc>
          <w:tcPr>
            <w:tcW w:w="1843" w:type="dxa"/>
            <w:gridSpan w:val="2"/>
          </w:tcPr>
          <w:p w14:paraId="563DA06C">
            <w:pPr>
              <w:autoSpaceDE w:val="0"/>
              <w:autoSpaceDN w:val="0"/>
              <w:adjustRightInd w:val="0"/>
              <w:jc w:val="left"/>
              <w:rPr>
                <w:rFonts w:ascii="黑体" w:hAnsi="黑体" w:cs="宋体"/>
                <w:kern w:val="0"/>
                <w:szCs w:val="18"/>
              </w:rPr>
            </w:pPr>
            <w:r>
              <w:rPr>
                <w:rFonts w:ascii="黑体" w:hAnsi="黑体" w:cs="宋体"/>
                <w:kern w:val="0"/>
                <w:szCs w:val="18"/>
              </w:rPr>
              <w:t>表面平整度</w:t>
            </w:r>
          </w:p>
        </w:tc>
        <w:tc>
          <w:tcPr>
            <w:tcW w:w="1701" w:type="dxa"/>
          </w:tcPr>
          <w:p w14:paraId="4A429F74">
            <w:pPr>
              <w:autoSpaceDE w:val="0"/>
              <w:autoSpaceDN w:val="0"/>
              <w:adjustRightInd w:val="0"/>
              <w:jc w:val="left"/>
              <w:rPr>
                <w:rFonts w:ascii="黑体" w:hAnsi="黑体" w:cs="宋体"/>
                <w:kern w:val="0"/>
                <w:szCs w:val="18"/>
              </w:rPr>
            </w:pPr>
            <w:r>
              <w:rPr>
                <w:rFonts w:hint="eastAsia" w:ascii="黑体" w:hAnsi="黑体" w:cs="宋体"/>
                <w:kern w:val="0"/>
                <w:szCs w:val="18"/>
              </w:rPr>
              <w:t>6</w:t>
            </w:r>
          </w:p>
        </w:tc>
        <w:tc>
          <w:tcPr>
            <w:tcW w:w="3594" w:type="dxa"/>
          </w:tcPr>
          <w:p w14:paraId="2428BE0E">
            <w:pPr>
              <w:autoSpaceDE w:val="0"/>
              <w:autoSpaceDN w:val="0"/>
              <w:adjustRightInd w:val="0"/>
              <w:jc w:val="left"/>
              <w:rPr>
                <w:rFonts w:ascii="黑体" w:hAnsi="黑体"/>
                <w:kern w:val="0"/>
                <w:szCs w:val="18"/>
              </w:rPr>
            </w:pPr>
            <w:r>
              <w:rPr>
                <w:rFonts w:ascii="黑体" w:hAnsi="黑体" w:cs="宋体"/>
                <w:kern w:val="0"/>
                <w:szCs w:val="18"/>
              </w:rPr>
              <w:t xml:space="preserve">用2m靠尽和楔形塞尽检查 </w:t>
            </w:r>
          </w:p>
        </w:tc>
      </w:tr>
      <w:tr w14:paraId="2A95E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229F803B">
            <w:pPr>
              <w:pStyle w:val="113"/>
              <w:spacing w:line="240" w:lineRule="auto"/>
              <w:ind w:left="788" w:leftChars="202" w:hanging="424" w:hangingChars="236"/>
              <w:jc w:val="left"/>
            </w:pPr>
          </w:p>
        </w:tc>
        <w:tc>
          <w:tcPr>
            <w:tcW w:w="1843" w:type="dxa"/>
            <w:gridSpan w:val="2"/>
          </w:tcPr>
          <w:p w14:paraId="1469810E">
            <w:pPr>
              <w:autoSpaceDE w:val="0"/>
              <w:autoSpaceDN w:val="0"/>
              <w:adjustRightInd w:val="0"/>
              <w:jc w:val="left"/>
              <w:rPr>
                <w:rFonts w:ascii="黑体" w:hAnsi="黑体" w:cs="宋体"/>
                <w:kern w:val="0"/>
                <w:szCs w:val="18"/>
              </w:rPr>
            </w:pPr>
            <w:r>
              <w:rPr>
                <w:rFonts w:hint="eastAsia" w:ascii="黑体" w:hAnsi="黑体" w:cs="宋体"/>
                <w:kern w:val="0"/>
                <w:szCs w:val="18"/>
              </w:rPr>
              <w:t>水平灰缝平直</w:t>
            </w:r>
          </w:p>
        </w:tc>
        <w:tc>
          <w:tcPr>
            <w:tcW w:w="1701" w:type="dxa"/>
          </w:tcPr>
          <w:p w14:paraId="530F7C6E">
            <w:pPr>
              <w:autoSpaceDE w:val="0"/>
              <w:autoSpaceDN w:val="0"/>
              <w:adjustRightInd w:val="0"/>
              <w:jc w:val="left"/>
              <w:rPr>
                <w:rFonts w:ascii="黑体" w:hAnsi="黑体" w:cs="宋体"/>
                <w:kern w:val="0"/>
                <w:szCs w:val="18"/>
              </w:rPr>
            </w:pPr>
            <w:r>
              <w:rPr>
                <w:rFonts w:hint="eastAsia" w:ascii="黑体" w:hAnsi="黑体" w:cs="宋体"/>
                <w:kern w:val="0"/>
                <w:szCs w:val="18"/>
              </w:rPr>
              <w:t>7</w:t>
            </w:r>
          </w:p>
        </w:tc>
        <w:tc>
          <w:tcPr>
            <w:tcW w:w="3594" w:type="dxa"/>
          </w:tcPr>
          <w:p w14:paraId="5E0C87B8">
            <w:pPr>
              <w:autoSpaceDE w:val="0"/>
              <w:autoSpaceDN w:val="0"/>
              <w:adjustRightInd w:val="0"/>
              <w:jc w:val="left"/>
              <w:rPr>
                <w:rFonts w:ascii="黑体" w:hAnsi="黑体" w:cs="宋体"/>
                <w:kern w:val="0"/>
                <w:szCs w:val="18"/>
              </w:rPr>
            </w:pPr>
            <w:r>
              <w:rPr>
                <w:rFonts w:hint="eastAsia" w:ascii="黑体" w:hAnsi="黑体" w:cs="宋体"/>
                <w:kern w:val="0"/>
                <w:szCs w:val="18"/>
              </w:rPr>
              <w:t>用10m长的线拉直检查</w:t>
            </w:r>
          </w:p>
        </w:tc>
      </w:tr>
      <w:tr w14:paraId="4F7D5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6C94FED7">
            <w:pPr>
              <w:pStyle w:val="113"/>
              <w:spacing w:line="240" w:lineRule="auto"/>
              <w:ind w:left="788" w:leftChars="202" w:hanging="424" w:hangingChars="236"/>
              <w:jc w:val="left"/>
            </w:pPr>
          </w:p>
        </w:tc>
        <w:tc>
          <w:tcPr>
            <w:tcW w:w="1843" w:type="dxa"/>
            <w:gridSpan w:val="2"/>
          </w:tcPr>
          <w:p w14:paraId="78DD8866">
            <w:pPr>
              <w:autoSpaceDE w:val="0"/>
              <w:autoSpaceDN w:val="0"/>
              <w:adjustRightInd w:val="0"/>
              <w:jc w:val="left"/>
              <w:rPr>
                <w:rFonts w:ascii="黑体" w:hAnsi="黑体" w:cs="宋体"/>
                <w:kern w:val="0"/>
                <w:szCs w:val="18"/>
              </w:rPr>
            </w:pPr>
            <w:r>
              <w:rPr>
                <w:rFonts w:ascii="黑体" w:hAnsi="黑体" w:cs="宋体"/>
                <w:kern w:val="0"/>
                <w:szCs w:val="18"/>
              </w:rPr>
              <w:t>门窗洞口高、宽（后塞口）</w:t>
            </w:r>
          </w:p>
        </w:tc>
        <w:tc>
          <w:tcPr>
            <w:tcW w:w="1701" w:type="dxa"/>
          </w:tcPr>
          <w:p w14:paraId="2C9A2046">
            <w:pPr>
              <w:autoSpaceDE w:val="0"/>
              <w:autoSpaceDN w:val="0"/>
              <w:adjustRightInd w:val="0"/>
              <w:jc w:val="left"/>
              <w:rPr>
                <w:rFonts w:ascii="黑体" w:hAnsi="黑体" w:cs="宋体"/>
                <w:kern w:val="0"/>
                <w:szCs w:val="18"/>
              </w:rPr>
            </w:pPr>
            <w:r>
              <w:rPr>
                <w:rFonts w:ascii="黑体" w:hAnsi="黑体" w:cs="宋体"/>
                <w:kern w:val="0"/>
                <w:szCs w:val="18"/>
              </w:rPr>
              <w:t>±5</w:t>
            </w:r>
          </w:p>
        </w:tc>
        <w:tc>
          <w:tcPr>
            <w:tcW w:w="3594" w:type="dxa"/>
          </w:tcPr>
          <w:p w14:paraId="65C3EAA1">
            <w:pPr>
              <w:autoSpaceDE w:val="0"/>
              <w:autoSpaceDN w:val="0"/>
              <w:adjustRightInd w:val="0"/>
              <w:jc w:val="left"/>
              <w:rPr>
                <w:rFonts w:ascii="黑体" w:hAnsi="黑体" w:cs="宋体"/>
                <w:kern w:val="0"/>
                <w:szCs w:val="18"/>
              </w:rPr>
            </w:pPr>
            <w:r>
              <w:rPr>
                <w:rFonts w:ascii="黑体" w:hAnsi="黑体" w:cs="宋体"/>
                <w:kern w:val="0"/>
                <w:szCs w:val="18"/>
              </w:rPr>
              <w:t>用尺检查</w:t>
            </w:r>
          </w:p>
        </w:tc>
      </w:tr>
      <w:tr w14:paraId="2287C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4" w:type="dxa"/>
          </w:tcPr>
          <w:p w14:paraId="2BF33E8C">
            <w:pPr>
              <w:pStyle w:val="113"/>
              <w:spacing w:line="240" w:lineRule="auto"/>
              <w:ind w:left="788" w:leftChars="202" w:hanging="424" w:hangingChars="236"/>
              <w:jc w:val="left"/>
            </w:pPr>
          </w:p>
        </w:tc>
        <w:tc>
          <w:tcPr>
            <w:tcW w:w="1843" w:type="dxa"/>
            <w:gridSpan w:val="2"/>
          </w:tcPr>
          <w:p w14:paraId="3017E665">
            <w:pPr>
              <w:autoSpaceDE w:val="0"/>
              <w:autoSpaceDN w:val="0"/>
              <w:adjustRightInd w:val="0"/>
              <w:jc w:val="left"/>
              <w:rPr>
                <w:rFonts w:ascii="黑体" w:hAnsi="黑体" w:cs="宋体"/>
                <w:kern w:val="0"/>
                <w:szCs w:val="18"/>
              </w:rPr>
            </w:pPr>
            <w:r>
              <w:rPr>
                <w:rFonts w:ascii="黑体" w:hAnsi="黑体" w:cs="宋体"/>
                <w:kern w:val="0"/>
                <w:szCs w:val="18"/>
              </w:rPr>
              <w:t>外墙上、下窗口偏移</w:t>
            </w:r>
          </w:p>
        </w:tc>
        <w:tc>
          <w:tcPr>
            <w:tcW w:w="1701" w:type="dxa"/>
          </w:tcPr>
          <w:p w14:paraId="28C5F3C4">
            <w:pPr>
              <w:autoSpaceDE w:val="0"/>
              <w:autoSpaceDN w:val="0"/>
              <w:adjustRightInd w:val="0"/>
              <w:jc w:val="left"/>
              <w:rPr>
                <w:rFonts w:ascii="黑体" w:hAnsi="黑体" w:cs="宋体"/>
                <w:kern w:val="0"/>
                <w:szCs w:val="18"/>
              </w:rPr>
            </w:pPr>
            <w:r>
              <w:rPr>
                <w:rFonts w:ascii="黑体" w:hAnsi="黑体" w:cs="宋体"/>
                <w:kern w:val="0"/>
                <w:szCs w:val="18"/>
              </w:rPr>
              <w:t>20</w:t>
            </w:r>
          </w:p>
        </w:tc>
        <w:tc>
          <w:tcPr>
            <w:tcW w:w="3594" w:type="dxa"/>
          </w:tcPr>
          <w:p w14:paraId="084BD536">
            <w:pPr>
              <w:autoSpaceDE w:val="0"/>
              <w:autoSpaceDN w:val="0"/>
              <w:adjustRightInd w:val="0"/>
              <w:jc w:val="left"/>
              <w:rPr>
                <w:rFonts w:ascii="黑体" w:hAnsi="黑体" w:cs="宋体"/>
                <w:kern w:val="0"/>
                <w:szCs w:val="18"/>
              </w:rPr>
            </w:pPr>
            <w:r>
              <w:rPr>
                <w:rFonts w:ascii="黑体" w:hAnsi="黑体" w:cs="宋体"/>
                <w:kern w:val="0"/>
                <w:szCs w:val="18"/>
              </w:rPr>
              <w:t>用经纬仪或吊线检查</w:t>
            </w:r>
          </w:p>
        </w:tc>
      </w:tr>
    </w:tbl>
    <w:p w14:paraId="50528A66">
      <w:pPr>
        <w:pStyle w:val="111"/>
        <w:jc w:val="left"/>
      </w:pPr>
      <w:r>
        <w:rPr>
          <w:rFonts w:hint="eastAsia"/>
        </w:rPr>
        <w:t>砌体工程验收时应具备以下资料：砌块、水泥、砂、石膏、专用砌筑粘接砂浆、专用砌筑砂浆、抗裂砂浆、界面剂和外加剂等的出场合格证和检验资料，砂浆配合比和强度的试验报告，重大技术问题处理和变更设计的技术文件，检验批及分项工程质量验收记录，其他必须检查项目的资料。</w:t>
      </w:r>
    </w:p>
    <w:p w14:paraId="524FBF35">
      <w:pPr>
        <w:autoSpaceDE w:val="0"/>
        <w:autoSpaceDN w:val="0"/>
        <w:adjustRightInd w:val="0"/>
        <w:spacing w:line="360" w:lineRule="auto"/>
        <w:ind w:left="420"/>
        <w:jc w:val="left"/>
        <w:rPr>
          <w:rFonts w:ascii="黑体" w:hAnsi="黑体" w:cs="宋体"/>
          <w:kern w:val="0"/>
          <w:szCs w:val="18"/>
        </w:rPr>
      </w:pPr>
    </w:p>
    <w:p w14:paraId="233A50F7">
      <w:pPr>
        <w:keepNext/>
        <w:keepLines/>
        <w:numPr>
          <w:ilvl w:val="1"/>
          <w:numId w:val="11"/>
        </w:numPr>
        <w:spacing w:line="360" w:lineRule="auto"/>
        <w:jc w:val="left"/>
        <w:outlineLvl w:val="1"/>
        <w:rPr>
          <w:rFonts w:ascii="黑体" w:hAnsi="黑体"/>
          <w:b/>
          <w:bCs/>
          <w:szCs w:val="18"/>
        </w:rPr>
      </w:pPr>
      <w:bookmarkStart w:id="12" w:name="_Toc174556770"/>
      <w:r>
        <w:rPr>
          <w:rFonts w:hint="eastAsia" w:ascii="黑体" w:hAnsi="黑体"/>
          <w:b/>
          <w:bCs/>
          <w:szCs w:val="18"/>
        </w:rPr>
        <w:t>ALC</w:t>
      </w:r>
      <w:r>
        <w:rPr>
          <w:rFonts w:ascii="黑体" w:hAnsi="黑体"/>
          <w:b/>
          <w:bCs/>
          <w:szCs w:val="18"/>
        </w:rPr>
        <w:t>墙板</w:t>
      </w:r>
      <w:r>
        <w:rPr>
          <w:rFonts w:hint="eastAsia" w:ascii="黑体" w:hAnsi="黑体"/>
          <w:b/>
          <w:bCs/>
          <w:szCs w:val="18"/>
        </w:rPr>
        <w:t>(</w:t>
      </w:r>
      <w:r>
        <w:rPr>
          <w:rFonts w:ascii="黑体" w:hAnsi="黑体"/>
          <w:b/>
          <w:bCs/>
          <w:szCs w:val="18"/>
        </w:rPr>
        <w:t>蒸气加压混凝土</w:t>
      </w:r>
      <w:r>
        <w:rPr>
          <w:rFonts w:hint="eastAsia" w:ascii="黑体" w:hAnsi="黑体"/>
          <w:b/>
          <w:bCs/>
          <w:szCs w:val="18"/>
        </w:rPr>
        <w:t>墙</w:t>
      </w:r>
      <w:r>
        <w:rPr>
          <w:rFonts w:ascii="黑体" w:hAnsi="黑体"/>
          <w:b/>
          <w:bCs/>
          <w:szCs w:val="18"/>
        </w:rPr>
        <w:t>板</w:t>
      </w:r>
      <w:r>
        <w:rPr>
          <w:rFonts w:hint="eastAsia" w:ascii="黑体" w:hAnsi="黑体"/>
          <w:b/>
          <w:bCs/>
          <w:szCs w:val="18"/>
        </w:rPr>
        <w:t>-简称ALC</w:t>
      </w:r>
      <w:r>
        <w:rPr>
          <w:rFonts w:ascii="黑体" w:hAnsi="黑体"/>
          <w:b/>
          <w:bCs/>
          <w:szCs w:val="18"/>
        </w:rPr>
        <w:t>墙板)</w:t>
      </w:r>
      <w:bookmarkEnd w:id="12"/>
    </w:p>
    <w:p w14:paraId="0D4690D7">
      <w:pPr>
        <w:spacing w:line="360" w:lineRule="auto"/>
        <w:ind w:right="258"/>
        <w:jc w:val="left"/>
        <w:rPr>
          <w:rFonts w:ascii="黑体" w:hAnsi="黑体"/>
          <w:b/>
          <w:szCs w:val="18"/>
        </w:rPr>
      </w:pPr>
      <w:r>
        <w:rPr>
          <w:rFonts w:ascii="黑体" w:hAnsi="黑体"/>
          <w:b/>
          <w:szCs w:val="18"/>
        </w:rPr>
        <w:t>2.3.1</w:t>
      </w:r>
      <w:r>
        <w:rPr>
          <w:rFonts w:hint="eastAsia" w:ascii="黑体" w:hAnsi="黑体"/>
          <w:b/>
          <w:szCs w:val="18"/>
        </w:rPr>
        <w:t>、ALC</w:t>
      </w:r>
      <w:r>
        <w:rPr>
          <w:rFonts w:ascii="黑体" w:hAnsi="黑体"/>
          <w:b/>
          <w:szCs w:val="18"/>
        </w:rPr>
        <w:t>墙板材料、构造、施工必须满足的现行基本规范</w:t>
      </w:r>
      <w:r>
        <w:rPr>
          <w:rFonts w:hint="eastAsia" w:ascii="黑体" w:hAnsi="黑体"/>
          <w:b/>
          <w:szCs w:val="18"/>
        </w:rPr>
        <w:t>（规范若有更新则按新规范执行）</w:t>
      </w:r>
    </w:p>
    <w:p w14:paraId="5443C401">
      <w:pPr>
        <w:spacing w:line="360" w:lineRule="auto"/>
        <w:ind w:left="496" w:right="-49" w:rightChars="-27"/>
        <w:jc w:val="left"/>
        <w:rPr>
          <w:rFonts w:ascii="黑体" w:hAnsi="黑体"/>
          <w:szCs w:val="18"/>
        </w:rPr>
      </w:pPr>
      <w:r>
        <w:rPr>
          <w:rFonts w:ascii="黑体" w:hAnsi="黑体"/>
          <w:szCs w:val="18"/>
        </w:rPr>
        <w:t>GB/T</w:t>
      </w:r>
      <w:r>
        <w:rPr>
          <w:rFonts w:ascii="黑体" w:hAnsi="黑体"/>
          <w:spacing w:val="-7"/>
          <w:szCs w:val="18"/>
        </w:rPr>
        <w:t xml:space="preserve"> </w:t>
      </w:r>
      <w:r>
        <w:rPr>
          <w:rFonts w:ascii="黑体" w:hAnsi="黑体"/>
          <w:szCs w:val="18"/>
        </w:rPr>
        <w:t>15762-2020</w:t>
      </w:r>
      <w:r>
        <w:rPr>
          <w:rFonts w:ascii="黑体" w:hAnsi="黑体"/>
          <w:spacing w:val="51"/>
          <w:szCs w:val="18"/>
        </w:rPr>
        <w:t xml:space="preserve"> </w:t>
      </w:r>
      <w:r>
        <w:rPr>
          <w:rFonts w:ascii="黑体" w:hAnsi="黑体"/>
          <w:szCs w:val="18"/>
        </w:rPr>
        <w:t>《蒸压加气混凝土板》</w:t>
      </w:r>
    </w:p>
    <w:p w14:paraId="1D2F03F0">
      <w:pPr>
        <w:spacing w:line="360" w:lineRule="auto"/>
        <w:ind w:left="496" w:right="-49" w:rightChars="-27"/>
        <w:jc w:val="left"/>
        <w:rPr>
          <w:rFonts w:ascii="黑体" w:hAnsi="黑体"/>
          <w:szCs w:val="18"/>
        </w:rPr>
      </w:pPr>
      <w:r>
        <w:rPr>
          <w:rFonts w:ascii="黑体" w:hAnsi="黑体"/>
          <w:szCs w:val="18"/>
        </w:rPr>
        <w:t>GB/T</w:t>
      </w:r>
      <w:r>
        <w:rPr>
          <w:rFonts w:ascii="黑体" w:hAnsi="黑体"/>
          <w:spacing w:val="-7"/>
          <w:szCs w:val="18"/>
        </w:rPr>
        <w:t xml:space="preserve"> </w:t>
      </w:r>
      <w:r>
        <w:rPr>
          <w:rFonts w:ascii="黑体" w:hAnsi="黑体"/>
          <w:szCs w:val="18"/>
        </w:rPr>
        <w:t>11968-2020</w:t>
      </w:r>
      <w:r>
        <w:rPr>
          <w:rFonts w:ascii="黑体" w:hAnsi="黑体"/>
          <w:spacing w:val="51"/>
          <w:szCs w:val="18"/>
        </w:rPr>
        <w:t xml:space="preserve"> </w:t>
      </w:r>
      <w:r>
        <w:rPr>
          <w:rFonts w:ascii="黑体" w:hAnsi="黑体"/>
          <w:szCs w:val="18"/>
        </w:rPr>
        <w:t>《蒸压加气混凝土砌块》</w:t>
      </w:r>
    </w:p>
    <w:p w14:paraId="40FD7A25">
      <w:pPr>
        <w:spacing w:line="360" w:lineRule="auto"/>
        <w:ind w:left="496" w:right="-49" w:rightChars="-27"/>
        <w:jc w:val="left"/>
        <w:rPr>
          <w:rFonts w:ascii="黑体" w:hAnsi="黑体"/>
          <w:szCs w:val="18"/>
        </w:rPr>
      </w:pPr>
      <w:r>
        <w:rPr>
          <w:rFonts w:ascii="黑体" w:hAnsi="黑体"/>
          <w:szCs w:val="18"/>
        </w:rPr>
        <w:t>GB/T</w:t>
      </w:r>
      <w:r>
        <w:rPr>
          <w:rFonts w:ascii="黑体" w:hAnsi="黑体"/>
          <w:spacing w:val="-7"/>
          <w:szCs w:val="18"/>
        </w:rPr>
        <w:t xml:space="preserve"> </w:t>
      </w:r>
      <w:r>
        <w:rPr>
          <w:rFonts w:ascii="黑体" w:hAnsi="黑体"/>
          <w:szCs w:val="18"/>
        </w:rPr>
        <w:t>11969-2020</w:t>
      </w:r>
      <w:r>
        <w:rPr>
          <w:rFonts w:ascii="黑体" w:hAnsi="黑体"/>
          <w:spacing w:val="51"/>
          <w:szCs w:val="18"/>
        </w:rPr>
        <w:t xml:space="preserve"> </w:t>
      </w:r>
      <w:r>
        <w:rPr>
          <w:rFonts w:ascii="黑体" w:hAnsi="黑体"/>
          <w:szCs w:val="18"/>
        </w:rPr>
        <w:t>《蒸压加气混凝土性能试验方法》</w:t>
      </w:r>
    </w:p>
    <w:p w14:paraId="46471090">
      <w:pPr>
        <w:spacing w:line="360" w:lineRule="auto"/>
        <w:ind w:left="496" w:right="-49" w:rightChars="-27"/>
        <w:jc w:val="left"/>
        <w:rPr>
          <w:rFonts w:ascii="黑体" w:hAnsi="黑体"/>
          <w:szCs w:val="18"/>
        </w:rPr>
      </w:pPr>
      <w:r>
        <w:rPr>
          <w:rFonts w:ascii="黑体" w:hAnsi="黑体"/>
          <w:szCs w:val="18"/>
        </w:rPr>
        <w:t>JGJ/T</w:t>
      </w:r>
      <w:r>
        <w:rPr>
          <w:rFonts w:ascii="黑体" w:hAnsi="黑体"/>
          <w:spacing w:val="-7"/>
          <w:szCs w:val="18"/>
        </w:rPr>
        <w:t xml:space="preserve"> </w:t>
      </w:r>
      <w:r>
        <w:rPr>
          <w:rFonts w:ascii="黑体" w:hAnsi="黑体"/>
          <w:szCs w:val="18"/>
        </w:rPr>
        <w:t>17-2020</w:t>
      </w:r>
      <w:r>
        <w:rPr>
          <w:rFonts w:ascii="黑体" w:hAnsi="黑体"/>
          <w:spacing w:val="50"/>
          <w:szCs w:val="18"/>
        </w:rPr>
        <w:t xml:space="preserve"> </w:t>
      </w:r>
      <w:r>
        <w:rPr>
          <w:rFonts w:ascii="黑体" w:hAnsi="黑体"/>
          <w:szCs w:val="18"/>
        </w:rPr>
        <w:t>《蒸压加气混凝土制品应用技术标准》</w:t>
      </w:r>
    </w:p>
    <w:p w14:paraId="084B6220">
      <w:pPr>
        <w:spacing w:line="360" w:lineRule="auto"/>
        <w:ind w:left="496" w:right="-49" w:rightChars="-27"/>
        <w:jc w:val="left"/>
        <w:rPr>
          <w:rFonts w:ascii="黑体" w:hAnsi="黑体"/>
          <w:szCs w:val="18"/>
        </w:rPr>
      </w:pPr>
      <w:r>
        <w:rPr>
          <w:rFonts w:ascii="黑体" w:hAnsi="黑体"/>
          <w:w w:val="102"/>
          <w:szCs w:val="18"/>
        </w:rPr>
        <w:t>T</w:t>
      </w:r>
      <w:r>
        <w:rPr>
          <w:rFonts w:ascii="黑体" w:hAnsi="黑体"/>
          <w:szCs w:val="18"/>
        </w:rPr>
        <w:t>/</w:t>
      </w:r>
      <w:r>
        <w:rPr>
          <w:rFonts w:ascii="黑体" w:hAnsi="黑体"/>
          <w:spacing w:val="-1"/>
          <w:w w:val="108"/>
          <w:szCs w:val="18"/>
        </w:rPr>
        <w:t>C</w:t>
      </w:r>
      <w:r>
        <w:rPr>
          <w:rFonts w:ascii="黑体" w:hAnsi="黑体"/>
          <w:w w:val="106"/>
          <w:szCs w:val="18"/>
        </w:rPr>
        <w:t>E</w:t>
      </w:r>
      <w:r>
        <w:rPr>
          <w:rFonts w:ascii="黑体" w:hAnsi="黑体"/>
          <w:spacing w:val="-1"/>
          <w:w w:val="108"/>
          <w:szCs w:val="18"/>
        </w:rPr>
        <w:t>C</w:t>
      </w:r>
      <w:r>
        <w:rPr>
          <w:rFonts w:ascii="黑体" w:hAnsi="黑体"/>
          <w:w w:val="123"/>
          <w:szCs w:val="18"/>
        </w:rPr>
        <w:t>S</w:t>
      </w:r>
      <w:r>
        <w:rPr>
          <w:rFonts w:ascii="黑体" w:hAnsi="黑体"/>
          <w:spacing w:val="-12"/>
          <w:szCs w:val="18"/>
        </w:rPr>
        <w:t xml:space="preserve"> </w:t>
      </w:r>
      <w:r>
        <w:rPr>
          <w:rFonts w:ascii="黑体" w:hAnsi="黑体"/>
          <w:spacing w:val="-1"/>
          <w:w w:val="107"/>
          <w:szCs w:val="18"/>
        </w:rPr>
        <w:t>553</w:t>
      </w:r>
      <w:r>
        <w:rPr>
          <w:rFonts w:ascii="黑体" w:hAnsi="黑体"/>
          <w:w w:val="75"/>
          <w:szCs w:val="18"/>
        </w:rPr>
        <w:t>-</w:t>
      </w:r>
      <w:r>
        <w:rPr>
          <w:rFonts w:ascii="黑体" w:hAnsi="黑体"/>
          <w:spacing w:val="-1"/>
          <w:w w:val="107"/>
          <w:szCs w:val="18"/>
        </w:rPr>
        <w:t>201</w:t>
      </w:r>
      <w:r>
        <w:rPr>
          <w:rFonts w:ascii="黑体" w:hAnsi="黑体"/>
          <w:w w:val="107"/>
          <w:szCs w:val="18"/>
        </w:rPr>
        <w:t>8</w:t>
      </w:r>
      <w:r>
        <w:rPr>
          <w:rFonts w:ascii="黑体" w:hAnsi="黑体"/>
          <w:spacing w:val="-11"/>
          <w:szCs w:val="18"/>
        </w:rPr>
        <w:t xml:space="preserve">  </w:t>
      </w:r>
      <w:r>
        <w:rPr>
          <w:rFonts w:ascii="黑体" w:hAnsi="黑体"/>
          <w:szCs w:val="18"/>
        </w:rPr>
        <w:t>《蒸压加气混凝土墙板应用技术规程》</w:t>
      </w:r>
    </w:p>
    <w:p w14:paraId="577391F8">
      <w:pPr>
        <w:spacing w:before="11" w:line="360" w:lineRule="auto"/>
        <w:ind w:left="496" w:right="-49" w:rightChars="-27"/>
        <w:jc w:val="left"/>
        <w:rPr>
          <w:rFonts w:ascii="黑体" w:hAnsi="黑体"/>
          <w:szCs w:val="18"/>
        </w:rPr>
      </w:pPr>
      <w:r>
        <w:rPr>
          <w:rFonts w:ascii="黑体" w:hAnsi="黑体"/>
          <w:szCs w:val="18"/>
        </w:rPr>
        <w:t>GBT</w:t>
      </w:r>
      <w:r>
        <w:rPr>
          <w:rFonts w:ascii="黑体" w:hAnsi="黑体"/>
          <w:spacing w:val="-8"/>
          <w:szCs w:val="18"/>
        </w:rPr>
        <w:t xml:space="preserve"> </w:t>
      </w:r>
      <w:r>
        <w:rPr>
          <w:rFonts w:ascii="黑体" w:hAnsi="黑体"/>
          <w:szCs w:val="18"/>
        </w:rPr>
        <w:t>23451-2009《建筑用轻质隔墙条板》</w:t>
      </w:r>
    </w:p>
    <w:p w14:paraId="3BB26A34">
      <w:pPr>
        <w:spacing w:before="11" w:line="360" w:lineRule="auto"/>
        <w:ind w:left="496" w:right="-49" w:rightChars="-27"/>
        <w:jc w:val="left"/>
        <w:rPr>
          <w:rFonts w:ascii="黑体" w:hAnsi="黑体"/>
          <w:szCs w:val="18"/>
        </w:rPr>
      </w:pPr>
      <w:r>
        <w:rPr>
          <w:rFonts w:ascii="黑体" w:hAnsi="黑体"/>
          <w:szCs w:val="18"/>
        </w:rPr>
        <w:t>JGJ/T</w:t>
      </w:r>
      <w:r>
        <w:rPr>
          <w:rFonts w:ascii="黑体" w:hAnsi="黑体"/>
          <w:spacing w:val="-2"/>
          <w:szCs w:val="18"/>
        </w:rPr>
        <w:t xml:space="preserve"> </w:t>
      </w:r>
      <w:r>
        <w:rPr>
          <w:rFonts w:ascii="黑体" w:hAnsi="黑体"/>
          <w:szCs w:val="18"/>
        </w:rPr>
        <w:t>70-2009</w:t>
      </w:r>
      <w:r>
        <w:rPr>
          <w:rFonts w:ascii="黑体" w:hAnsi="黑体"/>
          <w:spacing w:val="61"/>
          <w:szCs w:val="18"/>
        </w:rPr>
        <w:t xml:space="preserve"> </w:t>
      </w:r>
      <w:r>
        <w:rPr>
          <w:rFonts w:ascii="黑体" w:hAnsi="黑体"/>
          <w:szCs w:val="18"/>
        </w:rPr>
        <w:t>《建筑砂浆基本性能试验方法》</w:t>
      </w:r>
    </w:p>
    <w:p w14:paraId="7F4E3395">
      <w:pPr>
        <w:spacing w:line="360" w:lineRule="auto"/>
        <w:ind w:left="496" w:right="-49" w:rightChars="-27"/>
        <w:jc w:val="left"/>
        <w:rPr>
          <w:rFonts w:ascii="黑体" w:hAnsi="黑体"/>
          <w:szCs w:val="18"/>
        </w:rPr>
      </w:pPr>
      <w:r>
        <w:rPr>
          <w:rFonts w:ascii="黑体" w:hAnsi="黑体"/>
          <w:szCs w:val="18"/>
        </w:rPr>
        <w:t>JC/T</w:t>
      </w:r>
      <w:r>
        <w:rPr>
          <w:rFonts w:ascii="黑体" w:hAnsi="黑体"/>
          <w:spacing w:val="-7"/>
          <w:szCs w:val="18"/>
        </w:rPr>
        <w:t xml:space="preserve"> </w:t>
      </w:r>
      <w:r>
        <w:rPr>
          <w:rFonts w:ascii="黑体" w:hAnsi="黑体"/>
          <w:szCs w:val="18"/>
        </w:rPr>
        <w:t>907-2018</w:t>
      </w:r>
      <w:r>
        <w:rPr>
          <w:rFonts w:ascii="黑体" w:hAnsi="黑体"/>
          <w:spacing w:val="51"/>
          <w:szCs w:val="18"/>
        </w:rPr>
        <w:t xml:space="preserve"> </w:t>
      </w:r>
      <w:r>
        <w:rPr>
          <w:rFonts w:ascii="黑体" w:hAnsi="黑体"/>
          <w:szCs w:val="18"/>
        </w:rPr>
        <w:t>《混凝土界面处理剂》</w:t>
      </w:r>
    </w:p>
    <w:p w14:paraId="2DEC1F91">
      <w:pPr>
        <w:spacing w:before="11" w:line="360" w:lineRule="auto"/>
        <w:ind w:left="496" w:right="-49" w:rightChars="-27"/>
        <w:jc w:val="left"/>
        <w:rPr>
          <w:rFonts w:ascii="黑体" w:hAnsi="黑体"/>
          <w:szCs w:val="18"/>
        </w:rPr>
      </w:pPr>
      <w:r>
        <w:rPr>
          <w:rFonts w:ascii="黑体" w:hAnsi="黑体"/>
          <w:szCs w:val="18"/>
        </w:rPr>
        <w:t>JC/T</w:t>
      </w:r>
      <w:r>
        <w:rPr>
          <w:rFonts w:ascii="黑体" w:hAnsi="黑体"/>
          <w:spacing w:val="14"/>
          <w:szCs w:val="18"/>
        </w:rPr>
        <w:t xml:space="preserve"> </w:t>
      </w:r>
      <w:r>
        <w:rPr>
          <w:rFonts w:ascii="黑体" w:hAnsi="黑体"/>
          <w:szCs w:val="18"/>
        </w:rPr>
        <w:t>890-2017《蒸压加气混凝土墙体专用砂浆》</w:t>
      </w:r>
    </w:p>
    <w:p w14:paraId="2D01A603">
      <w:pPr>
        <w:spacing w:before="11" w:line="360" w:lineRule="auto"/>
        <w:ind w:left="496" w:right="-49" w:rightChars="-27"/>
        <w:jc w:val="left"/>
        <w:rPr>
          <w:rFonts w:ascii="黑体" w:hAnsi="黑体"/>
          <w:szCs w:val="18"/>
        </w:rPr>
      </w:pPr>
      <w:r>
        <w:rPr>
          <w:rFonts w:ascii="黑体" w:hAnsi="黑体"/>
          <w:szCs w:val="18"/>
        </w:rPr>
        <w:t>GB/T</w:t>
      </w:r>
      <w:r>
        <w:rPr>
          <w:rFonts w:ascii="黑体" w:hAnsi="黑体"/>
          <w:spacing w:val="-10"/>
          <w:szCs w:val="18"/>
        </w:rPr>
        <w:t xml:space="preserve"> </w:t>
      </w:r>
      <w:r>
        <w:rPr>
          <w:rFonts w:ascii="黑体" w:hAnsi="黑体"/>
          <w:szCs w:val="18"/>
        </w:rPr>
        <w:t>25181-2019</w:t>
      </w:r>
      <w:r>
        <w:rPr>
          <w:rFonts w:ascii="黑体" w:hAnsi="黑体"/>
          <w:spacing w:val="43"/>
          <w:szCs w:val="18"/>
        </w:rPr>
        <w:t xml:space="preserve"> </w:t>
      </w:r>
      <w:r>
        <w:rPr>
          <w:rFonts w:ascii="黑体" w:hAnsi="黑体"/>
          <w:szCs w:val="18"/>
        </w:rPr>
        <w:t>《预拌砂浆》</w:t>
      </w:r>
    </w:p>
    <w:p w14:paraId="39D4604D">
      <w:pPr>
        <w:spacing w:line="360" w:lineRule="auto"/>
        <w:ind w:left="496" w:right="-49" w:rightChars="-27"/>
        <w:jc w:val="left"/>
        <w:rPr>
          <w:rFonts w:ascii="黑体" w:hAnsi="黑体"/>
          <w:szCs w:val="18"/>
        </w:rPr>
      </w:pPr>
      <w:r>
        <w:rPr>
          <w:rFonts w:ascii="黑体" w:hAnsi="黑体"/>
          <w:szCs w:val="18"/>
        </w:rPr>
        <w:t>JC/T</w:t>
      </w:r>
      <w:r>
        <w:rPr>
          <w:rFonts w:ascii="黑体" w:hAnsi="黑体"/>
          <w:spacing w:val="-7"/>
          <w:szCs w:val="18"/>
        </w:rPr>
        <w:t xml:space="preserve"> </w:t>
      </w:r>
      <w:r>
        <w:rPr>
          <w:rFonts w:ascii="黑体" w:hAnsi="黑体"/>
          <w:szCs w:val="18"/>
        </w:rPr>
        <w:t>841-2007</w:t>
      </w:r>
      <w:r>
        <w:rPr>
          <w:rFonts w:ascii="黑体" w:hAnsi="黑体"/>
          <w:spacing w:val="51"/>
          <w:szCs w:val="18"/>
        </w:rPr>
        <w:t xml:space="preserve"> </w:t>
      </w:r>
      <w:r>
        <w:rPr>
          <w:rFonts w:ascii="黑体" w:hAnsi="黑体"/>
          <w:szCs w:val="18"/>
        </w:rPr>
        <w:t>《耐碱玻璃纤维网布》</w:t>
      </w:r>
    </w:p>
    <w:p w14:paraId="40AC0670">
      <w:pPr>
        <w:spacing w:line="360" w:lineRule="auto"/>
        <w:ind w:left="496" w:right="-49" w:rightChars="-27"/>
        <w:jc w:val="left"/>
        <w:rPr>
          <w:rFonts w:ascii="黑体" w:hAnsi="黑体"/>
          <w:szCs w:val="18"/>
        </w:rPr>
      </w:pPr>
      <w:r>
        <w:rPr>
          <w:rFonts w:ascii="黑体" w:hAnsi="黑体"/>
          <w:szCs w:val="18"/>
        </w:rPr>
        <w:t>GB</w:t>
      </w:r>
      <w:r>
        <w:rPr>
          <w:rFonts w:ascii="黑体" w:hAnsi="黑体"/>
          <w:spacing w:val="-3"/>
          <w:szCs w:val="18"/>
        </w:rPr>
        <w:t xml:space="preserve"> </w:t>
      </w:r>
      <w:r>
        <w:rPr>
          <w:rFonts w:ascii="黑体" w:hAnsi="黑体"/>
          <w:szCs w:val="18"/>
        </w:rPr>
        <w:t>2518-2008《续热镀锌国家标准》</w:t>
      </w:r>
    </w:p>
    <w:p w14:paraId="118FF2F4">
      <w:pPr>
        <w:spacing w:before="11" w:line="360" w:lineRule="auto"/>
        <w:ind w:left="496" w:right="-49" w:rightChars="-27"/>
        <w:jc w:val="left"/>
        <w:rPr>
          <w:rFonts w:ascii="黑体" w:hAnsi="黑体"/>
          <w:szCs w:val="18"/>
        </w:rPr>
      </w:pPr>
      <w:r>
        <w:rPr>
          <w:rFonts w:ascii="黑体" w:hAnsi="黑体"/>
          <w:szCs w:val="18"/>
        </w:rPr>
        <w:t>GB/T</w:t>
      </w:r>
      <w:r>
        <w:rPr>
          <w:rFonts w:ascii="黑体" w:hAnsi="黑体"/>
          <w:spacing w:val="9"/>
          <w:szCs w:val="18"/>
        </w:rPr>
        <w:t xml:space="preserve"> </w:t>
      </w:r>
      <w:r>
        <w:rPr>
          <w:rFonts w:ascii="黑体" w:hAnsi="黑体"/>
          <w:szCs w:val="18"/>
        </w:rPr>
        <w:t>1839-2008《钢产品镀锌层质量试验方法》</w:t>
      </w:r>
    </w:p>
    <w:p w14:paraId="5D23F8DC">
      <w:pPr>
        <w:spacing w:before="11" w:line="360" w:lineRule="auto"/>
        <w:ind w:left="496" w:right="-49" w:rightChars="-27"/>
        <w:jc w:val="left"/>
        <w:rPr>
          <w:rFonts w:ascii="黑体" w:hAnsi="黑体"/>
          <w:szCs w:val="18"/>
        </w:rPr>
      </w:pPr>
      <w:r>
        <w:rPr>
          <w:rFonts w:ascii="黑体" w:hAnsi="黑体"/>
          <w:szCs w:val="18"/>
        </w:rPr>
        <w:t>GB</w:t>
      </w:r>
      <w:r>
        <w:rPr>
          <w:rFonts w:ascii="黑体" w:hAnsi="黑体"/>
          <w:spacing w:val="-7"/>
          <w:szCs w:val="18"/>
        </w:rPr>
        <w:t xml:space="preserve"> </w:t>
      </w:r>
      <w:r>
        <w:rPr>
          <w:rFonts w:ascii="黑体" w:hAnsi="黑体"/>
          <w:szCs w:val="18"/>
        </w:rPr>
        <w:t>6566-2010《建筑材料放射性核素限量》</w:t>
      </w:r>
    </w:p>
    <w:p w14:paraId="2CCC3586">
      <w:pPr>
        <w:spacing w:before="4" w:line="360" w:lineRule="auto"/>
        <w:ind w:left="496" w:right="-49" w:rightChars="-27"/>
        <w:jc w:val="left"/>
        <w:rPr>
          <w:rFonts w:ascii="黑体" w:hAnsi="黑体"/>
          <w:szCs w:val="18"/>
        </w:rPr>
      </w:pPr>
      <w:r>
        <w:rPr>
          <w:rFonts w:ascii="黑体" w:hAnsi="黑体"/>
          <w:szCs w:val="18"/>
        </w:rPr>
        <w:t>GB</w:t>
      </w:r>
      <w:r>
        <w:rPr>
          <w:rFonts w:ascii="黑体" w:hAnsi="黑体"/>
          <w:spacing w:val="-11"/>
          <w:szCs w:val="18"/>
        </w:rPr>
        <w:t xml:space="preserve"> </w:t>
      </w:r>
      <w:r>
        <w:rPr>
          <w:rFonts w:ascii="黑体" w:hAnsi="黑体"/>
          <w:szCs w:val="18"/>
        </w:rPr>
        <w:t>50118-2010</w:t>
      </w:r>
      <w:r>
        <w:rPr>
          <w:rFonts w:ascii="黑体" w:hAnsi="黑体"/>
          <w:spacing w:val="45"/>
          <w:szCs w:val="18"/>
        </w:rPr>
        <w:t xml:space="preserve"> </w:t>
      </w:r>
      <w:r>
        <w:rPr>
          <w:rFonts w:ascii="黑体" w:hAnsi="黑体"/>
          <w:szCs w:val="18"/>
        </w:rPr>
        <w:t>《民用建筑隔声设计规范》</w:t>
      </w:r>
    </w:p>
    <w:p w14:paraId="2626AD1A">
      <w:pPr>
        <w:spacing w:line="360" w:lineRule="auto"/>
        <w:ind w:left="496" w:right="-49" w:rightChars="-27"/>
        <w:jc w:val="left"/>
        <w:rPr>
          <w:rFonts w:ascii="黑体" w:hAnsi="黑体"/>
          <w:szCs w:val="18"/>
        </w:rPr>
      </w:pPr>
      <w:r>
        <w:rPr>
          <w:rFonts w:ascii="黑体" w:hAnsi="黑体"/>
          <w:szCs w:val="18"/>
        </w:rPr>
        <w:t>GB</w:t>
      </w:r>
      <w:r>
        <w:rPr>
          <w:rFonts w:ascii="黑体" w:hAnsi="黑体"/>
          <w:spacing w:val="-3"/>
          <w:szCs w:val="18"/>
        </w:rPr>
        <w:t xml:space="preserve"> </w:t>
      </w:r>
      <w:r>
        <w:rPr>
          <w:rFonts w:ascii="黑体" w:hAnsi="黑体"/>
          <w:szCs w:val="18"/>
        </w:rPr>
        <w:t>50016-2014(2018</w:t>
      </w:r>
      <w:r>
        <w:rPr>
          <w:rFonts w:ascii="黑体" w:hAnsi="黑体"/>
          <w:spacing w:val="-3"/>
          <w:szCs w:val="18"/>
        </w:rPr>
        <w:t xml:space="preserve"> </w:t>
      </w:r>
      <w:r>
        <w:rPr>
          <w:rFonts w:ascii="黑体" w:hAnsi="黑体"/>
          <w:szCs w:val="18"/>
        </w:rPr>
        <w:t>年版</w:t>
      </w:r>
      <w:r>
        <w:rPr>
          <w:rFonts w:ascii="黑体" w:hAnsi="黑体"/>
          <w:spacing w:val="29"/>
          <w:szCs w:val="18"/>
        </w:rPr>
        <w:t xml:space="preserve">) </w:t>
      </w:r>
      <w:r>
        <w:rPr>
          <w:rFonts w:ascii="黑体" w:hAnsi="黑体"/>
          <w:szCs w:val="18"/>
        </w:rPr>
        <w:t>《建筑设计防火规范》</w:t>
      </w:r>
    </w:p>
    <w:p w14:paraId="794AC4F1">
      <w:pPr>
        <w:spacing w:before="11" w:line="360" w:lineRule="auto"/>
        <w:ind w:left="496" w:right="-49" w:rightChars="-27"/>
        <w:jc w:val="left"/>
        <w:rPr>
          <w:rFonts w:ascii="黑体" w:hAnsi="黑体"/>
          <w:szCs w:val="18"/>
        </w:rPr>
      </w:pPr>
      <w:r>
        <w:rPr>
          <w:rFonts w:ascii="黑体" w:hAnsi="黑体"/>
          <w:szCs w:val="18"/>
        </w:rPr>
        <w:t>GB</w:t>
      </w:r>
      <w:r>
        <w:rPr>
          <w:rFonts w:ascii="黑体" w:hAnsi="黑体"/>
          <w:spacing w:val="-5"/>
          <w:szCs w:val="18"/>
        </w:rPr>
        <w:t xml:space="preserve"> </w:t>
      </w:r>
      <w:r>
        <w:rPr>
          <w:rFonts w:ascii="黑体" w:hAnsi="黑体"/>
          <w:szCs w:val="18"/>
        </w:rPr>
        <w:t>50325-2020</w:t>
      </w:r>
      <w:r>
        <w:rPr>
          <w:rFonts w:ascii="黑体" w:hAnsi="黑体"/>
          <w:spacing w:val="58"/>
          <w:szCs w:val="18"/>
        </w:rPr>
        <w:t xml:space="preserve"> </w:t>
      </w:r>
      <w:r>
        <w:rPr>
          <w:rFonts w:ascii="黑体" w:hAnsi="黑体"/>
          <w:szCs w:val="18"/>
        </w:rPr>
        <w:t>《民用建筑工程室内环境污染控制标准》</w:t>
      </w:r>
    </w:p>
    <w:p w14:paraId="449FB808">
      <w:pPr>
        <w:spacing w:before="11" w:line="360" w:lineRule="auto"/>
        <w:ind w:left="496" w:right="-49" w:rightChars="-27"/>
        <w:jc w:val="left"/>
        <w:rPr>
          <w:rFonts w:ascii="黑体" w:hAnsi="黑体"/>
          <w:szCs w:val="18"/>
        </w:rPr>
      </w:pPr>
    </w:p>
    <w:p w14:paraId="3E64FA09">
      <w:pPr>
        <w:spacing w:before="11" w:line="360" w:lineRule="auto"/>
        <w:ind w:right="-49" w:rightChars="-27"/>
        <w:jc w:val="left"/>
        <w:rPr>
          <w:rFonts w:ascii="黑体" w:hAnsi="黑体"/>
          <w:b/>
          <w:szCs w:val="18"/>
        </w:rPr>
      </w:pPr>
      <w:r>
        <w:rPr>
          <w:rFonts w:ascii="黑体" w:hAnsi="黑体"/>
          <w:b/>
          <w:szCs w:val="18"/>
        </w:rPr>
        <w:t>2.3.2</w:t>
      </w:r>
      <w:r>
        <w:rPr>
          <w:rFonts w:hint="eastAsia" w:ascii="黑体" w:hAnsi="黑体"/>
          <w:b/>
          <w:szCs w:val="18"/>
        </w:rPr>
        <w:t>、主要</w:t>
      </w:r>
      <w:r>
        <w:rPr>
          <w:rFonts w:ascii="黑体" w:hAnsi="黑体"/>
          <w:b/>
          <w:szCs w:val="18"/>
        </w:rPr>
        <w:t>参考图集：</w:t>
      </w:r>
    </w:p>
    <w:p w14:paraId="399B6CDC">
      <w:pPr>
        <w:spacing w:before="11" w:line="360" w:lineRule="auto"/>
        <w:ind w:left="496" w:right="-49" w:rightChars="-27"/>
        <w:jc w:val="left"/>
        <w:rPr>
          <w:rFonts w:ascii="黑体" w:hAnsi="黑体"/>
          <w:szCs w:val="18"/>
        </w:rPr>
      </w:pPr>
      <w:r>
        <w:rPr>
          <w:rFonts w:ascii="黑体" w:hAnsi="黑体"/>
          <w:szCs w:val="18"/>
        </w:rPr>
        <w:t>13J104《蒸压加气混凝土砌块、板材构造》</w:t>
      </w:r>
    </w:p>
    <w:p w14:paraId="3DD87BF7">
      <w:pPr>
        <w:spacing w:before="4" w:line="360" w:lineRule="auto"/>
        <w:ind w:left="496" w:right="-49" w:rightChars="-27"/>
        <w:jc w:val="left"/>
        <w:rPr>
          <w:rFonts w:ascii="黑体" w:hAnsi="黑体"/>
          <w:szCs w:val="18"/>
        </w:rPr>
      </w:pPr>
      <w:r>
        <w:rPr>
          <w:rFonts w:ascii="黑体" w:hAnsi="黑体"/>
          <w:szCs w:val="18"/>
        </w:rPr>
        <w:t>06CG01《蒸压轻质砂加气混凝土(ALC)砌块和板材结构构造》</w:t>
      </w:r>
    </w:p>
    <w:p w14:paraId="7F4A6C6A">
      <w:pPr>
        <w:spacing w:before="4" w:line="360" w:lineRule="auto"/>
        <w:ind w:left="496" w:right="-49" w:rightChars="-27"/>
        <w:jc w:val="left"/>
        <w:rPr>
          <w:rFonts w:ascii="黑体" w:hAnsi="黑体"/>
          <w:szCs w:val="18"/>
        </w:rPr>
      </w:pPr>
      <w:r>
        <w:rPr>
          <w:rFonts w:hint="eastAsia" w:ascii="黑体" w:hAnsi="黑体"/>
          <w:szCs w:val="18"/>
        </w:rPr>
        <w:t>1</w:t>
      </w:r>
      <w:r>
        <w:rPr>
          <w:rFonts w:ascii="黑体" w:hAnsi="黑体"/>
          <w:szCs w:val="18"/>
        </w:rPr>
        <w:t>9CJ85-1《装配式建筑蒸压加气混凝土板围护系统》</w:t>
      </w:r>
    </w:p>
    <w:p w14:paraId="4DA9738A">
      <w:pPr>
        <w:spacing w:before="4" w:line="360" w:lineRule="auto"/>
        <w:ind w:left="496" w:right="-49" w:rightChars="-27"/>
        <w:jc w:val="left"/>
        <w:rPr>
          <w:rFonts w:ascii="黑体" w:hAnsi="黑体"/>
          <w:szCs w:val="18"/>
        </w:rPr>
      </w:pPr>
      <w:r>
        <w:rPr>
          <w:rFonts w:hint="eastAsia" w:ascii="黑体" w:hAnsi="黑体"/>
          <w:szCs w:val="18"/>
        </w:rPr>
        <w:t>0</w:t>
      </w:r>
      <w:r>
        <w:rPr>
          <w:rFonts w:ascii="黑体" w:hAnsi="黑体"/>
          <w:szCs w:val="18"/>
        </w:rPr>
        <w:t>3SJ715-1（</w:t>
      </w:r>
      <w:r>
        <w:rPr>
          <w:rFonts w:hint="eastAsia" w:ascii="黑体" w:hAnsi="黑体"/>
          <w:szCs w:val="18"/>
        </w:rPr>
        <w:t>U型卡厚度可参考本图集选用</w:t>
      </w:r>
      <w:r>
        <w:rPr>
          <w:rFonts w:ascii="黑体" w:hAnsi="黑体"/>
          <w:szCs w:val="18"/>
        </w:rPr>
        <w:t>）</w:t>
      </w:r>
    </w:p>
    <w:p w14:paraId="3ABA7259">
      <w:pPr>
        <w:pStyle w:val="96"/>
        <w:spacing w:before="120" w:beforeLines="50" w:after="120" w:afterLines="50"/>
        <w:ind w:left="509" w:hanging="509" w:hangingChars="283"/>
        <w:jc w:val="left"/>
        <w:rPr>
          <w:b w:val="0"/>
          <w:sz w:val="18"/>
        </w:rPr>
      </w:pPr>
    </w:p>
    <w:p w14:paraId="71DB9282">
      <w:pPr>
        <w:pStyle w:val="96"/>
        <w:spacing w:before="120" w:beforeLines="50" w:after="120" w:afterLines="50"/>
        <w:ind w:left="511" w:hanging="511" w:hangingChars="283"/>
        <w:jc w:val="left"/>
        <w:rPr>
          <w:sz w:val="18"/>
        </w:rPr>
      </w:pPr>
      <w:r>
        <w:rPr>
          <w:sz w:val="18"/>
        </w:rPr>
        <w:t>2.3.3</w:t>
      </w:r>
      <w:r>
        <w:rPr>
          <w:rFonts w:hint="eastAsia"/>
          <w:sz w:val="18"/>
        </w:rPr>
        <w:t>、材料技术要求</w:t>
      </w:r>
    </w:p>
    <w:p w14:paraId="5DB46722">
      <w:pPr>
        <w:pStyle w:val="111"/>
        <w:numPr>
          <w:ilvl w:val="0"/>
          <w:numId w:val="0"/>
        </w:numPr>
        <w:ind w:firstLine="452" w:firstLineChars="250"/>
        <w:jc w:val="left"/>
        <w:rPr>
          <w:b/>
        </w:rPr>
      </w:pPr>
      <w:r>
        <w:rPr>
          <w:b/>
        </w:rPr>
        <w:t>2.3.3.1</w:t>
      </w:r>
      <w:r>
        <w:rPr>
          <w:rFonts w:hint="eastAsia"/>
          <w:b/>
        </w:rPr>
        <w:t>、总则：</w:t>
      </w:r>
    </w:p>
    <w:p w14:paraId="084A6833">
      <w:pPr>
        <w:autoSpaceDE w:val="0"/>
        <w:autoSpaceDN w:val="0"/>
        <w:adjustRightInd w:val="0"/>
        <w:spacing w:line="360" w:lineRule="auto"/>
        <w:ind w:left="420"/>
        <w:jc w:val="left"/>
        <w:rPr>
          <w:rFonts w:ascii="黑体" w:hAnsi="黑体" w:cs="宋体"/>
          <w:kern w:val="0"/>
          <w:szCs w:val="18"/>
        </w:rPr>
      </w:pPr>
      <w:r>
        <w:rPr>
          <w:rFonts w:ascii="黑体" w:hAnsi="黑体" w:cs="宋体"/>
          <w:kern w:val="0"/>
          <w:szCs w:val="18"/>
        </w:rPr>
        <w:t>产品质量符合</w:t>
      </w:r>
      <w:r>
        <w:rPr>
          <w:rFonts w:hint="eastAsia" w:ascii="黑体" w:hAnsi="黑体" w:cs="宋体"/>
          <w:kern w:val="0"/>
          <w:szCs w:val="18"/>
        </w:rPr>
        <w:t>国家</w:t>
      </w:r>
      <w:r>
        <w:rPr>
          <w:rFonts w:ascii="黑体" w:hAnsi="黑体" w:cs="宋体"/>
          <w:kern w:val="0"/>
          <w:szCs w:val="18"/>
        </w:rPr>
        <w:t>标准GB/T 15762</w:t>
      </w:r>
      <w:r>
        <w:rPr>
          <w:rFonts w:hint="eastAsia" w:ascii="黑体" w:hAnsi="黑体" w:cs="宋体"/>
          <w:kern w:val="0"/>
          <w:szCs w:val="18"/>
        </w:rPr>
        <w:t>-</w:t>
      </w:r>
      <w:r>
        <w:rPr>
          <w:rFonts w:ascii="黑体" w:hAnsi="黑体" w:cs="宋体"/>
          <w:kern w:val="0"/>
          <w:szCs w:val="18"/>
        </w:rPr>
        <w:t>2020的技术要求，放射性符合GB 6566-2010《建筑材料放射性核素限量》要求。</w:t>
      </w:r>
    </w:p>
    <w:p w14:paraId="7CC3A485">
      <w:pPr>
        <w:autoSpaceDE w:val="0"/>
        <w:autoSpaceDN w:val="0"/>
        <w:adjustRightInd w:val="0"/>
        <w:spacing w:line="360" w:lineRule="auto"/>
        <w:ind w:left="420"/>
        <w:jc w:val="left"/>
        <w:rPr>
          <w:rFonts w:ascii="黑体" w:hAnsi="黑体" w:cs="宋体"/>
          <w:kern w:val="0"/>
          <w:szCs w:val="18"/>
        </w:rPr>
      </w:pPr>
      <w:r>
        <w:rPr>
          <w:rFonts w:hint="eastAsia" w:ascii="黑体" w:hAnsi="黑体" w:cs="宋体"/>
          <w:kern w:val="0"/>
          <w:szCs w:val="18"/>
        </w:rPr>
        <w:t>厂家的要求：</w:t>
      </w:r>
    </w:p>
    <w:p w14:paraId="2142AE92">
      <w:pPr>
        <w:numPr>
          <w:ilvl w:val="0"/>
          <w:numId w:val="10"/>
        </w:numPr>
        <w:autoSpaceDE w:val="0"/>
        <w:autoSpaceDN w:val="0"/>
        <w:adjustRightInd w:val="0"/>
        <w:spacing w:line="360" w:lineRule="auto"/>
        <w:jc w:val="left"/>
        <w:rPr>
          <w:rFonts w:ascii="黑体" w:hAnsi="黑体" w:cs="宋体"/>
          <w:kern w:val="0"/>
          <w:szCs w:val="18"/>
        </w:rPr>
      </w:pPr>
      <w:r>
        <w:rPr>
          <w:rFonts w:ascii="黑体" w:hAnsi="黑体" w:cs="宋体"/>
          <w:kern w:val="0"/>
          <w:szCs w:val="18"/>
        </w:rPr>
        <w:t>企业年生产规模为15万m3以上。</w:t>
      </w:r>
    </w:p>
    <w:p w14:paraId="369D1BB0">
      <w:pPr>
        <w:numPr>
          <w:ilvl w:val="0"/>
          <w:numId w:val="10"/>
        </w:numPr>
        <w:autoSpaceDE w:val="0"/>
        <w:autoSpaceDN w:val="0"/>
        <w:adjustRightInd w:val="0"/>
        <w:spacing w:line="360" w:lineRule="auto"/>
        <w:jc w:val="left"/>
        <w:rPr>
          <w:rFonts w:ascii="黑体" w:hAnsi="黑体" w:cs="宋体"/>
          <w:kern w:val="0"/>
          <w:szCs w:val="18"/>
        </w:rPr>
      </w:pPr>
      <w:r>
        <w:rPr>
          <w:rFonts w:ascii="黑体" w:hAnsi="黑体" w:cs="宋体"/>
          <w:kern w:val="0"/>
          <w:szCs w:val="18"/>
        </w:rPr>
        <w:t>有配套完整的生产线，采用自动配料、机械成型和蒸压养护生产工艺。</w:t>
      </w:r>
    </w:p>
    <w:p w14:paraId="2D3F4F43">
      <w:pPr>
        <w:numPr>
          <w:ilvl w:val="0"/>
          <w:numId w:val="10"/>
        </w:numPr>
        <w:autoSpaceDE w:val="0"/>
        <w:autoSpaceDN w:val="0"/>
        <w:adjustRightInd w:val="0"/>
        <w:spacing w:line="360" w:lineRule="auto"/>
        <w:jc w:val="left"/>
        <w:rPr>
          <w:rFonts w:ascii="黑体" w:hAnsi="黑体" w:cs="宋体"/>
          <w:kern w:val="0"/>
          <w:szCs w:val="18"/>
        </w:rPr>
      </w:pPr>
      <w:r>
        <w:rPr>
          <w:rFonts w:ascii="黑体" w:hAnsi="黑体" w:cs="宋体"/>
          <w:kern w:val="0"/>
          <w:szCs w:val="18"/>
        </w:rPr>
        <w:t>蒸汽供应量和蒸汽压力满足生产规模与工艺质量要求；产品堆放场地不低于4000平方米。</w:t>
      </w:r>
    </w:p>
    <w:p w14:paraId="311DA781">
      <w:pPr>
        <w:pStyle w:val="111"/>
        <w:numPr>
          <w:ilvl w:val="0"/>
          <w:numId w:val="0"/>
        </w:numPr>
        <w:ind w:firstLine="361" w:firstLineChars="200"/>
        <w:jc w:val="left"/>
        <w:rPr>
          <w:b/>
        </w:rPr>
      </w:pPr>
      <w:r>
        <w:rPr>
          <w:b/>
        </w:rPr>
        <w:t>2.3.3.2</w:t>
      </w:r>
      <w:r>
        <w:rPr>
          <w:rFonts w:hint="eastAsia"/>
          <w:b/>
        </w:rPr>
        <w:t>、主要质量控制指标：</w:t>
      </w:r>
    </w:p>
    <w:p w14:paraId="14F33038">
      <w:pPr>
        <w:pStyle w:val="111"/>
        <w:numPr>
          <w:ilvl w:val="0"/>
          <w:numId w:val="0"/>
        </w:numPr>
        <w:ind w:firstLine="346" w:firstLineChars="200"/>
        <w:jc w:val="left"/>
      </w:pPr>
      <w:r>
        <w:rPr>
          <w:rFonts w:hint="eastAsia"/>
          <w:spacing w:val="1"/>
          <w:w w:val="95"/>
        </w:rPr>
        <w:t>(</w:t>
      </w:r>
      <w:r>
        <w:rPr>
          <w:spacing w:val="1"/>
          <w:w w:val="95"/>
        </w:rPr>
        <w:t>1)</w:t>
      </w:r>
      <w:r>
        <w:rPr>
          <w:rFonts w:hint="eastAsia"/>
          <w:spacing w:val="1"/>
          <w:w w:val="95"/>
        </w:rPr>
        <w:t xml:space="preserve">钢筋网片及钢筋网笼构造要求需满足 </w:t>
      </w:r>
      <w:r>
        <w:rPr>
          <w:i/>
          <w:w w:val="95"/>
        </w:rPr>
        <w:t>GB/T</w:t>
      </w:r>
      <w:r>
        <w:rPr>
          <w:i/>
          <w:spacing w:val="23"/>
          <w:w w:val="95"/>
        </w:rPr>
        <w:t xml:space="preserve"> </w:t>
      </w:r>
      <w:r>
        <w:rPr>
          <w:i/>
          <w:w w:val="95"/>
        </w:rPr>
        <w:t>15762-2020</w:t>
      </w:r>
      <w:r>
        <w:rPr>
          <w:i/>
          <w:spacing w:val="21"/>
          <w:w w:val="95"/>
        </w:rPr>
        <w:t xml:space="preserve"> </w:t>
      </w:r>
      <w:r>
        <w:rPr>
          <w:rFonts w:hint="eastAsia"/>
          <w:spacing w:val="15"/>
          <w:w w:val="95"/>
        </w:rPr>
        <w:t xml:space="preserve">中 </w:t>
      </w:r>
      <w:r>
        <w:rPr>
          <w:i/>
          <w:w w:val="95"/>
        </w:rPr>
        <w:t>5.2</w:t>
      </w:r>
      <w:r>
        <w:rPr>
          <w:i/>
          <w:spacing w:val="21"/>
          <w:w w:val="95"/>
        </w:rPr>
        <w:t xml:space="preserve"> </w:t>
      </w:r>
      <w:r>
        <w:rPr>
          <w:rFonts w:hint="eastAsia"/>
          <w:spacing w:val="16"/>
          <w:w w:val="95"/>
        </w:rPr>
        <w:t xml:space="preserve">及 </w:t>
      </w:r>
      <w:r>
        <w:rPr>
          <w:i/>
          <w:w w:val="95"/>
        </w:rPr>
        <w:t>5.3</w:t>
      </w:r>
      <w:r>
        <w:rPr>
          <w:i/>
          <w:spacing w:val="20"/>
          <w:w w:val="95"/>
        </w:rPr>
        <w:t xml:space="preserve"> </w:t>
      </w:r>
      <w:r>
        <w:rPr>
          <w:rFonts w:hint="eastAsia"/>
          <w:w w:val="95"/>
        </w:rPr>
        <w:t>要求；</w:t>
      </w:r>
    </w:p>
    <w:p w14:paraId="0797B4B2">
      <w:pPr>
        <w:pStyle w:val="111"/>
        <w:numPr>
          <w:ilvl w:val="0"/>
          <w:numId w:val="0"/>
        </w:numPr>
        <w:ind w:firstLine="360" w:firstLineChars="200"/>
        <w:jc w:val="left"/>
      </w:pPr>
      <w:r>
        <w:t>(2)</w:t>
      </w:r>
      <w:r>
        <w:rPr>
          <w:rFonts w:hint="eastAsia"/>
          <w:spacing w:val="1"/>
          <w:w w:val="95"/>
        </w:rPr>
        <w:t>板材需满足</w:t>
      </w:r>
      <w:r>
        <w:t>蒸压加气混凝土板技术要求</w:t>
      </w:r>
    </w:p>
    <w:p w14:paraId="5644949B">
      <w:pPr>
        <w:pStyle w:val="111"/>
        <w:numPr>
          <w:ilvl w:val="0"/>
          <w:numId w:val="0"/>
        </w:numPr>
        <w:ind w:firstLine="356" w:firstLineChars="200"/>
        <w:jc w:val="left"/>
      </w:pPr>
      <w:r>
        <w:rPr>
          <w:spacing w:val="-1"/>
        </w:rPr>
        <w:t xml:space="preserve">(3)外观质量及尺寸偏差需满足 </w:t>
      </w:r>
      <w:r>
        <w:rPr>
          <w:i/>
        </w:rPr>
        <w:t>GB/T</w:t>
      </w:r>
      <w:r>
        <w:rPr>
          <w:i/>
          <w:spacing w:val="-8"/>
        </w:rPr>
        <w:t xml:space="preserve"> </w:t>
      </w:r>
      <w:r>
        <w:rPr>
          <w:i/>
        </w:rPr>
        <w:t>15762-2020</w:t>
      </w:r>
      <w:r>
        <w:rPr>
          <w:i/>
          <w:spacing w:val="-10"/>
        </w:rPr>
        <w:t xml:space="preserve"> </w:t>
      </w:r>
      <w:r>
        <w:rPr>
          <w:spacing w:val="-2"/>
        </w:rPr>
        <w:t xml:space="preserve">中 </w:t>
      </w:r>
      <w:r>
        <w:rPr>
          <w:i/>
        </w:rPr>
        <w:t>6.1</w:t>
      </w:r>
      <w:r>
        <w:rPr>
          <w:i/>
          <w:spacing w:val="-10"/>
        </w:rPr>
        <w:t xml:space="preserve"> </w:t>
      </w:r>
      <w:r>
        <w:rPr>
          <w:spacing w:val="-2"/>
        </w:rPr>
        <w:t xml:space="preserve">及 </w:t>
      </w:r>
      <w:r>
        <w:rPr>
          <w:i/>
        </w:rPr>
        <w:t>6.2</w:t>
      </w:r>
      <w:r>
        <w:rPr>
          <w:i/>
          <w:spacing w:val="-9"/>
        </w:rPr>
        <w:t xml:space="preserve"> </w:t>
      </w:r>
      <w:r>
        <w:t>要求；</w:t>
      </w:r>
    </w:p>
    <w:p w14:paraId="029F83B3">
      <w:pPr>
        <w:pStyle w:val="111"/>
        <w:numPr>
          <w:ilvl w:val="0"/>
          <w:numId w:val="0"/>
        </w:numPr>
        <w:ind w:firstLine="361" w:firstLineChars="200"/>
        <w:jc w:val="left"/>
        <w:rPr>
          <w:b/>
        </w:rPr>
      </w:pPr>
      <w:r>
        <w:rPr>
          <w:b/>
        </w:rPr>
        <w:t>2.3.3.3</w:t>
      </w:r>
      <w:r>
        <w:rPr>
          <w:rFonts w:hint="eastAsia"/>
          <w:b/>
        </w:rPr>
        <w:t>、</w:t>
      </w:r>
      <w:r>
        <w:rPr>
          <w:b/>
        </w:rPr>
        <w:t>基本性能</w:t>
      </w:r>
    </w:p>
    <w:p w14:paraId="701945C3">
      <w:pPr>
        <w:pStyle w:val="111"/>
        <w:numPr>
          <w:ilvl w:val="0"/>
          <w:numId w:val="0"/>
        </w:numPr>
        <w:ind w:left="284"/>
        <w:jc w:val="left"/>
        <w:sectPr>
          <w:pgSz w:w="11910" w:h="16840"/>
          <w:pgMar w:top="1920" w:right="1280" w:bottom="280" w:left="1300" w:header="847" w:footer="0" w:gutter="0"/>
          <w:pgNumType w:fmt="decimal"/>
          <w:cols w:space="720" w:num="1"/>
        </w:sectPr>
      </w:pPr>
      <w:r>
        <mc:AlternateContent>
          <mc:Choice Requires="wps">
            <w:drawing>
              <wp:anchor distT="0" distB="0" distL="114300" distR="114300" simplePos="0" relativeHeight="251662336" behindDoc="0" locked="0" layoutInCell="1" allowOverlap="1">
                <wp:simplePos x="0" y="0"/>
                <wp:positionH relativeFrom="page">
                  <wp:posOffset>1051560</wp:posOffset>
                </wp:positionH>
                <wp:positionV relativeFrom="paragraph">
                  <wp:posOffset>196850</wp:posOffset>
                </wp:positionV>
                <wp:extent cx="5577840" cy="3589020"/>
                <wp:effectExtent l="0" t="0" r="3810" b="1143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5577840" cy="3589020"/>
                        </a:xfrm>
                        <a:prstGeom prst="rect">
                          <a:avLst/>
                        </a:prstGeom>
                        <a:noFill/>
                        <a:ln>
                          <a:noFill/>
                        </a:ln>
                      </wps:spPr>
                      <wps:txbx>
                        <w:txbxContent>
                          <w:tbl>
                            <w:tblPr>
                              <w:tblStyle w:val="13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1110"/>
                              <w:gridCol w:w="1235"/>
                              <w:gridCol w:w="3429"/>
                              <w:gridCol w:w="1785"/>
                            </w:tblGrid>
                            <w:tr w14:paraId="70F95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restart"/>
                                  <w:shd w:val="clear" w:color="auto" w:fill="BDBDBD"/>
                                </w:tcPr>
                                <w:p w14:paraId="488350D1">
                                  <w:pPr>
                                    <w:pStyle w:val="132"/>
                                    <w:spacing w:before="3"/>
                                    <w:ind w:left="364" w:hanging="364"/>
                                    <w:jc w:val="center"/>
                                    <w:rPr>
                                      <w:rFonts w:ascii="黑体" w:hAnsi="黑体" w:eastAsia="黑体"/>
                                      <w:sz w:val="18"/>
                                      <w:szCs w:val="18"/>
                                      <w:lang w:eastAsia="en-US"/>
                                    </w:rPr>
                                  </w:pPr>
                                </w:p>
                                <w:p w14:paraId="0EB0B79F">
                                  <w:pPr>
                                    <w:pStyle w:val="132"/>
                                    <w:ind w:left="364" w:hanging="364"/>
                                    <w:jc w:val="center"/>
                                    <w:rPr>
                                      <w:rFonts w:ascii="黑体" w:hAnsi="黑体" w:eastAsia="黑体"/>
                                      <w:sz w:val="18"/>
                                      <w:szCs w:val="18"/>
                                      <w:lang w:eastAsia="en-US"/>
                                    </w:rPr>
                                  </w:pPr>
                                  <w:r>
                                    <w:rPr>
                                      <w:rFonts w:hint="eastAsia" w:ascii="黑体" w:hAnsi="黑体" w:eastAsia="黑体"/>
                                      <w:sz w:val="18"/>
                                      <w:szCs w:val="18"/>
                                      <w:lang w:eastAsia="en-US"/>
                                    </w:rPr>
                                    <w:t>序号</w:t>
                                  </w:r>
                                </w:p>
                              </w:tc>
                              <w:tc>
                                <w:tcPr>
                                  <w:tcW w:w="2345" w:type="dxa"/>
                                  <w:gridSpan w:val="2"/>
                                  <w:shd w:val="clear" w:color="auto" w:fill="BDBDBD"/>
                                </w:tcPr>
                                <w:p w14:paraId="62FEB149">
                                  <w:pPr>
                                    <w:pStyle w:val="132"/>
                                    <w:spacing w:before="50"/>
                                    <w:ind w:left="364" w:right="941" w:hanging="364"/>
                                    <w:rPr>
                                      <w:rFonts w:ascii="黑体" w:hAnsi="黑体" w:eastAsia="黑体"/>
                                      <w:sz w:val="18"/>
                                      <w:szCs w:val="18"/>
                                      <w:lang w:eastAsia="en-US"/>
                                    </w:rPr>
                                  </w:pPr>
                                  <w:r>
                                    <w:rPr>
                                      <w:rFonts w:hint="eastAsia" w:ascii="黑体" w:hAnsi="黑体" w:eastAsia="黑体"/>
                                      <w:sz w:val="18"/>
                                      <w:szCs w:val="18"/>
                                      <w:lang w:eastAsia="en-US"/>
                                    </w:rPr>
                                    <w:t>强度等级</w:t>
                                  </w:r>
                                </w:p>
                              </w:tc>
                              <w:tc>
                                <w:tcPr>
                                  <w:tcW w:w="3429" w:type="dxa"/>
                                  <w:shd w:val="clear" w:color="auto" w:fill="BDBDBD"/>
                                </w:tcPr>
                                <w:p w14:paraId="0539EA5B">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A5.0</w:t>
                                  </w:r>
                                </w:p>
                              </w:tc>
                              <w:tc>
                                <w:tcPr>
                                  <w:tcW w:w="1785" w:type="dxa"/>
                                  <w:vMerge w:val="restart"/>
                                  <w:shd w:val="clear" w:color="auto" w:fill="BDBDBD"/>
                                </w:tcPr>
                                <w:p w14:paraId="04974A0A">
                                  <w:pPr>
                                    <w:pStyle w:val="132"/>
                                    <w:spacing w:before="3"/>
                                    <w:ind w:left="364" w:hanging="364"/>
                                    <w:jc w:val="center"/>
                                    <w:rPr>
                                      <w:rFonts w:ascii="黑体" w:hAnsi="黑体" w:eastAsia="黑体"/>
                                      <w:sz w:val="18"/>
                                      <w:szCs w:val="18"/>
                                      <w:lang w:eastAsia="en-US"/>
                                    </w:rPr>
                                  </w:pPr>
                                </w:p>
                                <w:p w14:paraId="29259A19">
                                  <w:pPr>
                                    <w:pStyle w:val="132"/>
                                    <w:ind w:left="364" w:hanging="364"/>
                                    <w:jc w:val="center"/>
                                    <w:rPr>
                                      <w:rFonts w:ascii="黑体" w:hAnsi="黑体" w:eastAsia="黑体"/>
                                      <w:sz w:val="18"/>
                                      <w:szCs w:val="18"/>
                                      <w:lang w:eastAsia="en-US"/>
                                    </w:rPr>
                                  </w:pPr>
                                  <w:r>
                                    <w:rPr>
                                      <w:rFonts w:hint="eastAsia" w:ascii="黑体" w:hAnsi="黑体" w:eastAsia="黑体"/>
                                      <w:sz w:val="18"/>
                                      <w:szCs w:val="18"/>
                                      <w:lang w:eastAsia="en-US"/>
                                    </w:rPr>
                                    <w:t>测试方法</w:t>
                                  </w:r>
                                </w:p>
                              </w:tc>
                            </w:tr>
                            <w:tr w14:paraId="1E1F2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continue"/>
                                  <w:tcBorders>
                                    <w:top w:val="nil"/>
                                  </w:tcBorders>
                                  <w:shd w:val="clear" w:color="auto" w:fill="BDBDBD"/>
                                </w:tcPr>
                                <w:p w14:paraId="645C3BC4">
                                  <w:pPr>
                                    <w:autoSpaceDE w:val="0"/>
                                    <w:autoSpaceDN w:val="0"/>
                                    <w:rPr>
                                      <w:rFonts w:ascii="黑体" w:hAnsi="黑体"/>
                                      <w:szCs w:val="18"/>
                                      <w:lang w:eastAsia="en-US"/>
                                    </w:rPr>
                                  </w:pPr>
                                </w:p>
                              </w:tc>
                              <w:tc>
                                <w:tcPr>
                                  <w:tcW w:w="2345" w:type="dxa"/>
                                  <w:gridSpan w:val="2"/>
                                  <w:shd w:val="clear" w:color="auto" w:fill="BDBDBD"/>
                                </w:tcPr>
                                <w:p w14:paraId="43235812">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干密度等级</w:t>
                                  </w:r>
                                </w:p>
                              </w:tc>
                              <w:tc>
                                <w:tcPr>
                                  <w:tcW w:w="3429" w:type="dxa"/>
                                  <w:shd w:val="clear" w:color="auto" w:fill="BDBDBD"/>
                                </w:tcPr>
                                <w:p w14:paraId="62BAF2EA">
                                  <w:pPr>
                                    <w:pStyle w:val="132"/>
                                    <w:spacing w:before="105"/>
                                    <w:ind w:left="398" w:right="436" w:hanging="398"/>
                                    <w:jc w:val="center"/>
                                    <w:rPr>
                                      <w:rFonts w:ascii="黑体" w:hAnsi="黑体" w:eastAsia="黑体"/>
                                      <w:sz w:val="18"/>
                                      <w:szCs w:val="18"/>
                                      <w:lang w:eastAsia="en-US"/>
                                    </w:rPr>
                                  </w:pPr>
                                  <w:r>
                                    <w:rPr>
                                      <w:rFonts w:ascii="黑体" w:hAnsi="黑体" w:eastAsia="黑体"/>
                                      <w:w w:val="110"/>
                                      <w:sz w:val="18"/>
                                      <w:szCs w:val="18"/>
                                      <w:lang w:eastAsia="en-US"/>
                                    </w:rPr>
                                    <w:t>B06</w:t>
                                  </w:r>
                                </w:p>
                              </w:tc>
                              <w:tc>
                                <w:tcPr>
                                  <w:tcW w:w="1785" w:type="dxa"/>
                                  <w:vMerge w:val="continue"/>
                                  <w:tcBorders>
                                    <w:top w:val="nil"/>
                                  </w:tcBorders>
                                  <w:shd w:val="clear" w:color="auto" w:fill="BDBDBD"/>
                                </w:tcPr>
                                <w:p w14:paraId="1580C566">
                                  <w:pPr>
                                    <w:autoSpaceDE w:val="0"/>
                                    <w:autoSpaceDN w:val="0"/>
                                    <w:rPr>
                                      <w:rFonts w:ascii="黑体" w:hAnsi="黑体"/>
                                      <w:szCs w:val="18"/>
                                      <w:lang w:eastAsia="en-US"/>
                                    </w:rPr>
                                  </w:pPr>
                                </w:p>
                              </w:tc>
                            </w:tr>
                            <w:tr w14:paraId="7C60B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restart"/>
                                </w:tcPr>
                                <w:p w14:paraId="3A972064">
                                  <w:pPr>
                                    <w:pStyle w:val="132"/>
                                    <w:spacing w:before="11"/>
                                    <w:ind w:left="364" w:hanging="364"/>
                                    <w:rPr>
                                      <w:rFonts w:ascii="黑体" w:hAnsi="黑体" w:eastAsia="黑体"/>
                                      <w:sz w:val="18"/>
                                      <w:szCs w:val="18"/>
                                      <w:lang w:eastAsia="en-US"/>
                                    </w:rPr>
                                  </w:pPr>
                                </w:p>
                                <w:p w14:paraId="35C7D8C2">
                                  <w:pPr>
                                    <w:pStyle w:val="132"/>
                                    <w:ind w:left="386" w:hanging="386"/>
                                    <w:jc w:val="center"/>
                                    <w:rPr>
                                      <w:rFonts w:ascii="黑体" w:hAnsi="黑体" w:eastAsia="黑体"/>
                                      <w:sz w:val="18"/>
                                      <w:szCs w:val="18"/>
                                      <w:lang w:eastAsia="en-US"/>
                                    </w:rPr>
                                  </w:pPr>
                                  <w:r>
                                    <w:rPr>
                                      <w:rFonts w:ascii="黑体" w:hAnsi="黑体" w:eastAsia="黑体"/>
                                      <w:w w:val="107"/>
                                      <w:sz w:val="18"/>
                                      <w:szCs w:val="18"/>
                                      <w:lang w:eastAsia="en-US"/>
                                    </w:rPr>
                                    <w:t>1</w:t>
                                  </w:r>
                                </w:p>
                              </w:tc>
                              <w:tc>
                                <w:tcPr>
                                  <w:tcW w:w="1110" w:type="dxa"/>
                                  <w:vMerge w:val="restart"/>
                                </w:tcPr>
                                <w:p w14:paraId="15B9F360">
                                  <w:pPr>
                                    <w:pStyle w:val="132"/>
                                    <w:spacing w:before="131" w:line="339" w:lineRule="exact"/>
                                    <w:ind w:left="364" w:hanging="364"/>
                                    <w:rPr>
                                      <w:rFonts w:ascii="黑体" w:hAnsi="黑体" w:eastAsia="黑体"/>
                                      <w:sz w:val="18"/>
                                      <w:szCs w:val="18"/>
                                      <w:lang w:eastAsia="en-US"/>
                                    </w:rPr>
                                  </w:pPr>
                                  <w:r>
                                    <w:rPr>
                                      <w:rFonts w:hint="eastAsia" w:ascii="黑体" w:hAnsi="黑体" w:eastAsia="黑体"/>
                                      <w:sz w:val="18"/>
                                      <w:szCs w:val="18"/>
                                      <w:lang w:eastAsia="en-US"/>
                                    </w:rPr>
                                    <w:t>抗压强度</w:t>
                                  </w:r>
                                </w:p>
                                <w:p w14:paraId="01BAD62E">
                                  <w:pPr>
                                    <w:pStyle w:val="132"/>
                                    <w:spacing w:line="339" w:lineRule="exact"/>
                                    <w:ind w:left="381" w:hanging="381"/>
                                    <w:rPr>
                                      <w:rFonts w:ascii="黑体" w:hAnsi="黑体" w:eastAsia="黑体"/>
                                      <w:sz w:val="18"/>
                                      <w:szCs w:val="18"/>
                                      <w:lang w:eastAsia="en-US"/>
                                    </w:rPr>
                                  </w:pPr>
                                  <w:r>
                                    <w:rPr>
                                      <w:rFonts w:hint="eastAsia" w:ascii="黑体" w:hAnsi="黑体" w:eastAsia="黑体"/>
                                      <w:w w:val="105"/>
                                      <w:sz w:val="18"/>
                                      <w:szCs w:val="18"/>
                                      <w:lang w:eastAsia="en-US"/>
                                    </w:rPr>
                                    <w:t>（</w:t>
                                  </w:r>
                                  <w:r>
                                    <w:rPr>
                                      <w:rFonts w:ascii="黑体" w:hAnsi="黑体" w:eastAsia="黑体"/>
                                      <w:w w:val="105"/>
                                      <w:sz w:val="18"/>
                                      <w:szCs w:val="18"/>
                                      <w:lang w:eastAsia="en-US"/>
                                    </w:rPr>
                                    <w:t>MPa</w:t>
                                  </w:r>
                                  <w:r>
                                    <w:rPr>
                                      <w:rFonts w:hint="eastAsia" w:ascii="黑体" w:hAnsi="黑体" w:eastAsia="黑体"/>
                                      <w:w w:val="105"/>
                                      <w:sz w:val="18"/>
                                      <w:szCs w:val="18"/>
                                      <w:lang w:eastAsia="en-US"/>
                                    </w:rPr>
                                    <w:t>）</w:t>
                                  </w:r>
                                </w:p>
                              </w:tc>
                              <w:tc>
                                <w:tcPr>
                                  <w:tcW w:w="1235" w:type="dxa"/>
                                </w:tcPr>
                                <w:p w14:paraId="16DC78D7">
                                  <w:pPr>
                                    <w:pStyle w:val="132"/>
                                    <w:spacing w:before="50"/>
                                    <w:ind w:left="364" w:right="364" w:hanging="364"/>
                                    <w:jc w:val="center"/>
                                    <w:rPr>
                                      <w:rFonts w:ascii="黑体" w:hAnsi="黑体" w:eastAsia="黑体"/>
                                      <w:sz w:val="18"/>
                                      <w:szCs w:val="18"/>
                                      <w:lang w:eastAsia="en-US"/>
                                    </w:rPr>
                                  </w:pPr>
                                  <w:r>
                                    <w:rPr>
                                      <w:rFonts w:hint="eastAsia" w:ascii="黑体" w:hAnsi="黑体" w:eastAsia="黑体"/>
                                      <w:sz w:val="18"/>
                                      <w:szCs w:val="18"/>
                                      <w:lang w:eastAsia="en-US"/>
                                    </w:rPr>
                                    <w:t>平均值</w:t>
                                  </w:r>
                                </w:p>
                              </w:tc>
                              <w:tc>
                                <w:tcPr>
                                  <w:tcW w:w="3429" w:type="dxa"/>
                                </w:tcPr>
                                <w:p w14:paraId="4735C3D8">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≥5.0</w:t>
                                  </w:r>
                                </w:p>
                              </w:tc>
                              <w:tc>
                                <w:tcPr>
                                  <w:tcW w:w="1785" w:type="dxa"/>
                                  <w:vMerge w:val="restart"/>
                                </w:tcPr>
                                <w:p w14:paraId="4E193057">
                                  <w:pPr>
                                    <w:pStyle w:val="132"/>
                                    <w:ind w:left="364" w:hanging="364"/>
                                    <w:rPr>
                                      <w:rFonts w:ascii="黑体" w:hAnsi="黑体" w:eastAsia="黑体"/>
                                      <w:sz w:val="18"/>
                                      <w:szCs w:val="18"/>
                                      <w:lang w:eastAsia="en-US"/>
                                    </w:rPr>
                                  </w:pPr>
                                </w:p>
                                <w:p w14:paraId="0996DB07">
                                  <w:pPr>
                                    <w:pStyle w:val="132"/>
                                    <w:ind w:left="364" w:hanging="364"/>
                                    <w:rPr>
                                      <w:rFonts w:ascii="黑体" w:hAnsi="黑体" w:eastAsia="黑体"/>
                                      <w:sz w:val="18"/>
                                      <w:szCs w:val="18"/>
                                      <w:lang w:eastAsia="en-US"/>
                                    </w:rPr>
                                  </w:pPr>
                                </w:p>
                                <w:p w14:paraId="62D5C5B0">
                                  <w:pPr>
                                    <w:pStyle w:val="132"/>
                                    <w:ind w:left="364" w:hanging="364"/>
                                    <w:rPr>
                                      <w:rFonts w:ascii="黑体" w:hAnsi="黑体" w:eastAsia="黑体"/>
                                      <w:sz w:val="18"/>
                                      <w:szCs w:val="18"/>
                                      <w:lang w:eastAsia="en-US"/>
                                    </w:rPr>
                                  </w:pPr>
                                </w:p>
                                <w:p w14:paraId="4033B554">
                                  <w:pPr>
                                    <w:pStyle w:val="132"/>
                                    <w:spacing w:before="8"/>
                                    <w:ind w:left="364" w:hanging="364"/>
                                    <w:rPr>
                                      <w:rFonts w:ascii="黑体" w:hAnsi="黑体" w:eastAsia="黑体"/>
                                      <w:sz w:val="18"/>
                                      <w:szCs w:val="18"/>
                                      <w:lang w:eastAsia="en-US"/>
                                    </w:rPr>
                                  </w:pPr>
                                </w:p>
                                <w:p w14:paraId="14D42C56">
                                  <w:pPr>
                                    <w:pStyle w:val="132"/>
                                    <w:spacing w:line="307" w:lineRule="auto"/>
                                    <w:ind w:left="364" w:right="289" w:hanging="36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1"/>
                                      <w:sz w:val="18"/>
                                      <w:szCs w:val="18"/>
                                      <w:lang w:eastAsia="en-US"/>
                                    </w:rPr>
                                    <w:t xml:space="preserve"> </w:t>
                                  </w:r>
                                  <w:r>
                                    <w:rPr>
                                      <w:rFonts w:ascii="黑体" w:hAnsi="黑体" w:eastAsia="黑体"/>
                                      <w:sz w:val="18"/>
                                      <w:szCs w:val="18"/>
                                      <w:lang w:eastAsia="en-US"/>
                                    </w:rPr>
                                    <w:t>11969-2020</w:t>
                                  </w:r>
                                </w:p>
                              </w:tc>
                            </w:tr>
                            <w:tr w14:paraId="62B33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continue"/>
                                  <w:tcBorders>
                                    <w:top w:val="nil"/>
                                  </w:tcBorders>
                                </w:tcPr>
                                <w:p w14:paraId="4727E3DC">
                                  <w:pPr>
                                    <w:autoSpaceDE w:val="0"/>
                                    <w:autoSpaceDN w:val="0"/>
                                    <w:rPr>
                                      <w:rFonts w:ascii="黑体" w:hAnsi="黑体"/>
                                      <w:szCs w:val="18"/>
                                      <w:lang w:eastAsia="en-US"/>
                                    </w:rPr>
                                  </w:pPr>
                                </w:p>
                              </w:tc>
                              <w:tc>
                                <w:tcPr>
                                  <w:tcW w:w="1110" w:type="dxa"/>
                                  <w:vMerge w:val="continue"/>
                                  <w:tcBorders>
                                    <w:top w:val="nil"/>
                                  </w:tcBorders>
                                </w:tcPr>
                                <w:p w14:paraId="2C7FA2B0">
                                  <w:pPr>
                                    <w:autoSpaceDE w:val="0"/>
                                    <w:autoSpaceDN w:val="0"/>
                                    <w:rPr>
                                      <w:rFonts w:ascii="黑体" w:hAnsi="黑体"/>
                                      <w:szCs w:val="18"/>
                                      <w:lang w:eastAsia="en-US"/>
                                    </w:rPr>
                                  </w:pPr>
                                </w:p>
                              </w:tc>
                              <w:tc>
                                <w:tcPr>
                                  <w:tcW w:w="1235" w:type="dxa"/>
                                </w:tcPr>
                                <w:p w14:paraId="4A760A18">
                                  <w:pPr>
                                    <w:pStyle w:val="132"/>
                                    <w:spacing w:before="50"/>
                                    <w:ind w:left="364" w:right="364" w:hanging="364"/>
                                    <w:jc w:val="center"/>
                                    <w:rPr>
                                      <w:rFonts w:ascii="黑体" w:hAnsi="黑体" w:eastAsia="黑体"/>
                                      <w:sz w:val="18"/>
                                      <w:szCs w:val="18"/>
                                      <w:lang w:eastAsia="en-US"/>
                                    </w:rPr>
                                  </w:pPr>
                                  <w:r>
                                    <w:rPr>
                                      <w:rFonts w:hint="eastAsia" w:ascii="黑体" w:hAnsi="黑体" w:eastAsia="黑体"/>
                                      <w:sz w:val="18"/>
                                      <w:szCs w:val="18"/>
                                      <w:lang w:eastAsia="en-US"/>
                                    </w:rPr>
                                    <w:t>最小值</w:t>
                                  </w:r>
                                </w:p>
                              </w:tc>
                              <w:tc>
                                <w:tcPr>
                                  <w:tcW w:w="3429" w:type="dxa"/>
                                </w:tcPr>
                                <w:p w14:paraId="13B61C23">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≥4.2</w:t>
                                  </w:r>
                                </w:p>
                              </w:tc>
                              <w:tc>
                                <w:tcPr>
                                  <w:tcW w:w="1785" w:type="dxa"/>
                                  <w:vMerge w:val="continue"/>
                                  <w:tcBorders>
                                    <w:top w:val="nil"/>
                                  </w:tcBorders>
                                </w:tcPr>
                                <w:p w14:paraId="3270E52C">
                                  <w:pPr>
                                    <w:autoSpaceDE w:val="0"/>
                                    <w:autoSpaceDN w:val="0"/>
                                    <w:rPr>
                                      <w:rFonts w:ascii="黑体" w:hAnsi="黑体"/>
                                      <w:szCs w:val="18"/>
                                      <w:lang w:eastAsia="en-US"/>
                                    </w:rPr>
                                  </w:pPr>
                                </w:p>
                              </w:tc>
                            </w:tr>
                            <w:tr w14:paraId="430B1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16845602">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2</w:t>
                                  </w:r>
                                </w:p>
                              </w:tc>
                              <w:tc>
                                <w:tcPr>
                                  <w:tcW w:w="2345" w:type="dxa"/>
                                  <w:gridSpan w:val="2"/>
                                </w:tcPr>
                                <w:p w14:paraId="5EE68B3C">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干密度（</w:t>
                                  </w:r>
                                  <w:r>
                                    <w:rPr>
                                      <w:rFonts w:ascii="黑体" w:hAnsi="黑体" w:eastAsia="黑体"/>
                                      <w:sz w:val="18"/>
                                      <w:szCs w:val="18"/>
                                      <w:lang w:eastAsia="en-US"/>
                                    </w:rPr>
                                    <w:t>k</w:t>
                                  </w:r>
                                  <w:r>
                                    <w:rPr>
                                      <w:rFonts w:ascii="黑体" w:hAnsi="黑体" w:eastAsia="黑体"/>
                                      <w:spacing w:val="-1"/>
                                      <w:w w:val="111"/>
                                      <w:sz w:val="18"/>
                                      <w:szCs w:val="18"/>
                                      <w:lang w:eastAsia="en-US"/>
                                    </w:rPr>
                                    <w:t>g</w:t>
                                  </w:r>
                                  <w:r>
                                    <w:rPr>
                                      <w:rFonts w:ascii="黑体" w:hAnsi="黑体" w:eastAsia="黑体"/>
                                      <w:spacing w:val="-1"/>
                                      <w:w w:val="78"/>
                                      <w:sz w:val="18"/>
                                      <w:szCs w:val="18"/>
                                      <w:lang w:eastAsia="en-US"/>
                                    </w:rPr>
                                    <w:t>/</w:t>
                                  </w:r>
                                  <w:r>
                                    <w:rPr>
                                      <w:rFonts w:ascii="黑体" w:hAnsi="黑体" w:eastAsia="黑体"/>
                                      <w:w w:val="105"/>
                                      <w:sz w:val="18"/>
                                      <w:szCs w:val="18"/>
                                      <w:lang w:eastAsia="en-US"/>
                                    </w:rPr>
                                    <w:t>m</w:t>
                                  </w:r>
                                  <w:r>
                                    <w:rPr>
                                      <w:rFonts w:ascii="黑体" w:hAnsi="黑体" w:eastAsia="黑体"/>
                                      <w:spacing w:val="-1"/>
                                      <w:w w:val="113"/>
                                      <w:position w:val="10"/>
                                      <w:sz w:val="18"/>
                                      <w:szCs w:val="18"/>
                                      <w:lang w:eastAsia="en-US"/>
                                    </w:rPr>
                                    <w:t>3</w:t>
                                  </w:r>
                                  <w:r>
                                    <w:rPr>
                                      <w:rFonts w:hint="eastAsia" w:ascii="黑体" w:hAnsi="黑体" w:eastAsia="黑体"/>
                                      <w:sz w:val="18"/>
                                      <w:szCs w:val="18"/>
                                      <w:lang w:eastAsia="en-US"/>
                                    </w:rPr>
                                    <w:t>）</w:t>
                                  </w:r>
                                </w:p>
                              </w:tc>
                              <w:tc>
                                <w:tcPr>
                                  <w:tcW w:w="3429" w:type="dxa"/>
                                </w:tcPr>
                                <w:p w14:paraId="45852DFF">
                                  <w:pPr>
                                    <w:pStyle w:val="132"/>
                                    <w:spacing w:before="105"/>
                                    <w:ind w:left="381" w:right="436" w:hanging="381"/>
                                    <w:jc w:val="center"/>
                                    <w:rPr>
                                      <w:rFonts w:ascii="黑体" w:hAnsi="黑体" w:eastAsia="黑体"/>
                                      <w:sz w:val="18"/>
                                      <w:szCs w:val="18"/>
                                      <w:lang w:eastAsia="en-US"/>
                                    </w:rPr>
                                  </w:pPr>
                                  <w:r>
                                    <w:rPr>
                                      <w:rFonts w:ascii="黑体" w:hAnsi="黑体" w:eastAsia="黑体"/>
                                      <w:w w:val="105"/>
                                      <w:sz w:val="18"/>
                                      <w:szCs w:val="18"/>
                                      <w:lang w:eastAsia="en-US"/>
                                    </w:rPr>
                                    <w:t>≤650</w:t>
                                  </w:r>
                                </w:p>
                              </w:tc>
                              <w:tc>
                                <w:tcPr>
                                  <w:tcW w:w="1785" w:type="dxa"/>
                                  <w:vMerge w:val="continue"/>
                                  <w:tcBorders>
                                    <w:top w:val="nil"/>
                                  </w:tcBorders>
                                </w:tcPr>
                                <w:p w14:paraId="0D91DA3A">
                                  <w:pPr>
                                    <w:autoSpaceDE w:val="0"/>
                                    <w:autoSpaceDN w:val="0"/>
                                    <w:rPr>
                                      <w:rFonts w:ascii="黑体" w:hAnsi="黑体"/>
                                      <w:szCs w:val="18"/>
                                      <w:lang w:eastAsia="en-US"/>
                                    </w:rPr>
                                  </w:pPr>
                                </w:p>
                              </w:tc>
                            </w:tr>
                            <w:tr w14:paraId="46B15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660" w:type="dxa"/>
                                </w:tcPr>
                                <w:p w14:paraId="60B24699">
                                  <w:pPr>
                                    <w:pStyle w:val="132"/>
                                    <w:spacing w:before="94"/>
                                    <w:ind w:left="386" w:hanging="386"/>
                                    <w:rPr>
                                      <w:rFonts w:ascii="黑体" w:hAnsi="黑体" w:eastAsia="黑体"/>
                                      <w:sz w:val="18"/>
                                      <w:szCs w:val="18"/>
                                      <w:lang w:eastAsia="en-US"/>
                                    </w:rPr>
                                  </w:pPr>
                                  <w:r>
                                    <w:rPr>
                                      <w:rFonts w:ascii="黑体" w:hAnsi="黑体" w:eastAsia="黑体"/>
                                      <w:w w:val="107"/>
                                      <w:sz w:val="18"/>
                                      <w:szCs w:val="18"/>
                                      <w:lang w:eastAsia="en-US"/>
                                    </w:rPr>
                                    <w:t>3</w:t>
                                  </w:r>
                                </w:p>
                              </w:tc>
                              <w:tc>
                                <w:tcPr>
                                  <w:tcW w:w="2345" w:type="dxa"/>
                                  <w:gridSpan w:val="2"/>
                                </w:tcPr>
                                <w:p w14:paraId="380F360A">
                                  <w:pPr>
                                    <w:pStyle w:val="132"/>
                                    <w:spacing w:before="39"/>
                                    <w:ind w:left="364" w:hanging="364"/>
                                    <w:rPr>
                                      <w:rFonts w:ascii="黑体" w:hAnsi="黑体" w:eastAsia="黑体"/>
                                      <w:sz w:val="18"/>
                                      <w:szCs w:val="18"/>
                                      <w:lang w:eastAsia="zh-CN"/>
                                    </w:rPr>
                                  </w:pPr>
                                  <w:r>
                                    <w:rPr>
                                      <w:rFonts w:hint="eastAsia" w:ascii="黑体" w:hAnsi="黑体" w:eastAsia="黑体"/>
                                      <w:sz w:val="18"/>
                                      <w:szCs w:val="18"/>
                                      <w:lang w:eastAsia="zh-CN"/>
                                    </w:rPr>
                                    <w:t>干燥收缩值（</w:t>
                                  </w:r>
                                  <w:r>
                                    <w:rPr>
                                      <w:rFonts w:ascii="黑体" w:hAnsi="黑体" w:eastAsia="黑体"/>
                                      <w:sz w:val="18"/>
                                      <w:szCs w:val="18"/>
                                      <w:lang w:eastAsia="zh-CN"/>
                                    </w:rPr>
                                    <w:t>mm/m</w:t>
                                  </w:r>
                                  <w:r>
                                    <w:rPr>
                                      <w:rFonts w:hint="eastAsia" w:ascii="黑体" w:hAnsi="黑体" w:eastAsia="黑体"/>
                                      <w:sz w:val="18"/>
                                      <w:szCs w:val="18"/>
                                      <w:lang w:eastAsia="zh-CN"/>
                                    </w:rPr>
                                    <w:t>）</w:t>
                                  </w:r>
                                </w:p>
                              </w:tc>
                              <w:tc>
                                <w:tcPr>
                                  <w:tcW w:w="3429" w:type="dxa"/>
                                </w:tcPr>
                                <w:p w14:paraId="00F27364">
                                  <w:pPr>
                                    <w:pStyle w:val="132"/>
                                    <w:spacing w:before="94"/>
                                    <w:ind w:left="364" w:right="92" w:hanging="364"/>
                                    <w:jc w:val="center"/>
                                    <w:rPr>
                                      <w:rFonts w:ascii="黑体" w:hAnsi="黑体" w:eastAsia="黑体"/>
                                      <w:sz w:val="18"/>
                                      <w:szCs w:val="18"/>
                                      <w:lang w:eastAsia="en-US"/>
                                    </w:rPr>
                                  </w:pPr>
                                  <w:r>
                                    <w:rPr>
                                      <w:rFonts w:ascii="黑体" w:hAnsi="黑体" w:eastAsia="黑体"/>
                                      <w:sz w:val="18"/>
                                      <w:szCs w:val="18"/>
                                      <w:lang w:eastAsia="en-US"/>
                                    </w:rPr>
                                    <w:t>≤0.50</w:t>
                                  </w:r>
                                </w:p>
                              </w:tc>
                              <w:tc>
                                <w:tcPr>
                                  <w:tcW w:w="1785" w:type="dxa"/>
                                  <w:vMerge w:val="continue"/>
                                  <w:tcBorders>
                                    <w:top w:val="nil"/>
                                  </w:tcBorders>
                                </w:tcPr>
                                <w:p w14:paraId="4D8036AE">
                                  <w:pPr>
                                    <w:autoSpaceDE w:val="0"/>
                                    <w:autoSpaceDN w:val="0"/>
                                    <w:rPr>
                                      <w:rFonts w:ascii="黑体" w:hAnsi="黑体"/>
                                      <w:szCs w:val="18"/>
                                      <w:lang w:eastAsia="en-US"/>
                                    </w:rPr>
                                  </w:pPr>
                                </w:p>
                              </w:tc>
                            </w:tr>
                            <w:tr w14:paraId="7BF1A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0" w:type="dxa"/>
                                  <w:vMerge w:val="restart"/>
                                </w:tcPr>
                                <w:p w14:paraId="4D5B633B">
                                  <w:pPr>
                                    <w:pStyle w:val="132"/>
                                    <w:spacing w:before="7"/>
                                    <w:ind w:left="364" w:hanging="364"/>
                                    <w:rPr>
                                      <w:rFonts w:ascii="黑体" w:hAnsi="黑体" w:eastAsia="黑体"/>
                                      <w:sz w:val="18"/>
                                      <w:szCs w:val="18"/>
                                      <w:lang w:eastAsia="en-US"/>
                                    </w:rPr>
                                  </w:pPr>
                                </w:p>
                                <w:p w14:paraId="17BB82E5">
                                  <w:pPr>
                                    <w:pStyle w:val="132"/>
                                    <w:ind w:left="386" w:hanging="386"/>
                                    <w:jc w:val="center"/>
                                    <w:rPr>
                                      <w:rFonts w:ascii="黑体" w:hAnsi="黑体" w:eastAsia="黑体"/>
                                      <w:sz w:val="18"/>
                                      <w:szCs w:val="18"/>
                                      <w:lang w:eastAsia="en-US"/>
                                    </w:rPr>
                                  </w:pPr>
                                  <w:r>
                                    <w:rPr>
                                      <w:rFonts w:ascii="黑体" w:hAnsi="黑体" w:eastAsia="黑体"/>
                                      <w:w w:val="107"/>
                                      <w:sz w:val="18"/>
                                      <w:szCs w:val="18"/>
                                      <w:lang w:eastAsia="en-US"/>
                                    </w:rPr>
                                    <w:t>4</w:t>
                                  </w:r>
                                </w:p>
                              </w:tc>
                              <w:tc>
                                <w:tcPr>
                                  <w:tcW w:w="1110" w:type="dxa"/>
                                  <w:vMerge w:val="restart"/>
                                </w:tcPr>
                                <w:p w14:paraId="563B74A0">
                                  <w:pPr>
                                    <w:pStyle w:val="132"/>
                                    <w:spacing w:before="4"/>
                                    <w:ind w:left="364" w:hanging="364"/>
                                    <w:rPr>
                                      <w:rFonts w:ascii="黑体" w:hAnsi="黑体" w:eastAsia="黑体"/>
                                      <w:sz w:val="18"/>
                                      <w:szCs w:val="18"/>
                                      <w:lang w:eastAsia="en-US"/>
                                    </w:rPr>
                                  </w:pPr>
                                </w:p>
                                <w:p w14:paraId="39A52E45">
                                  <w:pPr>
                                    <w:pStyle w:val="132"/>
                                    <w:ind w:left="364" w:hanging="364"/>
                                    <w:rPr>
                                      <w:rFonts w:ascii="黑体" w:hAnsi="黑体" w:eastAsia="黑体"/>
                                      <w:sz w:val="18"/>
                                      <w:szCs w:val="18"/>
                                      <w:lang w:eastAsia="en-US"/>
                                    </w:rPr>
                                  </w:pPr>
                                  <w:r>
                                    <w:rPr>
                                      <w:rFonts w:hint="eastAsia" w:ascii="黑体" w:hAnsi="黑体" w:eastAsia="黑体"/>
                                      <w:sz w:val="18"/>
                                      <w:szCs w:val="18"/>
                                      <w:lang w:eastAsia="en-US"/>
                                    </w:rPr>
                                    <w:t>抗冻性</w:t>
                                  </w:r>
                                </w:p>
                              </w:tc>
                              <w:tc>
                                <w:tcPr>
                                  <w:tcW w:w="1235" w:type="dxa"/>
                                </w:tcPr>
                                <w:p w14:paraId="6D30C667">
                                  <w:pPr>
                                    <w:pStyle w:val="132"/>
                                    <w:spacing w:line="318" w:lineRule="exact"/>
                                    <w:ind w:left="364" w:hanging="364"/>
                                    <w:rPr>
                                      <w:rFonts w:ascii="黑体" w:hAnsi="黑体" w:eastAsia="黑体"/>
                                      <w:sz w:val="18"/>
                                      <w:szCs w:val="18"/>
                                      <w:lang w:eastAsia="en-US"/>
                                    </w:rPr>
                                  </w:pPr>
                                  <w:r>
                                    <w:rPr>
                                      <w:rFonts w:hint="eastAsia" w:ascii="黑体" w:hAnsi="黑体" w:eastAsia="黑体"/>
                                      <w:sz w:val="18"/>
                                      <w:szCs w:val="18"/>
                                      <w:lang w:eastAsia="en-US"/>
                                    </w:rPr>
                                    <w:t>质量损失</w:t>
                                  </w:r>
                                  <w:r>
                                    <w:rPr>
                                      <w:rFonts w:hint="eastAsia" w:ascii="黑体" w:hAnsi="黑体" w:eastAsia="黑体"/>
                                      <w:w w:val="105"/>
                                      <w:sz w:val="18"/>
                                      <w:szCs w:val="18"/>
                                      <w:lang w:eastAsia="en-US"/>
                                    </w:rPr>
                                    <w:t>（</w:t>
                                  </w:r>
                                  <w:r>
                                    <w:rPr>
                                      <w:rFonts w:ascii="黑体" w:hAnsi="黑体" w:eastAsia="黑体"/>
                                      <w:w w:val="105"/>
                                      <w:sz w:val="18"/>
                                      <w:szCs w:val="18"/>
                                      <w:lang w:eastAsia="en-US"/>
                                    </w:rPr>
                                    <w:t>%</w:t>
                                  </w:r>
                                  <w:r>
                                    <w:rPr>
                                      <w:rFonts w:hint="eastAsia" w:ascii="黑体" w:hAnsi="黑体" w:eastAsia="黑体"/>
                                      <w:w w:val="105"/>
                                      <w:sz w:val="18"/>
                                      <w:szCs w:val="18"/>
                                      <w:lang w:eastAsia="en-US"/>
                                    </w:rPr>
                                    <w:t>）</w:t>
                                  </w:r>
                                </w:p>
                              </w:tc>
                              <w:tc>
                                <w:tcPr>
                                  <w:tcW w:w="3429" w:type="dxa"/>
                                </w:tcPr>
                                <w:p w14:paraId="599FF90A">
                                  <w:pPr>
                                    <w:pStyle w:val="132"/>
                                    <w:spacing w:before="190"/>
                                    <w:ind w:left="364" w:right="92" w:hanging="364"/>
                                    <w:jc w:val="center"/>
                                    <w:rPr>
                                      <w:rFonts w:ascii="黑体" w:hAnsi="黑体" w:eastAsia="黑体"/>
                                      <w:sz w:val="18"/>
                                      <w:szCs w:val="18"/>
                                      <w:lang w:eastAsia="en-US"/>
                                    </w:rPr>
                                  </w:pPr>
                                  <w:r>
                                    <w:rPr>
                                      <w:rFonts w:ascii="黑体" w:hAnsi="黑体" w:eastAsia="黑体"/>
                                      <w:sz w:val="18"/>
                                      <w:szCs w:val="18"/>
                                      <w:lang w:eastAsia="en-US"/>
                                    </w:rPr>
                                    <w:t>≤5.0</w:t>
                                  </w:r>
                                </w:p>
                              </w:tc>
                              <w:tc>
                                <w:tcPr>
                                  <w:tcW w:w="1785" w:type="dxa"/>
                                  <w:vMerge w:val="continue"/>
                                  <w:tcBorders>
                                    <w:top w:val="nil"/>
                                  </w:tcBorders>
                                </w:tcPr>
                                <w:p w14:paraId="50E54A61">
                                  <w:pPr>
                                    <w:autoSpaceDE w:val="0"/>
                                    <w:autoSpaceDN w:val="0"/>
                                    <w:rPr>
                                      <w:rFonts w:ascii="黑体" w:hAnsi="黑体"/>
                                      <w:szCs w:val="18"/>
                                      <w:lang w:eastAsia="en-US"/>
                                    </w:rPr>
                                  </w:pPr>
                                </w:p>
                              </w:tc>
                            </w:tr>
                            <w:tr w14:paraId="79A67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0" w:type="dxa"/>
                                  <w:vMerge w:val="continue"/>
                                  <w:tcBorders>
                                    <w:top w:val="nil"/>
                                  </w:tcBorders>
                                </w:tcPr>
                                <w:p w14:paraId="2E7EAEEB">
                                  <w:pPr>
                                    <w:autoSpaceDE w:val="0"/>
                                    <w:autoSpaceDN w:val="0"/>
                                    <w:rPr>
                                      <w:rFonts w:ascii="黑体" w:hAnsi="黑体"/>
                                      <w:szCs w:val="18"/>
                                      <w:lang w:eastAsia="en-US"/>
                                    </w:rPr>
                                  </w:pPr>
                                </w:p>
                              </w:tc>
                              <w:tc>
                                <w:tcPr>
                                  <w:tcW w:w="1110" w:type="dxa"/>
                                  <w:vMerge w:val="continue"/>
                                  <w:tcBorders>
                                    <w:top w:val="nil"/>
                                  </w:tcBorders>
                                </w:tcPr>
                                <w:p w14:paraId="4CEE9863">
                                  <w:pPr>
                                    <w:autoSpaceDE w:val="0"/>
                                    <w:autoSpaceDN w:val="0"/>
                                    <w:rPr>
                                      <w:rFonts w:ascii="黑体" w:hAnsi="黑体"/>
                                      <w:szCs w:val="18"/>
                                      <w:lang w:eastAsia="en-US"/>
                                    </w:rPr>
                                  </w:pPr>
                                </w:p>
                              </w:tc>
                              <w:tc>
                                <w:tcPr>
                                  <w:tcW w:w="1235" w:type="dxa"/>
                                </w:tcPr>
                                <w:p w14:paraId="2A702BA5">
                                  <w:pPr>
                                    <w:pStyle w:val="132"/>
                                    <w:spacing w:line="318" w:lineRule="exact"/>
                                    <w:ind w:left="364" w:hanging="364"/>
                                    <w:rPr>
                                      <w:rFonts w:ascii="黑体" w:hAnsi="黑体" w:eastAsia="黑体"/>
                                      <w:sz w:val="18"/>
                                      <w:szCs w:val="18"/>
                                      <w:lang w:eastAsia="en-US"/>
                                    </w:rPr>
                                  </w:pPr>
                                  <w:r>
                                    <w:rPr>
                                      <w:rFonts w:hint="eastAsia" w:ascii="黑体" w:hAnsi="黑体" w:eastAsia="黑体"/>
                                      <w:sz w:val="18"/>
                                      <w:szCs w:val="18"/>
                                      <w:lang w:eastAsia="en-US"/>
                                    </w:rPr>
                                    <w:t>强度损失</w:t>
                                  </w:r>
                                  <w:r>
                                    <w:rPr>
                                      <w:rFonts w:hint="eastAsia" w:ascii="黑体" w:hAnsi="黑体" w:eastAsia="黑体"/>
                                      <w:w w:val="105"/>
                                      <w:sz w:val="18"/>
                                      <w:szCs w:val="18"/>
                                      <w:lang w:eastAsia="en-US"/>
                                    </w:rPr>
                                    <w:t>（</w:t>
                                  </w:r>
                                  <w:r>
                                    <w:rPr>
                                      <w:rFonts w:ascii="黑体" w:hAnsi="黑体" w:eastAsia="黑体"/>
                                      <w:w w:val="105"/>
                                      <w:sz w:val="18"/>
                                      <w:szCs w:val="18"/>
                                      <w:lang w:eastAsia="en-US"/>
                                    </w:rPr>
                                    <w:t>%</w:t>
                                  </w:r>
                                  <w:r>
                                    <w:rPr>
                                      <w:rFonts w:hint="eastAsia" w:ascii="黑体" w:hAnsi="黑体" w:eastAsia="黑体"/>
                                      <w:w w:val="105"/>
                                      <w:sz w:val="18"/>
                                      <w:szCs w:val="18"/>
                                      <w:lang w:eastAsia="en-US"/>
                                    </w:rPr>
                                    <w:t>）</w:t>
                                  </w:r>
                                </w:p>
                              </w:tc>
                              <w:tc>
                                <w:tcPr>
                                  <w:tcW w:w="3429" w:type="dxa"/>
                                </w:tcPr>
                                <w:p w14:paraId="0AF5BFE4">
                                  <w:pPr>
                                    <w:pStyle w:val="132"/>
                                    <w:spacing w:before="190"/>
                                    <w:ind w:left="398" w:right="92" w:hanging="398"/>
                                    <w:jc w:val="center"/>
                                    <w:rPr>
                                      <w:rFonts w:ascii="黑体" w:hAnsi="黑体" w:eastAsia="黑体"/>
                                      <w:sz w:val="18"/>
                                      <w:szCs w:val="18"/>
                                      <w:lang w:eastAsia="en-US"/>
                                    </w:rPr>
                                  </w:pPr>
                                  <w:r>
                                    <w:rPr>
                                      <w:rFonts w:ascii="黑体" w:hAnsi="黑体" w:eastAsia="黑体"/>
                                      <w:w w:val="110"/>
                                      <w:sz w:val="18"/>
                                      <w:szCs w:val="18"/>
                                      <w:lang w:eastAsia="en-US"/>
                                    </w:rPr>
                                    <w:t>≤20%</w:t>
                                  </w:r>
                                </w:p>
                              </w:tc>
                              <w:tc>
                                <w:tcPr>
                                  <w:tcW w:w="1785" w:type="dxa"/>
                                  <w:vMerge w:val="continue"/>
                                  <w:tcBorders>
                                    <w:top w:val="nil"/>
                                  </w:tcBorders>
                                </w:tcPr>
                                <w:p w14:paraId="134F897B">
                                  <w:pPr>
                                    <w:autoSpaceDE w:val="0"/>
                                    <w:autoSpaceDN w:val="0"/>
                                    <w:rPr>
                                      <w:rFonts w:ascii="黑体" w:hAnsi="黑体"/>
                                      <w:szCs w:val="18"/>
                                      <w:lang w:eastAsia="en-US"/>
                                    </w:rPr>
                                  </w:pPr>
                                </w:p>
                              </w:tc>
                            </w:tr>
                            <w:tr w14:paraId="178AD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28F6D4B0">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5</w:t>
                                  </w:r>
                                </w:p>
                              </w:tc>
                              <w:tc>
                                <w:tcPr>
                                  <w:tcW w:w="2345" w:type="dxa"/>
                                  <w:gridSpan w:val="2"/>
                                </w:tcPr>
                                <w:p w14:paraId="6B998A63">
                                  <w:pPr>
                                    <w:pStyle w:val="132"/>
                                    <w:spacing w:before="50"/>
                                    <w:ind w:left="344" w:hanging="344"/>
                                    <w:rPr>
                                      <w:rFonts w:ascii="黑体" w:hAnsi="黑体" w:eastAsia="黑体"/>
                                      <w:sz w:val="18"/>
                                      <w:szCs w:val="18"/>
                                      <w:lang w:eastAsia="en-US"/>
                                    </w:rPr>
                                  </w:pPr>
                                  <w:r>
                                    <w:rPr>
                                      <w:rFonts w:hint="eastAsia" w:ascii="黑体" w:hAnsi="黑体" w:eastAsia="黑体"/>
                                      <w:w w:val="95"/>
                                      <w:sz w:val="18"/>
                                      <w:szCs w:val="18"/>
                                      <w:lang w:eastAsia="en-US"/>
                                    </w:rPr>
                                    <w:t>导热系数（</w:t>
                                  </w:r>
                                  <w:r>
                                    <w:rPr>
                                      <w:rFonts w:ascii="黑体" w:hAnsi="黑体" w:eastAsia="黑体"/>
                                      <w:w w:val="95"/>
                                      <w:sz w:val="18"/>
                                      <w:szCs w:val="18"/>
                                      <w:lang w:eastAsia="en-US"/>
                                    </w:rPr>
                                    <w:t>w/(mK)</w:t>
                                  </w:r>
                                  <w:r>
                                    <w:rPr>
                                      <w:rFonts w:hint="eastAsia" w:ascii="黑体" w:hAnsi="黑体" w:eastAsia="黑体"/>
                                      <w:w w:val="95"/>
                                      <w:sz w:val="18"/>
                                      <w:szCs w:val="18"/>
                                      <w:lang w:eastAsia="en-US"/>
                                    </w:rPr>
                                    <w:t>）</w:t>
                                  </w:r>
                                </w:p>
                              </w:tc>
                              <w:tc>
                                <w:tcPr>
                                  <w:tcW w:w="3429" w:type="dxa"/>
                                </w:tcPr>
                                <w:p w14:paraId="1212A3C2">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≤0.16</w:t>
                                  </w:r>
                                </w:p>
                              </w:tc>
                              <w:tc>
                                <w:tcPr>
                                  <w:tcW w:w="1785" w:type="dxa"/>
                                  <w:vMerge w:val="continue"/>
                                  <w:tcBorders>
                                    <w:top w:val="nil"/>
                                  </w:tcBorders>
                                </w:tcPr>
                                <w:p w14:paraId="7D800345">
                                  <w:pPr>
                                    <w:autoSpaceDE w:val="0"/>
                                    <w:autoSpaceDN w:val="0"/>
                                    <w:rPr>
                                      <w:rFonts w:ascii="黑体" w:hAnsi="黑体"/>
                                      <w:szCs w:val="18"/>
                                      <w:lang w:eastAsia="en-US"/>
                                    </w:rPr>
                                  </w:pPr>
                                </w:p>
                              </w:tc>
                            </w:tr>
                            <w:tr w14:paraId="1AD0E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32347AFA">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7</w:t>
                                  </w:r>
                                </w:p>
                              </w:tc>
                              <w:tc>
                                <w:tcPr>
                                  <w:tcW w:w="2345" w:type="dxa"/>
                                  <w:gridSpan w:val="2"/>
                                </w:tcPr>
                                <w:p w14:paraId="42BF461B">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软化系数（</w:t>
                                  </w:r>
                                  <w:r>
                                    <w:rPr>
                                      <w:rFonts w:ascii="黑体" w:hAnsi="黑体" w:eastAsia="黑体"/>
                                      <w:sz w:val="18"/>
                                      <w:szCs w:val="18"/>
                                      <w:lang w:eastAsia="en-US"/>
                                    </w:rPr>
                                    <w:t>%</w:t>
                                  </w:r>
                                  <w:r>
                                    <w:rPr>
                                      <w:rFonts w:hint="eastAsia" w:ascii="黑体" w:hAnsi="黑体" w:eastAsia="黑体"/>
                                      <w:sz w:val="18"/>
                                      <w:szCs w:val="18"/>
                                      <w:lang w:eastAsia="en-US"/>
                                    </w:rPr>
                                    <w:t>）</w:t>
                                  </w:r>
                                </w:p>
                              </w:tc>
                              <w:tc>
                                <w:tcPr>
                                  <w:tcW w:w="3429" w:type="dxa"/>
                                </w:tcPr>
                                <w:p w14:paraId="46A23D7F">
                                  <w:pPr>
                                    <w:pStyle w:val="132"/>
                                    <w:spacing w:before="105"/>
                                    <w:ind w:left="364" w:right="92" w:hanging="364"/>
                                    <w:jc w:val="center"/>
                                    <w:rPr>
                                      <w:rFonts w:ascii="黑体" w:hAnsi="黑体" w:eastAsia="黑体"/>
                                      <w:sz w:val="18"/>
                                      <w:szCs w:val="18"/>
                                      <w:lang w:eastAsia="en-US"/>
                                    </w:rPr>
                                  </w:pPr>
                                  <w:r>
                                    <w:rPr>
                                      <w:rFonts w:ascii="黑体" w:hAnsi="黑体" w:eastAsia="黑体"/>
                                      <w:sz w:val="18"/>
                                      <w:szCs w:val="18"/>
                                      <w:lang w:eastAsia="en-US"/>
                                    </w:rPr>
                                    <w:t>≥0.80</w:t>
                                  </w:r>
                                </w:p>
                              </w:tc>
                              <w:tc>
                                <w:tcPr>
                                  <w:tcW w:w="1785" w:type="dxa"/>
                                  <w:vMerge w:val="restart"/>
                                </w:tcPr>
                                <w:p w14:paraId="02CFAE36">
                                  <w:pPr>
                                    <w:pStyle w:val="132"/>
                                    <w:spacing w:before="15"/>
                                    <w:ind w:left="364" w:hanging="364"/>
                                    <w:rPr>
                                      <w:rFonts w:ascii="黑体" w:hAnsi="黑体" w:eastAsia="黑体"/>
                                      <w:sz w:val="18"/>
                                      <w:szCs w:val="18"/>
                                      <w:lang w:eastAsia="en-US"/>
                                    </w:rPr>
                                  </w:pPr>
                                </w:p>
                                <w:p w14:paraId="3B7AA121">
                                  <w:pPr>
                                    <w:pStyle w:val="132"/>
                                    <w:spacing w:line="307" w:lineRule="auto"/>
                                    <w:ind w:left="364" w:right="289" w:hanging="36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1"/>
                                      <w:sz w:val="18"/>
                                      <w:szCs w:val="18"/>
                                      <w:lang w:eastAsia="en-US"/>
                                    </w:rPr>
                                    <w:t xml:space="preserve"> </w:t>
                                  </w:r>
                                  <w:r>
                                    <w:rPr>
                                      <w:rFonts w:ascii="黑体" w:hAnsi="黑体" w:eastAsia="黑体"/>
                                      <w:sz w:val="18"/>
                                      <w:szCs w:val="18"/>
                                      <w:lang w:eastAsia="en-US"/>
                                    </w:rPr>
                                    <w:t>23451-2009</w:t>
                                  </w:r>
                                </w:p>
                              </w:tc>
                            </w:tr>
                            <w:tr w14:paraId="4C0B2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0" w:type="dxa"/>
                                </w:tcPr>
                                <w:p w14:paraId="31433C17">
                                  <w:pPr>
                                    <w:pStyle w:val="132"/>
                                    <w:spacing w:before="190"/>
                                    <w:ind w:left="386" w:hanging="386"/>
                                    <w:rPr>
                                      <w:rFonts w:ascii="黑体" w:hAnsi="黑体" w:eastAsia="黑体"/>
                                      <w:sz w:val="18"/>
                                      <w:szCs w:val="18"/>
                                      <w:lang w:eastAsia="en-US"/>
                                    </w:rPr>
                                  </w:pPr>
                                  <w:r>
                                    <w:rPr>
                                      <w:rFonts w:ascii="黑体" w:hAnsi="黑体" w:eastAsia="黑体"/>
                                      <w:w w:val="107"/>
                                      <w:sz w:val="18"/>
                                      <w:szCs w:val="18"/>
                                      <w:lang w:eastAsia="en-US"/>
                                    </w:rPr>
                                    <w:t>8</w:t>
                                  </w:r>
                                </w:p>
                              </w:tc>
                              <w:tc>
                                <w:tcPr>
                                  <w:tcW w:w="2345" w:type="dxa"/>
                                  <w:gridSpan w:val="2"/>
                                </w:tcPr>
                                <w:p w14:paraId="4B687A18">
                                  <w:pPr>
                                    <w:pStyle w:val="132"/>
                                    <w:spacing w:before="135"/>
                                    <w:ind w:left="364" w:right="941" w:hanging="364"/>
                                    <w:jc w:val="center"/>
                                    <w:rPr>
                                      <w:rFonts w:ascii="黑体" w:hAnsi="黑体" w:eastAsia="黑体"/>
                                      <w:sz w:val="18"/>
                                      <w:szCs w:val="18"/>
                                      <w:lang w:eastAsia="en-US"/>
                                    </w:rPr>
                                  </w:pPr>
                                  <w:r>
                                    <w:rPr>
                                      <w:rFonts w:hint="eastAsia" w:ascii="黑体" w:hAnsi="黑体" w:eastAsia="黑体"/>
                                      <w:sz w:val="18"/>
                                      <w:szCs w:val="18"/>
                                      <w:lang w:eastAsia="en-US"/>
                                    </w:rPr>
                                    <w:t>抗冲击性</w:t>
                                  </w:r>
                                </w:p>
                              </w:tc>
                              <w:tc>
                                <w:tcPr>
                                  <w:tcW w:w="3429" w:type="dxa"/>
                                </w:tcPr>
                                <w:p w14:paraId="3E251506">
                                  <w:pPr>
                                    <w:pStyle w:val="132"/>
                                    <w:spacing w:line="318" w:lineRule="exact"/>
                                    <w:ind w:left="364" w:right="93" w:hanging="364"/>
                                    <w:jc w:val="center"/>
                                    <w:rPr>
                                      <w:rFonts w:ascii="黑体" w:hAnsi="黑体" w:eastAsia="黑体"/>
                                      <w:sz w:val="18"/>
                                      <w:szCs w:val="18"/>
                                      <w:lang w:eastAsia="zh-CN"/>
                                    </w:rPr>
                                  </w:pPr>
                                  <w:r>
                                    <w:rPr>
                                      <w:rFonts w:hint="eastAsia" w:ascii="黑体" w:hAnsi="黑体" w:eastAsia="黑体"/>
                                      <w:sz w:val="18"/>
                                      <w:szCs w:val="18"/>
                                      <w:lang w:eastAsia="zh-CN"/>
                                    </w:rPr>
                                    <w:t>经过</w:t>
                                  </w:r>
                                  <w:r>
                                    <w:rPr>
                                      <w:rFonts w:ascii="黑体" w:hAnsi="黑体" w:eastAsia="黑体"/>
                                      <w:sz w:val="18"/>
                                      <w:szCs w:val="18"/>
                                      <w:lang w:eastAsia="zh-CN"/>
                                    </w:rPr>
                                    <w:t xml:space="preserve"> 10</w:t>
                                  </w:r>
                                  <w:r>
                                    <w:rPr>
                                      <w:rFonts w:ascii="黑体" w:hAnsi="黑体" w:eastAsia="黑体"/>
                                      <w:spacing w:val="-5"/>
                                      <w:sz w:val="18"/>
                                      <w:szCs w:val="18"/>
                                      <w:lang w:eastAsia="zh-CN"/>
                                    </w:rPr>
                                    <w:t xml:space="preserve"> </w:t>
                                  </w:r>
                                  <w:r>
                                    <w:rPr>
                                      <w:rFonts w:hint="eastAsia" w:ascii="黑体" w:hAnsi="黑体" w:eastAsia="黑体"/>
                                      <w:sz w:val="18"/>
                                      <w:szCs w:val="18"/>
                                      <w:lang w:eastAsia="zh-CN"/>
                                    </w:rPr>
                                    <w:t>次抗冲击试验后，板面无开裂</w:t>
                                  </w:r>
                                </w:p>
                              </w:tc>
                              <w:tc>
                                <w:tcPr>
                                  <w:tcW w:w="1785" w:type="dxa"/>
                                  <w:vMerge w:val="continue"/>
                                  <w:tcBorders>
                                    <w:top w:val="nil"/>
                                  </w:tcBorders>
                                </w:tcPr>
                                <w:p w14:paraId="36941382">
                                  <w:pPr>
                                    <w:autoSpaceDE w:val="0"/>
                                    <w:autoSpaceDN w:val="0"/>
                                    <w:rPr>
                                      <w:rFonts w:ascii="黑体" w:hAnsi="黑体"/>
                                      <w:szCs w:val="18"/>
                                      <w:lang w:eastAsia="zh-CN"/>
                                    </w:rPr>
                                  </w:pPr>
                                </w:p>
                              </w:tc>
                            </w:tr>
                            <w:tr w14:paraId="539A3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5DF67C53">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9</w:t>
                                  </w:r>
                                </w:p>
                              </w:tc>
                              <w:tc>
                                <w:tcPr>
                                  <w:tcW w:w="2345" w:type="dxa"/>
                                  <w:gridSpan w:val="2"/>
                                </w:tcPr>
                                <w:p w14:paraId="39C80EF4">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单点吊挂力（</w:t>
                                  </w:r>
                                  <w:r>
                                    <w:rPr>
                                      <w:rFonts w:ascii="黑体" w:hAnsi="黑体" w:eastAsia="黑体"/>
                                      <w:sz w:val="18"/>
                                      <w:szCs w:val="18"/>
                                      <w:lang w:eastAsia="en-US"/>
                                    </w:rPr>
                                    <w:t>N</w:t>
                                  </w:r>
                                  <w:r>
                                    <w:rPr>
                                      <w:rFonts w:hint="eastAsia" w:ascii="黑体" w:hAnsi="黑体" w:eastAsia="黑体"/>
                                      <w:sz w:val="18"/>
                                      <w:szCs w:val="18"/>
                                      <w:lang w:eastAsia="en-US"/>
                                    </w:rPr>
                                    <w:t>）</w:t>
                                  </w:r>
                                </w:p>
                              </w:tc>
                              <w:tc>
                                <w:tcPr>
                                  <w:tcW w:w="3429" w:type="dxa"/>
                                </w:tcPr>
                                <w:p w14:paraId="71FA252F">
                                  <w:pPr>
                                    <w:pStyle w:val="132"/>
                                    <w:spacing w:before="105"/>
                                    <w:ind w:left="381" w:right="92" w:hanging="381"/>
                                    <w:jc w:val="center"/>
                                    <w:rPr>
                                      <w:rFonts w:ascii="黑体" w:hAnsi="黑体" w:eastAsia="黑体"/>
                                      <w:sz w:val="18"/>
                                      <w:szCs w:val="18"/>
                                      <w:lang w:eastAsia="en-US"/>
                                    </w:rPr>
                                  </w:pPr>
                                  <w:r>
                                    <w:rPr>
                                      <w:rFonts w:ascii="黑体" w:hAnsi="黑体" w:eastAsia="黑体"/>
                                      <w:w w:val="105"/>
                                      <w:sz w:val="18"/>
                                      <w:szCs w:val="18"/>
                                      <w:lang w:eastAsia="en-US"/>
                                    </w:rPr>
                                    <w:t>≥1000</w:t>
                                  </w:r>
                                </w:p>
                              </w:tc>
                              <w:tc>
                                <w:tcPr>
                                  <w:tcW w:w="1785" w:type="dxa"/>
                                  <w:vMerge w:val="continue"/>
                                  <w:tcBorders>
                                    <w:top w:val="nil"/>
                                  </w:tcBorders>
                                </w:tcPr>
                                <w:p w14:paraId="4AB22EBE">
                                  <w:pPr>
                                    <w:autoSpaceDE w:val="0"/>
                                    <w:autoSpaceDN w:val="0"/>
                                    <w:rPr>
                                      <w:rFonts w:ascii="黑体" w:hAnsi="黑体"/>
                                      <w:szCs w:val="18"/>
                                      <w:lang w:eastAsia="en-US"/>
                                    </w:rPr>
                                  </w:pPr>
                                </w:p>
                              </w:tc>
                            </w:tr>
                            <w:tr w14:paraId="3F93B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6A3CC07E">
                                  <w:pPr>
                                    <w:pStyle w:val="132"/>
                                    <w:spacing w:before="105"/>
                                    <w:ind w:left="381" w:hanging="381"/>
                                    <w:rPr>
                                      <w:rFonts w:ascii="黑体" w:hAnsi="黑体" w:eastAsia="黑体"/>
                                      <w:sz w:val="18"/>
                                      <w:szCs w:val="18"/>
                                      <w:lang w:eastAsia="en-US"/>
                                    </w:rPr>
                                  </w:pPr>
                                  <w:r>
                                    <w:rPr>
                                      <w:rFonts w:ascii="黑体" w:hAnsi="黑体" w:eastAsia="黑体"/>
                                      <w:w w:val="105"/>
                                      <w:sz w:val="18"/>
                                      <w:szCs w:val="18"/>
                                      <w:lang w:eastAsia="en-US"/>
                                    </w:rPr>
                                    <w:t>10</w:t>
                                  </w:r>
                                </w:p>
                              </w:tc>
                              <w:tc>
                                <w:tcPr>
                                  <w:tcW w:w="2345" w:type="dxa"/>
                                  <w:gridSpan w:val="2"/>
                                </w:tcPr>
                                <w:p w14:paraId="361A9F9D">
                                  <w:pPr>
                                    <w:pStyle w:val="132"/>
                                    <w:spacing w:before="50"/>
                                    <w:ind w:left="364" w:hanging="364"/>
                                    <w:rPr>
                                      <w:rFonts w:ascii="黑体" w:hAnsi="黑体" w:eastAsia="黑体"/>
                                      <w:sz w:val="18"/>
                                      <w:szCs w:val="18"/>
                                      <w:lang w:eastAsia="zh-CN"/>
                                    </w:rPr>
                                  </w:pPr>
                                  <w:r>
                                    <w:rPr>
                                      <w:rFonts w:hint="eastAsia" w:ascii="黑体" w:hAnsi="黑体" w:eastAsia="黑体"/>
                                      <w:sz w:val="18"/>
                                      <w:szCs w:val="18"/>
                                      <w:lang w:eastAsia="zh-CN"/>
                                    </w:rPr>
                                    <w:t>表面拉伸粘结强度（</w:t>
                                  </w:r>
                                  <w:r>
                                    <w:rPr>
                                      <w:rFonts w:ascii="黑体" w:hAnsi="黑体" w:eastAsia="黑体"/>
                                      <w:sz w:val="18"/>
                                      <w:szCs w:val="18"/>
                                      <w:lang w:eastAsia="zh-CN"/>
                                    </w:rPr>
                                    <w:t>MPa</w:t>
                                  </w:r>
                                  <w:r>
                                    <w:rPr>
                                      <w:rFonts w:hint="eastAsia" w:ascii="黑体" w:hAnsi="黑体" w:eastAsia="黑体"/>
                                      <w:sz w:val="18"/>
                                      <w:szCs w:val="18"/>
                                      <w:lang w:eastAsia="zh-CN"/>
                                    </w:rPr>
                                    <w:t>）</w:t>
                                  </w:r>
                                </w:p>
                              </w:tc>
                              <w:tc>
                                <w:tcPr>
                                  <w:tcW w:w="3429" w:type="dxa"/>
                                </w:tcPr>
                                <w:p w14:paraId="5448674D">
                                  <w:pPr>
                                    <w:pStyle w:val="132"/>
                                    <w:spacing w:before="105"/>
                                    <w:ind w:left="364" w:right="92" w:hanging="364"/>
                                    <w:jc w:val="center"/>
                                    <w:rPr>
                                      <w:rFonts w:ascii="黑体" w:hAnsi="黑体" w:eastAsia="黑体"/>
                                      <w:sz w:val="18"/>
                                      <w:szCs w:val="18"/>
                                      <w:lang w:eastAsia="en-US"/>
                                    </w:rPr>
                                  </w:pPr>
                                  <w:r>
                                    <w:rPr>
                                      <w:rFonts w:ascii="黑体" w:hAnsi="黑体" w:eastAsia="黑体"/>
                                      <w:sz w:val="18"/>
                                      <w:szCs w:val="18"/>
                                      <w:lang w:eastAsia="en-US"/>
                                    </w:rPr>
                                    <w:t>≥0.4</w:t>
                                  </w:r>
                                </w:p>
                              </w:tc>
                              <w:tc>
                                <w:tcPr>
                                  <w:tcW w:w="1785" w:type="dxa"/>
                                </w:tcPr>
                                <w:p w14:paraId="15BF689D">
                                  <w:pPr>
                                    <w:pStyle w:val="132"/>
                                    <w:spacing w:before="105"/>
                                    <w:ind w:left="381" w:hanging="381"/>
                                    <w:rPr>
                                      <w:rFonts w:ascii="黑体" w:hAnsi="黑体" w:eastAsia="黑体"/>
                                      <w:sz w:val="18"/>
                                      <w:szCs w:val="18"/>
                                      <w:lang w:eastAsia="en-US"/>
                                    </w:rPr>
                                  </w:pPr>
                                  <w:r>
                                    <w:rPr>
                                      <w:rFonts w:ascii="黑体" w:hAnsi="黑体" w:eastAsia="黑体"/>
                                      <w:w w:val="105"/>
                                      <w:sz w:val="18"/>
                                      <w:szCs w:val="18"/>
                                      <w:lang w:eastAsia="en-US"/>
                                    </w:rPr>
                                    <w:t>JGJ/T220-2010</w:t>
                                  </w:r>
                                </w:p>
                              </w:tc>
                            </w:tr>
                            <w:tr w14:paraId="64F7E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04F31305">
                                  <w:pPr>
                                    <w:pStyle w:val="132"/>
                                    <w:spacing w:before="105"/>
                                    <w:ind w:left="381" w:hanging="381"/>
                                    <w:rPr>
                                      <w:rFonts w:ascii="黑体" w:hAnsi="黑体" w:eastAsia="黑体"/>
                                      <w:sz w:val="18"/>
                                      <w:szCs w:val="18"/>
                                      <w:lang w:eastAsia="en-US"/>
                                    </w:rPr>
                                  </w:pPr>
                                  <w:r>
                                    <w:rPr>
                                      <w:rFonts w:ascii="黑体" w:hAnsi="黑体" w:eastAsia="黑体"/>
                                      <w:w w:val="105"/>
                                      <w:sz w:val="18"/>
                                      <w:szCs w:val="18"/>
                                      <w:lang w:eastAsia="en-US"/>
                                    </w:rPr>
                                    <w:t>11</w:t>
                                  </w:r>
                                </w:p>
                              </w:tc>
                              <w:tc>
                                <w:tcPr>
                                  <w:tcW w:w="2345" w:type="dxa"/>
                                  <w:gridSpan w:val="2"/>
                                </w:tcPr>
                                <w:p w14:paraId="14EE6F7F">
                                  <w:pPr>
                                    <w:pStyle w:val="132"/>
                                    <w:spacing w:before="50"/>
                                    <w:ind w:left="364" w:right="941" w:hanging="364"/>
                                    <w:jc w:val="center"/>
                                    <w:rPr>
                                      <w:rFonts w:ascii="黑体" w:hAnsi="黑体" w:eastAsia="黑体"/>
                                      <w:sz w:val="18"/>
                                      <w:szCs w:val="18"/>
                                      <w:lang w:eastAsia="en-US"/>
                                    </w:rPr>
                                  </w:pPr>
                                  <w:r>
                                    <w:rPr>
                                      <w:rFonts w:hint="eastAsia" w:ascii="黑体" w:hAnsi="黑体" w:eastAsia="黑体"/>
                                      <w:sz w:val="18"/>
                                      <w:szCs w:val="18"/>
                                      <w:lang w:eastAsia="en-US"/>
                                    </w:rPr>
                                    <w:t>放射性</w:t>
                                  </w:r>
                                </w:p>
                              </w:tc>
                              <w:tc>
                                <w:tcPr>
                                  <w:tcW w:w="3429" w:type="dxa"/>
                                </w:tcPr>
                                <w:p w14:paraId="1C4F86F0">
                                  <w:pPr>
                                    <w:pStyle w:val="132"/>
                                    <w:spacing w:before="48"/>
                                    <w:ind w:left="348" w:hanging="348"/>
                                    <w:jc w:val="center"/>
                                    <w:rPr>
                                      <w:rFonts w:ascii="黑体" w:hAnsi="黑体" w:eastAsia="黑体"/>
                                      <w:sz w:val="18"/>
                                      <w:szCs w:val="18"/>
                                      <w:lang w:eastAsia="en-US"/>
                                    </w:rPr>
                                  </w:pPr>
                                  <w:r>
                                    <w:rPr>
                                      <w:rFonts w:ascii="黑体" w:hAnsi="黑体" w:eastAsia="黑体"/>
                                      <w:spacing w:val="-1"/>
                                      <w:w w:val="97"/>
                                      <w:position w:val="1"/>
                                      <w:sz w:val="18"/>
                                      <w:szCs w:val="18"/>
                                      <w:lang w:eastAsia="en-US"/>
                                    </w:rPr>
                                    <w:t>I</w:t>
                                  </w:r>
                                  <w:r>
                                    <w:rPr>
                                      <w:rFonts w:ascii="黑体" w:hAnsi="黑体" w:eastAsia="黑体"/>
                                      <w:spacing w:val="-1"/>
                                      <w:w w:val="112"/>
                                      <w:sz w:val="18"/>
                                      <w:szCs w:val="18"/>
                                      <w:lang w:eastAsia="en-US"/>
                                    </w:rPr>
                                    <w:t>R</w:t>
                                  </w:r>
                                  <w:r>
                                    <w:rPr>
                                      <w:rFonts w:ascii="黑体" w:hAnsi="黑体" w:eastAsia="黑体"/>
                                      <w:spacing w:val="-1"/>
                                      <w:w w:val="109"/>
                                      <w:sz w:val="18"/>
                                      <w:szCs w:val="18"/>
                                      <w:lang w:eastAsia="en-US"/>
                                    </w:rPr>
                                    <w:t>a</w:t>
                                  </w:r>
                                  <w:r>
                                    <w:rPr>
                                      <w:rFonts w:ascii="黑体" w:hAnsi="黑体" w:eastAsia="黑体"/>
                                      <w:w w:val="96"/>
                                      <w:position w:val="1"/>
                                      <w:sz w:val="18"/>
                                      <w:szCs w:val="18"/>
                                      <w:lang w:eastAsia="en-US"/>
                                    </w:rPr>
                                    <w:t>≤</w:t>
                                  </w:r>
                                  <w:r>
                                    <w:rPr>
                                      <w:rFonts w:ascii="黑体" w:hAnsi="黑体" w:eastAsia="黑体"/>
                                      <w:spacing w:val="-1"/>
                                      <w:w w:val="107"/>
                                      <w:position w:val="1"/>
                                      <w:sz w:val="18"/>
                                      <w:szCs w:val="18"/>
                                      <w:lang w:eastAsia="en-US"/>
                                    </w:rPr>
                                    <w:t>1</w:t>
                                  </w:r>
                                  <w:r>
                                    <w:rPr>
                                      <w:rFonts w:ascii="黑体" w:hAnsi="黑体" w:eastAsia="黑体"/>
                                      <w:spacing w:val="-1"/>
                                      <w:w w:val="71"/>
                                      <w:position w:val="1"/>
                                      <w:sz w:val="18"/>
                                      <w:szCs w:val="18"/>
                                      <w:lang w:eastAsia="en-US"/>
                                    </w:rPr>
                                    <w:t>.</w:t>
                                  </w:r>
                                  <w:r>
                                    <w:rPr>
                                      <w:rFonts w:ascii="黑体" w:hAnsi="黑体" w:eastAsia="黑体"/>
                                      <w:spacing w:val="-1"/>
                                      <w:w w:val="107"/>
                                      <w:position w:val="1"/>
                                      <w:sz w:val="18"/>
                                      <w:szCs w:val="18"/>
                                      <w:lang w:eastAsia="en-US"/>
                                    </w:rPr>
                                    <w:t>0</w:t>
                                  </w:r>
                                  <w:r>
                                    <w:rPr>
                                      <w:rFonts w:hint="eastAsia" w:ascii="黑体" w:hAnsi="黑体" w:eastAsia="黑体"/>
                                      <w:position w:val="1"/>
                                      <w:sz w:val="18"/>
                                      <w:szCs w:val="18"/>
                                      <w:lang w:eastAsia="en-US"/>
                                    </w:rPr>
                                    <w:t>，</w:t>
                                  </w:r>
                                  <w:r>
                                    <w:rPr>
                                      <w:rFonts w:ascii="黑体" w:hAnsi="黑体" w:eastAsia="黑体"/>
                                      <w:spacing w:val="-1"/>
                                      <w:w w:val="97"/>
                                      <w:position w:val="1"/>
                                      <w:sz w:val="18"/>
                                      <w:szCs w:val="18"/>
                                      <w:lang w:eastAsia="en-US"/>
                                    </w:rPr>
                                    <w:t>I</w:t>
                                  </w:r>
                                  <w:r>
                                    <w:rPr>
                                      <w:rFonts w:ascii="黑体" w:hAnsi="黑体" w:eastAsia="黑体"/>
                                      <w:spacing w:val="-1"/>
                                      <w:w w:val="86"/>
                                      <w:sz w:val="18"/>
                                      <w:szCs w:val="18"/>
                                      <w:lang w:eastAsia="en-US"/>
                                    </w:rPr>
                                    <w:t>r</w:t>
                                  </w:r>
                                  <w:r>
                                    <w:rPr>
                                      <w:rFonts w:ascii="黑体" w:hAnsi="黑体" w:eastAsia="黑体"/>
                                      <w:w w:val="96"/>
                                      <w:position w:val="1"/>
                                      <w:sz w:val="18"/>
                                      <w:szCs w:val="18"/>
                                      <w:lang w:eastAsia="en-US"/>
                                    </w:rPr>
                                    <w:t>≤</w:t>
                                  </w:r>
                                  <w:r>
                                    <w:rPr>
                                      <w:rFonts w:ascii="黑体" w:hAnsi="黑体" w:eastAsia="黑体"/>
                                      <w:spacing w:val="-1"/>
                                      <w:w w:val="107"/>
                                      <w:position w:val="1"/>
                                      <w:sz w:val="18"/>
                                      <w:szCs w:val="18"/>
                                      <w:lang w:eastAsia="en-US"/>
                                    </w:rPr>
                                    <w:t>1</w:t>
                                  </w:r>
                                  <w:r>
                                    <w:rPr>
                                      <w:rFonts w:ascii="黑体" w:hAnsi="黑体" w:eastAsia="黑体"/>
                                      <w:spacing w:val="-1"/>
                                      <w:w w:val="71"/>
                                      <w:position w:val="1"/>
                                      <w:sz w:val="18"/>
                                      <w:szCs w:val="18"/>
                                      <w:lang w:eastAsia="en-US"/>
                                    </w:rPr>
                                    <w:t>.</w:t>
                                  </w:r>
                                  <w:r>
                                    <w:rPr>
                                      <w:rFonts w:ascii="黑体" w:hAnsi="黑体" w:eastAsia="黑体"/>
                                      <w:w w:val="107"/>
                                      <w:position w:val="1"/>
                                      <w:sz w:val="18"/>
                                      <w:szCs w:val="18"/>
                                      <w:lang w:eastAsia="en-US"/>
                                    </w:rPr>
                                    <w:t>0</w:t>
                                  </w:r>
                                </w:p>
                              </w:tc>
                              <w:tc>
                                <w:tcPr>
                                  <w:tcW w:w="1785" w:type="dxa"/>
                                </w:tcPr>
                                <w:p w14:paraId="59EEB438">
                                  <w:pPr>
                                    <w:pStyle w:val="132"/>
                                    <w:spacing w:before="105"/>
                                    <w:ind w:left="377" w:hanging="377"/>
                                    <w:rPr>
                                      <w:rFonts w:ascii="黑体" w:hAnsi="黑体" w:eastAsia="黑体"/>
                                      <w:sz w:val="18"/>
                                      <w:szCs w:val="18"/>
                                      <w:lang w:eastAsia="en-US"/>
                                    </w:rPr>
                                  </w:pPr>
                                  <w:r>
                                    <w:rPr>
                                      <w:rFonts w:ascii="黑体" w:hAnsi="黑体" w:eastAsia="黑体"/>
                                      <w:spacing w:val="-1"/>
                                      <w:w w:val="105"/>
                                      <w:sz w:val="18"/>
                                      <w:szCs w:val="18"/>
                                      <w:lang w:eastAsia="en-US"/>
                                    </w:rPr>
                                    <w:t>GB</w:t>
                                  </w:r>
                                  <w:r>
                                    <w:rPr>
                                      <w:rFonts w:ascii="黑体" w:hAnsi="黑体" w:eastAsia="黑体"/>
                                      <w:spacing w:val="-16"/>
                                      <w:w w:val="105"/>
                                      <w:sz w:val="18"/>
                                      <w:szCs w:val="18"/>
                                      <w:lang w:eastAsia="en-US"/>
                                    </w:rPr>
                                    <w:t xml:space="preserve"> </w:t>
                                  </w:r>
                                  <w:r>
                                    <w:rPr>
                                      <w:rFonts w:ascii="黑体" w:hAnsi="黑体" w:eastAsia="黑体"/>
                                      <w:spacing w:val="-1"/>
                                      <w:w w:val="105"/>
                                      <w:sz w:val="18"/>
                                      <w:szCs w:val="18"/>
                                      <w:lang w:eastAsia="en-US"/>
                                    </w:rPr>
                                    <w:t>6566-2010</w:t>
                                  </w:r>
                                </w:p>
                              </w:tc>
                            </w:tr>
                          </w:tbl>
                          <w:p w14:paraId="0A89554E">
                            <w:pPr>
                              <w:pStyle w:val="14"/>
                              <w:rPr>
                                <w:rFonts w:ascii="黑体" w:hAnsi="黑体"/>
                                <w:szCs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2.8pt;margin-top:15.5pt;height:282.6pt;width:439.2pt;mso-position-horizontal-relative:page;z-index:251662336;mso-width-relative:page;mso-height-relative:page;" filled="f" stroked="f" coordsize="21600,21600" o:gfxdata="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FTn8nYAAAACwEAAA8AAAAAAAAA&#10;AQAgAAAAIgAAAGRycy9kb3ducmV2LnhtbFBLAQIUABQAAAAIAIdO4kA+bdDxEQIAAAgEAAAOAAAA&#10;AAAAAAEAIAAAACcBAABkcnMvZTJvRG9jLnhtbFBLBQYAAAAABgAGAFkBAACqBQAAAAA=&#10;">
                <v:fill on="f" focussize="0,0"/>
                <v:stroke on="f"/>
                <v:imagedata o:title=""/>
                <o:lock v:ext="edit" aspectratio="f"/>
                <v:textbox inset="0mm,0mm,0mm,0mm">
                  <w:txbxContent>
                    <w:tbl>
                      <w:tblPr>
                        <w:tblStyle w:val="13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0"/>
                        <w:gridCol w:w="1110"/>
                        <w:gridCol w:w="1235"/>
                        <w:gridCol w:w="3429"/>
                        <w:gridCol w:w="1785"/>
                      </w:tblGrid>
                      <w:tr w14:paraId="70F95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restart"/>
                            <w:shd w:val="clear" w:color="auto" w:fill="BDBDBD"/>
                          </w:tcPr>
                          <w:p w14:paraId="488350D1">
                            <w:pPr>
                              <w:pStyle w:val="132"/>
                              <w:spacing w:before="3"/>
                              <w:ind w:left="364" w:hanging="364"/>
                              <w:jc w:val="center"/>
                              <w:rPr>
                                <w:rFonts w:ascii="黑体" w:hAnsi="黑体" w:eastAsia="黑体"/>
                                <w:sz w:val="18"/>
                                <w:szCs w:val="18"/>
                                <w:lang w:eastAsia="en-US"/>
                              </w:rPr>
                            </w:pPr>
                          </w:p>
                          <w:p w14:paraId="0EB0B79F">
                            <w:pPr>
                              <w:pStyle w:val="132"/>
                              <w:ind w:left="364" w:hanging="364"/>
                              <w:jc w:val="center"/>
                              <w:rPr>
                                <w:rFonts w:ascii="黑体" w:hAnsi="黑体" w:eastAsia="黑体"/>
                                <w:sz w:val="18"/>
                                <w:szCs w:val="18"/>
                                <w:lang w:eastAsia="en-US"/>
                              </w:rPr>
                            </w:pPr>
                            <w:r>
                              <w:rPr>
                                <w:rFonts w:hint="eastAsia" w:ascii="黑体" w:hAnsi="黑体" w:eastAsia="黑体"/>
                                <w:sz w:val="18"/>
                                <w:szCs w:val="18"/>
                                <w:lang w:eastAsia="en-US"/>
                              </w:rPr>
                              <w:t>序号</w:t>
                            </w:r>
                          </w:p>
                        </w:tc>
                        <w:tc>
                          <w:tcPr>
                            <w:tcW w:w="2345" w:type="dxa"/>
                            <w:gridSpan w:val="2"/>
                            <w:shd w:val="clear" w:color="auto" w:fill="BDBDBD"/>
                          </w:tcPr>
                          <w:p w14:paraId="62FEB149">
                            <w:pPr>
                              <w:pStyle w:val="132"/>
                              <w:spacing w:before="50"/>
                              <w:ind w:left="364" w:right="941" w:hanging="364"/>
                              <w:rPr>
                                <w:rFonts w:ascii="黑体" w:hAnsi="黑体" w:eastAsia="黑体"/>
                                <w:sz w:val="18"/>
                                <w:szCs w:val="18"/>
                                <w:lang w:eastAsia="en-US"/>
                              </w:rPr>
                            </w:pPr>
                            <w:r>
                              <w:rPr>
                                <w:rFonts w:hint="eastAsia" w:ascii="黑体" w:hAnsi="黑体" w:eastAsia="黑体"/>
                                <w:sz w:val="18"/>
                                <w:szCs w:val="18"/>
                                <w:lang w:eastAsia="en-US"/>
                              </w:rPr>
                              <w:t>强度等级</w:t>
                            </w:r>
                          </w:p>
                        </w:tc>
                        <w:tc>
                          <w:tcPr>
                            <w:tcW w:w="3429" w:type="dxa"/>
                            <w:shd w:val="clear" w:color="auto" w:fill="BDBDBD"/>
                          </w:tcPr>
                          <w:p w14:paraId="0539EA5B">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A5.0</w:t>
                            </w:r>
                          </w:p>
                        </w:tc>
                        <w:tc>
                          <w:tcPr>
                            <w:tcW w:w="1785" w:type="dxa"/>
                            <w:vMerge w:val="restart"/>
                            <w:shd w:val="clear" w:color="auto" w:fill="BDBDBD"/>
                          </w:tcPr>
                          <w:p w14:paraId="04974A0A">
                            <w:pPr>
                              <w:pStyle w:val="132"/>
                              <w:spacing w:before="3"/>
                              <w:ind w:left="364" w:hanging="364"/>
                              <w:jc w:val="center"/>
                              <w:rPr>
                                <w:rFonts w:ascii="黑体" w:hAnsi="黑体" w:eastAsia="黑体"/>
                                <w:sz w:val="18"/>
                                <w:szCs w:val="18"/>
                                <w:lang w:eastAsia="en-US"/>
                              </w:rPr>
                            </w:pPr>
                          </w:p>
                          <w:p w14:paraId="29259A19">
                            <w:pPr>
                              <w:pStyle w:val="132"/>
                              <w:ind w:left="364" w:hanging="364"/>
                              <w:jc w:val="center"/>
                              <w:rPr>
                                <w:rFonts w:ascii="黑体" w:hAnsi="黑体" w:eastAsia="黑体"/>
                                <w:sz w:val="18"/>
                                <w:szCs w:val="18"/>
                                <w:lang w:eastAsia="en-US"/>
                              </w:rPr>
                            </w:pPr>
                            <w:r>
                              <w:rPr>
                                <w:rFonts w:hint="eastAsia" w:ascii="黑体" w:hAnsi="黑体" w:eastAsia="黑体"/>
                                <w:sz w:val="18"/>
                                <w:szCs w:val="18"/>
                                <w:lang w:eastAsia="en-US"/>
                              </w:rPr>
                              <w:t>测试方法</w:t>
                            </w:r>
                          </w:p>
                        </w:tc>
                      </w:tr>
                      <w:tr w14:paraId="1E1F2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continue"/>
                            <w:tcBorders>
                              <w:top w:val="nil"/>
                            </w:tcBorders>
                            <w:shd w:val="clear" w:color="auto" w:fill="BDBDBD"/>
                          </w:tcPr>
                          <w:p w14:paraId="645C3BC4">
                            <w:pPr>
                              <w:autoSpaceDE w:val="0"/>
                              <w:autoSpaceDN w:val="0"/>
                              <w:rPr>
                                <w:rFonts w:ascii="黑体" w:hAnsi="黑体"/>
                                <w:szCs w:val="18"/>
                                <w:lang w:eastAsia="en-US"/>
                              </w:rPr>
                            </w:pPr>
                          </w:p>
                        </w:tc>
                        <w:tc>
                          <w:tcPr>
                            <w:tcW w:w="2345" w:type="dxa"/>
                            <w:gridSpan w:val="2"/>
                            <w:shd w:val="clear" w:color="auto" w:fill="BDBDBD"/>
                          </w:tcPr>
                          <w:p w14:paraId="43235812">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干密度等级</w:t>
                            </w:r>
                          </w:p>
                        </w:tc>
                        <w:tc>
                          <w:tcPr>
                            <w:tcW w:w="3429" w:type="dxa"/>
                            <w:shd w:val="clear" w:color="auto" w:fill="BDBDBD"/>
                          </w:tcPr>
                          <w:p w14:paraId="62BAF2EA">
                            <w:pPr>
                              <w:pStyle w:val="132"/>
                              <w:spacing w:before="105"/>
                              <w:ind w:left="398" w:right="436" w:hanging="398"/>
                              <w:jc w:val="center"/>
                              <w:rPr>
                                <w:rFonts w:ascii="黑体" w:hAnsi="黑体" w:eastAsia="黑体"/>
                                <w:sz w:val="18"/>
                                <w:szCs w:val="18"/>
                                <w:lang w:eastAsia="en-US"/>
                              </w:rPr>
                            </w:pPr>
                            <w:r>
                              <w:rPr>
                                <w:rFonts w:ascii="黑体" w:hAnsi="黑体" w:eastAsia="黑体"/>
                                <w:w w:val="110"/>
                                <w:sz w:val="18"/>
                                <w:szCs w:val="18"/>
                                <w:lang w:eastAsia="en-US"/>
                              </w:rPr>
                              <w:t>B06</w:t>
                            </w:r>
                          </w:p>
                        </w:tc>
                        <w:tc>
                          <w:tcPr>
                            <w:tcW w:w="1785" w:type="dxa"/>
                            <w:vMerge w:val="continue"/>
                            <w:tcBorders>
                              <w:top w:val="nil"/>
                            </w:tcBorders>
                            <w:shd w:val="clear" w:color="auto" w:fill="BDBDBD"/>
                          </w:tcPr>
                          <w:p w14:paraId="1580C566">
                            <w:pPr>
                              <w:autoSpaceDE w:val="0"/>
                              <w:autoSpaceDN w:val="0"/>
                              <w:rPr>
                                <w:rFonts w:ascii="黑体" w:hAnsi="黑体"/>
                                <w:szCs w:val="18"/>
                                <w:lang w:eastAsia="en-US"/>
                              </w:rPr>
                            </w:pPr>
                          </w:p>
                        </w:tc>
                      </w:tr>
                      <w:tr w14:paraId="7C60B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restart"/>
                          </w:tcPr>
                          <w:p w14:paraId="3A972064">
                            <w:pPr>
                              <w:pStyle w:val="132"/>
                              <w:spacing w:before="11"/>
                              <w:ind w:left="364" w:hanging="364"/>
                              <w:rPr>
                                <w:rFonts w:ascii="黑体" w:hAnsi="黑体" w:eastAsia="黑体"/>
                                <w:sz w:val="18"/>
                                <w:szCs w:val="18"/>
                                <w:lang w:eastAsia="en-US"/>
                              </w:rPr>
                            </w:pPr>
                          </w:p>
                          <w:p w14:paraId="35C7D8C2">
                            <w:pPr>
                              <w:pStyle w:val="132"/>
                              <w:ind w:left="386" w:hanging="386"/>
                              <w:jc w:val="center"/>
                              <w:rPr>
                                <w:rFonts w:ascii="黑体" w:hAnsi="黑体" w:eastAsia="黑体"/>
                                <w:sz w:val="18"/>
                                <w:szCs w:val="18"/>
                                <w:lang w:eastAsia="en-US"/>
                              </w:rPr>
                            </w:pPr>
                            <w:r>
                              <w:rPr>
                                <w:rFonts w:ascii="黑体" w:hAnsi="黑体" w:eastAsia="黑体"/>
                                <w:w w:val="107"/>
                                <w:sz w:val="18"/>
                                <w:szCs w:val="18"/>
                                <w:lang w:eastAsia="en-US"/>
                              </w:rPr>
                              <w:t>1</w:t>
                            </w:r>
                          </w:p>
                        </w:tc>
                        <w:tc>
                          <w:tcPr>
                            <w:tcW w:w="1110" w:type="dxa"/>
                            <w:vMerge w:val="restart"/>
                          </w:tcPr>
                          <w:p w14:paraId="15B9F360">
                            <w:pPr>
                              <w:pStyle w:val="132"/>
                              <w:spacing w:before="131" w:line="339" w:lineRule="exact"/>
                              <w:ind w:left="364" w:hanging="364"/>
                              <w:rPr>
                                <w:rFonts w:ascii="黑体" w:hAnsi="黑体" w:eastAsia="黑体"/>
                                <w:sz w:val="18"/>
                                <w:szCs w:val="18"/>
                                <w:lang w:eastAsia="en-US"/>
                              </w:rPr>
                            </w:pPr>
                            <w:r>
                              <w:rPr>
                                <w:rFonts w:hint="eastAsia" w:ascii="黑体" w:hAnsi="黑体" w:eastAsia="黑体"/>
                                <w:sz w:val="18"/>
                                <w:szCs w:val="18"/>
                                <w:lang w:eastAsia="en-US"/>
                              </w:rPr>
                              <w:t>抗压强度</w:t>
                            </w:r>
                          </w:p>
                          <w:p w14:paraId="01BAD62E">
                            <w:pPr>
                              <w:pStyle w:val="132"/>
                              <w:spacing w:line="339" w:lineRule="exact"/>
                              <w:ind w:left="381" w:hanging="381"/>
                              <w:rPr>
                                <w:rFonts w:ascii="黑体" w:hAnsi="黑体" w:eastAsia="黑体"/>
                                <w:sz w:val="18"/>
                                <w:szCs w:val="18"/>
                                <w:lang w:eastAsia="en-US"/>
                              </w:rPr>
                            </w:pPr>
                            <w:r>
                              <w:rPr>
                                <w:rFonts w:hint="eastAsia" w:ascii="黑体" w:hAnsi="黑体" w:eastAsia="黑体"/>
                                <w:w w:val="105"/>
                                <w:sz w:val="18"/>
                                <w:szCs w:val="18"/>
                                <w:lang w:eastAsia="en-US"/>
                              </w:rPr>
                              <w:t>（</w:t>
                            </w:r>
                            <w:r>
                              <w:rPr>
                                <w:rFonts w:ascii="黑体" w:hAnsi="黑体" w:eastAsia="黑体"/>
                                <w:w w:val="105"/>
                                <w:sz w:val="18"/>
                                <w:szCs w:val="18"/>
                                <w:lang w:eastAsia="en-US"/>
                              </w:rPr>
                              <w:t>MPa</w:t>
                            </w:r>
                            <w:r>
                              <w:rPr>
                                <w:rFonts w:hint="eastAsia" w:ascii="黑体" w:hAnsi="黑体" w:eastAsia="黑体"/>
                                <w:w w:val="105"/>
                                <w:sz w:val="18"/>
                                <w:szCs w:val="18"/>
                                <w:lang w:eastAsia="en-US"/>
                              </w:rPr>
                              <w:t>）</w:t>
                            </w:r>
                          </w:p>
                        </w:tc>
                        <w:tc>
                          <w:tcPr>
                            <w:tcW w:w="1235" w:type="dxa"/>
                          </w:tcPr>
                          <w:p w14:paraId="16DC78D7">
                            <w:pPr>
                              <w:pStyle w:val="132"/>
                              <w:spacing w:before="50"/>
                              <w:ind w:left="364" w:right="364" w:hanging="364"/>
                              <w:jc w:val="center"/>
                              <w:rPr>
                                <w:rFonts w:ascii="黑体" w:hAnsi="黑体" w:eastAsia="黑体"/>
                                <w:sz w:val="18"/>
                                <w:szCs w:val="18"/>
                                <w:lang w:eastAsia="en-US"/>
                              </w:rPr>
                            </w:pPr>
                            <w:r>
                              <w:rPr>
                                <w:rFonts w:hint="eastAsia" w:ascii="黑体" w:hAnsi="黑体" w:eastAsia="黑体"/>
                                <w:sz w:val="18"/>
                                <w:szCs w:val="18"/>
                                <w:lang w:eastAsia="en-US"/>
                              </w:rPr>
                              <w:t>平均值</w:t>
                            </w:r>
                          </w:p>
                        </w:tc>
                        <w:tc>
                          <w:tcPr>
                            <w:tcW w:w="3429" w:type="dxa"/>
                          </w:tcPr>
                          <w:p w14:paraId="4735C3D8">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≥5.0</w:t>
                            </w:r>
                          </w:p>
                        </w:tc>
                        <w:tc>
                          <w:tcPr>
                            <w:tcW w:w="1785" w:type="dxa"/>
                            <w:vMerge w:val="restart"/>
                          </w:tcPr>
                          <w:p w14:paraId="4E193057">
                            <w:pPr>
                              <w:pStyle w:val="132"/>
                              <w:ind w:left="364" w:hanging="364"/>
                              <w:rPr>
                                <w:rFonts w:ascii="黑体" w:hAnsi="黑体" w:eastAsia="黑体"/>
                                <w:sz w:val="18"/>
                                <w:szCs w:val="18"/>
                                <w:lang w:eastAsia="en-US"/>
                              </w:rPr>
                            </w:pPr>
                          </w:p>
                          <w:p w14:paraId="0996DB07">
                            <w:pPr>
                              <w:pStyle w:val="132"/>
                              <w:ind w:left="364" w:hanging="364"/>
                              <w:rPr>
                                <w:rFonts w:ascii="黑体" w:hAnsi="黑体" w:eastAsia="黑体"/>
                                <w:sz w:val="18"/>
                                <w:szCs w:val="18"/>
                                <w:lang w:eastAsia="en-US"/>
                              </w:rPr>
                            </w:pPr>
                          </w:p>
                          <w:p w14:paraId="62D5C5B0">
                            <w:pPr>
                              <w:pStyle w:val="132"/>
                              <w:ind w:left="364" w:hanging="364"/>
                              <w:rPr>
                                <w:rFonts w:ascii="黑体" w:hAnsi="黑体" w:eastAsia="黑体"/>
                                <w:sz w:val="18"/>
                                <w:szCs w:val="18"/>
                                <w:lang w:eastAsia="en-US"/>
                              </w:rPr>
                            </w:pPr>
                          </w:p>
                          <w:p w14:paraId="4033B554">
                            <w:pPr>
                              <w:pStyle w:val="132"/>
                              <w:spacing w:before="8"/>
                              <w:ind w:left="364" w:hanging="364"/>
                              <w:rPr>
                                <w:rFonts w:ascii="黑体" w:hAnsi="黑体" w:eastAsia="黑体"/>
                                <w:sz w:val="18"/>
                                <w:szCs w:val="18"/>
                                <w:lang w:eastAsia="en-US"/>
                              </w:rPr>
                            </w:pPr>
                          </w:p>
                          <w:p w14:paraId="14D42C56">
                            <w:pPr>
                              <w:pStyle w:val="132"/>
                              <w:spacing w:line="307" w:lineRule="auto"/>
                              <w:ind w:left="364" w:right="289" w:hanging="36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1"/>
                                <w:sz w:val="18"/>
                                <w:szCs w:val="18"/>
                                <w:lang w:eastAsia="en-US"/>
                              </w:rPr>
                              <w:t xml:space="preserve"> </w:t>
                            </w:r>
                            <w:r>
                              <w:rPr>
                                <w:rFonts w:ascii="黑体" w:hAnsi="黑体" w:eastAsia="黑体"/>
                                <w:sz w:val="18"/>
                                <w:szCs w:val="18"/>
                                <w:lang w:eastAsia="en-US"/>
                              </w:rPr>
                              <w:t>11969-2020</w:t>
                            </w:r>
                          </w:p>
                        </w:tc>
                      </w:tr>
                      <w:tr w14:paraId="62B33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vMerge w:val="continue"/>
                            <w:tcBorders>
                              <w:top w:val="nil"/>
                            </w:tcBorders>
                          </w:tcPr>
                          <w:p w14:paraId="4727E3DC">
                            <w:pPr>
                              <w:autoSpaceDE w:val="0"/>
                              <w:autoSpaceDN w:val="0"/>
                              <w:rPr>
                                <w:rFonts w:ascii="黑体" w:hAnsi="黑体"/>
                                <w:szCs w:val="18"/>
                                <w:lang w:eastAsia="en-US"/>
                              </w:rPr>
                            </w:pPr>
                          </w:p>
                        </w:tc>
                        <w:tc>
                          <w:tcPr>
                            <w:tcW w:w="1110" w:type="dxa"/>
                            <w:vMerge w:val="continue"/>
                            <w:tcBorders>
                              <w:top w:val="nil"/>
                            </w:tcBorders>
                          </w:tcPr>
                          <w:p w14:paraId="2C7FA2B0">
                            <w:pPr>
                              <w:autoSpaceDE w:val="0"/>
                              <w:autoSpaceDN w:val="0"/>
                              <w:rPr>
                                <w:rFonts w:ascii="黑体" w:hAnsi="黑体"/>
                                <w:szCs w:val="18"/>
                                <w:lang w:eastAsia="en-US"/>
                              </w:rPr>
                            </w:pPr>
                          </w:p>
                        </w:tc>
                        <w:tc>
                          <w:tcPr>
                            <w:tcW w:w="1235" w:type="dxa"/>
                          </w:tcPr>
                          <w:p w14:paraId="4A760A18">
                            <w:pPr>
                              <w:pStyle w:val="132"/>
                              <w:spacing w:before="50"/>
                              <w:ind w:left="364" w:right="364" w:hanging="364"/>
                              <w:jc w:val="center"/>
                              <w:rPr>
                                <w:rFonts w:ascii="黑体" w:hAnsi="黑体" w:eastAsia="黑体"/>
                                <w:sz w:val="18"/>
                                <w:szCs w:val="18"/>
                                <w:lang w:eastAsia="en-US"/>
                              </w:rPr>
                            </w:pPr>
                            <w:r>
                              <w:rPr>
                                <w:rFonts w:hint="eastAsia" w:ascii="黑体" w:hAnsi="黑体" w:eastAsia="黑体"/>
                                <w:sz w:val="18"/>
                                <w:szCs w:val="18"/>
                                <w:lang w:eastAsia="en-US"/>
                              </w:rPr>
                              <w:t>最小值</w:t>
                            </w:r>
                          </w:p>
                        </w:tc>
                        <w:tc>
                          <w:tcPr>
                            <w:tcW w:w="3429" w:type="dxa"/>
                          </w:tcPr>
                          <w:p w14:paraId="13B61C23">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≥4.2</w:t>
                            </w:r>
                          </w:p>
                        </w:tc>
                        <w:tc>
                          <w:tcPr>
                            <w:tcW w:w="1785" w:type="dxa"/>
                            <w:vMerge w:val="continue"/>
                            <w:tcBorders>
                              <w:top w:val="nil"/>
                            </w:tcBorders>
                          </w:tcPr>
                          <w:p w14:paraId="3270E52C">
                            <w:pPr>
                              <w:autoSpaceDE w:val="0"/>
                              <w:autoSpaceDN w:val="0"/>
                              <w:rPr>
                                <w:rFonts w:ascii="黑体" w:hAnsi="黑体"/>
                                <w:szCs w:val="18"/>
                                <w:lang w:eastAsia="en-US"/>
                              </w:rPr>
                            </w:pPr>
                          </w:p>
                        </w:tc>
                      </w:tr>
                      <w:tr w14:paraId="430B1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16845602">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2</w:t>
                            </w:r>
                          </w:p>
                        </w:tc>
                        <w:tc>
                          <w:tcPr>
                            <w:tcW w:w="2345" w:type="dxa"/>
                            <w:gridSpan w:val="2"/>
                          </w:tcPr>
                          <w:p w14:paraId="5EE68B3C">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干密度（</w:t>
                            </w:r>
                            <w:r>
                              <w:rPr>
                                <w:rFonts w:ascii="黑体" w:hAnsi="黑体" w:eastAsia="黑体"/>
                                <w:sz w:val="18"/>
                                <w:szCs w:val="18"/>
                                <w:lang w:eastAsia="en-US"/>
                              </w:rPr>
                              <w:t>k</w:t>
                            </w:r>
                            <w:r>
                              <w:rPr>
                                <w:rFonts w:ascii="黑体" w:hAnsi="黑体" w:eastAsia="黑体"/>
                                <w:spacing w:val="-1"/>
                                <w:w w:val="111"/>
                                <w:sz w:val="18"/>
                                <w:szCs w:val="18"/>
                                <w:lang w:eastAsia="en-US"/>
                              </w:rPr>
                              <w:t>g</w:t>
                            </w:r>
                            <w:r>
                              <w:rPr>
                                <w:rFonts w:ascii="黑体" w:hAnsi="黑体" w:eastAsia="黑体"/>
                                <w:spacing w:val="-1"/>
                                <w:w w:val="78"/>
                                <w:sz w:val="18"/>
                                <w:szCs w:val="18"/>
                                <w:lang w:eastAsia="en-US"/>
                              </w:rPr>
                              <w:t>/</w:t>
                            </w:r>
                            <w:r>
                              <w:rPr>
                                <w:rFonts w:ascii="黑体" w:hAnsi="黑体" w:eastAsia="黑体"/>
                                <w:w w:val="105"/>
                                <w:sz w:val="18"/>
                                <w:szCs w:val="18"/>
                                <w:lang w:eastAsia="en-US"/>
                              </w:rPr>
                              <w:t>m</w:t>
                            </w:r>
                            <w:r>
                              <w:rPr>
                                <w:rFonts w:ascii="黑体" w:hAnsi="黑体" w:eastAsia="黑体"/>
                                <w:spacing w:val="-1"/>
                                <w:w w:val="113"/>
                                <w:position w:val="10"/>
                                <w:sz w:val="18"/>
                                <w:szCs w:val="18"/>
                                <w:lang w:eastAsia="en-US"/>
                              </w:rPr>
                              <w:t>3</w:t>
                            </w:r>
                            <w:r>
                              <w:rPr>
                                <w:rFonts w:hint="eastAsia" w:ascii="黑体" w:hAnsi="黑体" w:eastAsia="黑体"/>
                                <w:sz w:val="18"/>
                                <w:szCs w:val="18"/>
                                <w:lang w:eastAsia="en-US"/>
                              </w:rPr>
                              <w:t>）</w:t>
                            </w:r>
                          </w:p>
                        </w:tc>
                        <w:tc>
                          <w:tcPr>
                            <w:tcW w:w="3429" w:type="dxa"/>
                          </w:tcPr>
                          <w:p w14:paraId="45852DFF">
                            <w:pPr>
                              <w:pStyle w:val="132"/>
                              <w:spacing w:before="105"/>
                              <w:ind w:left="381" w:right="436" w:hanging="381"/>
                              <w:jc w:val="center"/>
                              <w:rPr>
                                <w:rFonts w:ascii="黑体" w:hAnsi="黑体" w:eastAsia="黑体"/>
                                <w:sz w:val="18"/>
                                <w:szCs w:val="18"/>
                                <w:lang w:eastAsia="en-US"/>
                              </w:rPr>
                            </w:pPr>
                            <w:r>
                              <w:rPr>
                                <w:rFonts w:ascii="黑体" w:hAnsi="黑体" w:eastAsia="黑体"/>
                                <w:w w:val="105"/>
                                <w:sz w:val="18"/>
                                <w:szCs w:val="18"/>
                                <w:lang w:eastAsia="en-US"/>
                              </w:rPr>
                              <w:t>≤650</w:t>
                            </w:r>
                          </w:p>
                        </w:tc>
                        <w:tc>
                          <w:tcPr>
                            <w:tcW w:w="1785" w:type="dxa"/>
                            <w:vMerge w:val="continue"/>
                            <w:tcBorders>
                              <w:top w:val="nil"/>
                            </w:tcBorders>
                          </w:tcPr>
                          <w:p w14:paraId="0D91DA3A">
                            <w:pPr>
                              <w:autoSpaceDE w:val="0"/>
                              <w:autoSpaceDN w:val="0"/>
                              <w:rPr>
                                <w:rFonts w:ascii="黑体" w:hAnsi="黑体"/>
                                <w:szCs w:val="18"/>
                                <w:lang w:eastAsia="en-US"/>
                              </w:rPr>
                            </w:pPr>
                          </w:p>
                        </w:tc>
                      </w:tr>
                      <w:tr w14:paraId="46B15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660" w:type="dxa"/>
                          </w:tcPr>
                          <w:p w14:paraId="60B24699">
                            <w:pPr>
                              <w:pStyle w:val="132"/>
                              <w:spacing w:before="94"/>
                              <w:ind w:left="386" w:hanging="386"/>
                              <w:rPr>
                                <w:rFonts w:ascii="黑体" w:hAnsi="黑体" w:eastAsia="黑体"/>
                                <w:sz w:val="18"/>
                                <w:szCs w:val="18"/>
                                <w:lang w:eastAsia="en-US"/>
                              </w:rPr>
                            </w:pPr>
                            <w:r>
                              <w:rPr>
                                <w:rFonts w:ascii="黑体" w:hAnsi="黑体" w:eastAsia="黑体"/>
                                <w:w w:val="107"/>
                                <w:sz w:val="18"/>
                                <w:szCs w:val="18"/>
                                <w:lang w:eastAsia="en-US"/>
                              </w:rPr>
                              <w:t>3</w:t>
                            </w:r>
                          </w:p>
                        </w:tc>
                        <w:tc>
                          <w:tcPr>
                            <w:tcW w:w="2345" w:type="dxa"/>
                            <w:gridSpan w:val="2"/>
                          </w:tcPr>
                          <w:p w14:paraId="380F360A">
                            <w:pPr>
                              <w:pStyle w:val="132"/>
                              <w:spacing w:before="39"/>
                              <w:ind w:left="364" w:hanging="364"/>
                              <w:rPr>
                                <w:rFonts w:ascii="黑体" w:hAnsi="黑体" w:eastAsia="黑体"/>
                                <w:sz w:val="18"/>
                                <w:szCs w:val="18"/>
                                <w:lang w:eastAsia="zh-CN"/>
                              </w:rPr>
                            </w:pPr>
                            <w:r>
                              <w:rPr>
                                <w:rFonts w:hint="eastAsia" w:ascii="黑体" w:hAnsi="黑体" w:eastAsia="黑体"/>
                                <w:sz w:val="18"/>
                                <w:szCs w:val="18"/>
                                <w:lang w:eastAsia="zh-CN"/>
                              </w:rPr>
                              <w:t>干燥收缩值（</w:t>
                            </w:r>
                            <w:r>
                              <w:rPr>
                                <w:rFonts w:ascii="黑体" w:hAnsi="黑体" w:eastAsia="黑体"/>
                                <w:sz w:val="18"/>
                                <w:szCs w:val="18"/>
                                <w:lang w:eastAsia="zh-CN"/>
                              </w:rPr>
                              <w:t>mm/m</w:t>
                            </w:r>
                            <w:r>
                              <w:rPr>
                                <w:rFonts w:hint="eastAsia" w:ascii="黑体" w:hAnsi="黑体" w:eastAsia="黑体"/>
                                <w:sz w:val="18"/>
                                <w:szCs w:val="18"/>
                                <w:lang w:eastAsia="zh-CN"/>
                              </w:rPr>
                              <w:t>）</w:t>
                            </w:r>
                          </w:p>
                        </w:tc>
                        <w:tc>
                          <w:tcPr>
                            <w:tcW w:w="3429" w:type="dxa"/>
                          </w:tcPr>
                          <w:p w14:paraId="00F27364">
                            <w:pPr>
                              <w:pStyle w:val="132"/>
                              <w:spacing w:before="94"/>
                              <w:ind w:left="364" w:right="92" w:hanging="364"/>
                              <w:jc w:val="center"/>
                              <w:rPr>
                                <w:rFonts w:ascii="黑体" w:hAnsi="黑体" w:eastAsia="黑体"/>
                                <w:sz w:val="18"/>
                                <w:szCs w:val="18"/>
                                <w:lang w:eastAsia="en-US"/>
                              </w:rPr>
                            </w:pPr>
                            <w:r>
                              <w:rPr>
                                <w:rFonts w:ascii="黑体" w:hAnsi="黑体" w:eastAsia="黑体"/>
                                <w:sz w:val="18"/>
                                <w:szCs w:val="18"/>
                                <w:lang w:eastAsia="en-US"/>
                              </w:rPr>
                              <w:t>≤0.50</w:t>
                            </w:r>
                          </w:p>
                        </w:tc>
                        <w:tc>
                          <w:tcPr>
                            <w:tcW w:w="1785" w:type="dxa"/>
                            <w:vMerge w:val="continue"/>
                            <w:tcBorders>
                              <w:top w:val="nil"/>
                            </w:tcBorders>
                          </w:tcPr>
                          <w:p w14:paraId="4D8036AE">
                            <w:pPr>
                              <w:autoSpaceDE w:val="0"/>
                              <w:autoSpaceDN w:val="0"/>
                              <w:rPr>
                                <w:rFonts w:ascii="黑体" w:hAnsi="黑体"/>
                                <w:szCs w:val="18"/>
                                <w:lang w:eastAsia="en-US"/>
                              </w:rPr>
                            </w:pPr>
                          </w:p>
                        </w:tc>
                      </w:tr>
                      <w:tr w14:paraId="7BF1A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0" w:type="dxa"/>
                            <w:vMerge w:val="restart"/>
                          </w:tcPr>
                          <w:p w14:paraId="4D5B633B">
                            <w:pPr>
                              <w:pStyle w:val="132"/>
                              <w:spacing w:before="7"/>
                              <w:ind w:left="364" w:hanging="364"/>
                              <w:rPr>
                                <w:rFonts w:ascii="黑体" w:hAnsi="黑体" w:eastAsia="黑体"/>
                                <w:sz w:val="18"/>
                                <w:szCs w:val="18"/>
                                <w:lang w:eastAsia="en-US"/>
                              </w:rPr>
                            </w:pPr>
                          </w:p>
                          <w:p w14:paraId="17BB82E5">
                            <w:pPr>
                              <w:pStyle w:val="132"/>
                              <w:ind w:left="386" w:hanging="386"/>
                              <w:jc w:val="center"/>
                              <w:rPr>
                                <w:rFonts w:ascii="黑体" w:hAnsi="黑体" w:eastAsia="黑体"/>
                                <w:sz w:val="18"/>
                                <w:szCs w:val="18"/>
                                <w:lang w:eastAsia="en-US"/>
                              </w:rPr>
                            </w:pPr>
                            <w:r>
                              <w:rPr>
                                <w:rFonts w:ascii="黑体" w:hAnsi="黑体" w:eastAsia="黑体"/>
                                <w:w w:val="107"/>
                                <w:sz w:val="18"/>
                                <w:szCs w:val="18"/>
                                <w:lang w:eastAsia="en-US"/>
                              </w:rPr>
                              <w:t>4</w:t>
                            </w:r>
                          </w:p>
                        </w:tc>
                        <w:tc>
                          <w:tcPr>
                            <w:tcW w:w="1110" w:type="dxa"/>
                            <w:vMerge w:val="restart"/>
                          </w:tcPr>
                          <w:p w14:paraId="563B74A0">
                            <w:pPr>
                              <w:pStyle w:val="132"/>
                              <w:spacing w:before="4"/>
                              <w:ind w:left="364" w:hanging="364"/>
                              <w:rPr>
                                <w:rFonts w:ascii="黑体" w:hAnsi="黑体" w:eastAsia="黑体"/>
                                <w:sz w:val="18"/>
                                <w:szCs w:val="18"/>
                                <w:lang w:eastAsia="en-US"/>
                              </w:rPr>
                            </w:pPr>
                          </w:p>
                          <w:p w14:paraId="39A52E45">
                            <w:pPr>
                              <w:pStyle w:val="132"/>
                              <w:ind w:left="364" w:hanging="364"/>
                              <w:rPr>
                                <w:rFonts w:ascii="黑体" w:hAnsi="黑体" w:eastAsia="黑体"/>
                                <w:sz w:val="18"/>
                                <w:szCs w:val="18"/>
                                <w:lang w:eastAsia="en-US"/>
                              </w:rPr>
                            </w:pPr>
                            <w:r>
                              <w:rPr>
                                <w:rFonts w:hint="eastAsia" w:ascii="黑体" w:hAnsi="黑体" w:eastAsia="黑体"/>
                                <w:sz w:val="18"/>
                                <w:szCs w:val="18"/>
                                <w:lang w:eastAsia="en-US"/>
                              </w:rPr>
                              <w:t>抗冻性</w:t>
                            </w:r>
                          </w:p>
                        </w:tc>
                        <w:tc>
                          <w:tcPr>
                            <w:tcW w:w="1235" w:type="dxa"/>
                          </w:tcPr>
                          <w:p w14:paraId="6D30C667">
                            <w:pPr>
                              <w:pStyle w:val="132"/>
                              <w:spacing w:line="318" w:lineRule="exact"/>
                              <w:ind w:left="364" w:hanging="364"/>
                              <w:rPr>
                                <w:rFonts w:ascii="黑体" w:hAnsi="黑体" w:eastAsia="黑体"/>
                                <w:sz w:val="18"/>
                                <w:szCs w:val="18"/>
                                <w:lang w:eastAsia="en-US"/>
                              </w:rPr>
                            </w:pPr>
                            <w:r>
                              <w:rPr>
                                <w:rFonts w:hint="eastAsia" w:ascii="黑体" w:hAnsi="黑体" w:eastAsia="黑体"/>
                                <w:sz w:val="18"/>
                                <w:szCs w:val="18"/>
                                <w:lang w:eastAsia="en-US"/>
                              </w:rPr>
                              <w:t>质量损失</w:t>
                            </w:r>
                            <w:r>
                              <w:rPr>
                                <w:rFonts w:hint="eastAsia" w:ascii="黑体" w:hAnsi="黑体" w:eastAsia="黑体"/>
                                <w:w w:val="105"/>
                                <w:sz w:val="18"/>
                                <w:szCs w:val="18"/>
                                <w:lang w:eastAsia="en-US"/>
                              </w:rPr>
                              <w:t>（</w:t>
                            </w:r>
                            <w:r>
                              <w:rPr>
                                <w:rFonts w:ascii="黑体" w:hAnsi="黑体" w:eastAsia="黑体"/>
                                <w:w w:val="105"/>
                                <w:sz w:val="18"/>
                                <w:szCs w:val="18"/>
                                <w:lang w:eastAsia="en-US"/>
                              </w:rPr>
                              <w:t>%</w:t>
                            </w:r>
                            <w:r>
                              <w:rPr>
                                <w:rFonts w:hint="eastAsia" w:ascii="黑体" w:hAnsi="黑体" w:eastAsia="黑体"/>
                                <w:w w:val="105"/>
                                <w:sz w:val="18"/>
                                <w:szCs w:val="18"/>
                                <w:lang w:eastAsia="en-US"/>
                              </w:rPr>
                              <w:t>）</w:t>
                            </w:r>
                          </w:p>
                        </w:tc>
                        <w:tc>
                          <w:tcPr>
                            <w:tcW w:w="3429" w:type="dxa"/>
                          </w:tcPr>
                          <w:p w14:paraId="599FF90A">
                            <w:pPr>
                              <w:pStyle w:val="132"/>
                              <w:spacing w:before="190"/>
                              <w:ind w:left="364" w:right="92" w:hanging="364"/>
                              <w:jc w:val="center"/>
                              <w:rPr>
                                <w:rFonts w:ascii="黑体" w:hAnsi="黑体" w:eastAsia="黑体"/>
                                <w:sz w:val="18"/>
                                <w:szCs w:val="18"/>
                                <w:lang w:eastAsia="en-US"/>
                              </w:rPr>
                            </w:pPr>
                            <w:r>
                              <w:rPr>
                                <w:rFonts w:ascii="黑体" w:hAnsi="黑体" w:eastAsia="黑体"/>
                                <w:sz w:val="18"/>
                                <w:szCs w:val="18"/>
                                <w:lang w:eastAsia="en-US"/>
                              </w:rPr>
                              <w:t>≤5.0</w:t>
                            </w:r>
                          </w:p>
                        </w:tc>
                        <w:tc>
                          <w:tcPr>
                            <w:tcW w:w="1785" w:type="dxa"/>
                            <w:vMerge w:val="continue"/>
                            <w:tcBorders>
                              <w:top w:val="nil"/>
                            </w:tcBorders>
                          </w:tcPr>
                          <w:p w14:paraId="50E54A61">
                            <w:pPr>
                              <w:autoSpaceDE w:val="0"/>
                              <w:autoSpaceDN w:val="0"/>
                              <w:rPr>
                                <w:rFonts w:ascii="黑体" w:hAnsi="黑体"/>
                                <w:szCs w:val="18"/>
                                <w:lang w:eastAsia="en-US"/>
                              </w:rPr>
                            </w:pPr>
                          </w:p>
                        </w:tc>
                      </w:tr>
                      <w:tr w14:paraId="79A67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0" w:type="dxa"/>
                            <w:vMerge w:val="continue"/>
                            <w:tcBorders>
                              <w:top w:val="nil"/>
                            </w:tcBorders>
                          </w:tcPr>
                          <w:p w14:paraId="2E7EAEEB">
                            <w:pPr>
                              <w:autoSpaceDE w:val="0"/>
                              <w:autoSpaceDN w:val="0"/>
                              <w:rPr>
                                <w:rFonts w:ascii="黑体" w:hAnsi="黑体"/>
                                <w:szCs w:val="18"/>
                                <w:lang w:eastAsia="en-US"/>
                              </w:rPr>
                            </w:pPr>
                          </w:p>
                        </w:tc>
                        <w:tc>
                          <w:tcPr>
                            <w:tcW w:w="1110" w:type="dxa"/>
                            <w:vMerge w:val="continue"/>
                            <w:tcBorders>
                              <w:top w:val="nil"/>
                            </w:tcBorders>
                          </w:tcPr>
                          <w:p w14:paraId="4CEE9863">
                            <w:pPr>
                              <w:autoSpaceDE w:val="0"/>
                              <w:autoSpaceDN w:val="0"/>
                              <w:rPr>
                                <w:rFonts w:ascii="黑体" w:hAnsi="黑体"/>
                                <w:szCs w:val="18"/>
                                <w:lang w:eastAsia="en-US"/>
                              </w:rPr>
                            </w:pPr>
                          </w:p>
                        </w:tc>
                        <w:tc>
                          <w:tcPr>
                            <w:tcW w:w="1235" w:type="dxa"/>
                          </w:tcPr>
                          <w:p w14:paraId="2A702BA5">
                            <w:pPr>
                              <w:pStyle w:val="132"/>
                              <w:spacing w:line="318" w:lineRule="exact"/>
                              <w:ind w:left="364" w:hanging="364"/>
                              <w:rPr>
                                <w:rFonts w:ascii="黑体" w:hAnsi="黑体" w:eastAsia="黑体"/>
                                <w:sz w:val="18"/>
                                <w:szCs w:val="18"/>
                                <w:lang w:eastAsia="en-US"/>
                              </w:rPr>
                            </w:pPr>
                            <w:r>
                              <w:rPr>
                                <w:rFonts w:hint="eastAsia" w:ascii="黑体" w:hAnsi="黑体" w:eastAsia="黑体"/>
                                <w:sz w:val="18"/>
                                <w:szCs w:val="18"/>
                                <w:lang w:eastAsia="en-US"/>
                              </w:rPr>
                              <w:t>强度损失</w:t>
                            </w:r>
                            <w:r>
                              <w:rPr>
                                <w:rFonts w:hint="eastAsia" w:ascii="黑体" w:hAnsi="黑体" w:eastAsia="黑体"/>
                                <w:w w:val="105"/>
                                <w:sz w:val="18"/>
                                <w:szCs w:val="18"/>
                                <w:lang w:eastAsia="en-US"/>
                              </w:rPr>
                              <w:t>（</w:t>
                            </w:r>
                            <w:r>
                              <w:rPr>
                                <w:rFonts w:ascii="黑体" w:hAnsi="黑体" w:eastAsia="黑体"/>
                                <w:w w:val="105"/>
                                <w:sz w:val="18"/>
                                <w:szCs w:val="18"/>
                                <w:lang w:eastAsia="en-US"/>
                              </w:rPr>
                              <w:t>%</w:t>
                            </w:r>
                            <w:r>
                              <w:rPr>
                                <w:rFonts w:hint="eastAsia" w:ascii="黑体" w:hAnsi="黑体" w:eastAsia="黑体"/>
                                <w:w w:val="105"/>
                                <w:sz w:val="18"/>
                                <w:szCs w:val="18"/>
                                <w:lang w:eastAsia="en-US"/>
                              </w:rPr>
                              <w:t>）</w:t>
                            </w:r>
                          </w:p>
                        </w:tc>
                        <w:tc>
                          <w:tcPr>
                            <w:tcW w:w="3429" w:type="dxa"/>
                          </w:tcPr>
                          <w:p w14:paraId="0AF5BFE4">
                            <w:pPr>
                              <w:pStyle w:val="132"/>
                              <w:spacing w:before="190"/>
                              <w:ind w:left="398" w:right="92" w:hanging="398"/>
                              <w:jc w:val="center"/>
                              <w:rPr>
                                <w:rFonts w:ascii="黑体" w:hAnsi="黑体" w:eastAsia="黑体"/>
                                <w:sz w:val="18"/>
                                <w:szCs w:val="18"/>
                                <w:lang w:eastAsia="en-US"/>
                              </w:rPr>
                            </w:pPr>
                            <w:r>
                              <w:rPr>
                                <w:rFonts w:ascii="黑体" w:hAnsi="黑体" w:eastAsia="黑体"/>
                                <w:w w:val="110"/>
                                <w:sz w:val="18"/>
                                <w:szCs w:val="18"/>
                                <w:lang w:eastAsia="en-US"/>
                              </w:rPr>
                              <w:t>≤20%</w:t>
                            </w:r>
                          </w:p>
                        </w:tc>
                        <w:tc>
                          <w:tcPr>
                            <w:tcW w:w="1785" w:type="dxa"/>
                            <w:vMerge w:val="continue"/>
                            <w:tcBorders>
                              <w:top w:val="nil"/>
                            </w:tcBorders>
                          </w:tcPr>
                          <w:p w14:paraId="134F897B">
                            <w:pPr>
                              <w:autoSpaceDE w:val="0"/>
                              <w:autoSpaceDN w:val="0"/>
                              <w:rPr>
                                <w:rFonts w:ascii="黑体" w:hAnsi="黑体"/>
                                <w:szCs w:val="18"/>
                                <w:lang w:eastAsia="en-US"/>
                              </w:rPr>
                            </w:pPr>
                          </w:p>
                        </w:tc>
                      </w:tr>
                      <w:tr w14:paraId="178AD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28F6D4B0">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5</w:t>
                            </w:r>
                          </w:p>
                        </w:tc>
                        <w:tc>
                          <w:tcPr>
                            <w:tcW w:w="2345" w:type="dxa"/>
                            <w:gridSpan w:val="2"/>
                          </w:tcPr>
                          <w:p w14:paraId="6B998A63">
                            <w:pPr>
                              <w:pStyle w:val="132"/>
                              <w:spacing w:before="50"/>
                              <w:ind w:left="344" w:hanging="344"/>
                              <w:rPr>
                                <w:rFonts w:ascii="黑体" w:hAnsi="黑体" w:eastAsia="黑体"/>
                                <w:sz w:val="18"/>
                                <w:szCs w:val="18"/>
                                <w:lang w:eastAsia="en-US"/>
                              </w:rPr>
                            </w:pPr>
                            <w:r>
                              <w:rPr>
                                <w:rFonts w:hint="eastAsia" w:ascii="黑体" w:hAnsi="黑体" w:eastAsia="黑体"/>
                                <w:w w:val="95"/>
                                <w:sz w:val="18"/>
                                <w:szCs w:val="18"/>
                                <w:lang w:eastAsia="en-US"/>
                              </w:rPr>
                              <w:t>导热系数（</w:t>
                            </w:r>
                            <w:r>
                              <w:rPr>
                                <w:rFonts w:ascii="黑体" w:hAnsi="黑体" w:eastAsia="黑体"/>
                                <w:w w:val="95"/>
                                <w:sz w:val="18"/>
                                <w:szCs w:val="18"/>
                                <w:lang w:eastAsia="en-US"/>
                              </w:rPr>
                              <w:t>w/(mK)</w:t>
                            </w:r>
                            <w:r>
                              <w:rPr>
                                <w:rFonts w:hint="eastAsia" w:ascii="黑体" w:hAnsi="黑体" w:eastAsia="黑体"/>
                                <w:w w:val="95"/>
                                <w:sz w:val="18"/>
                                <w:szCs w:val="18"/>
                                <w:lang w:eastAsia="en-US"/>
                              </w:rPr>
                              <w:t>）</w:t>
                            </w:r>
                          </w:p>
                        </w:tc>
                        <w:tc>
                          <w:tcPr>
                            <w:tcW w:w="3429" w:type="dxa"/>
                          </w:tcPr>
                          <w:p w14:paraId="1212A3C2">
                            <w:pPr>
                              <w:pStyle w:val="132"/>
                              <w:spacing w:before="105"/>
                              <w:ind w:left="364" w:right="436" w:hanging="364"/>
                              <w:jc w:val="center"/>
                              <w:rPr>
                                <w:rFonts w:ascii="黑体" w:hAnsi="黑体" w:eastAsia="黑体"/>
                                <w:sz w:val="18"/>
                                <w:szCs w:val="18"/>
                                <w:lang w:eastAsia="en-US"/>
                              </w:rPr>
                            </w:pPr>
                            <w:r>
                              <w:rPr>
                                <w:rFonts w:ascii="黑体" w:hAnsi="黑体" w:eastAsia="黑体"/>
                                <w:sz w:val="18"/>
                                <w:szCs w:val="18"/>
                                <w:lang w:eastAsia="en-US"/>
                              </w:rPr>
                              <w:t>≤0.16</w:t>
                            </w:r>
                          </w:p>
                        </w:tc>
                        <w:tc>
                          <w:tcPr>
                            <w:tcW w:w="1785" w:type="dxa"/>
                            <w:vMerge w:val="continue"/>
                            <w:tcBorders>
                              <w:top w:val="nil"/>
                            </w:tcBorders>
                          </w:tcPr>
                          <w:p w14:paraId="7D800345">
                            <w:pPr>
                              <w:autoSpaceDE w:val="0"/>
                              <w:autoSpaceDN w:val="0"/>
                              <w:rPr>
                                <w:rFonts w:ascii="黑体" w:hAnsi="黑体"/>
                                <w:szCs w:val="18"/>
                                <w:lang w:eastAsia="en-US"/>
                              </w:rPr>
                            </w:pPr>
                          </w:p>
                        </w:tc>
                      </w:tr>
                      <w:tr w14:paraId="1AD0E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32347AFA">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7</w:t>
                            </w:r>
                          </w:p>
                        </w:tc>
                        <w:tc>
                          <w:tcPr>
                            <w:tcW w:w="2345" w:type="dxa"/>
                            <w:gridSpan w:val="2"/>
                          </w:tcPr>
                          <w:p w14:paraId="42BF461B">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软化系数（</w:t>
                            </w:r>
                            <w:r>
                              <w:rPr>
                                <w:rFonts w:ascii="黑体" w:hAnsi="黑体" w:eastAsia="黑体"/>
                                <w:sz w:val="18"/>
                                <w:szCs w:val="18"/>
                                <w:lang w:eastAsia="en-US"/>
                              </w:rPr>
                              <w:t>%</w:t>
                            </w:r>
                            <w:r>
                              <w:rPr>
                                <w:rFonts w:hint="eastAsia" w:ascii="黑体" w:hAnsi="黑体" w:eastAsia="黑体"/>
                                <w:sz w:val="18"/>
                                <w:szCs w:val="18"/>
                                <w:lang w:eastAsia="en-US"/>
                              </w:rPr>
                              <w:t>）</w:t>
                            </w:r>
                          </w:p>
                        </w:tc>
                        <w:tc>
                          <w:tcPr>
                            <w:tcW w:w="3429" w:type="dxa"/>
                          </w:tcPr>
                          <w:p w14:paraId="46A23D7F">
                            <w:pPr>
                              <w:pStyle w:val="132"/>
                              <w:spacing w:before="105"/>
                              <w:ind w:left="364" w:right="92" w:hanging="364"/>
                              <w:jc w:val="center"/>
                              <w:rPr>
                                <w:rFonts w:ascii="黑体" w:hAnsi="黑体" w:eastAsia="黑体"/>
                                <w:sz w:val="18"/>
                                <w:szCs w:val="18"/>
                                <w:lang w:eastAsia="en-US"/>
                              </w:rPr>
                            </w:pPr>
                            <w:r>
                              <w:rPr>
                                <w:rFonts w:ascii="黑体" w:hAnsi="黑体" w:eastAsia="黑体"/>
                                <w:sz w:val="18"/>
                                <w:szCs w:val="18"/>
                                <w:lang w:eastAsia="en-US"/>
                              </w:rPr>
                              <w:t>≥0.80</w:t>
                            </w:r>
                          </w:p>
                        </w:tc>
                        <w:tc>
                          <w:tcPr>
                            <w:tcW w:w="1785" w:type="dxa"/>
                            <w:vMerge w:val="restart"/>
                          </w:tcPr>
                          <w:p w14:paraId="02CFAE36">
                            <w:pPr>
                              <w:pStyle w:val="132"/>
                              <w:spacing w:before="15"/>
                              <w:ind w:left="364" w:hanging="364"/>
                              <w:rPr>
                                <w:rFonts w:ascii="黑体" w:hAnsi="黑体" w:eastAsia="黑体"/>
                                <w:sz w:val="18"/>
                                <w:szCs w:val="18"/>
                                <w:lang w:eastAsia="en-US"/>
                              </w:rPr>
                            </w:pPr>
                          </w:p>
                          <w:p w14:paraId="3B7AA121">
                            <w:pPr>
                              <w:pStyle w:val="132"/>
                              <w:spacing w:line="307" w:lineRule="auto"/>
                              <w:ind w:left="364" w:right="289" w:hanging="36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1"/>
                                <w:sz w:val="18"/>
                                <w:szCs w:val="18"/>
                                <w:lang w:eastAsia="en-US"/>
                              </w:rPr>
                              <w:t xml:space="preserve"> </w:t>
                            </w:r>
                            <w:r>
                              <w:rPr>
                                <w:rFonts w:ascii="黑体" w:hAnsi="黑体" w:eastAsia="黑体"/>
                                <w:sz w:val="18"/>
                                <w:szCs w:val="18"/>
                                <w:lang w:eastAsia="en-US"/>
                              </w:rPr>
                              <w:t>23451-2009</w:t>
                            </w:r>
                          </w:p>
                        </w:tc>
                      </w:tr>
                      <w:tr w14:paraId="4C0B2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0" w:type="dxa"/>
                          </w:tcPr>
                          <w:p w14:paraId="31433C17">
                            <w:pPr>
                              <w:pStyle w:val="132"/>
                              <w:spacing w:before="190"/>
                              <w:ind w:left="386" w:hanging="386"/>
                              <w:rPr>
                                <w:rFonts w:ascii="黑体" w:hAnsi="黑体" w:eastAsia="黑体"/>
                                <w:sz w:val="18"/>
                                <w:szCs w:val="18"/>
                                <w:lang w:eastAsia="en-US"/>
                              </w:rPr>
                            </w:pPr>
                            <w:r>
                              <w:rPr>
                                <w:rFonts w:ascii="黑体" w:hAnsi="黑体" w:eastAsia="黑体"/>
                                <w:w w:val="107"/>
                                <w:sz w:val="18"/>
                                <w:szCs w:val="18"/>
                                <w:lang w:eastAsia="en-US"/>
                              </w:rPr>
                              <w:t>8</w:t>
                            </w:r>
                          </w:p>
                        </w:tc>
                        <w:tc>
                          <w:tcPr>
                            <w:tcW w:w="2345" w:type="dxa"/>
                            <w:gridSpan w:val="2"/>
                          </w:tcPr>
                          <w:p w14:paraId="4B687A18">
                            <w:pPr>
                              <w:pStyle w:val="132"/>
                              <w:spacing w:before="135"/>
                              <w:ind w:left="364" w:right="941" w:hanging="364"/>
                              <w:jc w:val="center"/>
                              <w:rPr>
                                <w:rFonts w:ascii="黑体" w:hAnsi="黑体" w:eastAsia="黑体"/>
                                <w:sz w:val="18"/>
                                <w:szCs w:val="18"/>
                                <w:lang w:eastAsia="en-US"/>
                              </w:rPr>
                            </w:pPr>
                            <w:r>
                              <w:rPr>
                                <w:rFonts w:hint="eastAsia" w:ascii="黑体" w:hAnsi="黑体" w:eastAsia="黑体"/>
                                <w:sz w:val="18"/>
                                <w:szCs w:val="18"/>
                                <w:lang w:eastAsia="en-US"/>
                              </w:rPr>
                              <w:t>抗冲击性</w:t>
                            </w:r>
                          </w:p>
                        </w:tc>
                        <w:tc>
                          <w:tcPr>
                            <w:tcW w:w="3429" w:type="dxa"/>
                          </w:tcPr>
                          <w:p w14:paraId="3E251506">
                            <w:pPr>
                              <w:pStyle w:val="132"/>
                              <w:spacing w:line="318" w:lineRule="exact"/>
                              <w:ind w:left="364" w:right="93" w:hanging="364"/>
                              <w:jc w:val="center"/>
                              <w:rPr>
                                <w:rFonts w:ascii="黑体" w:hAnsi="黑体" w:eastAsia="黑体"/>
                                <w:sz w:val="18"/>
                                <w:szCs w:val="18"/>
                                <w:lang w:eastAsia="zh-CN"/>
                              </w:rPr>
                            </w:pPr>
                            <w:r>
                              <w:rPr>
                                <w:rFonts w:hint="eastAsia" w:ascii="黑体" w:hAnsi="黑体" w:eastAsia="黑体"/>
                                <w:sz w:val="18"/>
                                <w:szCs w:val="18"/>
                                <w:lang w:eastAsia="zh-CN"/>
                              </w:rPr>
                              <w:t>经过</w:t>
                            </w:r>
                            <w:r>
                              <w:rPr>
                                <w:rFonts w:ascii="黑体" w:hAnsi="黑体" w:eastAsia="黑体"/>
                                <w:sz w:val="18"/>
                                <w:szCs w:val="18"/>
                                <w:lang w:eastAsia="zh-CN"/>
                              </w:rPr>
                              <w:t xml:space="preserve"> 10</w:t>
                            </w:r>
                            <w:r>
                              <w:rPr>
                                <w:rFonts w:ascii="黑体" w:hAnsi="黑体" w:eastAsia="黑体"/>
                                <w:spacing w:val="-5"/>
                                <w:sz w:val="18"/>
                                <w:szCs w:val="18"/>
                                <w:lang w:eastAsia="zh-CN"/>
                              </w:rPr>
                              <w:t xml:space="preserve"> </w:t>
                            </w:r>
                            <w:r>
                              <w:rPr>
                                <w:rFonts w:hint="eastAsia" w:ascii="黑体" w:hAnsi="黑体" w:eastAsia="黑体"/>
                                <w:sz w:val="18"/>
                                <w:szCs w:val="18"/>
                                <w:lang w:eastAsia="zh-CN"/>
                              </w:rPr>
                              <w:t>次抗冲击试验后，板面无开裂</w:t>
                            </w:r>
                          </w:p>
                        </w:tc>
                        <w:tc>
                          <w:tcPr>
                            <w:tcW w:w="1785" w:type="dxa"/>
                            <w:vMerge w:val="continue"/>
                            <w:tcBorders>
                              <w:top w:val="nil"/>
                            </w:tcBorders>
                          </w:tcPr>
                          <w:p w14:paraId="36941382">
                            <w:pPr>
                              <w:autoSpaceDE w:val="0"/>
                              <w:autoSpaceDN w:val="0"/>
                              <w:rPr>
                                <w:rFonts w:ascii="黑体" w:hAnsi="黑体"/>
                                <w:szCs w:val="18"/>
                                <w:lang w:eastAsia="zh-CN"/>
                              </w:rPr>
                            </w:pPr>
                          </w:p>
                        </w:tc>
                      </w:tr>
                      <w:tr w14:paraId="539A3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5DF67C53">
                            <w:pPr>
                              <w:pStyle w:val="132"/>
                              <w:spacing w:before="105"/>
                              <w:ind w:left="386" w:hanging="386"/>
                              <w:rPr>
                                <w:rFonts w:ascii="黑体" w:hAnsi="黑体" w:eastAsia="黑体"/>
                                <w:sz w:val="18"/>
                                <w:szCs w:val="18"/>
                                <w:lang w:eastAsia="en-US"/>
                              </w:rPr>
                            </w:pPr>
                            <w:r>
                              <w:rPr>
                                <w:rFonts w:ascii="黑体" w:hAnsi="黑体" w:eastAsia="黑体"/>
                                <w:w w:val="107"/>
                                <w:sz w:val="18"/>
                                <w:szCs w:val="18"/>
                                <w:lang w:eastAsia="en-US"/>
                              </w:rPr>
                              <w:t>9</w:t>
                            </w:r>
                          </w:p>
                        </w:tc>
                        <w:tc>
                          <w:tcPr>
                            <w:tcW w:w="2345" w:type="dxa"/>
                            <w:gridSpan w:val="2"/>
                          </w:tcPr>
                          <w:p w14:paraId="39C80EF4">
                            <w:pPr>
                              <w:pStyle w:val="132"/>
                              <w:spacing w:before="50"/>
                              <w:ind w:left="364" w:hanging="364"/>
                              <w:rPr>
                                <w:rFonts w:ascii="黑体" w:hAnsi="黑体" w:eastAsia="黑体"/>
                                <w:sz w:val="18"/>
                                <w:szCs w:val="18"/>
                                <w:lang w:eastAsia="en-US"/>
                              </w:rPr>
                            </w:pPr>
                            <w:r>
                              <w:rPr>
                                <w:rFonts w:hint="eastAsia" w:ascii="黑体" w:hAnsi="黑体" w:eastAsia="黑体"/>
                                <w:sz w:val="18"/>
                                <w:szCs w:val="18"/>
                                <w:lang w:eastAsia="en-US"/>
                              </w:rPr>
                              <w:t>单点吊挂力（</w:t>
                            </w:r>
                            <w:r>
                              <w:rPr>
                                <w:rFonts w:ascii="黑体" w:hAnsi="黑体" w:eastAsia="黑体"/>
                                <w:sz w:val="18"/>
                                <w:szCs w:val="18"/>
                                <w:lang w:eastAsia="en-US"/>
                              </w:rPr>
                              <w:t>N</w:t>
                            </w:r>
                            <w:r>
                              <w:rPr>
                                <w:rFonts w:hint="eastAsia" w:ascii="黑体" w:hAnsi="黑体" w:eastAsia="黑体"/>
                                <w:sz w:val="18"/>
                                <w:szCs w:val="18"/>
                                <w:lang w:eastAsia="en-US"/>
                              </w:rPr>
                              <w:t>）</w:t>
                            </w:r>
                          </w:p>
                        </w:tc>
                        <w:tc>
                          <w:tcPr>
                            <w:tcW w:w="3429" w:type="dxa"/>
                          </w:tcPr>
                          <w:p w14:paraId="71FA252F">
                            <w:pPr>
                              <w:pStyle w:val="132"/>
                              <w:spacing w:before="105"/>
                              <w:ind w:left="381" w:right="92" w:hanging="381"/>
                              <w:jc w:val="center"/>
                              <w:rPr>
                                <w:rFonts w:ascii="黑体" w:hAnsi="黑体" w:eastAsia="黑体"/>
                                <w:sz w:val="18"/>
                                <w:szCs w:val="18"/>
                                <w:lang w:eastAsia="en-US"/>
                              </w:rPr>
                            </w:pPr>
                            <w:r>
                              <w:rPr>
                                <w:rFonts w:ascii="黑体" w:hAnsi="黑体" w:eastAsia="黑体"/>
                                <w:w w:val="105"/>
                                <w:sz w:val="18"/>
                                <w:szCs w:val="18"/>
                                <w:lang w:eastAsia="en-US"/>
                              </w:rPr>
                              <w:t>≥1000</w:t>
                            </w:r>
                          </w:p>
                        </w:tc>
                        <w:tc>
                          <w:tcPr>
                            <w:tcW w:w="1785" w:type="dxa"/>
                            <w:vMerge w:val="continue"/>
                            <w:tcBorders>
                              <w:top w:val="nil"/>
                            </w:tcBorders>
                          </w:tcPr>
                          <w:p w14:paraId="4AB22EBE">
                            <w:pPr>
                              <w:autoSpaceDE w:val="0"/>
                              <w:autoSpaceDN w:val="0"/>
                              <w:rPr>
                                <w:rFonts w:ascii="黑体" w:hAnsi="黑体"/>
                                <w:szCs w:val="18"/>
                                <w:lang w:eastAsia="en-US"/>
                              </w:rPr>
                            </w:pPr>
                          </w:p>
                        </w:tc>
                      </w:tr>
                      <w:tr w14:paraId="3F93B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6A3CC07E">
                            <w:pPr>
                              <w:pStyle w:val="132"/>
                              <w:spacing w:before="105"/>
                              <w:ind w:left="381" w:hanging="381"/>
                              <w:rPr>
                                <w:rFonts w:ascii="黑体" w:hAnsi="黑体" w:eastAsia="黑体"/>
                                <w:sz w:val="18"/>
                                <w:szCs w:val="18"/>
                                <w:lang w:eastAsia="en-US"/>
                              </w:rPr>
                            </w:pPr>
                            <w:r>
                              <w:rPr>
                                <w:rFonts w:ascii="黑体" w:hAnsi="黑体" w:eastAsia="黑体"/>
                                <w:w w:val="105"/>
                                <w:sz w:val="18"/>
                                <w:szCs w:val="18"/>
                                <w:lang w:eastAsia="en-US"/>
                              </w:rPr>
                              <w:t>10</w:t>
                            </w:r>
                          </w:p>
                        </w:tc>
                        <w:tc>
                          <w:tcPr>
                            <w:tcW w:w="2345" w:type="dxa"/>
                            <w:gridSpan w:val="2"/>
                          </w:tcPr>
                          <w:p w14:paraId="361A9F9D">
                            <w:pPr>
                              <w:pStyle w:val="132"/>
                              <w:spacing w:before="50"/>
                              <w:ind w:left="364" w:hanging="364"/>
                              <w:rPr>
                                <w:rFonts w:ascii="黑体" w:hAnsi="黑体" w:eastAsia="黑体"/>
                                <w:sz w:val="18"/>
                                <w:szCs w:val="18"/>
                                <w:lang w:eastAsia="zh-CN"/>
                              </w:rPr>
                            </w:pPr>
                            <w:r>
                              <w:rPr>
                                <w:rFonts w:hint="eastAsia" w:ascii="黑体" w:hAnsi="黑体" w:eastAsia="黑体"/>
                                <w:sz w:val="18"/>
                                <w:szCs w:val="18"/>
                                <w:lang w:eastAsia="zh-CN"/>
                              </w:rPr>
                              <w:t>表面拉伸粘结强度（</w:t>
                            </w:r>
                            <w:r>
                              <w:rPr>
                                <w:rFonts w:ascii="黑体" w:hAnsi="黑体" w:eastAsia="黑体"/>
                                <w:sz w:val="18"/>
                                <w:szCs w:val="18"/>
                                <w:lang w:eastAsia="zh-CN"/>
                              </w:rPr>
                              <w:t>MPa</w:t>
                            </w:r>
                            <w:r>
                              <w:rPr>
                                <w:rFonts w:hint="eastAsia" w:ascii="黑体" w:hAnsi="黑体" w:eastAsia="黑体"/>
                                <w:sz w:val="18"/>
                                <w:szCs w:val="18"/>
                                <w:lang w:eastAsia="zh-CN"/>
                              </w:rPr>
                              <w:t>）</w:t>
                            </w:r>
                          </w:p>
                        </w:tc>
                        <w:tc>
                          <w:tcPr>
                            <w:tcW w:w="3429" w:type="dxa"/>
                          </w:tcPr>
                          <w:p w14:paraId="5448674D">
                            <w:pPr>
                              <w:pStyle w:val="132"/>
                              <w:spacing w:before="105"/>
                              <w:ind w:left="364" w:right="92" w:hanging="364"/>
                              <w:jc w:val="center"/>
                              <w:rPr>
                                <w:rFonts w:ascii="黑体" w:hAnsi="黑体" w:eastAsia="黑体"/>
                                <w:sz w:val="18"/>
                                <w:szCs w:val="18"/>
                                <w:lang w:eastAsia="en-US"/>
                              </w:rPr>
                            </w:pPr>
                            <w:r>
                              <w:rPr>
                                <w:rFonts w:ascii="黑体" w:hAnsi="黑体" w:eastAsia="黑体"/>
                                <w:sz w:val="18"/>
                                <w:szCs w:val="18"/>
                                <w:lang w:eastAsia="en-US"/>
                              </w:rPr>
                              <w:t>≥0.4</w:t>
                            </w:r>
                          </w:p>
                        </w:tc>
                        <w:tc>
                          <w:tcPr>
                            <w:tcW w:w="1785" w:type="dxa"/>
                          </w:tcPr>
                          <w:p w14:paraId="15BF689D">
                            <w:pPr>
                              <w:pStyle w:val="132"/>
                              <w:spacing w:before="105"/>
                              <w:ind w:left="381" w:hanging="381"/>
                              <w:rPr>
                                <w:rFonts w:ascii="黑体" w:hAnsi="黑体" w:eastAsia="黑体"/>
                                <w:sz w:val="18"/>
                                <w:szCs w:val="18"/>
                                <w:lang w:eastAsia="en-US"/>
                              </w:rPr>
                            </w:pPr>
                            <w:r>
                              <w:rPr>
                                <w:rFonts w:ascii="黑体" w:hAnsi="黑体" w:eastAsia="黑体"/>
                                <w:w w:val="105"/>
                                <w:sz w:val="18"/>
                                <w:szCs w:val="18"/>
                                <w:lang w:eastAsia="en-US"/>
                              </w:rPr>
                              <w:t>JGJ/T220-2010</w:t>
                            </w:r>
                          </w:p>
                        </w:tc>
                      </w:tr>
                      <w:tr w14:paraId="64F7E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660" w:type="dxa"/>
                          </w:tcPr>
                          <w:p w14:paraId="04F31305">
                            <w:pPr>
                              <w:pStyle w:val="132"/>
                              <w:spacing w:before="105"/>
                              <w:ind w:left="381" w:hanging="381"/>
                              <w:rPr>
                                <w:rFonts w:ascii="黑体" w:hAnsi="黑体" w:eastAsia="黑体"/>
                                <w:sz w:val="18"/>
                                <w:szCs w:val="18"/>
                                <w:lang w:eastAsia="en-US"/>
                              </w:rPr>
                            </w:pPr>
                            <w:r>
                              <w:rPr>
                                <w:rFonts w:ascii="黑体" w:hAnsi="黑体" w:eastAsia="黑体"/>
                                <w:w w:val="105"/>
                                <w:sz w:val="18"/>
                                <w:szCs w:val="18"/>
                                <w:lang w:eastAsia="en-US"/>
                              </w:rPr>
                              <w:t>11</w:t>
                            </w:r>
                          </w:p>
                        </w:tc>
                        <w:tc>
                          <w:tcPr>
                            <w:tcW w:w="2345" w:type="dxa"/>
                            <w:gridSpan w:val="2"/>
                          </w:tcPr>
                          <w:p w14:paraId="14EE6F7F">
                            <w:pPr>
                              <w:pStyle w:val="132"/>
                              <w:spacing w:before="50"/>
                              <w:ind w:left="364" w:right="941" w:hanging="364"/>
                              <w:jc w:val="center"/>
                              <w:rPr>
                                <w:rFonts w:ascii="黑体" w:hAnsi="黑体" w:eastAsia="黑体"/>
                                <w:sz w:val="18"/>
                                <w:szCs w:val="18"/>
                                <w:lang w:eastAsia="en-US"/>
                              </w:rPr>
                            </w:pPr>
                            <w:r>
                              <w:rPr>
                                <w:rFonts w:hint="eastAsia" w:ascii="黑体" w:hAnsi="黑体" w:eastAsia="黑体"/>
                                <w:sz w:val="18"/>
                                <w:szCs w:val="18"/>
                                <w:lang w:eastAsia="en-US"/>
                              </w:rPr>
                              <w:t>放射性</w:t>
                            </w:r>
                          </w:p>
                        </w:tc>
                        <w:tc>
                          <w:tcPr>
                            <w:tcW w:w="3429" w:type="dxa"/>
                          </w:tcPr>
                          <w:p w14:paraId="1C4F86F0">
                            <w:pPr>
                              <w:pStyle w:val="132"/>
                              <w:spacing w:before="48"/>
                              <w:ind w:left="348" w:hanging="348"/>
                              <w:jc w:val="center"/>
                              <w:rPr>
                                <w:rFonts w:ascii="黑体" w:hAnsi="黑体" w:eastAsia="黑体"/>
                                <w:sz w:val="18"/>
                                <w:szCs w:val="18"/>
                                <w:lang w:eastAsia="en-US"/>
                              </w:rPr>
                            </w:pPr>
                            <w:r>
                              <w:rPr>
                                <w:rFonts w:ascii="黑体" w:hAnsi="黑体" w:eastAsia="黑体"/>
                                <w:spacing w:val="-1"/>
                                <w:w w:val="97"/>
                                <w:position w:val="1"/>
                                <w:sz w:val="18"/>
                                <w:szCs w:val="18"/>
                                <w:lang w:eastAsia="en-US"/>
                              </w:rPr>
                              <w:t>I</w:t>
                            </w:r>
                            <w:r>
                              <w:rPr>
                                <w:rFonts w:ascii="黑体" w:hAnsi="黑体" w:eastAsia="黑体"/>
                                <w:spacing w:val="-1"/>
                                <w:w w:val="112"/>
                                <w:sz w:val="18"/>
                                <w:szCs w:val="18"/>
                                <w:lang w:eastAsia="en-US"/>
                              </w:rPr>
                              <w:t>R</w:t>
                            </w:r>
                            <w:r>
                              <w:rPr>
                                <w:rFonts w:ascii="黑体" w:hAnsi="黑体" w:eastAsia="黑体"/>
                                <w:spacing w:val="-1"/>
                                <w:w w:val="109"/>
                                <w:sz w:val="18"/>
                                <w:szCs w:val="18"/>
                                <w:lang w:eastAsia="en-US"/>
                              </w:rPr>
                              <w:t>a</w:t>
                            </w:r>
                            <w:r>
                              <w:rPr>
                                <w:rFonts w:ascii="黑体" w:hAnsi="黑体" w:eastAsia="黑体"/>
                                <w:w w:val="96"/>
                                <w:position w:val="1"/>
                                <w:sz w:val="18"/>
                                <w:szCs w:val="18"/>
                                <w:lang w:eastAsia="en-US"/>
                              </w:rPr>
                              <w:t>≤</w:t>
                            </w:r>
                            <w:r>
                              <w:rPr>
                                <w:rFonts w:ascii="黑体" w:hAnsi="黑体" w:eastAsia="黑体"/>
                                <w:spacing w:val="-1"/>
                                <w:w w:val="107"/>
                                <w:position w:val="1"/>
                                <w:sz w:val="18"/>
                                <w:szCs w:val="18"/>
                                <w:lang w:eastAsia="en-US"/>
                              </w:rPr>
                              <w:t>1</w:t>
                            </w:r>
                            <w:r>
                              <w:rPr>
                                <w:rFonts w:ascii="黑体" w:hAnsi="黑体" w:eastAsia="黑体"/>
                                <w:spacing w:val="-1"/>
                                <w:w w:val="71"/>
                                <w:position w:val="1"/>
                                <w:sz w:val="18"/>
                                <w:szCs w:val="18"/>
                                <w:lang w:eastAsia="en-US"/>
                              </w:rPr>
                              <w:t>.</w:t>
                            </w:r>
                            <w:r>
                              <w:rPr>
                                <w:rFonts w:ascii="黑体" w:hAnsi="黑体" w:eastAsia="黑体"/>
                                <w:spacing w:val="-1"/>
                                <w:w w:val="107"/>
                                <w:position w:val="1"/>
                                <w:sz w:val="18"/>
                                <w:szCs w:val="18"/>
                                <w:lang w:eastAsia="en-US"/>
                              </w:rPr>
                              <w:t>0</w:t>
                            </w:r>
                            <w:r>
                              <w:rPr>
                                <w:rFonts w:hint="eastAsia" w:ascii="黑体" w:hAnsi="黑体" w:eastAsia="黑体"/>
                                <w:position w:val="1"/>
                                <w:sz w:val="18"/>
                                <w:szCs w:val="18"/>
                                <w:lang w:eastAsia="en-US"/>
                              </w:rPr>
                              <w:t>，</w:t>
                            </w:r>
                            <w:r>
                              <w:rPr>
                                <w:rFonts w:ascii="黑体" w:hAnsi="黑体" w:eastAsia="黑体"/>
                                <w:spacing w:val="-1"/>
                                <w:w w:val="97"/>
                                <w:position w:val="1"/>
                                <w:sz w:val="18"/>
                                <w:szCs w:val="18"/>
                                <w:lang w:eastAsia="en-US"/>
                              </w:rPr>
                              <w:t>I</w:t>
                            </w:r>
                            <w:r>
                              <w:rPr>
                                <w:rFonts w:ascii="黑体" w:hAnsi="黑体" w:eastAsia="黑体"/>
                                <w:spacing w:val="-1"/>
                                <w:w w:val="86"/>
                                <w:sz w:val="18"/>
                                <w:szCs w:val="18"/>
                                <w:lang w:eastAsia="en-US"/>
                              </w:rPr>
                              <w:t>r</w:t>
                            </w:r>
                            <w:r>
                              <w:rPr>
                                <w:rFonts w:ascii="黑体" w:hAnsi="黑体" w:eastAsia="黑体"/>
                                <w:w w:val="96"/>
                                <w:position w:val="1"/>
                                <w:sz w:val="18"/>
                                <w:szCs w:val="18"/>
                                <w:lang w:eastAsia="en-US"/>
                              </w:rPr>
                              <w:t>≤</w:t>
                            </w:r>
                            <w:r>
                              <w:rPr>
                                <w:rFonts w:ascii="黑体" w:hAnsi="黑体" w:eastAsia="黑体"/>
                                <w:spacing w:val="-1"/>
                                <w:w w:val="107"/>
                                <w:position w:val="1"/>
                                <w:sz w:val="18"/>
                                <w:szCs w:val="18"/>
                                <w:lang w:eastAsia="en-US"/>
                              </w:rPr>
                              <w:t>1</w:t>
                            </w:r>
                            <w:r>
                              <w:rPr>
                                <w:rFonts w:ascii="黑体" w:hAnsi="黑体" w:eastAsia="黑体"/>
                                <w:spacing w:val="-1"/>
                                <w:w w:val="71"/>
                                <w:position w:val="1"/>
                                <w:sz w:val="18"/>
                                <w:szCs w:val="18"/>
                                <w:lang w:eastAsia="en-US"/>
                              </w:rPr>
                              <w:t>.</w:t>
                            </w:r>
                            <w:r>
                              <w:rPr>
                                <w:rFonts w:ascii="黑体" w:hAnsi="黑体" w:eastAsia="黑体"/>
                                <w:w w:val="107"/>
                                <w:position w:val="1"/>
                                <w:sz w:val="18"/>
                                <w:szCs w:val="18"/>
                                <w:lang w:eastAsia="en-US"/>
                              </w:rPr>
                              <w:t>0</w:t>
                            </w:r>
                          </w:p>
                        </w:tc>
                        <w:tc>
                          <w:tcPr>
                            <w:tcW w:w="1785" w:type="dxa"/>
                          </w:tcPr>
                          <w:p w14:paraId="59EEB438">
                            <w:pPr>
                              <w:pStyle w:val="132"/>
                              <w:spacing w:before="105"/>
                              <w:ind w:left="377" w:hanging="377"/>
                              <w:rPr>
                                <w:rFonts w:ascii="黑体" w:hAnsi="黑体" w:eastAsia="黑体"/>
                                <w:sz w:val="18"/>
                                <w:szCs w:val="18"/>
                                <w:lang w:eastAsia="en-US"/>
                              </w:rPr>
                            </w:pPr>
                            <w:r>
                              <w:rPr>
                                <w:rFonts w:ascii="黑体" w:hAnsi="黑体" w:eastAsia="黑体"/>
                                <w:spacing w:val="-1"/>
                                <w:w w:val="105"/>
                                <w:sz w:val="18"/>
                                <w:szCs w:val="18"/>
                                <w:lang w:eastAsia="en-US"/>
                              </w:rPr>
                              <w:t>GB</w:t>
                            </w:r>
                            <w:r>
                              <w:rPr>
                                <w:rFonts w:ascii="黑体" w:hAnsi="黑体" w:eastAsia="黑体"/>
                                <w:spacing w:val="-16"/>
                                <w:w w:val="105"/>
                                <w:sz w:val="18"/>
                                <w:szCs w:val="18"/>
                                <w:lang w:eastAsia="en-US"/>
                              </w:rPr>
                              <w:t xml:space="preserve"> </w:t>
                            </w:r>
                            <w:r>
                              <w:rPr>
                                <w:rFonts w:ascii="黑体" w:hAnsi="黑体" w:eastAsia="黑体"/>
                                <w:spacing w:val="-1"/>
                                <w:w w:val="105"/>
                                <w:sz w:val="18"/>
                                <w:szCs w:val="18"/>
                                <w:lang w:eastAsia="en-US"/>
                              </w:rPr>
                              <w:t>6566-2010</w:t>
                            </w:r>
                          </w:p>
                        </w:tc>
                      </w:tr>
                    </w:tbl>
                    <w:p w14:paraId="0A89554E">
                      <w:pPr>
                        <w:pStyle w:val="14"/>
                        <w:rPr>
                          <w:rFonts w:ascii="黑体" w:hAnsi="黑体"/>
                          <w:szCs w:val="18"/>
                        </w:rPr>
                      </w:pPr>
                    </w:p>
                  </w:txbxContent>
                </v:textbox>
              </v:shape>
            </w:pict>
          </mc:Fallback>
        </mc:AlternateContent>
      </w:r>
      <w:r>
        <w:rPr>
          <w:spacing w:val="-3"/>
        </w:rPr>
        <w:t xml:space="preserve">表 </w:t>
      </w:r>
      <w:r>
        <w:t>1</w:t>
      </w:r>
      <w:r>
        <w:rPr>
          <w:spacing w:val="-10"/>
        </w:rPr>
        <w:t xml:space="preserve"> </w:t>
      </w:r>
      <w:r>
        <w:t>基本性能</w:t>
      </w:r>
    </w:p>
    <w:p w14:paraId="3FE7D9F2">
      <w:pPr>
        <w:pStyle w:val="111"/>
        <w:numPr>
          <w:ilvl w:val="0"/>
          <w:numId w:val="0"/>
        </w:numPr>
        <w:jc w:val="left"/>
      </w:pPr>
    </w:p>
    <w:p w14:paraId="74E7FCCE">
      <w:pPr>
        <w:pStyle w:val="111"/>
        <w:numPr>
          <w:ilvl w:val="0"/>
          <w:numId w:val="12"/>
        </w:numPr>
        <w:jc w:val="left"/>
      </w:pPr>
      <w:r>
        <w:t>结构性能需满足 GB/T 15762-2020 中 6.5 要求；</w:t>
      </w:r>
    </w:p>
    <w:p w14:paraId="4B71E5EB">
      <w:pPr>
        <w:pStyle w:val="49"/>
        <w:numPr>
          <w:ilvl w:val="0"/>
          <w:numId w:val="12"/>
        </w:numPr>
        <w:autoSpaceDE w:val="0"/>
        <w:autoSpaceDN w:val="0"/>
        <w:adjustRightInd w:val="0"/>
        <w:spacing w:line="360" w:lineRule="auto"/>
        <w:ind w:firstLineChars="0"/>
        <w:jc w:val="left"/>
        <w:rPr>
          <w:rFonts w:ascii="黑体" w:hAnsi="黑体"/>
          <w:szCs w:val="18"/>
        </w:rPr>
      </w:pPr>
      <w:r>
        <w:rPr>
          <w:rFonts w:ascii="黑体" w:hAnsi="黑体"/>
          <w:szCs w:val="18"/>
        </w:rPr>
        <w:t>基本风压大于或等于</w:t>
      </w:r>
      <w:r>
        <w:rPr>
          <w:rFonts w:hint="eastAsia" w:ascii="黑体" w:hAnsi="黑体"/>
          <w:szCs w:val="18"/>
        </w:rPr>
        <w:t>0</w:t>
      </w:r>
      <w:r>
        <w:rPr>
          <w:rFonts w:ascii="黑体" w:hAnsi="黑体"/>
          <w:szCs w:val="18"/>
        </w:rPr>
        <w:t>.7KPa的地区，</w:t>
      </w:r>
      <w:r>
        <w:rPr>
          <w:rFonts w:hint="eastAsia" w:ascii="黑体" w:hAnsi="黑体"/>
          <w:szCs w:val="18"/>
        </w:rPr>
        <w:t>ALC</w:t>
      </w:r>
      <w:r>
        <w:rPr>
          <w:rFonts w:ascii="黑体" w:hAnsi="黑体"/>
          <w:szCs w:val="18"/>
        </w:rPr>
        <w:t>墙体不宜作为直接承受风压的围护系统设计。</w:t>
      </w:r>
    </w:p>
    <w:p w14:paraId="7D415FAF">
      <w:pPr>
        <w:pStyle w:val="49"/>
        <w:numPr>
          <w:ilvl w:val="0"/>
          <w:numId w:val="12"/>
        </w:numPr>
        <w:autoSpaceDE w:val="0"/>
        <w:autoSpaceDN w:val="0"/>
        <w:adjustRightInd w:val="0"/>
        <w:spacing w:line="360" w:lineRule="auto"/>
        <w:ind w:firstLineChars="0"/>
        <w:jc w:val="left"/>
        <w:rPr>
          <w:rFonts w:ascii="黑体" w:hAnsi="黑体"/>
          <w:szCs w:val="18"/>
        </w:rPr>
      </w:pPr>
      <w:r>
        <w:rPr>
          <w:rFonts w:ascii="黑体" w:hAnsi="黑体"/>
          <w:szCs w:val="18"/>
        </w:rPr>
        <w:t>对于直接承受风荷载的外墙，如需选</w:t>
      </w:r>
      <w:r>
        <w:rPr>
          <w:rFonts w:hint="eastAsia" w:ascii="黑体" w:hAnsi="黑体"/>
          <w:szCs w:val="18"/>
        </w:rPr>
        <w:t>ALC</w:t>
      </w:r>
      <w:r>
        <w:rPr>
          <w:rFonts w:ascii="黑体" w:hAnsi="黑体"/>
          <w:szCs w:val="18"/>
        </w:rPr>
        <w:t>围护系统需做专项设计并报设计师复核同意。</w:t>
      </w:r>
    </w:p>
    <w:p w14:paraId="663A9C8E">
      <w:pPr>
        <w:pStyle w:val="49"/>
        <w:numPr>
          <w:ilvl w:val="0"/>
          <w:numId w:val="12"/>
        </w:numPr>
        <w:autoSpaceDE w:val="0"/>
        <w:autoSpaceDN w:val="0"/>
        <w:adjustRightInd w:val="0"/>
        <w:spacing w:line="360" w:lineRule="auto"/>
        <w:ind w:firstLineChars="0"/>
        <w:jc w:val="left"/>
        <w:rPr>
          <w:rFonts w:ascii="黑体" w:hAnsi="黑体"/>
          <w:szCs w:val="18"/>
        </w:rPr>
      </w:pPr>
      <w:r>
        <w:rPr>
          <w:rFonts w:hint="eastAsia" w:ascii="黑体" w:hAnsi="黑体"/>
          <w:szCs w:val="18"/>
        </w:rPr>
        <w:t>板材内配筋构造需满足</w:t>
      </w:r>
      <w:r>
        <w:rPr>
          <w:rFonts w:ascii="黑体" w:hAnsi="黑体"/>
          <w:szCs w:val="18"/>
        </w:rPr>
        <w:t>GB15762-2020中外墙板的构造标准，如下图表5（引自GB15762-2020</w:t>
      </w:r>
      <w:r>
        <w:rPr>
          <w:rFonts w:hint="eastAsia" w:ascii="黑体" w:hAnsi="黑体"/>
          <w:szCs w:val="18"/>
        </w:rPr>
        <w:t>）。</w:t>
      </w:r>
    </w:p>
    <w:p w14:paraId="6CACE0F7">
      <w:pPr>
        <w:autoSpaceDE w:val="0"/>
        <w:autoSpaceDN w:val="0"/>
        <w:adjustRightInd w:val="0"/>
        <w:spacing w:line="360" w:lineRule="auto"/>
        <w:ind w:left="283"/>
        <w:jc w:val="left"/>
        <w:rPr>
          <w:rFonts w:ascii="黑体" w:hAnsi="黑体"/>
          <w:szCs w:val="18"/>
        </w:rPr>
      </w:pPr>
      <w:r>
        <w:drawing>
          <wp:inline distT="0" distB="0" distL="0" distR="0">
            <wp:extent cx="5501640" cy="3138805"/>
            <wp:effectExtent l="0" t="0" r="3810"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a:stretch>
                      <a:fillRect/>
                    </a:stretch>
                  </pic:blipFill>
                  <pic:spPr>
                    <a:xfrm>
                      <a:off x="0" y="0"/>
                      <a:ext cx="5558236" cy="3171373"/>
                    </a:xfrm>
                    <a:prstGeom prst="rect">
                      <a:avLst/>
                    </a:prstGeom>
                  </pic:spPr>
                </pic:pic>
              </a:graphicData>
            </a:graphic>
          </wp:inline>
        </w:drawing>
      </w:r>
    </w:p>
    <w:p w14:paraId="092D1940">
      <w:pPr>
        <w:pStyle w:val="111"/>
        <w:numPr>
          <w:ilvl w:val="0"/>
          <w:numId w:val="0"/>
        </w:numPr>
        <w:ind w:firstLine="361" w:firstLineChars="200"/>
        <w:jc w:val="left"/>
        <w:rPr>
          <w:b/>
        </w:rPr>
      </w:pPr>
      <w:r>
        <w:rPr>
          <w:b/>
        </w:rPr>
        <w:t>2.3.3.4</w:t>
      </w:r>
      <w:r>
        <w:rPr>
          <w:rFonts w:hint="eastAsia"/>
          <w:b/>
        </w:rPr>
        <w:t>、</w:t>
      </w:r>
      <w:r>
        <w:rPr>
          <w:b/>
        </w:rPr>
        <w:t>钢筋防锈及保护层要求</w:t>
      </w:r>
    </w:p>
    <w:p w14:paraId="330C980C">
      <w:pPr>
        <w:spacing w:line="325" w:lineRule="exact"/>
        <w:ind w:left="3843"/>
        <w:jc w:val="left"/>
        <w:rPr>
          <w:rFonts w:ascii="黑体" w:hAnsi="黑体"/>
          <w:szCs w:val="18"/>
        </w:rPr>
      </w:pPr>
      <w:r>
        <w:rPr>
          <w:rFonts w:ascii="黑体" w:hAnsi="黑体"/>
          <w:spacing w:val="-3"/>
          <w:szCs w:val="18"/>
        </w:rPr>
        <w:t xml:space="preserve">表 </w:t>
      </w:r>
      <w:r>
        <w:rPr>
          <w:rFonts w:ascii="黑体" w:hAnsi="黑体"/>
          <w:szCs w:val="18"/>
        </w:rPr>
        <w:t>2</w:t>
      </w:r>
      <w:r>
        <w:rPr>
          <w:rFonts w:ascii="黑体" w:hAnsi="黑体"/>
          <w:spacing w:val="-10"/>
          <w:szCs w:val="18"/>
        </w:rPr>
        <w:t xml:space="preserve"> </w:t>
      </w:r>
      <w:r>
        <w:rPr>
          <w:rFonts w:ascii="黑体" w:hAnsi="黑体"/>
          <w:szCs w:val="18"/>
        </w:rPr>
        <w:t>钢筋防锈要求</w:t>
      </w:r>
    </w:p>
    <w:tbl>
      <w:tblPr>
        <w:tblStyle w:val="133"/>
        <w:tblW w:w="0" w:type="auto"/>
        <w:tblInd w:w="4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3128"/>
        <w:gridCol w:w="2379"/>
        <w:gridCol w:w="2248"/>
      </w:tblGrid>
      <w:tr w14:paraId="050C5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49" w:type="dxa"/>
            <w:shd w:val="clear" w:color="auto" w:fill="BDBDBD"/>
          </w:tcPr>
          <w:p w14:paraId="6CCC1C05">
            <w:pPr>
              <w:pStyle w:val="132"/>
              <w:spacing w:before="27"/>
              <w:ind w:left="404" w:right="135" w:hanging="404"/>
              <w:rPr>
                <w:rFonts w:ascii="黑体" w:hAnsi="黑体" w:eastAsia="黑体"/>
                <w:sz w:val="18"/>
                <w:szCs w:val="18"/>
                <w:lang w:eastAsia="en-US"/>
              </w:rPr>
            </w:pPr>
            <w:r>
              <w:rPr>
                <w:rFonts w:hint="eastAsia" w:ascii="黑体" w:hAnsi="黑体" w:eastAsia="黑体"/>
                <w:sz w:val="18"/>
                <w:szCs w:val="18"/>
                <w:lang w:eastAsia="en-US"/>
              </w:rPr>
              <w:t>序号</w:t>
            </w:r>
          </w:p>
        </w:tc>
        <w:tc>
          <w:tcPr>
            <w:tcW w:w="3128" w:type="dxa"/>
            <w:shd w:val="clear" w:color="auto" w:fill="BDBDBD"/>
          </w:tcPr>
          <w:p w14:paraId="016E725D">
            <w:pPr>
              <w:pStyle w:val="132"/>
              <w:spacing w:before="27"/>
              <w:ind w:left="404" w:right="606" w:hanging="404"/>
              <w:rPr>
                <w:rFonts w:ascii="黑体" w:hAnsi="黑体" w:eastAsia="黑体"/>
                <w:sz w:val="18"/>
                <w:szCs w:val="18"/>
                <w:lang w:eastAsia="en-US"/>
              </w:rPr>
            </w:pPr>
            <w:r>
              <w:rPr>
                <w:rFonts w:hint="eastAsia" w:ascii="黑体" w:hAnsi="黑体" w:eastAsia="黑体"/>
                <w:sz w:val="18"/>
                <w:szCs w:val="18"/>
                <w:lang w:eastAsia="en-US"/>
              </w:rPr>
              <w:t>项目</w:t>
            </w:r>
          </w:p>
        </w:tc>
        <w:tc>
          <w:tcPr>
            <w:tcW w:w="2379" w:type="dxa"/>
            <w:shd w:val="clear" w:color="auto" w:fill="BDBDBD"/>
          </w:tcPr>
          <w:p w14:paraId="55081F16">
            <w:pPr>
              <w:pStyle w:val="132"/>
              <w:spacing w:before="27"/>
              <w:ind w:left="404" w:right="1001" w:hanging="404"/>
              <w:rPr>
                <w:rFonts w:ascii="黑体" w:hAnsi="黑体" w:eastAsia="黑体"/>
                <w:sz w:val="18"/>
                <w:szCs w:val="18"/>
                <w:lang w:eastAsia="en-US"/>
              </w:rPr>
            </w:pPr>
            <w:r>
              <w:rPr>
                <w:rFonts w:hint="eastAsia" w:ascii="黑体" w:hAnsi="黑体" w:eastAsia="黑体"/>
                <w:sz w:val="18"/>
                <w:szCs w:val="18"/>
                <w:lang w:eastAsia="en-US"/>
              </w:rPr>
              <w:t>指标要求</w:t>
            </w:r>
          </w:p>
        </w:tc>
        <w:tc>
          <w:tcPr>
            <w:tcW w:w="2248" w:type="dxa"/>
            <w:shd w:val="clear" w:color="auto" w:fill="BDBDBD"/>
          </w:tcPr>
          <w:p w14:paraId="184DAED9">
            <w:pPr>
              <w:pStyle w:val="132"/>
              <w:spacing w:before="27"/>
              <w:ind w:left="404" w:hanging="404"/>
              <w:rPr>
                <w:rFonts w:ascii="黑体" w:hAnsi="黑体" w:eastAsia="黑体"/>
                <w:sz w:val="18"/>
                <w:szCs w:val="18"/>
                <w:lang w:eastAsia="en-US"/>
              </w:rPr>
            </w:pPr>
            <w:r>
              <w:rPr>
                <w:rFonts w:hint="eastAsia" w:ascii="黑体" w:hAnsi="黑体" w:eastAsia="黑体"/>
                <w:sz w:val="18"/>
                <w:szCs w:val="18"/>
                <w:lang w:eastAsia="en-US"/>
              </w:rPr>
              <w:t>测试方法</w:t>
            </w:r>
          </w:p>
        </w:tc>
      </w:tr>
      <w:tr w14:paraId="04F44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749" w:type="dxa"/>
          </w:tcPr>
          <w:p w14:paraId="1D694FF4">
            <w:pPr>
              <w:pStyle w:val="132"/>
              <w:spacing w:before="82"/>
              <w:ind w:left="429" w:hanging="429"/>
              <w:rPr>
                <w:rFonts w:ascii="黑体" w:hAnsi="黑体" w:eastAsia="黑体"/>
                <w:sz w:val="18"/>
                <w:szCs w:val="18"/>
                <w:lang w:eastAsia="en-US"/>
              </w:rPr>
            </w:pPr>
            <w:r>
              <w:rPr>
                <w:rFonts w:ascii="黑体" w:hAnsi="黑体" w:eastAsia="黑体"/>
                <w:w w:val="107"/>
                <w:sz w:val="18"/>
                <w:szCs w:val="18"/>
                <w:lang w:eastAsia="en-US"/>
              </w:rPr>
              <w:t>1</w:t>
            </w:r>
          </w:p>
        </w:tc>
        <w:tc>
          <w:tcPr>
            <w:tcW w:w="3128" w:type="dxa"/>
          </w:tcPr>
          <w:p w14:paraId="4B8C8E0B">
            <w:pPr>
              <w:pStyle w:val="132"/>
              <w:spacing w:before="27"/>
              <w:ind w:left="404" w:right="606" w:hanging="404"/>
              <w:rPr>
                <w:rFonts w:ascii="黑体" w:hAnsi="黑体" w:eastAsia="黑体"/>
                <w:sz w:val="18"/>
                <w:szCs w:val="18"/>
                <w:lang w:eastAsia="en-US"/>
              </w:rPr>
            </w:pPr>
            <w:r>
              <w:rPr>
                <w:rFonts w:hint="eastAsia" w:ascii="黑体" w:hAnsi="黑体" w:eastAsia="黑体"/>
                <w:sz w:val="18"/>
                <w:szCs w:val="18"/>
                <w:lang w:eastAsia="en-US"/>
              </w:rPr>
              <w:t>锈蚀面积</w:t>
            </w:r>
          </w:p>
        </w:tc>
        <w:tc>
          <w:tcPr>
            <w:tcW w:w="2379" w:type="dxa"/>
          </w:tcPr>
          <w:p w14:paraId="07CED735">
            <w:pPr>
              <w:pStyle w:val="132"/>
              <w:spacing w:before="82"/>
              <w:ind w:left="442" w:right="1001" w:hanging="442"/>
              <w:rPr>
                <w:rFonts w:ascii="黑体" w:hAnsi="黑体" w:eastAsia="黑体"/>
                <w:sz w:val="18"/>
                <w:szCs w:val="18"/>
                <w:lang w:eastAsia="en-US"/>
              </w:rPr>
            </w:pPr>
            <w:r>
              <w:rPr>
                <w:rFonts w:ascii="黑体" w:hAnsi="黑体" w:eastAsia="黑体"/>
                <w:w w:val="110"/>
                <w:sz w:val="18"/>
                <w:szCs w:val="18"/>
                <w:lang w:eastAsia="en-US"/>
              </w:rPr>
              <w:t>≤5%</w:t>
            </w:r>
          </w:p>
        </w:tc>
        <w:tc>
          <w:tcPr>
            <w:tcW w:w="2248" w:type="dxa"/>
            <w:vMerge w:val="restart"/>
          </w:tcPr>
          <w:p w14:paraId="56AB0F99">
            <w:pPr>
              <w:pStyle w:val="132"/>
              <w:spacing w:before="163" w:line="307" w:lineRule="auto"/>
              <w:ind w:left="404" w:right="291" w:hanging="40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1"/>
                <w:sz w:val="18"/>
                <w:szCs w:val="18"/>
                <w:lang w:eastAsia="en-US"/>
              </w:rPr>
              <w:t xml:space="preserve"> </w:t>
            </w:r>
            <w:r>
              <w:rPr>
                <w:rFonts w:ascii="黑体" w:hAnsi="黑体" w:eastAsia="黑体"/>
                <w:sz w:val="18"/>
                <w:szCs w:val="18"/>
                <w:lang w:eastAsia="en-US"/>
              </w:rPr>
              <w:t>15762-2020</w:t>
            </w:r>
          </w:p>
        </w:tc>
      </w:tr>
      <w:tr w14:paraId="0354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49" w:type="dxa"/>
          </w:tcPr>
          <w:p w14:paraId="66990C2F">
            <w:pPr>
              <w:pStyle w:val="132"/>
              <w:spacing w:before="82"/>
              <w:ind w:left="429" w:hanging="429"/>
              <w:rPr>
                <w:rFonts w:ascii="黑体" w:hAnsi="黑体" w:eastAsia="黑体"/>
                <w:sz w:val="18"/>
                <w:szCs w:val="18"/>
                <w:lang w:eastAsia="en-US"/>
              </w:rPr>
            </w:pPr>
            <w:r>
              <w:rPr>
                <w:rFonts w:ascii="黑体" w:hAnsi="黑体" w:eastAsia="黑体"/>
                <w:w w:val="107"/>
                <w:sz w:val="18"/>
                <w:szCs w:val="18"/>
                <w:lang w:eastAsia="en-US"/>
              </w:rPr>
              <w:t>2</w:t>
            </w:r>
          </w:p>
        </w:tc>
        <w:tc>
          <w:tcPr>
            <w:tcW w:w="3128" w:type="dxa"/>
          </w:tcPr>
          <w:p w14:paraId="3F64C564">
            <w:pPr>
              <w:pStyle w:val="132"/>
              <w:spacing w:before="27"/>
              <w:ind w:left="404" w:right="606" w:hanging="404"/>
              <w:rPr>
                <w:rFonts w:ascii="黑体" w:hAnsi="黑体" w:eastAsia="黑体"/>
                <w:sz w:val="18"/>
                <w:szCs w:val="18"/>
                <w:lang w:eastAsia="zh-CN"/>
              </w:rPr>
            </w:pPr>
            <w:r>
              <w:rPr>
                <w:rFonts w:hint="eastAsia" w:ascii="黑体" w:hAnsi="黑体" w:eastAsia="黑体"/>
                <w:sz w:val="18"/>
                <w:szCs w:val="18"/>
                <w:lang w:eastAsia="zh-CN"/>
              </w:rPr>
              <w:t>钢筋粘着力（</w:t>
            </w:r>
            <w:r>
              <w:rPr>
                <w:rFonts w:ascii="黑体" w:hAnsi="黑体" w:eastAsia="黑体"/>
                <w:sz w:val="18"/>
                <w:szCs w:val="18"/>
                <w:lang w:eastAsia="zh-CN"/>
              </w:rPr>
              <w:t>MPa</w:t>
            </w:r>
            <w:r>
              <w:rPr>
                <w:rFonts w:hint="eastAsia" w:ascii="黑体" w:hAnsi="黑体" w:eastAsia="黑体"/>
                <w:sz w:val="18"/>
                <w:szCs w:val="18"/>
                <w:lang w:eastAsia="zh-CN"/>
              </w:rPr>
              <w:t>）</w:t>
            </w:r>
          </w:p>
        </w:tc>
        <w:tc>
          <w:tcPr>
            <w:tcW w:w="2379" w:type="dxa"/>
          </w:tcPr>
          <w:p w14:paraId="7C75039A">
            <w:pPr>
              <w:pStyle w:val="132"/>
              <w:spacing w:before="82"/>
              <w:ind w:left="404" w:right="1001" w:hanging="404"/>
              <w:rPr>
                <w:rFonts w:ascii="黑体" w:hAnsi="黑体" w:eastAsia="黑体"/>
                <w:sz w:val="18"/>
                <w:szCs w:val="18"/>
                <w:lang w:eastAsia="en-US"/>
              </w:rPr>
            </w:pPr>
            <w:r>
              <w:rPr>
                <w:rFonts w:ascii="黑体" w:hAnsi="黑体" w:eastAsia="黑体"/>
                <w:sz w:val="18"/>
                <w:szCs w:val="18"/>
                <w:lang w:eastAsia="en-US"/>
              </w:rPr>
              <w:t>≥1.0</w:t>
            </w:r>
          </w:p>
        </w:tc>
        <w:tc>
          <w:tcPr>
            <w:tcW w:w="2248" w:type="dxa"/>
            <w:vMerge w:val="continue"/>
            <w:tcBorders>
              <w:top w:val="nil"/>
            </w:tcBorders>
          </w:tcPr>
          <w:p w14:paraId="367F662A">
            <w:pPr>
              <w:autoSpaceDE w:val="0"/>
              <w:autoSpaceDN w:val="0"/>
              <w:jc w:val="left"/>
              <w:rPr>
                <w:rFonts w:ascii="黑体" w:hAnsi="黑体"/>
                <w:szCs w:val="18"/>
                <w:lang w:eastAsia="en-US"/>
              </w:rPr>
            </w:pPr>
          </w:p>
        </w:tc>
      </w:tr>
    </w:tbl>
    <w:p w14:paraId="4D89E1E5">
      <w:pPr>
        <w:spacing w:before="120"/>
        <w:ind w:left="2825" w:right="2850"/>
        <w:jc w:val="left"/>
        <w:rPr>
          <w:rFonts w:ascii="黑体" w:hAnsi="黑体"/>
          <w:szCs w:val="18"/>
        </w:rPr>
      </w:pPr>
      <w:r>
        <w:rPr>
          <w:rFonts w:ascii="黑体" w:hAnsi="黑体"/>
          <w:spacing w:val="-3"/>
          <w:szCs w:val="18"/>
        </w:rPr>
        <w:t xml:space="preserve">表 </w:t>
      </w:r>
      <w:r>
        <w:rPr>
          <w:rFonts w:ascii="黑体" w:hAnsi="黑体"/>
          <w:szCs w:val="18"/>
        </w:rPr>
        <w:t>3</w:t>
      </w:r>
      <w:r>
        <w:rPr>
          <w:rFonts w:ascii="黑体" w:hAnsi="黑体"/>
          <w:spacing w:val="-10"/>
          <w:szCs w:val="18"/>
        </w:rPr>
        <w:t xml:space="preserve"> </w:t>
      </w:r>
      <w:r>
        <w:rPr>
          <w:rFonts w:ascii="黑体" w:hAnsi="黑体"/>
          <w:szCs w:val="18"/>
        </w:rPr>
        <w:t>纵向钢筋保护层要求</w:t>
      </w:r>
    </w:p>
    <w:tbl>
      <w:tblPr>
        <w:tblStyle w:val="133"/>
        <w:tblpPr w:leftFromText="180" w:rightFromText="180" w:vertAnchor="text" w:horzAnchor="page" w:tblpX="1561" w:tblpY="20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1725"/>
        <w:gridCol w:w="1443"/>
        <w:gridCol w:w="1536"/>
        <w:gridCol w:w="1380"/>
        <w:gridCol w:w="1733"/>
      </w:tblGrid>
      <w:tr w14:paraId="28B7E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3" w:type="dxa"/>
            <w:vMerge w:val="restart"/>
            <w:shd w:val="clear" w:color="auto" w:fill="BDBDBD"/>
          </w:tcPr>
          <w:p w14:paraId="6624E459">
            <w:pPr>
              <w:pStyle w:val="132"/>
              <w:spacing w:before="14"/>
              <w:ind w:left="364" w:hanging="364"/>
              <w:rPr>
                <w:rFonts w:ascii="黑体" w:hAnsi="黑体" w:eastAsia="黑体"/>
                <w:sz w:val="18"/>
                <w:szCs w:val="18"/>
                <w:lang w:eastAsia="zh-CN"/>
              </w:rPr>
            </w:pPr>
          </w:p>
          <w:p w14:paraId="62D5DCDE">
            <w:pPr>
              <w:pStyle w:val="132"/>
              <w:ind w:left="382" w:hanging="382"/>
              <w:rPr>
                <w:rFonts w:ascii="黑体" w:hAnsi="黑体" w:eastAsia="黑体"/>
                <w:sz w:val="18"/>
                <w:szCs w:val="18"/>
                <w:lang w:eastAsia="en-US"/>
              </w:rPr>
            </w:pPr>
            <w:r>
              <w:rPr>
                <w:rFonts w:hint="eastAsia" w:ascii="黑体" w:hAnsi="黑体" w:eastAsia="黑体"/>
                <w:sz w:val="18"/>
                <w:szCs w:val="18"/>
                <w:lang w:eastAsia="en-US"/>
              </w:rPr>
              <w:t>序号</w:t>
            </w:r>
          </w:p>
        </w:tc>
        <w:tc>
          <w:tcPr>
            <w:tcW w:w="1725" w:type="dxa"/>
            <w:vMerge w:val="restart"/>
            <w:shd w:val="clear" w:color="auto" w:fill="BDBDBD"/>
          </w:tcPr>
          <w:p w14:paraId="568613FB">
            <w:pPr>
              <w:pStyle w:val="132"/>
              <w:spacing w:before="14"/>
              <w:ind w:left="364" w:hanging="364"/>
              <w:rPr>
                <w:rFonts w:ascii="黑体" w:hAnsi="黑体" w:eastAsia="黑体"/>
                <w:sz w:val="18"/>
                <w:szCs w:val="18"/>
                <w:lang w:eastAsia="en-US"/>
              </w:rPr>
            </w:pPr>
          </w:p>
          <w:p w14:paraId="6537A35C">
            <w:pPr>
              <w:pStyle w:val="132"/>
              <w:ind w:left="382" w:right="98" w:hanging="382"/>
              <w:rPr>
                <w:rFonts w:ascii="黑体" w:hAnsi="黑体" w:eastAsia="黑体"/>
                <w:sz w:val="18"/>
                <w:szCs w:val="18"/>
                <w:lang w:eastAsia="en-US"/>
              </w:rPr>
            </w:pPr>
            <w:r>
              <w:rPr>
                <w:rFonts w:hint="eastAsia" w:ascii="黑体" w:hAnsi="黑体" w:eastAsia="黑体"/>
                <w:sz w:val="18"/>
                <w:szCs w:val="18"/>
                <w:lang w:eastAsia="en-US"/>
              </w:rPr>
              <w:t>项目</w:t>
            </w:r>
          </w:p>
        </w:tc>
        <w:tc>
          <w:tcPr>
            <w:tcW w:w="1443" w:type="dxa"/>
            <w:vMerge w:val="restart"/>
            <w:shd w:val="clear" w:color="auto" w:fill="BDBDBD"/>
          </w:tcPr>
          <w:p w14:paraId="58DDAF07">
            <w:pPr>
              <w:pStyle w:val="132"/>
              <w:spacing w:before="14"/>
              <w:ind w:left="364" w:hanging="364"/>
              <w:rPr>
                <w:rFonts w:ascii="黑体" w:hAnsi="黑体" w:eastAsia="黑体"/>
                <w:sz w:val="18"/>
                <w:szCs w:val="18"/>
                <w:lang w:eastAsia="en-US"/>
              </w:rPr>
            </w:pPr>
          </w:p>
          <w:p w14:paraId="709540C0">
            <w:pPr>
              <w:pStyle w:val="132"/>
              <w:ind w:left="382" w:hanging="382"/>
              <w:rPr>
                <w:rFonts w:ascii="黑体" w:hAnsi="黑体" w:eastAsia="黑体"/>
                <w:sz w:val="18"/>
                <w:szCs w:val="18"/>
                <w:lang w:eastAsia="en-US"/>
              </w:rPr>
            </w:pPr>
            <w:r>
              <w:rPr>
                <w:rFonts w:hint="eastAsia" w:ascii="黑体" w:hAnsi="黑体" w:eastAsia="黑体"/>
                <w:sz w:val="18"/>
                <w:szCs w:val="18"/>
                <w:lang w:eastAsia="en-US"/>
              </w:rPr>
              <w:t>基本尺寸</w:t>
            </w:r>
          </w:p>
        </w:tc>
        <w:tc>
          <w:tcPr>
            <w:tcW w:w="2916" w:type="dxa"/>
            <w:gridSpan w:val="2"/>
            <w:shd w:val="clear" w:color="auto" w:fill="BDBDBD"/>
          </w:tcPr>
          <w:p w14:paraId="721CB189">
            <w:pPr>
              <w:pStyle w:val="132"/>
              <w:spacing w:before="63"/>
              <w:ind w:left="434" w:hanging="434"/>
              <w:rPr>
                <w:rFonts w:ascii="黑体" w:hAnsi="黑体" w:eastAsia="黑体"/>
                <w:sz w:val="18"/>
                <w:szCs w:val="18"/>
                <w:lang w:eastAsia="en-US"/>
              </w:rPr>
            </w:pPr>
            <w:r>
              <w:rPr>
                <w:rFonts w:hint="eastAsia" w:ascii="黑体" w:hAnsi="黑体" w:eastAsia="黑体"/>
                <w:spacing w:val="13"/>
                <w:sz w:val="18"/>
                <w:szCs w:val="18"/>
                <w:lang w:eastAsia="en-US"/>
              </w:rPr>
              <w:t xml:space="preserve">允许偏差 </w:t>
            </w:r>
            <w:r>
              <w:rPr>
                <w:rFonts w:ascii="黑体" w:hAnsi="黑体" w:eastAsia="黑体"/>
                <w:sz w:val="18"/>
                <w:szCs w:val="18"/>
                <w:lang w:eastAsia="en-US"/>
              </w:rPr>
              <w:t>mm</w:t>
            </w:r>
          </w:p>
        </w:tc>
        <w:tc>
          <w:tcPr>
            <w:tcW w:w="1733" w:type="dxa"/>
            <w:vMerge w:val="restart"/>
            <w:shd w:val="clear" w:color="auto" w:fill="BDBDBD"/>
          </w:tcPr>
          <w:p w14:paraId="1A45078D">
            <w:pPr>
              <w:pStyle w:val="132"/>
              <w:spacing w:before="14"/>
              <w:ind w:left="364" w:hanging="364"/>
              <w:rPr>
                <w:rFonts w:ascii="黑体" w:hAnsi="黑体" w:eastAsia="黑体"/>
                <w:sz w:val="18"/>
                <w:szCs w:val="18"/>
                <w:lang w:eastAsia="en-US"/>
              </w:rPr>
            </w:pPr>
          </w:p>
          <w:p w14:paraId="091BACE2">
            <w:pPr>
              <w:pStyle w:val="132"/>
              <w:ind w:left="382" w:hanging="382"/>
              <w:rPr>
                <w:rFonts w:ascii="黑体" w:hAnsi="黑体" w:eastAsia="黑体"/>
                <w:sz w:val="18"/>
                <w:szCs w:val="18"/>
                <w:lang w:eastAsia="en-US"/>
              </w:rPr>
            </w:pPr>
            <w:r>
              <w:rPr>
                <w:rFonts w:hint="eastAsia" w:ascii="黑体" w:hAnsi="黑体" w:eastAsia="黑体"/>
                <w:sz w:val="18"/>
                <w:szCs w:val="18"/>
                <w:lang w:eastAsia="en-US"/>
              </w:rPr>
              <w:t>测试方法</w:t>
            </w:r>
          </w:p>
        </w:tc>
      </w:tr>
      <w:tr w14:paraId="5E0C0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3" w:type="dxa"/>
            <w:vMerge w:val="continue"/>
            <w:tcBorders>
              <w:top w:val="nil"/>
            </w:tcBorders>
            <w:shd w:val="clear" w:color="auto" w:fill="BDBDBD"/>
          </w:tcPr>
          <w:p w14:paraId="5893881E">
            <w:pPr>
              <w:autoSpaceDE w:val="0"/>
              <w:autoSpaceDN w:val="0"/>
              <w:jc w:val="left"/>
              <w:rPr>
                <w:rFonts w:ascii="黑体" w:hAnsi="黑体"/>
                <w:szCs w:val="18"/>
                <w:lang w:eastAsia="en-US"/>
              </w:rPr>
            </w:pPr>
          </w:p>
        </w:tc>
        <w:tc>
          <w:tcPr>
            <w:tcW w:w="1725" w:type="dxa"/>
            <w:vMerge w:val="continue"/>
            <w:tcBorders>
              <w:top w:val="nil"/>
            </w:tcBorders>
            <w:shd w:val="clear" w:color="auto" w:fill="BDBDBD"/>
          </w:tcPr>
          <w:p w14:paraId="31A43CEB">
            <w:pPr>
              <w:autoSpaceDE w:val="0"/>
              <w:autoSpaceDN w:val="0"/>
              <w:jc w:val="left"/>
              <w:rPr>
                <w:rFonts w:ascii="黑体" w:hAnsi="黑体"/>
                <w:szCs w:val="18"/>
                <w:lang w:eastAsia="en-US"/>
              </w:rPr>
            </w:pPr>
          </w:p>
        </w:tc>
        <w:tc>
          <w:tcPr>
            <w:tcW w:w="1443" w:type="dxa"/>
            <w:vMerge w:val="continue"/>
            <w:tcBorders>
              <w:top w:val="nil"/>
            </w:tcBorders>
            <w:shd w:val="clear" w:color="auto" w:fill="BDBDBD"/>
          </w:tcPr>
          <w:p w14:paraId="70F425C0">
            <w:pPr>
              <w:autoSpaceDE w:val="0"/>
              <w:autoSpaceDN w:val="0"/>
              <w:jc w:val="left"/>
              <w:rPr>
                <w:rFonts w:ascii="黑体" w:hAnsi="黑体"/>
                <w:szCs w:val="18"/>
                <w:lang w:eastAsia="en-US"/>
              </w:rPr>
            </w:pPr>
          </w:p>
        </w:tc>
        <w:tc>
          <w:tcPr>
            <w:tcW w:w="1536" w:type="dxa"/>
            <w:shd w:val="clear" w:color="auto" w:fill="BDBDBD"/>
          </w:tcPr>
          <w:p w14:paraId="3B633283">
            <w:pPr>
              <w:pStyle w:val="132"/>
              <w:spacing w:line="318" w:lineRule="exact"/>
              <w:ind w:left="349" w:right="-15" w:hanging="349"/>
              <w:rPr>
                <w:rFonts w:ascii="黑体" w:hAnsi="黑体" w:eastAsia="黑体"/>
                <w:sz w:val="18"/>
                <w:szCs w:val="18"/>
                <w:lang w:eastAsia="zh-CN"/>
              </w:rPr>
            </w:pPr>
            <w:r>
              <w:rPr>
                <w:rFonts w:hint="eastAsia" w:ascii="黑体" w:hAnsi="黑体" w:eastAsia="黑体"/>
                <w:spacing w:val="-8"/>
                <w:sz w:val="18"/>
                <w:szCs w:val="18"/>
                <w:lang w:eastAsia="zh-CN"/>
              </w:rPr>
              <w:t>屋面板、楼板、</w:t>
            </w:r>
          </w:p>
          <w:p w14:paraId="687EB693">
            <w:pPr>
              <w:pStyle w:val="132"/>
              <w:spacing w:line="286" w:lineRule="exact"/>
              <w:ind w:left="382" w:hanging="382"/>
              <w:rPr>
                <w:rFonts w:ascii="黑体" w:hAnsi="黑体" w:eastAsia="黑体"/>
                <w:sz w:val="18"/>
                <w:szCs w:val="18"/>
                <w:lang w:eastAsia="zh-CN"/>
              </w:rPr>
            </w:pPr>
            <w:r>
              <w:rPr>
                <w:rFonts w:hint="eastAsia" w:ascii="黑体" w:hAnsi="黑体" w:eastAsia="黑体"/>
                <w:sz w:val="18"/>
                <w:szCs w:val="18"/>
                <w:lang w:eastAsia="zh-CN"/>
              </w:rPr>
              <w:t>外墙板</w:t>
            </w:r>
          </w:p>
        </w:tc>
        <w:tc>
          <w:tcPr>
            <w:tcW w:w="1380" w:type="dxa"/>
            <w:shd w:val="clear" w:color="auto" w:fill="BDBDBD"/>
          </w:tcPr>
          <w:p w14:paraId="172930DE">
            <w:pPr>
              <w:pStyle w:val="132"/>
              <w:spacing w:before="135"/>
              <w:ind w:left="382" w:right="141" w:hanging="382"/>
              <w:rPr>
                <w:rFonts w:ascii="黑体" w:hAnsi="黑体" w:eastAsia="黑体"/>
                <w:sz w:val="18"/>
                <w:szCs w:val="18"/>
                <w:lang w:eastAsia="en-US"/>
              </w:rPr>
            </w:pPr>
            <w:r>
              <w:rPr>
                <w:rFonts w:hint="eastAsia" w:ascii="黑体" w:hAnsi="黑体" w:eastAsia="黑体"/>
                <w:sz w:val="18"/>
                <w:szCs w:val="18"/>
                <w:lang w:eastAsia="en-US"/>
              </w:rPr>
              <w:t>隔墙板</w:t>
            </w:r>
          </w:p>
        </w:tc>
        <w:tc>
          <w:tcPr>
            <w:tcW w:w="1733" w:type="dxa"/>
            <w:vMerge w:val="continue"/>
            <w:tcBorders>
              <w:top w:val="nil"/>
            </w:tcBorders>
            <w:shd w:val="clear" w:color="auto" w:fill="BDBDBD"/>
          </w:tcPr>
          <w:p w14:paraId="1157FB51">
            <w:pPr>
              <w:autoSpaceDE w:val="0"/>
              <w:autoSpaceDN w:val="0"/>
              <w:jc w:val="left"/>
              <w:rPr>
                <w:rFonts w:ascii="黑体" w:hAnsi="黑体"/>
                <w:szCs w:val="18"/>
                <w:lang w:eastAsia="en-US"/>
              </w:rPr>
            </w:pPr>
          </w:p>
        </w:tc>
      </w:tr>
      <w:tr w14:paraId="0C33C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3" w:type="dxa"/>
          </w:tcPr>
          <w:p w14:paraId="705371BB">
            <w:pPr>
              <w:pStyle w:val="132"/>
              <w:spacing w:before="190"/>
              <w:ind w:left="386" w:hanging="386"/>
              <w:rPr>
                <w:rFonts w:ascii="黑体" w:hAnsi="黑体" w:eastAsia="黑体"/>
                <w:sz w:val="18"/>
                <w:szCs w:val="18"/>
                <w:lang w:eastAsia="en-US"/>
              </w:rPr>
            </w:pPr>
            <w:r>
              <w:rPr>
                <w:rFonts w:ascii="黑体" w:hAnsi="黑体" w:eastAsia="黑体"/>
                <w:w w:val="107"/>
                <w:sz w:val="18"/>
                <w:szCs w:val="18"/>
                <w:lang w:eastAsia="en-US"/>
              </w:rPr>
              <w:t>1</w:t>
            </w:r>
          </w:p>
        </w:tc>
        <w:tc>
          <w:tcPr>
            <w:tcW w:w="1725" w:type="dxa"/>
          </w:tcPr>
          <w:p w14:paraId="07E682F5">
            <w:pPr>
              <w:pStyle w:val="132"/>
              <w:spacing w:line="318" w:lineRule="exact"/>
              <w:ind w:left="382" w:right="98" w:hanging="382"/>
              <w:rPr>
                <w:rFonts w:ascii="黑体" w:hAnsi="黑体" w:eastAsia="黑体"/>
                <w:sz w:val="18"/>
                <w:szCs w:val="18"/>
                <w:lang w:eastAsia="zh-CN"/>
              </w:rPr>
            </w:pPr>
            <w:r>
              <w:rPr>
                <w:rFonts w:hint="eastAsia" w:ascii="黑体" w:hAnsi="黑体" w:eastAsia="黑体"/>
                <w:sz w:val="18"/>
                <w:szCs w:val="18"/>
                <w:lang w:eastAsia="zh-CN"/>
              </w:rPr>
              <w:t>距大面的保护层</w:t>
            </w:r>
          </w:p>
          <w:p w14:paraId="68B142D6">
            <w:pPr>
              <w:pStyle w:val="132"/>
              <w:spacing w:line="286" w:lineRule="exact"/>
              <w:ind w:left="398" w:right="97" w:hanging="398"/>
              <w:rPr>
                <w:rFonts w:ascii="黑体" w:hAnsi="黑体" w:eastAsia="黑体"/>
                <w:sz w:val="18"/>
                <w:szCs w:val="18"/>
                <w:lang w:eastAsia="zh-CN"/>
              </w:rPr>
            </w:pPr>
            <w:r>
              <w:rPr>
                <w:rFonts w:hint="eastAsia" w:ascii="黑体" w:hAnsi="黑体" w:eastAsia="黑体"/>
                <w:spacing w:val="4"/>
                <w:sz w:val="18"/>
                <w:szCs w:val="18"/>
                <w:lang w:eastAsia="zh-CN"/>
              </w:rPr>
              <w:t xml:space="preserve">厚度 </w:t>
            </w:r>
            <w:r>
              <w:rPr>
                <w:rFonts w:ascii="黑体" w:hAnsi="黑体" w:eastAsia="黑体"/>
                <w:sz w:val="18"/>
                <w:szCs w:val="18"/>
                <w:lang w:eastAsia="zh-CN"/>
              </w:rPr>
              <w:t>c1</w:t>
            </w:r>
          </w:p>
        </w:tc>
        <w:tc>
          <w:tcPr>
            <w:tcW w:w="1443" w:type="dxa"/>
          </w:tcPr>
          <w:p w14:paraId="0CD3292C">
            <w:pPr>
              <w:pStyle w:val="132"/>
              <w:spacing w:before="190"/>
              <w:ind w:left="381" w:right="575" w:hanging="381"/>
              <w:rPr>
                <w:rFonts w:ascii="黑体" w:hAnsi="黑体" w:eastAsia="黑体"/>
                <w:sz w:val="18"/>
                <w:szCs w:val="18"/>
                <w:lang w:eastAsia="en-US"/>
              </w:rPr>
            </w:pPr>
            <w:r>
              <w:rPr>
                <w:rFonts w:ascii="黑体" w:hAnsi="黑体" w:eastAsia="黑体"/>
                <w:w w:val="105"/>
                <w:sz w:val="18"/>
                <w:szCs w:val="18"/>
                <w:lang w:eastAsia="en-US"/>
              </w:rPr>
              <w:t>20</w:t>
            </w:r>
          </w:p>
        </w:tc>
        <w:tc>
          <w:tcPr>
            <w:tcW w:w="1536" w:type="dxa"/>
          </w:tcPr>
          <w:p w14:paraId="0DA20436">
            <w:pPr>
              <w:pStyle w:val="132"/>
              <w:spacing w:before="135"/>
              <w:ind w:left="382" w:hanging="382"/>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-5</w:t>
            </w:r>
            <w:r>
              <w:rPr>
                <w:rFonts w:hint="eastAsia" w:ascii="黑体" w:hAnsi="黑体" w:eastAsia="黑体"/>
                <w:sz w:val="18"/>
                <w:szCs w:val="18"/>
                <w:lang w:eastAsia="en-US"/>
              </w:rPr>
              <w:t>，</w:t>
            </w:r>
            <w:r>
              <w:rPr>
                <w:rFonts w:ascii="黑体" w:hAnsi="黑体" w:eastAsia="黑体"/>
                <w:sz w:val="18"/>
                <w:szCs w:val="18"/>
                <w:lang w:eastAsia="en-US"/>
              </w:rPr>
              <w:t>5</w:t>
            </w:r>
            <w:r>
              <w:rPr>
                <w:rFonts w:hint="eastAsia" w:ascii="黑体" w:hAnsi="黑体" w:eastAsia="黑体"/>
                <w:sz w:val="18"/>
                <w:szCs w:val="18"/>
                <w:lang w:eastAsia="en-US"/>
              </w:rPr>
              <w:t>）</w:t>
            </w:r>
          </w:p>
        </w:tc>
        <w:tc>
          <w:tcPr>
            <w:tcW w:w="1380" w:type="dxa"/>
          </w:tcPr>
          <w:p w14:paraId="11347C50">
            <w:pPr>
              <w:pStyle w:val="132"/>
              <w:spacing w:before="135"/>
              <w:ind w:left="382" w:right="141" w:hanging="382"/>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-10</w:t>
            </w:r>
            <w:r>
              <w:rPr>
                <w:rFonts w:hint="eastAsia" w:ascii="黑体" w:hAnsi="黑体" w:eastAsia="黑体"/>
                <w:sz w:val="18"/>
                <w:szCs w:val="18"/>
                <w:lang w:eastAsia="en-US"/>
              </w:rPr>
              <w:t>，</w:t>
            </w:r>
            <w:r>
              <w:rPr>
                <w:rFonts w:ascii="黑体" w:hAnsi="黑体" w:eastAsia="黑体"/>
                <w:sz w:val="18"/>
                <w:szCs w:val="18"/>
                <w:lang w:eastAsia="en-US"/>
              </w:rPr>
              <w:t>5</w:t>
            </w:r>
            <w:r>
              <w:rPr>
                <w:rFonts w:hint="eastAsia" w:ascii="黑体" w:hAnsi="黑体" w:eastAsia="黑体"/>
                <w:sz w:val="18"/>
                <w:szCs w:val="18"/>
                <w:lang w:eastAsia="en-US"/>
              </w:rPr>
              <w:t>）</w:t>
            </w:r>
          </w:p>
        </w:tc>
        <w:tc>
          <w:tcPr>
            <w:tcW w:w="1733" w:type="dxa"/>
            <w:vMerge w:val="restart"/>
          </w:tcPr>
          <w:p w14:paraId="6023B5F8">
            <w:pPr>
              <w:pStyle w:val="132"/>
              <w:spacing w:before="7"/>
              <w:ind w:left="364" w:hanging="364"/>
              <w:rPr>
                <w:rFonts w:ascii="黑体" w:hAnsi="黑体" w:eastAsia="黑体"/>
                <w:sz w:val="18"/>
                <w:szCs w:val="18"/>
                <w:lang w:eastAsia="en-US"/>
              </w:rPr>
            </w:pPr>
          </w:p>
          <w:p w14:paraId="0C59C875">
            <w:pPr>
              <w:pStyle w:val="132"/>
              <w:spacing w:line="307" w:lineRule="auto"/>
              <w:ind w:left="364" w:right="295" w:hanging="364"/>
              <w:rPr>
                <w:rFonts w:ascii="黑体" w:hAnsi="黑体" w:eastAsia="黑体"/>
                <w:i/>
                <w:sz w:val="18"/>
                <w:szCs w:val="18"/>
                <w:lang w:eastAsia="en-US"/>
              </w:rPr>
            </w:pPr>
            <w:r>
              <w:rPr>
                <w:rFonts w:ascii="黑体" w:hAnsi="黑体" w:eastAsia="黑体"/>
                <w:i/>
                <w:sz w:val="18"/>
                <w:szCs w:val="18"/>
                <w:lang w:eastAsia="en-US"/>
              </w:rPr>
              <w:t>GB/T</w:t>
            </w:r>
            <w:r>
              <w:rPr>
                <w:rFonts w:ascii="黑体" w:hAnsi="黑体" w:eastAsia="黑体"/>
                <w:i/>
                <w:spacing w:val="1"/>
                <w:sz w:val="18"/>
                <w:szCs w:val="18"/>
                <w:lang w:eastAsia="en-US"/>
              </w:rPr>
              <w:t xml:space="preserve"> </w:t>
            </w:r>
            <w:r>
              <w:rPr>
                <w:rFonts w:ascii="黑体" w:hAnsi="黑体" w:eastAsia="黑体"/>
                <w:i/>
                <w:sz w:val="18"/>
                <w:szCs w:val="18"/>
                <w:lang w:eastAsia="en-US"/>
              </w:rPr>
              <w:t>15762-2020</w:t>
            </w:r>
          </w:p>
        </w:tc>
      </w:tr>
      <w:tr w14:paraId="25B62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3" w:type="dxa"/>
          </w:tcPr>
          <w:p w14:paraId="1B7CE6A6">
            <w:pPr>
              <w:pStyle w:val="132"/>
              <w:spacing w:before="190"/>
              <w:ind w:left="386" w:hanging="386"/>
              <w:rPr>
                <w:rFonts w:ascii="黑体" w:hAnsi="黑体" w:eastAsia="黑体"/>
                <w:sz w:val="18"/>
                <w:szCs w:val="18"/>
                <w:lang w:eastAsia="en-US"/>
              </w:rPr>
            </w:pPr>
            <w:r>
              <w:rPr>
                <w:rFonts w:ascii="黑体" w:hAnsi="黑体" w:eastAsia="黑体"/>
                <w:w w:val="107"/>
                <w:sz w:val="18"/>
                <w:szCs w:val="18"/>
                <w:lang w:eastAsia="en-US"/>
              </w:rPr>
              <w:t>2</w:t>
            </w:r>
          </w:p>
        </w:tc>
        <w:tc>
          <w:tcPr>
            <w:tcW w:w="1725" w:type="dxa"/>
          </w:tcPr>
          <w:p w14:paraId="7812B1AD">
            <w:pPr>
              <w:pStyle w:val="132"/>
              <w:spacing w:line="318" w:lineRule="exact"/>
              <w:ind w:left="382" w:right="98" w:hanging="382"/>
              <w:rPr>
                <w:rFonts w:ascii="黑体" w:hAnsi="黑体" w:eastAsia="黑体"/>
                <w:sz w:val="18"/>
                <w:szCs w:val="18"/>
                <w:lang w:eastAsia="zh-CN"/>
              </w:rPr>
            </w:pPr>
            <w:r>
              <w:rPr>
                <w:rFonts w:hint="eastAsia" w:ascii="黑体" w:hAnsi="黑体" w:eastAsia="黑体"/>
                <w:sz w:val="18"/>
                <w:szCs w:val="18"/>
                <w:lang w:eastAsia="zh-CN"/>
              </w:rPr>
              <w:t>距端面的保护层</w:t>
            </w:r>
          </w:p>
          <w:p w14:paraId="29403F09">
            <w:pPr>
              <w:pStyle w:val="132"/>
              <w:spacing w:line="286" w:lineRule="exact"/>
              <w:ind w:left="398" w:right="97" w:hanging="398"/>
              <w:rPr>
                <w:rFonts w:ascii="黑体" w:hAnsi="黑体" w:eastAsia="黑体"/>
                <w:sz w:val="18"/>
                <w:szCs w:val="18"/>
                <w:lang w:eastAsia="zh-CN"/>
              </w:rPr>
            </w:pPr>
            <w:r>
              <w:rPr>
                <w:rFonts w:hint="eastAsia" w:ascii="黑体" w:hAnsi="黑体" w:eastAsia="黑体"/>
                <w:spacing w:val="4"/>
                <w:sz w:val="18"/>
                <w:szCs w:val="18"/>
                <w:lang w:eastAsia="zh-CN"/>
              </w:rPr>
              <w:t xml:space="preserve">厚度 </w:t>
            </w:r>
            <w:r>
              <w:rPr>
                <w:rFonts w:ascii="黑体" w:hAnsi="黑体" w:eastAsia="黑体"/>
                <w:sz w:val="18"/>
                <w:szCs w:val="18"/>
                <w:lang w:eastAsia="zh-CN"/>
              </w:rPr>
              <w:t>c2</w:t>
            </w:r>
          </w:p>
        </w:tc>
        <w:tc>
          <w:tcPr>
            <w:tcW w:w="1443" w:type="dxa"/>
          </w:tcPr>
          <w:p w14:paraId="7798C15B">
            <w:pPr>
              <w:pStyle w:val="132"/>
              <w:spacing w:before="190"/>
              <w:ind w:left="381" w:right="575" w:hanging="381"/>
              <w:rPr>
                <w:rFonts w:ascii="黑体" w:hAnsi="黑体" w:eastAsia="黑体"/>
                <w:sz w:val="18"/>
                <w:szCs w:val="18"/>
                <w:lang w:eastAsia="en-US"/>
              </w:rPr>
            </w:pPr>
            <w:r>
              <w:rPr>
                <w:rFonts w:ascii="黑体" w:hAnsi="黑体" w:eastAsia="黑体"/>
                <w:w w:val="105"/>
                <w:sz w:val="18"/>
                <w:szCs w:val="18"/>
                <w:lang w:eastAsia="en-US"/>
              </w:rPr>
              <w:t>10</w:t>
            </w:r>
          </w:p>
        </w:tc>
        <w:tc>
          <w:tcPr>
            <w:tcW w:w="2916" w:type="dxa"/>
            <w:gridSpan w:val="2"/>
          </w:tcPr>
          <w:p w14:paraId="3B6FE2F2">
            <w:pPr>
              <w:pStyle w:val="132"/>
              <w:spacing w:before="135"/>
              <w:ind w:left="382" w:hanging="382"/>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-10</w:t>
            </w:r>
            <w:r>
              <w:rPr>
                <w:rFonts w:hint="eastAsia" w:ascii="黑体" w:hAnsi="黑体" w:eastAsia="黑体"/>
                <w:sz w:val="18"/>
                <w:szCs w:val="18"/>
                <w:lang w:eastAsia="en-US"/>
              </w:rPr>
              <w:t>，</w:t>
            </w:r>
            <w:r>
              <w:rPr>
                <w:rFonts w:ascii="黑体" w:hAnsi="黑体" w:eastAsia="黑体"/>
                <w:sz w:val="18"/>
                <w:szCs w:val="18"/>
                <w:lang w:eastAsia="en-US"/>
              </w:rPr>
              <w:t>5</w:t>
            </w:r>
            <w:r>
              <w:rPr>
                <w:rFonts w:hint="eastAsia" w:ascii="黑体" w:hAnsi="黑体" w:eastAsia="黑体"/>
                <w:sz w:val="18"/>
                <w:szCs w:val="18"/>
                <w:lang w:eastAsia="en-US"/>
              </w:rPr>
              <w:t>）</w:t>
            </w:r>
          </w:p>
        </w:tc>
        <w:tc>
          <w:tcPr>
            <w:tcW w:w="1733" w:type="dxa"/>
            <w:vMerge w:val="continue"/>
            <w:tcBorders>
              <w:top w:val="nil"/>
            </w:tcBorders>
          </w:tcPr>
          <w:p w14:paraId="7BF63B10">
            <w:pPr>
              <w:autoSpaceDE w:val="0"/>
              <w:autoSpaceDN w:val="0"/>
              <w:jc w:val="left"/>
              <w:rPr>
                <w:rFonts w:ascii="黑体" w:hAnsi="黑体"/>
                <w:szCs w:val="18"/>
                <w:lang w:eastAsia="en-US"/>
              </w:rPr>
            </w:pPr>
          </w:p>
        </w:tc>
      </w:tr>
    </w:tbl>
    <w:p w14:paraId="7AF3D62D">
      <w:pPr>
        <w:jc w:val="left"/>
        <w:rPr>
          <w:rFonts w:ascii="黑体" w:hAnsi="黑体"/>
          <w:szCs w:val="18"/>
        </w:rPr>
      </w:pPr>
    </w:p>
    <w:p w14:paraId="1963531B">
      <w:pPr>
        <w:jc w:val="left"/>
        <w:rPr>
          <w:rFonts w:ascii="黑体" w:hAnsi="黑体"/>
          <w:szCs w:val="18"/>
        </w:rPr>
      </w:pPr>
    </w:p>
    <w:p w14:paraId="0BD77A69">
      <w:pPr>
        <w:jc w:val="left"/>
        <w:rPr>
          <w:rFonts w:ascii="黑体" w:hAnsi="黑体"/>
          <w:szCs w:val="18"/>
        </w:rPr>
      </w:pPr>
    </w:p>
    <w:p w14:paraId="169D7BC2">
      <w:pPr>
        <w:jc w:val="left"/>
        <w:rPr>
          <w:rFonts w:ascii="黑体" w:hAnsi="黑体"/>
          <w:szCs w:val="18"/>
        </w:rPr>
      </w:pPr>
    </w:p>
    <w:p w14:paraId="56ECA7FA">
      <w:pPr>
        <w:jc w:val="left"/>
        <w:rPr>
          <w:rFonts w:ascii="黑体" w:hAnsi="黑体"/>
          <w:szCs w:val="18"/>
        </w:rPr>
      </w:pPr>
    </w:p>
    <w:p w14:paraId="17ADAA89">
      <w:pPr>
        <w:jc w:val="left"/>
        <w:rPr>
          <w:rFonts w:ascii="黑体" w:hAnsi="黑体"/>
          <w:szCs w:val="18"/>
        </w:rPr>
      </w:pPr>
    </w:p>
    <w:p w14:paraId="11C4B1B7">
      <w:pPr>
        <w:jc w:val="left"/>
        <w:rPr>
          <w:rFonts w:ascii="黑体" w:hAnsi="黑体"/>
          <w:szCs w:val="18"/>
        </w:rPr>
      </w:pPr>
    </w:p>
    <w:p w14:paraId="54B7591F">
      <w:pPr>
        <w:jc w:val="left"/>
        <w:rPr>
          <w:rFonts w:ascii="黑体" w:hAnsi="黑体"/>
          <w:szCs w:val="18"/>
        </w:rPr>
      </w:pPr>
    </w:p>
    <w:p w14:paraId="1A80CAC6">
      <w:pPr>
        <w:jc w:val="left"/>
        <w:rPr>
          <w:rFonts w:ascii="黑体" w:hAnsi="黑体"/>
          <w:szCs w:val="18"/>
        </w:rPr>
      </w:pPr>
    </w:p>
    <w:p w14:paraId="4208D697">
      <w:pPr>
        <w:jc w:val="center"/>
        <w:rPr>
          <w:rFonts w:ascii="黑体" w:hAnsi="黑体"/>
          <w:szCs w:val="18"/>
        </w:rPr>
      </w:pPr>
      <w:r>
        <w:rPr>
          <w:rFonts w:ascii="黑体" w:hAnsi="黑体"/>
          <w:szCs w:val="18"/>
        </w:rPr>
        <w:drawing>
          <wp:inline distT="0" distB="0" distL="0" distR="0">
            <wp:extent cx="2491740" cy="1535430"/>
            <wp:effectExtent l="0" t="0" r="3810" b="7620"/>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a:picLocks noChangeAspect="1"/>
                    </pic:cNvPicPr>
                  </pic:nvPicPr>
                  <pic:blipFill>
                    <a:blip r:embed="rId21" cstate="print"/>
                    <a:stretch>
                      <a:fillRect/>
                    </a:stretch>
                  </pic:blipFill>
                  <pic:spPr>
                    <a:xfrm>
                      <a:off x="0" y="0"/>
                      <a:ext cx="2491740" cy="1535430"/>
                    </a:xfrm>
                    <a:prstGeom prst="rect">
                      <a:avLst/>
                    </a:prstGeom>
                  </pic:spPr>
                </pic:pic>
              </a:graphicData>
            </a:graphic>
          </wp:inline>
        </w:drawing>
      </w:r>
    </w:p>
    <w:p w14:paraId="04F938B8">
      <w:pPr>
        <w:jc w:val="left"/>
        <w:rPr>
          <w:rFonts w:ascii="黑体" w:hAnsi="黑体"/>
          <w:szCs w:val="18"/>
        </w:rPr>
      </w:pPr>
    </w:p>
    <w:p w14:paraId="1C8E90BD">
      <w:pPr>
        <w:pStyle w:val="111"/>
        <w:numPr>
          <w:ilvl w:val="0"/>
          <w:numId w:val="0"/>
        </w:numPr>
        <w:ind w:left="425"/>
        <w:jc w:val="left"/>
        <w:rPr>
          <w:b/>
        </w:rPr>
      </w:pPr>
      <w:r>
        <w:rPr>
          <w:b/>
        </w:rPr>
        <w:t>2.3.3.5</w:t>
      </w:r>
      <w:r>
        <w:rPr>
          <w:rFonts w:hint="eastAsia"/>
          <w:b/>
        </w:rPr>
        <w:t>、</w:t>
      </w:r>
      <w:r>
        <w:rPr>
          <w:b/>
        </w:rPr>
        <w:t>耐火性能</w:t>
      </w:r>
    </w:p>
    <w:p w14:paraId="3AA28ED6">
      <w:pPr>
        <w:spacing w:before="120"/>
        <w:ind w:left="2825" w:right="2850"/>
        <w:jc w:val="left"/>
        <w:rPr>
          <w:rFonts w:ascii="黑体" w:hAnsi="黑体"/>
          <w:szCs w:val="18"/>
        </w:rPr>
      </w:pPr>
      <w:r>
        <w:rPr>
          <w:rFonts w:ascii="黑体" w:hAnsi="黑体"/>
          <w:spacing w:val="22"/>
          <w:szCs w:val="18"/>
        </w:rPr>
        <w:t xml:space="preserve">表 </w:t>
      </w:r>
      <w:r>
        <w:rPr>
          <w:rFonts w:ascii="黑体" w:hAnsi="黑体"/>
          <w:szCs w:val="18"/>
        </w:rPr>
        <w:t>4</w:t>
      </w:r>
      <w:r>
        <w:rPr>
          <w:rFonts w:ascii="黑体" w:hAnsi="黑体"/>
          <w:spacing w:val="41"/>
          <w:szCs w:val="18"/>
        </w:rPr>
        <w:t xml:space="preserve"> </w:t>
      </w:r>
      <w:r>
        <w:rPr>
          <w:rFonts w:ascii="黑体" w:hAnsi="黑体"/>
          <w:szCs w:val="18"/>
        </w:rPr>
        <w:t>耐火性能要求</w:t>
      </w:r>
    </w:p>
    <w:tbl>
      <w:tblPr>
        <w:tblStyle w:val="133"/>
        <w:tblW w:w="8504" w:type="dxa"/>
        <w:tblInd w:w="4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2283"/>
        <w:gridCol w:w="1956"/>
        <w:gridCol w:w="1766"/>
        <w:gridCol w:w="1795"/>
      </w:tblGrid>
      <w:tr w14:paraId="1BC03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04" w:type="dxa"/>
            <w:shd w:val="clear" w:color="auto" w:fill="BDBDBD"/>
          </w:tcPr>
          <w:p w14:paraId="7F731B47">
            <w:pPr>
              <w:pStyle w:val="132"/>
              <w:spacing w:before="27"/>
              <w:ind w:left="404" w:right="112" w:hanging="404"/>
              <w:rPr>
                <w:rFonts w:ascii="黑体" w:hAnsi="黑体" w:eastAsia="黑体"/>
                <w:sz w:val="18"/>
                <w:szCs w:val="18"/>
                <w:lang w:eastAsia="en-US"/>
              </w:rPr>
            </w:pPr>
            <w:r>
              <w:rPr>
                <w:rFonts w:hint="eastAsia" w:ascii="黑体" w:hAnsi="黑体" w:eastAsia="黑体"/>
                <w:sz w:val="18"/>
                <w:szCs w:val="18"/>
                <w:lang w:eastAsia="en-US"/>
              </w:rPr>
              <w:t>序号</w:t>
            </w:r>
          </w:p>
        </w:tc>
        <w:tc>
          <w:tcPr>
            <w:tcW w:w="2283" w:type="dxa"/>
            <w:shd w:val="clear" w:color="auto" w:fill="BDBDBD"/>
          </w:tcPr>
          <w:p w14:paraId="20BFA745">
            <w:pPr>
              <w:pStyle w:val="132"/>
              <w:spacing w:before="27"/>
              <w:ind w:left="404" w:right="902" w:hanging="404"/>
              <w:rPr>
                <w:rFonts w:ascii="黑体" w:hAnsi="黑体" w:eastAsia="黑体"/>
                <w:sz w:val="18"/>
                <w:szCs w:val="18"/>
                <w:lang w:eastAsia="en-US"/>
              </w:rPr>
            </w:pPr>
            <w:r>
              <w:rPr>
                <w:rFonts w:hint="eastAsia" w:ascii="黑体" w:hAnsi="黑体" w:eastAsia="黑体"/>
                <w:sz w:val="18"/>
                <w:szCs w:val="18"/>
                <w:lang w:eastAsia="en-US"/>
              </w:rPr>
              <w:t>项目</w:t>
            </w:r>
          </w:p>
        </w:tc>
        <w:tc>
          <w:tcPr>
            <w:tcW w:w="3722" w:type="dxa"/>
            <w:gridSpan w:val="2"/>
            <w:shd w:val="clear" w:color="auto" w:fill="BDBDBD"/>
          </w:tcPr>
          <w:p w14:paraId="05ED0ECA">
            <w:pPr>
              <w:pStyle w:val="132"/>
              <w:spacing w:before="27"/>
              <w:ind w:left="404" w:right="1411" w:hanging="404"/>
              <w:rPr>
                <w:rFonts w:ascii="黑体" w:hAnsi="黑体" w:eastAsia="黑体"/>
                <w:sz w:val="18"/>
                <w:szCs w:val="18"/>
                <w:lang w:eastAsia="en-US"/>
              </w:rPr>
            </w:pPr>
            <w:r>
              <w:rPr>
                <w:rFonts w:hint="eastAsia" w:ascii="黑体" w:hAnsi="黑体" w:eastAsia="黑体"/>
                <w:sz w:val="18"/>
                <w:szCs w:val="18"/>
                <w:lang w:eastAsia="en-US"/>
              </w:rPr>
              <w:t>指标要求</w:t>
            </w:r>
          </w:p>
        </w:tc>
        <w:tc>
          <w:tcPr>
            <w:tcW w:w="1795" w:type="dxa"/>
            <w:shd w:val="clear" w:color="auto" w:fill="BDBDBD"/>
          </w:tcPr>
          <w:p w14:paraId="6FE48341">
            <w:pPr>
              <w:pStyle w:val="132"/>
              <w:spacing w:before="27"/>
              <w:ind w:left="404" w:hanging="404"/>
              <w:rPr>
                <w:rFonts w:ascii="黑体" w:hAnsi="黑体" w:eastAsia="黑体"/>
                <w:sz w:val="18"/>
                <w:szCs w:val="18"/>
                <w:lang w:eastAsia="en-US"/>
              </w:rPr>
            </w:pPr>
            <w:r>
              <w:rPr>
                <w:rFonts w:hint="eastAsia" w:ascii="黑体" w:hAnsi="黑体" w:eastAsia="黑体"/>
                <w:sz w:val="18"/>
                <w:szCs w:val="18"/>
                <w:lang w:eastAsia="en-US"/>
              </w:rPr>
              <w:t>测试方法</w:t>
            </w:r>
          </w:p>
        </w:tc>
      </w:tr>
      <w:tr w14:paraId="34C70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04" w:type="dxa"/>
          </w:tcPr>
          <w:p w14:paraId="523C4F53">
            <w:pPr>
              <w:pStyle w:val="132"/>
              <w:spacing w:before="81"/>
              <w:ind w:left="429" w:hanging="429"/>
              <w:rPr>
                <w:rFonts w:ascii="黑体" w:hAnsi="黑体" w:eastAsia="黑体"/>
                <w:w w:val="107"/>
                <w:sz w:val="18"/>
                <w:szCs w:val="18"/>
                <w:lang w:eastAsia="zh-CN"/>
              </w:rPr>
            </w:pPr>
            <w:r>
              <w:rPr>
                <w:rFonts w:hint="eastAsia" w:ascii="黑体" w:hAnsi="黑体" w:eastAsia="黑体"/>
                <w:w w:val="107"/>
                <w:sz w:val="18"/>
                <w:szCs w:val="18"/>
                <w:lang w:eastAsia="zh-CN"/>
              </w:rPr>
              <w:t>1</w:t>
            </w:r>
          </w:p>
        </w:tc>
        <w:tc>
          <w:tcPr>
            <w:tcW w:w="2283" w:type="dxa"/>
            <w:vMerge w:val="restart"/>
          </w:tcPr>
          <w:p w14:paraId="7243AA7C">
            <w:pPr>
              <w:pStyle w:val="132"/>
              <w:spacing w:before="8"/>
              <w:ind w:left="404" w:hanging="404"/>
              <w:rPr>
                <w:rFonts w:ascii="黑体" w:hAnsi="黑体" w:eastAsia="黑体"/>
                <w:sz w:val="18"/>
                <w:szCs w:val="18"/>
                <w:lang w:eastAsia="en-US"/>
              </w:rPr>
            </w:pPr>
          </w:p>
          <w:p w14:paraId="7C6CE728">
            <w:pPr>
              <w:pStyle w:val="132"/>
              <w:spacing w:before="8"/>
              <w:ind w:left="404" w:hanging="404"/>
              <w:rPr>
                <w:rFonts w:ascii="黑体" w:hAnsi="黑体" w:eastAsia="黑体"/>
                <w:sz w:val="18"/>
                <w:szCs w:val="18"/>
                <w:lang w:eastAsia="en-US"/>
              </w:rPr>
            </w:pPr>
          </w:p>
          <w:p w14:paraId="1BB99323">
            <w:pPr>
              <w:pStyle w:val="132"/>
              <w:ind w:left="404" w:hanging="404"/>
              <w:rPr>
                <w:rFonts w:ascii="黑体" w:hAnsi="黑体" w:eastAsia="黑体"/>
                <w:sz w:val="18"/>
                <w:szCs w:val="18"/>
                <w:lang w:eastAsia="en-US"/>
              </w:rPr>
            </w:pPr>
            <w:r>
              <w:rPr>
                <w:rFonts w:hint="eastAsia" w:ascii="黑体" w:hAnsi="黑体" w:eastAsia="黑体"/>
                <w:sz w:val="18"/>
                <w:szCs w:val="18"/>
                <w:lang w:eastAsia="en-US"/>
              </w:rPr>
              <w:t>耐火极限</w:t>
            </w:r>
          </w:p>
        </w:tc>
        <w:tc>
          <w:tcPr>
            <w:tcW w:w="1956" w:type="dxa"/>
          </w:tcPr>
          <w:p w14:paraId="3EAECAAE">
            <w:pPr>
              <w:pStyle w:val="132"/>
              <w:spacing w:before="81"/>
              <w:ind w:left="423" w:hanging="423"/>
              <w:rPr>
                <w:rFonts w:ascii="黑体" w:hAnsi="黑体" w:eastAsia="黑体"/>
                <w:w w:val="105"/>
                <w:sz w:val="18"/>
                <w:szCs w:val="18"/>
                <w:lang w:eastAsia="en-US"/>
              </w:rPr>
            </w:pPr>
          </w:p>
        </w:tc>
        <w:tc>
          <w:tcPr>
            <w:tcW w:w="1766" w:type="dxa"/>
          </w:tcPr>
          <w:p w14:paraId="14FE55E4">
            <w:pPr>
              <w:pStyle w:val="132"/>
              <w:spacing w:before="81"/>
              <w:ind w:left="404" w:right="590" w:hanging="404"/>
              <w:rPr>
                <w:rFonts w:ascii="黑体" w:hAnsi="黑体" w:eastAsia="黑体"/>
                <w:sz w:val="18"/>
                <w:szCs w:val="18"/>
                <w:lang w:eastAsia="en-US"/>
              </w:rPr>
            </w:pPr>
          </w:p>
        </w:tc>
        <w:tc>
          <w:tcPr>
            <w:tcW w:w="1795" w:type="dxa"/>
            <w:vMerge w:val="restart"/>
          </w:tcPr>
          <w:p w14:paraId="1E749448">
            <w:pPr>
              <w:pStyle w:val="132"/>
              <w:spacing w:before="11"/>
              <w:ind w:left="404" w:hanging="404"/>
              <w:rPr>
                <w:rFonts w:ascii="黑体" w:hAnsi="黑体" w:eastAsia="黑体"/>
                <w:sz w:val="18"/>
                <w:szCs w:val="18"/>
                <w:lang w:eastAsia="en-US"/>
              </w:rPr>
            </w:pPr>
          </w:p>
          <w:p w14:paraId="781E4789">
            <w:pPr>
              <w:pStyle w:val="132"/>
              <w:spacing w:line="307" w:lineRule="auto"/>
              <w:ind w:left="404" w:right="299" w:hanging="40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1"/>
                <w:sz w:val="18"/>
                <w:szCs w:val="18"/>
                <w:lang w:eastAsia="en-US"/>
              </w:rPr>
              <w:t xml:space="preserve"> </w:t>
            </w:r>
            <w:r>
              <w:rPr>
                <w:rFonts w:ascii="黑体" w:hAnsi="黑体" w:eastAsia="黑体"/>
                <w:sz w:val="18"/>
                <w:szCs w:val="18"/>
                <w:lang w:eastAsia="en-US"/>
              </w:rPr>
              <w:t>9978.1-2008</w:t>
            </w:r>
          </w:p>
        </w:tc>
      </w:tr>
      <w:tr w14:paraId="64C4B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04" w:type="dxa"/>
          </w:tcPr>
          <w:p w14:paraId="5D5E277A">
            <w:pPr>
              <w:pStyle w:val="132"/>
              <w:spacing w:before="81"/>
              <w:ind w:left="429" w:hanging="429"/>
              <w:rPr>
                <w:rFonts w:ascii="黑体" w:hAnsi="黑体" w:eastAsia="黑体"/>
                <w:sz w:val="18"/>
                <w:szCs w:val="18"/>
                <w:lang w:eastAsia="en-US"/>
              </w:rPr>
            </w:pPr>
            <w:r>
              <w:rPr>
                <w:rFonts w:ascii="黑体" w:hAnsi="黑体" w:eastAsia="黑体"/>
                <w:w w:val="107"/>
                <w:sz w:val="18"/>
                <w:szCs w:val="18"/>
                <w:lang w:eastAsia="en-US"/>
              </w:rPr>
              <w:t>2</w:t>
            </w:r>
          </w:p>
        </w:tc>
        <w:tc>
          <w:tcPr>
            <w:tcW w:w="2283" w:type="dxa"/>
            <w:vMerge w:val="continue"/>
          </w:tcPr>
          <w:p w14:paraId="10321234">
            <w:pPr>
              <w:pStyle w:val="132"/>
              <w:ind w:left="404" w:hanging="404"/>
              <w:rPr>
                <w:rFonts w:ascii="黑体" w:hAnsi="黑体" w:eastAsia="黑体"/>
                <w:sz w:val="18"/>
                <w:szCs w:val="18"/>
                <w:lang w:eastAsia="en-US"/>
              </w:rPr>
            </w:pPr>
          </w:p>
        </w:tc>
        <w:tc>
          <w:tcPr>
            <w:tcW w:w="1956" w:type="dxa"/>
          </w:tcPr>
          <w:p w14:paraId="7C9D04B0">
            <w:pPr>
              <w:pStyle w:val="132"/>
              <w:spacing w:before="81"/>
              <w:ind w:left="423" w:hanging="423"/>
              <w:rPr>
                <w:rFonts w:ascii="黑体" w:hAnsi="黑体" w:eastAsia="黑体"/>
                <w:sz w:val="18"/>
                <w:szCs w:val="18"/>
                <w:lang w:eastAsia="en-US"/>
              </w:rPr>
            </w:pPr>
            <w:r>
              <w:rPr>
                <w:rFonts w:ascii="黑体" w:hAnsi="黑体" w:eastAsia="黑体"/>
                <w:w w:val="105"/>
                <w:sz w:val="18"/>
                <w:szCs w:val="18"/>
                <w:lang w:eastAsia="en-US"/>
              </w:rPr>
              <w:t>100mm</w:t>
            </w:r>
          </w:p>
        </w:tc>
        <w:tc>
          <w:tcPr>
            <w:tcW w:w="1766" w:type="dxa"/>
          </w:tcPr>
          <w:p w14:paraId="424FBF7F">
            <w:pPr>
              <w:pStyle w:val="132"/>
              <w:spacing w:before="81"/>
              <w:ind w:left="404" w:right="590" w:hanging="404"/>
              <w:rPr>
                <w:rFonts w:ascii="黑体" w:hAnsi="黑体" w:eastAsia="黑体"/>
                <w:sz w:val="18"/>
                <w:szCs w:val="18"/>
                <w:lang w:eastAsia="en-US"/>
              </w:rPr>
            </w:pPr>
            <w:r>
              <w:rPr>
                <w:rFonts w:ascii="黑体" w:hAnsi="黑体" w:eastAsia="黑体"/>
                <w:sz w:val="18"/>
                <w:szCs w:val="18"/>
                <w:lang w:eastAsia="en-US"/>
              </w:rPr>
              <w:t>≥3.5h</w:t>
            </w:r>
          </w:p>
        </w:tc>
        <w:tc>
          <w:tcPr>
            <w:tcW w:w="1795" w:type="dxa"/>
            <w:vMerge w:val="continue"/>
          </w:tcPr>
          <w:p w14:paraId="473F5EBC">
            <w:pPr>
              <w:pStyle w:val="132"/>
              <w:spacing w:line="307" w:lineRule="auto"/>
              <w:ind w:left="404" w:right="299" w:hanging="404"/>
              <w:rPr>
                <w:rFonts w:ascii="黑体" w:hAnsi="黑体" w:eastAsia="黑体"/>
                <w:sz w:val="18"/>
                <w:szCs w:val="18"/>
                <w:lang w:eastAsia="en-US"/>
              </w:rPr>
            </w:pPr>
          </w:p>
        </w:tc>
      </w:tr>
      <w:tr w14:paraId="7D59A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04" w:type="dxa"/>
          </w:tcPr>
          <w:p w14:paraId="1E8E4DEA">
            <w:pPr>
              <w:pStyle w:val="132"/>
              <w:spacing w:before="81"/>
              <w:ind w:left="429" w:hanging="429"/>
              <w:rPr>
                <w:rFonts w:ascii="黑体" w:hAnsi="黑体" w:eastAsia="黑体"/>
                <w:sz w:val="18"/>
                <w:szCs w:val="18"/>
                <w:lang w:eastAsia="en-US"/>
              </w:rPr>
            </w:pPr>
            <w:r>
              <w:rPr>
                <w:rFonts w:ascii="黑体" w:hAnsi="黑体" w:eastAsia="黑体"/>
                <w:w w:val="107"/>
                <w:sz w:val="18"/>
                <w:szCs w:val="18"/>
                <w:lang w:eastAsia="en-US"/>
              </w:rPr>
              <w:t>3</w:t>
            </w:r>
          </w:p>
        </w:tc>
        <w:tc>
          <w:tcPr>
            <w:tcW w:w="2283" w:type="dxa"/>
            <w:vMerge w:val="continue"/>
          </w:tcPr>
          <w:p w14:paraId="57E18625">
            <w:pPr>
              <w:autoSpaceDE w:val="0"/>
              <w:autoSpaceDN w:val="0"/>
              <w:jc w:val="left"/>
              <w:rPr>
                <w:rFonts w:ascii="黑体" w:hAnsi="黑体"/>
                <w:szCs w:val="18"/>
                <w:lang w:eastAsia="en-US"/>
              </w:rPr>
            </w:pPr>
          </w:p>
        </w:tc>
        <w:tc>
          <w:tcPr>
            <w:tcW w:w="1956" w:type="dxa"/>
          </w:tcPr>
          <w:p w14:paraId="548E9E60">
            <w:pPr>
              <w:pStyle w:val="132"/>
              <w:spacing w:before="81"/>
              <w:ind w:left="423" w:hanging="423"/>
              <w:rPr>
                <w:rFonts w:ascii="黑体" w:hAnsi="黑体" w:eastAsia="黑体"/>
                <w:sz w:val="18"/>
                <w:szCs w:val="18"/>
                <w:lang w:eastAsia="en-US"/>
              </w:rPr>
            </w:pPr>
            <w:r>
              <w:rPr>
                <w:rFonts w:ascii="黑体" w:hAnsi="黑体" w:eastAsia="黑体"/>
                <w:w w:val="105"/>
                <w:sz w:val="18"/>
                <w:szCs w:val="18"/>
                <w:lang w:eastAsia="en-US"/>
              </w:rPr>
              <w:t>150mm</w:t>
            </w:r>
          </w:p>
        </w:tc>
        <w:tc>
          <w:tcPr>
            <w:tcW w:w="1766" w:type="dxa"/>
          </w:tcPr>
          <w:p w14:paraId="09BD242F">
            <w:pPr>
              <w:pStyle w:val="132"/>
              <w:spacing w:before="81"/>
              <w:ind w:left="404" w:right="590" w:hanging="404"/>
              <w:rPr>
                <w:rFonts w:ascii="黑体" w:hAnsi="黑体" w:eastAsia="黑体"/>
                <w:sz w:val="18"/>
                <w:szCs w:val="18"/>
                <w:lang w:eastAsia="en-US"/>
              </w:rPr>
            </w:pPr>
            <w:r>
              <w:rPr>
                <w:rFonts w:ascii="黑体" w:hAnsi="黑体" w:eastAsia="黑体"/>
                <w:sz w:val="18"/>
                <w:szCs w:val="18"/>
                <w:lang w:eastAsia="en-US"/>
              </w:rPr>
              <w:t>≥4h</w:t>
            </w:r>
          </w:p>
        </w:tc>
        <w:tc>
          <w:tcPr>
            <w:tcW w:w="1795" w:type="dxa"/>
            <w:vMerge w:val="continue"/>
          </w:tcPr>
          <w:p w14:paraId="081C8132">
            <w:pPr>
              <w:autoSpaceDE w:val="0"/>
              <w:autoSpaceDN w:val="0"/>
              <w:jc w:val="left"/>
              <w:rPr>
                <w:rFonts w:ascii="黑体" w:hAnsi="黑体"/>
                <w:szCs w:val="18"/>
                <w:lang w:eastAsia="en-US"/>
              </w:rPr>
            </w:pPr>
          </w:p>
        </w:tc>
      </w:tr>
      <w:tr w14:paraId="6A430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704" w:type="dxa"/>
          </w:tcPr>
          <w:p w14:paraId="1D3DEE67">
            <w:pPr>
              <w:pStyle w:val="132"/>
              <w:spacing w:before="81"/>
              <w:ind w:left="429" w:hanging="429"/>
              <w:rPr>
                <w:rFonts w:ascii="黑体" w:hAnsi="黑体" w:eastAsia="黑体"/>
                <w:sz w:val="18"/>
                <w:szCs w:val="18"/>
                <w:lang w:eastAsia="en-US"/>
              </w:rPr>
            </w:pPr>
            <w:r>
              <w:rPr>
                <w:rFonts w:ascii="黑体" w:hAnsi="黑体" w:eastAsia="黑体"/>
                <w:w w:val="107"/>
                <w:sz w:val="18"/>
                <w:szCs w:val="18"/>
                <w:lang w:eastAsia="en-US"/>
              </w:rPr>
              <w:t>4</w:t>
            </w:r>
          </w:p>
        </w:tc>
        <w:tc>
          <w:tcPr>
            <w:tcW w:w="2283" w:type="dxa"/>
            <w:vMerge w:val="continue"/>
          </w:tcPr>
          <w:p w14:paraId="41058607">
            <w:pPr>
              <w:autoSpaceDE w:val="0"/>
              <w:autoSpaceDN w:val="0"/>
              <w:jc w:val="left"/>
              <w:rPr>
                <w:rFonts w:ascii="黑体" w:hAnsi="黑体"/>
                <w:szCs w:val="18"/>
                <w:lang w:eastAsia="en-US"/>
              </w:rPr>
            </w:pPr>
          </w:p>
        </w:tc>
        <w:tc>
          <w:tcPr>
            <w:tcW w:w="1956" w:type="dxa"/>
          </w:tcPr>
          <w:p w14:paraId="1664204F">
            <w:pPr>
              <w:pStyle w:val="132"/>
              <w:spacing w:before="81"/>
              <w:ind w:left="423" w:hanging="423"/>
              <w:rPr>
                <w:rFonts w:ascii="黑体" w:hAnsi="黑体" w:eastAsia="黑体"/>
                <w:sz w:val="18"/>
                <w:szCs w:val="18"/>
                <w:lang w:eastAsia="en-US"/>
              </w:rPr>
            </w:pPr>
            <w:r>
              <w:rPr>
                <w:rFonts w:ascii="黑体" w:hAnsi="黑体" w:eastAsia="黑体"/>
                <w:w w:val="105"/>
                <w:sz w:val="18"/>
                <w:szCs w:val="18"/>
                <w:lang w:eastAsia="en-US"/>
              </w:rPr>
              <w:t>200mm</w:t>
            </w:r>
          </w:p>
        </w:tc>
        <w:tc>
          <w:tcPr>
            <w:tcW w:w="1766" w:type="dxa"/>
          </w:tcPr>
          <w:p w14:paraId="40CC3AF1">
            <w:pPr>
              <w:pStyle w:val="132"/>
              <w:spacing w:before="81"/>
              <w:ind w:left="404" w:right="590" w:hanging="404"/>
              <w:rPr>
                <w:rFonts w:ascii="黑体" w:hAnsi="黑体" w:eastAsia="黑体"/>
                <w:sz w:val="18"/>
                <w:szCs w:val="18"/>
                <w:lang w:eastAsia="en-US"/>
              </w:rPr>
            </w:pPr>
            <w:r>
              <w:rPr>
                <w:rFonts w:ascii="黑体" w:hAnsi="黑体" w:eastAsia="黑体"/>
                <w:sz w:val="18"/>
                <w:szCs w:val="18"/>
                <w:lang w:eastAsia="en-US"/>
              </w:rPr>
              <w:t>≥4h</w:t>
            </w:r>
          </w:p>
        </w:tc>
        <w:tc>
          <w:tcPr>
            <w:tcW w:w="1795" w:type="dxa"/>
            <w:vMerge w:val="continue"/>
          </w:tcPr>
          <w:p w14:paraId="1A82C67C">
            <w:pPr>
              <w:autoSpaceDE w:val="0"/>
              <w:autoSpaceDN w:val="0"/>
              <w:jc w:val="left"/>
              <w:rPr>
                <w:rFonts w:ascii="黑体" w:hAnsi="黑体"/>
                <w:szCs w:val="18"/>
                <w:lang w:eastAsia="en-US"/>
              </w:rPr>
            </w:pPr>
          </w:p>
        </w:tc>
      </w:tr>
    </w:tbl>
    <w:p w14:paraId="192E7ED9">
      <w:pPr>
        <w:pStyle w:val="111"/>
        <w:numPr>
          <w:ilvl w:val="0"/>
          <w:numId w:val="0"/>
        </w:numPr>
        <w:ind w:firstLine="452" w:firstLineChars="250"/>
        <w:jc w:val="left"/>
        <w:rPr>
          <w:b/>
        </w:rPr>
      </w:pPr>
    </w:p>
    <w:p w14:paraId="49F2C63D">
      <w:pPr>
        <w:pStyle w:val="111"/>
        <w:numPr>
          <w:ilvl w:val="0"/>
          <w:numId w:val="0"/>
        </w:numPr>
        <w:ind w:firstLine="452" w:firstLineChars="250"/>
        <w:jc w:val="left"/>
        <w:rPr>
          <w:b/>
        </w:rPr>
      </w:pPr>
      <w:r>
        <w:rPr>
          <w:b/>
        </w:rPr>
        <w:t>2.3.3.6</w:t>
      </w:r>
      <w:r>
        <w:rPr>
          <w:rFonts w:hint="eastAsia"/>
          <w:b/>
        </w:rPr>
        <w:t>、</w:t>
      </w:r>
      <w:r>
        <w:rPr>
          <w:b/>
        </w:rPr>
        <w:t>隔声性能</w:t>
      </w:r>
    </w:p>
    <w:p w14:paraId="7AC9E19B">
      <w:pPr>
        <w:spacing w:line="330" w:lineRule="exact"/>
        <w:ind w:left="2825" w:right="2850"/>
        <w:jc w:val="left"/>
        <w:rPr>
          <w:rFonts w:ascii="黑体" w:hAnsi="黑体"/>
          <w:szCs w:val="18"/>
        </w:rPr>
      </w:pPr>
      <w:r>
        <w:rPr>
          <w:rFonts w:ascii="黑体" w:hAnsi="黑体"/>
          <w:spacing w:val="22"/>
          <w:szCs w:val="18"/>
        </w:rPr>
        <w:t xml:space="preserve">表 </w:t>
      </w:r>
      <w:r>
        <w:rPr>
          <w:rFonts w:ascii="黑体" w:hAnsi="黑体"/>
          <w:szCs w:val="18"/>
        </w:rPr>
        <w:t>5</w:t>
      </w:r>
      <w:r>
        <w:rPr>
          <w:rFonts w:ascii="黑体" w:hAnsi="黑体"/>
          <w:spacing w:val="41"/>
          <w:szCs w:val="18"/>
        </w:rPr>
        <w:t xml:space="preserve"> </w:t>
      </w:r>
      <w:r>
        <w:rPr>
          <w:rFonts w:ascii="黑体" w:hAnsi="黑体"/>
          <w:szCs w:val="18"/>
        </w:rPr>
        <w:t>隔声性能要求</w:t>
      </w:r>
    </w:p>
    <w:tbl>
      <w:tblPr>
        <w:tblStyle w:val="133"/>
        <w:tblW w:w="8505"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850"/>
        <w:gridCol w:w="851"/>
        <w:gridCol w:w="850"/>
        <w:gridCol w:w="851"/>
        <w:gridCol w:w="850"/>
        <w:gridCol w:w="851"/>
        <w:gridCol w:w="1276"/>
        <w:gridCol w:w="1134"/>
      </w:tblGrid>
      <w:tr w14:paraId="3B25C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92" w:type="dxa"/>
            <w:vMerge w:val="restart"/>
            <w:shd w:val="clear" w:color="auto" w:fill="BDBDBD"/>
            <w:vAlign w:val="center"/>
          </w:tcPr>
          <w:p w14:paraId="42BFD884">
            <w:pPr>
              <w:pStyle w:val="132"/>
              <w:ind w:left="404" w:hanging="404"/>
              <w:rPr>
                <w:rFonts w:ascii="黑体" w:hAnsi="黑体" w:eastAsia="黑体"/>
                <w:sz w:val="18"/>
                <w:szCs w:val="18"/>
                <w:lang w:eastAsia="en-US"/>
              </w:rPr>
            </w:pPr>
            <w:r>
              <w:rPr>
                <w:rFonts w:hint="eastAsia" w:ascii="黑体" w:hAnsi="黑体" w:eastAsia="黑体"/>
                <w:sz w:val="18"/>
                <w:szCs w:val="18"/>
                <w:lang w:eastAsia="en-US"/>
              </w:rPr>
              <w:t>隔墙做法</w:t>
            </w:r>
          </w:p>
        </w:tc>
        <w:tc>
          <w:tcPr>
            <w:tcW w:w="5103" w:type="dxa"/>
            <w:gridSpan w:val="6"/>
            <w:shd w:val="clear" w:color="auto" w:fill="BDBDBD"/>
          </w:tcPr>
          <w:p w14:paraId="01FB0809">
            <w:pPr>
              <w:pStyle w:val="132"/>
              <w:spacing w:before="57"/>
              <w:ind w:left="404" w:hanging="404"/>
              <w:rPr>
                <w:rFonts w:ascii="黑体" w:hAnsi="黑体" w:eastAsia="黑体"/>
                <w:sz w:val="18"/>
                <w:szCs w:val="18"/>
                <w:lang w:eastAsia="zh-CN"/>
              </w:rPr>
            </w:pPr>
            <w:r>
              <w:rPr>
                <w:rFonts w:hint="eastAsia" w:ascii="黑体" w:hAnsi="黑体" w:eastAsia="黑体"/>
                <w:sz w:val="18"/>
                <w:szCs w:val="18"/>
                <w:lang w:eastAsia="zh-CN"/>
              </w:rPr>
              <w:t>下列各频率的隔声量（</w:t>
            </w:r>
            <w:r>
              <w:rPr>
                <w:rFonts w:ascii="黑体" w:hAnsi="黑体" w:eastAsia="黑体"/>
                <w:sz w:val="18"/>
                <w:szCs w:val="18"/>
                <w:lang w:eastAsia="zh-CN"/>
              </w:rPr>
              <w:t>dB</w:t>
            </w:r>
            <w:r>
              <w:rPr>
                <w:rFonts w:hint="eastAsia" w:ascii="黑体" w:hAnsi="黑体" w:eastAsia="黑体"/>
                <w:sz w:val="18"/>
                <w:szCs w:val="18"/>
                <w:lang w:eastAsia="zh-CN"/>
              </w:rPr>
              <w:t>）</w:t>
            </w:r>
          </w:p>
        </w:tc>
        <w:tc>
          <w:tcPr>
            <w:tcW w:w="1276" w:type="dxa"/>
            <w:vMerge w:val="restart"/>
            <w:shd w:val="clear" w:color="auto" w:fill="BDBDBD"/>
          </w:tcPr>
          <w:p w14:paraId="281F1848">
            <w:pPr>
              <w:pStyle w:val="132"/>
              <w:spacing w:before="117"/>
              <w:ind w:left="423" w:right="75" w:hanging="423"/>
              <w:rPr>
                <w:rFonts w:ascii="黑体" w:hAnsi="黑体" w:eastAsia="黑体"/>
                <w:sz w:val="18"/>
                <w:szCs w:val="18"/>
                <w:lang w:eastAsia="en-US"/>
              </w:rPr>
            </w:pPr>
            <w:r>
              <w:rPr>
                <w:rFonts w:ascii="黑体" w:hAnsi="黑体" w:eastAsia="黑体"/>
                <w:w w:val="105"/>
                <w:sz w:val="18"/>
                <w:szCs w:val="18"/>
                <w:lang w:eastAsia="en-US"/>
              </w:rPr>
              <w:t>100-3150</w:t>
            </w:r>
          </w:p>
          <w:p w14:paraId="1552EC66">
            <w:pPr>
              <w:pStyle w:val="132"/>
              <w:spacing w:before="65" w:line="470" w:lineRule="atLeast"/>
              <w:ind w:left="404" w:right="175" w:hanging="404"/>
              <w:rPr>
                <w:rFonts w:ascii="黑体" w:hAnsi="黑体" w:eastAsia="黑体"/>
                <w:sz w:val="18"/>
                <w:szCs w:val="18"/>
                <w:lang w:eastAsia="en-US"/>
              </w:rPr>
            </w:pPr>
            <w:r>
              <w:rPr>
                <w:rFonts w:ascii="黑体" w:hAnsi="黑体" w:eastAsia="黑体"/>
                <w:sz w:val="18"/>
                <w:szCs w:val="18"/>
                <w:lang w:eastAsia="en-US"/>
              </w:rPr>
              <w:t>Hz</w:t>
            </w:r>
            <w:r>
              <w:rPr>
                <w:rFonts w:ascii="黑体" w:hAnsi="黑体" w:eastAsia="黑体"/>
                <w:spacing w:val="-11"/>
                <w:sz w:val="18"/>
                <w:szCs w:val="18"/>
                <w:lang w:eastAsia="en-US"/>
              </w:rPr>
              <w:t xml:space="preserve"> </w:t>
            </w:r>
            <w:r>
              <w:rPr>
                <w:rFonts w:hint="eastAsia" w:ascii="黑体" w:hAnsi="黑体" w:eastAsia="黑体"/>
                <w:sz w:val="18"/>
                <w:szCs w:val="18"/>
                <w:lang w:eastAsia="en-US"/>
              </w:rPr>
              <w:t>的计权</w:t>
            </w:r>
          </w:p>
        </w:tc>
        <w:tc>
          <w:tcPr>
            <w:tcW w:w="1134" w:type="dxa"/>
            <w:vMerge w:val="restart"/>
            <w:shd w:val="clear" w:color="auto" w:fill="BDBDBD"/>
          </w:tcPr>
          <w:p w14:paraId="12E4B872">
            <w:pPr>
              <w:pStyle w:val="132"/>
              <w:ind w:left="404" w:hanging="404"/>
              <w:rPr>
                <w:rFonts w:ascii="黑体" w:hAnsi="黑体" w:eastAsia="黑体"/>
                <w:sz w:val="18"/>
                <w:szCs w:val="18"/>
                <w:lang w:eastAsia="en-US"/>
              </w:rPr>
            </w:pPr>
          </w:p>
          <w:p w14:paraId="365DD58F">
            <w:pPr>
              <w:pStyle w:val="132"/>
              <w:spacing w:line="307" w:lineRule="auto"/>
              <w:ind w:left="396" w:right="168" w:hanging="396"/>
              <w:rPr>
                <w:rFonts w:ascii="黑体" w:hAnsi="黑体" w:eastAsia="黑体"/>
                <w:sz w:val="18"/>
                <w:szCs w:val="18"/>
                <w:lang w:eastAsia="en-US"/>
              </w:rPr>
            </w:pPr>
            <w:r>
              <w:rPr>
                <w:rFonts w:hint="eastAsia" w:ascii="黑体" w:hAnsi="黑体" w:eastAsia="黑体"/>
                <w:spacing w:val="-2"/>
                <w:sz w:val="18"/>
                <w:szCs w:val="18"/>
                <w:lang w:eastAsia="en-US"/>
              </w:rPr>
              <w:t>测试方</w:t>
            </w:r>
            <w:r>
              <w:rPr>
                <w:rFonts w:hint="eastAsia" w:ascii="黑体" w:hAnsi="黑体" w:eastAsia="黑体"/>
                <w:sz w:val="18"/>
                <w:szCs w:val="18"/>
                <w:lang w:eastAsia="en-US"/>
              </w:rPr>
              <w:t>法</w:t>
            </w:r>
          </w:p>
        </w:tc>
      </w:tr>
      <w:tr w14:paraId="285A4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992" w:type="dxa"/>
            <w:vMerge w:val="continue"/>
            <w:tcBorders>
              <w:top w:val="nil"/>
              <w:bottom w:val="single" w:color="auto" w:sz="4" w:space="0"/>
            </w:tcBorders>
            <w:shd w:val="clear" w:color="auto" w:fill="BDBDBD"/>
          </w:tcPr>
          <w:p w14:paraId="2F700632">
            <w:pPr>
              <w:autoSpaceDE w:val="0"/>
              <w:autoSpaceDN w:val="0"/>
              <w:jc w:val="left"/>
              <w:rPr>
                <w:rFonts w:ascii="黑体" w:hAnsi="黑体"/>
                <w:szCs w:val="18"/>
                <w:lang w:eastAsia="en-US"/>
              </w:rPr>
            </w:pPr>
          </w:p>
        </w:tc>
        <w:tc>
          <w:tcPr>
            <w:tcW w:w="850" w:type="dxa"/>
            <w:tcBorders>
              <w:bottom w:val="single" w:color="auto" w:sz="4" w:space="0"/>
            </w:tcBorders>
            <w:shd w:val="clear" w:color="auto" w:fill="BDBDBD"/>
          </w:tcPr>
          <w:p w14:paraId="66CF0281">
            <w:pPr>
              <w:pStyle w:val="132"/>
              <w:spacing w:before="112"/>
              <w:ind w:left="423" w:right="84" w:hanging="423"/>
              <w:rPr>
                <w:rFonts w:ascii="黑体" w:hAnsi="黑体" w:eastAsia="黑体"/>
                <w:sz w:val="18"/>
                <w:szCs w:val="18"/>
                <w:lang w:eastAsia="en-US"/>
              </w:rPr>
            </w:pPr>
            <w:r>
              <w:rPr>
                <w:rFonts w:ascii="黑体" w:hAnsi="黑体" w:eastAsia="黑体"/>
                <w:w w:val="105"/>
                <w:sz w:val="18"/>
                <w:szCs w:val="18"/>
                <w:lang w:eastAsia="en-US"/>
              </w:rPr>
              <w:t>125Hz</w:t>
            </w:r>
          </w:p>
        </w:tc>
        <w:tc>
          <w:tcPr>
            <w:tcW w:w="851" w:type="dxa"/>
            <w:tcBorders>
              <w:bottom w:val="single" w:color="auto" w:sz="4" w:space="0"/>
            </w:tcBorders>
            <w:shd w:val="clear" w:color="auto" w:fill="BDBDBD"/>
          </w:tcPr>
          <w:p w14:paraId="2D340675">
            <w:pPr>
              <w:pStyle w:val="132"/>
              <w:spacing w:before="112"/>
              <w:ind w:left="423" w:right="84" w:hanging="423"/>
              <w:rPr>
                <w:rFonts w:ascii="黑体" w:hAnsi="黑体" w:eastAsia="黑体"/>
                <w:sz w:val="18"/>
                <w:szCs w:val="18"/>
                <w:lang w:eastAsia="en-US"/>
              </w:rPr>
            </w:pPr>
            <w:r>
              <w:rPr>
                <w:rFonts w:ascii="黑体" w:hAnsi="黑体" w:eastAsia="黑体"/>
                <w:w w:val="105"/>
                <w:sz w:val="18"/>
                <w:szCs w:val="18"/>
                <w:lang w:eastAsia="en-US"/>
              </w:rPr>
              <w:t>250Hz</w:t>
            </w:r>
          </w:p>
        </w:tc>
        <w:tc>
          <w:tcPr>
            <w:tcW w:w="850" w:type="dxa"/>
            <w:tcBorders>
              <w:bottom w:val="single" w:color="auto" w:sz="4" w:space="0"/>
            </w:tcBorders>
            <w:shd w:val="clear" w:color="auto" w:fill="BDBDBD"/>
          </w:tcPr>
          <w:p w14:paraId="19BE97EC">
            <w:pPr>
              <w:pStyle w:val="132"/>
              <w:spacing w:before="112"/>
              <w:ind w:left="423" w:right="84" w:hanging="423"/>
              <w:rPr>
                <w:rFonts w:ascii="黑体" w:hAnsi="黑体" w:eastAsia="黑体"/>
                <w:sz w:val="18"/>
                <w:szCs w:val="18"/>
                <w:lang w:eastAsia="en-US"/>
              </w:rPr>
            </w:pPr>
            <w:r>
              <w:rPr>
                <w:rFonts w:ascii="黑体" w:hAnsi="黑体" w:eastAsia="黑体"/>
                <w:w w:val="105"/>
                <w:sz w:val="18"/>
                <w:szCs w:val="18"/>
                <w:lang w:eastAsia="en-US"/>
              </w:rPr>
              <w:t>500Hz</w:t>
            </w:r>
          </w:p>
        </w:tc>
        <w:tc>
          <w:tcPr>
            <w:tcW w:w="851" w:type="dxa"/>
            <w:tcBorders>
              <w:bottom w:val="single" w:color="auto" w:sz="4" w:space="0"/>
            </w:tcBorders>
            <w:shd w:val="clear" w:color="auto" w:fill="BDBDBD"/>
          </w:tcPr>
          <w:p w14:paraId="598010B0">
            <w:pPr>
              <w:pStyle w:val="132"/>
              <w:spacing w:before="112"/>
              <w:ind w:left="442" w:right="84" w:hanging="442"/>
              <w:rPr>
                <w:rFonts w:ascii="黑体" w:hAnsi="黑体" w:eastAsia="黑体"/>
                <w:sz w:val="18"/>
                <w:szCs w:val="18"/>
                <w:lang w:eastAsia="en-US"/>
              </w:rPr>
            </w:pPr>
            <w:r>
              <w:rPr>
                <w:rFonts w:ascii="黑体" w:hAnsi="黑体" w:eastAsia="黑体"/>
                <w:w w:val="110"/>
                <w:sz w:val="18"/>
                <w:szCs w:val="18"/>
                <w:lang w:eastAsia="en-US"/>
              </w:rPr>
              <w:t>1000H</w:t>
            </w:r>
            <w:r>
              <w:rPr>
                <w:rFonts w:ascii="黑体" w:hAnsi="黑体" w:eastAsia="黑体"/>
                <w:w w:val="104"/>
                <w:sz w:val="18"/>
                <w:szCs w:val="18"/>
                <w:lang w:eastAsia="en-US"/>
              </w:rPr>
              <w:t>z</w:t>
            </w:r>
          </w:p>
        </w:tc>
        <w:tc>
          <w:tcPr>
            <w:tcW w:w="850" w:type="dxa"/>
            <w:tcBorders>
              <w:bottom w:val="single" w:color="auto" w:sz="4" w:space="0"/>
            </w:tcBorders>
            <w:shd w:val="clear" w:color="auto" w:fill="BDBDBD"/>
          </w:tcPr>
          <w:p w14:paraId="27D9166F">
            <w:pPr>
              <w:pStyle w:val="132"/>
              <w:spacing w:before="112"/>
              <w:ind w:left="442" w:right="84" w:hanging="442"/>
              <w:rPr>
                <w:rFonts w:ascii="黑体" w:hAnsi="黑体" w:eastAsia="黑体"/>
                <w:sz w:val="18"/>
                <w:szCs w:val="18"/>
                <w:lang w:eastAsia="en-US"/>
              </w:rPr>
            </w:pPr>
            <w:r>
              <w:rPr>
                <w:rFonts w:ascii="黑体" w:hAnsi="黑体" w:eastAsia="黑体"/>
                <w:w w:val="110"/>
                <w:sz w:val="18"/>
                <w:szCs w:val="18"/>
                <w:lang w:eastAsia="en-US"/>
              </w:rPr>
              <w:t>2000H</w:t>
            </w:r>
            <w:r>
              <w:rPr>
                <w:rFonts w:ascii="黑体" w:hAnsi="黑体" w:eastAsia="黑体"/>
                <w:w w:val="104"/>
                <w:sz w:val="18"/>
                <w:szCs w:val="18"/>
                <w:lang w:eastAsia="en-US"/>
              </w:rPr>
              <w:t>z</w:t>
            </w:r>
          </w:p>
        </w:tc>
        <w:tc>
          <w:tcPr>
            <w:tcW w:w="851" w:type="dxa"/>
            <w:tcBorders>
              <w:bottom w:val="single" w:color="auto" w:sz="4" w:space="0"/>
            </w:tcBorders>
            <w:shd w:val="clear" w:color="auto" w:fill="BDBDBD"/>
          </w:tcPr>
          <w:p w14:paraId="44807AD2">
            <w:pPr>
              <w:pStyle w:val="132"/>
              <w:spacing w:before="112"/>
              <w:ind w:left="442" w:right="86" w:hanging="442"/>
              <w:rPr>
                <w:rFonts w:ascii="黑体" w:hAnsi="黑体" w:eastAsia="黑体"/>
                <w:sz w:val="18"/>
                <w:szCs w:val="18"/>
                <w:lang w:eastAsia="en-US"/>
              </w:rPr>
            </w:pPr>
            <w:r>
              <w:rPr>
                <w:rFonts w:ascii="黑体" w:hAnsi="黑体" w:eastAsia="黑体"/>
                <w:w w:val="110"/>
                <w:sz w:val="18"/>
                <w:szCs w:val="18"/>
                <w:lang w:eastAsia="en-US"/>
              </w:rPr>
              <w:t>4000H</w:t>
            </w:r>
            <w:r>
              <w:rPr>
                <w:rFonts w:ascii="黑体" w:hAnsi="黑体" w:eastAsia="黑体"/>
                <w:w w:val="104"/>
                <w:sz w:val="18"/>
                <w:szCs w:val="18"/>
                <w:lang w:eastAsia="en-US"/>
              </w:rPr>
              <w:t>z</w:t>
            </w:r>
          </w:p>
        </w:tc>
        <w:tc>
          <w:tcPr>
            <w:tcW w:w="1276" w:type="dxa"/>
            <w:vMerge w:val="continue"/>
            <w:tcBorders>
              <w:top w:val="nil"/>
              <w:bottom w:val="single" w:color="auto" w:sz="4" w:space="0"/>
            </w:tcBorders>
            <w:shd w:val="clear" w:color="auto" w:fill="BDBDBD"/>
          </w:tcPr>
          <w:p w14:paraId="694C4558">
            <w:pPr>
              <w:autoSpaceDE w:val="0"/>
              <w:autoSpaceDN w:val="0"/>
              <w:jc w:val="left"/>
              <w:rPr>
                <w:rFonts w:ascii="黑体" w:hAnsi="黑体"/>
                <w:szCs w:val="18"/>
                <w:lang w:eastAsia="en-US"/>
              </w:rPr>
            </w:pPr>
          </w:p>
        </w:tc>
        <w:tc>
          <w:tcPr>
            <w:tcW w:w="1134" w:type="dxa"/>
            <w:vMerge w:val="continue"/>
            <w:tcBorders>
              <w:top w:val="nil"/>
              <w:bottom w:val="single" w:color="auto" w:sz="4" w:space="0"/>
            </w:tcBorders>
            <w:shd w:val="clear" w:color="auto" w:fill="BDBDBD"/>
          </w:tcPr>
          <w:p w14:paraId="50AA8584">
            <w:pPr>
              <w:autoSpaceDE w:val="0"/>
              <w:autoSpaceDN w:val="0"/>
              <w:jc w:val="left"/>
              <w:rPr>
                <w:rFonts w:ascii="黑体" w:hAnsi="黑体"/>
                <w:szCs w:val="18"/>
                <w:lang w:eastAsia="en-US"/>
              </w:rPr>
            </w:pPr>
          </w:p>
        </w:tc>
      </w:tr>
      <w:tr w14:paraId="0A408F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92" w:type="dxa"/>
            <w:tcBorders>
              <w:top w:val="single" w:color="auto" w:sz="4" w:space="0"/>
              <w:left w:val="single" w:color="auto" w:sz="4" w:space="0"/>
              <w:bottom w:val="single" w:color="auto" w:sz="4" w:space="0"/>
              <w:right w:val="single" w:color="auto" w:sz="4" w:space="0"/>
            </w:tcBorders>
            <w:vAlign w:val="center"/>
          </w:tcPr>
          <w:p w14:paraId="530505FE">
            <w:pPr>
              <w:pStyle w:val="132"/>
              <w:tabs>
                <w:tab w:val="left" w:pos="606"/>
              </w:tabs>
              <w:spacing w:line="334" w:lineRule="exact"/>
              <w:ind w:left="423" w:hanging="423"/>
              <w:rPr>
                <w:rFonts w:ascii="黑体" w:hAnsi="黑体" w:eastAsia="黑体"/>
                <w:sz w:val="18"/>
                <w:szCs w:val="18"/>
                <w:lang w:eastAsia="zh-CN"/>
              </w:rPr>
            </w:pPr>
            <w:r>
              <w:rPr>
                <w:rFonts w:ascii="黑体" w:hAnsi="黑体" w:eastAsia="黑体"/>
                <w:w w:val="105"/>
                <w:sz w:val="18"/>
                <w:szCs w:val="18"/>
                <w:lang w:eastAsia="zh-CN"/>
              </w:rPr>
              <w:t>100mm</w:t>
            </w:r>
            <w:r>
              <w:rPr>
                <w:rFonts w:hint="eastAsia" w:ascii="黑体" w:hAnsi="黑体" w:eastAsia="黑体"/>
                <w:w w:val="105"/>
                <w:sz w:val="18"/>
                <w:szCs w:val="18"/>
                <w:lang w:eastAsia="zh-CN"/>
              </w:rPr>
              <w:t>厚</w:t>
            </w:r>
            <w:r>
              <w:rPr>
                <w:rFonts w:ascii="黑体" w:hAnsi="黑体" w:eastAsia="黑体"/>
                <w:sz w:val="18"/>
                <w:szCs w:val="18"/>
                <w:lang w:eastAsia="zh-CN"/>
              </w:rPr>
              <w:t>ALC</w:t>
            </w:r>
            <w:r>
              <w:rPr>
                <w:rFonts w:hint="eastAsia" w:ascii="黑体" w:hAnsi="黑体" w:eastAsia="黑体"/>
                <w:sz w:val="18"/>
                <w:szCs w:val="18"/>
                <w:lang w:eastAsia="zh-CN"/>
              </w:rPr>
              <w:t>双面刮腻子喷浆</w:t>
            </w:r>
          </w:p>
        </w:tc>
        <w:tc>
          <w:tcPr>
            <w:tcW w:w="850" w:type="dxa"/>
            <w:tcBorders>
              <w:top w:val="single" w:color="auto" w:sz="4" w:space="0"/>
              <w:left w:val="single" w:color="auto" w:sz="4" w:space="0"/>
              <w:bottom w:val="single" w:color="auto" w:sz="4" w:space="0"/>
              <w:right w:val="single" w:color="auto" w:sz="4" w:space="0"/>
            </w:tcBorders>
            <w:vAlign w:val="center"/>
          </w:tcPr>
          <w:p w14:paraId="5AC794ED">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32.6</w:t>
            </w:r>
          </w:p>
        </w:tc>
        <w:tc>
          <w:tcPr>
            <w:tcW w:w="851" w:type="dxa"/>
            <w:tcBorders>
              <w:top w:val="single" w:color="auto" w:sz="4" w:space="0"/>
              <w:left w:val="single" w:color="auto" w:sz="4" w:space="0"/>
              <w:bottom w:val="single" w:color="auto" w:sz="4" w:space="0"/>
              <w:right w:val="single" w:color="auto" w:sz="4" w:space="0"/>
            </w:tcBorders>
            <w:vAlign w:val="center"/>
          </w:tcPr>
          <w:p w14:paraId="6B5F7870">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31.6</w:t>
            </w:r>
          </w:p>
        </w:tc>
        <w:tc>
          <w:tcPr>
            <w:tcW w:w="850" w:type="dxa"/>
            <w:tcBorders>
              <w:top w:val="single" w:color="auto" w:sz="4" w:space="0"/>
              <w:left w:val="single" w:color="auto" w:sz="4" w:space="0"/>
              <w:bottom w:val="single" w:color="auto" w:sz="4" w:space="0"/>
              <w:right w:val="single" w:color="auto" w:sz="4" w:space="0"/>
            </w:tcBorders>
            <w:vAlign w:val="center"/>
          </w:tcPr>
          <w:p w14:paraId="641B4E75">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31.9</w:t>
            </w:r>
          </w:p>
        </w:tc>
        <w:tc>
          <w:tcPr>
            <w:tcW w:w="851" w:type="dxa"/>
            <w:tcBorders>
              <w:top w:val="single" w:color="auto" w:sz="4" w:space="0"/>
              <w:left w:val="single" w:color="auto" w:sz="4" w:space="0"/>
              <w:bottom w:val="single" w:color="auto" w:sz="4" w:space="0"/>
              <w:right w:val="single" w:color="auto" w:sz="4" w:space="0"/>
            </w:tcBorders>
            <w:vAlign w:val="center"/>
          </w:tcPr>
          <w:p w14:paraId="40442F05">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40.0</w:t>
            </w:r>
          </w:p>
        </w:tc>
        <w:tc>
          <w:tcPr>
            <w:tcW w:w="850" w:type="dxa"/>
            <w:tcBorders>
              <w:top w:val="single" w:color="auto" w:sz="4" w:space="0"/>
              <w:left w:val="single" w:color="auto" w:sz="4" w:space="0"/>
              <w:bottom w:val="single" w:color="auto" w:sz="4" w:space="0"/>
              <w:right w:val="single" w:color="auto" w:sz="4" w:space="0"/>
            </w:tcBorders>
            <w:vAlign w:val="center"/>
          </w:tcPr>
          <w:p w14:paraId="20DC45D7">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47.9</w:t>
            </w:r>
          </w:p>
        </w:tc>
        <w:tc>
          <w:tcPr>
            <w:tcW w:w="851" w:type="dxa"/>
            <w:tcBorders>
              <w:top w:val="single" w:color="auto" w:sz="4" w:space="0"/>
              <w:left w:val="single" w:color="auto" w:sz="4" w:space="0"/>
              <w:bottom w:val="single" w:color="auto" w:sz="4" w:space="0"/>
              <w:right w:val="single" w:color="auto" w:sz="4" w:space="0"/>
            </w:tcBorders>
            <w:vAlign w:val="center"/>
          </w:tcPr>
          <w:p w14:paraId="3888FF76">
            <w:pPr>
              <w:pStyle w:val="132"/>
              <w:spacing w:before="205"/>
              <w:ind w:left="404" w:right="86" w:hanging="404"/>
              <w:rPr>
                <w:rFonts w:ascii="黑体" w:hAnsi="黑体" w:eastAsia="黑体"/>
                <w:sz w:val="18"/>
                <w:szCs w:val="18"/>
                <w:lang w:eastAsia="en-US"/>
              </w:rPr>
            </w:pPr>
            <w:r>
              <w:rPr>
                <w:rFonts w:ascii="黑体" w:hAnsi="黑体" w:eastAsia="黑体"/>
                <w:sz w:val="18"/>
                <w:szCs w:val="18"/>
                <w:lang w:eastAsia="en-US"/>
              </w:rPr>
              <w:t>60.0</w:t>
            </w:r>
          </w:p>
        </w:tc>
        <w:tc>
          <w:tcPr>
            <w:tcW w:w="1276" w:type="dxa"/>
            <w:tcBorders>
              <w:top w:val="single" w:color="auto" w:sz="4" w:space="0"/>
              <w:left w:val="single" w:color="auto" w:sz="4" w:space="0"/>
              <w:bottom w:val="single" w:color="auto" w:sz="4" w:space="0"/>
              <w:right w:val="single" w:color="auto" w:sz="4" w:space="0"/>
            </w:tcBorders>
            <w:vAlign w:val="center"/>
          </w:tcPr>
          <w:p w14:paraId="20E15C62">
            <w:pPr>
              <w:pStyle w:val="132"/>
              <w:spacing w:before="205"/>
              <w:ind w:left="404" w:right="75" w:hanging="404"/>
              <w:rPr>
                <w:rFonts w:ascii="黑体" w:hAnsi="黑体" w:eastAsia="黑体"/>
                <w:sz w:val="18"/>
                <w:szCs w:val="18"/>
                <w:lang w:eastAsia="en-US"/>
              </w:rPr>
            </w:pPr>
            <w:r>
              <w:rPr>
                <w:rFonts w:ascii="黑体" w:hAnsi="黑体" w:eastAsia="黑体"/>
                <w:sz w:val="18"/>
                <w:szCs w:val="18"/>
                <w:lang w:eastAsia="en-US"/>
              </w:rPr>
              <w:t>39.0</w:t>
            </w:r>
          </w:p>
        </w:tc>
        <w:tc>
          <w:tcPr>
            <w:tcW w:w="1134" w:type="dxa"/>
            <w:tcBorders>
              <w:top w:val="single" w:color="auto" w:sz="4" w:space="0"/>
              <w:left w:val="single" w:color="auto" w:sz="4" w:space="0"/>
              <w:bottom w:val="single" w:color="auto" w:sz="4" w:space="0"/>
              <w:right w:val="single" w:color="auto" w:sz="4" w:space="0"/>
            </w:tcBorders>
            <w:vAlign w:val="center"/>
          </w:tcPr>
          <w:p w14:paraId="62987234">
            <w:pPr>
              <w:pStyle w:val="132"/>
              <w:ind w:left="404" w:hanging="404"/>
              <w:rPr>
                <w:rFonts w:ascii="黑体" w:hAnsi="黑体" w:eastAsia="黑体"/>
                <w:sz w:val="18"/>
                <w:szCs w:val="18"/>
                <w:lang w:eastAsia="en-US"/>
              </w:rPr>
            </w:pPr>
          </w:p>
        </w:tc>
      </w:tr>
      <w:tr w14:paraId="48443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92" w:type="dxa"/>
            <w:tcBorders>
              <w:top w:val="single" w:color="auto" w:sz="4" w:space="0"/>
              <w:left w:val="single" w:color="auto" w:sz="4" w:space="0"/>
              <w:bottom w:val="single" w:color="auto" w:sz="4" w:space="0"/>
              <w:right w:val="single" w:color="auto" w:sz="4" w:space="0"/>
            </w:tcBorders>
            <w:vAlign w:val="center"/>
          </w:tcPr>
          <w:p w14:paraId="1B3C354B">
            <w:pPr>
              <w:pStyle w:val="132"/>
              <w:tabs>
                <w:tab w:val="left" w:pos="606"/>
              </w:tabs>
              <w:spacing w:before="33" w:line="204" w:lineRule="auto"/>
              <w:ind w:left="2" w:right="78" w:hanging="1" w:hangingChars="1"/>
              <w:rPr>
                <w:rFonts w:ascii="黑体" w:hAnsi="黑体" w:eastAsia="黑体"/>
                <w:sz w:val="18"/>
                <w:szCs w:val="18"/>
                <w:lang w:eastAsia="zh-CN"/>
              </w:rPr>
            </w:pPr>
            <w:r>
              <w:rPr>
                <w:rFonts w:ascii="黑体" w:hAnsi="黑体" w:eastAsia="黑体"/>
                <w:spacing w:val="-16"/>
                <w:w w:val="105"/>
                <w:sz w:val="18"/>
                <w:szCs w:val="18"/>
                <w:lang w:eastAsia="zh-CN"/>
              </w:rPr>
              <w:t>200mm</w:t>
            </w:r>
            <w:r>
              <w:rPr>
                <w:rFonts w:hint="eastAsia" w:ascii="黑体" w:hAnsi="黑体" w:eastAsia="黑体"/>
                <w:sz w:val="18"/>
                <w:szCs w:val="18"/>
                <w:lang w:eastAsia="zh-CN"/>
              </w:rPr>
              <w:t>厚</w:t>
            </w:r>
            <w:r>
              <w:rPr>
                <w:rFonts w:ascii="黑体" w:hAnsi="黑体" w:eastAsia="黑体"/>
                <w:sz w:val="18"/>
                <w:szCs w:val="18"/>
                <w:lang w:eastAsia="zh-CN"/>
              </w:rPr>
              <w:t>ALC</w:t>
            </w:r>
            <w:r>
              <w:rPr>
                <w:rFonts w:hint="eastAsia" w:ascii="黑体" w:hAnsi="黑体" w:eastAsia="黑体"/>
                <w:sz w:val="18"/>
                <w:szCs w:val="18"/>
                <w:lang w:eastAsia="zh-CN"/>
              </w:rPr>
              <w:t>双面刮腻子喷浆</w:t>
            </w:r>
          </w:p>
        </w:tc>
        <w:tc>
          <w:tcPr>
            <w:tcW w:w="850" w:type="dxa"/>
            <w:tcBorders>
              <w:top w:val="single" w:color="auto" w:sz="4" w:space="0"/>
              <w:left w:val="single" w:color="auto" w:sz="4" w:space="0"/>
              <w:bottom w:val="single" w:color="auto" w:sz="4" w:space="0"/>
              <w:right w:val="single" w:color="auto" w:sz="4" w:space="0"/>
            </w:tcBorders>
            <w:vAlign w:val="center"/>
          </w:tcPr>
          <w:p w14:paraId="15CEE39E">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31.0</w:t>
            </w:r>
          </w:p>
        </w:tc>
        <w:tc>
          <w:tcPr>
            <w:tcW w:w="851" w:type="dxa"/>
            <w:tcBorders>
              <w:top w:val="single" w:color="auto" w:sz="4" w:space="0"/>
              <w:left w:val="single" w:color="auto" w:sz="4" w:space="0"/>
              <w:bottom w:val="single" w:color="auto" w:sz="4" w:space="0"/>
              <w:right w:val="single" w:color="auto" w:sz="4" w:space="0"/>
            </w:tcBorders>
            <w:vAlign w:val="center"/>
          </w:tcPr>
          <w:p w14:paraId="4D1B94FC">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37.2</w:t>
            </w:r>
          </w:p>
        </w:tc>
        <w:tc>
          <w:tcPr>
            <w:tcW w:w="850" w:type="dxa"/>
            <w:tcBorders>
              <w:top w:val="single" w:color="auto" w:sz="4" w:space="0"/>
              <w:left w:val="single" w:color="auto" w:sz="4" w:space="0"/>
              <w:bottom w:val="single" w:color="auto" w:sz="4" w:space="0"/>
              <w:right w:val="single" w:color="auto" w:sz="4" w:space="0"/>
            </w:tcBorders>
            <w:vAlign w:val="center"/>
          </w:tcPr>
          <w:p w14:paraId="4A77DF77">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41.1</w:t>
            </w:r>
          </w:p>
        </w:tc>
        <w:tc>
          <w:tcPr>
            <w:tcW w:w="851" w:type="dxa"/>
            <w:tcBorders>
              <w:top w:val="single" w:color="auto" w:sz="4" w:space="0"/>
              <w:left w:val="single" w:color="auto" w:sz="4" w:space="0"/>
              <w:bottom w:val="single" w:color="auto" w:sz="4" w:space="0"/>
              <w:right w:val="single" w:color="auto" w:sz="4" w:space="0"/>
            </w:tcBorders>
            <w:vAlign w:val="center"/>
          </w:tcPr>
          <w:p w14:paraId="265DDD04">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43.1</w:t>
            </w:r>
          </w:p>
        </w:tc>
        <w:tc>
          <w:tcPr>
            <w:tcW w:w="850" w:type="dxa"/>
            <w:tcBorders>
              <w:top w:val="single" w:color="auto" w:sz="4" w:space="0"/>
              <w:left w:val="single" w:color="auto" w:sz="4" w:space="0"/>
              <w:bottom w:val="single" w:color="auto" w:sz="4" w:space="0"/>
              <w:right w:val="single" w:color="auto" w:sz="4" w:space="0"/>
            </w:tcBorders>
            <w:vAlign w:val="center"/>
          </w:tcPr>
          <w:p w14:paraId="3DDEC57E">
            <w:pPr>
              <w:pStyle w:val="132"/>
              <w:spacing w:before="205"/>
              <w:ind w:left="404" w:right="84" w:hanging="404"/>
              <w:rPr>
                <w:rFonts w:ascii="黑体" w:hAnsi="黑体" w:eastAsia="黑体"/>
                <w:sz w:val="18"/>
                <w:szCs w:val="18"/>
                <w:lang w:eastAsia="en-US"/>
              </w:rPr>
            </w:pPr>
            <w:r>
              <w:rPr>
                <w:rFonts w:ascii="黑体" w:hAnsi="黑体" w:eastAsia="黑体"/>
                <w:sz w:val="18"/>
                <w:szCs w:val="18"/>
                <w:lang w:eastAsia="en-US"/>
              </w:rPr>
              <w:t>51.3</w:t>
            </w:r>
          </w:p>
        </w:tc>
        <w:tc>
          <w:tcPr>
            <w:tcW w:w="851" w:type="dxa"/>
            <w:tcBorders>
              <w:top w:val="single" w:color="auto" w:sz="4" w:space="0"/>
              <w:left w:val="single" w:color="auto" w:sz="4" w:space="0"/>
              <w:bottom w:val="single" w:color="auto" w:sz="4" w:space="0"/>
              <w:right w:val="single" w:color="auto" w:sz="4" w:space="0"/>
            </w:tcBorders>
            <w:vAlign w:val="center"/>
          </w:tcPr>
          <w:p w14:paraId="352D537F">
            <w:pPr>
              <w:pStyle w:val="132"/>
              <w:spacing w:before="205"/>
              <w:ind w:left="404" w:right="86" w:hanging="404"/>
              <w:rPr>
                <w:rFonts w:ascii="黑体" w:hAnsi="黑体" w:eastAsia="黑体"/>
                <w:sz w:val="18"/>
                <w:szCs w:val="18"/>
                <w:lang w:eastAsia="en-US"/>
              </w:rPr>
            </w:pPr>
            <w:r>
              <w:rPr>
                <w:rFonts w:ascii="黑体" w:hAnsi="黑体" w:eastAsia="黑体"/>
                <w:sz w:val="18"/>
                <w:szCs w:val="18"/>
                <w:lang w:eastAsia="en-US"/>
              </w:rPr>
              <w:t>54.7</w:t>
            </w:r>
          </w:p>
        </w:tc>
        <w:tc>
          <w:tcPr>
            <w:tcW w:w="1276" w:type="dxa"/>
            <w:tcBorders>
              <w:top w:val="single" w:color="auto" w:sz="4" w:space="0"/>
              <w:left w:val="single" w:color="auto" w:sz="4" w:space="0"/>
              <w:bottom w:val="single" w:color="auto" w:sz="4" w:space="0"/>
              <w:right w:val="single" w:color="auto" w:sz="4" w:space="0"/>
            </w:tcBorders>
            <w:vAlign w:val="center"/>
          </w:tcPr>
          <w:p w14:paraId="6686B8BF">
            <w:pPr>
              <w:pStyle w:val="132"/>
              <w:spacing w:before="205"/>
              <w:ind w:left="404" w:right="75" w:hanging="404"/>
              <w:rPr>
                <w:rFonts w:ascii="黑体" w:hAnsi="黑体" w:eastAsia="黑体"/>
                <w:sz w:val="18"/>
                <w:szCs w:val="18"/>
                <w:lang w:eastAsia="en-US"/>
              </w:rPr>
            </w:pPr>
            <w:r>
              <w:rPr>
                <w:rFonts w:ascii="黑体" w:hAnsi="黑体" w:eastAsia="黑体"/>
                <w:sz w:val="18"/>
                <w:szCs w:val="18"/>
                <w:lang w:eastAsia="en-US"/>
              </w:rPr>
              <w:t>45.2</w:t>
            </w:r>
          </w:p>
        </w:tc>
        <w:tc>
          <w:tcPr>
            <w:tcW w:w="1134" w:type="dxa"/>
            <w:tcBorders>
              <w:top w:val="single" w:color="auto" w:sz="4" w:space="0"/>
              <w:left w:val="single" w:color="auto" w:sz="4" w:space="0"/>
              <w:bottom w:val="single" w:color="auto" w:sz="4" w:space="0"/>
              <w:right w:val="single" w:color="auto" w:sz="4" w:space="0"/>
            </w:tcBorders>
            <w:vAlign w:val="center"/>
          </w:tcPr>
          <w:p w14:paraId="6A79E467">
            <w:pPr>
              <w:pStyle w:val="132"/>
              <w:spacing w:before="210" w:line="307" w:lineRule="auto"/>
              <w:ind w:left="404" w:hanging="40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1"/>
                <w:sz w:val="18"/>
                <w:szCs w:val="18"/>
                <w:lang w:eastAsia="en-US"/>
              </w:rPr>
              <w:t xml:space="preserve"> </w:t>
            </w:r>
            <w:r>
              <w:rPr>
                <w:rFonts w:ascii="黑体" w:hAnsi="黑体" w:eastAsia="黑体"/>
                <w:sz w:val="18"/>
                <w:szCs w:val="18"/>
                <w:lang w:eastAsia="en-US"/>
              </w:rPr>
              <w:t>19889.3-2005</w:t>
            </w:r>
          </w:p>
        </w:tc>
      </w:tr>
    </w:tbl>
    <w:p w14:paraId="3ECB22A9">
      <w:pPr>
        <w:spacing w:line="330" w:lineRule="exact"/>
        <w:ind w:left="2825" w:right="2850"/>
        <w:jc w:val="left"/>
        <w:rPr>
          <w:rFonts w:ascii="黑体" w:hAnsi="黑体"/>
          <w:szCs w:val="18"/>
        </w:rPr>
      </w:pPr>
    </w:p>
    <w:p w14:paraId="260A12B4">
      <w:pPr>
        <w:pStyle w:val="4"/>
        <w:keepNext w:val="0"/>
        <w:keepLines w:val="0"/>
        <w:tabs>
          <w:tab w:val="left" w:pos="842"/>
        </w:tabs>
        <w:autoSpaceDE w:val="0"/>
        <w:autoSpaceDN w:val="0"/>
        <w:spacing w:before="29" w:after="0" w:line="240" w:lineRule="auto"/>
        <w:ind w:firstLine="452" w:firstLineChars="250"/>
        <w:jc w:val="left"/>
        <w:rPr>
          <w:rFonts w:ascii="黑体" w:hAnsi="黑体"/>
          <w:szCs w:val="18"/>
        </w:rPr>
      </w:pPr>
      <w:bookmarkStart w:id="13" w:name="_Toc174556771"/>
      <w:r>
        <w:rPr>
          <w:rFonts w:ascii="黑体" w:hAnsi="黑体"/>
          <w:szCs w:val="18"/>
        </w:rPr>
        <w:t>2.3.3.7</w:t>
      </w:r>
      <w:r>
        <w:rPr>
          <w:rFonts w:hint="eastAsia" w:ascii="黑体" w:hAnsi="黑体"/>
          <w:szCs w:val="18"/>
        </w:rPr>
        <w:t>、</w:t>
      </w:r>
      <w:r>
        <w:rPr>
          <w:rFonts w:ascii="黑体" w:hAnsi="黑体"/>
          <w:szCs w:val="18"/>
        </w:rPr>
        <w:t>辅材技术要求</w:t>
      </w:r>
      <w:bookmarkEnd w:id="13"/>
    </w:p>
    <w:p w14:paraId="57423037">
      <w:pPr>
        <w:pStyle w:val="49"/>
        <w:spacing w:line="330" w:lineRule="exact"/>
        <w:ind w:left="180" w:right="2850" w:firstLine="360"/>
        <w:jc w:val="left"/>
        <w:rPr>
          <w:rFonts w:ascii="黑体" w:hAnsi="黑体"/>
          <w:szCs w:val="18"/>
        </w:rPr>
      </w:pPr>
      <w:r>
        <w:rPr>
          <w:rFonts w:ascii="黑体" w:hAnsi="黑体"/>
          <w:szCs w:val="18"/>
        </w:rPr>
        <w:t>(1)粘结砂浆</w:t>
      </w:r>
    </w:p>
    <w:p w14:paraId="47C8C03C">
      <w:pPr>
        <w:spacing w:before="32"/>
        <w:ind w:left="2825" w:right="2850"/>
        <w:jc w:val="left"/>
        <w:rPr>
          <w:rFonts w:ascii="黑体" w:hAnsi="黑体"/>
          <w:szCs w:val="18"/>
        </w:rPr>
      </w:pPr>
      <w:r>
        <w:rPr>
          <w:rFonts w:ascii="黑体" w:hAnsi="黑体"/>
          <w:spacing w:val="-3"/>
          <w:szCs w:val="18"/>
        </w:rPr>
        <w:t xml:space="preserve">表 </w:t>
      </w:r>
      <w:r>
        <w:rPr>
          <w:rFonts w:ascii="黑体" w:hAnsi="黑体"/>
          <w:szCs w:val="18"/>
        </w:rPr>
        <w:t>6</w:t>
      </w:r>
      <w:r>
        <w:rPr>
          <w:rFonts w:ascii="黑体" w:hAnsi="黑体"/>
          <w:spacing w:val="-10"/>
          <w:szCs w:val="18"/>
        </w:rPr>
        <w:t xml:space="preserve"> </w:t>
      </w:r>
      <w:r>
        <w:rPr>
          <w:rFonts w:ascii="黑体" w:hAnsi="黑体"/>
          <w:szCs w:val="18"/>
        </w:rPr>
        <w:t>粘结砂浆技术要求</w:t>
      </w:r>
    </w:p>
    <w:p w14:paraId="071FE89E">
      <w:pPr>
        <w:spacing w:before="32"/>
        <w:ind w:left="2825" w:right="2850"/>
        <w:jc w:val="left"/>
        <w:rPr>
          <w:rFonts w:ascii="黑体" w:hAnsi="黑体"/>
          <w:szCs w:val="18"/>
        </w:rPr>
      </w:pPr>
    </w:p>
    <w:tbl>
      <w:tblPr>
        <w:tblStyle w:val="133"/>
        <w:tblW w:w="0" w:type="auto"/>
        <w:tblInd w:w="4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5"/>
        <w:gridCol w:w="1205"/>
        <w:gridCol w:w="1840"/>
        <w:gridCol w:w="2929"/>
        <w:gridCol w:w="1714"/>
      </w:tblGrid>
      <w:tr w14:paraId="3872F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815" w:type="dxa"/>
            <w:shd w:val="clear" w:color="auto" w:fill="BDBDBD"/>
          </w:tcPr>
          <w:p w14:paraId="68B88A46">
            <w:pPr>
              <w:pStyle w:val="132"/>
              <w:spacing w:before="27"/>
              <w:ind w:left="404" w:right="168" w:hanging="404"/>
              <w:rPr>
                <w:rFonts w:ascii="黑体" w:hAnsi="黑体" w:eastAsia="黑体"/>
                <w:sz w:val="18"/>
                <w:szCs w:val="18"/>
                <w:lang w:eastAsia="en-US"/>
              </w:rPr>
            </w:pPr>
            <w:r>
              <w:rPr>
                <w:rFonts w:hint="eastAsia" w:ascii="黑体" w:hAnsi="黑体" w:eastAsia="黑体"/>
                <w:sz w:val="18"/>
                <w:szCs w:val="18"/>
                <w:lang w:eastAsia="en-US"/>
              </w:rPr>
              <w:t>序号</w:t>
            </w:r>
          </w:p>
        </w:tc>
        <w:tc>
          <w:tcPr>
            <w:tcW w:w="3045" w:type="dxa"/>
            <w:gridSpan w:val="2"/>
            <w:shd w:val="clear" w:color="auto" w:fill="BDBDBD"/>
          </w:tcPr>
          <w:p w14:paraId="4FAAF0BA">
            <w:pPr>
              <w:pStyle w:val="132"/>
              <w:spacing w:before="27"/>
              <w:ind w:left="404" w:right="1283" w:hanging="404"/>
              <w:rPr>
                <w:rFonts w:ascii="黑体" w:hAnsi="黑体" w:eastAsia="黑体"/>
                <w:sz w:val="18"/>
                <w:szCs w:val="18"/>
                <w:lang w:eastAsia="en-US"/>
              </w:rPr>
            </w:pPr>
            <w:r>
              <w:rPr>
                <w:rFonts w:hint="eastAsia" w:ascii="黑体" w:hAnsi="黑体" w:eastAsia="黑体"/>
                <w:sz w:val="18"/>
                <w:szCs w:val="18"/>
                <w:lang w:eastAsia="en-US"/>
              </w:rPr>
              <w:t>项目</w:t>
            </w:r>
          </w:p>
        </w:tc>
        <w:tc>
          <w:tcPr>
            <w:tcW w:w="2929" w:type="dxa"/>
            <w:shd w:val="clear" w:color="auto" w:fill="BDBDBD"/>
          </w:tcPr>
          <w:p w14:paraId="7A69F907">
            <w:pPr>
              <w:pStyle w:val="132"/>
              <w:spacing w:before="27"/>
              <w:ind w:left="404" w:right="1015" w:hanging="404"/>
              <w:rPr>
                <w:rFonts w:ascii="黑体" w:hAnsi="黑体" w:eastAsia="黑体"/>
                <w:sz w:val="18"/>
                <w:szCs w:val="18"/>
                <w:lang w:eastAsia="en-US"/>
              </w:rPr>
            </w:pPr>
            <w:r>
              <w:rPr>
                <w:rFonts w:hint="eastAsia" w:ascii="黑体" w:hAnsi="黑体" w:eastAsia="黑体"/>
                <w:sz w:val="18"/>
                <w:szCs w:val="18"/>
                <w:lang w:eastAsia="en-US"/>
              </w:rPr>
              <w:t>指标要求</w:t>
            </w:r>
          </w:p>
        </w:tc>
        <w:tc>
          <w:tcPr>
            <w:tcW w:w="1714" w:type="dxa"/>
            <w:shd w:val="clear" w:color="auto" w:fill="BDBDBD"/>
          </w:tcPr>
          <w:p w14:paraId="0CF92F6F">
            <w:pPr>
              <w:pStyle w:val="132"/>
              <w:spacing w:before="27"/>
              <w:ind w:left="404" w:hanging="404"/>
              <w:rPr>
                <w:rFonts w:ascii="黑体" w:hAnsi="黑体" w:eastAsia="黑体"/>
                <w:sz w:val="18"/>
                <w:szCs w:val="18"/>
                <w:lang w:eastAsia="en-US"/>
              </w:rPr>
            </w:pPr>
            <w:r>
              <w:rPr>
                <w:rFonts w:hint="eastAsia" w:ascii="黑体" w:hAnsi="黑体" w:eastAsia="黑体"/>
                <w:sz w:val="18"/>
                <w:szCs w:val="18"/>
                <w:lang w:eastAsia="en-US"/>
              </w:rPr>
              <w:t>测试方法</w:t>
            </w:r>
          </w:p>
        </w:tc>
      </w:tr>
      <w:tr w14:paraId="72E4E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15" w:type="dxa"/>
          </w:tcPr>
          <w:p w14:paraId="3B6F51E1">
            <w:pPr>
              <w:pStyle w:val="132"/>
              <w:spacing w:before="167"/>
              <w:ind w:left="429" w:hanging="429"/>
              <w:rPr>
                <w:rFonts w:ascii="黑体" w:hAnsi="黑体" w:eastAsia="黑体"/>
                <w:sz w:val="18"/>
                <w:szCs w:val="18"/>
                <w:lang w:eastAsia="en-US"/>
              </w:rPr>
            </w:pPr>
            <w:r>
              <w:rPr>
                <w:rFonts w:ascii="黑体" w:hAnsi="黑体" w:eastAsia="黑体"/>
                <w:w w:val="107"/>
                <w:sz w:val="18"/>
                <w:szCs w:val="18"/>
                <w:lang w:eastAsia="en-US"/>
              </w:rPr>
              <w:t>1</w:t>
            </w:r>
          </w:p>
        </w:tc>
        <w:tc>
          <w:tcPr>
            <w:tcW w:w="3045" w:type="dxa"/>
            <w:gridSpan w:val="2"/>
          </w:tcPr>
          <w:p w14:paraId="06187EA1">
            <w:pPr>
              <w:pStyle w:val="132"/>
              <w:spacing w:line="204" w:lineRule="auto"/>
              <w:ind w:left="388" w:right="96" w:hanging="388"/>
              <w:rPr>
                <w:rFonts w:ascii="黑体" w:hAnsi="黑体" w:eastAsia="黑体"/>
                <w:sz w:val="18"/>
                <w:szCs w:val="18"/>
                <w:lang w:eastAsia="zh-CN"/>
              </w:rPr>
            </w:pPr>
            <w:r>
              <w:rPr>
                <w:rFonts w:ascii="黑体" w:hAnsi="黑体" w:eastAsia="黑体"/>
                <w:spacing w:val="-4"/>
                <w:sz w:val="18"/>
                <w:szCs w:val="18"/>
                <w:lang w:eastAsia="zh-CN"/>
              </w:rPr>
              <w:t>14d</w:t>
            </w:r>
            <w:r>
              <w:rPr>
                <w:rFonts w:ascii="黑体" w:hAnsi="黑体" w:eastAsia="黑体"/>
                <w:spacing w:val="-11"/>
                <w:sz w:val="18"/>
                <w:szCs w:val="18"/>
                <w:lang w:eastAsia="zh-CN"/>
              </w:rPr>
              <w:t xml:space="preserve"> </w:t>
            </w:r>
            <w:r>
              <w:rPr>
                <w:rFonts w:hint="eastAsia" w:ascii="黑体" w:hAnsi="黑体" w:eastAsia="黑体"/>
                <w:spacing w:val="-4"/>
                <w:sz w:val="18"/>
                <w:szCs w:val="18"/>
                <w:lang w:eastAsia="zh-CN"/>
              </w:rPr>
              <w:t>拉伸粘结强度（</w:t>
            </w:r>
            <w:r>
              <w:rPr>
                <w:rFonts w:ascii="黑体" w:hAnsi="黑体" w:eastAsia="黑体"/>
                <w:spacing w:val="-4"/>
                <w:sz w:val="18"/>
                <w:szCs w:val="18"/>
                <w:lang w:eastAsia="zh-CN"/>
              </w:rPr>
              <w:t>MPa</w:t>
            </w:r>
            <w:r>
              <w:rPr>
                <w:rFonts w:hint="eastAsia" w:ascii="黑体" w:hAnsi="黑体" w:eastAsia="黑体"/>
                <w:spacing w:val="-4"/>
                <w:sz w:val="18"/>
                <w:szCs w:val="18"/>
                <w:lang w:eastAsia="zh-CN"/>
              </w:rPr>
              <w:t>）（</w:t>
            </w:r>
            <w:r>
              <w:rPr>
                <w:rFonts w:hint="eastAsia" w:ascii="黑体" w:hAnsi="黑体" w:eastAsia="黑体"/>
                <w:spacing w:val="-3"/>
                <w:sz w:val="18"/>
                <w:szCs w:val="18"/>
                <w:lang w:eastAsia="zh-CN"/>
              </w:rPr>
              <w:t>与</w:t>
            </w:r>
            <w:r>
              <w:rPr>
                <w:rFonts w:hint="eastAsia" w:ascii="黑体" w:hAnsi="黑体" w:eastAsia="黑体"/>
                <w:sz w:val="18"/>
                <w:szCs w:val="18"/>
                <w:lang w:eastAsia="zh-CN"/>
              </w:rPr>
              <w:t>蒸压加气混凝土粘结）</w:t>
            </w:r>
          </w:p>
        </w:tc>
        <w:tc>
          <w:tcPr>
            <w:tcW w:w="2929" w:type="dxa"/>
          </w:tcPr>
          <w:p w14:paraId="7F390D00">
            <w:pPr>
              <w:pStyle w:val="132"/>
              <w:spacing w:before="167"/>
              <w:ind w:left="404" w:right="1014" w:hanging="404"/>
              <w:rPr>
                <w:rFonts w:ascii="黑体" w:hAnsi="黑体" w:eastAsia="黑体"/>
                <w:sz w:val="18"/>
                <w:szCs w:val="18"/>
                <w:lang w:eastAsia="en-US"/>
              </w:rPr>
            </w:pPr>
            <w:r>
              <w:rPr>
                <w:rFonts w:ascii="黑体" w:hAnsi="黑体" w:eastAsia="黑体"/>
                <w:sz w:val="18"/>
                <w:szCs w:val="18"/>
                <w:lang w:eastAsia="en-US"/>
              </w:rPr>
              <w:t>≥0.4</w:t>
            </w:r>
          </w:p>
        </w:tc>
        <w:tc>
          <w:tcPr>
            <w:tcW w:w="1714" w:type="dxa"/>
            <w:vMerge w:val="restart"/>
          </w:tcPr>
          <w:p w14:paraId="346B19CB">
            <w:pPr>
              <w:pStyle w:val="132"/>
              <w:ind w:left="404" w:hanging="404"/>
              <w:rPr>
                <w:rFonts w:ascii="黑体" w:hAnsi="黑体" w:eastAsia="黑体"/>
                <w:sz w:val="18"/>
                <w:szCs w:val="18"/>
                <w:lang w:eastAsia="en-US"/>
              </w:rPr>
            </w:pPr>
          </w:p>
          <w:p w14:paraId="6AE21E71">
            <w:pPr>
              <w:pStyle w:val="132"/>
              <w:ind w:left="404" w:hanging="404"/>
              <w:rPr>
                <w:rFonts w:ascii="黑体" w:hAnsi="黑体" w:eastAsia="黑体"/>
                <w:sz w:val="18"/>
                <w:szCs w:val="18"/>
                <w:lang w:eastAsia="en-US"/>
              </w:rPr>
            </w:pPr>
          </w:p>
          <w:p w14:paraId="3098E771">
            <w:pPr>
              <w:pStyle w:val="132"/>
              <w:spacing w:before="9"/>
              <w:ind w:left="404" w:hanging="404"/>
              <w:rPr>
                <w:rFonts w:ascii="黑体" w:hAnsi="黑体" w:eastAsia="黑体"/>
                <w:sz w:val="18"/>
                <w:szCs w:val="18"/>
                <w:lang w:eastAsia="en-US"/>
              </w:rPr>
            </w:pPr>
          </w:p>
          <w:p w14:paraId="0DEF5E3B">
            <w:pPr>
              <w:pStyle w:val="132"/>
              <w:ind w:left="404" w:hanging="404"/>
              <w:rPr>
                <w:rFonts w:ascii="黑体" w:hAnsi="黑体" w:eastAsia="黑体"/>
                <w:sz w:val="18"/>
                <w:szCs w:val="18"/>
                <w:lang w:eastAsia="en-US"/>
              </w:rPr>
            </w:pPr>
            <w:r>
              <w:rPr>
                <w:rFonts w:ascii="黑体" w:hAnsi="黑体" w:eastAsia="黑体"/>
                <w:sz w:val="18"/>
                <w:szCs w:val="18"/>
                <w:lang w:eastAsia="en-US"/>
              </w:rPr>
              <w:t>JC/T</w:t>
            </w:r>
            <w:r>
              <w:rPr>
                <w:rFonts w:ascii="黑体" w:hAnsi="黑体" w:eastAsia="黑体"/>
                <w:spacing w:val="-3"/>
                <w:sz w:val="18"/>
                <w:szCs w:val="18"/>
                <w:lang w:eastAsia="en-US"/>
              </w:rPr>
              <w:t xml:space="preserve"> </w:t>
            </w:r>
            <w:r>
              <w:rPr>
                <w:rFonts w:ascii="黑体" w:hAnsi="黑体" w:eastAsia="黑体"/>
                <w:sz w:val="18"/>
                <w:szCs w:val="18"/>
                <w:lang w:eastAsia="en-US"/>
              </w:rPr>
              <w:t>890-2017</w:t>
            </w:r>
          </w:p>
        </w:tc>
      </w:tr>
      <w:tr w14:paraId="7A710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15" w:type="dxa"/>
          </w:tcPr>
          <w:p w14:paraId="6A4B9640">
            <w:pPr>
              <w:pStyle w:val="132"/>
              <w:spacing w:before="89"/>
              <w:ind w:left="429" w:hanging="429"/>
              <w:rPr>
                <w:rFonts w:ascii="黑体" w:hAnsi="黑体" w:eastAsia="黑体"/>
                <w:sz w:val="18"/>
                <w:szCs w:val="18"/>
                <w:lang w:eastAsia="en-US"/>
              </w:rPr>
            </w:pPr>
            <w:r>
              <w:rPr>
                <w:rFonts w:ascii="黑体" w:hAnsi="黑体" w:eastAsia="黑体"/>
                <w:w w:val="107"/>
                <w:sz w:val="18"/>
                <w:szCs w:val="18"/>
                <w:lang w:eastAsia="en-US"/>
              </w:rPr>
              <w:t>2</w:t>
            </w:r>
          </w:p>
        </w:tc>
        <w:tc>
          <w:tcPr>
            <w:tcW w:w="3045" w:type="dxa"/>
            <w:gridSpan w:val="2"/>
          </w:tcPr>
          <w:p w14:paraId="09D060D5">
            <w:pPr>
              <w:pStyle w:val="132"/>
              <w:spacing w:before="34"/>
              <w:ind w:left="404" w:hanging="404"/>
              <w:rPr>
                <w:rFonts w:ascii="黑体" w:hAnsi="黑体" w:eastAsia="黑体"/>
                <w:sz w:val="18"/>
                <w:szCs w:val="18"/>
                <w:lang w:eastAsia="zh-CN"/>
              </w:rPr>
            </w:pPr>
            <w:r>
              <w:rPr>
                <w:rFonts w:ascii="黑体" w:hAnsi="黑体" w:eastAsia="黑体"/>
                <w:sz w:val="18"/>
                <w:szCs w:val="18"/>
                <w:lang w:eastAsia="zh-CN"/>
              </w:rPr>
              <w:t>28d</w:t>
            </w:r>
            <w:r>
              <w:rPr>
                <w:rFonts w:ascii="黑体" w:hAnsi="黑体" w:eastAsia="黑体"/>
                <w:spacing w:val="-1"/>
                <w:sz w:val="18"/>
                <w:szCs w:val="18"/>
                <w:lang w:eastAsia="zh-CN"/>
              </w:rPr>
              <w:t xml:space="preserve"> </w:t>
            </w:r>
            <w:r>
              <w:rPr>
                <w:rFonts w:hint="eastAsia" w:ascii="黑体" w:hAnsi="黑体" w:eastAsia="黑体"/>
                <w:sz w:val="18"/>
                <w:szCs w:val="18"/>
                <w:lang w:eastAsia="zh-CN"/>
              </w:rPr>
              <w:t>抗压强度（</w:t>
            </w:r>
            <w:r>
              <w:rPr>
                <w:rFonts w:ascii="黑体" w:hAnsi="黑体" w:eastAsia="黑体"/>
                <w:sz w:val="18"/>
                <w:szCs w:val="18"/>
                <w:lang w:eastAsia="zh-CN"/>
              </w:rPr>
              <w:t>MPa</w:t>
            </w:r>
            <w:r>
              <w:rPr>
                <w:rFonts w:hint="eastAsia" w:ascii="黑体" w:hAnsi="黑体" w:eastAsia="黑体"/>
                <w:sz w:val="18"/>
                <w:szCs w:val="18"/>
                <w:lang w:eastAsia="zh-CN"/>
              </w:rPr>
              <w:t>）</w:t>
            </w:r>
          </w:p>
        </w:tc>
        <w:tc>
          <w:tcPr>
            <w:tcW w:w="2929" w:type="dxa"/>
          </w:tcPr>
          <w:p w14:paraId="1E0935CB">
            <w:pPr>
              <w:pStyle w:val="132"/>
              <w:spacing w:before="89"/>
              <w:ind w:left="404" w:right="1014" w:hanging="404"/>
              <w:rPr>
                <w:rFonts w:ascii="黑体" w:hAnsi="黑体" w:eastAsia="黑体"/>
                <w:sz w:val="18"/>
                <w:szCs w:val="18"/>
                <w:lang w:eastAsia="en-US"/>
              </w:rPr>
            </w:pPr>
            <w:r>
              <w:rPr>
                <w:rFonts w:ascii="黑体" w:hAnsi="黑体" w:eastAsia="黑体"/>
                <w:sz w:val="18"/>
                <w:szCs w:val="18"/>
                <w:lang w:eastAsia="en-US"/>
              </w:rPr>
              <w:t>≥5.0</w:t>
            </w:r>
          </w:p>
        </w:tc>
        <w:tc>
          <w:tcPr>
            <w:tcW w:w="1714" w:type="dxa"/>
            <w:vMerge w:val="continue"/>
            <w:tcBorders>
              <w:top w:val="nil"/>
            </w:tcBorders>
          </w:tcPr>
          <w:p w14:paraId="2B45C3B7">
            <w:pPr>
              <w:autoSpaceDE w:val="0"/>
              <w:autoSpaceDN w:val="0"/>
              <w:jc w:val="left"/>
              <w:rPr>
                <w:rFonts w:ascii="黑体" w:hAnsi="黑体"/>
                <w:szCs w:val="18"/>
                <w:lang w:eastAsia="en-US"/>
              </w:rPr>
            </w:pPr>
          </w:p>
        </w:tc>
      </w:tr>
      <w:tr w14:paraId="2EB3B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5" w:type="dxa"/>
            <w:vMerge w:val="restart"/>
          </w:tcPr>
          <w:p w14:paraId="60D5ABB1">
            <w:pPr>
              <w:pStyle w:val="132"/>
              <w:spacing w:before="2"/>
              <w:ind w:left="404" w:hanging="404"/>
              <w:rPr>
                <w:rFonts w:ascii="黑体" w:hAnsi="黑体" w:eastAsia="黑体"/>
                <w:sz w:val="18"/>
                <w:szCs w:val="18"/>
                <w:lang w:eastAsia="en-US"/>
              </w:rPr>
            </w:pPr>
          </w:p>
          <w:p w14:paraId="2BB171CD">
            <w:pPr>
              <w:pStyle w:val="132"/>
              <w:ind w:left="429" w:hanging="429"/>
              <w:rPr>
                <w:rFonts w:ascii="黑体" w:hAnsi="黑体" w:eastAsia="黑体"/>
                <w:sz w:val="18"/>
                <w:szCs w:val="18"/>
                <w:lang w:eastAsia="en-US"/>
              </w:rPr>
            </w:pPr>
            <w:r>
              <w:rPr>
                <w:rFonts w:ascii="黑体" w:hAnsi="黑体" w:eastAsia="黑体"/>
                <w:w w:val="107"/>
                <w:sz w:val="18"/>
                <w:szCs w:val="18"/>
                <w:lang w:eastAsia="en-US"/>
              </w:rPr>
              <w:t>3</w:t>
            </w:r>
          </w:p>
        </w:tc>
        <w:tc>
          <w:tcPr>
            <w:tcW w:w="1205" w:type="dxa"/>
            <w:vMerge w:val="restart"/>
          </w:tcPr>
          <w:p w14:paraId="66CB7553">
            <w:pPr>
              <w:pStyle w:val="132"/>
              <w:spacing w:before="17"/>
              <w:ind w:left="404" w:hanging="404"/>
              <w:rPr>
                <w:rFonts w:ascii="黑体" w:hAnsi="黑体" w:eastAsia="黑体"/>
                <w:sz w:val="18"/>
                <w:szCs w:val="18"/>
                <w:lang w:eastAsia="en-US"/>
              </w:rPr>
            </w:pPr>
          </w:p>
          <w:p w14:paraId="546E8C96">
            <w:pPr>
              <w:pStyle w:val="132"/>
              <w:ind w:left="404" w:hanging="404"/>
              <w:rPr>
                <w:rFonts w:ascii="黑体" w:hAnsi="黑体" w:eastAsia="黑体"/>
                <w:sz w:val="18"/>
                <w:szCs w:val="18"/>
                <w:lang w:eastAsia="en-US"/>
              </w:rPr>
            </w:pPr>
            <w:r>
              <w:rPr>
                <w:rFonts w:hint="eastAsia" w:ascii="黑体" w:hAnsi="黑体" w:eastAsia="黑体"/>
                <w:sz w:val="18"/>
                <w:szCs w:val="18"/>
                <w:lang w:eastAsia="en-US"/>
              </w:rPr>
              <w:t>抗冻性</w:t>
            </w:r>
          </w:p>
        </w:tc>
        <w:tc>
          <w:tcPr>
            <w:tcW w:w="1840" w:type="dxa"/>
          </w:tcPr>
          <w:p w14:paraId="28D6585F">
            <w:pPr>
              <w:pStyle w:val="132"/>
              <w:spacing w:before="34"/>
              <w:ind w:left="404" w:right="92" w:hanging="404"/>
              <w:rPr>
                <w:rFonts w:ascii="黑体" w:hAnsi="黑体" w:eastAsia="黑体"/>
                <w:sz w:val="18"/>
                <w:szCs w:val="18"/>
                <w:lang w:eastAsia="en-US"/>
              </w:rPr>
            </w:pPr>
            <w:r>
              <w:rPr>
                <w:rFonts w:hint="eastAsia" w:ascii="黑体" w:hAnsi="黑体" w:eastAsia="黑体"/>
                <w:sz w:val="18"/>
                <w:szCs w:val="18"/>
                <w:lang w:eastAsia="en-US"/>
              </w:rPr>
              <w:t>强度损失率</w:t>
            </w:r>
            <w:r>
              <w:rPr>
                <w:rFonts w:ascii="黑体" w:hAnsi="黑体" w:eastAsia="黑体"/>
                <w:sz w:val="18"/>
                <w:szCs w:val="18"/>
                <w:lang w:eastAsia="en-US"/>
              </w:rPr>
              <w:t>(%)</w:t>
            </w:r>
          </w:p>
        </w:tc>
        <w:tc>
          <w:tcPr>
            <w:tcW w:w="2929" w:type="dxa"/>
          </w:tcPr>
          <w:p w14:paraId="62E4B83A">
            <w:pPr>
              <w:pStyle w:val="132"/>
              <w:spacing w:before="89"/>
              <w:ind w:left="423" w:right="1014" w:hanging="423"/>
              <w:rPr>
                <w:rFonts w:ascii="黑体" w:hAnsi="黑体" w:eastAsia="黑体"/>
                <w:sz w:val="18"/>
                <w:szCs w:val="18"/>
                <w:lang w:eastAsia="en-US"/>
              </w:rPr>
            </w:pPr>
            <w:r>
              <w:rPr>
                <w:rFonts w:ascii="黑体" w:hAnsi="黑体" w:eastAsia="黑体"/>
                <w:w w:val="105"/>
                <w:sz w:val="18"/>
                <w:szCs w:val="18"/>
                <w:lang w:eastAsia="en-US"/>
              </w:rPr>
              <w:t>≤25</w:t>
            </w:r>
          </w:p>
        </w:tc>
        <w:tc>
          <w:tcPr>
            <w:tcW w:w="1714" w:type="dxa"/>
            <w:vMerge w:val="continue"/>
            <w:tcBorders>
              <w:top w:val="nil"/>
            </w:tcBorders>
          </w:tcPr>
          <w:p w14:paraId="04897EDC">
            <w:pPr>
              <w:autoSpaceDE w:val="0"/>
              <w:autoSpaceDN w:val="0"/>
              <w:jc w:val="left"/>
              <w:rPr>
                <w:rFonts w:ascii="黑体" w:hAnsi="黑体"/>
                <w:szCs w:val="18"/>
                <w:lang w:eastAsia="en-US"/>
              </w:rPr>
            </w:pPr>
          </w:p>
        </w:tc>
      </w:tr>
      <w:tr w14:paraId="75E46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15" w:type="dxa"/>
            <w:vMerge w:val="continue"/>
            <w:tcBorders>
              <w:top w:val="nil"/>
            </w:tcBorders>
          </w:tcPr>
          <w:p w14:paraId="37228B66">
            <w:pPr>
              <w:autoSpaceDE w:val="0"/>
              <w:autoSpaceDN w:val="0"/>
              <w:jc w:val="left"/>
              <w:rPr>
                <w:rFonts w:ascii="黑体" w:hAnsi="黑体"/>
                <w:szCs w:val="18"/>
                <w:lang w:eastAsia="en-US"/>
              </w:rPr>
            </w:pPr>
          </w:p>
        </w:tc>
        <w:tc>
          <w:tcPr>
            <w:tcW w:w="1205" w:type="dxa"/>
            <w:vMerge w:val="continue"/>
            <w:tcBorders>
              <w:top w:val="nil"/>
            </w:tcBorders>
          </w:tcPr>
          <w:p w14:paraId="75D0500A">
            <w:pPr>
              <w:autoSpaceDE w:val="0"/>
              <w:autoSpaceDN w:val="0"/>
              <w:jc w:val="left"/>
              <w:rPr>
                <w:rFonts w:ascii="黑体" w:hAnsi="黑体"/>
                <w:szCs w:val="18"/>
                <w:lang w:eastAsia="en-US"/>
              </w:rPr>
            </w:pPr>
          </w:p>
        </w:tc>
        <w:tc>
          <w:tcPr>
            <w:tcW w:w="1840" w:type="dxa"/>
          </w:tcPr>
          <w:p w14:paraId="2FEB0EF7">
            <w:pPr>
              <w:pStyle w:val="132"/>
              <w:spacing w:before="34"/>
              <w:ind w:left="404" w:right="92" w:hanging="404"/>
              <w:rPr>
                <w:rFonts w:ascii="黑体" w:hAnsi="黑体" w:eastAsia="黑体"/>
                <w:sz w:val="18"/>
                <w:szCs w:val="18"/>
                <w:lang w:eastAsia="en-US"/>
              </w:rPr>
            </w:pPr>
            <w:r>
              <w:rPr>
                <w:rFonts w:hint="eastAsia" w:ascii="黑体" w:hAnsi="黑体" w:eastAsia="黑体"/>
                <w:sz w:val="18"/>
                <w:szCs w:val="18"/>
                <w:lang w:eastAsia="en-US"/>
              </w:rPr>
              <w:t>质量损失率（</w:t>
            </w:r>
            <w:r>
              <w:rPr>
                <w:rFonts w:ascii="黑体" w:hAnsi="黑体" w:eastAsia="黑体"/>
                <w:sz w:val="18"/>
                <w:szCs w:val="18"/>
                <w:lang w:eastAsia="en-US"/>
              </w:rPr>
              <w:t>%</w:t>
            </w:r>
            <w:r>
              <w:rPr>
                <w:rFonts w:hint="eastAsia" w:ascii="黑体" w:hAnsi="黑体" w:eastAsia="黑体"/>
                <w:sz w:val="18"/>
                <w:szCs w:val="18"/>
                <w:lang w:eastAsia="en-US"/>
              </w:rPr>
              <w:t>）</w:t>
            </w:r>
          </w:p>
        </w:tc>
        <w:tc>
          <w:tcPr>
            <w:tcW w:w="2929" w:type="dxa"/>
          </w:tcPr>
          <w:p w14:paraId="6DC7B4E7">
            <w:pPr>
              <w:pStyle w:val="132"/>
              <w:spacing w:before="89"/>
              <w:ind w:left="404" w:right="1014" w:hanging="404"/>
              <w:rPr>
                <w:rFonts w:ascii="黑体" w:hAnsi="黑体" w:eastAsia="黑体"/>
                <w:sz w:val="18"/>
                <w:szCs w:val="18"/>
                <w:lang w:eastAsia="en-US"/>
              </w:rPr>
            </w:pPr>
            <w:r>
              <w:rPr>
                <w:rFonts w:ascii="黑体" w:hAnsi="黑体" w:eastAsia="黑体"/>
                <w:sz w:val="18"/>
                <w:szCs w:val="18"/>
                <w:lang w:eastAsia="en-US"/>
              </w:rPr>
              <w:t>≤5</w:t>
            </w:r>
          </w:p>
        </w:tc>
        <w:tc>
          <w:tcPr>
            <w:tcW w:w="1714" w:type="dxa"/>
            <w:vMerge w:val="continue"/>
            <w:tcBorders>
              <w:top w:val="nil"/>
            </w:tcBorders>
          </w:tcPr>
          <w:p w14:paraId="104E44AE">
            <w:pPr>
              <w:autoSpaceDE w:val="0"/>
              <w:autoSpaceDN w:val="0"/>
              <w:jc w:val="left"/>
              <w:rPr>
                <w:rFonts w:ascii="黑体" w:hAnsi="黑体"/>
                <w:szCs w:val="18"/>
                <w:lang w:eastAsia="en-US"/>
              </w:rPr>
            </w:pPr>
          </w:p>
        </w:tc>
      </w:tr>
      <w:tr w14:paraId="3C52E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5" w:type="dxa"/>
          </w:tcPr>
          <w:p w14:paraId="4D40EDF4">
            <w:pPr>
              <w:pStyle w:val="132"/>
              <w:spacing w:before="89"/>
              <w:ind w:left="429" w:hanging="429"/>
              <w:rPr>
                <w:rFonts w:ascii="黑体" w:hAnsi="黑体" w:eastAsia="黑体"/>
                <w:sz w:val="18"/>
                <w:szCs w:val="18"/>
                <w:lang w:eastAsia="en-US"/>
              </w:rPr>
            </w:pPr>
            <w:r>
              <w:rPr>
                <w:rFonts w:ascii="黑体" w:hAnsi="黑体" w:eastAsia="黑体"/>
                <w:w w:val="107"/>
                <w:sz w:val="18"/>
                <w:szCs w:val="18"/>
                <w:lang w:eastAsia="en-US"/>
              </w:rPr>
              <w:t>4</w:t>
            </w:r>
          </w:p>
        </w:tc>
        <w:tc>
          <w:tcPr>
            <w:tcW w:w="3045" w:type="dxa"/>
            <w:gridSpan w:val="2"/>
          </w:tcPr>
          <w:p w14:paraId="08D69E5C">
            <w:pPr>
              <w:pStyle w:val="132"/>
              <w:spacing w:before="34"/>
              <w:ind w:left="404" w:hanging="404"/>
              <w:rPr>
                <w:rFonts w:ascii="黑体" w:hAnsi="黑体" w:eastAsia="黑体"/>
                <w:sz w:val="18"/>
                <w:szCs w:val="18"/>
                <w:lang w:eastAsia="en-US"/>
              </w:rPr>
            </w:pPr>
            <w:r>
              <w:rPr>
                <w:rFonts w:hint="eastAsia" w:ascii="黑体" w:hAnsi="黑体" w:eastAsia="黑体"/>
                <w:sz w:val="18"/>
                <w:szCs w:val="18"/>
                <w:lang w:eastAsia="en-US"/>
              </w:rPr>
              <w:t>保水率（</w:t>
            </w:r>
            <w:r>
              <w:rPr>
                <w:rFonts w:ascii="黑体" w:hAnsi="黑体" w:eastAsia="黑体"/>
                <w:sz w:val="18"/>
                <w:szCs w:val="18"/>
                <w:lang w:eastAsia="en-US"/>
              </w:rPr>
              <w:t>%</w:t>
            </w:r>
            <w:r>
              <w:rPr>
                <w:rFonts w:hint="eastAsia" w:ascii="黑体" w:hAnsi="黑体" w:eastAsia="黑体"/>
                <w:sz w:val="18"/>
                <w:szCs w:val="18"/>
                <w:lang w:eastAsia="en-US"/>
              </w:rPr>
              <w:t>）</w:t>
            </w:r>
          </w:p>
        </w:tc>
        <w:tc>
          <w:tcPr>
            <w:tcW w:w="2929" w:type="dxa"/>
          </w:tcPr>
          <w:p w14:paraId="646858FF">
            <w:pPr>
              <w:pStyle w:val="132"/>
              <w:spacing w:before="89"/>
              <w:ind w:left="404" w:right="1014" w:hanging="404"/>
              <w:rPr>
                <w:rFonts w:ascii="黑体" w:hAnsi="黑体" w:eastAsia="黑体"/>
                <w:sz w:val="18"/>
                <w:szCs w:val="18"/>
                <w:lang w:eastAsia="en-US"/>
              </w:rPr>
            </w:pPr>
            <w:r>
              <w:rPr>
                <w:rFonts w:ascii="黑体" w:hAnsi="黑体" w:eastAsia="黑体"/>
                <w:sz w:val="18"/>
                <w:szCs w:val="18"/>
                <w:lang w:eastAsia="en-US"/>
              </w:rPr>
              <w:t>≥99.0</w:t>
            </w:r>
          </w:p>
        </w:tc>
        <w:tc>
          <w:tcPr>
            <w:tcW w:w="1714" w:type="dxa"/>
            <w:vMerge w:val="continue"/>
            <w:tcBorders>
              <w:top w:val="nil"/>
            </w:tcBorders>
          </w:tcPr>
          <w:p w14:paraId="64E58621">
            <w:pPr>
              <w:autoSpaceDE w:val="0"/>
              <w:autoSpaceDN w:val="0"/>
              <w:jc w:val="left"/>
              <w:rPr>
                <w:rFonts w:ascii="黑体" w:hAnsi="黑体"/>
                <w:szCs w:val="18"/>
                <w:lang w:eastAsia="en-US"/>
              </w:rPr>
            </w:pPr>
          </w:p>
        </w:tc>
      </w:tr>
      <w:tr w14:paraId="5A83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15" w:type="dxa"/>
          </w:tcPr>
          <w:p w14:paraId="76D046CA">
            <w:pPr>
              <w:pStyle w:val="132"/>
              <w:spacing w:before="89"/>
              <w:ind w:left="429" w:hanging="429"/>
              <w:rPr>
                <w:rFonts w:ascii="黑体" w:hAnsi="黑体" w:eastAsia="黑体"/>
                <w:sz w:val="18"/>
                <w:szCs w:val="18"/>
                <w:lang w:eastAsia="en-US"/>
              </w:rPr>
            </w:pPr>
            <w:r>
              <w:rPr>
                <w:rFonts w:ascii="黑体" w:hAnsi="黑体" w:eastAsia="黑体"/>
                <w:w w:val="107"/>
                <w:sz w:val="18"/>
                <w:szCs w:val="18"/>
                <w:lang w:eastAsia="en-US"/>
              </w:rPr>
              <w:t>5</w:t>
            </w:r>
          </w:p>
        </w:tc>
        <w:tc>
          <w:tcPr>
            <w:tcW w:w="3045" w:type="dxa"/>
            <w:gridSpan w:val="2"/>
          </w:tcPr>
          <w:p w14:paraId="07FBFDFE">
            <w:pPr>
              <w:pStyle w:val="132"/>
              <w:spacing w:before="34"/>
              <w:ind w:left="404" w:hanging="404"/>
              <w:rPr>
                <w:rFonts w:ascii="黑体" w:hAnsi="黑体" w:eastAsia="黑体"/>
                <w:sz w:val="18"/>
                <w:szCs w:val="18"/>
                <w:lang w:eastAsia="en-US"/>
              </w:rPr>
            </w:pPr>
            <w:r>
              <w:rPr>
                <w:rFonts w:ascii="黑体" w:hAnsi="黑体" w:eastAsia="黑体"/>
                <w:sz w:val="18"/>
                <w:szCs w:val="18"/>
                <w:lang w:eastAsia="en-US"/>
              </w:rPr>
              <w:t>28d</w:t>
            </w:r>
            <w:r>
              <w:rPr>
                <w:rFonts w:ascii="黑体" w:hAnsi="黑体" w:eastAsia="黑体"/>
                <w:spacing w:val="-4"/>
                <w:sz w:val="18"/>
                <w:szCs w:val="18"/>
                <w:lang w:eastAsia="en-US"/>
              </w:rPr>
              <w:t xml:space="preserve"> </w:t>
            </w:r>
            <w:r>
              <w:rPr>
                <w:rFonts w:hint="eastAsia" w:ascii="黑体" w:hAnsi="黑体" w:eastAsia="黑体"/>
                <w:sz w:val="18"/>
                <w:szCs w:val="18"/>
                <w:lang w:eastAsia="en-US"/>
              </w:rPr>
              <w:t>干燥收缩率（</w:t>
            </w:r>
            <w:r>
              <w:rPr>
                <w:rFonts w:ascii="黑体" w:hAnsi="黑体" w:eastAsia="黑体"/>
                <w:sz w:val="18"/>
                <w:szCs w:val="18"/>
                <w:lang w:eastAsia="en-US"/>
              </w:rPr>
              <w:t>%</w:t>
            </w:r>
            <w:r>
              <w:rPr>
                <w:rFonts w:hint="eastAsia" w:ascii="黑体" w:hAnsi="黑体" w:eastAsia="黑体"/>
                <w:sz w:val="18"/>
                <w:szCs w:val="18"/>
                <w:lang w:eastAsia="en-US"/>
              </w:rPr>
              <w:t>）</w:t>
            </w:r>
          </w:p>
        </w:tc>
        <w:tc>
          <w:tcPr>
            <w:tcW w:w="2929" w:type="dxa"/>
          </w:tcPr>
          <w:p w14:paraId="07A3CA53">
            <w:pPr>
              <w:pStyle w:val="132"/>
              <w:spacing w:before="89"/>
              <w:ind w:left="404" w:right="1014" w:hanging="404"/>
              <w:rPr>
                <w:rFonts w:ascii="黑体" w:hAnsi="黑体" w:eastAsia="黑体"/>
                <w:sz w:val="18"/>
                <w:szCs w:val="18"/>
                <w:lang w:eastAsia="en-US"/>
              </w:rPr>
            </w:pPr>
            <w:r>
              <w:rPr>
                <w:rFonts w:ascii="黑体" w:hAnsi="黑体" w:eastAsia="黑体"/>
                <w:sz w:val="18"/>
                <w:szCs w:val="18"/>
                <w:lang w:eastAsia="en-US"/>
              </w:rPr>
              <w:t>≤0.2</w:t>
            </w:r>
          </w:p>
        </w:tc>
        <w:tc>
          <w:tcPr>
            <w:tcW w:w="1714" w:type="dxa"/>
            <w:vMerge w:val="continue"/>
            <w:tcBorders>
              <w:top w:val="nil"/>
              <w:bottom w:val="nil"/>
            </w:tcBorders>
          </w:tcPr>
          <w:p w14:paraId="009D9611">
            <w:pPr>
              <w:autoSpaceDE w:val="0"/>
              <w:autoSpaceDN w:val="0"/>
              <w:jc w:val="left"/>
              <w:rPr>
                <w:rFonts w:ascii="黑体" w:hAnsi="黑体"/>
                <w:szCs w:val="18"/>
                <w:lang w:eastAsia="en-US"/>
              </w:rPr>
            </w:pPr>
          </w:p>
        </w:tc>
      </w:tr>
      <w:tr w14:paraId="6A25E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503" w:type="dxa"/>
            <w:gridSpan w:val="5"/>
          </w:tcPr>
          <w:p w14:paraId="2B8D7DB5">
            <w:pPr>
              <w:autoSpaceDE w:val="0"/>
              <w:autoSpaceDN w:val="0"/>
              <w:jc w:val="left"/>
              <w:rPr>
                <w:rFonts w:ascii="黑体" w:hAnsi="黑体"/>
                <w:szCs w:val="18"/>
                <w:lang w:eastAsia="zh-CN"/>
              </w:rPr>
            </w:pPr>
            <w:r>
              <w:rPr>
                <w:rFonts w:hint="eastAsia" w:ascii="黑体" w:hAnsi="黑体"/>
                <w:w w:val="107"/>
                <w:szCs w:val="18"/>
                <w:lang w:eastAsia="zh-CN"/>
              </w:rPr>
              <w:t>注:南方项目不作抗冻性要求</w:t>
            </w:r>
          </w:p>
        </w:tc>
      </w:tr>
    </w:tbl>
    <w:p w14:paraId="571844B7">
      <w:pPr>
        <w:pStyle w:val="14"/>
        <w:spacing w:before="4"/>
        <w:jc w:val="left"/>
        <w:rPr>
          <w:rFonts w:ascii="黑体" w:hAnsi="黑体"/>
          <w:szCs w:val="18"/>
        </w:rPr>
      </w:pPr>
    </w:p>
    <w:p w14:paraId="3F91CFB2">
      <w:pPr>
        <w:pStyle w:val="49"/>
        <w:spacing w:line="330" w:lineRule="exact"/>
        <w:ind w:left="180" w:right="2850" w:firstLine="360"/>
        <w:jc w:val="left"/>
        <w:rPr>
          <w:rFonts w:ascii="黑体" w:hAnsi="黑体"/>
          <w:szCs w:val="18"/>
        </w:rPr>
      </w:pPr>
      <w:r>
        <w:rPr>
          <w:rFonts w:hint="eastAsia" w:ascii="黑体" w:hAnsi="黑体"/>
          <w:szCs w:val="18"/>
        </w:rPr>
        <w:t>(</w:t>
      </w:r>
      <w:r>
        <w:rPr>
          <w:rFonts w:ascii="黑体" w:hAnsi="黑体"/>
          <w:szCs w:val="18"/>
        </w:rPr>
        <w:t>2)耐碱型玻璃纤维网格布技术要求</w:t>
      </w:r>
    </w:p>
    <w:p w14:paraId="5FD7A5D2">
      <w:pPr>
        <w:spacing w:line="325" w:lineRule="exact"/>
        <w:ind w:left="3043"/>
        <w:jc w:val="left"/>
        <w:rPr>
          <w:rFonts w:ascii="黑体" w:hAnsi="黑体"/>
          <w:szCs w:val="18"/>
        </w:rPr>
      </w:pPr>
      <w:r>
        <w:rPr>
          <w:rFonts w:ascii="黑体" w:hAnsi="黑体"/>
          <w:spacing w:val="-3"/>
          <w:szCs w:val="18"/>
        </w:rPr>
        <w:t xml:space="preserve">表 </w:t>
      </w:r>
      <w:r>
        <w:rPr>
          <w:rFonts w:ascii="黑体" w:hAnsi="黑体"/>
          <w:szCs w:val="18"/>
        </w:rPr>
        <w:t>7</w:t>
      </w:r>
      <w:r>
        <w:rPr>
          <w:rFonts w:ascii="黑体" w:hAnsi="黑体"/>
          <w:spacing w:val="-10"/>
          <w:szCs w:val="18"/>
        </w:rPr>
        <w:t xml:space="preserve"> </w:t>
      </w:r>
      <w:r>
        <w:rPr>
          <w:rFonts w:ascii="黑体" w:hAnsi="黑体"/>
          <w:szCs w:val="18"/>
        </w:rPr>
        <w:t>耐碱型玻璃纤维网格布技术要求</w:t>
      </w:r>
    </w:p>
    <w:tbl>
      <w:tblPr>
        <w:tblStyle w:val="133"/>
        <w:tblW w:w="0" w:type="auto"/>
        <w:tblInd w:w="4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2955"/>
        <w:gridCol w:w="1401"/>
        <w:gridCol w:w="1588"/>
        <w:gridCol w:w="1730"/>
      </w:tblGrid>
      <w:tr w14:paraId="7825E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0" w:type="dxa"/>
            <w:shd w:val="clear" w:color="auto" w:fill="BDBDBD"/>
          </w:tcPr>
          <w:p w14:paraId="497F8554">
            <w:pPr>
              <w:pStyle w:val="132"/>
              <w:spacing w:before="27"/>
              <w:ind w:left="404" w:right="175" w:hanging="404"/>
              <w:rPr>
                <w:rFonts w:ascii="黑体" w:hAnsi="黑体" w:eastAsia="黑体"/>
                <w:sz w:val="18"/>
                <w:szCs w:val="18"/>
                <w:lang w:eastAsia="en-US"/>
              </w:rPr>
            </w:pPr>
            <w:r>
              <w:rPr>
                <w:rFonts w:hint="eastAsia" w:ascii="黑体" w:hAnsi="黑体" w:eastAsia="黑体"/>
                <w:sz w:val="18"/>
                <w:szCs w:val="18"/>
                <w:lang w:eastAsia="en-US"/>
              </w:rPr>
              <w:t>序号</w:t>
            </w:r>
          </w:p>
        </w:tc>
        <w:tc>
          <w:tcPr>
            <w:tcW w:w="2955" w:type="dxa"/>
            <w:shd w:val="clear" w:color="auto" w:fill="BDBDBD"/>
          </w:tcPr>
          <w:p w14:paraId="638B7ED1">
            <w:pPr>
              <w:pStyle w:val="132"/>
              <w:spacing w:before="27"/>
              <w:ind w:left="404" w:right="385" w:hanging="404"/>
              <w:rPr>
                <w:rFonts w:ascii="黑体" w:hAnsi="黑体" w:eastAsia="黑体"/>
                <w:sz w:val="18"/>
                <w:szCs w:val="18"/>
                <w:lang w:eastAsia="en-US"/>
              </w:rPr>
            </w:pPr>
            <w:r>
              <w:rPr>
                <w:rFonts w:hint="eastAsia" w:ascii="黑体" w:hAnsi="黑体" w:eastAsia="黑体"/>
                <w:sz w:val="18"/>
                <w:szCs w:val="18"/>
                <w:lang w:eastAsia="en-US"/>
              </w:rPr>
              <w:t>项目</w:t>
            </w:r>
          </w:p>
        </w:tc>
        <w:tc>
          <w:tcPr>
            <w:tcW w:w="2989" w:type="dxa"/>
            <w:gridSpan w:val="2"/>
            <w:shd w:val="clear" w:color="auto" w:fill="BDBDBD"/>
          </w:tcPr>
          <w:p w14:paraId="3257C33C">
            <w:pPr>
              <w:pStyle w:val="132"/>
              <w:spacing w:before="27"/>
              <w:ind w:left="404" w:right="1045" w:hanging="404"/>
              <w:rPr>
                <w:rFonts w:ascii="黑体" w:hAnsi="黑体" w:eastAsia="黑体"/>
                <w:sz w:val="18"/>
                <w:szCs w:val="18"/>
                <w:lang w:eastAsia="en-US"/>
              </w:rPr>
            </w:pPr>
            <w:r>
              <w:rPr>
                <w:rFonts w:hint="eastAsia" w:ascii="黑体" w:hAnsi="黑体" w:eastAsia="黑体"/>
                <w:sz w:val="18"/>
                <w:szCs w:val="18"/>
                <w:lang w:eastAsia="en-US"/>
              </w:rPr>
              <w:t>指标要求</w:t>
            </w:r>
          </w:p>
        </w:tc>
        <w:tc>
          <w:tcPr>
            <w:tcW w:w="1730" w:type="dxa"/>
            <w:shd w:val="clear" w:color="auto" w:fill="BDBDBD"/>
          </w:tcPr>
          <w:p w14:paraId="1327B405">
            <w:pPr>
              <w:pStyle w:val="132"/>
              <w:spacing w:before="27"/>
              <w:ind w:left="404" w:hanging="404"/>
              <w:rPr>
                <w:rFonts w:ascii="黑体" w:hAnsi="黑体" w:eastAsia="黑体"/>
                <w:sz w:val="18"/>
                <w:szCs w:val="18"/>
                <w:lang w:eastAsia="en-US"/>
              </w:rPr>
            </w:pPr>
            <w:r>
              <w:rPr>
                <w:rFonts w:hint="eastAsia" w:ascii="黑体" w:hAnsi="黑体" w:eastAsia="黑体"/>
                <w:sz w:val="18"/>
                <w:szCs w:val="18"/>
                <w:lang w:eastAsia="en-US"/>
              </w:rPr>
              <w:t>测试方法</w:t>
            </w:r>
          </w:p>
        </w:tc>
      </w:tr>
      <w:tr w14:paraId="0AB0A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0" w:type="dxa"/>
          </w:tcPr>
          <w:p w14:paraId="62268919">
            <w:pPr>
              <w:pStyle w:val="132"/>
              <w:spacing w:before="81"/>
              <w:ind w:left="429" w:hanging="429"/>
              <w:rPr>
                <w:rFonts w:ascii="黑体" w:hAnsi="黑体" w:eastAsia="黑体"/>
                <w:sz w:val="18"/>
                <w:szCs w:val="18"/>
                <w:lang w:eastAsia="en-US"/>
              </w:rPr>
            </w:pPr>
            <w:r>
              <w:rPr>
                <w:rFonts w:ascii="黑体" w:hAnsi="黑体" w:eastAsia="黑体"/>
                <w:w w:val="107"/>
                <w:sz w:val="18"/>
                <w:szCs w:val="18"/>
                <w:lang w:eastAsia="en-US"/>
              </w:rPr>
              <w:t>1</w:t>
            </w:r>
          </w:p>
        </w:tc>
        <w:tc>
          <w:tcPr>
            <w:tcW w:w="2955" w:type="dxa"/>
          </w:tcPr>
          <w:p w14:paraId="5C9033FF">
            <w:pPr>
              <w:pStyle w:val="132"/>
              <w:spacing w:before="27"/>
              <w:ind w:left="404" w:right="385" w:hanging="404"/>
              <w:rPr>
                <w:rFonts w:ascii="黑体" w:hAnsi="黑体" w:eastAsia="黑体"/>
                <w:sz w:val="18"/>
                <w:szCs w:val="18"/>
                <w:lang w:eastAsia="zh-CN"/>
              </w:rPr>
            </w:pPr>
            <w:r>
              <w:rPr>
                <w:rFonts w:hint="eastAsia" w:ascii="黑体" w:hAnsi="黑体" w:eastAsia="黑体"/>
                <w:sz w:val="18"/>
                <w:szCs w:val="18"/>
                <w:lang w:eastAsia="zh-CN"/>
              </w:rPr>
              <w:t>单位面积质量（</w:t>
            </w:r>
            <w:r>
              <w:rPr>
                <w:rFonts w:ascii="黑体" w:hAnsi="黑体" w:eastAsia="黑体"/>
                <w:spacing w:val="-1"/>
                <w:w w:val="111"/>
                <w:sz w:val="18"/>
                <w:szCs w:val="18"/>
                <w:lang w:eastAsia="zh-CN"/>
              </w:rPr>
              <w:t>g</w:t>
            </w:r>
            <w:r>
              <w:rPr>
                <w:rFonts w:ascii="黑体" w:hAnsi="黑体" w:eastAsia="黑体"/>
                <w:spacing w:val="-1"/>
                <w:w w:val="78"/>
                <w:sz w:val="18"/>
                <w:szCs w:val="18"/>
                <w:lang w:eastAsia="zh-CN"/>
              </w:rPr>
              <w:t>/</w:t>
            </w:r>
            <w:r>
              <w:rPr>
                <w:rFonts w:ascii="黑体" w:hAnsi="黑体" w:eastAsia="黑体"/>
                <w:w w:val="105"/>
                <w:sz w:val="18"/>
                <w:szCs w:val="18"/>
                <w:lang w:eastAsia="zh-CN"/>
              </w:rPr>
              <w:t>m</w:t>
            </w:r>
            <w:r>
              <w:rPr>
                <w:rFonts w:ascii="黑体" w:hAnsi="黑体" w:eastAsia="黑体"/>
                <w:spacing w:val="-1"/>
                <w:w w:val="113"/>
                <w:position w:val="10"/>
                <w:sz w:val="18"/>
                <w:szCs w:val="18"/>
                <w:lang w:eastAsia="zh-CN"/>
              </w:rPr>
              <w:t>2</w:t>
            </w:r>
            <w:r>
              <w:rPr>
                <w:rFonts w:hint="eastAsia" w:ascii="黑体" w:hAnsi="黑体" w:eastAsia="黑体"/>
                <w:sz w:val="18"/>
                <w:szCs w:val="18"/>
                <w:lang w:eastAsia="zh-CN"/>
              </w:rPr>
              <w:t>）</w:t>
            </w:r>
          </w:p>
        </w:tc>
        <w:tc>
          <w:tcPr>
            <w:tcW w:w="2989" w:type="dxa"/>
            <w:gridSpan w:val="2"/>
          </w:tcPr>
          <w:p w14:paraId="2AFD4C58">
            <w:pPr>
              <w:pStyle w:val="132"/>
              <w:spacing w:before="81"/>
              <w:ind w:left="423" w:right="1044" w:hanging="423"/>
              <w:rPr>
                <w:rFonts w:ascii="黑体" w:hAnsi="黑体" w:eastAsia="黑体"/>
                <w:sz w:val="18"/>
                <w:szCs w:val="18"/>
                <w:lang w:eastAsia="en-US"/>
              </w:rPr>
            </w:pPr>
            <w:r>
              <w:rPr>
                <w:rFonts w:ascii="黑体" w:hAnsi="黑体" w:eastAsia="黑体"/>
                <w:w w:val="105"/>
                <w:sz w:val="18"/>
                <w:szCs w:val="18"/>
                <w:lang w:eastAsia="en-US"/>
              </w:rPr>
              <w:t>≥160</w:t>
            </w:r>
          </w:p>
        </w:tc>
        <w:tc>
          <w:tcPr>
            <w:tcW w:w="1730" w:type="dxa"/>
            <w:vMerge w:val="restart"/>
          </w:tcPr>
          <w:p w14:paraId="09963E0E">
            <w:pPr>
              <w:pStyle w:val="132"/>
              <w:ind w:left="404" w:hanging="404"/>
              <w:rPr>
                <w:rFonts w:ascii="黑体" w:hAnsi="黑体" w:eastAsia="黑体"/>
                <w:sz w:val="18"/>
                <w:szCs w:val="18"/>
                <w:lang w:eastAsia="en-US"/>
              </w:rPr>
            </w:pPr>
          </w:p>
          <w:p w14:paraId="3B70F43E">
            <w:pPr>
              <w:pStyle w:val="132"/>
              <w:spacing w:before="5"/>
              <w:ind w:left="404" w:hanging="404"/>
              <w:rPr>
                <w:rFonts w:ascii="黑体" w:hAnsi="黑体" w:eastAsia="黑体"/>
                <w:sz w:val="18"/>
                <w:szCs w:val="18"/>
                <w:lang w:eastAsia="en-US"/>
              </w:rPr>
            </w:pPr>
          </w:p>
          <w:p w14:paraId="7B8FF659">
            <w:pPr>
              <w:pStyle w:val="132"/>
              <w:ind w:left="404" w:hanging="404"/>
              <w:rPr>
                <w:rFonts w:ascii="黑体" w:hAnsi="黑体" w:eastAsia="黑体"/>
                <w:sz w:val="18"/>
                <w:szCs w:val="18"/>
                <w:lang w:eastAsia="en-US"/>
              </w:rPr>
            </w:pPr>
            <w:r>
              <w:rPr>
                <w:rFonts w:ascii="黑体" w:hAnsi="黑体" w:eastAsia="黑体"/>
                <w:sz w:val="18"/>
                <w:szCs w:val="18"/>
                <w:lang w:eastAsia="en-US"/>
              </w:rPr>
              <w:t>JC/T</w:t>
            </w:r>
            <w:r>
              <w:rPr>
                <w:rFonts w:ascii="黑体" w:hAnsi="黑体" w:eastAsia="黑体"/>
                <w:spacing w:val="-3"/>
                <w:sz w:val="18"/>
                <w:szCs w:val="18"/>
                <w:lang w:eastAsia="en-US"/>
              </w:rPr>
              <w:t xml:space="preserve"> </w:t>
            </w:r>
            <w:r>
              <w:rPr>
                <w:rFonts w:ascii="黑体" w:hAnsi="黑体" w:eastAsia="黑体"/>
                <w:sz w:val="18"/>
                <w:szCs w:val="18"/>
                <w:lang w:eastAsia="en-US"/>
              </w:rPr>
              <w:t>841-2007</w:t>
            </w:r>
          </w:p>
        </w:tc>
      </w:tr>
      <w:tr w14:paraId="1E349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0" w:type="dxa"/>
            <w:vMerge w:val="restart"/>
          </w:tcPr>
          <w:p w14:paraId="69962E4C">
            <w:pPr>
              <w:pStyle w:val="132"/>
              <w:spacing w:before="5"/>
              <w:ind w:left="404" w:hanging="404"/>
              <w:rPr>
                <w:rFonts w:ascii="黑体" w:hAnsi="黑体" w:eastAsia="黑体"/>
                <w:sz w:val="18"/>
                <w:szCs w:val="18"/>
                <w:lang w:eastAsia="en-US"/>
              </w:rPr>
            </w:pPr>
          </w:p>
          <w:p w14:paraId="3D9244A8">
            <w:pPr>
              <w:pStyle w:val="132"/>
              <w:ind w:left="429" w:hanging="429"/>
              <w:rPr>
                <w:rFonts w:ascii="黑体" w:hAnsi="黑体" w:eastAsia="黑体"/>
                <w:sz w:val="18"/>
                <w:szCs w:val="18"/>
                <w:lang w:eastAsia="en-US"/>
              </w:rPr>
            </w:pPr>
            <w:r>
              <w:rPr>
                <w:rFonts w:ascii="黑体" w:hAnsi="黑体" w:eastAsia="黑体"/>
                <w:w w:val="107"/>
                <w:sz w:val="18"/>
                <w:szCs w:val="18"/>
                <w:lang w:eastAsia="en-US"/>
              </w:rPr>
              <w:t>2</w:t>
            </w:r>
          </w:p>
        </w:tc>
        <w:tc>
          <w:tcPr>
            <w:tcW w:w="2955" w:type="dxa"/>
            <w:vMerge w:val="restart"/>
          </w:tcPr>
          <w:p w14:paraId="4B30969F">
            <w:pPr>
              <w:pStyle w:val="132"/>
              <w:spacing w:before="264"/>
              <w:ind w:left="404" w:hanging="404"/>
              <w:rPr>
                <w:rFonts w:ascii="黑体" w:hAnsi="黑体" w:eastAsia="黑体"/>
                <w:sz w:val="18"/>
                <w:szCs w:val="18"/>
                <w:lang w:eastAsia="en-US"/>
              </w:rPr>
            </w:pPr>
            <w:r>
              <w:rPr>
                <w:rFonts w:hint="eastAsia" w:ascii="黑体" w:hAnsi="黑体" w:eastAsia="黑体"/>
                <w:sz w:val="18"/>
                <w:szCs w:val="18"/>
                <w:lang w:eastAsia="en-US"/>
              </w:rPr>
              <w:t>抗拉强度（</w:t>
            </w:r>
            <w:r>
              <w:rPr>
                <w:rFonts w:ascii="黑体" w:hAnsi="黑体" w:eastAsia="黑体"/>
                <w:sz w:val="18"/>
                <w:szCs w:val="18"/>
                <w:lang w:eastAsia="en-US"/>
              </w:rPr>
              <w:t>N/50mm</w:t>
            </w:r>
            <w:r>
              <w:rPr>
                <w:rFonts w:hint="eastAsia" w:ascii="黑体" w:hAnsi="黑体" w:eastAsia="黑体"/>
                <w:sz w:val="18"/>
                <w:szCs w:val="18"/>
                <w:lang w:eastAsia="en-US"/>
              </w:rPr>
              <w:t>）</w:t>
            </w:r>
          </w:p>
        </w:tc>
        <w:tc>
          <w:tcPr>
            <w:tcW w:w="1401" w:type="dxa"/>
          </w:tcPr>
          <w:p w14:paraId="1C4A9E43">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纵向</w:t>
            </w:r>
          </w:p>
        </w:tc>
        <w:tc>
          <w:tcPr>
            <w:tcW w:w="1588" w:type="dxa"/>
          </w:tcPr>
          <w:p w14:paraId="392F3EC7">
            <w:pPr>
              <w:pStyle w:val="132"/>
              <w:spacing w:before="81"/>
              <w:ind w:left="423" w:right="474" w:hanging="423"/>
              <w:rPr>
                <w:rFonts w:ascii="黑体" w:hAnsi="黑体" w:eastAsia="黑体"/>
                <w:sz w:val="18"/>
                <w:szCs w:val="18"/>
                <w:lang w:eastAsia="en-US"/>
              </w:rPr>
            </w:pPr>
            <w:r>
              <w:rPr>
                <w:rFonts w:ascii="黑体" w:hAnsi="黑体" w:eastAsia="黑体"/>
                <w:w w:val="105"/>
                <w:sz w:val="18"/>
                <w:szCs w:val="18"/>
                <w:lang w:eastAsia="en-US"/>
              </w:rPr>
              <w:t>≥1200</w:t>
            </w:r>
          </w:p>
        </w:tc>
        <w:tc>
          <w:tcPr>
            <w:tcW w:w="1730" w:type="dxa"/>
            <w:vMerge w:val="continue"/>
            <w:tcBorders>
              <w:top w:val="nil"/>
            </w:tcBorders>
          </w:tcPr>
          <w:p w14:paraId="5AC20C76">
            <w:pPr>
              <w:autoSpaceDE w:val="0"/>
              <w:autoSpaceDN w:val="0"/>
              <w:jc w:val="left"/>
              <w:rPr>
                <w:rFonts w:ascii="黑体" w:hAnsi="黑体"/>
                <w:szCs w:val="18"/>
                <w:lang w:eastAsia="en-US"/>
              </w:rPr>
            </w:pPr>
          </w:p>
        </w:tc>
      </w:tr>
      <w:tr w14:paraId="466E2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0" w:type="dxa"/>
            <w:vMerge w:val="continue"/>
            <w:tcBorders>
              <w:top w:val="nil"/>
            </w:tcBorders>
          </w:tcPr>
          <w:p w14:paraId="1731A011">
            <w:pPr>
              <w:autoSpaceDE w:val="0"/>
              <w:autoSpaceDN w:val="0"/>
              <w:jc w:val="left"/>
              <w:rPr>
                <w:rFonts w:ascii="黑体" w:hAnsi="黑体"/>
                <w:szCs w:val="18"/>
                <w:lang w:eastAsia="en-US"/>
              </w:rPr>
            </w:pPr>
          </w:p>
        </w:tc>
        <w:tc>
          <w:tcPr>
            <w:tcW w:w="2955" w:type="dxa"/>
            <w:vMerge w:val="continue"/>
            <w:tcBorders>
              <w:top w:val="nil"/>
            </w:tcBorders>
          </w:tcPr>
          <w:p w14:paraId="517BBB26">
            <w:pPr>
              <w:autoSpaceDE w:val="0"/>
              <w:autoSpaceDN w:val="0"/>
              <w:jc w:val="left"/>
              <w:rPr>
                <w:rFonts w:ascii="黑体" w:hAnsi="黑体"/>
                <w:szCs w:val="18"/>
                <w:lang w:eastAsia="en-US"/>
              </w:rPr>
            </w:pPr>
          </w:p>
        </w:tc>
        <w:tc>
          <w:tcPr>
            <w:tcW w:w="1401" w:type="dxa"/>
          </w:tcPr>
          <w:p w14:paraId="52CC5508">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横向</w:t>
            </w:r>
          </w:p>
        </w:tc>
        <w:tc>
          <w:tcPr>
            <w:tcW w:w="1588" w:type="dxa"/>
          </w:tcPr>
          <w:p w14:paraId="5F15EC5E">
            <w:pPr>
              <w:pStyle w:val="132"/>
              <w:spacing w:before="81"/>
              <w:ind w:left="423" w:right="474" w:hanging="423"/>
              <w:rPr>
                <w:rFonts w:ascii="黑体" w:hAnsi="黑体" w:eastAsia="黑体"/>
                <w:sz w:val="18"/>
                <w:szCs w:val="18"/>
                <w:lang w:eastAsia="en-US"/>
              </w:rPr>
            </w:pPr>
            <w:r>
              <w:rPr>
                <w:rFonts w:ascii="黑体" w:hAnsi="黑体" w:eastAsia="黑体"/>
                <w:w w:val="105"/>
                <w:sz w:val="18"/>
                <w:szCs w:val="18"/>
                <w:lang w:eastAsia="en-US"/>
              </w:rPr>
              <w:t>≥1200</w:t>
            </w:r>
          </w:p>
        </w:tc>
        <w:tc>
          <w:tcPr>
            <w:tcW w:w="1730" w:type="dxa"/>
            <w:vMerge w:val="continue"/>
            <w:tcBorders>
              <w:top w:val="nil"/>
            </w:tcBorders>
          </w:tcPr>
          <w:p w14:paraId="3CE5865C">
            <w:pPr>
              <w:autoSpaceDE w:val="0"/>
              <w:autoSpaceDN w:val="0"/>
              <w:jc w:val="left"/>
              <w:rPr>
                <w:rFonts w:ascii="黑体" w:hAnsi="黑体"/>
                <w:szCs w:val="18"/>
                <w:lang w:eastAsia="en-US"/>
              </w:rPr>
            </w:pPr>
          </w:p>
        </w:tc>
      </w:tr>
      <w:tr w14:paraId="6E9AB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0" w:type="dxa"/>
            <w:vMerge w:val="restart"/>
          </w:tcPr>
          <w:p w14:paraId="6D3F01E0">
            <w:pPr>
              <w:pStyle w:val="132"/>
              <w:spacing w:before="5"/>
              <w:ind w:left="404" w:hanging="404"/>
              <w:rPr>
                <w:rFonts w:ascii="黑体" w:hAnsi="黑体" w:eastAsia="黑体"/>
                <w:sz w:val="18"/>
                <w:szCs w:val="18"/>
                <w:lang w:eastAsia="en-US"/>
              </w:rPr>
            </w:pPr>
          </w:p>
          <w:p w14:paraId="7993031C">
            <w:pPr>
              <w:pStyle w:val="132"/>
              <w:ind w:left="429" w:hanging="429"/>
              <w:rPr>
                <w:rFonts w:ascii="黑体" w:hAnsi="黑体" w:eastAsia="黑体"/>
                <w:sz w:val="18"/>
                <w:szCs w:val="18"/>
                <w:lang w:eastAsia="en-US"/>
              </w:rPr>
            </w:pPr>
            <w:r>
              <w:rPr>
                <w:rFonts w:ascii="黑体" w:hAnsi="黑体" w:eastAsia="黑体"/>
                <w:w w:val="107"/>
                <w:sz w:val="18"/>
                <w:szCs w:val="18"/>
                <w:lang w:eastAsia="en-US"/>
              </w:rPr>
              <w:t>3</w:t>
            </w:r>
          </w:p>
        </w:tc>
        <w:tc>
          <w:tcPr>
            <w:tcW w:w="2955" w:type="dxa"/>
            <w:vMerge w:val="restart"/>
          </w:tcPr>
          <w:p w14:paraId="6F99D8D9">
            <w:pPr>
              <w:pStyle w:val="132"/>
              <w:spacing w:before="264"/>
              <w:ind w:left="404" w:hanging="404"/>
              <w:rPr>
                <w:rFonts w:ascii="黑体" w:hAnsi="黑体" w:eastAsia="黑体"/>
                <w:sz w:val="18"/>
                <w:szCs w:val="18"/>
                <w:lang w:eastAsia="en-US"/>
              </w:rPr>
            </w:pPr>
            <w:r>
              <w:rPr>
                <w:rFonts w:hint="eastAsia" w:ascii="黑体" w:hAnsi="黑体" w:eastAsia="黑体"/>
                <w:sz w:val="18"/>
                <w:szCs w:val="18"/>
                <w:lang w:eastAsia="en-US"/>
              </w:rPr>
              <w:t>延伸率（</w:t>
            </w:r>
            <w:r>
              <w:rPr>
                <w:rFonts w:ascii="黑体" w:hAnsi="黑体" w:eastAsia="黑体"/>
                <w:sz w:val="18"/>
                <w:szCs w:val="18"/>
                <w:lang w:eastAsia="en-US"/>
              </w:rPr>
              <w:t>%</w:t>
            </w:r>
            <w:r>
              <w:rPr>
                <w:rFonts w:hint="eastAsia" w:ascii="黑体" w:hAnsi="黑体" w:eastAsia="黑体"/>
                <w:sz w:val="18"/>
                <w:szCs w:val="18"/>
                <w:lang w:eastAsia="en-US"/>
              </w:rPr>
              <w:t>）</w:t>
            </w:r>
          </w:p>
        </w:tc>
        <w:tc>
          <w:tcPr>
            <w:tcW w:w="1401" w:type="dxa"/>
          </w:tcPr>
          <w:p w14:paraId="43BAC67E">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纵向</w:t>
            </w:r>
          </w:p>
        </w:tc>
        <w:tc>
          <w:tcPr>
            <w:tcW w:w="1588" w:type="dxa"/>
          </w:tcPr>
          <w:p w14:paraId="0F7D4F39">
            <w:pPr>
              <w:pStyle w:val="132"/>
              <w:spacing w:before="81"/>
              <w:ind w:left="423" w:right="474" w:hanging="423"/>
              <w:rPr>
                <w:rFonts w:ascii="黑体" w:hAnsi="黑体" w:eastAsia="黑体"/>
                <w:sz w:val="18"/>
                <w:szCs w:val="18"/>
                <w:lang w:eastAsia="en-US"/>
              </w:rPr>
            </w:pPr>
            <w:r>
              <w:rPr>
                <w:rFonts w:ascii="黑体" w:hAnsi="黑体" w:eastAsia="黑体"/>
                <w:w w:val="105"/>
                <w:sz w:val="18"/>
                <w:szCs w:val="18"/>
                <w:lang w:eastAsia="en-US"/>
              </w:rPr>
              <w:t>≥2</w:t>
            </w:r>
          </w:p>
        </w:tc>
        <w:tc>
          <w:tcPr>
            <w:tcW w:w="1730" w:type="dxa"/>
            <w:vMerge w:val="continue"/>
            <w:tcBorders>
              <w:top w:val="nil"/>
            </w:tcBorders>
          </w:tcPr>
          <w:p w14:paraId="58478186">
            <w:pPr>
              <w:autoSpaceDE w:val="0"/>
              <w:autoSpaceDN w:val="0"/>
              <w:jc w:val="left"/>
              <w:rPr>
                <w:rFonts w:ascii="黑体" w:hAnsi="黑体"/>
                <w:szCs w:val="18"/>
                <w:lang w:eastAsia="en-US"/>
              </w:rPr>
            </w:pPr>
          </w:p>
        </w:tc>
      </w:tr>
      <w:tr w14:paraId="68E36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30" w:type="dxa"/>
            <w:vMerge w:val="continue"/>
            <w:tcBorders>
              <w:top w:val="nil"/>
            </w:tcBorders>
          </w:tcPr>
          <w:p w14:paraId="6AA2A692">
            <w:pPr>
              <w:autoSpaceDE w:val="0"/>
              <w:autoSpaceDN w:val="0"/>
              <w:jc w:val="left"/>
              <w:rPr>
                <w:rFonts w:ascii="黑体" w:hAnsi="黑体"/>
                <w:szCs w:val="18"/>
                <w:lang w:eastAsia="en-US"/>
              </w:rPr>
            </w:pPr>
          </w:p>
        </w:tc>
        <w:tc>
          <w:tcPr>
            <w:tcW w:w="2955" w:type="dxa"/>
            <w:vMerge w:val="continue"/>
            <w:tcBorders>
              <w:top w:val="nil"/>
            </w:tcBorders>
          </w:tcPr>
          <w:p w14:paraId="402CF7C6">
            <w:pPr>
              <w:autoSpaceDE w:val="0"/>
              <w:autoSpaceDN w:val="0"/>
              <w:jc w:val="left"/>
              <w:rPr>
                <w:rFonts w:ascii="黑体" w:hAnsi="黑体"/>
                <w:szCs w:val="18"/>
                <w:lang w:eastAsia="en-US"/>
              </w:rPr>
            </w:pPr>
          </w:p>
        </w:tc>
        <w:tc>
          <w:tcPr>
            <w:tcW w:w="1401" w:type="dxa"/>
          </w:tcPr>
          <w:p w14:paraId="6563A99F">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横向</w:t>
            </w:r>
          </w:p>
        </w:tc>
        <w:tc>
          <w:tcPr>
            <w:tcW w:w="1588" w:type="dxa"/>
          </w:tcPr>
          <w:p w14:paraId="4749B20A">
            <w:pPr>
              <w:pStyle w:val="132"/>
              <w:spacing w:before="81"/>
              <w:ind w:left="423" w:right="474" w:hanging="423"/>
              <w:rPr>
                <w:rFonts w:ascii="黑体" w:hAnsi="黑体" w:eastAsia="黑体"/>
                <w:sz w:val="18"/>
                <w:szCs w:val="18"/>
                <w:lang w:eastAsia="en-US"/>
              </w:rPr>
            </w:pPr>
            <w:r>
              <w:rPr>
                <w:rFonts w:ascii="黑体" w:hAnsi="黑体" w:eastAsia="黑体"/>
                <w:w w:val="105"/>
                <w:sz w:val="18"/>
                <w:szCs w:val="18"/>
                <w:lang w:eastAsia="en-US"/>
              </w:rPr>
              <w:t>≥2</w:t>
            </w:r>
          </w:p>
        </w:tc>
        <w:tc>
          <w:tcPr>
            <w:tcW w:w="1730" w:type="dxa"/>
            <w:vMerge w:val="continue"/>
            <w:tcBorders>
              <w:top w:val="nil"/>
            </w:tcBorders>
          </w:tcPr>
          <w:p w14:paraId="5C109283">
            <w:pPr>
              <w:autoSpaceDE w:val="0"/>
              <w:autoSpaceDN w:val="0"/>
              <w:jc w:val="left"/>
              <w:rPr>
                <w:rFonts w:ascii="黑体" w:hAnsi="黑体"/>
                <w:szCs w:val="18"/>
                <w:lang w:eastAsia="en-US"/>
              </w:rPr>
            </w:pPr>
          </w:p>
        </w:tc>
      </w:tr>
    </w:tbl>
    <w:p w14:paraId="43B4616A">
      <w:pPr>
        <w:pStyle w:val="49"/>
        <w:spacing w:line="330" w:lineRule="exact"/>
        <w:ind w:left="180" w:right="2850" w:firstLine="360"/>
        <w:jc w:val="left"/>
        <w:rPr>
          <w:rFonts w:ascii="黑体" w:hAnsi="黑体"/>
          <w:szCs w:val="18"/>
        </w:rPr>
      </w:pPr>
      <w:r>
        <w:rPr>
          <w:rFonts w:hint="eastAsia" w:ascii="黑体" w:hAnsi="黑体"/>
          <w:szCs w:val="18"/>
        </w:rPr>
        <w:t>(</w:t>
      </w:r>
      <w:r>
        <w:rPr>
          <w:rFonts w:ascii="黑体" w:hAnsi="黑体"/>
          <w:szCs w:val="18"/>
        </w:rPr>
        <w:t>3)连接件技术要求</w:t>
      </w:r>
    </w:p>
    <w:p w14:paraId="6CB0D33F">
      <w:pPr>
        <w:spacing w:line="325" w:lineRule="exact"/>
        <w:ind w:left="3718"/>
        <w:jc w:val="left"/>
        <w:rPr>
          <w:rFonts w:ascii="黑体" w:hAnsi="黑体"/>
          <w:szCs w:val="18"/>
        </w:rPr>
      </w:pPr>
      <w:r>
        <w:rPr>
          <w:rFonts w:ascii="黑体" w:hAnsi="黑体"/>
          <w:spacing w:val="-3"/>
          <w:szCs w:val="18"/>
        </w:rPr>
        <w:t xml:space="preserve">表 </w:t>
      </w:r>
      <w:r>
        <w:rPr>
          <w:rFonts w:ascii="黑体" w:hAnsi="黑体"/>
          <w:szCs w:val="18"/>
        </w:rPr>
        <w:t>8</w:t>
      </w:r>
      <w:r>
        <w:rPr>
          <w:rFonts w:ascii="黑体" w:hAnsi="黑体"/>
          <w:spacing w:val="41"/>
          <w:szCs w:val="18"/>
        </w:rPr>
        <w:t xml:space="preserve"> </w:t>
      </w:r>
      <w:r>
        <w:rPr>
          <w:rFonts w:ascii="黑体" w:hAnsi="黑体"/>
          <w:szCs w:val="18"/>
        </w:rPr>
        <w:t>连接件技术要求</w:t>
      </w:r>
    </w:p>
    <w:tbl>
      <w:tblPr>
        <w:tblStyle w:val="133"/>
        <w:tblW w:w="0" w:type="auto"/>
        <w:tblInd w:w="5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
        <w:gridCol w:w="3626"/>
        <w:gridCol w:w="2126"/>
        <w:gridCol w:w="1867"/>
      </w:tblGrid>
      <w:tr w14:paraId="4C178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85" w:type="dxa"/>
            <w:shd w:val="clear" w:color="auto" w:fill="BDBDBD"/>
          </w:tcPr>
          <w:p w14:paraId="66BBCB3F">
            <w:pPr>
              <w:pStyle w:val="132"/>
              <w:spacing w:before="34"/>
              <w:ind w:left="404" w:right="203" w:hanging="404"/>
              <w:rPr>
                <w:rFonts w:ascii="黑体" w:hAnsi="黑体" w:eastAsia="黑体"/>
                <w:sz w:val="18"/>
                <w:szCs w:val="18"/>
                <w:lang w:eastAsia="en-US"/>
              </w:rPr>
            </w:pPr>
            <w:r>
              <w:rPr>
                <w:rFonts w:hint="eastAsia" w:ascii="黑体" w:hAnsi="黑体" w:eastAsia="黑体"/>
                <w:sz w:val="18"/>
                <w:szCs w:val="18"/>
                <w:lang w:eastAsia="en-US"/>
              </w:rPr>
              <w:t>序号</w:t>
            </w:r>
          </w:p>
        </w:tc>
        <w:tc>
          <w:tcPr>
            <w:tcW w:w="3626" w:type="dxa"/>
            <w:shd w:val="clear" w:color="auto" w:fill="BDBDBD"/>
          </w:tcPr>
          <w:p w14:paraId="0D9F79D6">
            <w:pPr>
              <w:pStyle w:val="132"/>
              <w:spacing w:before="34"/>
              <w:ind w:left="404" w:right="902" w:hanging="404"/>
              <w:rPr>
                <w:rFonts w:ascii="黑体" w:hAnsi="黑体" w:eastAsia="黑体"/>
                <w:sz w:val="18"/>
                <w:szCs w:val="18"/>
                <w:lang w:eastAsia="en-US"/>
              </w:rPr>
            </w:pPr>
            <w:r>
              <w:rPr>
                <w:rFonts w:hint="eastAsia" w:ascii="黑体" w:hAnsi="黑体" w:eastAsia="黑体"/>
                <w:sz w:val="18"/>
                <w:szCs w:val="18"/>
                <w:lang w:eastAsia="en-US"/>
              </w:rPr>
              <w:t>项目</w:t>
            </w:r>
          </w:p>
        </w:tc>
        <w:tc>
          <w:tcPr>
            <w:tcW w:w="2126" w:type="dxa"/>
            <w:shd w:val="clear" w:color="auto" w:fill="BDBDBD"/>
          </w:tcPr>
          <w:p w14:paraId="6F50AC8B">
            <w:pPr>
              <w:pStyle w:val="132"/>
              <w:spacing w:before="34"/>
              <w:ind w:left="404" w:right="718" w:hanging="404"/>
              <w:rPr>
                <w:rFonts w:ascii="黑体" w:hAnsi="黑体" w:eastAsia="黑体"/>
                <w:sz w:val="18"/>
                <w:szCs w:val="18"/>
                <w:lang w:eastAsia="en-US"/>
              </w:rPr>
            </w:pPr>
            <w:r>
              <w:rPr>
                <w:rFonts w:hint="eastAsia" w:ascii="黑体" w:hAnsi="黑体" w:eastAsia="黑体"/>
                <w:sz w:val="18"/>
                <w:szCs w:val="18"/>
                <w:lang w:eastAsia="en-US"/>
              </w:rPr>
              <w:t>连接件</w:t>
            </w:r>
          </w:p>
        </w:tc>
        <w:tc>
          <w:tcPr>
            <w:tcW w:w="1867" w:type="dxa"/>
            <w:shd w:val="clear" w:color="auto" w:fill="BDBDBD"/>
          </w:tcPr>
          <w:p w14:paraId="304F51F5">
            <w:pPr>
              <w:pStyle w:val="132"/>
              <w:spacing w:before="34"/>
              <w:ind w:left="404" w:right="149" w:hanging="404"/>
              <w:rPr>
                <w:rFonts w:ascii="黑体" w:hAnsi="黑体" w:eastAsia="黑体"/>
                <w:sz w:val="18"/>
                <w:szCs w:val="18"/>
                <w:lang w:eastAsia="en-US"/>
              </w:rPr>
            </w:pPr>
            <w:r>
              <w:rPr>
                <w:rFonts w:hint="eastAsia" w:ascii="黑体" w:hAnsi="黑体" w:eastAsia="黑体"/>
                <w:sz w:val="18"/>
                <w:szCs w:val="18"/>
                <w:lang w:eastAsia="en-US"/>
              </w:rPr>
              <w:t>测试方法</w:t>
            </w:r>
          </w:p>
        </w:tc>
      </w:tr>
      <w:tr w14:paraId="0A6AE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5" w:type="dxa"/>
          </w:tcPr>
          <w:p w14:paraId="1FDACA57">
            <w:pPr>
              <w:pStyle w:val="132"/>
              <w:spacing w:before="88"/>
              <w:ind w:left="429" w:hanging="429"/>
              <w:rPr>
                <w:rFonts w:ascii="黑体" w:hAnsi="黑体" w:eastAsia="黑体"/>
                <w:sz w:val="18"/>
                <w:szCs w:val="18"/>
                <w:lang w:eastAsia="en-US"/>
              </w:rPr>
            </w:pPr>
            <w:r>
              <w:rPr>
                <w:rFonts w:ascii="黑体" w:hAnsi="黑体" w:eastAsia="黑体"/>
                <w:w w:val="107"/>
                <w:sz w:val="18"/>
                <w:szCs w:val="18"/>
                <w:lang w:eastAsia="en-US"/>
              </w:rPr>
              <w:t>1</w:t>
            </w:r>
          </w:p>
        </w:tc>
        <w:tc>
          <w:tcPr>
            <w:tcW w:w="3626" w:type="dxa"/>
          </w:tcPr>
          <w:p w14:paraId="2243C60A">
            <w:pPr>
              <w:pStyle w:val="132"/>
              <w:spacing w:before="34"/>
              <w:ind w:left="404" w:right="902" w:hanging="404"/>
              <w:rPr>
                <w:rFonts w:ascii="黑体" w:hAnsi="黑体" w:eastAsia="黑体"/>
                <w:sz w:val="18"/>
                <w:szCs w:val="18"/>
                <w:lang w:eastAsia="en-US"/>
              </w:rPr>
            </w:pPr>
            <w:r>
              <w:rPr>
                <w:rFonts w:hint="eastAsia" w:ascii="黑体" w:hAnsi="黑体" w:eastAsia="黑体"/>
                <w:sz w:val="18"/>
                <w:szCs w:val="18"/>
                <w:lang w:eastAsia="en-US"/>
              </w:rPr>
              <w:t>外观</w:t>
            </w:r>
          </w:p>
        </w:tc>
        <w:tc>
          <w:tcPr>
            <w:tcW w:w="2126" w:type="dxa"/>
          </w:tcPr>
          <w:p w14:paraId="2AD787CB">
            <w:pPr>
              <w:pStyle w:val="132"/>
              <w:spacing w:before="34"/>
              <w:ind w:left="404" w:right="718" w:hanging="404"/>
              <w:rPr>
                <w:rFonts w:ascii="黑体" w:hAnsi="黑体" w:eastAsia="黑体"/>
                <w:sz w:val="18"/>
                <w:szCs w:val="18"/>
                <w:lang w:eastAsia="en-US"/>
              </w:rPr>
            </w:pPr>
            <w:r>
              <w:rPr>
                <w:rFonts w:hint="eastAsia" w:ascii="黑体" w:hAnsi="黑体" w:eastAsia="黑体"/>
                <w:sz w:val="18"/>
                <w:szCs w:val="18"/>
                <w:lang w:eastAsia="en-US"/>
              </w:rPr>
              <w:t>无锈迹</w:t>
            </w:r>
          </w:p>
        </w:tc>
        <w:tc>
          <w:tcPr>
            <w:tcW w:w="1867" w:type="dxa"/>
            <w:vMerge w:val="restart"/>
          </w:tcPr>
          <w:p w14:paraId="0164B0DE">
            <w:pPr>
              <w:pStyle w:val="132"/>
              <w:spacing w:before="1"/>
              <w:ind w:left="404" w:hanging="404"/>
              <w:rPr>
                <w:rFonts w:ascii="黑体" w:hAnsi="黑体" w:eastAsia="黑体"/>
                <w:sz w:val="18"/>
                <w:szCs w:val="18"/>
                <w:lang w:eastAsia="en-US"/>
              </w:rPr>
            </w:pPr>
          </w:p>
          <w:p w14:paraId="3D10D3CE">
            <w:pPr>
              <w:pStyle w:val="132"/>
              <w:spacing w:before="1"/>
              <w:ind w:left="419" w:hanging="419"/>
              <w:rPr>
                <w:rFonts w:ascii="黑体" w:hAnsi="黑体" w:eastAsia="黑体"/>
                <w:sz w:val="18"/>
                <w:szCs w:val="18"/>
                <w:lang w:eastAsia="en-US"/>
              </w:rPr>
            </w:pPr>
            <w:r>
              <w:rPr>
                <w:rFonts w:ascii="黑体" w:hAnsi="黑体" w:eastAsia="黑体"/>
                <w:spacing w:val="-1"/>
                <w:w w:val="105"/>
                <w:sz w:val="18"/>
                <w:szCs w:val="18"/>
                <w:lang w:eastAsia="en-US"/>
              </w:rPr>
              <w:t>GB</w:t>
            </w:r>
            <w:r>
              <w:rPr>
                <w:rFonts w:ascii="黑体" w:hAnsi="黑体" w:eastAsia="黑体"/>
                <w:spacing w:val="-16"/>
                <w:w w:val="105"/>
                <w:sz w:val="18"/>
                <w:szCs w:val="18"/>
                <w:lang w:eastAsia="en-US"/>
              </w:rPr>
              <w:t xml:space="preserve"> </w:t>
            </w:r>
            <w:r>
              <w:rPr>
                <w:rFonts w:ascii="黑体" w:hAnsi="黑体" w:eastAsia="黑体"/>
                <w:spacing w:val="-1"/>
                <w:w w:val="105"/>
                <w:sz w:val="18"/>
                <w:szCs w:val="18"/>
                <w:lang w:eastAsia="en-US"/>
              </w:rPr>
              <w:t>2518-2008</w:t>
            </w:r>
          </w:p>
        </w:tc>
      </w:tr>
      <w:tr w14:paraId="3BAB4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85" w:type="dxa"/>
          </w:tcPr>
          <w:p w14:paraId="3FA6AF83">
            <w:pPr>
              <w:pStyle w:val="132"/>
              <w:spacing w:before="88"/>
              <w:ind w:left="429" w:hanging="429"/>
              <w:rPr>
                <w:rFonts w:ascii="黑体" w:hAnsi="黑体" w:eastAsia="黑体"/>
                <w:sz w:val="18"/>
                <w:szCs w:val="18"/>
                <w:lang w:eastAsia="en-US"/>
              </w:rPr>
            </w:pPr>
            <w:r>
              <w:rPr>
                <w:rFonts w:ascii="黑体" w:hAnsi="黑体" w:eastAsia="黑体"/>
                <w:w w:val="107"/>
                <w:sz w:val="18"/>
                <w:szCs w:val="18"/>
                <w:lang w:eastAsia="en-US"/>
              </w:rPr>
              <w:t>2</w:t>
            </w:r>
          </w:p>
        </w:tc>
        <w:tc>
          <w:tcPr>
            <w:tcW w:w="3626" w:type="dxa"/>
          </w:tcPr>
          <w:p w14:paraId="6C0D7931">
            <w:pPr>
              <w:pStyle w:val="132"/>
              <w:spacing w:before="34"/>
              <w:ind w:left="404" w:right="902" w:hanging="404"/>
              <w:rPr>
                <w:rFonts w:ascii="黑体" w:hAnsi="黑体" w:eastAsia="黑体"/>
                <w:sz w:val="18"/>
                <w:szCs w:val="18"/>
                <w:lang w:eastAsia="en-US"/>
              </w:rPr>
            </w:pPr>
            <w:r>
              <w:rPr>
                <w:rFonts w:hint="eastAsia" w:ascii="黑体" w:hAnsi="黑体" w:eastAsia="黑体"/>
                <w:sz w:val="18"/>
                <w:szCs w:val="18"/>
                <w:lang w:eastAsia="en-US"/>
              </w:rPr>
              <w:t>屈服强度</w:t>
            </w:r>
          </w:p>
        </w:tc>
        <w:tc>
          <w:tcPr>
            <w:tcW w:w="2126" w:type="dxa"/>
          </w:tcPr>
          <w:p w14:paraId="3AADEFF0">
            <w:pPr>
              <w:pStyle w:val="132"/>
              <w:spacing w:before="88"/>
              <w:ind w:left="423" w:right="718" w:hanging="423"/>
              <w:rPr>
                <w:rFonts w:ascii="黑体" w:hAnsi="黑体" w:eastAsia="黑体"/>
                <w:sz w:val="18"/>
                <w:szCs w:val="18"/>
                <w:lang w:eastAsia="en-US"/>
              </w:rPr>
            </w:pPr>
            <w:r>
              <w:rPr>
                <w:rFonts w:ascii="黑体" w:hAnsi="黑体" w:eastAsia="黑体"/>
                <w:w w:val="105"/>
                <w:sz w:val="18"/>
                <w:szCs w:val="18"/>
                <w:lang w:eastAsia="en-US"/>
              </w:rPr>
              <w:t>≥235</w:t>
            </w:r>
          </w:p>
        </w:tc>
        <w:tc>
          <w:tcPr>
            <w:tcW w:w="1867" w:type="dxa"/>
            <w:vMerge w:val="continue"/>
            <w:tcBorders>
              <w:top w:val="nil"/>
            </w:tcBorders>
          </w:tcPr>
          <w:p w14:paraId="26157EB0">
            <w:pPr>
              <w:autoSpaceDE w:val="0"/>
              <w:autoSpaceDN w:val="0"/>
              <w:jc w:val="left"/>
              <w:rPr>
                <w:rFonts w:ascii="黑体" w:hAnsi="黑体"/>
                <w:szCs w:val="18"/>
                <w:lang w:eastAsia="en-US"/>
              </w:rPr>
            </w:pPr>
          </w:p>
        </w:tc>
      </w:tr>
      <w:tr w14:paraId="42DF6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85" w:type="dxa"/>
          </w:tcPr>
          <w:p w14:paraId="6B7990EC">
            <w:pPr>
              <w:pStyle w:val="132"/>
              <w:spacing w:before="88"/>
              <w:ind w:left="429" w:hanging="429"/>
              <w:rPr>
                <w:rFonts w:ascii="黑体" w:hAnsi="黑体" w:eastAsia="黑体"/>
                <w:sz w:val="18"/>
                <w:szCs w:val="18"/>
                <w:lang w:eastAsia="en-US"/>
              </w:rPr>
            </w:pPr>
            <w:r>
              <w:rPr>
                <w:rFonts w:ascii="黑体" w:hAnsi="黑体" w:eastAsia="黑体"/>
                <w:w w:val="107"/>
                <w:sz w:val="18"/>
                <w:szCs w:val="18"/>
                <w:lang w:eastAsia="en-US"/>
              </w:rPr>
              <w:t>3</w:t>
            </w:r>
          </w:p>
        </w:tc>
        <w:tc>
          <w:tcPr>
            <w:tcW w:w="3626" w:type="dxa"/>
          </w:tcPr>
          <w:p w14:paraId="541C2B27">
            <w:pPr>
              <w:pStyle w:val="132"/>
              <w:spacing w:before="34"/>
              <w:ind w:left="404" w:right="902" w:hanging="404"/>
              <w:rPr>
                <w:rFonts w:ascii="黑体" w:hAnsi="黑体" w:eastAsia="黑体"/>
                <w:sz w:val="18"/>
                <w:szCs w:val="18"/>
                <w:lang w:eastAsia="en-US"/>
              </w:rPr>
            </w:pPr>
            <w:r>
              <w:rPr>
                <w:rFonts w:hint="eastAsia" w:ascii="黑体" w:hAnsi="黑体" w:eastAsia="黑体"/>
                <w:sz w:val="18"/>
                <w:szCs w:val="18"/>
                <w:lang w:eastAsia="en-US"/>
              </w:rPr>
              <w:t>镀锌层厚度（</w:t>
            </w:r>
            <w:r>
              <w:rPr>
                <w:rFonts w:ascii="黑体" w:hAnsi="黑体" w:eastAsia="黑体"/>
                <w:sz w:val="18"/>
                <w:szCs w:val="18"/>
                <w:lang w:eastAsia="en-US"/>
              </w:rPr>
              <w:t>μm</w:t>
            </w:r>
            <w:r>
              <w:rPr>
                <w:rFonts w:hint="eastAsia" w:ascii="黑体" w:hAnsi="黑体" w:eastAsia="黑体"/>
                <w:sz w:val="18"/>
                <w:szCs w:val="18"/>
                <w:lang w:eastAsia="en-US"/>
              </w:rPr>
              <w:t>）</w:t>
            </w:r>
          </w:p>
        </w:tc>
        <w:tc>
          <w:tcPr>
            <w:tcW w:w="2126" w:type="dxa"/>
          </w:tcPr>
          <w:p w14:paraId="47BC1A41">
            <w:pPr>
              <w:pStyle w:val="132"/>
              <w:spacing w:before="88"/>
              <w:ind w:left="423" w:right="718" w:hanging="423"/>
              <w:rPr>
                <w:rFonts w:ascii="黑体" w:hAnsi="黑体" w:eastAsia="黑体"/>
                <w:sz w:val="18"/>
                <w:szCs w:val="18"/>
                <w:lang w:eastAsia="en-US"/>
              </w:rPr>
            </w:pPr>
            <w:r>
              <w:rPr>
                <w:rFonts w:ascii="黑体" w:hAnsi="黑体" w:eastAsia="黑体"/>
                <w:w w:val="105"/>
                <w:sz w:val="18"/>
                <w:szCs w:val="18"/>
                <w:lang w:eastAsia="en-US"/>
              </w:rPr>
              <w:t>≥35</w:t>
            </w:r>
          </w:p>
        </w:tc>
        <w:tc>
          <w:tcPr>
            <w:tcW w:w="1867" w:type="dxa"/>
          </w:tcPr>
          <w:p w14:paraId="48447437">
            <w:pPr>
              <w:pStyle w:val="132"/>
              <w:spacing w:before="88"/>
              <w:ind w:left="404" w:right="149" w:hanging="404"/>
              <w:rPr>
                <w:rFonts w:ascii="黑体" w:hAnsi="黑体" w:eastAsia="黑体"/>
                <w:sz w:val="18"/>
                <w:szCs w:val="18"/>
                <w:lang w:eastAsia="en-US"/>
              </w:rPr>
            </w:pPr>
            <w:r>
              <w:rPr>
                <w:rFonts w:ascii="黑体" w:hAnsi="黑体" w:eastAsia="黑体"/>
                <w:sz w:val="18"/>
                <w:szCs w:val="18"/>
                <w:lang w:eastAsia="en-US"/>
              </w:rPr>
              <w:t>GB/T</w:t>
            </w:r>
            <w:r>
              <w:rPr>
                <w:rFonts w:ascii="黑体" w:hAnsi="黑体" w:eastAsia="黑体"/>
                <w:spacing w:val="-6"/>
                <w:sz w:val="18"/>
                <w:szCs w:val="18"/>
                <w:lang w:eastAsia="en-US"/>
              </w:rPr>
              <w:t xml:space="preserve"> </w:t>
            </w:r>
            <w:r>
              <w:rPr>
                <w:rFonts w:ascii="黑体" w:hAnsi="黑体" w:eastAsia="黑体"/>
                <w:sz w:val="18"/>
                <w:szCs w:val="18"/>
                <w:lang w:eastAsia="en-US"/>
              </w:rPr>
              <w:t>1839-2008</w:t>
            </w:r>
          </w:p>
        </w:tc>
      </w:tr>
      <w:tr w14:paraId="066D6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504" w:type="dxa"/>
            <w:gridSpan w:val="4"/>
          </w:tcPr>
          <w:p w14:paraId="12F69F85">
            <w:pPr>
              <w:pStyle w:val="132"/>
              <w:spacing w:line="204" w:lineRule="auto"/>
              <w:ind w:left="404" w:right="97" w:hanging="404"/>
              <w:rPr>
                <w:rFonts w:ascii="黑体" w:hAnsi="黑体" w:eastAsia="黑体"/>
                <w:sz w:val="18"/>
                <w:szCs w:val="18"/>
                <w:lang w:eastAsia="zh-CN"/>
              </w:rPr>
            </w:pPr>
            <w:r>
              <w:rPr>
                <w:rFonts w:hint="eastAsia" w:ascii="黑体" w:hAnsi="黑体" w:eastAsia="黑体"/>
                <w:sz w:val="18"/>
                <w:szCs w:val="18"/>
                <w:lang w:eastAsia="zh-CN"/>
              </w:rPr>
              <w:t>注：连接件主要包括：</w:t>
            </w:r>
            <w:r>
              <w:rPr>
                <w:rFonts w:ascii="黑体" w:hAnsi="黑体" w:eastAsia="黑体"/>
                <w:sz w:val="18"/>
                <w:szCs w:val="18"/>
                <w:lang w:eastAsia="zh-CN"/>
              </w:rPr>
              <w:t xml:space="preserve">U </w:t>
            </w:r>
            <w:r>
              <w:rPr>
                <w:rFonts w:hint="eastAsia" w:ascii="黑体" w:hAnsi="黑体" w:eastAsia="黑体"/>
                <w:sz w:val="18"/>
                <w:szCs w:val="18"/>
                <w:lang w:eastAsia="zh-CN"/>
              </w:rPr>
              <w:t>型卡、直角钢件、管卡等，</w:t>
            </w:r>
            <w:r>
              <w:rPr>
                <w:rFonts w:ascii="黑体" w:hAnsi="黑体" w:eastAsia="黑体"/>
                <w:sz w:val="18"/>
                <w:szCs w:val="18"/>
                <w:lang w:eastAsia="zh-CN"/>
              </w:rPr>
              <w:t>所有固定</w:t>
            </w:r>
            <w:r>
              <w:rPr>
                <w:rFonts w:hint="eastAsia" w:ascii="黑体" w:hAnsi="黑体" w:eastAsia="黑体"/>
                <w:sz w:val="18"/>
                <w:szCs w:val="18"/>
                <w:lang w:eastAsia="zh-CN"/>
              </w:rPr>
              <w:t>A</w:t>
            </w:r>
            <w:r>
              <w:rPr>
                <w:rFonts w:ascii="黑体" w:hAnsi="黑体" w:eastAsia="黑体"/>
                <w:sz w:val="18"/>
                <w:szCs w:val="18"/>
                <w:lang w:eastAsia="zh-CN"/>
              </w:rPr>
              <w:t>LC板的连接件应均应为Q235B镀锌材质</w:t>
            </w:r>
            <w:r>
              <w:rPr>
                <w:rFonts w:hint="eastAsia" w:ascii="黑体" w:hAnsi="黑体" w:eastAsia="黑体"/>
                <w:sz w:val="18"/>
                <w:szCs w:val="18"/>
                <w:lang w:eastAsia="zh-CN"/>
              </w:rPr>
              <w:t>，最小厚度不低</w:t>
            </w:r>
            <w:r>
              <w:rPr>
                <w:rFonts w:hint="eastAsia" w:ascii="黑体" w:hAnsi="黑体" w:eastAsia="黑体"/>
                <w:spacing w:val="-1"/>
                <w:sz w:val="18"/>
                <w:szCs w:val="18"/>
                <w:lang w:eastAsia="zh-CN"/>
              </w:rPr>
              <w:t xml:space="preserve">于 </w:t>
            </w:r>
            <w:r>
              <w:rPr>
                <w:rFonts w:ascii="黑体" w:hAnsi="黑体" w:eastAsia="黑体"/>
                <w:sz w:val="18"/>
                <w:szCs w:val="18"/>
                <w:lang w:eastAsia="zh-CN"/>
              </w:rPr>
              <w:t>2mm</w:t>
            </w:r>
            <w:r>
              <w:rPr>
                <w:rFonts w:hint="eastAsia" w:ascii="黑体" w:hAnsi="黑体" w:eastAsia="黑体"/>
                <w:spacing w:val="-1"/>
                <w:sz w:val="18"/>
                <w:szCs w:val="18"/>
                <w:lang w:eastAsia="zh-CN"/>
              </w:rPr>
              <w:t>，</w:t>
            </w:r>
            <w:r>
              <w:rPr>
                <w:rFonts w:ascii="黑体" w:hAnsi="黑体" w:eastAsia="黑体"/>
                <w:sz w:val="18"/>
                <w:szCs w:val="18"/>
                <w:lang w:eastAsia="zh-CN"/>
              </w:rPr>
              <w:t>避免生锈影响结构正常使用及安全</w:t>
            </w:r>
            <w:r>
              <w:rPr>
                <w:rFonts w:hint="eastAsia" w:ascii="黑体" w:hAnsi="黑体" w:eastAsia="黑体"/>
                <w:sz w:val="18"/>
                <w:szCs w:val="18"/>
                <w:lang w:eastAsia="zh-CN"/>
              </w:rPr>
              <w:t>。</w:t>
            </w:r>
            <w:r>
              <w:rPr>
                <w:rFonts w:hint="eastAsia" w:ascii="黑体" w:hAnsi="黑体" w:eastAsia="黑体"/>
                <w:spacing w:val="-1"/>
                <w:sz w:val="18"/>
                <w:szCs w:val="18"/>
                <w:lang w:eastAsia="zh-CN"/>
              </w:rPr>
              <w:t xml:space="preserve">未列参数需满足 </w:t>
            </w:r>
            <w:r>
              <w:rPr>
                <w:rFonts w:ascii="黑体" w:hAnsi="黑体" w:eastAsia="黑体"/>
                <w:sz w:val="18"/>
                <w:szCs w:val="18"/>
                <w:lang w:eastAsia="zh-CN"/>
              </w:rPr>
              <w:t>13J104</w:t>
            </w:r>
            <w:r>
              <w:rPr>
                <w:rFonts w:hint="eastAsia" w:ascii="黑体" w:hAnsi="黑体" w:eastAsia="黑体"/>
                <w:sz w:val="18"/>
                <w:szCs w:val="18"/>
                <w:lang w:eastAsia="zh-CN"/>
              </w:rPr>
              <w:t>《蒸压加气混凝土砌块、板材构造》相关要求；</w:t>
            </w:r>
          </w:p>
        </w:tc>
      </w:tr>
    </w:tbl>
    <w:p w14:paraId="45B388AE">
      <w:pPr>
        <w:spacing w:line="325" w:lineRule="exact"/>
        <w:ind w:firstLine="181" w:firstLineChars="100"/>
        <w:jc w:val="left"/>
        <w:rPr>
          <w:rFonts w:ascii="黑体" w:hAnsi="黑体"/>
          <w:b/>
          <w:szCs w:val="18"/>
        </w:rPr>
      </w:pPr>
    </w:p>
    <w:p w14:paraId="71B1067C">
      <w:pPr>
        <w:spacing w:line="325" w:lineRule="exact"/>
        <w:ind w:firstLine="361" w:firstLineChars="200"/>
        <w:jc w:val="left"/>
        <w:rPr>
          <w:rFonts w:ascii="黑体" w:hAnsi="黑体"/>
          <w:b/>
          <w:szCs w:val="18"/>
        </w:rPr>
      </w:pPr>
      <w:r>
        <w:rPr>
          <w:rFonts w:ascii="黑体" w:hAnsi="黑体"/>
          <w:b/>
          <w:szCs w:val="18"/>
        </w:rPr>
        <w:t>2.3.3.8</w:t>
      </w:r>
      <w:r>
        <w:rPr>
          <w:rFonts w:hint="eastAsia" w:ascii="黑体" w:hAnsi="黑体"/>
          <w:b/>
          <w:szCs w:val="18"/>
        </w:rPr>
        <w:t>、</w:t>
      </w:r>
      <w:r>
        <w:rPr>
          <w:rFonts w:ascii="黑体" w:hAnsi="黑体"/>
          <w:b/>
          <w:szCs w:val="18"/>
        </w:rPr>
        <w:t>包装要求</w:t>
      </w:r>
    </w:p>
    <w:p w14:paraId="0530C011">
      <w:pPr>
        <w:pStyle w:val="49"/>
        <w:numPr>
          <w:ilvl w:val="0"/>
          <w:numId w:val="13"/>
        </w:numPr>
        <w:autoSpaceDE w:val="0"/>
        <w:autoSpaceDN w:val="0"/>
        <w:spacing w:line="330" w:lineRule="exact"/>
        <w:ind w:right="-766" w:firstLineChars="0"/>
        <w:jc w:val="left"/>
        <w:rPr>
          <w:rFonts w:ascii="黑体" w:hAnsi="黑体"/>
          <w:spacing w:val="3"/>
          <w:szCs w:val="18"/>
        </w:rPr>
      </w:pPr>
      <w:r>
        <w:rPr>
          <w:rFonts w:ascii="黑体" w:hAnsi="黑体"/>
          <w:spacing w:val="3"/>
          <w:szCs w:val="18"/>
        </w:rPr>
        <w:t>蒸压加气混凝土板出釜后应存放 5d，经检验合格后方可出厂；</w:t>
      </w:r>
    </w:p>
    <w:p w14:paraId="5C3073E1">
      <w:pPr>
        <w:pStyle w:val="49"/>
        <w:numPr>
          <w:ilvl w:val="0"/>
          <w:numId w:val="13"/>
        </w:numPr>
        <w:autoSpaceDE w:val="0"/>
        <w:autoSpaceDN w:val="0"/>
        <w:spacing w:line="330" w:lineRule="exact"/>
        <w:ind w:right="-766" w:firstLineChars="0"/>
        <w:jc w:val="left"/>
        <w:rPr>
          <w:rFonts w:ascii="黑体" w:hAnsi="黑体"/>
          <w:spacing w:val="3"/>
          <w:szCs w:val="18"/>
        </w:rPr>
      </w:pPr>
      <w:r>
        <w:rPr>
          <w:rFonts w:ascii="黑体" w:hAnsi="黑体"/>
          <w:spacing w:val="3"/>
          <w:szCs w:val="18"/>
        </w:rPr>
        <w:t>首批板材出厂时，应包含产品合格证、产品性能检测</w:t>
      </w:r>
      <w:r>
        <w:rPr>
          <w:rFonts w:hint="eastAsia" w:ascii="黑体" w:hAnsi="黑体"/>
          <w:spacing w:val="3"/>
          <w:szCs w:val="18"/>
        </w:rPr>
        <w:t>报告；</w:t>
      </w:r>
    </w:p>
    <w:p w14:paraId="0E3B6C5C">
      <w:pPr>
        <w:pStyle w:val="49"/>
        <w:numPr>
          <w:ilvl w:val="0"/>
          <w:numId w:val="13"/>
        </w:numPr>
        <w:autoSpaceDE w:val="0"/>
        <w:autoSpaceDN w:val="0"/>
        <w:spacing w:line="330" w:lineRule="exact"/>
        <w:ind w:right="-766" w:firstLineChars="0"/>
        <w:jc w:val="left"/>
        <w:rPr>
          <w:rFonts w:ascii="黑体" w:hAnsi="黑体"/>
          <w:szCs w:val="18"/>
        </w:rPr>
      </w:pPr>
      <w:r>
        <w:rPr>
          <w:rFonts w:ascii="黑体" w:hAnsi="黑体"/>
          <w:spacing w:val="-1"/>
          <w:szCs w:val="18"/>
        </w:rPr>
        <w:t>板材出厂运输时，应采用防雨包装的妥善绑扎，包与包之间用木架隔开，捆扎牢固。运</w:t>
      </w:r>
      <w:r>
        <w:rPr>
          <w:rFonts w:ascii="黑体" w:hAnsi="黑体"/>
          <w:szCs w:val="18"/>
        </w:rPr>
        <w:t>输过程中宜侧立竖直堆放，多块打包捆扎牢固，尽量不采用平放；</w:t>
      </w:r>
    </w:p>
    <w:p w14:paraId="5CF4677C">
      <w:pPr>
        <w:pStyle w:val="49"/>
        <w:numPr>
          <w:ilvl w:val="0"/>
          <w:numId w:val="13"/>
        </w:numPr>
        <w:autoSpaceDE w:val="0"/>
        <w:autoSpaceDN w:val="0"/>
        <w:spacing w:line="330" w:lineRule="exact"/>
        <w:ind w:right="-766" w:firstLineChars="0"/>
        <w:jc w:val="left"/>
        <w:rPr>
          <w:rFonts w:ascii="黑体" w:hAnsi="黑体"/>
          <w:szCs w:val="18"/>
        </w:rPr>
      </w:pPr>
      <w:r>
        <w:rPr>
          <w:rFonts w:ascii="黑体" w:hAnsi="黑体"/>
          <w:spacing w:val="-3"/>
          <w:szCs w:val="18"/>
        </w:rPr>
        <w:t xml:space="preserve">过程装卸转运时，宜采用专用工具装卸，吊装时应采用宽度不小于 </w:t>
      </w:r>
      <w:r>
        <w:rPr>
          <w:rFonts w:ascii="黑体" w:hAnsi="黑体"/>
          <w:i/>
          <w:spacing w:val="-1"/>
          <w:szCs w:val="18"/>
        </w:rPr>
        <w:t>50mm</w:t>
      </w:r>
      <w:r>
        <w:rPr>
          <w:rFonts w:ascii="黑体" w:hAnsi="黑体"/>
          <w:i/>
          <w:spacing w:val="-15"/>
          <w:szCs w:val="18"/>
        </w:rPr>
        <w:t xml:space="preserve"> </w:t>
      </w:r>
      <w:r>
        <w:rPr>
          <w:rFonts w:ascii="黑体" w:hAnsi="黑体"/>
          <w:spacing w:val="-1"/>
          <w:szCs w:val="18"/>
        </w:rPr>
        <w:t>的尼龙吊带兜</w:t>
      </w:r>
      <w:r>
        <w:rPr>
          <w:rFonts w:ascii="黑体" w:hAnsi="黑体"/>
          <w:w w:val="105"/>
          <w:szCs w:val="18"/>
        </w:rPr>
        <w:t>底起吊，严禁使用钢丝绳吊装。</w:t>
      </w:r>
    </w:p>
    <w:p w14:paraId="1050B09E">
      <w:pPr>
        <w:pStyle w:val="49"/>
        <w:numPr>
          <w:ilvl w:val="0"/>
          <w:numId w:val="13"/>
        </w:numPr>
        <w:autoSpaceDE w:val="0"/>
        <w:autoSpaceDN w:val="0"/>
        <w:spacing w:line="330" w:lineRule="exact"/>
        <w:ind w:right="-766" w:firstLineChars="0"/>
        <w:jc w:val="left"/>
        <w:rPr>
          <w:rFonts w:ascii="黑体" w:hAnsi="黑体"/>
          <w:szCs w:val="18"/>
        </w:rPr>
      </w:pPr>
      <w:r>
        <w:rPr>
          <w:rFonts w:ascii="黑体" w:hAnsi="黑体"/>
          <w:szCs w:val="18"/>
        </w:rPr>
        <w:drawing>
          <wp:anchor distT="0" distB="0" distL="0" distR="0" simplePos="0" relativeHeight="251663360" behindDoc="0" locked="0" layoutInCell="1" allowOverlap="1">
            <wp:simplePos x="0" y="0"/>
            <wp:positionH relativeFrom="page">
              <wp:posOffset>1670050</wp:posOffset>
            </wp:positionH>
            <wp:positionV relativeFrom="paragraph">
              <wp:posOffset>881380</wp:posOffset>
            </wp:positionV>
            <wp:extent cx="2606040" cy="1954530"/>
            <wp:effectExtent l="0" t="0" r="0" b="0"/>
            <wp:wrapTopAndBottom/>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jpeg"/>
                    <pic:cNvPicPr>
                      <a:picLocks noChangeAspect="1"/>
                    </pic:cNvPicPr>
                  </pic:nvPicPr>
                  <pic:blipFill>
                    <a:blip r:embed="rId22" cstate="print"/>
                    <a:stretch>
                      <a:fillRect/>
                    </a:stretch>
                  </pic:blipFill>
                  <pic:spPr>
                    <a:xfrm>
                      <a:off x="0" y="0"/>
                      <a:ext cx="2605831" cy="1954529"/>
                    </a:xfrm>
                    <a:prstGeom prst="rect">
                      <a:avLst/>
                    </a:prstGeom>
                  </pic:spPr>
                </pic:pic>
              </a:graphicData>
            </a:graphic>
          </wp:anchor>
        </w:drawing>
      </w:r>
      <w:r>
        <w:rPr>
          <w:rFonts w:ascii="黑体" w:hAnsi="黑体"/>
          <w:spacing w:val="-1"/>
          <w:szCs w:val="18"/>
        </w:rPr>
        <w:t>成品保护：</w:t>
      </w:r>
      <w:r>
        <w:rPr>
          <w:rFonts w:ascii="黑体" w:hAnsi="黑体"/>
          <w:i/>
          <w:spacing w:val="-1"/>
          <w:szCs w:val="18"/>
        </w:rPr>
        <w:t>ALC</w:t>
      </w:r>
      <w:r>
        <w:rPr>
          <w:rFonts w:ascii="黑体" w:hAnsi="黑体"/>
          <w:i/>
          <w:spacing w:val="-15"/>
          <w:szCs w:val="18"/>
        </w:rPr>
        <w:t xml:space="preserve"> </w:t>
      </w:r>
      <w:r>
        <w:rPr>
          <w:rFonts w:ascii="黑体" w:hAnsi="黑体"/>
          <w:spacing w:val="-1"/>
          <w:szCs w:val="18"/>
        </w:rPr>
        <w:t>墙板运输过程中以及现场存放都需进行成品保护，</w:t>
      </w:r>
      <w:r>
        <w:rPr>
          <w:rFonts w:ascii="黑体" w:hAnsi="黑体"/>
          <w:i/>
          <w:szCs w:val="18"/>
        </w:rPr>
        <w:t>ALC</w:t>
      </w:r>
      <w:r>
        <w:rPr>
          <w:rFonts w:ascii="黑体" w:hAnsi="黑体"/>
          <w:i/>
          <w:spacing w:val="-15"/>
          <w:szCs w:val="18"/>
        </w:rPr>
        <w:t xml:space="preserve"> </w:t>
      </w:r>
      <w:r>
        <w:rPr>
          <w:rFonts w:ascii="黑体" w:hAnsi="黑体"/>
          <w:szCs w:val="18"/>
        </w:rPr>
        <w:t>墙板成品保护方式为角部采用珍珠棉包裹</w:t>
      </w:r>
      <w:r>
        <w:rPr>
          <w:rFonts w:ascii="黑体" w:hAnsi="黑体"/>
          <w:i/>
          <w:szCs w:val="18"/>
        </w:rPr>
        <w:t>+</w:t>
      </w:r>
      <w:r>
        <w:rPr>
          <w:rFonts w:ascii="黑体" w:hAnsi="黑体"/>
          <w:szCs w:val="18"/>
        </w:rPr>
        <w:t>塑料薄膜</w:t>
      </w:r>
      <w:r>
        <w:rPr>
          <w:rFonts w:ascii="黑体" w:hAnsi="黑体"/>
          <w:i/>
          <w:szCs w:val="18"/>
        </w:rPr>
        <w:t>+</w:t>
      </w:r>
      <w:r>
        <w:rPr>
          <w:rFonts w:ascii="黑体" w:hAnsi="黑体"/>
          <w:szCs w:val="18"/>
        </w:rPr>
        <w:t>木方模板做垫块（如下图所示）</w:t>
      </w:r>
      <w:r>
        <w:rPr>
          <w:rFonts w:ascii="黑体" w:hAnsi="黑体"/>
          <w:i/>
          <w:szCs w:val="18"/>
        </w:rPr>
        <w:t>,</w:t>
      </w:r>
      <w:r>
        <w:rPr>
          <w:rFonts w:ascii="黑体" w:hAnsi="黑体"/>
          <w:szCs w:val="18"/>
        </w:rPr>
        <w:t>侧面棱</w:t>
      </w:r>
      <w:r>
        <w:rPr>
          <w:rFonts w:ascii="黑体" w:hAnsi="黑体"/>
          <w:spacing w:val="-3"/>
          <w:szCs w:val="18"/>
        </w:rPr>
        <w:t>角采用金属角条包裹（如下图所示）</w:t>
      </w:r>
      <w:r>
        <w:rPr>
          <w:rFonts w:ascii="黑体" w:hAnsi="黑体"/>
          <w:spacing w:val="-2"/>
          <w:szCs w:val="18"/>
        </w:rPr>
        <w:t>。若到场的产品因成品保护不足造成的破坏破损一律进</w:t>
      </w:r>
      <w:r>
        <w:rPr>
          <w:rFonts w:ascii="黑体" w:hAnsi="黑体"/>
          <w:szCs w:val="18"/>
        </w:rPr>
        <w:t>行退场处理</w:t>
      </w:r>
      <w:r>
        <w:rPr>
          <w:rFonts w:hint="eastAsia" w:ascii="黑体" w:hAnsi="黑体"/>
          <w:szCs w:val="18"/>
        </w:rPr>
        <w:t>。</w:t>
      </w:r>
    </w:p>
    <w:p w14:paraId="1EC2D8A0">
      <w:pPr>
        <w:spacing w:line="330" w:lineRule="exact"/>
        <w:ind w:right="258"/>
        <w:jc w:val="left"/>
        <w:rPr>
          <w:rFonts w:ascii="黑体" w:hAnsi="黑体"/>
          <w:szCs w:val="18"/>
        </w:rPr>
      </w:pPr>
    </w:p>
    <w:p w14:paraId="3D376B4A">
      <w:pPr>
        <w:spacing w:line="330" w:lineRule="exact"/>
        <w:ind w:right="258"/>
        <w:jc w:val="left"/>
        <w:rPr>
          <w:rFonts w:ascii="黑体" w:hAnsi="黑体"/>
          <w:szCs w:val="18"/>
        </w:rPr>
      </w:pPr>
    </w:p>
    <w:p w14:paraId="5DA71D52">
      <w:pPr>
        <w:spacing w:line="330" w:lineRule="exact"/>
        <w:ind w:right="258" w:firstLine="361" w:firstLineChars="200"/>
        <w:jc w:val="left"/>
        <w:rPr>
          <w:rFonts w:ascii="黑体" w:hAnsi="黑体"/>
          <w:b/>
          <w:szCs w:val="18"/>
        </w:rPr>
      </w:pPr>
      <w:r>
        <w:rPr>
          <w:rFonts w:ascii="黑体" w:hAnsi="黑体"/>
          <w:b/>
          <w:szCs w:val="18"/>
        </w:rPr>
        <w:t>2.3.</w:t>
      </w:r>
      <w:r>
        <w:rPr>
          <w:rFonts w:hint="eastAsia" w:ascii="黑体" w:hAnsi="黑体"/>
          <w:b/>
          <w:szCs w:val="18"/>
        </w:rPr>
        <w:t>3</w:t>
      </w:r>
      <w:r>
        <w:rPr>
          <w:rFonts w:ascii="黑体" w:hAnsi="黑体"/>
          <w:b/>
          <w:szCs w:val="18"/>
        </w:rPr>
        <w:t>.9</w:t>
      </w:r>
      <w:r>
        <w:rPr>
          <w:rFonts w:hint="eastAsia" w:ascii="黑体" w:hAnsi="黑体"/>
          <w:b/>
          <w:szCs w:val="18"/>
        </w:rPr>
        <w:t>、</w:t>
      </w:r>
      <w:r>
        <w:rPr>
          <w:rFonts w:ascii="黑体" w:hAnsi="黑体"/>
          <w:b/>
          <w:szCs w:val="18"/>
        </w:rPr>
        <w:t>现场堆放要求</w:t>
      </w:r>
    </w:p>
    <w:p w14:paraId="397C5E30">
      <w:pPr>
        <w:pStyle w:val="49"/>
        <w:numPr>
          <w:ilvl w:val="0"/>
          <w:numId w:val="14"/>
        </w:numPr>
        <w:autoSpaceDE w:val="0"/>
        <w:autoSpaceDN w:val="0"/>
        <w:spacing w:line="330" w:lineRule="exact"/>
        <w:ind w:right="258" w:firstLineChars="0"/>
        <w:jc w:val="left"/>
        <w:rPr>
          <w:rFonts w:ascii="黑体" w:hAnsi="黑体"/>
          <w:szCs w:val="18"/>
        </w:rPr>
      </w:pPr>
      <w:r>
        <w:rPr>
          <w:rFonts w:ascii="黑体" w:hAnsi="黑体"/>
          <w:szCs w:val="18"/>
        </w:rPr>
        <w:t>板材堆放必须防雨、防积水、防扰动、防污染；</w:t>
      </w:r>
    </w:p>
    <w:p w14:paraId="305885BD">
      <w:pPr>
        <w:pStyle w:val="49"/>
        <w:numPr>
          <w:ilvl w:val="0"/>
          <w:numId w:val="14"/>
        </w:numPr>
        <w:autoSpaceDE w:val="0"/>
        <w:autoSpaceDN w:val="0"/>
        <w:spacing w:line="330" w:lineRule="exact"/>
        <w:ind w:right="258" w:firstLineChars="0"/>
        <w:jc w:val="left"/>
        <w:rPr>
          <w:rFonts w:ascii="黑体" w:hAnsi="黑体"/>
          <w:szCs w:val="18"/>
        </w:rPr>
      </w:pPr>
      <w:r>
        <w:rPr>
          <w:rFonts w:ascii="黑体" w:hAnsi="黑体"/>
          <w:szCs w:val="18"/>
        </w:rPr>
        <w:t>堆场设置考虑方便直接运输上楼，避免二次倒运；</w:t>
      </w:r>
    </w:p>
    <w:p w14:paraId="593CB7D5">
      <w:pPr>
        <w:pStyle w:val="49"/>
        <w:numPr>
          <w:ilvl w:val="0"/>
          <w:numId w:val="14"/>
        </w:numPr>
        <w:autoSpaceDE w:val="0"/>
        <w:autoSpaceDN w:val="0"/>
        <w:spacing w:line="330" w:lineRule="exact"/>
        <w:ind w:right="258" w:firstLineChars="0"/>
        <w:jc w:val="left"/>
        <w:rPr>
          <w:rFonts w:ascii="黑体" w:hAnsi="黑体"/>
          <w:szCs w:val="18"/>
        </w:rPr>
      </w:pPr>
      <w:r>
        <w:rPr>
          <w:rFonts w:ascii="黑体" w:hAnsi="黑体"/>
          <w:szCs w:val="18"/>
        </w:rPr>
        <w:drawing>
          <wp:anchor distT="0" distB="0" distL="0" distR="0" simplePos="0" relativeHeight="251664384" behindDoc="0" locked="0" layoutInCell="1" allowOverlap="1">
            <wp:simplePos x="0" y="0"/>
            <wp:positionH relativeFrom="page">
              <wp:posOffset>1562100</wp:posOffset>
            </wp:positionH>
            <wp:positionV relativeFrom="paragraph">
              <wp:posOffset>532765</wp:posOffset>
            </wp:positionV>
            <wp:extent cx="3985260" cy="1188085"/>
            <wp:effectExtent l="0" t="0" r="0" b="0"/>
            <wp:wrapTopAndBottom/>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a:picLocks noChangeAspect="1"/>
                    </pic:cNvPicPr>
                  </pic:nvPicPr>
                  <pic:blipFill>
                    <a:blip r:embed="rId23" cstate="print"/>
                    <a:stretch>
                      <a:fillRect/>
                    </a:stretch>
                  </pic:blipFill>
                  <pic:spPr>
                    <a:xfrm>
                      <a:off x="0" y="0"/>
                      <a:ext cx="3985260" cy="1188085"/>
                    </a:xfrm>
                    <a:prstGeom prst="rect">
                      <a:avLst/>
                    </a:prstGeom>
                  </pic:spPr>
                </pic:pic>
              </a:graphicData>
            </a:graphic>
          </wp:anchor>
        </w:drawing>
      </w:r>
      <w:r>
        <w:rPr>
          <w:rFonts w:ascii="黑体" w:hAnsi="黑体"/>
          <w:spacing w:val="7"/>
          <w:szCs w:val="18"/>
        </w:rPr>
        <w:t xml:space="preserve">距板端 </w:t>
      </w:r>
      <w:r>
        <w:rPr>
          <w:rFonts w:ascii="黑体" w:hAnsi="黑体"/>
          <w:i/>
          <w:szCs w:val="18"/>
        </w:rPr>
        <w:t>1/5L</w:t>
      </w:r>
      <w:r>
        <w:rPr>
          <w:rFonts w:ascii="黑体" w:hAnsi="黑体"/>
          <w:i/>
          <w:spacing w:val="26"/>
          <w:szCs w:val="18"/>
        </w:rPr>
        <w:t xml:space="preserve"> </w:t>
      </w:r>
      <w:r>
        <w:rPr>
          <w:rFonts w:ascii="黑体" w:hAnsi="黑体"/>
          <w:spacing w:val="1"/>
          <w:szCs w:val="18"/>
        </w:rPr>
        <w:t xml:space="preserve">处分别设置垫木，垫木尺寸不小于 </w:t>
      </w:r>
      <w:r>
        <w:rPr>
          <w:rFonts w:ascii="黑体" w:hAnsi="黑体"/>
          <w:i/>
          <w:szCs w:val="18"/>
        </w:rPr>
        <w:t>900mm*150mm*150mm</w:t>
      </w:r>
      <w:r>
        <w:rPr>
          <w:rFonts w:ascii="黑体" w:hAnsi="黑体"/>
          <w:szCs w:val="18"/>
        </w:rPr>
        <w:t>；应分</w:t>
      </w:r>
      <w:r>
        <w:rPr>
          <w:rFonts w:hint="eastAsia" w:ascii="黑体" w:hAnsi="黑体"/>
          <w:szCs w:val="18"/>
        </w:rPr>
        <w:t xml:space="preserve"> </w:t>
      </w:r>
      <w:r>
        <w:rPr>
          <w:rFonts w:ascii="黑体" w:hAnsi="黑体"/>
          <w:szCs w:val="18"/>
        </w:rPr>
        <w:t>层设置</w:t>
      </w:r>
      <w:r>
        <w:rPr>
          <w:rFonts w:ascii="黑体" w:hAnsi="黑体"/>
          <w:w w:val="105"/>
          <w:szCs w:val="18"/>
        </w:rPr>
        <w:t>垫木，每层高度</w:t>
      </w:r>
      <w:r>
        <w:rPr>
          <w:rFonts w:ascii="黑体" w:hAnsi="黑体"/>
          <w:i/>
          <w:w w:val="105"/>
          <w:szCs w:val="18"/>
        </w:rPr>
        <w:t>≤1m</w:t>
      </w:r>
      <w:r>
        <w:rPr>
          <w:rFonts w:ascii="黑体" w:hAnsi="黑体"/>
          <w:w w:val="105"/>
          <w:szCs w:val="18"/>
        </w:rPr>
        <w:t>，每垛高</w:t>
      </w:r>
      <w:r>
        <w:rPr>
          <w:rFonts w:ascii="黑体" w:hAnsi="黑体"/>
          <w:i/>
          <w:w w:val="105"/>
          <w:szCs w:val="18"/>
        </w:rPr>
        <w:t>≤2m</w:t>
      </w:r>
      <w:r>
        <w:rPr>
          <w:rFonts w:ascii="黑体" w:hAnsi="黑体"/>
          <w:w w:val="105"/>
          <w:szCs w:val="18"/>
        </w:rPr>
        <w:t>（如下图所示）。</w:t>
      </w:r>
    </w:p>
    <w:p w14:paraId="5A797E37">
      <w:pPr>
        <w:spacing w:line="330" w:lineRule="exact"/>
        <w:ind w:right="258"/>
        <w:jc w:val="left"/>
        <w:rPr>
          <w:rFonts w:ascii="黑体" w:hAnsi="黑体"/>
          <w:w w:val="105"/>
          <w:szCs w:val="18"/>
        </w:rPr>
      </w:pPr>
      <w:r>
        <w:rPr>
          <w:rFonts w:hint="eastAsia" w:ascii="黑体" w:hAnsi="黑体"/>
          <w:w w:val="105"/>
          <w:szCs w:val="18"/>
        </w:rPr>
        <w:t xml:space="preserve"> </w:t>
      </w:r>
    </w:p>
    <w:p w14:paraId="01EF008A">
      <w:pPr>
        <w:spacing w:line="330" w:lineRule="exact"/>
        <w:ind w:right="258" w:firstLine="190" w:firstLineChars="100"/>
        <w:jc w:val="left"/>
        <w:rPr>
          <w:rFonts w:ascii="黑体" w:hAnsi="黑体"/>
          <w:b/>
          <w:szCs w:val="18"/>
        </w:rPr>
      </w:pPr>
      <w:r>
        <w:rPr>
          <w:rFonts w:ascii="黑体" w:hAnsi="黑体"/>
          <w:b/>
          <w:w w:val="105"/>
          <w:szCs w:val="18"/>
        </w:rPr>
        <w:t xml:space="preserve">2.3.3.10 </w:t>
      </w:r>
      <w:r>
        <w:rPr>
          <w:rFonts w:hint="eastAsia" w:ascii="黑体" w:hAnsi="黑体"/>
          <w:b/>
          <w:w w:val="105"/>
          <w:szCs w:val="18"/>
        </w:rPr>
        <w:t>、</w:t>
      </w:r>
      <w:r>
        <w:rPr>
          <w:rFonts w:ascii="黑体" w:hAnsi="黑体"/>
          <w:b/>
          <w:szCs w:val="18"/>
        </w:rPr>
        <w:t>抽样规则</w:t>
      </w:r>
    </w:p>
    <w:p w14:paraId="69F05CD6">
      <w:pPr>
        <w:spacing w:line="330" w:lineRule="exact"/>
        <w:ind w:right="258"/>
        <w:jc w:val="left"/>
        <w:rPr>
          <w:rFonts w:ascii="黑体" w:hAnsi="黑体"/>
          <w:szCs w:val="18"/>
        </w:rPr>
      </w:pPr>
      <w:r>
        <w:rPr>
          <w:rFonts w:hint="eastAsia" w:ascii="黑体" w:hAnsi="黑体"/>
          <w:szCs w:val="18"/>
        </w:rPr>
        <w:t xml:space="preserve"> </w:t>
      </w:r>
      <w:r>
        <w:rPr>
          <w:rFonts w:ascii="黑体" w:hAnsi="黑体"/>
          <w:szCs w:val="18"/>
        </w:rPr>
        <w:t xml:space="preserve">  同品种、同级别的板材，以 3000</w:t>
      </w:r>
      <w:r>
        <w:rPr>
          <w:rFonts w:ascii="黑体" w:hAnsi="黑体"/>
          <w:spacing w:val="2"/>
          <w:szCs w:val="18"/>
        </w:rPr>
        <w:t xml:space="preserve"> </w:t>
      </w:r>
      <w:r>
        <w:rPr>
          <w:rFonts w:ascii="黑体" w:hAnsi="黑体"/>
          <w:spacing w:val="1"/>
          <w:szCs w:val="18"/>
        </w:rPr>
        <w:t xml:space="preserve">块为一批，不足 </w:t>
      </w:r>
      <w:r>
        <w:rPr>
          <w:rFonts w:ascii="黑体" w:hAnsi="黑体"/>
          <w:szCs w:val="18"/>
        </w:rPr>
        <w:t>3000</w:t>
      </w:r>
      <w:r>
        <w:rPr>
          <w:rFonts w:ascii="黑体" w:hAnsi="黑体"/>
          <w:spacing w:val="3"/>
          <w:szCs w:val="18"/>
        </w:rPr>
        <w:t xml:space="preserve"> </w:t>
      </w:r>
      <w:r>
        <w:rPr>
          <w:rFonts w:ascii="黑体" w:hAnsi="黑体"/>
          <w:szCs w:val="18"/>
        </w:rPr>
        <w:t>块时亦作一批计；</w:t>
      </w:r>
    </w:p>
    <w:p w14:paraId="2FB5D351">
      <w:pPr>
        <w:widowControl/>
        <w:jc w:val="left"/>
        <w:rPr>
          <w:rFonts w:ascii="黑体" w:hAnsi="黑体"/>
          <w:szCs w:val="18"/>
        </w:rPr>
      </w:pPr>
    </w:p>
    <w:p w14:paraId="739FDF76">
      <w:pPr>
        <w:widowControl/>
        <w:autoSpaceDE w:val="0"/>
        <w:autoSpaceDN w:val="0"/>
        <w:adjustRightInd w:val="0"/>
        <w:spacing w:line="360" w:lineRule="auto"/>
        <w:jc w:val="left"/>
        <w:rPr>
          <w:rFonts w:ascii="黑体" w:hAnsi="黑体"/>
          <w:b/>
          <w:szCs w:val="18"/>
        </w:rPr>
      </w:pPr>
      <w:r>
        <w:rPr>
          <w:rFonts w:ascii="黑体" w:hAnsi="黑体"/>
          <w:b/>
          <w:szCs w:val="18"/>
        </w:rPr>
        <w:t>2.3.4</w:t>
      </w:r>
      <w:r>
        <w:rPr>
          <w:rFonts w:hint="eastAsia" w:ascii="黑体" w:hAnsi="黑体"/>
          <w:b/>
          <w:szCs w:val="18"/>
        </w:rPr>
        <w:t>、</w:t>
      </w:r>
      <w:r>
        <w:rPr>
          <w:rFonts w:ascii="黑体" w:hAnsi="黑体"/>
          <w:b/>
          <w:szCs w:val="18"/>
        </w:rPr>
        <w:t>ALC墙体</w:t>
      </w:r>
      <w:r>
        <w:rPr>
          <w:rFonts w:hint="eastAsia" w:ascii="黑体" w:hAnsi="黑体"/>
          <w:b/>
          <w:szCs w:val="18"/>
        </w:rPr>
        <w:t>应用场景及适用范围</w:t>
      </w:r>
    </w:p>
    <w:p w14:paraId="1190AC79">
      <w:pPr>
        <w:widowControl/>
        <w:autoSpaceDE w:val="0"/>
        <w:autoSpaceDN w:val="0"/>
        <w:adjustRightInd w:val="0"/>
        <w:spacing w:line="360" w:lineRule="auto"/>
        <w:jc w:val="left"/>
        <w:rPr>
          <w:rFonts w:ascii="黑体" w:hAnsi="黑体"/>
          <w:b/>
          <w:kern w:val="0"/>
          <w:szCs w:val="18"/>
        </w:rPr>
      </w:pPr>
      <w:r>
        <w:rPr>
          <w:rFonts w:ascii="黑体" w:hAnsi="黑体"/>
          <w:b/>
          <w:szCs w:val="18"/>
        </w:rPr>
        <w:t>2.3.4.1</w:t>
      </w:r>
      <w:r>
        <w:rPr>
          <w:rFonts w:hint="eastAsia" w:ascii="黑体" w:hAnsi="黑体"/>
          <w:b/>
          <w:szCs w:val="18"/>
        </w:rPr>
        <w:t>、A</w:t>
      </w:r>
      <w:r>
        <w:rPr>
          <w:rFonts w:ascii="黑体" w:hAnsi="黑体"/>
          <w:b/>
          <w:szCs w:val="18"/>
        </w:rPr>
        <w:t>LC</w:t>
      </w:r>
      <w:r>
        <w:rPr>
          <w:rFonts w:hint="eastAsia" w:ascii="黑体" w:hAnsi="黑体"/>
          <w:b/>
          <w:szCs w:val="18"/>
        </w:rPr>
        <w:t>板材应用场景：</w:t>
      </w:r>
      <w:r>
        <w:rPr>
          <w:rFonts w:ascii="黑体" w:hAnsi="黑体"/>
          <w:b/>
          <w:kern w:val="0"/>
          <w:szCs w:val="18"/>
        </w:rPr>
        <w:t xml:space="preserve"> </w:t>
      </w:r>
    </w:p>
    <w:tbl>
      <w:tblPr>
        <w:tblStyle w:val="36"/>
        <w:tblW w:w="9654" w:type="dxa"/>
        <w:tblInd w:w="0" w:type="dxa"/>
        <w:tblLayout w:type="autofit"/>
        <w:tblCellMar>
          <w:top w:w="0" w:type="dxa"/>
          <w:left w:w="0" w:type="dxa"/>
          <w:bottom w:w="0" w:type="dxa"/>
          <w:right w:w="0" w:type="dxa"/>
        </w:tblCellMar>
      </w:tblPr>
      <w:tblGrid>
        <w:gridCol w:w="1686"/>
        <w:gridCol w:w="1139"/>
        <w:gridCol w:w="1276"/>
        <w:gridCol w:w="1118"/>
        <w:gridCol w:w="1131"/>
        <w:gridCol w:w="1096"/>
        <w:gridCol w:w="1106"/>
        <w:gridCol w:w="1102"/>
      </w:tblGrid>
      <w:tr w14:paraId="2DA963E5">
        <w:tblPrEx>
          <w:tblCellMar>
            <w:top w:w="0" w:type="dxa"/>
            <w:left w:w="0" w:type="dxa"/>
            <w:bottom w:w="0" w:type="dxa"/>
            <w:right w:w="0" w:type="dxa"/>
          </w:tblCellMar>
        </w:tblPrEx>
        <w:trPr>
          <w:trHeight w:val="197" w:hRule="atLeast"/>
        </w:trPr>
        <w:tc>
          <w:tcPr>
            <w:tcW w:w="1686" w:type="dxa"/>
            <w:vMerge w:val="restart"/>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09F31B1">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分析维度</w:t>
            </w:r>
          </w:p>
        </w:tc>
        <w:tc>
          <w:tcPr>
            <w:tcW w:w="1139" w:type="dxa"/>
            <w:vMerge w:val="restart"/>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538A5730">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地下</w:t>
            </w:r>
          </w:p>
        </w:tc>
        <w:tc>
          <w:tcPr>
            <w:tcW w:w="5727" w:type="dxa"/>
            <w:gridSpan w:val="5"/>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EA6A688">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部位</w:t>
            </w:r>
          </w:p>
        </w:tc>
        <w:tc>
          <w:tcPr>
            <w:tcW w:w="1102"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163F4289">
            <w:pPr>
              <w:widowControl/>
              <w:autoSpaceDE w:val="0"/>
              <w:autoSpaceDN w:val="0"/>
              <w:adjustRightInd w:val="0"/>
              <w:spacing w:line="360" w:lineRule="auto"/>
              <w:jc w:val="left"/>
              <w:rPr>
                <w:rFonts w:ascii="黑体" w:hAnsi="黑体"/>
                <w:b/>
                <w:kern w:val="0"/>
                <w:szCs w:val="18"/>
              </w:rPr>
            </w:pPr>
          </w:p>
        </w:tc>
      </w:tr>
      <w:tr w14:paraId="1FEFBF56">
        <w:tblPrEx>
          <w:tblCellMar>
            <w:top w:w="0" w:type="dxa"/>
            <w:left w:w="0" w:type="dxa"/>
            <w:bottom w:w="0" w:type="dxa"/>
            <w:right w:w="0" w:type="dxa"/>
          </w:tblCellMar>
        </w:tblPrEx>
        <w:trPr>
          <w:trHeight w:val="313" w:hRule="atLeast"/>
        </w:trPr>
        <w:tc>
          <w:tcPr>
            <w:tcW w:w="1686" w:type="dxa"/>
            <w:vMerge w:val="continue"/>
            <w:tcBorders>
              <w:top w:val="single" w:color="1D1D1A" w:sz="8" w:space="0"/>
              <w:left w:val="single" w:color="1D1D1A" w:sz="8" w:space="0"/>
              <w:bottom w:val="single" w:color="1D1D1A" w:sz="8" w:space="0"/>
              <w:right w:val="single" w:color="1D1D1A" w:sz="8" w:space="0"/>
            </w:tcBorders>
            <w:vAlign w:val="center"/>
          </w:tcPr>
          <w:p w14:paraId="67A4A8E5">
            <w:pPr>
              <w:widowControl/>
              <w:autoSpaceDE w:val="0"/>
              <w:autoSpaceDN w:val="0"/>
              <w:adjustRightInd w:val="0"/>
              <w:spacing w:line="360" w:lineRule="auto"/>
              <w:jc w:val="left"/>
              <w:rPr>
                <w:rFonts w:ascii="黑体" w:hAnsi="黑体"/>
                <w:b/>
                <w:kern w:val="0"/>
                <w:szCs w:val="18"/>
              </w:rPr>
            </w:pPr>
          </w:p>
        </w:tc>
        <w:tc>
          <w:tcPr>
            <w:tcW w:w="1139" w:type="dxa"/>
            <w:vMerge w:val="continue"/>
            <w:tcBorders>
              <w:top w:val="single" w:color="1D1D1A" w:sz="8" w:space="0"/>
              <w:left w:val="single" w:color="1D1D1A" w:sz="8" w:space="0"/>
              <w:bottom w:val="single" w:color="1D1D1A" w:sz="8" w:space="0"/>
              <w:right w:val="single" w:color="1D1D1A" w:sz="8" w:space="0"/>
            </w:tcBorders>
            <w:vAlign w:val="center"/>
          </w:tcPr>
          <w:p w14:paraId="6ECF95A4">
            <w:pPr>
              <w:widowControl/>
              <w:autoSpaceDE w:val="0"/>
              <w:autoSpaceDN w:val="0"/>
              <w:adjustRightInd w:val="0"/>
              <w:spacing w:line="360" w:lineRule="auto"/>
              <w:jc w:val="left"/>
              <w:rPr>
                <w:rFonts w:ascii="黑体" w:hAnsi="黑体"/>
                <w:b/>
                <w:kern w:val="0"/>
                <w:szCs w:val="18"/>
              </w:rPr>
            </w:pPr>
          </w:p>
        </w:tc>
        <w:tc>
          <w:tcPr>
            <w:tcW w:w="127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7068A902">
            <w:pPr>
              <w:widowControl/>
              <w:autoSpaceDE w:val="0"/>
              <w:autoSpaceDN w:val="0"/>
              <w:adjustRightInd w:val="0"/>
              <w:jc w:val="left"/>
              <w:rPr>
                <w:rFonts w:ascii="黑体" w:hAnsi="黑体"/>
                <w:b/>
                <w:bCs/>
                <w:kern w:val="0"/>
                <w:szCs w:val="18"/>
              </w:rPr>
            </w:pPr>
            <w:r>
              <w:rPr>
                <w:rFonts w:hint="eastAsia" w:ascii="黑体" w:hAnsi="黑体"/>
                <w:b/>
                <w:bCs/>
                <w:kern w:val="0"/>
                <w:szCs w:val="18"/>
              </w:rPr>
              <w:t>外墙</w:t>
            </w:r>
          </w:p>
          <w:p w14:paraId="04FB03AC">
            <w:pPr>
              <w:widowControl/>
              <w:autoSpaceDE w:val="0"/>
              <w:autoSpaceDN w:val="0"/>
              <w:adjustRightInd w:val="0"/>
              <w:jc w:val="left"/>
              <w:rPr>
                <w:rFonts w:ascii="黑体" w:hAnsi="黑体"/>
                <w:b/>
                <w:kern w:val="0"/>
                <w:szCs w:val="18"/>
              </w:rPr>
            </w:pPr>
            <w:r>
              <w:rPr>
                <w:rFonts w:hint="eastAsia" w:ascii="黑体" w:hAnsi="黑体"/>
                <w:b/>
                <w:kern w:val="0"/>
                <w:szCs w:val="18"/>
              </w:rPr>
              <w:t>（幕墙）</w:t>
            </w:r>
          </w:p>
        </w:tc>
        <w:tc>
          <w:tcPr>
            <w:tcW w:w="1118"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7BF5011B">
            <w:pPr>
              <w:widowControl/>
              <w:autoSpaceDE w:val="0"/>
              <w:autoSpaceDN w:val="0"/>
              <w:adjustRightInd w:val="0"/>
              <w:jc w:val="left"/>
              <w:rPr>
                <w:rFonts w:ascii="黑体" w:hAnsi="黑体"/>
                <w:b/>
                <w:bCs/>
                <w:kern w:val="0"/>
                <w:szCs w:val="18"/>
              </w:rPr>
            </w:pPr>
            <w:r>
              <w:rPr>
                <w:rFonts w:hint="eastAsia" w:ascii="黑体" w:hAnsi="黑体"/>
                <w:b/>
                <w:bCs/>
                <w:kern w:val="0"/>
                <w:szCs w:val="18"/>
              </w:rPr>
              <w:t>外墙</w:t>
            </w:r>
          </w:p>
          <w:p w14:paraId="35F69AF5">
            <w:pPr>
              <w:widowControl/>
              <w:autoSpaceDE w:val="0"/>
              <w:autoSpaceDN w:val="0"/>
              <w:adjustRightInd w:val="0"/>
              <w:jc w:val="left"/>
              <w:rPr>
                <w:rFonts w:ascii="黑体" w:hAnsi="黑体"/>
                <w:b/>
                <w:kern w:val="0"/>
                <w:szCs w:val="18"/>
              </w:rPr>
            </w:pPr>
            <w:r>
              <w:rPr>
                <w:rFonts w:hint="eastAsia" w:ascii="黑体" w:hAnsi="黑体"/>
                <w:b/>
                <w:kern w:val="0"/>
                <w:szCs w:val="18"/>
              </w:rPr>
              <w:t>（涂料）</w:t>
            </w:r>
          </w:p>
        </w:tc>
        <w:tc>
          <w:tcPr>
            <w:tcW w:w="113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BAA25B1">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女儿墙衬墙</w:t>
            </w:r>
          </w:p>
        </w:tc>
        <w:tc>
          <w:tcPr>
            <w:tcW w:w="109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43BC580C">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核心筒</w:t>
            </w:r>
          </w:p>
        </w:tc>
        <w:tc>
          <w:tcPr>
            <w:tcW w:w="110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884492E">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屋顶机房</w:t>
            </w:r>
          </w:p>
        </w:tc>
        <w:tc>
          <w:tcPr>
            <w:tcW w:w="1102"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E2D64D1">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内隔墙</w:t>
            </w:r>
          </w:p>
        </w:tc>
      </w:tr>
      <w:tr w14:paraId="2BB174FB">
        <w:tblPrEx>
          <w:tblCellMar>
            <w:top w:w="0" w:type="dxa"/>
            <w:left w:w="0" w:type="dxa"/>
            <w:bottom w:w="0" w:type="dxa"/>
            <w:right w:w="0" w:type="dxa"/>
          </w:tblCellMar>
        </w:tblPrEx>
        <w:trPr>
          <w:trHeight w:val="313" w:hRule="atLeast"/>
        </w:trPr>
        <w:tc>
          <w:tcPr>
            <w:tcW w:w="168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7873A13">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厂房</w:t>
            </w:r>
          </w:p>
        </w:tc>
        <w:tc>
          <w:tcPr>
            <w:tcW w:w="1139"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268B0859">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27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2CE479B2">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18"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3F548E4">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3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2793F94B">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09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6E21774">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2ECA27EA">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2"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72969650">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r>
      <w:tr w14:paraId="71F2BBC2">
        <w:tblPrEx>
          <w:tblCellMar>
            <w:top w:w="0" w:type="dxa"/>
            <w:left w:w="0" w:type="dxa"/>
            <w:bottom w:w="0" w:type="dxa"/>
            <w:right w:w="0" w:type="dxa"/>
          </w:tblCellMar>
        </w:tblPrEx>
        <w:trPr>
          <w:trHeight w:val="313" w:hRule="atLeast"/>
        </w:trPr>
        <w:tc>
          <w:tcPr>
            <w:tcW w:w="168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531E7D4F">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研发办公</w:t>
            </w:r>
          </w:p>
        </w:tc>
        <w:tc>
          <w:tcPr>
            <w:tcW w:w="1139"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709D5CB">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27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518C5490">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w:t>
            </w:r>
          </w:p>
        </w:tc>
        <w:tc>
          <w:tcPr>
            <w:tcW w:w="1118"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8AA71E9">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3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798CF543">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09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DC2ABE4">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A220126">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2"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CE644A9">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r>
      <w:tr w14:paraId="6EF60A1D">
        <w:tblPrEx>
          <w:tblCellMar>
            <w:top w:w="0" w:type="dxa"/>
            <w:left w:w="0" w:type="dxa"/>
            <w:bottom w:w="0" w:type="dxa"/>
            <w:right w:w="0" w:type="dxa"/>
          </w:tblCellMar>
        </w:tblPrEx>
        <w:trPr>
          <w:trHeight w:val="313" w:hRule="atLeast"/>
        </w:trPr>
        <w:tc>
          <w:tcPr>
            <w:tcW w:w="168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7BCAF99">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住宅公寓</w:t>
            </w:r>
          </w:p>
        </w:tc>
        <w:tc>
          <w:tcPr>
            <w:tcW w:w="1139"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B6D0207">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27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04FF85A">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18"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4D3FA978">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3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16DDB460">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09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70B6AD82">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55DCB8CB">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2"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11533B83">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r>
      <w:tr w14:paraId="59AE846E">
        <w:tblPrEx>
          <w:tblCellMar>
            <w:top w:w="0" w:type="dxa"/>
            <w:left w:w="0" w:type="dxa"/>
            <w:bottom w:w="0" w:type="dxa"/>
            <w:right w:w="0" w:type="dxa"/>
          </w:tblCellMar>
        </w:tblPrEx>
        <w:trPr>
          <w:trHeight w:val="322" w:hRule="atLeast"/>
        </w:trPr>
        <w:tc>
          <w:tcPr>
            <w:tcW w:w="168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7D16A89">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厨房、独栋餐厅</w:t>
            </w:r>
          </w:p>
        </w:tc>
        <w:tc>
          <w:tcPr>
            <w:tcW w:w="1139"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165C0E72">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27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660B270">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18"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23AAAA51">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3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5C743AFF">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09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C27D19E">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594A1ED">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2"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11BB82E">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r>
      <w:tr w14:paraId="488E108F">
        <w:tblPrEx>
          <w:tblCellMar>
            <w:top w:w="0" w:type="dxa"/>
            <w:left w:w="0" w:type="dxa"/>
            <w:bottom w:w="0" w:type="dxa"/>
            <w:right w:w="0" w:type="dxa"/>
          </w:tblCellMar>
        </w:tblPrEx>
        <w:trPr>
          <w:trHeight w:val="322" w:hRule="atLeast"/>
        </w:trPr>
        <w:tc>
          <w:tcPr>
            <w:tcW w:w="168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BCC6649">
            <w:pPr>
              <w:widowControl/>
              <w:autoSpaceDE w:val="0"/>
              <w:autoSpaceDN w:val="0"/>
              <w:adjustRightInd w:val="0"/>
              <w:spacing w:line="360" w:lineRule="auto"/>
              <w:jc w:val="left"/>
              <w:rPr>
                <w:rFonts w:ascii="黑体" w:hAnsi="黑体"/>
                <w:b/>
                <w:kern w:val="0"/>
                <w:szCs w:val="18"/>
              </w:rPr>
            </w:pPr>
            <w:r>
              <w:rPr>
                <w:rFonts w:hint="eastAsia" w:ascii="黑体" w:hAnsi="黑体"/>
                <w:b/>
                <w:bCs/>
                <w:kern w:val="0"/>
                <w:szCs w:val="18"/>
              </w:rPr>
              <w:t>数据中心</w:t>
            </w:r>
          </w:p>
        </w:tc>
        <w:tc>
          <w:tcPr>
            <w:tcW w:w="1139"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7C3B9FA4">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27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3A548490">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18"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9904F02">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3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1BBBAAD9">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09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5E7B0A5">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6"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F651F25">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c>
          <w:tcPr>
            <w:tcW w:w="1102"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AEF460F">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w:t>
            </w:r>
          </w:p>
        </w:tc>
      </w:tr>
      <w:tr w14:paraId="0817C2AB">
        <w:tblPrEx>
          <w:tblCellMar>
            <w:top w:w="0" w:type="dxa"/>
            <w:left w:w="0" w:type="dxa"/>
            <w:bottom w:w="0" w:type="dxa"/>
            <w:right w:w="0" w:type="dxa"/>
          </w:tblCellMar>
        </w:tblPrEx>
        <w:trPr>
          <w:trHeight w:val="322" w:hRule="atLeast"/>
        </w:trPr>
        <w:tc>
          <w:tcPr>
            <w:tcW w:w="9654" w:type="dxa"/>
            <w:gridSpan w:val="8"/>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12E3D80">
            <w:pPr>
              <w:widowControl/>
              <w:autoSpaceDE w:val="0"/>
              <w:autoSpaceDN w:val="0"/>
              <w:adjustRightInd w:val="0"/>
              <w:jc w:val="left"/>
              <w:rPr>
                <w:rFonts w:ascii="黑体" w:hAnsi="黑体"/>
                <w:b/>
                <w:kern w:val="0"/>
                <w:szCs w:val="18"/>
              </w:rPr>
            </w:pPr>
            <w:r>
              <w:rPr>
                <w:rFonts w:hint="eastAsia" w:ascii="黑体" w:hAnsi="黑体"/>
                <w:b/>
                <w:kern w:val="0"/>
                <w:szCs w:val="18"/>
              </w:rPr>
              <w:t>图示： ● ：适用</w:t>
            </w:r>
          </w:p>
          <w:p w14:paraId="17AE08AA">
            <w:pPr>
              <w:widowControl/>
              <w:autoSpaceDE w:val="0"/>
              <w:autoSpaceDN w:val="0"/>
              <w:adjustRightInd w:val="0"/>
              <w:jc w:val="left"/>
              <w:rPr>
                <w:rFonts w:ascii="黑体" w:hAnsi="黑体"/>
                <w:b/>
                <w:kern w:val="0"/>
                <w:szCs w:val="18"/>
              </w:rPr>
            </w:pPr>
            <w:r>
              <w:rPr>
                <w:rFonts w:hint="eastAsia" w:ascii="黑体" w:hAnsi="黑体"/>
                <w:b/>
                <w:kern w:val="0"/>
                <w:szCs w:val="18"/>
              </w:rPr>
              <w:t xml:space="preserve">      </w:t>
            </w:r>
            <w:r>
              <w:rPr>
                <w:rFonts w:ascii="黑体" w:hAnsi="黑体"/>
                <w:b/>
                <w:kern w:val="0"/>
                <w:szCs w:val="18"/>
              </w:rPr>
              <w:t xml:space="preserve"> </w:t>
            </w:r>
            <w:r>
              <w:rPr>
                <w:rFonts w:hint="eastAsia" w:ascii="黑体" w:hAnsi="黑体"/>
                <w:b/>
                <w:kern w:val="0"/>
                <w:szCs w:val="18"/>
              </w:rPr>
              <w:t>× ：不适用</w:t>
            </w:r>
          </w:p>
          <w:p w14:paraId="34AF7FFE">
            <w:pPr>
              <w:widowControl/>
              <w:autoSpaceDE w:val="0"/>
              <w:autoSpaceDN w:val="0"/>
              <w:adjustRightInd w:val="0"/>
              <w:jc w:val="left"/>
              <w:rPr>
                <w:rFonts w:ascii="黑体" w:hAnsi="黑体"/>
                <w:b/>
                <w:kern w:val="0"/>
                <w:szCs w:val="18"/>
              </w:rPr>
            </w:pPr>
            <w:r>
              <w:rPr>
                <w:rFonts w:hint="eastAsia" w:ascii="黑体" w:hAnsi="黑体"/>
                <w:b/>
                <w:bCs/>
                <w:kern w:val="0"/>
                <w:szCs w:val="18"/>
              </w:rPr>
              <w:t xml:space="preserve">      </w:t>
            </w:r>
            <w:r>
              <w:rPr>
                <w:rFonts w:ascii="黑体" w:hAnsi="黑体"/>
                <w:b/>
                <w:bCs/>
                <w:kern w:val="0"/>
                <w:szCs w:val="18"/>
              </w:rPr>
              <w:t xml:space="preserve"> </w:t>
            </w:r>
            <w:r>
              <w:rPr>
                <w:rFonts w:hint="eastAsia" w:ascii="黑体" w:hAnsi="黑体"/>
                <w:b/>
                <w:bCs/>
                <w:kern w:val="0"/>
                <w:szCs w:val="18"/>
              </w:rPr>
              <w:t>○ ：</w:t>
            </w:r>
            <w:r>
              <w:rPr>
                <w:rFonts w:hint="eastAsia" w:ascii="黑体" w:hAnsi="黑体"/>
                <w:b/>
                <w:kern w:val="0"/>
                <w:szCs w:val="18"/>
              </w:rPr>
              <w:t>根据项目情况选用</w:t>
            </w:r>
          </w:p>
        </w:tc>
      </w:tr>
    </w:tbl>
    <w:p w14:paraId="28F65788">
      <w:pPr>
        <w:autoSpaceDE w:val="0"/>
        <w:autoSpaceDN w:val="0"/>
        <w:adjustRightInd w:val="0"/>
        <w:jc w:val="left"/>
        <w:rPr>
          <w:rFonts w:ascii="黑体" w:hAnsi="黑体"/>
          <w:szCs w:val="18"/>
        </w:rPr>
      </w:pPr>
      <w:r>
        <w:rPr>
          <w:rFonts w:hint="eastAsia" w:ascii="黑体" w:hAnsi="黑体"/>
          <w:szCs w:val="18"/>
        </w:rPr>
        <w:t>如因现场材料运输困难、空间狭小、安装困难等原因，可考虑材质替换；</w:t>
      </w:r>
    </w:p>
    <w:p w14:paraId="7E2274FB">
      <w:pPr>
        <w:autoSpaceDE w:val="0"/>
        <w:autoSpaceDN w:val="0"/>
        <w:adjustRightInd w:val="0"/>
        <w:jc w:val="left"/>
        <w:rPr>
          <w:rFonts w:ascii="黑体" w:hAnsi="黑体"/>
          <w:b/>
          <w:szCs w:val="18"/>
        </w:rPr>
      </w:pPr>
    </w:p>
    <w:p w14:paraId="72B39244">
      <w:pPr>
        <w:autoSpaceDE w:val="0"/>
        <w:autoSpaceDN w:val="0"/>
        <w:adjustRightInd w:val="0"/>
        <w:spacing w:line="360" w:lineRule="auto"/>
        <w:jc w:val="left"/>
        <w:rPr>
          <w:rFonts w:ascii="黑体" w:hAnsi="黑体"/>
          <w:b/>
          <w:bCs/>
          <w:szCs w:val="18"/>
        </w:rPr>
      </w:pPr>
      <w:r>
        <w:rPr>
          <w:rFonts w:ascii="黑体" w:hAnsi="黑体"/>
          <w:b/>
          <w:szCs w:val="18"/>
        </w:rPr>
        <w:t>2.3.4</w:t>
      </w:r>
      <w:r>
        <w:rPr>
          <w:rFonts w:hint="eastAsia" w:ascii="黑体" w:hAnsi="黑体"/>
          <w:b/>
          <w:szCs w:val="18"/>
        </w:rPr>
        <w:t>.</w:t>
      </w:r>
      <w:r>
        <w:rPr>
          <w:rFonts w:ascii="黑体" w:hAnsi="黑体"/>
          <w:b/>
          <w:szCs w:val="18"/>
        </w:rPr>
        <w:t>2</w:t>
      </w:r>
      <w:r>
        <w:rPr>
          <w:rFonts w:hint="eastAsia" w:ascii="黑体" w:hAnsi="黑体"/>
          <w:b/>
          <w:szCs w:val="18"/>
        </w:rPr>
        <w:t>、A</w:t>
      </w:r>
      <w:r>
        <w:rPr>
          <w:rFonts w:ascii="黑体" w:hAnsi="黑体"/>
          <w:b/>
          <w:szCs w:val="18"/>
        </w:rPr>
        <w:t>LC墙板</w:t>
      </w:r>
      <w:r>
        <w:rPr>
          <w:rFonts w:hint="eastAsia" w:ascii="黑体" w:hAnsi="黑体"/>
          <w:b/>
          <w:szCs w:val="18"/>
        </w:rPr>
        <w:t>具体适用范围如下：</w:t>
      </w:r>
    </w:p>
    <w:tbl>
      <w:tblPr>
        <w:tblStyle w:val="36"/>
        <w:tblW w:w="8647" w:type="dxa"/>
        <w:tblInd w:w="-10" w:type="dxa"/>
        <w:tblLayout w:type="autofit"/>
        <w:tblCellMar>
          <w:top w:w="0" w:type="dxa"/>
          <w:left w:w="0" w:type="dxa"/>
          <w:bottom w:w="0" w:type="dxa"/>
          <w:right w:w="0" w:type="dxa"/>
        </w:tblCellMar>
      </w:tblPr>
      <w:tblGrid>
        <w:gridCol w:w="709"/>
        <w:gridCol w:w="992"/>
        <w:gridCol w:w="851"/>
        <w:gridCol w:w="1701"/>
        <w:gridCol w:w="992"/>
        <w:gridCol w:w="3402"/>
      </w:tblGrid>
      <w:tr w14:paraId="2FEBDFCB">
        <w:tblPrEx>
          <w:tblCellMar>
            <w:top w:w="0" w:type="dxa"/>
            <w:left w:w="0" w:type="dxa"/>
            <w:bottom w:w="0" w:type="dxa"/>
            <w:right w:w="0" w:type="dxa"/>
          </w:tblCellMar>
        </w:tblPrEx>
        <w:trPr>
          <w:trHeight w:val="219" w:hRule="atLeast"/>
        </w:trPr>
        <w:tc>
          <w:tcPr>
            <w:tcW w:w="8647" w:type="dxa"/>
            <w:gridSpan w:val="6"/>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598C64D">
            <w:pPr>
              <w:jc w:val="left"/>
              <w:rPr>
                <w:rFonts w:ascii="黑体" w:hAnsi="黑体" w:cs="宋体"/>
                <w:szCs w:val="18"/>
              </w:rPr>
            </w:pPr>
            <w:r>
              <w:rPr>
                <w:rFonts w:ascii="黑体" w:hAnsi="黑体" w:cs="宋体"/>
                <w:b/>
                <w:bCs/>
                <w:szCs w:val="18"/>
              </w:rPr>
              <w:t>ALC板材适用范围</w:t>
            </w:r>
          </w:p>
        </w:tc>
      </w:tr>
      <w:tr w14:paraId="584418FD">
        <w:tblPrEx>
          <w:tblCellMar>
            <w:top w:w="0" w:type="dxa"/>
            <w:left w:w="0" w:type="dxa"/>
            <w:bottom w:w="0" w:type="dxa"/>
            <w:right w:w="0" w:type="dxa"/>
          </w:tblCellMar>
        </w:tblPrEx>
        <w:trPr>
          <w:trHeight w:val="212" w:hRule="atLeast"/>
        </w:trPr>
        <w:tc>
          <w:tcPr>
            <w:tcW w:w="4253" w:type="dxa"/>
            <w:gridSpan w:val="4"/>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56163469">
            <w:pPr>
              <w:jc w:val="left"/>
              <w:rPr>
                <w:rFonts w:ascii="黑体" w:hAnsi="黑体" w:cs="宋体"/>
                <w:szCs w:val="18"/>
              </w:rPr>
            </w:pPr>
            <w:r>
              <w:rPr>
                <w:rFonts w:hint="eastAsia" w:ascii="黑体" w:hAnsi="黑体" w:cs="宋体"/>
                <w:b/>
                <w:bCs/>
                <w:szCs w:val="18"/>
              </w:rPr>
              <w:t>使用位置</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7DBDED4">
            <w:pPr>
              <w:jc w:val="left"/>
              <w:rPr>
                <w:rFonts w:ascii="黑体" w:hAnsi="黑体" w:cs="宋体"/>
                <w:szCs w:val="18"/>
              </w:rPr>
            </w:pPr>
            <w:r>
              <w:rPr>
                <w:rFonts w:hint="eastAsia" w:ascii="黑体" w:hAnsi="黑体" w:cs="宋体"/>
                <w:b/>
                <w:bCs/>
                <w:szCs w:val="18"/>
              </w:rPr>
              <w:t>适用范围</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86A9D15">
            <w:pPr>
              <w:jc w:val="left"/>
              <w:rPr>
                <w:rFonts w:ascii="黑体" w:hAnsi="黑体" w:cs="宋体"/>
                <w:szCs w:val="18"/>
              </w:rPr>
            </w:pPr>
            <w:r>
              <w:rPr>
                <w:rFonts w:hint="eastAsia" w:ascii="黑体" w:hAnsi="黑体" w:cs="宋体"/>
                <w:b/>
                <w:bCs/>
                <w:szCs w:val="18"/>
              </w:rPr>
              <w:t>备注</w:t>
            </w:r>
          </w:p>
        </w:tc>
      </w:tr>
      <w:tr w14:paraId="64AE9718">
        <w:tblPrEx>
          <w:tblCellMar>
            <w:top w:w="0" w:type="dxa"/>
            <w:left w:w="0" w:type="dxa"/>
            <w:bottom w:w="0" w:type="dxa"/>
            <w:right w:w="0" w:type="dxa"/>
          </w:tblCellMar>
        </w:tblPrEx>
        <w:trPr>
          <w:trHeight w:val="291" w:hRule="atLeast"/>
        </w:trPr>
        <w:tc>
          <w:tcPr>
            <w:tcW w:w="709" w:type="dxa"/>
            <w:vMerge w:val="restart"/>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329DCB23">
            <w:pPr>
              <w:jc w:val="left"/>
              <w:rPr>
                <w:rFonts w:ascii="黑体" w:hAnsi="黑体" w:cs="宋体"/>
                <w:szCs w:val="18"/>
              </w:rPr>
            </w:pPr>
            <w:r>
              <w:rPr>
                <w:rFonts w:hint="eastAsia" w:ascii="黑体" w:hAnsi="黑体" w:cs="宋体"/>
                <w:szCs w:val="18"/>
              </w:rPr>
              <w:t>外墙</w:t>
            </w:r>
          </w:p>
        </w:tc>
        <w:tc>
          <w:tcPr>
            <w:tcW w:w="3544" w:type="dxa"/>
            <w:gridSpan w:val="3"/>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BA3B5E5">
            <w:pPr>
              <w:jc w:val="left"/>
              <w:rPr>
                <w:rFonts w:ascii="黑体" w:hAnsi="黑体" w:cs="宋体"/>
                <w:szCs w:val="18"/>
              </w:rPr>
            </w:pPr>
            <w:r>
              <w:rPr>
                <w:rFonts w:hint="eastAsia" w:ascii="黑体" w:hAnsi="黑体" w:cs="宋体"/>
                <w:szCs w:val="18"/>
              </w:rPr>
              <w:t>涂料</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4956A437">
            <w:pPr>
              <w:jc w:val="left"/>
              <w:rPr>
                <w:rFonts w:ascii="黑体" w:hAnsi="黑体" w:cs="宋体"/>
                <w:b/>
                <w:szCs w:val="18"/>
              </w:rPr>
            </w:pPr>
            <w:r>
              <w:rPr>
                <w:rFonts w:hint="eastAsia" w:ascii="黑体" w:hAnsi="黑体" w:cs="宋体"/>
                <w:b/>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BE45075">
            <w:pPr>
              <w:jc w:val="left"/>
              <w:rPr>
                <w:rFonts w:ascii="黑体" w:hAnsi="黑体" w:cs="宋体"/>
                <w:szCs w:val="18"/>
              </w:rPr>
            </w:pPr>
            <w:r>
              <w:rPr>
                <w:rFonts w:hint="eastAsia" w:ascii="黑体" w:hAnsi="黑体" w:cs="宋体"/>
                <w:szCs w:val="18"/>
              </w:rPr>
              <w:t>　</w:t>
            </w:r>
          </w:p>
        </w:tc>
      </w:tr>
      <w:tr w14:paraId="70614EDE">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37A9C853">
            <w:pPr>
              <w:jc w:val="left"/>
              <w:rPr>
                <w:rFonts w:ascii="黑体" w:hAnsi="黑体" w:cs="宋体"/>
                <w:szCs w:val="18"/>
              </w:rPr>
            </w:pPr>
          </w:p>
        </w:tc>
        <w:tc>
          <w:tcPr>
            <w:tcW w:w="992" w:type="dxa"/>
            <w:vMerge w:val="restart"/>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1E24115">
            <w:pPr>
              <w:jc w:val="left"/>
              <w:rPr>
                <w:rFonts w:ascii="黑体" w:hAnsi="黑体" w:cs="宋体"/>
                <w:szCs w:val="18"/>
              </w:rPr>
            </w:pPr>
            <w:r>
              <w:rPr>
                <w:rFonts w:hint="eastAsia" w:ascii="黑体" w:hAnsi="黑体" w:cs="宋体"/>
                <w:szCs w:val="18"/>
              </w:rPr>
              <w:t>幕墙</w:t>
            </w: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D1F78BD">
            <w:pPr>
              <w:jc w:val="left"/>
              <w:rPr>
                <w:rFonts w:ascii="黑体" w:hAnsi="黑体" w:cs="宋体"/>
                <w:szCs w:val="18"/>
              </w:rPr>
            </w:pPr>
            <w:r>
              <w:rPr>
                <w:rFonts w:hint="eastAsia" w:ascii="黑体" w:hAnsi="黑体" w:cs="宋体"/>
                <w:szCs w:val="18"/>
              </w:rPr>
              <w:t>墙体长度＜</w:t>
            </w:r>
            <w:r>
              <w:rPr>
                <w:rFonts w:ascii="黑体" w:hAnsi="黑体" w:cs="宋体"/>
                <w:szCs w:val="18"/>
              </w:rPr>
              <w:t>400mm</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A4842C5">
            <w:pPr>
              <w:jc w:val="left"/>
              <w:rPr>
                <w:rFonts w:ascii="黑体" w:hAnsi="黑体" w:cs="宋体"/>
                <w:b/>
                <w:szCs w:val="18"/>
              </w:rPr>
            </w:pPr>
            <w:r>
              <w:rPr>
                <w:rFonts w:hint="eastAsia" w:ascii="黑体" w:hAnsi="黑体" w:cs="宋体"/>
                <w:b/>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50F1BAB">
            <w:pPr>
              <w:jc w:val="left"/>
              <w:rPr>
                <w:rFonts w:ascii="黑体" w:hAnsi="黑体" w:cs="宋体"/>
                <w:szCs w:val="18"/>
              </w:rPr>
            </w:pPr>
            <w:r>
              <w:rPr>
                <w:rFonts w:hint="eastAsia" w:ascii="黑体" w:hAnsi="黑体" w:cs="宋体"/>
                <w:szCs w:val="18"/>
              </w:rPr>
              <w:t>　</w:t>
            </w:r>
          </w:p>
        </w:tc>
      </w:tr>
      <w:tr w14:paraId="7F546428">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47120FB2">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7E4745B7">
            <w:pPr>
              <w:jc w:val="left"/>
              <w:rPr>
                <w:rFonts w:ascii="黑体" w:hAnsi="黑体" w:cs="宋体"/>
                <w:szCs w:val="18"/>
              </w:rPr>
            </w:pP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4673A5A">
            <w:pPr>
              <w:jc w:val="left"/>
              <w:rPr>
                <w:rFonts w:ascii="黑体" w:hAnsi="黑体" w:cs="宋体"/>
                <w:szCs w:val="18"/>
              </w:rPr>
            </w:pPr>
            <w:r>
              <w:rPr>
                <w:rFonts w:hint="eastAsia" w:ascii="黑体" w:hAnsi="黑体" w:cs="宋体"/>
                <w:szCs w:val="18"/>
              </w:rPr>
              <w:t>墙体长度≥</w:t>
            </w:r>
            <w:r>
              <w:rPr>
                <w:rFonts w:ascii="黑体" w:hAnsi="黑体" w:cs="宋体"/>
                <w:szCs w:val="18"/>
              </w:rPr>
              <w:t>400mm</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CE6A727">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FCD4858">
            <w:pPr>
              <w:jc w:val="left"/>
              <w:rPr>
                <w:rFonts w:ascii="黑体" w:hAnsi="黑体" w:cs="宋体"/>
                <w:szCs w:val="18"/>
              </w:rPr>
            </w:pPr>
            <w:r>
              <w:rPr>
                <w:rFonts w:hint="eastAsia" w:ascii="黑体" w:hAnsi="黑体" w:cs="宋体"/>
                <w:szCs w:val="18"/>
              </w:rPr>
              <w:t>结合外立面分隔确定</w:t>
            </w:r>
          </w:p>
        </w:tc>
      </w:tr>
      <w:tr w14:paraId="52839F9B">
        <w:tblPrEx>
          <w:tblCellMar>
            <w:top w:w="0" w:type="dxa"/>
            <w:left w:w="0" w:type="dxa"/>
            <w:bottom w:w="0" w:type="dxa"/>
            <w:right w:w="0" w:type="dxa"/>
          </w:tblCellMar>
        </w:tblPrEx>
        <w:trPr>
          <w:trHeight w:val="291" w:hRule="atLeast"/>
        </w:trPr>
        <w:tc>
          <w:tcPr>
            <w:tcW w:w="709" w:type="dxa"/>
            <w:vMerge w:val="restart"/>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2270C7E">
            <w:pPr>
              <w:jc w:val="left"/>
              <w:rPr>
                <w:rFonts w:ascii="黑体" w:hAnsi="黑体" w:cs="宋体"/>
                <w:szCs w:val="18"/>
              </w:rPr>
            </w:pPr>
            <w:r>
              <w:rPr>
                <w:rFonts w:hint="eastAsia" w:ascii="黑体" w:hAnsi="黑体" w:cs="宋体"/>
                <w:szCs w:val="18"/>
              </w:rPr>
              <w:t>内墙</w:t>
            </w:r>
          </w:p>
        </w:tc>
        <w:tc>
          <w:tcPr>
            <w:tcW w:w="992" w:type="dxa"/>
            <w:vMerge w:val="restart"/>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4DC539BF">
            <w:pPr>
              <w:jc w:val="left"/>
              <w:rPr>
                <w:rFonts w:ascii="黑体" w:hAnsi="黑体" w:cs="宋体"/>
                <w:szCs w:val="18"/>
              </w:rPr>
            </w:pPr>
            <w:r>
              <w:rPr>
                <w:rFonts w:hint="eastAsia" w:ascii="黑体" w:hAnsi="黑体" w:cs="宋体"/>
                <w:szCs w:val="18"/>
              </w:rPr>
              <w:t>非精装区</w:t>
            </w:r>
          </w:p>
          <w:p w14:paraId="44E5AEFC">
            <w:pPr>
              <w:jc w:val="left"/>
              <w:rPr>
                <w:rFonts w:ascii="黑体" w:hAnsi="黑体" w:cs="宋体"/>
                <w:szCs w:val="18"/>
              </w:rPr>
            </w:pPr>
            <w:r>
              <w:rPr>
                <w:rFonts w:hint="eastAsia" w:ascii="黑体" w:hAnsi="黑体" w:cs="宋体"/>
                <w:szCs w:val="18"/>
              </w:rPr>
              <w:t>通用部位</w:t>
            </w: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DE75DD3">
            <w:pPr>
              <w:jc w:val="left"/>
              <w:rPr>
                <w:rFonts w:ascii="黑体" w:hAnsi="黑体" w:cs="宋体"/>
                <w:szCs w:val="18"/>
              </w:rPr>
            </w:pPr>
            <w:r>
              <w:rPr>
                <w:rFonts w:hint="eastAsia" w:ascii="黑体" w:hAnsi="黑体" w:cs="宋体"/>
                <w:szCs w:val="18"/>
              </w:rPr>
              <w:t>电梯井道</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793E3DC">
            <w:pPr>
              <w:jc w:val="left"/>
              <w:rPr>
                <w:rFonts w:ascii="黑体" w:hAnsi="黑体" w:cs="宋体"/>
                <w:b/>
                <w:szCs w:val="18"/>
              </w:rPr>
            </w:pPr>
            <w:r>
              <w:rPr>
                <w:rFonts w:hint="eastAsia" w:ascii="黑体" w:hAnsi="黑体" w:cs="宋体"/>
                <w:b/>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5F00CFFF">
            <w:pPr>
              <w:jc w:val="left"/>
              <w:rPr>
                <w:rFonts w:ascii="黑体" w:hAnsi="黑体" w:cs="宋体"/>
                <w:szCs w:val="18"/>
              </w:rPr>
            </w:pPr>
            <w:r>
              <w:rPr>
                <w:rFonts w:hint="eastAsia" w:ascii="黑体" w:hAnsi="黑体" w:cs="宋体"/>
                <w:szCs w:val="18"/>
              </w:rPr>
              <w:t>按钢筋混凝土墙设计</w:t>
            </w:r>
          </w:p>
        </w:tc>
      </w:tr>
      <w:tr w14:paraId="0FE587B6">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30BB4578">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0F0EAB8C">
            <w:pPr>
              <w:jc w:val="left"/>
              <w:rPr>
                <w:rFonts w:ascii="黑体" w:hAnsi="黑体" w:cs="宋体"/>
                <w:szCs w:val="18"/>
              </w:rPr>
            </w:pP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5060F647">
            <w:pPr>
              <w:jc w:val="left"/>
              <w:rPr>
                <w:rFonts w:ascii="黑体" w:hAnsi="黑体" w:cs="宋体"/>
                <w:szCs w:val="18"/>
              </w:rPr>
            </w:pPr>
            <w:r>
              <w:rPr>
                <w:rFonts w:hint="eastAsia" w:ascii="黑体" w:hAnsi="黑体" w:cs="宋体"/>
                <w:szCs w:val="18"/>
              </w:rPr>
              <w:t>楼梯间</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3771CE3F">
            <w:pPr>
              <w:jc w:val="left"/>
              <w:rPr>
                <w:rFonts w:ascii="黑体" w:hAnsi="黑体" w:cs="宋体"/>
                <w:szCs w:val="18"/>
              </w:rPr>
            </w:pPr>
            <w:r>
              <w:rPr>
                <w:rFonts w:hint="eastAsia" w:ascii="黑体" w:hAnsi="黑体" w:cs="宋体"/>
                <w:b/>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A02ADB6">
            <w:pPr>
              <w:jc w:val="left"/>
              <w:rPr>
                <w:rFonts w:ascii="黑体" w:hAnsi="黑体" w:cs="宋体"/>
                <w:szCs w:val="18"/>
              </w:rPr>
            </w:pPr>
            <w:r>
              <w:rPr>
                <w:rFonts w:hint="eastAsia" w:ascii="黑体" w:hAnsi="黑体" w:cs="宋体"/>
                <w:szCs w:val="18"/>
              </w:rPr>
              <w:t>楼梯间墙体应采用砌体</w:t>
            </w:r>
          </w:p>
        </w:tc>
      </w:tr>
      <w:tr w14:paraId="13E92929">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5508348B">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6E464E24">
            <w:pPr>
              <w:jc w:val="left"/>
              <w:rPr>
                <w:rFonts w:ascii="黑体" w:hAnsi="黑体" w:cs="宋体"/>
                <w:szCs w:val="18"/>
              </w:rPr>
            </w:pPr>
          </w:p>
        </w:tc>
        <w:tc>
          <w:tcPr>
            <w:tcW w:w="851" w:type="dxa"/>
            <w:vMerge w:val="restart"/>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FAF8BF9">
            <w:pPr>
              <w:jc w:val="left"/>
              <w:rPr>
                <w:rFonts w:ascii="黑体" w:hAnsi="黑体" w:cs="宋体"/>
                <w:szCs w:val="18"/>
              </w:rPr>
            </w:pPr>
            <w:r>
              <w:rPr>
                <w:rFonts w:hint="eastAsia" w:ascii="黑体" w:hAnsi="黑体" w:cs="宋体"/>
                <w:szCs w:val="18"/>
              </w:rPr>
              <w:t>分隔墙</w:t>
            </w:r>
          </w:p>
        </w:tc>
        <w:tc>
          <w:tcPr>
            <w:tcW w:w="1701"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1A4CE4E">
            <w:pPr>
              <w:jc w:val="left"/>
              <w:rPr>
                <w:rFonts w:ascii="黑体" w:hAnsi="黑体" w:cs="宋体"/>
                <w:szCs w:val="18"/>
              </w:rPr>
            </w:pPr>
            <w:r>
              <w:rPr>
                <w:rFonts w:hint="eastAsia" w:ascii="黑体" w:hAnsi="黑体" w:cs="宋体"/>
                <w:szCs w:val="18"/>
              </w:rPr>
              <w:t>常规隔墙</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04C5F2B">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E3F5D90">
            <w:pPr>
              <w:jc w:val="left"/>
              <w:rPr>
                <w:rFonts w:ascii="黑体" w:hAnsi="黑体" w:cs="宋体"/>
                <w:szCs w:val="18"/>
              </w:rPr>
            </w:pPr>
            <w:r>
              <w:rPr>
                <w:rFonts w:hint="eastAsia" w:ascii="黑体" w:hAnsi="黑体" w:cs="宋体"/>
                <w:szCs w:val="18"/>
              </w:rPr>
              <w:t>　</w:t>
            </w:r>
          </w:p>
        </w:tc>
      </w:tr>
      <w:tr w14:paraId="0C89CC6C">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49E3E821">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56DB5BD4">
            <w:pPr>
              <w:jc w:val="left"/>
              <w:rPr>
                <w:rFonts w:ascii="黑体" w:hAnsi="黑体" w:cs="宋体"/>
                <w:szCs w:val="18"/>
              </w:rPr>
            </w:pPr>
          </w:p>
        </w:tc>
        <w:tc>
          <w:tcPr>
            <w:tcW w:w="851" w:type="dxa"/>
            <w:vMerge w:val="continue"/>
            <w:tcBorders>
              <w:top w:val="single" w:color="666666" w:sz="8" w:space="0"/>
              <w:left w:val="single" w:color="666666" w:sz="8" w:space="0"/>
              <w:bottom w:val="single" w:color="666666" w:sz="8" w:space="0"/>
              <w:right w:val="single" w:color="666666" w:sz="8" w:space="0"/>
            </w:tcBorders>
            <w:vAlign w:val="center"/>
          </w:tcPr>
          <w:p w14:paraId="69C2AAAD">
            <w:pPr>
              <w:jc w:val="left"/>
              <w:rPr>
                <w:rFonts w:ascii="黑体" w:hAnsi="黑体" w:cs="宋体"/>
                <w:szCs w:val="18"/>
              </w:rPr>
            </w:pPr>
          </w:p>
        </w:tc>
        <w:tc>
          <w:tcPr>
            <w:tcW w:w="1701"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4C2B7FC0">
            <w:pPr>
              <w:jc w:val="left"/>
              <w:rPr>
                <w:rFonts w:ascii="黑体" w:hAnsi="黑体" w:cs="宋体"/>
                <w:szCs w:val="18"/>
              </w:rPr>
            </w:pPr>
            <w:r>
              <w:rPr>
                <w:rFonts w:hint="eastAsia" w:ascii="黑体" w:hAnsi="黑体" w:cs="宋体"/>
                <w:szCs w:val="18"/>
              </w:rPr>
              <w:t>弧形墙体</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405953DD">
            <w:pPr>
              <w:jc w:val="left"/>
              <w:rPr>
                <w:rFonts w:ascii="黑体" w:hAnsi="黑体" w:cs="宋体"/>
                <w:b/>
                <w:szCs w:val="18"/>
              </w:rPr>
            </w:pPr>
            <w:r>
              <w:rPr>
                <w:rFonts w:hint="eastAsia" w:ascii="黑体" w:hAnsi="黑体" w:cs="宋体"/>
                <w:b/>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43829F50">
            <w:pPr>
              <w:jc w:val="left"/>
              <w:rPr>
                <w:rFonts w:ascii="黑体" w:hAnsi="黑体" w:cs="宋体"/>
                <w:szCs w:val="18"/>
              </w:rPr>
            </w:pPr>
            <w:r>
              <w:rPr>
                <w:rFonts w:hint="eastAsia" w:ascii="黑体" w:hAnsi="黑体" w:cs="宋体"/>
                <w:szCs w:val="18"/>
              </w:rPr>
              <w:t>　</w:t>
            </w:r>
          </w:p>
        </w:tc>
      </w:tr>
      <w:tr w14:paraId="2818599D">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58810307">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46166330">
            <w:pPr>
              <w:jc w:val="left"/>
              <w:rPr>
                <w:rFonts w:ascii="黑体" w:hAnsi="黑体" w:cs="宋体"/>
                <w:szCs w:val="18"/>
              </w:rPr>
            </w:pPr>
          </w:p>
        </w:tc>
        <w:tc>
          <w:tcPr>
            <w:tcW w:w="851" w:type="dxa"/>
            <w:vMerge w:val="continue"/>
            <w:tcBorders>
              <w:top w:val="single" w:color="666666" w:sz="8" w:space="0"/>
              <w:left w:val="single" w:color="666666" w:sz="8" w:space="0"/>
              <w:bottom w:val="single" w:color="666666" w:sz="8" w:space="0"/>
              <w:right w:val="single" w:color="666666" w:sz="8" w:space="0"/>
            </w:tcBorders>
            <w:vAlign w:val="center"/>
          </w:tcPr>
          <w:p w14:paraId="4A06C279">
            <w:pPr>
              <w:jc w:val="left"/>
              <w:rPr>
                <w:rFonts w:ascii="黑体" w:hAnsi="黑体" w:cs="宋体"/>
                <w:szCs w:val="18"/>
              </w:rPr>
            </w:pPr>
          </w:p>
        </w:tc>
        <w:tc>
          <w:tcPr>
            <w:tcW w:w="1701"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FB3CE62">
            <w:pPr>
              <w:jc w:val="left"/>
              <w:rPr>
                <w:rFonts w:ascii="黑体" w:hAnsi="黑体" w:cs="宋体"/>
                <w:szCs w:val="18"/>
              </w:rPr>
            </w:pPr>
            <w:r>
              <w:rPr>
                <w:rFonts w:hint="eastAsia" w:ascii="黑体" w:hAnsi="黑体" w:cs="宋体"/>
                <w:szCs w:val="18"/>
              </w:rPr>
              <w:t>异形墙体</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1D4385A">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3AE8ACDE">
            <w:pPr>
              <w:jc w:val="left"/>
              <w:rPr>
                <w:rFonts w:ascii="黑体" w:hAnsi="黑体" w:cs="宋体"/>
                <w:szCs w:val="18"/>
              </w:rPr>
            </w:pPr>
            <w:r>
              <w:rPr>
                <w:rFonts w:hint="eastAsia" w:ascii="黑体" w:hAnsi="黑体" w:cs="宋体"/>
                <w:szCs w:val="18"/>
              </w:rPr>
              <w:t>　</w:t>
            </w:r>
          </w:p>
        </w:tc>
      </w:tr>
      <w:tr w14:paraId="2C7A8276">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0832B871">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6E8B995B">
            <w:pPr>
              <w:jc w:val="left"/>
              <w:rPr>
                <w:rFonts w:ascii="黑体" w:hAnsi="黑体" w:cs="宋体"/>
                <w:szCs w:val="18"/>
              </w:rPr>
            </w:pPr>
          </w:p>
        </w:tc>
        <w:tc>
          <w:tcPr>
            <w:tcW w:w="851" w:type="dxa"/>
            <w:vMerge w:val="continue"/>
            <w:tcBorders>
              <w:top w:val="single" w:color="666666" w:sz="8" w:space="0"/>
              <w:left w:val="single" w:color="666666" w:sz="8" w:space="0"/>
              <w:bottom w:val="single" w:color="666666" w:sz="8" w:space="0"/>
              <w:right w:val="single" w:color="666666" w:sz="8" w:space="0"/>
            </w:tcBorders>
            <w:vAlign w:val="center"/>
          </w:tcPr>
          <w:p w14:paraId="47BDE2A1">
            <w:pPr>
              <w:jc w:val="left"/>
              <w:rPr>
                <w:rFonts w:ascii="黑体" w:hAnsi="黑体" w:cs="宋体"/>
                <w:szCs w:val="18"/>
              </w:rPr>
            </w:pPr>
          </w:p>
        </w:tc>
        <w:tc>
          <w:tcPr>
            <w:tcW w:w="1701"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3F9941D">
            <w:pPr>
              <w:jc w:val="left"/>
              <w:rPr>
                <w:rFonts w:ascii="黑体" w:hAnsi="黑体" w:cs="宋体"/>
                <w:szCs w:val="18"/>
              </w:rPr>
            </w:pPr>
            <w:r>
              <w:rPr>
                <w:rFonts w:hint="eastAsia" w:ascii="黑体" w:hAnsi="黑体" w:cs="宋体"/>
                <w:szCs w:val="18"/>
              </w:rPr>
              <w:t>井道尺寸较小</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47AA7918">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3EAED5DA">
            <w:pPr>
              <w:jc w:val="left"/>
              <w:rPr>
                <w:rFonts w:ascii="黑体" w:hAnsi="黑体" w:cs="宋体"/>
                <w:szCs w:val="18"/>
              </w:rPr>
            </w:pPr>
            <w:r>
              <w:rPr>
                <w:rFonts w:hint="eastAsia" w:ascii="黑体" w:hAnsi="黑体" w:cs="宋体"/>
                <w:szCs w:val="18"/>
              </w:rPr>
              <w:t>　</w:t>
            </w:r>
          </w:p>
        </w:tc>
      </w:tr>
      <w:tr w14:paraId="7DAA3737">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7844B3A9">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736265CD">
            <w:pPr>
              <w:jc w:val="left"/>
              <w:rPr>
                <w:rFonts w:ascii="黑体" w:hAnsi="黑体" w:cs="宋体"/>
                <w:szCs w:val="18"/>
              </w:rPr>
            </w:pPr>
          </w:p>
        </w:tc>
        <w:tc>
          <w:tcPr>
            <w:tcW w:w="851" w:type="dxa"/>
            <w:vMerge w:val="continue"/>
            <w:tcBorders>
              <w:top w:val="single" w:color="666666" w:sz="8" w:space="0"/>
              <w:left w:val="single" w:color="666666" w:sz="8" w:space="0"/>
              <w:bottom w:val="single" w:color="666666" w:sz="8" w:space="0"/>
              <w:right w:val="single" w:color="666666" w:sz="8" w:space="0"/>
            </w:tcBorders>
            <w:vAlign w:val="center"/>
          </w:tcPr>
          <w:p w14:paraId="0E9AD810">
            <w:pPr>
              <w:jc w:val="left"/>
              <w:rPr>
                <w:rFonts w:ascii="黑体" w:hAnsi="黑体" w:cs="宋体"/>
                <w:szCs w:val="18"/>
              </w:rPr>
            </w:pPr>
          </w:p>
        </w:tc>
        <w:tc>
          <w:tcPr>
            <w:tcW w:w="1701"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1F80B43">
            <w:pPr>
              <w:jc w:val="left"/>
              <w:rPr>
                <w:rFonts w:ascii="黑体" w:hAnsi="黑体" w:cs="宋体"/>
                <w:szCs w:val="18"/>
              </w:rPr>
            </w:pPr>
            <w:r>
              <w:rPr>
                <w:rFonts w:hint="eastAsia" w:ascii="黑体" w:hAnsi="黑体" w:cs="宋体"/>
                <w:szCs w:val="18"/>
              </w:rPr>
              <w:t>墙体两侧均临空</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536D9A1D">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398065C0">
            <w:pPr>
              <w:jc w:val="left"/>
              <w:rPr>
                <w:rFonts w:ascii="黑体" w:hAnsi="黑体" w:cs="宋体"/>
                <w:szCs w:val="18"/>
              </w:rPr>
            </w:pPr>
            <w:r>
              <w:rPr>
                <w:rFonts w:hint="eastAsia" w:ascii="黑体" w:hAnsi="黑体" w:cs="宋体"/>
                <w:szCs w:val="18"/>
              </w:rPr>
              <w:t>　</w:t>
            </w:r>
          </w:p>
        </w:tc>
      </w:tr>
      <w:tr w14:paraId="64068C03">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7E00F361">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6CAC4527">
            <w:pPr>
              <w:jc w:val="left"/>
              <w:rPr>
                <w:rFonts w:ascii="黑体" w:hAnsi="黑体" w:cs="宋体"/>
                <w:szCs w:val="18"/>
              </w:rPr>
            </w:pP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965B64E">
            <w:pPr>
              <w:jc w:val="left"/>
              <w:rPr>
                <w:rFonts w:ascii="黑体" w:hAnsi="黑体" w:cs="宋体"/>
                <w:szCs w:val="18"/>
              </w:rPr>
            </w:pPr>
            <w:r>
              <w:rPr>
                <w:rFonts w:hint="eastAsia" w:ascii="黑体" w:hAnsi="黑体" w:cs="宋体"/>
                <w:szCs w:val="18"/>
              </w:rPr>
              <w:t>地下室设备房</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395B9EB3">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56074015">
            <w:pPr>
              <w:jc w:val="left"/>
              <w:rPr>
                <w:rFonts w:ascii="黑体" w:hAnsi="黑体" w:cs="宋体"/>
                <w:szCs w:val="18"/>
              </w:rPr>
            </w:pPr>
          </w:p>
        </w:tc>
      </w:tr>
      <w:tr w14:paraId="5631D8C0">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5874C233">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18156901">
            <w:pPr>
              <w:jc w:val="left"/>
              <w:rPr>
                <w:rFonts w:ascii="黑体" w:hAnsi="黑体" w:cs="宋体"/>
                <w:szCs w:val="18"/>
              </w:rPr>
            </w:pP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AEFA00A">
            <w:pPr>
              <w:jc w:val="left"/>
              <w:rPr>
                <w:rFonts w:ascii="黑体" w:hAnsi="黑体" w:cs="宋体"/>
                <w:szCs w:val="18"/>
              </w:rPr>
            </w:pPr>
            <w:r>
              <w:rPr>
                <w:rFonts w:hint="eastAsia" w:ascii="黑体" w:hAnsi="黑体" w:cs="宋体"/>
                <w:szCs w:val="18"/>
              </w:rPr>
              <w:t>厨房</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3CBEF1F7">
            <w:pPr>
              <w:jc w:val="left"/>
              <w:rPr>
                <w:rFonts w:ascii="黑体" w:hAnsi="黑体" w:cs="宋体"/>
                <w:b/>
                <w:szCs w:val="18"/>
              </w:rPr>
            </w:pPr>
            <w:r>
              <w:rPr>
                <w:rFonts w:hint="eastAsia" w:ascii="黑体" w:hAnsi="黑体" w:cs="宋体"/>
                <w:b/>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45BA733">
            <w:pPr>
              <w:jc w:val="left"/>
              <w:rPr>
                <w:rFonts w:ascii="黑体" w:hAnsi="黑体" w:cs="宋体"/>
                <w:szCs w:val="18"/>
              </w:rPr>
            </w:pPr>
            <w:r>
              <w:rPr>
                <w:rFonts w:hint="eastAsia" w:ascii="黑体" w:hAnsi="黑体" w:cs="宋体"/>
                <w:szCs w:val="18"/>
              </w:rPr>
              <w:t>厨房与相邻区域的分隔墙及厨房内部墙体应采用砌体</w:t>
            </w:r>
          </w:p>
        </w:tc>
      </w:tr>
      <w:tr w14:paraId="51C094EF">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400F22D6">
            <w:pPr>
              <w:jc w:val="left"/>
              <w:rPr>
                <w:rFonts w:ascii="黑体" w:hAnsi="黑体" w:cs="宋体"/>
                <w:szCs w:val="18"/>
              </w:rPr>
            </w:pPr>
          </w:p>
        </w:tc>
        <w:tc>
          <w:tcPr>
            <w:tcW w:w="992" w:type="dxa"/>
            <w:vMerge w:val="restart"/>
            <w:tcBorders>
              <w:top w:val="single" w:color="666666" w:sz="8" w:space="0"/>
              <w:left w:val="single" w:color="666666" w:sz="8" w:space="0"/>
              <w:right w:val="single" w:color="666666" w:sz="8" w:space="0"/>
            </w:tcBorders>
            <w:vAlign w:val="center"/>
          </w:tcPr>
          <w:p w14:paraId="0C6A3724">
            <w:pPr>
              <w:jc w:val="left"/>
              <w:rPr>
                <w:rFonts w:ascii="黑体" w:hAnsi="黑体" w:cs="宋体"/>
                <w:szCs w:val="18"/>
              </w:rPr>
            </w:pPr>
            <w:r>
              <w:rPr>
                <w:rFonts w:hint="eastAsia" w:ascii="黑体" w:hAnsi="黑体" w:cs="宋体"/>
                <w:szCs w:val="18"/>
              </w:rPr>
              <w:t>精装区</w:t>
            </w: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5159AAED">
            <w:pPr>
              <w:jc w:val="left"/>
              <w:rPr>
                <w:rFonts w:ascii="黑体" w:hAnsi="黑体" w:cs="宋体"/>
                <w:szCs w:val="18"/>
              </w:rPr>
            </w:pPr>
            <w:r>
              <w:rPr>
                <w:rFonts w:hint="eastAsia" w:ascii="黑体" w:hAnsi="黑体" w:cs="宋体"/>
                <w:szCs w:val="18"/>
              </w:rPr>
              <w:t>洗手间分户墙及管井</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F7D7E39">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1D1A873">
            <w:pPr>
              <w:jc w:val="left"/>
              <w:rPr>
                <w:rFonts w:ascii="黑体" w:hAnsi="黑体" w:cs="宋体"/>
                <w:szCs w:val="18"/>
              </w:rPr>
            </w:pPr>
          </w:p>
        </w:tc>
      </w:tr>
      <w:tr w14:paraId="7B492766">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7B6AE792">
            <w:pPr>
              <w:jc w:val="left"/>
              <w:rPr>
                <w:rFonts w:ascii="黑体" w:hAnsi="黑体" w:cs="宋体"/>
                <w:szCs w:val="18"/>
              </w:rPr>
            </w:pPr>
          </w:p>
        </w:tc>
        <w:tc>
          <w:tcPr>
            <w:tcW w:w="992" w:type="dxa"/>
            <w:vMerge w:val="continue"/>
            <w:tcBorders>
              <w:top w:val="single" w:color="666666" w:sz="8" w:space="0"/>
              <w:left w:val="single" w:color="666666" w:sz="8" w:space="0"/>
              <w:right w:val="single" w:color="666666" w:sz="8" w:space="0"/>
            </w:tcBorders>
            <w:vAlign w:val="center"/>
          </w:tcPr>
          <w:p w14:paraId="6CF61555">
            <w:pPr>
              <w:jc w:val="left"/>
              <w:rPr>
                <w:rFonts w:ascii="黑体" w:hAnsi="黑体" w:cs="宋体"/>
                <w:szCs w:val="18"/>
              </w:rPr>
            </w:pP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67736A4">
            <w:pPr>
              <w:jc w:val="left"/>
              <w:rPr>
                <w:rFonts w:ascii="黑体" w:hAnsi="黑体" w:cs="宋体"/>
                <w:szCs w:val="18"/>
              </w:rPr>
            </w:pPr>
            <w:r>
              <w:rPr>
                <w:rFonts w:hint="eastAsia" w:ascii="黑体" w:hAnsi="黑体" w:cs="宋体"/>
                <w:szCs w:val="18"/>
              </w:rPr>
              <w:t>茶水间管井</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8FA73F6">
            <w:pPr>
              <w:jc w:val="left"/>
              <w:rPr>
                <w:rFonts w:ascii="黑体" w:hAnsi="黑体" w:cs="宋体"/>
                <w:b/>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D730DBB">
            <w:pPr>
              <w:jc w:val="left"/>
              <w:rPr>
                <w:rFonts w:ascii="黑体" w:hAnsi="黑体" w:cs="宋体"/>
                <w:szCs w:val="18"/>
              </w:rPr>
            </w:pPr>
          </w:p>
        </w:tc>
      </w:tr>
      <w:tr w14:paraId="180E3A14">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6C2D2580">
            <w:pPr>
              <w:jc w:val="left"/>
              <w:rPr>
                <w:rFonts w:ascii="黑体" w:hAnsi="黑体" w:cs="宋体"/>
                <w:szCs w:val="18"/>
              </w:rPr>
            </w:pPr>
          </w:p>
        </w:tc>
        <w:tc>
          <w:tcPr>
            <w:tcW w:w="992" w:type="dxa"/>
            <w:vMerge w:val="continue"/>
            <w:tcBorders>
              <w:left w:val="single" w:color="666666" w:sz="8" w:space="0"/>
              <w:bottom w:val="single" w:color="666666" w:sz="8" w:space="0"/>
              <w:right w:val="single" w:color="666666" w:sz="8" w:space="0"/>
            </w:tcBorders>
            <w:vAlign w:val="center"/>
          </w:tcPr>
          <w:p w14:paraId="4B44F35F">
            <w:pPr>
              <w:jc w:val="left"/>
              <w:rPr>
                <w:rFonts w:ascii="黑体" w:hAnsi="黑体" w:cs="宋体"/>
                <w:szCs w:val="18"/>
              </w:rPr>
            </w:pP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B6D3042">
            <w:pPr>
              <w:jc w:val="left"/>
              <w:rPr>
                <w:rFonts w:ascii="黑体" w:hAnsi="黑体" w:cs="宋体"/>
                <w:szCs w:val="18"/>
              </w:rPr>
            </w:pPr>
            <w:r>
              <w:rPr>
                <w:rFonts w:hint="eastAsia" w:ascii="黑体" w:hAnsi="黑体" w:cs="宋体"/>
                <w:szCs w:val="18"/>
              </w:rPr>
              <w:t>内隔墙</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2BB2EBF">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6838543">
            <w:pPr>
              <w:jc w:val="left"/>
              <w:rPr>
                <w:rFonts w:ascii="黑体" w:hAnsi="黑体" w:cs="宋体"/>
                <w:szCs w:val="18"/>
              </w:rPr>
            </w:pPr>
            <w:r>
              <w:rPr>
                <w:rFonts w:hint="eastAsia" w:ascii="黑体" w:hAnsi="黑体" w:cs="宋体"/>
                <w:szCs w:val="18"/>
              </w:rPr>
              <w:t>由精装确定</w:t>
            </w:r>
          </w:p>
        </w:tc>
      </w:tr>
      <w:tr w14:paraId="79DA8247">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5EDA073F">
            <w:pPr>
              <w:jc w:val="left"/>
              <w:rPr>
                <w:rFonts w:ascii="黑体" w:hAnsi="黑体" w:cs="宋体"/>
                <w:szCs w:val="18"/>
              </w:rPr>
            </w:pPr>
          </w:p>
        </w:tc>
        <w:tc>
          <w:tcPr>
            <w:tcW w:w="992" w:type="dxa"/>
            <w:vMerge w:val="restart"/>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207DCB57">
            <w:pPr>
              <w:jc w:val="left"/>
              <w:rPr>
                <w:rFonts w:ascii="黑体" w:hAnsi="黑体" w:cs="宋体"/>
                <w:szCs w:val="18"/>
              </w:rPr>
            </w:pPr>
            <w:r>
              <w:rPr>
                <w:rFonts w:hint="eastAsia" w:ascii="黑体" w:hAnsi="黑体" w:cs="宋体"/>
                <w:szCs w:val="18"/>
              </w:rPr>
              <w:t>住宅类</w:t>
            </w: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7D5F485F">
            <w:pPr>
              <w:jc w:val="left"/>
              <w:rPr>
                <w:rFonts w:ascii="黑体" w:hAnsi="黑体" w:cs="宋体"/>
                <w:szCs w:val="18"/>
              </w:rPr>
            </w:pPr>
            <w:r>
              <w:rPr>
                <w:rFonts w:hint="eastAsia" w:ascii="黑体" w:hAnsi="黑体" w:cs="宋体"/>
                <w:szCs w:val="18"/>
              </w:rPr>
              <w:t>分户墙</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74C07E1">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6A54B6E4">
            <w:pPr>
              <w:jc w:val="left"/>
              <w:rPr>
                <w:rFonts w:ascii="黑体" w:hAnsi="黑体" w:cs="宋体"/>
                <w:szCs w:val="18"/>
              </w:rPr>
            </w:pPr>
          </w:p>
        </w:tc>
      </w:tr>
      <w:tr w14:paraId="373B0CBC">
        <w:tblPrEx>
          <w:tblCellMar>
            <w:top w:w="0" w:type="dxa"/>
            <w:left w:w="0" w:type="dxa"/>
            <w:bottom w:w="0" w:type="dxa"/>
            <w:right w:w="0" w:type="dxa"/>
          </w:tblCellMar>
        </w:tblPrEx>
        <w:trPr>
          <w:trHeight w:val="291" w:hRule="atLeast"/>
        </w:trPr>
        <w:tc>
          <w:tcPr>
            <w:tcW w:w="709" w:type="dxa"/>
            <w:vMerge w:val="continue"/>
            <w:tcBorders>
              <w:top w:val="single" w:color="666666" w:sz="8" w:space="0"/>
              <w:left w:val="single" w:color="666666" w:sz="8" w:space="0"/>
              <w:bottom w:val="single" w:color="666666" w:sz="8" w:space="0"/>
              <w:right w:val="single" w:color="666666" w:sz="8" w:space="0"/>
            </w:tcBorders>
            <w:vAlign w:val="center"/>
          </w:tcPr>
          <w:p w14:paraId="089121FB">
            <w:pPr>
              <w:jc w:val="left"/>
              <w:rPr>
                <w:rFonts w:ascii="黑体" w:hAnsi="黑体" w:cs="宋体"/>
                <w:szCs w:val="18"/>
              </w:rPr>
            </w:pPr>
          </w:p>
        </w:tc>
        <w:tc>
          <w:tcPr>
            <w:tcW w:w="992" w:type="dxa"/>
            <w:vMerge w:val="continue"/>
            <w:tcBorders>
              <w:top w:val="single" w:color="666666" w:sz="8" w:space="0"/>
              <w:left w:val="single" w:color="666666" w:sz="8" w:space="0"/>
              <w:bottom w:val="single" w:color="666666" w:sz="8" w:space="0"/>
              <w:right w:val="single" w:color="666666" w:sz="8" w:space="0"/>
            </w:tcBorders>
            <w:vAlign w:val="center"/>
          </w:tcPr>
          <w:p w14:paraId="34780750">
            <w:pPr>
              <w:jc w:val="left"/>
              <w:rPr>
                <w:rFonts w:ascii="黑体" w:hAnsi="黑体" w:cs="宋体"/>
                <w:szCs w:val="18"/>
              </w:rPr>
            </w:pPr>
          </w:p>
        </w:tc>
        <w:tc>
          <w:tcPr>
            <w:tcW w:w="2552" w:type="dxa"/>
            <w:gridSpan w:val="2"/>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4BD3C81C">
            <w:pPr>
              <w:jc w:val="left"/>
              <w:rPr>
                <w:rFonts w:ascii="黑体" w:hAnsi="黑体" w:cs="宋体"/>
                <w:szCs w:val="18"/>
              </w:rPr>
            </w:pPr>
            <w:r>
              <w:rPr>
                <w:rFonts w:hint="eastAsia" w:ascii="黑体" w:hAnsi="黑体" w:cs="宋体"/>
                <w:szCs w:val="18"/>
              </w:rPr>
              <w:t>内部隔墙</w:t>
            </w:r>
          </w:p>
        </w:tc>
        <w:tc>
          <w:tcPr>
            <w:tcW w:w="99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074BE6DC">
            <w:pPr>
              <w:jc w:val="left"/>
              <w:rPr>
                <w:rFonts w:ascii="黑体" w:hAnsi="黑体" w:cs="宋体"/>
                <w:szCs w:val="18"/>
              </w:rPr>
            </w:pPr>
            <w:r>
              <w:rPr>
                <w:rFonts w:hint="eastAsia" w:ascii="黑体" w:hAnsi="黑体" w:cs="宋体"/>
                <w:szCs w:val="18"/>
              </w:rPr>
              <w:t>●</w:t>
            </w:r>
          </w:p>
        </w:tc>
        <w:tc>
          <w:tcPr>
            <w:tcW w:w="3402" w:type="dxa"/>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vAlign w:val="center"/>
          </w:tcPr>
          <w:p w14:paraId="1D74038E">
            <w:pPr>
              <w:jc w:val="left"/>
              <w:rPr>
                <w:rFonts w:ascii="黑体" w:hAnsi="黑体" w:cs="宋体"/>
                <w:szCs w:val="18"/>
              </w:rPr>
            </w:pPr>
          </w:p>
        </w:tc>
      </w:tr>
      <w:tr w14:paraId="016F82A5">
        <w:tblPrEx>
          <w:tblCellMar>
            <w:top w:w="0" w:type="dxa"/>
            <w:left w:w="0" w:type="dxa"/>
            <w:bottom w:w="0" w:type="dxa"/>
            <w:right w:w="0" w:type="dxa"/>
          </w:tblCellMar>
        </w:tblPrEx>
        <w:trPr>
          <w:trHeight w:val="827" w:hRule="atLeast"/>
        </w:trPr>
        <w:tc>
          <w:tcPr>
            <w:tcW w:w="8647" w:type="dxa"/>
            <w:gridSpan w:val="6"/>
            <w:tcBorders>
              <w:top w:val="single" w:color="666666" w:sz="8" w:space="0"/>
              <w:left w:val="single" w:color="666666" w:sz="8" w:space="0"/>
              <w:bottom w:val="single" w:color="666666" w:sz="8" w:space="0"/>
              <w:right w:val="single" w:color="666666" w:sz="8" w:space="0"/>
            </w:tcBorders>
            <w:shd w:val="clear" w:color="auto" w:fill="auto"/>
            <w:tcMar>
              <w:top w:w="6" w:type="dxa"/>
              <w:left w:w="6" w:type="dxa"/>
              <w:bottom w:w="0" w:type="dxa"/>
              <w:right w:w="6" w:type="dxa"/>
            </w:tcMar>
          </w:tcPr>
          <w:p w14:paraId="608F1649">
            <w:pPr>
              <w:jc w:val="left"/>
              <w:rPr>
                <w:rFonts w:ascii="黑体" w:hAnsi="黑体" w:cs="宋体"/>
                <w:szCs w:val="18"/>
              </w:rPr>
            </w:pPr>
            <w:r>
              <w:rPr>
                <w:rFonts w:ascii="黑体" w:hAnsi="黑体" w:cs="宋体"/>
                <w:szCs w:val="18"/>
              </w:rPr>
              <w:t xml:space="preserve">  图示： </w:t>
            </w:r>
          </w:p>
          <w:p w14:paraId="5AAED75A">
            <w:pPr>
              <w:jc w:val="left"/>
              <w:rPr>
                <w:rFonts w:ascii="黑体" w:hAnsi="黑体" w:cs="宋体"/>
                <w:szCs w:val="18"/>
              </w:rPr>
            </w:pPr>
            <w:r>
              <w:rPr>
                <w:rFonts w:hint="eastAsia" w:ascii="黑体" w:hAnsi="黑体" w:cs="宋体"/>
                <w:b/>
                <w:szCs w:val="18"/>
              </w:rPr>
              <w:t>●</w:t>
            </w:r>
            <w:r>
              <w:rPr>
                <w:rFonts w:ascii="黑体" w:hAnsi="黑体" w:cs="宋体"/>
                <w:szCs w:val="18"/>
              </w:rPr>
              <w:t xml:space="preserve"> ：适用</w:t>
            </w:r>
          </w:p>
          <w:p w14:paraId="22E79CE2">
            <w:pPr>
              <w:jc w:val="left"/>
              <w:rPr>
                <w:rFonts w:ascii="黑体" w:hAnsi="黑体" w:cs="宋体"/>
                <w:szCs w:val="18"/>
              </w:rPr>
            </w:pPr>
            <w:r>
              <w:rPr>
                <w:rFonts w:hint="eastAsia" w:ascii="黑体" w:hAnsi="黑体" w:cs="宋体"/>
                <w:b/>
                <w:szCs w:val="18"/>
              </w:rPr>
              <w:t>×</w:t>
            </w:r>
            <w:r>
              <w:rPr>
                <w:rFonts w:ascii="黑体" w:hAnsi="黑体" w:cs="宋体"/>
                <w:b/>
                <w:szCs w:val="18"/>
              </w:rPr>
              <w:t xml:space="preserve"> </w:t>
            </w:r>
            <w:r>
              <w:rPr>
                <w:rFonts w:hint="eastAsia" w:ascii="黑体" w:hAnsi="黑体" w:cs="宋体"/>
                <w:szCs w:val="18"/>
              </w:rPr>
              <w:t>：不适用</w:t>
            </w:r>
          </w:p>
          <w:p w14:paraId="2A9ABAE7">
            <w:pPr>
              <w:jc w:val="left"/>
              <w:rPr>
                <w:rFonts w:ascii="黑体" w:hAnsi="黑体" w:cs="宋体"/>
                <w:szCs w:val="18"/>
              </w:rPr>
            </w:pPr>
            <w:r>
              <w:rPr>
                <w:rFonts w:hint="eastAsia" w:ascii="黑体" w:hAnsi="黑体" w:cs="宋体"/>
                <w:b/>
                <w:szCs w:val="18"/>
              </w:rPr>
              <w:t>○</w:t>
            </w:r>
            <w:r>
              <w:rPr>
                <w:rFonts w:ascii="黑体" w:hAnsi="黑体" w:cs="宋体"/>
                <w:b/>
                <w:szCs w:val="18"/>
              </w:rPr>
              <w:t xml:space="preserve"> </w:t>
            </w:r>
            <w:r>
              <w:rPr>
                <w:rFonts w:hint="eastAsia" w:ascii="黑体" w:hAnsi="黑体" w:cs="宋体"/>
                <w:szCs w:val="18"/>
              </w:rPr>
              <w:t>：</w:t>
            </w:r>
            <w:r>
              <w:rPr>
                <w:rFonts w:hint="eastAsia" w:ascii="黑体" w:hAnsi="黑体"/>
                <w:szCs w:val="18"/>
              </w:rPr>
              <w:t>根据项目情况选用：（如以下情况不适用：异形建筑、弧形墙体、开窗间隔过小、外观效果实体面过少）</w:t>
            </w:r>
          </w:p>
        </w:tc>
      </w:tr>
    </w:tbl>
    <w:p w14:paraId="1032617A">
      <w:pPr>
        <w:pStyle w:val="96"/>
        <w:spacing w:before="156" w:beforeLines="50" w:after="156" w:afterLines="50"/>
        <w:ind w:left="511" w:hanging="511" w:hangingChars="283"/>
        <w:jc w:val="left"/>
        <w:rPr>
          <w:sz w:val="18"/>
        </w:rPr>
      </w:pPr>
      <w:r>
        <w:rPr>
          <w:sz w:val="18"/>
        </w:rPr>
        <w:t>2.3.5</w:t>
      </w:r>
      <w:r>
        <w:rPr>
          <w:rFonts w:hint="eastAsia"/>
          <w:sz w:val="18"/>
        </w:rPr>
        <w:t>、</w:t>
      </w:r>
      <w:r>
        <w:rPr>
          <w:sz w:val="18"/>
        </w:rPr>
        <w:t>ALC墙体设计标准与构造</w:t>
      </w:r>
      <w:r>
        <w:rPr>
          <w:rFonts w:hint="eastAsia"/>
          <w:sz w:val="18"/>
        </w:rPr>
        <w:t>做法</w:t>
      </w:r>
    </w:p>
    <w:p w14:paraId="54B40A77">
      <w:pPr>
        <w:autoSpaceDE w:val="0"/>
        <w:autoSpaceDN w:val="0"/>
        <w:adjustRightInd w:val="0"/>
        <w:spacing w:line="360" w:lineRule="auto"/>
        <w:jc w:val="left"/>
        <w:rPr>
          <w:rFonts w:ascii="黑体" w:hAnsi="黑体"/>
          <w:b/>
          <w:szCs w:val="18"/>
        </w:rPr>
      </w:pPr>
      <w:r>
        <w:rPr>
          <w:rFonts w:ascii="黑体" w:hAnsi="黑体"/>
          <w:b/>
          <w:szCs w:val="18"/>
        </w:rPr>
        <w:t>2.3.5.1</w:t>
      </w:r>
      <w:r>
        <w:rPr>
          <w:rFonts w:hint="eastAsia" w:ascii="黑体" w:hAnsi="黑体"/>
          <w:b/>
          <w:szCs w:val="18"/>
        </w:rPr>
        <w:t>、板材厚度选用标准：</w:t>
      </w:r>
    </w:p>
    <w:p w14:paraId="4B27C133">
      <w:pPr>
        <w:pStyle w:val="49"/>
        <w:numPr>
          <w:ilvl w:val="0"/>
          <w:numId w:val="15"/>
        </w:numPr>
        <w:autoSpaceDE w:val="0"/>
        <w:autoSpaceDN w:val="0"/>
        <w:adjustRightInd w:val="0"/>
        <w:spacing w:line="360" w:lineRule="auto"/>
        <w:ind w:left="704" w:firstLineChars="0"/>
        <w:jc w:val="left"/>
        <w:rPr>
          <w:rFonts w:ascii="黑体" w:hAnsi="黑体"/>
          <w:szCs w:val="18"/>
        </w:rPr>
      </w:pPr>
      <w:r>
        <w:rPr>
          <w:rFonts w:hint="eastAsia" w:ascii="黑体" w:hAnsi="黑体"/>
          <w:b/>
          <w:szCs w:val="18"/>
        </w:rPr>
        <w:t>外墙：</w:t>
      </w:r>
      <w:r>
        <w:rPr>
          <w:rFonts w:ascii="黑体" w:hAnsi="黑体"/>
          <w:szCs w:val="18"/>
        </w:rPr>
        <w:t>幕墙内衬墙及住宅分户墙选用</w:t>
      </w:r>
      <w:r>
        <w:rPr>
          <w:rFonts w:hint="eastAsia" w:ascii="黑体" w:hAnsi="黑体"/>
          <w:szCs w:val="18"/>
        </w:rPr>
        <w:t>2</w:t>
      </w:r>
      <w:r>
        <w:rPr>
          <w:rFonts w:ascii="黑体" w:hAnsi="黑体"/>
          <w:szCs w:val="18"/>
        </w:rPr>
        <w:t>00mm厚</w:t>
      </w:r>
      <w:r>
        <w:rPr>
          <w:rFonts w:hint="eastAsia" w:ascii="黑体" w:hAnsi="黑体"/>
          <w:szCs w:val="18"/>
        </w:rPr>
        <w:t>ALC</w:t>
      </w:r>
      <w:r>
        <w:rPr>
          <w:rFonts w:ascii="黑体" w:hAnsi="黑体"/>
          <w:szCs w:val="18"/>
        </w:rPr>
        <w:t>墙板；</w:t>
      </w:r>
    </w:p>
    <w:p w14:paraId="206E3AEF">
      <w:pPr>
        <w:pStyle w:val="49"/>
        <w:numPr>
          <w:ilvl w:val="0"/>
          <w:numId w:val="15"/>
        </w:numPr>
        <w:autoSpaceDE w:val="0"/>
        <w:autoSpaceDN w:val="0"/>
        <w:adjustRightInd w:val="0"/>
        <w:spacing w:line="360" w:lineRule="auto"/>
        <w:ind w:left="704" w:firstLineChars="0"/>
        <w:jc w:val="left"/>
        <w:rPr>
          <w:rFonts w:ascii="黑体" w:hAnsi="黑体"/>
          <w:szCs w:val="18"/>
        </w:rPr>
      </w:pPr>
      <w:r>
        <w:rPr>
          <w:rFonts w:hint="eastAsia" w:ascii="黑体" w:hAnsi="黑体"/>
          <w:b/>
          <w:szCs w:val="18"/>
        </w:rPr>
        <w:t>内墙：</w:t>
      </w:r>
      <w:r>
        <w:rPr>
          <w:rFonts w:ascii="黑体" w:hAnsi="黑体"/>
          <w:szCs w:val="18"/>
        </w:rPr>
        <w:t>除设计有特殊要求以外，内墙板选用</w:t>
      </w:r>
      <w:r>
        <w:rPr>
          <w:rFonts w:hint="eastAsia" w:ascii="黑体" w:hAnsi="黑体"/>
          <w:szCs w:val="18"/>
        </w:rPr>
        <w:t>1</w:t>
      </w:r>
      <w:r>
        <w:rPr>
          <w:rFonts w:ascii="黑体" w:hAnsi="黑体"/>
          <w:szCs w:val="18"/>
        </w:rPr>
        <w:t>50mm厚板材</w:t>
      </w:r>
      <w:r>
        <w:rPr>
          <w:rFonts w:hint="eastAsia" w:ascii="黑体" w:hAnsi="黑体"/>
          <w:szCs w:val="18"/>
        </w:rPr>
        <w:t>，</w:t>
      </w:r>
      <w:r>
        <w:rPr>
          <w:rFonts w:ascii="黑体" w:hAnsi="黑体"/>
          <w:szCs w:val="18"/>
        </w:rPr>
        <w:t>住宅户内隔墙按设计</w:t>
      </w:r>
      <w:r>
        <w:rPr>
          <w:rFonts w:hint="eastAsia" w:ascii="黑体" w:hAnsi="黑体"/>
          <w:szCs w:val="18"/>
        </w:rPr>
        <w:t>，</w:t>
      </w:r>
      <w:r>
        <w:rPr>
          <w:rFonts w:ascii="黑体" w:hAnsi="黑体"/>
          <w:szCs w:val="18"/>
        </w:rPr>
        <w:t>通常采用</w:t>
      </w:r>
      <w:r>
        <w:rPr>
          <w:rFonts w:hint="eastAsia" w:ascii="黑体" w:hAnsi="黑体"/>
          <w:szCs w:val="18"/>
        </w:rPr>
        <w:t>1</w:t>
      </w:r>
      <w:r>
        <w:rPr>
          <w:rFonts w:ascii="黑体" w:hAnsi="黑体"/>
          <w:szCs w:val="18"/>
        </w:rPr>
        <w:t>00厚；</w:t>
      </w:r>
    </w:p>
    <w:p w14:paraId="37A855AB">
      <w:pPr>
        <w:widowControl/>
        <w:autoSpaceDE w:val="0"/>
        <w:autoSpaceDN w:val="0"/>
        <w:adjustRightInd w:val="0"/>
        <w:spacing w:line="360" w:lineRule="auto"/>
        <w:jc w:val="left"/>
        <w:rPr>
          <w:rFonts w:ascii="黑体" w:hAnsi="黑体"/>
          <w:b/>
          <w:kern w:val="0"/>
          <w:szCs w:val="18"/>
        </w:rPr>
      </w:pPr>
      <w:r>
        <w:rPr>
          <w:rFonts w:ascii="黑体" w:hAnsi="黑体"/>
          <w:b/>
          <w:szCs w:val="18"/>
        </w:rPr>
        <w:t>2.3.5.2</w:t>
      </w:r>
      <w:r>
        <w:rPr>
          <w:rFonts w:hint="eastAsia" w:ascii="黑体" w:hAnsi="黑体"/>
          <w:b/>
          <w:kern w:val="0"/>
          <w:szCs w:val="18"/>
        </w:rPr>
        <w:t>、导墙设置要求：</w:t>
      </w:r>
    </w:p>
    <w:p w14:paraId="0B2C97D2">
      <w:pPr>
        <w:autoSpaceDE w:val="0"/>
        <w:autoSpaceDN w:val="0"/>
        <w:adjustRightInd w:val="0"/>
        <w:spacing w:line="360" w:lineRule="auto"/>
        <w:jc w:val="left"/>
        <w:rPr>
          <w:rFonts w:ascii="黑体" w:hAnsi="黑体"/>
          <w:b/>
          <w:szCs w:val="18"/>
        </w:rPr>
      </w:pPr>
      <w:r>
        <w:rPr>
          <w:rFonts w:ascii="黑体" w:hAnsi="黑体"/>
          <w:szCs w:val="18"/>
        </w:rPr>
        <w:t>（</w:t>
      </w:r>
      <w:r>
        <w:rPr>
          <w:rFonts w:hint="eastAsia" w:ascii="黑体" w:hAnsi="黑体"/>
          <w:szCs w:val="18"/>
        </w:rPr>
        <w:t>1</w:t>
      </w:r>
      <w:r>
        <w:rPr>
          <w:rFonts w:ascii="黑体" w:hAnsi="黑体"/>
          <w:szCs w:val="18"/>
        </w:rPr>
        <w:t>）</w:t>
      </w:r>
      <w:r>
        <w:rPr>
          <w:rFonts w:hint="eastAsia" w:ascii="黑体" w:hAnsi="黑体"/>
          <w:b/>
          <w:szCs w:val="18"/>
        </w:rPr>
        <w:t>外墙：</w:t>
      </w:r>
    </w:p>
    <w:p w14:paraId="110D8639">
      <w:pPr>
        <w:pStyle w:val="49"/>
        <w:numPr>
          <w:ilvl w:val="0"/>
          <w:numId w:val="16"/>
        </w:numPr>
        <w:autoSpaceDE w:val="0"/>
        <w:autoSpaceDN w:val="0"/>
        <w:adjustRightInd w:val="0"/>
        <w:spacing w:line="360" w:lineRule="auto"/>
        <w:ind w:firstLineChars="0"/>
        <w:jc w:val="left"/>
        <w:rPr>
          <w:rFonts w:ascii="黑体" w:hAnsi="黑体"/>
          <w:szCs w:val="18"/>
        </w:rPr>
      </w:pPr>
      <w:r>
        <w:rPr>
          <w:rFonts w:ascii="黑体" w:hAnsi="黑体"/>
          <w:szCs w:val="18"/>
        </w:rPr>
        <w:t>首层及屋面外墙应设置导墙</w:t>
      </w:r>
      <w:r>
        <w:rPr>
          <w:rFonts w:hint="eastAsia" w:ascii="黑体" w:hAnsi="黑体"/>
          <w:szCs w:val="18"/>
        </w:rPr>
        <w:t>，高度</w:t>
      </w:r>
      <w:r>
        <w:rPr>
          <w:rFonts w:ascii="黑体" w:hAnsi="黑体"/>
          <w:szCs w:val="18"/>
        </w:rPr>
        <w:t>高于</w:t>
      </w:r>
      <w:r>
        <w:rPr>
          <w:rFonts w:hint="eastAsia" w:ascii="黑体" w:hAnsi="黑体"/>
          <w:szCs w:val="18"/>
        </w:rPr>
        <w:t>建筑</w:t>
      </w:r>
      <w:r>
        <w:rPr>
          <w:rFonts w:ascii="黑体" w:hAnsi="黑体"/>
          <w:szCs w:val="18"/>
        </w:rPr>
        <w:t>完成面200</w:t>
      </w:r>
      <w:r>
        <w:rPr>
          <w:rFonts w:hint="eastAsia" w:ascii="黑体" w:hAnsi="黑体"/>
          <w:szCs w:val="18"/>
        </w:rPr>
        <w:t>mm；</w:t>
      </w:r>
    </w:p>
    <w:p w14:paraId="25629E93">
      <w:pPr>
        <w:pStyle w:val="49"/>
        <w:numPr>
          <w:ilvl w:val="0"/>
          <w:numId w:val="16"/>
        </w:numPr>
        <w:autoSpaceDE w:val="0"/>
        <w:autoSpaceDN w:val="0"/>
        <w:adjustRightInd w:val="0"/>
        <w:spacing w:line="360" w:lineRule="auto"/>
        <w:ind w:firstLineChars="0"/>
        <w:jc w:val="left"/>
        <w:rPr>
          <w:rFonts w:ascii="黑体" w:hAnsi="黑体"/>
          <w:szCs w:val="18"/>
        </w:rPr>
      </w:pPr>
      <w:r>
        <w:rPr>
          <w:rFonts w:ascii="黑体" w:hAnsi="黑体"/>
          <w:szCs w:val="18"/>
        </w:rPr>
        <w:t>其余</w:t>
      </w:r>
      <w:r>
        <w:rPr>
          <w:rFonts w:hint="eastAsia" w:ascii="黑体" w:hAnsi="黑体"/>
          <w:szCs w:val="18"/>
        </w:rPr>
        <w:t>楼层导墙设置</w:t>
      </w:r>
      <w:r>
        <w:rPr>
          <w:rFonts w:ascii="黑体" w:hAnsi="黑体"/>
          <w:szCs w:val="18"/>
        </w:rPr>
        <w:t>同内墙</w:t>
      </w:r>
      <w:r>
        <w:rPr>
          <w:rFonts w:hint="eastAsia" w:ascii="黑体" w:hAnsi="黑体"/>
          <w:szCs w:val="18"/>
        </w:rPr>
        <w:t>；</w:t>
      </w:r>
    </w:p>
    <w:p w14:paraId="085345F9">
      <w:pPr>
        <w:autoSpaceDE w:val="0"/>
        <w:autoSpaceDN w:val="0"/>
        <w:adjustRightInd w:val="0"/>
        <w:spacing w:line="360" w:lineRule="auto"/>
        <w:jc w:val="left"/>
        <w:rPr>
          <w:rFonts w:ascii="黑体" w:hAnsi="黑体"/>
          <w:b/>
          <w:szCs w:val="18"/>
        </w:rPr>
      </w:pPr>
      <w:r>
        <w:rPr>
          <w:rFonts w:ascii="黑体" w:hAnsi="黑体"/>
          <w:szCs w:val="18"/>
        </w:rPr>
        <w:t>（</w:t>
      </w:r>
      <w:r>
        <w:rPr>
          <w:rFonts w:hint="eastAsia" w:ascii="黑体" w:hAnsi="黑体"/>
          <w:szCs w:val="18"/>
        </w:rPr>
        <w:t>2</w:t>
      </w:r>
      <w:r>
        <w:rPr>
          <w:rFonts w:ascii="黑体" w:hAnsi="黑体"/>
          <w:szCs w:val="18"/>
        </w:rPr>
        <w:t>）</w:t>
      </w:r>
      <w:r>
        <w:rPr>
          <w:rFonts w:hint="eastAsia" w:ascii="黑体" w:hAnsi="黑体"/>
          <w:b/>
          <w:szCs w:val="18"/>
        </w:rPr>
        <w:t>内墙：</w:t>
      </w:r>
    </w:p>
    <w:p w14:paraId="63F34FD7">
      <w:pPr>
        <w:pStyle w:val="49"/>
        <w:numPr>
          <w:ilvl w:val="0"/>
          <w:numId w:val="17"/>
        </w:numPr>
        <w:autoSpaceDE w:val="0"/>
        <w:autoSpaceDN w:val="0"/>
        <w:adjustRightInd w:val="0"/>
        <w:spacing w:line="360" w:lineRule="auto"/>
        <w:ind w:firstLineChars="0"/>
        <w:jc w:val="left"/>
        <w:rPr>
          <w:rFonts w:ascii="黑体" w:hAnsi="黑体"/>
          <w:szCs w:val="18"/>
        </w:rPr>
      </w:pPr>
      <w:r>
        <w:rPr>
          <w:rFonts w:hint="eastAsia" w:ascii="黑体" w:hAnsi="黑体"/>
          <w:szCs w:val="18"/>
        </w:rPr>
        <w:t>厨房、洗手间墙体</w:t>
      </w:r>
      <w:r>
        <w:rPr>
          <w:rFonts w:ascii="黑体" w:hAnsi="黑体"/>
          <w:szCs w:val="18"/>
        </w:rPr>
        <w:t>应设置</w:t>
      </w:r>
      <w:r>
        <w:rPr>
          <w:rFonts w:hint="eastAsia" w:ascii="黑体" w:hAnsi="黑体"/>
          <w:szCs w:val="18"/>
        </w:rPr>
        <w:t>混凝土</w:t>
      </w:r>
      <w:r>
        <w:rPr>
          <w:rFonts w:ascii="黑体" w:hAnsi="黑体"/>
          <w:szCs w:val="18"/>
        </w:rPr>
        <w:t>导墙</w:t>
      </w:r>
      <w:r>
        <w:rPr>
          <w:rFonts w:hint="eastAsia" w:ascii="黑体" w:hAnsi="黑体"/>
          <w:szCs w:val="18"/>
        </w:rPr>
        <w:t>，高度高于建筑完成面2</w:t>
      </w:r>
      <w:r>
        <w:rPr>
          <w:rFonts w:ascii="黑体" w:hAnsi="黑体"/>
          <w:szCs w:val="18"/>
        </w:rPr>
        <w:t>00mm</w:t>
      </w:r>
      <w:r>
        <w:rPr>
          <w:rFonts w:hint="eastAsia" w:ascii="黑体" w:hAnsi="黑体"/>
          <w:szCs w:val="18"/>
        </w:rPr>
        <w:t>。</w:t>
      </w:r>
    </w:p>
    <w:p w14:paraId="47E3A3EA">
      <w:pPr>
        <w:pStyle w:val="49"/>
        <w:numPr>
          <w:ilvl w:val="0"/>
          <w:numId w:val="17"/>
        </w:numPr>
        <w:autoSpaceDE w:val="0"/>
        <w:autoSpaceDN w:val="0"/>
        <w:adjustRightInd w:val="0"/>
        <w:spacing w:line="360" w:lineRule="auto"/>
        <w:ind w:firstLineChars="0"/>
        <w:jc w:val="left"/>
        <w:rPr>
          <w:rFonts w:ascii="黑体" w:hAnsi="黑体"/>
          <w:szCs w:val="18"/>
        </w:rPr>
      </w:pPr>
      <w:r>
        <w:rPr>
          <w:rFonts w:hint="eastAsia" w:ascii="黑体" w:hAnsi="黑体"/>
          <w:szCs w:val="18"/>
        </w:rPr>
        <w:t>其余有水房间、穿楼板的管道洞口周围必须设置混凝土</w:t>
      </w:r>
      <w:r>
        <w:rPr>
          <w:rFonts w:ascii="黑体" w:hAnsi="黑体"/>
          <w:szCs w:val="18"/>
        </w:rPr>
        <w:t>导墙</w:t>
      </w:r>
      <w:r>
        <w:rPr>
          <w:rFonts w:hint="eastAsia" w:ascii="黑体" w:hAnsi="黑体"/>
          <w:szCs w:val="18"/>
        </w:rPr>
        <w:t>，宽度100，高于建筑完成面1</w:t>
      </w:r>
      <w:r>
        <w:rPr>
          <w:rFonts w:ascii="黑体" w:hAnsi="黑体"/>
          <w:szCs w:val="18"/>
        </w:rPr>
        <w:t>00mm</w:t>
      </w:r>
      <w:r>
        <w:rPr>
          <w:rFonts w:hint="eastAsia" w:ascii="黑体" w:hAnsi="黑体"/>
          <w:szCs w:val="18"/>
        </w:rPr>
        <w:t>；</w:t>
      </w:r>
    </w:p>
    <w:p w14:paraId="0E26F277">
      <w:pPr>
        <w:pStyle w:val="49"/>
        <w:numPr>
          <w:ilvl w:val="0"/>
          <w:numId w:val="17"/>
        </w:numPr>
        <w:autoSpaceDE w:val="0"/>
        <w:autoSpaceDN w:val="0"/>
        <w:adjustRightInd w:val="0"/>
        <w:spacing w:line="360" w:lineRule="auto"/>
        <w:ind w:firstLineChars="0"/>
        <w:jc w:val="left"/>
        <w:rPr>
          <w:rFonts w:ascii="黑体" w:hAnsi="黑体"/>
          <w:szCs w:val="18"/>
        </w:rPr>
      </w:pPr>
      <w:r>
        <w:rPr>
          <w:rFonts w:hint="eastAsia" w:ascii="黑体" w:hAnsi="黑体"/>
          <w:szCs w:val="18"/>
        </w:rPr>
        <w:t>穿楼板的桥架预留洞周围必须设置混凝土</w:t>
      </w:r>
      <w:r>
        <w:rPr>
          <w:rFonts w:ascii="黑体" w:hAnsi="黑体"/>
          <w:szCs w:val="18"/>
        </w:rPr>
        <w:t>导墙</w:t>
      </w:r>
      <w:r>
        <w:rPr>
          <w:rFonts w:hint="eastAsia" w:ascii="黑体" w:hAnsi="黑体"/>
          <w:szCs w:val="18"/>
        </w:rPr>
        <w:t>，止水槛宽度100，反槛高度</w:t>
      </w:r>
      <w:r>
        <w:rPr>
          <w:rFonts w:ascii="黑体" w:hAnsi="黑体"/>
          <w:szCs w:val="18"/>
        </w:rPr>
        <w:t>150</w:t>
      </w:r>
      <w:r>
        <w:rPr>
          <w:rFonts w:hint="eastAsia" w:ascii="黑体" w:hAnsi="黑体"/>
          <w:szCs w:val="18"/>
        </w:rPr>
        <w:t>；</w:t>
      </w:r>
    </w:p>
    <w:p w14:paraId="1D87588E">
      <w:pPr>
        <w:pStyle w:val="49"/>
        <w:numPr>
          <w:ilvl w:val="0"/>
          <w:numId w:val="17"/>
        </w:numPr>
        <w:autoSpaceDE w:val="0"/>
        <w:autoSpaceDN w:val="0"/>
        <w:adjustRightInd w:val="0"/>
        <w:spacing w:line="360" w:lineRule="auto"/>
        <w:ind w:firstLineChars="0"/>
        <w:jc w:val="left"/>
        <w:rPr>
          <w:rFonts w:ascii="黑体" w:hAnsi="黑体"/>
          <w:szCs w:val="18"/>
        </w:rPr>
      </w:pPr>
      <w:r>
        <w:rPr>
          <w:rFonts w:hint="eastAsia" w:ascii="黑体" w:hAnsi="黑体"/>
          <w:szCs w:val="18"/>
        </w:rPr>
        <w:t>最底层地下室房间墙体均按有水房间设置；</w:t>
      </w:r>
    </w:p>
    <w:p w14:paraId="21C67075">
      <w:pPr>
        <w:pStyle w:val="49"/>
        <w:numPr>
          <w:ilvl w:val="0"/>
          <w:numId w:val="17"/>
        </w:numPr>
        <w:autoSpaceDE w:val="0"/>
        <w:autoSpaceDN w:val="0"/>
        <w:adjustRightInd w:val="0"/>
        <w:spacing w:line="360" w:lineRule="auto"/>
        <w:ind w:firstLineChars="0"/>
        <w:jc w:val="left"/>
        <w:rPr>
          <w:rFonts w:ascii="黑体" w:hAnsi="黑体"/>
          <w:szCs w:val="18"/>
        </w:rPr>
      </w:pPr>
      <w:r>
        <w:rPr>
          <w:rFonts w:hint="eastAsia" w:ascii="黑体" w:hAnsi="黑体"/>
          <w:szCs w:val="18"/>
        </w:rPr>
        <w:t>强弱电间等电气用房墙体</w:t>
      </w:r>
      <w:r>
        <w:rPr>
          <w:rFonts w:ascii="黑体" w:hAnsi="黑体"/>
          <w:szCs w:val="18"/>
        </w:rPr>
        <w:t>应设置</w:t>
      </w:r>
      <w:r>
        <w:rPr>
          <w:rFonts w:hint="eastAsia" w:ascii="黑体" w:hAnsi="黑体"/>
          <w:szCs w:val="18"/>
        </w:rPr>
        <w:t>混凝土</w:t>
      </w:r>
      <w:r>
        <w:rPr>
          <w:rFonts w:ascii="黑体" w:hAnsi="黑体"/>
          <w:szCs w:val="18"/>
        </w:rPr>
        <w:t>导墙</w:t>
      </w:r>
      <w:r>
        <w:rPr>
          <w:rFonts w:hint="eastAsia" w:ascii="黑体" w:hAnsi="黑体"/>
          <w:szCs w:val="18"/>
        </w:rPr>
        <w:t>，高度高于周边建筑完成面2</w:t>
      </w:r>
      <w:r>
        <w:rPr>
          <w:rFonts w:ascii="黑体" w:hAnsi="黑体"/>
          <w:szCs w:val="18"/>
        </w:rPr>
        <w:t>00mm</w:t>
      </w:r>
      <w:r>
        <w:rPr>
          <w:rFonts w:hint="eastAsia" w:ascii="黑体" w:hAnsi="黑体"/>
          <w:szCs w:val="18"/>
        </w:rPr>
        <w:t>。</w:t>
      </w:r>
    </w:p>
    <w:p w14:paraId="5C16DFE9">
      <w:pPr>
        <w:pStyle w:val="49"/>
        <w:numPr>
          <w:ilvl w:val="0"/>
          <w:numId w:val="17"/>
        </w:numPr>
        <w:autoSpaceDE w:val="0"/>
        <w:autoSpaceDN w:val="0"/>
        <w:adjustRightInd w:val="0"/>
        <w:spacing w:line="360" w:lineRule="auto"/>
        <w:ind w:firstLineChars="0"/>
        <w:jc w:val="left"/>
        <w:rPr>
          <w:rFonts w:ascii="黑体" w:hAnsi="黑体"/>
          <w:szCs w:val="18"/>
        </w:rPr>
      </w:pPr>
      <w:r>
        <w:rPr>
          <w:rFonts w:hint="eastAsia" w:ascii="黑体" w:hAnsi="黑体"/>
          <w:sz w:val="20"/>
          <w:szCs w:val="20"/>
        </w:rPr>
        <w:t>其他无水房间可不设混凝土导墙；</w:t>
      </w:r>
    </w:p>
    <w:p w14:paraId="47064D9A">
      <w:pPr>
        <w:autoSpaceDE w:val="0"/>
        <w:autoSpaceDN w:val="0"/>
        <w:adjustRightInd w:val="0"/>
        <w:spacing w:line="360" w:lineRule="auto"/>
        <w:jc w:val="left"/>
        <w:rPr>
          <w:rFonts w:ascii="黑体" w:hAnsi="黑体"/>
          <w:szCs w:val="18"/>
        </w:rPr>
      </w:pPr>
      <w:r>
        <w:rPr>
          <w:rFonts w:ascii="黑体" w:hAnsi="黑体"/>
          <w:szCs w:val="18"/>
        </w:rPr>
        <w:t>（3）</w:t>
      </w:r>
      <w:r>
        <w:rPr>
          <w:rFonts w:hint="eastAsia" w:ascii="黑体" w:hAnsi="黑体"/>
          <w:szCs w:val="18"/>
        </w:rPr>
        <w:t>对于150厚及以上的导墙，插筋按双排筋+纵筋设置，对于</w:t>
      </w:r>
      <w:r>
        <w:rPr>
          <w:rFonts w:ascii="黑体" w:hAnsi="黑体"/>
          <w:szCs w:val="18"/>
        </w:rPr>
        <w:t>1</w:t>
      </w:r>
      <w:r>
        <w:rPr>
          <w:rFonts w:hint="eastAsia" w:ascii="黑体" w:hAnsi="黑体"/>
          <w:szCs w:val="18"/>
        </w:rPr>
        <w:t>00厚墙体，导墙可按单排筋+纵筋设置。具体详下图：</w:t>
      </w:r>
    </w:p>
    <w:p w14:paraId="55211390">
      <w:pPr>
        <w:autoSpaceDE w:val="0"/>
        <w:autoSpaceDN w:val="0"/>
        <w:adjustRightInd w:val="0"/>
        <w:spacing w:line="360" w:lineRule="auto"/>
        <w:ind w:firstLine="180" w:firstLineChars="100"/>
        <w:jc w:val="left"/>
        <w:rPr>
          <w:rFonts w:ascii="黑体" w:hAnsi="黑体"/>
          <w:szCs w:val="18"/>
        </w:rPr>
      </w:pPr>
      <w:r>
        <w:rPr>
          <w:rFonts w:ascii="黑体" w:hAnsi="黑体"/>
          <w:szCs w:val="18"/>
        </w:rPr>
        <w:drawing>
          <wp:inline distT="0" distB="0" distL="0" distR="0">
            <wp:extent cx="5274310" cy="2131695"/>
            <wp:effectExtent l="0" t="0" r="254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5274310" cy="2131695"/>
                    </a:xfrm>
                    <a:prstGeom prst="rect">
                      <a:avLst/>
                    </a:prstGeom>
                  </pic:spPr>
                </pic:pic>
              </a:graphicData>
            </a:graphic>
          </wp:inline>
        </w:drawing>
      </w:r>
    </w:p>
    <w:p w14:paraId="342F5BB8">
      <w:pPr>
        <w:autoSpaceDE w:val="0"/>
        <w:autoSpaceDN w:val="0"/>
        <w:adjustRightInd w:val="0"/>
        <w:spacing w:line="360" w:lineRule="auto"/>
        <w:jc w:val="left"/>
        <w:rPr>
          <w:rFonts w:ascii="黑体" w:hAnsi="黑体"/>
          <w:szCs w:val="18"/>
        </w:rPr>
      </w:pPr>
      <w:r>
        <w:rPr>
          <w:rFonts w:ascii="黑体" w:hAnsi="黑体"/>
          <w:szCs w:val="18"/>
        </w:rPr>
        <w:t>（4）</w:t>
      </w:r>
      <w:r>
        <w:rPr>
          <w:rFonts w:hint="eastAsia" w:ascii="黑体" w:hAnsi="黑体"/>
          <w:szCs w:val="18"/>
        </w:rPr>
        <w:t>后植筋按≤1</w:t>
      </w:r>
      <w:r>
        <w:rPr>
          <w:rFonts w:ascii="黑体" w:hAnsi="黑体"/>
          <w:szCs w:val="18"/>
        </w:rPr>
        <w:t>000mm间隔设置</w:t>
      </w:r>
      <w:r>
        <w:rPr>
          <w:rFonts w:hint="eastAsia" w:ascii="黑体" w:hAnsi="黑体"/>
          <w:szCs w:val="18"/>
        </w:rPr>
        <w:t>，</w:t>
      </w:r>
    </w:p>
    <w:p w14:paraId="14AF7455">
      <w:pPr>
        <w:autoSpaceDE w:val="0"/>
        <w:autoSpaceDN w:val="0"/>
        <w:adjustRightInd w:val="0"/>
        <w:spacing w:line="360" w:lineRule="auto"/>
        <w:jc w:val="left"/>
        <w:rPr>
          <w:rFonts w:ascii="黑体" w:hAnsi="黑体"/>
          <w:szCs w:val="18"/>
        </w:rPr>
      </w:pPr>
      <w:r>
        <w:rPr>
          <w:rFonts w:ascii="黑体" w:hAnsi="黑体"/>
          <w:szCs w:val="18"/>
        </w:rPr>
        <w:t>（5）相邻两侧构造做法厚度不一致的房间，</w:t>
      </w:r>
      <w:r>
        <w:rPr>
          <w:rFonts w:hint="eastAsia" w:ascii="黑体" w:hAnsi="黑体"/>
          <w:szCs w:val="18"/>
        </w:rPr>
        <w:t>导墙设置</w:t>
      </w:r>
      <w:r>
        <w:rPr>
          <w:rFonts w:ascii="黑体" w:hAnsi="黑体"/>
          <w:szCs w:val="18"/>
        </w:rPr>
        <w:t>原则是就高不就低</w:t>
      </w:r>
      <w:r>
        <w:rPr>
          <w:rFonts w:hint="eastAsia" w:ascii="黑体" w:hAnsi="黑体"/>
          <w:szCs w:val="18"/>
        </w:rPr>
        <w:t>。</w:t>
      </w:r>
    </w:p>
    <w:p w14:paraId="34F1ACCD">
      <w:pPr>
        <w:autoSpaceDE w:val="0"/>
        <w:autoSpaceDN w:val="0"/>
        <w:adjustRightInd w:val="0"/>
        <w:spacing w:line="360" w:lineRule="auto"/>
        <w:jc w:val="left"/>
        <w:rPr>
          <w:rFonts w:ascii="黑体" w:hAnsi="黑体"/>
          <w:szCs w:val="18"/>
        </w:rPr>
      </w:pPr>
      <w:r>
        <w:rPr>
          <w:rFonts w:ascii="黑体" w:hAnsi="黑体"/>
          <w:szCs w:val="18"/>
        </w:rPr>
        <w:t>（6）</w:t>
      </w:r>
      <w:r>
        <w:rPr>
          <w:rFonts w:hint="eastAsia" w:ascii="黑体" w:hAnsi="黑体"/>
          <w:szCs w:val="18"/>
        </w:rPr>
        <w:t>对于层高≥6</w:t>
      </w:r>
      <w:r>
        <w:rPr>
          <w:rFonts w:ascii="黑体" w:hAnsi="黑体"/>
          <w:szCs w:val="18"/>
        </w:rPr>
        <w:t>.5m的楼栋（如首层、地下一层的主楼对应部位），可以采用</w:t>
      </w:r>
      <w:r>
        <w:rPr>
          <w:rFonts w:hint="eastAsia" w:ascii="黑体" w:hAnsi="黑体"/>
          <w:szCs w:val="18"/>
        </w:rPr>
        <w:t>适当</w:t>
      </w:r>
      <w:r>
        <w:rPr>
          <w:rFonts w:ascii="黑体" w:hAnsi="黑体"/>
          <w:szCs w:val="18"/>
        </w:rPr>
        <w:t>加高导墙的做法，以保证</w:t>
      </w:r>
      <w:r>
        <w:rPr>
          <w:rFonts w:hint="eastAsia" w:ascii="黑体" w:hAnsi="黑体"/>
          <w:szCs w:val="18"/>
        </w:rPr>
        <w:t>ALC</w:t>
      </w:r>
      <w:r>
        <w:rPr>
          <w:rFonts w:ascii="黑体" w:hAnsi="黑体"/>
          <w:szCs w:val="18"/>
        </w:rPr>
        <w:t>板长度不大于</w:t>
      </w:r>
      <w:r>
        <w:rPr>
          <w:rFonts w:hint="eastAsia" w:ascii="黑体" w:hAnsi="黑体"/>
          <w:szCs w:val="18"/>
        </w:rPr>
        <w:t>6</w:t>
      </w:r>
      <w:r>
        <w:rPr>
          <w:rFonts w:ascii="黑体" w:hAnsi="黑体"/>
          <w:szCs w:val="18"/>
        </w:rPr>
        <w:t>m</w:t>
      </w:r>
      <w:r>
        <w:rPr>
          <w:rFonts w:hint="eastAsia" w:ascii="黑体" w:hAnsi="黑体"/>
          <w:szCs w:val="18"/>
        </w:rPr>
        <w:t>便于安装</w:t>
      </w:r>
      <w:r>
        <w:rPr>
          <w:rFonts w:ascii="黑体" w:hAnsi="黑体"/>
          <w:szCs w:val="18"/>
        </w:rPr>
        <w:t>。</w:t>
      </w:r>
    </w:p>
    <w:p w14:paraId="563DEF30">
      <w:pPr>
        <w:widowControl/>
        <w:autoSpaceDE w:val="0"/>
        <w:autoSpaceDN w:val="0"/>
        <w:adjustRightInd w:val="0"/>
        <w:spacing w:line="360" w:lineRule="auto"/>
        <w:jc w:val="left"/>
        <w:rPr>
          <w:rFonts w:ascii="黑体" w:hAnsi="黑体"/>
          <w:b/>
          <w:kern w:val="0"/>
          <w:szCs w:val="18"/>
        </w:rPr>
      </w:pPr>
    </w:p>
    <w:p w14:paraId="5652F854">
      <w:pPr>
        <w:widowControl/>
        <w:autoSpaceDE w:val="0"/>
        <w:autoSpaceDN w:val="0"/>
        <w:adjustRightInd w:val="0"/>
        <w:spacing w:line="360" w:lineRule="auto"/>
        <w:jc w:val="left"/>
        <w:rPr>
          <w:rFonts w:ascii="黑体" w:hAnsi="黑体"/>
          <w:b/>
          <w:kern w:val="0"/>
          <w:szCs w:val="18"/>
        </w:rPr>
      </w:pPr>
      <w:r>
        <w:rPr>
          <w:rFonts w:ascii="黑体" w:hAnsi="黑体"/>
          <w:b/>
          <w:szCs w:val="18"/>
        </w:rPr>
        <w:t>2.3.5.3</w:t>
      </w:r>
      <w:r>
        <w:rPr>
          <w:rFonts w:hint="eastAsia" w:ascii="黑体" w:hAnsi="黑体"/>
          <w:b/>
          <w:kern w:val="0"/>
          <w:szCs w:val="18"/>
        </w:rPr>
        <w:t>、A</w:t>
      </w:r>
      <w:r>
        <w:rPr>
          <w:rFonts w:ascii="黑体" w:hAnsi="黑体"/>
          <w:b/>
          <w:kern w:val="0"/>
          <w:szCs w:val="18"/>
        </w:rPr>
        <w:t>LC</w:t>
      </w:r>
      <w:r>
        <w:rPr>
          <w:rFonts w:hint="eastAsia" w:ascii="黑体" w:hAnsi="黑体"/>
          <w:b/>
          <w:kern w:val="0"/>
          <w:szCs w:val="18"/>
        </w:rPr>
        <w:t>墙体构造做法</w:t>
      </w:r>
    </w:p>
    <w:p w14:paraId="0B4AADA1">
      <w:pPr>
        <w:widowControl/>
        <w:autoSpaceDE w:val="0"/>
        <w:autoSpaceDN w:val="0"/>
        <w:adjustRightInd w:val="0"/>
        <w:spacing w:line="360" w:lineRule="auto"/>
        <w:jc w:val="left"/>
        <w:rPr>
          <w:rFonts w:ascii="黑体" w:hAnsi="黑体"/>
          <w:b/>
          <w:kern w:val="0"/>
          <w:szCs w:val="18"/>
        </w:rPr>
      </w:pPr>
      <w:r>
        <w:rPr>
          <w:rFonts w:ascii="黑体" w:hAnsi="黑体"/>
          <w:b/>
          <w:kern w:val="0"/>
          <w:szCs w:val="18"/>
        </w:rPr>
        <w:t>（</w:t>
      </w:r>
      <w:r>
        <w:rPr>
          <w:rFonts w:hint="eastAsia" w:ascii="黑体" w:hAnsi="黑体"/>
          <w:b/>
          <w:kern w:val="0"/>
          <w:szCs w:val="18"/>
        </w:rPr>
        <w:t>1</w:t>
      </w:r>
      <w:r>
        <w:rPr>
          <w:rFonts w:ascii="黑体" w:hAnsi="黑体"/>
          <w:b/>
          <w:kern w:val="0"/>
          <w:szCs w:val="18"/>
        </w:rPr>
        <w:t>）外墙构造做法</w:t>
      </w:r>
    </w:p>
    <w:tbl>
      <w:tblPr>
        <w:tblStyle w:val="36"/>
        <w:tblW w:w="5153"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1"/>
        <w:gridCol w:w="722"/>
        <w:gridCol w:w="1595"/>
        <w:gridCol w:w="3916"/>
        <w:gridCol w:w="1597"/>
        <w:gridCol w:w="1597"/>
      </w:tblGrid>
      <w:tr w14:paraId="739D3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0" w:type="pct"/>
            <w:vAlign w:val="center"/>
          </w:tcPr>
          <w:p w14:paraId="59E77307">
            <w:pPr>
              <w:jc w:val="left"/>
              <w:rPr>
                <w:rFonts w:ascii="黑体" w:hAnsi="黑体"/>
                <w:b/>
                <w:szCs w:val="18"/>
              </w:rPr>
            </w:pPr>
            <w:r>
              <w:rPr>
                <w:rFonts w:hint="eastAsia" w:ascii="黑体" w:hAnsi="黑体"/>
                <w:b/>
                <w:szCs w:val="18"/>
              </w:rPr>
              <w:t>类别</w:t>
            </w:r>
          </w:p>
        </w:tc>
        <w:tc>
          <w:tcPr>
            <w:tcW w:w="355" w:type="pct"/>
            <w:vAlign w:val="center"/>
          </w:tcPr>
          <w:p w14:paraId="6DE28727">
            <w:pPr>
              <w:jc w:val="left"/>
              <w:rPr>
                <w:rFonts w:ascii="黑体" w:hAnsi="黑体"/>
                <w:b/>
                <w:szCs w:val="18"/>
              </w:rPr>
            </w:pPr>
            <w:r>
              <w:rPr>
                <w:rFonts w:hint="eastAsia" w:ascii="黑体" w:hAnsi="黑体"/>
                <w:b/>
                <w:szCs w:val="18"/>
              </w:rPr>
              <w:t>编号</w:t>
            </w:r>
          </w:p>
        </w:tc>
        <w:tc>
          <w:tcPr>
            <w:tcW w:w="785" w:type="pct"/>
            <w:vAlign w:val="center"/>
          </w:tcPr>
          <w:p w14:paraId="4428BE48">
            <w:pPr>
              <w:jc w:val="left"/>
              <w:rPr>
                <w:rFonts w:ascii="黑体" w:hAnsi="黑体"/>
                <w:b/>
                <w:szCs w:val="18"/>
              </w:rPr>
            </w:pPr>
            <w:r>
              <w:rPr>
                <w:rFonts w:hint="eastAsia" w:ascii="黑体" w:hAnsi="黑体"/>
                <w:b/>
                <w:szCs w:val="18"/>
              </w:rPr>
              <w:t>名称</w:t>
            </w:r>
          </w:p>
        </w:tc>
        <w:tc>
          <w:tcPr>
            <w:tcW w:w="1928" w:type="pct"/>
            <w:vAlign w:val="center"/>
          </w:tcPr>
          <w:p w14:paraId="77808342">
            <w:pPr>
              <w:jc w:val="left"/>
              <w:rPr>
                <w:rFonts w:ascii="黑体" w:hAnsi="黑体"/>
                <w:b/>
                <w:szCs w:val="18"/>
              </w:rPr>
            </w:pPr>
            <w:r>
              <w:rPr>
                <w:rFonts w:hint="eastAsia" w:ascii="黑体" w:hAnsi="黑体"/>
                <w:b/>
                <w:szCs w:val="18"/>
              </w:rPr>
              <w:t>构造做法</w:t>
            </w:r>
          </w:p>
        </w:tc>
        <w:tc>
          <w:tcPr>
            <w:tcW w:w="786" w:type="pct"/>
            <w:vAlign w:val="center"/>
          </w:tcPr>
          <w:p w14:paraId="5B5BE9AB">
            <w:pPr>
              <w:jc w:val="left"/>
              <w:rPr>
                <w:rFonts w:ascii="黑体" w:hAnsi="黑体"/>
                <w:b/>
                <w:szCs w:val="18"/>
              </w:rPr>
            </w:pPr>
            <w:r>
              <w:rPr>
                <w:rFonts w:hint="eastAsia" w:ascii="黑体" w:hAnsi="黑体"/>
                <w:b/>
                <w:szCs w:val="18"/>
              </w:rPr>
              <w:t>说明</w:t>
            </w:r>
          </w:p>
        </w:tc>
        <w:tc>
          <w:tcPr>
            <w:tcW w:w="786" w:type="pct"/>
            <w:vAlign w:val="center"/>
          </w:tcPr>
          <w:p w14:paraId="0B3ECE67">
            <w:pPr>
              <w:jc w:val="left"/>
              <w:rPr>
                <w:rFonts w:ascii="黑体" w:hAnsi="黑体"/>
                <w:b/>
                <w:szCs w:val="18"/>
              </w:rPr>
            </w:pPr>
            <w:r>
              <w:rPr>
                <w:rFonts w:hint="eastAsia" w:ascii="黑体" w:hAnsi="黑体"/>
                <w:b/>
                <w:szCs w:val="18"/>
              </w:rPr>
              <w:t>适合建筑类别：</w:t>
            </w:r>
          </w:p>
        </w:tc>
      </w:tr>
      <w:tr w14:paraId="3FD64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0" w:type="pct"/>
            <w:vAlign w:val="center"/>
          </w:tcPr>
          <w:p w14:paraId="44CBCBC3">
            <w:pPr>
              <w:jc w:val="left"/>
              <w:rPr>
                <w:rFonts w:ascii="黑体" w:hAnsi="黑体"/>
                <w:szCs w:val="18"/>
              </w:rPr>
            </w:pPr>
            <w:r>
              <w:rPr>
                <w:rFonts w:hint="eastAsia" w:ascii="黑体" w:hAnsi="黑体"/>
                <w:szCs w:val="18"/>
              </w:rPr>
              <w:t>外墙</w:t>
            </w:r>
          </w:p>
        </w:tc>
        <w:tc>
          <w:tcPr>
            <w:tcW w:w="355" w:type="pct"/>
            <w:vAlign w:val="center"/>
          </w:tcPr>
          <w:p w14:paraId="760027CC">
            <w:pPr>
              <w:jc w:val="left"/>
              <w:rPr>
                <w:rFonts w:ascii="黑体" w:hAnsi="黑体"/>
                <w:szCs w:val="18"/>
              </w:rPr>
            </w:pPr>
            <w:r>
              <w:rPr>
                <w:rFonts w:hint="eastAsia" w:ascii="黑体" w:hAnsi="黑体"/>
                <w:szCs w:val="18"/>
              </w:rPr>
              <w:t>WQ03A</w:t>
            </w:r>
          </w:p>
          <w:p w14:paraId="2897B055">
            <w:pPr>
              <w:jc w:val="left"/>
              <w:rPr>
                <w:rFonts w:ascii="黑体" w:hAnsi="黑体"/>
                <w:szCs w:val="18"/>
              </w:rPr>
            </w:pPr>
          </w:p>
          <w:p w14:paraId="23CB4A84">
            <w:pPr>
              <w:jc w:val="left"/>
              <w:rPr>
                <w:rFonts w:ascii="黑体" w:hAnsi="黑体"/>
                <w:szCs w:val="18"/>
              </w:rPr>
            </w:pPr>
            <w:r>
              <w:rPr>
                <w:rFonts w:hint="eastAsia" w:ascii="黑体" w:hAnsi="黑体"/>
                <w:szCs w:val="18"/>
              </w:rPr>
              <w:t>WQ03B</w:t>
            </w:r>
          </w:p>
          <w:p w14:paraId="3CBB8FBB">
            <w:pPr>
              <w:jc w:val="left"/>
              <w:rPr>
                <w:rFonts w:ascii="黑体" w:hAnsi="黑体"/>
                <w:szCs w:val="18"/>
              </w:rPr>
            </w:pPr>
          </w:p>
          <w:p w14:paraId="49F9D7E4">
            <w:pPr>
              <w:jc w:val="left"/>
              <w:rPr>
                <w:rFonts w:ascii="黑体" w:hAnsi="黑体"/>
                <w:szCs w:val="18"/>
              </w:rPr>
            </w:pPr>
            <w:r>
              <w:rPr>
                <w:rFonts w:hint="eastAsia" w:ascii="黑体" w:hAnsi="黑体"/>
                <w:szCs w:val="18"/>
              </w:rPr>
              <w:t>WQ03C</w:t>
            </w:r>
          </w:p>
          <w:p w14:paraId="21F51F7C">
            <w:pPr>
              <w:jc w:val="left"/>
              <w:rPr>
                <w:rFonts w:ascii="黑体" w:hAnsi="黑体"/>
                <w:szCs w:val="18"/>
              </w:rPr>
            </w:pPr>
          </w:p>
          <w:p w14:paraId="392E0D19">
            <w:pPr>
              <w:jc w:val="left"/>
              <w:rPr>
                <w:rFonts w:ascii="黑体" w:hAnsi="黑体"/>
                <w:szCs w:val="18"/>
              </w:rPr>
            </w:pPr>
            <w:r>
              <w:rPr>
                <w:rFonts w:hint="eastAsia" w:ascii="黑体" w:hAnsi="黑体"/>
                <w:szCs w:val="18"/>
              </w:rPr>
              <w:t>WQ03D</w:t>
            </w:r>
          </w:p>
        </w:tc>
        <w:tc>
          <w:tcPr>
            <w:tcW w:w="785" w:type="pct"/>
            <w:vAlign w:val="center"/>
          </w:tcPr>
          <w:p w14:paraId="7A77D2AA">
            <w:pPr>
              <w:jc w:val="left"/>
              <w:rPr>
                <w:rFonts w:ascii="黑体" w:hAnsi="黑体"/>
                <w:szCs w:val="18"/>
              </w:rPr>
            </w:pPr>
            <w:r>
              <w:rPr>
                <w:rFonts w:hint="eastAsia" w:ascii="黑体" w:hAnsi="黑体"/>
                <w:szCs w:val="18"/>
              </w:rPr>
              <w:t>幕墙墙面</w:t>
            </w:r>
          </w:p>
          <w:p w14:paraId="648E829B">
            <w:pPr>
              <w:jc w:val="left"/>
              <w:rPr>
                <w:rFonts w:ascii="黑体" w:hAnsi="黑体"/>
                <w:szCs w:val="18"/>
              </w:rPr>
            </w:pPr>
            <w:r>
              <w:rPr>
                <w:rFonts w:hint="eastAsia" w:ascii="黑体" w:hAnsi="黑体"/>
                <w:szCs w:val="18"/>
              </w:rPr>
              <w:t>A:石材幕墙</w:t>
            </w:r>
          </w:p>
          <w:p w14:paraId="18747BDF">
            <w:pPr>
              <w:jc w:val="left"/>
              <w:rPr>
                <w:rFonts w:ascii="黑体" w:hAnsi="黑体"/>
                <w:szCs w:val="18"/>
              </w:rPr>
            </w:pPr>
            <w:r>
              <w:rPr>
                <w:rFonts w:hint="eastAsia" w:ascii="黑体" w:hAnsi="黑体"/>
                <w:szCs w:val="18"/>
              </w:rPr>
              <w:t>B:铝合金板幕墙</w:t>
            </w:r>
          </w:p>
          <w:p w14:paraId="799FA468">
            <w:pPr>
              <w:jc w:val="left"/>
              <w:rPr>
                <w:rFonts w:ascii="黑体" w:hAnsi="黑体"/>
                <w:szCs w:val="18"/>
              </w:rPr>
            </w:pPr>
            <w:r>
              <w:rPr>
                <w:rFonts w:hint="eastAsia" w:ascii="黑体" w:hAnsi="黑体"/>
                <w:szCs w:val="18"/>
              </w:rPr>
              <w:t>C:陶土板幕墙</w:t>
            </w:r>
          </w:p>
          <w:p w14:paraId="5F8C1E8B">
            <w:pPr>
              <w:jc w:val="left"/>
              <w:rPr>
                <w:rFonts w:ascii="黑体" w:hAnsi="黑体"/>
                <w:szCs w:val="18"/>
              </w:rPr>
            </w:pPr>
            <w:r>
              <w:rPr>
                <w:rFonts w:hint="eastAsia" w:ascii="黑体" w:hAnsi="黑体"/>
                <w:szCs w:val="18"/>
              </w:rPr>
              <w:t>D:玻璃幕墙</w:t>
            </w:r>
          </w:p>
        </w:tc>
        <w:tc>
          <w:tcPr>
            <w:tcW w:w="1928" w:type="pct"/>
            <w:vAlign w:val="center"/>
          </w:tcPr>
          <w:p w14:paraId="6A5FBC3F">
            <w:pPr>
              <w:pStyle w:val="49"/>
              <w:numPr>
                <w:ilvl w:val="0"/>
                <w:numId w:val="18"/>
              </w:numPr>
              <w:ind w:firstLineChars="0"/>
              <w:jc w:val="left"/>
              <w:rPr>
                <w:rFonts w:ascii="黑体" w:hAnsi="黑体"/>
                <w:szCs w:val="18"/>
              </w:rPr>
            </w:pPr>
            <w:r>
              <w:rPr>
                <w:rFonts w:hint="eastAsia" w:ascii="黑体" w:hAnsi="黑体"/>
                <w:szCs w:val="18"/>
              </w:rPr>
              <w:t>石材/铝合金板/陶土板/玻璃面板</w:t>
            </w:r>
          </w:p>
          <w:p w14:paraId="4914C673">
            <w:pPr>
              <w:pStyle w:val="49"/>
              <w:numPr>
                <w:ilvl w:val="0"/>
                <w:numId w:val="18"/>
              </w:numPr>
              <w:ind w:firstLineChars="0"/>
              <w:jc w:val="left"/>
              <w:rPr>
                <w:rFonts w:ascii="黑体" w:hAnsi="黑体"/>
                <w:szCs w:val="18"/>
              </w:rPr>
            </w:pPr>
            <w:r>
              <w:rPr>
                <w:rFonts w:hint="eastAsia" w:ascii="黑体" w:hAnsi="黑体"/>
                <w:szCs w:val="18"/>
              </w:rPr>
              <w:t>1.5厚铝合金防水板（按具体设计）</w:t>
            </w:r>
          </w:p>
          <w:p w14:paraId="3B332551">
            <w:pPr>
              <w:pStyle w:val="49"/>
              <w:numPr>
                <w:ilvl w:val="0"/>
                <w:numId w:val="18"/>
              </w:numPr>
              <w:ind w:firstLineChars="0"/>
              <w:jc w:val="left"/>
              <w:rPr>
                <w:rFonts w:ascii="黑体" w:hAnsi="黑体"/>
                <w:szCs w:val="18"/>
              </w:rPr>
            </w:pPr>
            <w:r>
              <w:rPr>
                <w:rFonts w:hint="eastAsia" w:ascii="黑体" w:hAnsi="黑体"/>
                <w:szCs w:val="18"/>
              </w:rPr>
              <w:t>金属骨架、预埋件、连接件按具体设计</w:t>
            </w:r>
          </w:p>
          <w:p w14:paraId="6FD23141">
            <w:pPr>
              <w:pStyle w:val="49"/>
              <w:numPr>
                <w:ilvl w:val="0"/>
                <w:numId w:val="18"/>
              </w:numPr>
              <w:ind w:firstLineChars="0"/>
              <w:jc w:val="left"/>
              <w:rPr>
                <w:rFonts w:ascii="黑体" w:hAnsi="黑体"/>
                <w:szCs w:val="18"/>
              </w:rPr>
            </w:pPr>
            <w:r>
              <w:rPr>
                <w:rFonts w:hint="eastAsia" w:ascii="黑体" w:hAnsi="黑体"/>
                <w:szCs w:val="18"/>
              </w:rPr>
              <w:t>保温层按具体设计</w:t>
            </w:r>
          </w:p>
          <w:p w14:paraId="2DDA931B">
            <w:pPr>
              <w:pStyle w:val="49"/>
              <w:numPr>
                <w:ilvl w:val="0"/>
                <w:numId w:val="18"/>
              </w:numPr>
              <w:ind w:firstLineChars="0"/>
              <w:jc w:val="left"/>
              <w:rPr>
                <w:rFonts w:ascii="黑体" w:hAnsi="黑体"/>
                <w:b/>
                <w:szCs w:val="18"/>
              </w:rPr>
            </w:pPr>
            <w:r>
              <w:rPr>
                <w:rFonts w:hint="eastAsia" w:ascii="黑体" w:hAnsi="黑体"/>
                <w:b/>
                <w:szCs w:val="18"/>
              </w:rPr>
              <w:t>1.5厚聚合物水泥（Ⅱ型）防水涂料</w:t>
            </w:r>
          </w:p>
          <w:p w14:paraId="5E879E0A">
            <w:pPr>
              <w:numPr>
                <w:ilvl w:val="0"/>
                <w:numId w:val="18"/>
              </w:numPr>
              <w:jc w:val="left"/>
              <w:rPr>
                <w:rFonts w:ascii="黑体" w:hAnsi="黑体"/>
                <w:szCs w:val="18"/>
              </w:rPr>
            </w:pPr>
            <w:r>
              <w:rPr>
                <w:rFonts w:hint="eastAsia" w:ascii="黑体" w:hAnsi="黑体"/>
                <w:szCs w:val="18"/>
              </w:rPr>
              <w:t>5厚聚合物水泥防水砂浆</w:t>
            </w:r>
          </w:p>
          <w:p w14:paraId="5CF8EF28">
            <w:pPr>
              <w:pStyle w:val="49"/>
              <w:numPr>
                <w:ilvl w:val="0"/>
                <w:numId w:val="18"/>
              </w:numPr>
              <w:ind w:firstLineChars="0"/>
              <w:jc w:val="left"/>
              <w:rPr>
                <w:rFonts w:ascii="黑体" w:hAnsi="黑体"/>
                <w:b/>
                <w:szCs w:val="18"/>
              </w:rPr>
            </w:pPr>
            <w:r>
              <w:rPr>
                <w:rFonts w:hint="eastAsia" w:ascii="黑体" w:hAnsi="黑体"/>
                <w:b/>
                <w:szCs w:val="18"/>
              </w:rPr>
              <w:t>角铁上下各1</w:t>
            </w:r>
            <w:r>
              <w:rPr>
                <w:rFonts w:ascii="黑体" w:hAnsi="黑体"/>
                <w:b/>
                <w:szCs w:val="18"/>
              </w:rPr>
              <w:t>00</w:t>
            </w:r>
            <w:r>
              <w:rPr>
                <w:rFonts w:hint="eastAsia" w:ascii="黑体" w:hAnsi="黑体"/>
                <w:b/>
                <w:szCs w:val="18"/>
              </w:rPr>
              <w:t>mm范围内2</w:t>
            </w:r>
            <w:r>
              <w:rPr>
                <w:rFonts w:ascii="黑体" w:hAnsi="黑体"/>
                <w:b/>
                <w:szCs w:val="18"/>
              </w:rPr>
              <w:t>0</w:t>
            </w:r>
            <w:r>
              <w:rPr>
                <w:rFonts w:hint="eastAsia" w:ascii="黑体" w:hAnsi="黑体"/>
                <w:b/>
                <w:szCs w:val="18"/>
              </w:rPr>
              <w:t>厚M</w:t>
            </w:r>
            <w:r>
              <w:rPr>
                <w:rFonts w:ascii="黑体" w:hAnsi="黑体"/>
                <w:b/>
                <w:szCs w:val="18"/>
              </w:rPr>
              <w:t>15</w:t>
            </w:r>
            <w:r>
              <w:rPr>
                <w:rFonts w:hint="eastAsia" w:ascii="黑体" w:hAnsi="黑体"/>
                <w:b/>
                <w:szCs w:val="18"/>
              </w:rPr>
              <w:t>水泥砂浆抹灰，压入</w:t>
            </w:r>
            <w:r>
              <w:rPr>
                <w:rFonts w:ascii="黑体" w:hAnsi="黑体"/>
                <w:b/>
                <w:szCs w:val="18"/>
              </w:rPr>
              <w:t>玻纤网格布</w:t>
            </w:r>
            <w:r>
              <w:rPr>
                <w:rFonts w:hint="eastAsia" w:ascii="黑体" w:hAnsi="黑体"/>
                <w:b/>
                <w:szCs w:val="18"/>
              </w:rPr>
              <w:t>，顺平</w:t>
            </w:r>
          </w:p>
          <w:p w14:paraId="7FFEB513">
            <w:pPr>
              <w:pStyle w:val="49"/>
              <w:numPr>
                <w:ilvl w:val="0"/>
                <w:numId w:val="19"/>
              </w:numPr>
              <w:ind w:firstLineChars="0"/>
              <w:jc w:val="left"/>
              <w:rPr>
                <w:rFonts w:ascii="黑体" w:hAnsi="黑体"/>
                <w:szCs w:val="18"/>
              </w:rPr>
            </w:pPr>
            <w:r>
              <w:rPr>
                <w:rFonts w:ascii="黑体" w:hAnsi="黑体"/>
                <w:b/>
                <w:szCs w:val="18"/>
              </w:rPr>
              <w:t>接缝处及不同材料</w:t>
            </w:r>
            <w:r>
              <w:rPr>
                <w:rFonts w:hint="eastAsia" w:ascii="黑体" w:hAnsi="黑体"/>
                <w:b/>
                <w:szCs w:val="18"/>
              </w:rPr>
              <w:t>交接处挂</w:t>
            </w:r>
            <w:r>
              <w:rPr>
                <w:rFonts w:ascii="黑体" w:hAnsi="黑体"/>
                <w:b/>
                <w:szCs w:val="18"/>
              </w:rPr>
              <w:t>玻纤网格布</w:t>
            </w:r>
            <w:r>
              <w:rPr>
                <w:rFonts w:hint="eastAsia" w:ascii="黑体" w:hAnsi="黑体"/>
                <w:b/>
                <w:szCs w:val="18"/>
              </w:rPr>
              <w:t>，</w:t>
            </w:r>
            <w:r>
              <w:rPr>
                <w:rFonts w:hint="eastAsia" w:ascii="黑体" w:hAnsi="黑体"/>
                <w:szCs w:val="18"/>
              </w:rPr>
              <w:t>两边各</w:t>
            </w:r>
            <w:r>
              <w:rPr>
                <w:rFonts w:ascii="黑体" w:hAnsi="黑体"/>
                <w:szCs w:val="18"/>
              </w:rPr>
              <w:t>50mm</w:t>
            </w:r>
          </w:p>
          <w:p w14:paraId="69C68188">
            <w:pPr>
              <w:pStyle w:val="49"/>
              <w:numPr>
                <w:ilvl w:val="0"/>
                <w:numId w:val="18"/>
              </w:numPr>
              <w:ind w:firstLineChars="0"/>
              <w:jc w:val="left"/>
              <w:rPr>
                <w:rFonts w:ascii="黑体" w:hAnsi="黑体"/>
                <w:szCs w:val="18"/>
              </w:rPr>
            </w:pPr>
            <w:r>
              <w:rPr>
                <w:rFonts w:hint="eastAsia" w:ascii="黑体" w:hAnsi="黑体"/>
                <w:b/>
                <w:szCs w:val="18"/>
              </w:rPr>
              <w:t>A</w:t>
            </w:r>
            <w:r>
              <w:rPr>
                <w:rFonts w:ascii="黑体" w:hAnsi="黑体"/>
                <w:b/>
                <w:szCs w:val="18"/>
              </w:rPr>
              <w:t>LC</w:t>
            </w:r>
            <w:r>
              <w:rPr>
                <w:rFonts w:hint="eastAsia" w:ascii="黑体" w:hAnsi="黑体"/>
                <w:b/>
                <w:szCs w:val="18"/>
              </w:rPr>
              <w:t>墙体基层（含部分结构混凝土）</w:t>
            </w:r>
          </w:p>
        </w:tc>
        <w:tc>
          <w:tcPr>
            <w:tcW w:w="786" w:type="pct"/>
            <w:vAlign w:val="center"/>
          </w:tcPr>
          <w:p w14:paraId="40737FE4">
            <w:pPr>
              <w:jc w:val="left"/>
              <w:rPr>
                <w:rFonts w:ascii="黑体" w:hAnsi="黑体"/>
                <w:szCs w:val="18"/>
              </w:rPr>
            </w:pPr>
            <w:r>
              <w:rPr>
                <w:rFonts w:hint="eastAsia" w:ascii="黑体" w:hAnsi="黑体"/>
                <w:szCs w:val="18"/>
              </w:rPr>
              <w:t>1、为</w:t>
            </w:r>
            <w:r>
              <w:rPr>
                <w:rFonts w:ascii="黑体" w:hAnsi="黑体"/>
                <w:szCs w:val="18"/>
              </w:rPr>
              <w:t>保证墙面防水的完整性，保温层不宜直接订固在墙面上</w:t>
            </w:r>
            <w:r>
              <w:rPr>
                <w:rFonts w:hint="eastAsia" w:ascii="黑体" w:hAnsi="黑体"/>
                <w:szCs w:val="18"/>
              </w:rPr>
              <w:t>，</w:t>
            </w:r>
            <w:r>
              <w:rPr>
                <w:rFonts w:ascii="黑体" w:hAnsi="黑体"/>
                <w:szCs w:val="18"/>
              </w:rPr>
              <w:t>而应</w:t>
            </w:r>
            <w:r>
              <w:rPr>
                <w:rFonts w:hint="eastAsia" w:ascii="黑体" w:hAnsi="黑体"/>
                <w:szCs w:val="18"/>
              </w:rPr>
              <w:t>由</w:t>
            </w:r>
            <w:r>
              <w:rPr>
                <w:rFonts w:ascii="黑体" w:hAnsi="黑体"/>
                <w:szCs w:val="18"/>
              </w:rPr>
              <w:t>幕墙专业设计专门的固定系统。</w:t>
            </w:r>
          </w:p>
          <w:p w14:paraId="4C6467EA">
            <w:pPr>
              <w:jc w:val="left"/>
              <w:rPr>
                <w:rFonts w:ascii="黑体" w:hAnsi="黑体"/>
                <w:szCs w:val="18"/>
              </w:rPr>
            </w:pPr>
            <w:r>
              <w:rPr>
                <w:rFonts w:ascii="黑体" w:hAnsi="黑体"/>
                <w:szCs w:val="18"/>
              </w:rPr>
              <w:t>2</w:t>
            </w:r>
            <w:r>
              <w:rPr>
                <w:rFonts w:hint="eastAsia" w:ascii="黑体" w:hAnsi="黑体"/>
                <w:szCs w:val="18"/>
              </w:rPr>
              <w:t>、金属</w:t>
            </w:r>
            <w:r>
              <w:rPr>
                <w:rFonts w:ascii="黑体" w:hAnsi="黑体"/>
                <w:szCs w:val="18"/>
              </w:rPr>
              <w:t>骨架需固定在钢筋混凝土的埋件上，不得固定在</w:t>
            </w:r>
            <w:r>
              <w:rPr>
                <w:rFonts w:hint="eastAsia" w:ascii="黑体" w:hAnsi="黑体"/>
                <w:szCs w:val="18"/>
              </w:rPr>
              <w:t>A</w:t>
            </w:r>
            <w:r>
              <w:rPr>
                <w:rFonts w:ascii="黑体" w:hAnsi="黑体"/>
                <w:szCs w:val="18"/>
              </w:rPr>
              <w:t>LC墙上。</w:t>
            </w:r>
          </w:p>
        </w:tc>
        <w:tc>
          <w:tcPr>
            <w:tcW w:w="786" w:type="pct"/>
            <w:vAlign w:val="center"/>
          </w:tcPr>
          <w:p w14:paraId="099FE116">
            <w:pPr>
              <w:jc w:val="left"/>
              <w:rPr>
                <w:rFonts w:ascii="黑体" w:hAnsi="黑体"/>
                <w:szCs w:val="18"/>
              </w:rPr>
            </w:pPr>
            <w:r>
              <w:rPr>
                <w:rFonts w:hint="eastAsia" w:ascii="黑体" w:hAnsi="黑体"/>
                <w:szCs w:val="18"/>
              </w:rPr>
              <w:t>研发、办公、住宅</w:t>
            </w:r>
            <w:r>
              <w:rPr>
                <w:rFonts w:ascii="黑体" w:hAnsi="黑体"/>
                <w:szCs w:val="18"/>
              </w:rPr>
              <w:t>、</w:t>
            </w:r>
            <w:r>
              <w:rPr>
                <w:rFonts w:hint="eastAsia" w:ascii="黑体" w:hAnsi="黑体"/>
                <w:szCs w:val="18"/>
              </w:rPr>
              <w:t>公寓、工业及配套建筑</w:t>
            </w:r>
          </w:p>
          <w:p w14:paraId="4F19B968">
            <w:pPr>
              <w:jc w:val="left"/>
              <w:rPr>
                <w:rFonts w:ascii="黑体" w:hAnsi="黑体"/>
                <w:szCs w:val="18"/>
              </w:rPr>
            </w:pPr>
          </w:p>
          <w:p w14:paraId="4BB949E7">
            <w:pPr>
              <w:jc w:val="left"/>
              <w:rPr>
                <w:rFonts w:ascii="黑体" w:hAnsi="黑体"/>
                <w:szCs w:val="18"/>
              </w:rPr>
            </w:pPr>
          </w:p>
          <w:p w14:paraId="711C7ED5">
            <w:pPr>
              <w:jc w:val="left"/>
              <w:rPr>
                <w:rFonts w:ascii="黑体" w:hAnsi="黑体"/>
                <w:szCs w:val="18"/>
              </w:rPr>
            </w:pPr>
          </w:p>
          <w:p w14:paraId="0A78BFAB">
            <w:pPr>
              <w:jc w:val="left"/>
              <w:rPr>
                <w:rFonts w:ascii="黑体" w:hAnsi="黑体"/>
                <w:szCs w:val="18"/>
              </w:rPr>
            </w:pPr>
            <w:r>
              <w:rPr>
                <w:rFonts w:hint="eastAsia" w:ascii="黑体" w:hAnsi="黑体"/>
                <w:szCs w:val="18"/>
              </w:rPr>
              <w:t>适合功能位置：</w:t>
            </w:r>
          </w:p>
          <w:p w14:paraId="408DF79D">
            <w:pPr>
              <w:jc w:val="left"/>
              <w:rPr>
                <w:rFonts w:ascii="黑体" w:hAnsi="黑体"/>
                <w:szCs w:val="18"/>
              </w:rPr>
            </w:pPr>
            <w:r>
              <w:rPr>
                <w:rFonts w:hint="eastAsia" w:ascii="黑体" w:hAnsi="黑体"/>
                <w:szCs w:val="18"/>
              </w:rPr>
              <w:t>幕墙外墙</w:t>
            </w:r>
          </w:p>
        </w:tc>
      </w:tr>
    </w:tbl>
    <w:p w14:paraId="498D4674">
      <w:pPr>
        <w:widowControl/>
        <w:autoSpaceDE w:val="0"/>
        <w:autoSpaceDN w:val="0"/>
        <w:adjustRightInd w:val="0"/>
        <w:spacing w:line="360" w:lineRule="auto"/>
        <w:jc w:val="left"/>
        <w:rPr>
          <w:rFonts w:ascii="黑体" w:hAnsi="黑体"/>
          <w:b/>
          <w:kern w:val="0"/>
          <w:szCs w:val="18"/>
        </w:rPr>
      </w:pPr>
      <w:r>
        <w:rPr>
          <w:rFonts w:hint="eastAsia" w:ascii="黑体" w:hAnsi="黑体"/>
          <w:b/>
          <w:kern w:val="0"/>
          <w:szCs w:val="18"/>
        </w:rPr>
        <w:t>外墙层间连接处防水构造详图：</w:t>
      </w:r>
    </w:p>
    <w:p w14:paraId="24222CB5">
      <w:pPr>
        <w:widowControl/>
        <w:autoSpaceDE w:val="0"/>
        <w:autoSpaceDN w:val="0"/>
        <w:adjustRightInd w:val="0"/>
        <w:spacing w:line="360" w:lineRule="auto"/>
        <w:jc w:val="left"/>
        <w:rPr>
          <w:rFonts w:ascii="黑体" w:hAnsi="黑体"/>
          <w:b/>
          <w:kern w:val="0"/>
          <w:szCs w:val="18"/>
        </w:rPr>
      </w:pPr>
      <w:r>
        <w:rPr>
          <w:rFonts w:ascii="黑体" w:hAnsi="黑体"/>
          <w:b/>
          <w:kern w:val="0"/>
          <w:szCs w:val="18"/>
        </w:rPr>
        <w:drawing>
          <wp:inline distT="0" distB="0" distL="0" distR="0">
            <wp:extent cx="3139440" cy="749300"/>
            <wp:effectExtent l="19050" t="19050" r="2286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5" cstate="print">
                      <a:extLst>
                        <a:ext uri="{28A0092B-C50C-407E-A947-70E740481C1C}">
                          <a14:useLocalDpi xmlns:a14="http://schemas.microsoft.com/office/drawing/2010/main" val="0"/>
                        </a:ext>
                      </a:extLst>
                    </a:blip>
                    <a:srcRect t="74750"/>
                    <a:stretch>
                      <a:fillRect/>
                    </a:stretch>
                  </pic:blipFill>
                  <pic:spPr>
                    <a:xfrm>
                      <a:off x="0" y="0"/>
                      <a:ext cx="3431207" cy="819438"/>
                    </a:xfrm>
                    <a:prstGeom prst="rect">
                      <a:avLst/>
                    </a:prstGeom>
                    <a:ln w="9525" cap="flat" cmpd="sng" algn="ctr">
                      <a:solidFill>
                        <a:srgbClr val="00B0F0"/>
                      </a:solidFill>
                      <a:prstDash val="solid"/>
                      <a:round/>
                      <a:headEnd type="none" w="med" len="med"/>
                      <a:tailEnd type="none" w="med" len="med"/>
                    </a:ln>
                  </pic:spPr>
                </pic:pic>
              </a:graphicData>
            </a:graphic>
          </wp:inline>
        </w:drawing>
      </w:r>
    </w:p>
    <w:p w14:paraId="2859450C">
      <w:pPr>
        <w:widowControl/>
        <w:autoSpaceDE w:val="0"/>
        <w:autoSpaceDN w:val="0"/>
        <w:adjustRightInd w:val="0"/>
        <w:spacing w:line="360" w:lineRule="auto"/>
        <w:jc w:val="left"/>
        <w:rPr>
          <w:rFonts w:ascii="黑体" w:hAnsi="黑体"/>
          <w:b/>
          <w:kern w:val="0"/>
          <w:szCs w:val="18"/>
        </w:rPr>
      </w:pPr>
    </w:p>
    <w:p w14:paraId="46F616D9">
      <w:pPr>
        <w:widowControl/>
        <w:autoSpaceDE w:val="0"/>
        <w:autoSpaceDN w:val="0"/>
        <w:adjustRightInd w:val="0"/>
        <w:spacing w:line="360" w:lineRule="auto"/>
        <w:jc w:val="left"/>
        <w:rPr>
          <w:rFonts w:ascii="黑体" w:hAnsi="黑体"/>
          <w:b/>
          <w:kern w:val="0"/>
          <w:szCs w:val="18"/>
        </w:rPr>
      </w:pPr>
      <w:r>
        <w:rPr>
          <w:rFonts w:ascii="黑体" w:hAnsi="黑体"/>
          <w:b/>
          <w:kern w:val="0"/>
          <w:szCs w:val="18"/>
        </w:rPr>
        <w:t>（</w:t>
      </w:r>
      <w:r>
        <w:rPr>
          <w:rFonts w:hint="eastAsia" w:ascii="黑体" w:hAnsi="黑体"/>
          <w:b/>
          <w:kern w:val="0"/>
          <w:szCs w:val="18"/>
        </w:rPr>
        <w:t>2</w:t>
      </w:r>
      <w:r>
        <w:rPr>
          <w:rFonts w:ascii="黑体" w:hAnsi="黑体"/>
          <w:b/>
          <w:kern w:val="0"/>
          <w:szCs w:val="18"/>
        </w:rPr>
        <w:t>）内墙构造做法（精装区饰面层另行设计）</w:t>
      </w:r>
    </w:p>
    <w:tbl>
      <w:tblPr>
        <w:tblStyle w:val="36"/>
        <w:tblW w:w="5041"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726"/>
        <w:gridCol w:w="1015"/>
        <w:gridCol w:w="4207"/>
        <w:gridCol w:w="1743"/>
        <w:gridCol w:w="1520"/>
      </w:tblGrid>
      <w:tr w14:paraId="5C59C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5" w:type="pct"/>
            <w:vAlign w:val="center"/>
          </w:tcPr>
          <w:p w14:paraId="0807AAC7">
            <w:pPr>
              <w:jc w:val="left"/>
              <w:rPr>
                <w:rFonts w:ascii="黑体" w:hAnsi="黑体"/>
                <w:szCs w:val="18"/>
              </w:rPr>
            </w:pPr>
            <w:r>
              <w:rPr>
                <w:rFonts w:hint="eastAsia" w:ascii="黑体" w:hAnsi="黑体"/>
                <w:b/>
                <w:szCs w:val="18"/>
              </w:rPr>
              <w:t>类别</w:t>
            </w:r>
          </w:p>
        </w:tc>
        <w:tc>
          <w:tcPr>
            <w:tcW w:w="365" w:type="pct"/>
            <w:vAlign w:val="center"/>
          </w:tcPr>
          <w:p w14:paraId="76E988BB">
            <w:pPr>
              <w:jc w:val="left"/>
              <w:rPr>
                <w:rFonts w:ascii="黑体" w:hAnsi="黑体"/>
                <w:szCs w:val="18"/>
              </w:rPr>
            </w:pPr>
            <w:r>
              <w:rPr>
                <w:rFonts w:hint="eastAsia" w:ascii="黑体" w:hAnsi="黑体"/>
                <w:b/>
                <w:szCs w:val="18"/>
              </w:rPr>
              <w:t>编号</w:t>
            </w:r>
          </w:p>
        </w:tc>
        <w:tc>
          <w:tcPr>
            <w:tcW w:w="511" w:type="pct"/>
            <w:vAlign w:val="center"/>
          </w:tcPr>
          <w:p w14:paraId="68D785A6">
            <w:pPr>
              <w:jc w:val="left"/>
              <w:rPr>
                <w:rFonts w:ascii="黑体" w:hAnsi="黑体"/>
                <w:szCs w:val="18"/>
              </w:rPr>
            </w:pPr>
            <w:r>
              <w:rPr>
                <w:rFonts w:hint="eastAsia" w:ascii="黑体" w:hAnsi="黑体"/>
                <w:b/>
                <w:szCs w:val="18"/>
              </w:rPr>
              <w:t>名称</w:t>
            </w:r>
          </w:p>
        </w:tc>
        <w:tc>
          <w:tcPr>
            <w:tcW w:w="2117" w:type="pct"/>
            <w:vAlign w:val="center"/>
          </w:tcPr>
          <w:p w14:paraId="3A02B9EE">
            <w:pPr>
              <w:pStyle w:val="49"/>
              <w:ind w:left="360" w:firstLine="0" w:firstLineChars="0"/>
              <w:jc w:val="left"/>
              <w:rPr>
                <w:rFonts w:ascii="黑体" w:hAnsi="黑体"/>
                <w:szCs w:val="18"/>
              </w:rPr>
            </w:pPr>
            <w:r>
              <w:rPr>
                <w:rFonts w:hint="eastAsia" w:ascii="黑体" w:hAnsi="黑体"/>
                <w:b/>
                <w:szCs w:val="18"/>
              </w:rPr>
              <w:t>构造做法</w:t>
            </w:r>
          </w:p>
        </w:tc>
        <w:tc>
          <w:tcPr>
            <w:tcW w:w="877" w:type="pct"/>
            <w:vAlign w:val="center"/>
          </w:tcPr>
          <w:p w14:paraId="28D6787A">
            <w:pPr>
              <w:jc w:val="left"/>
              <w:rPr>
                <w:rFonts w:ascii="黑体" w:hAnsi="黑体"/>
                <w:szCs w:val="18"/>
              </w:rPr>
            </w:pPr>
            <w:r>
              <w:rPr>
                <w:rFonts w:hint="eastAsia" w:ascii="黑体" w:hAnsi="黑体"/>
                <w:b/>
                <w:szCs w:val="18"/>
              </w:rPr>
              <w:t>说明</w:t>
            </w:r>
          </w:p>
        </w:tc>
        <w:tc>
          <w:tcPr>
            <w:tcW w:w="765" w:type="pct"/>
            <w:vAlign w:val="center"/>
          </w:tcPr>
          <w:p w14:paraId="529D39F7">
            <w:pPr>
              <w:jc w:val="left"/>
              <w:rPr>
                <w:rFonts w:ascii="黑体" w:hAnsi="黑体"/>
                <w:szCs w:val="18"/>
              </w:rPr>
            </w:pPr>
            <w:r>
              <w:rPr>
                <w:rFonts w:hint="eastAsia" w:ascii="黑体" w:hAnsi="黑体"/>
                <w:b/>
                <w:szCs w:val="18"/>
              </w:rPr>
              <w:t>适合建筑类别：</w:t>
            </w:r>
          </w:p>
        </w:tc>
      </w:tr>
      <w:tr w14:paraId="501F4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5" w:type="pct"/>
            <w:vAlign w:val="center"/>
          </w:tcPr>
          <w:p w14:paraId="0417EEFF">
            <w:pPr>
              <w:jc w:val="left"/>
              <w:rPr>
                <w:rFonts w:ascii="黑体" w:hAnsi="黑体"/>
                <w:szCs w:val="18"/>
              </w:rPr>
            </w:pPr>
            <w:r>
              <w:rPr>
                <w:rFonts w:hint="eastAsia" w:ascii="黑体" w:hAnsi="黑体"/>
                <w:szCs w:val="18"/>
              </w:rPr>
              <w:t>内墙</w:t>
            </w:r>
          </w:p>
        </w:tc>
        <w:tc>
          <w:tcPr>
            <w:tcW w:w="365" w:type="pct"/>
            <w:vAlign w:val="center"/>
          </w:tcPr>
          <w:p w14:paraId="2A113CC2">
            <w:pPr>
              <w:jc w:val="left"/>
              <w:rPr>
                <w:rFonts w:ascii="黑体" w:hAnsi="黑体"/>
                <w:szCs w:val="18"/>
              </w:rPr>
            </w:pPr>
            <w:r>
              <w:rPr>
                <w:rFonts w:hint="eastAsia" w:ascii="黑体" w:hAnsi="黑体"/>
                <w:szCs w:val="18"/>
              </w:rPr>
              <w:t>Q01</w:t>
            </w:r>
            <w:r>
              <w:rPr>
                <w:rFonts w:ascii="黑体" w:hAnsi="黑体"/>
                <w:szCs w:val="18"/>
              </w:rPr>
              <w:t>B</w:t>
            </w:r>
          </w:p>
        </w:tc>
        <w:tc>
          <w:tcPr>
            <w:tcW w:w="511" w:type="pct"/>
            <w:vAlign w:val="center"/>
          </w:tcPr>
          <w:p w14:paraId="455847AC">
            <w:pPr>
              <w:jc w:val="left"/>
              <w:rPr>
                <w:rFonts w:ascii="黑体" w:hAnsi="黑体"/>
                <w:szCs w:val="18"/>
              </w:rPr>
            </w:pPr>
            <w:r>
              <w:rPr>
                <w:rFonts w:hint="eastAsia" w:ascii="黑体" w:hAnsi="黑体"/>
                <w:szCs w:val="18"/>
              </w:rPr>
              <w:t>涂料墙面（A</w:t>
            </w:r>
            <w:r>
              <w:rPr>
                <w:rFonts w:ascii="黑体" w:hAnsi="黑体"/>
                <w:szCs w:val="18"/>
              </w:rPr>
              <w:t>LC板</w:t>
            </w:r>
            <w:r>
              <w:rPr>
                <w:rFonts w:hint="eastAsia" w:ascii="黑体" w:hAnsi="黑体"/>
                <w:szCs w:val="18"/>
              </w:rPr>
              <w:t>）</w:t>
            </w:r>
          </w:p>
          <w:p w14:paraId="71EEC10C">
            <w:pPr>
              <w:jc w:val="left"/>
              <w:rPr>
                <w:rFonts w:ascii="黑体" w:hAnsi="黑体"/>
                <w:szCs w:val="18"/>
              </w:rPr>
            </w:pPr>
          </w:p>
        </w:tc>
        <w:tc>
          <w:tcPr>
            <w:tcW w:w="2117" w:type="pct"/>
            <w:vAlign w:val="center"/>
          </w:tcPr>
          <w:p w14:paraId="208DFCC8">
            <w:pPr>
              <w:pStyle w:val="49"/>
              <w:numPr>
                <w:ilvl w:val="0"/>
                <w:numId w:val="20"/>
              </w:numPr>
              <w:ind w:firstLineChars="0"/>
              <w:jc w:val="left"/>
              <w:rPr>
                <w:rFonts w:ascii="黑体" w:hAnsi="黑体"/>
                <w:szCs w:val="18"/>
              </w:rPr>
            </w:pPr>
            <w:r>
              <w:rPr>
                <w:rFonts w:hint="eastAsia" w:ascii="黑体" w:hAnsi="黑体"/>
                <w:szCs w:val="18"/>
              </w:rPr>
              <w:t>防霉</w:t>
            </w:r>
            <w:r>
              <w:rPr>
                <w:rFonts w:ascii="黑体" w:hAnsi="黑体"/>
                <w:szCs w:val="18"/>
              </w:rPr>
              <w:t>防潮</w:t>
            </w:r>
            <w:r>
              <w:rPr>
                <w:rFonts w:hint="eastAsia" w:ascii="黑体" w:hAnsi="黑体"/>
                <w:szCs w:val="18"/>
              </w:rPr>
              <w:t>乳胶漆一底二面</w:t>
            </w:r>
          </w:p>
          <w:p w14:paraId="1C3F5E49">
            <w:pPr>
              <w:pStyle w:val="49"/>
              <w:numPr>
                <w:ilvl w:val="0"/>
                <w:numId w:val="20"/>
              </w:numPr>
              <w:ind w:firstLineChars="0"/>
              <w:jc w:val="left"/>
              <w:rPr>
                <w:rFonts w:ascii="黑体" w:hAnsi="黑体"/>
                <w:szCs w:val="18"/>
              </w:rPr>
            </w:pPr>
            <w:r>
              <w:rPr>
                <w:rFonts w:hint="eastAsia" w:ascii="黑体" w:hAnsi="黑体"/>
                <w:szCs w:val="18"/>
              </w:rPr>
              <w:t>满刮二遍环保耐水腻子磨平</w:t>
            </w:r>
          </w:p>
          <w:p w14:paraId="6659A46E">
            <w:pPr>
              <w:pStyle w:val="49"/>
              <w:numPr>
                <w:ilvl w:val="0"/>
                <w:numId w:val="20"/>
              </w:numPr>
              <w:ind w:firstLineChars="0"/>
              <w:jc w:val="left"/>
              <w:rPr>
                <w:rFonts w:ascii="黑体" w:hAnsi="黑体"/>
                <w:szCs w:val="18"/>
              </w:rPr>
            </w:pPr>
            <w:r>
              <w:rPr>
                <w:rFonts w:hint="eastAsia" w:ascii="黑体" w:hAnsi="黑体"/>
                <w:szCs w:val="18"/>
              </w:rPr>
              <w:t>板材拼缝处及不同材料交接处挂玻纤网，两边各</w:t>
            </w:r>
            <w:r>
              <w:rPr>
                <w:rFonts w:ascii="黑体" w:hAnsi="黑体"/>
                <w:szCs w:val="18"/>
              </w:rPr>
              <w:t>50mm</w:t>
            </w:r>
          </w:p>
          <w:p w14:paraId="3622CB43">
            <w:pPr>
              <w:pStyle w:val="49"/>
              <w:numPr>
                <w:ilvl w:val="0"/>
                <w:numId w:val="20"/>
              </w:numPr>
              <w:ind w:firstLineChars="0"/>
              <w:jc w:val="left"/>
              <w:rPr>
                <w:rFonts w:ascii="黑体" w:hAnsi="黑体"/>
                <w:szCs w:val="18"/>
              </w:rPr>
            </w:pPr>
            <w:r>
              <w:rPr>
                <w:rFonts w:hint="eastAsia" w:ascii="黑体" w:hAnsi="黑体"/>
                <w:szCs w:val="18"/>
              </w:rPr>
              <w:t>A</w:t>
            </w:r>
            <w:r>
              <w:rPr>
                <w:rFonts w:ascii="黑体" w:hAnsi="黑体"/>
                <w:szCs w:val="18"/>
              </w:rPr>
              <w:t>LC板</w:t>
            </w:r>
            <w:r>
              <w:rPr>
                <w:rFonts w:hint="eastAsia" w:ascii="黑体" w:hAnsi="黑体"/>
                <w:szCs w:val="18"/>
              </w:rPr>
              <w:t>墙体基层</w:t>
            </w:r>
          </w:p>
        </w:tc>
        <w:tc>
          <w:tcPr>
            <w:tcW w:w="877" w:type="pct"/>
            <w:vAlign w:val="center"/>
          </w:tcPr>
          <w:p w14:paraId="7C8DA439">
            <w:pPr>
              <w:jc w:val="left"/>
              <w:rPr>
                <w:rFonts w:ascii="黑体" w:hAnsi="黑体"/>
                <w:szCs w:val="18"/>
              </w:rPr>
            </w:pPr>
            <w:r>
              <w:rPr>
                <w:rFonts w:hint="eastAsia" w:ascii="黑体" w:hAnsi="黑体"/>
                <w:szCs w:val="18"/>
              </w:rPr>
              <w:t>涂料层到吊顶以上100mm</w:t>
            </w:r>
          </w:p>
          <w:p w14:paraId="6AF6505B">
            <w:pPr>
              <w:jc w:val="left"/>
              <w:rPr>
                <w:rFonts w:ascii="黑体" w:hAnsi="黑体"/>
                <w:szCs w:val="18"/>
              </w:rPr>
            </w:pPr>
          </w:p>
        </w:tc>
        <w:tc>
          <w:tcPr>
            <w:tcW w:w="765" w:type="pct"/>
            <w:vAlign w:val="center"/>
          </w:tcPr>
          <w:p w14:paraId="64C9BB1D">
            <w:pPr>
              <w:jc w:val="left"/>
              <w:rPr>
                <w:rFonts w:ascii="黑体" w:hAnsi="黑体"/>
                <w:szCs w:val="18"/>
              </w:rPr>
            </w:pPr>
            <w:r>
              <w:rPr>
                <w:rFonts w:hint="eastAsia" w:ascii="黑体" w:hAnsi="黑体"/>
                <w:szCs w:val="18"/>
              </w:rPr>
              <w:t>研发、办公、工业及工业配套建筑</w:t>
            </w:r>
          </w:p>
          <w:p w14:paraId="158CA2B9">
            <w:pPr>
              <w:jc w:val="left"/>
              <w:rPr>
                <w:rFonts w:ascii="黑体" w:hAnsi="黑体"/>
                <w:szCs w:val="18"/>
              </w:rPr>
            </w:pPr>
            <w:r>
              <w:rPr>
                <w:rFonts w:hint="eastAsia" w:ascii="黑体" w:hAnsi="黑体"/>
                <w:szCs w:val="18"/>
              </w:rPr>
              <w:t>适合功能位置：</w:t>
            </w:r>
          </w:p>
          <w:p w14:paraId="312EAD23">
            <w:pPr>
              <w:jc w:val="left"/>
              <w:rPr>
                <w:rFonts w:ascii="黑体" w:hAnsi="黑体"/>
                <w:szCs w:val="18"/>
              </w:rPr>
            </w:pPr>
            <w:r>
              <w:rPr>
                <w:rFonts w:hint="eastAsia" w:ascii="黑体" w:hAnsi="黑体"/>
                <w:szCs w:val="18"/>
              </w:rPr>
              <w:t>涂料墙面</w:t>
            </w:r>
          </w:p>
        </w:tc>
      </w:tr>
    </w:tbl>
    <w:p w14:paraId="2F23F319">
      <w:pPr>
        <w:widowControl/>
        <w:autoSpaceDE w:val="0"/>
        <w:autoSpaceDN w:val="0"/>
        <w:adjustRightInd w:val="0"/>
        <w:spacing w:line="360" w:lineRule="auto"/>
        <w:jc w:val="left"/>
        <w:rPr>
          <w:rFonts w:ascii="黑体" w:hAnsi="黑体"/>
          <w:b/>
          <w:kern w:val="0"/>
          <w:szCs w:val="18"/>
        </w:rPr>
      </w:pPr>
    </w:p>
    <w:p w14:paraId="259234A0">
      <w:pPr>
        <w:spacing w:line="360" w:lineRule="auto"/>
        <w:jc w:val="left"/>
        <w:rPr>
          <w:rFonts w:ascii="黑体" w:hAnsi="黑体"/>
          <w:b/>
          <w:szCs w:val="18"/>
        </w:rPr>
      </w:pPr>
      <w:r>
        <w:rPr>
          <w:rFonts w:ascii="黑体" w:hAnsi="黑体"/>
          <w:b/>
          <w:kern w:val="0"/>
          <w:szCs w:val="18"/>
        </w:rPr>
        <w:t>（3）</w:t>
      </w:r>
      <w:r>
        <w:rPr>
          <w:rFonts w:hint="eastAsia" w:ascii="黑体" w:hAnsi="黑体"/>
          <w:b/>
          <w:szCs w:val="18"/>
        </w:rPr>
        <w:t>墙体抹灰设置标准（土建）：</w:t>
      </w:r>
    </w:p>
    <w:tbl>
      <w:tblPr>
        <w:tblStyle w:val="37"/>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276"/>
        <w:gridCol w:w="1276"/>
        <w:gridCol w:w="2835"/>
        <w:gridCol w:w="2551"/>
      </w:tblGrid>
      <w:tr w14:paraId="067A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40219CCF">
            <w:pPr>
              <w:spacing w:line="360" w:lineRule="auto"/>
              <w:jc w:val="left"/>
              <w:rPr>
                <w:rFonts w:ascii="黑体" w:hAnsi="黑体"/>
                <w:b/>
                <w:szCs w:val="18"/>
              </w:rPr>
            </w:pPr>
            <w:r>
              <w:rPr>
                <w:rFonts w:hint="eastAsia" w:ascii="黑体" w:hAnsi="黑体"/>
                <w:b/>
                <w:szCs w:val="18"/>
              </w:rPr>
              <w:t>部位</w:t>
            </w:r>
          </w:p>
        </w:tc>
        <w:tc>
          <w:tcPr>
            <w:tcW w:w="1276" w:type="dxa"/>
          </w:tcPr>
          <w:p w14:paraId="63787E7A">
            <w:pPr>
              <w:spacing w:line="360" w:lineRule="auto"/>
              <w:jc w:val="left"/>
              <w:rPr>
                <w:rFonts w:ascii="黑体" w:hAnsi="黑体"/>
                <w:b/>
                <w:szCs w:val="18"/>
              </w:rPr>
            </w:pPr>
            <w:r>
              <w:rPr>
                <w:rFonts w:ascii="黑体" w:hAnsi="黑体"/>
                <w:b/>
                <w:szCs w:val="18"/>
              </w:rPr>
              <w:t>业态</w:t>
            </w:r>
          </w:p>
        </w:tc>
        <w:tc>
          <w:tcPr>
            <w:tcW w:w="4111" w:type="dxa"/>
            <w:gridSpan w:val="2"/>
          </w:tcPr>
          <w:p w14:paraId="2AE22A6B">
            <w:pPr>
              <w:spacing w:line="360" w:lineRule="auto"/>
              <w:jc w:val="left"/>
              <w:rPr>
                <w:rFonts w:ascii="黑体" w:hAnsi="黑体"/>
                <w:b/>
                <w:szCs w:val="18"/>
              </w:rPr>
            </w:pPr>
            <w:r>
              <w:rPr>
                <w:rFonts w:ascii="黑体" w:hAnsi="黑体"/>
                <w:b/>
                <w:szCs w:val="18"/>
              </w:rPr>
              <w:t>抹灰做法</w:t>
            </w:r>
            <w:r>
              <w:rPr>
                <w:rFonts w:hint="eastAsia" w:ascii="黑体" w:hAnsi="黑体"/>
                <w:b/>
                <w:szCs w:val="18"/>
              </w:rPr>
              <w:t>（土建）</w:t>
            </w:r>
          </w:p>
        </w:tc>
        <w:tc>
          <w:tcPr>
            <w:tcW w:w="2551" w:type="dxa"/>
          </w:tcPr>
          <w:p w14:paraId="72B5E9BD">
            <w:pPr>
              <w:spacing w:line="360" w:lineRule="auto"/>
              <w:jc w:val="left"/>
              <w:rPr>
                <w:rFonts w:ascii="黑体" w:hAnsi="黑体"/>
                <w:b/>
                <w:szCs w:val="18"/>
              </w:rPr>
            </w:pPr>
            <w:r>
              <w:rPr>
                <w:rFonts w:ascii="黑体" w:hAnsi="黑体"/>
                <w:b/>
                <w:szCs w:val="18"/>
              </w:rPr>
              <w:t>备注</w:t>
            </w:r>
          </w:p>
        </w:tc>
      </w:tr>
      <w:tr w14:paraId="2617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6D564B2F">
            <w:pPr>
              <w:spacing w:line="360" w:lineRule="auto"/>
              <w:jc w:val="left"/>
              <w:rPr>
                <w:rFonts w:ascii="黑体" w:hAnsi="黑体"/>
                <w:b/>
                <w:szCs w:val="18"/>
              </w:rPr>
            </w:pPr>
            <w:r>
              <w:rPr>
                <w:rFonts w:hint="eastAsia" w:ascii="黑体" w:hAnsi="黑体"/>
                <w:b/>
                <w:szCs w:val="18"/>
              </w:rPr>
              <w:t>外墙</w:t>
            </w:r>
          </w:p>
          <w:p w14:paraId="4C1D4ECD">
            <w:pPr>
              <w:spacing w:line="360" w:lineRule="auto"/>
              <w:jc w:val="left"/>
              <w:rPr>
                <w:rFonts w:ascii="黑体" w:hAnsi="黑体"/>
                <w:b/>
                <w:szCs w:val="18"/>
              </w:rPr>
            </w:pPr>
            <w:r>
              <w:rPr>
                <w:rFonts w:hint="eastAsia" w:ascii="黑体" w:hAnsi="黑体"/>
                <w:b/>
                <w:szCs w:val="18"/>
              </w:rPr>
              <w:t>（</w:t>
            </w:r>
            <w:r>
              <w:rPr>
                <w:rFonts w:ascii="黑体" w:hAnsi="黑体"/>
                <w:b/>
                <w:szCs w:val="18"/>
              </w:rPr>
              <w:t>幕墙背衬墙</w:t>
            </w:r>
            <w:r>
              <w:rPr>
                <w:rFonts w:hint="eastAsia" w:ascii="黑体" w:hAnsi="黑体"/>
                <w:b/>
                <w:szCs w:val="18"/>
              </w:rPr>
              <w:t>）</w:t>
            </w:r>
          </w:p>
        </w:tc>
        <w:tc>
          <w:tcPr>
            <w:tcW w:w="1276" w:type="dxa"/>
            <w:vMerge w:val="restart"/>
            <w:vAlign w:val="center"/>
          </w:tcPr>
          <w:p w14:paraId="3AEDFDA2">
            <w:pPr>
              <w:spacing w:line="360" w:lineRule="auto"/>
              <w:jc w:val="left"/>
              <w:rPr>
                <w:rFonts w:ascii="黑体" w:hAnsi="黑体"/>
                <w:szCs w:val="18"/>
              </w:rPr>
            </w:pPr>
            <w:r>
              <w:rPr>
                <w:rFonts w:hint="eastAsia" w:ascii="黑体" w:hAnsi="黑体"/>
                <w:szCs w:val="18"/>
              </w:rPr>
              <w:t>通用</w:t>
            </w:r>
          </w:p>
        </w:tc>
        <w:tc>
          <w:tcPr>
            <w:tcW w:w="1276" w:type="dxa"/>
          </w:tcPr>
          <w:p w14:paraId="2E1F9F85">
            <w:pPr>
              <w:spacing w:line="360" w:lineRule="auto"/>
              <w:jc w:val="left"/>
              <w:rPr>
                <w:rFonts w:ascii="黑体" w:hAnsi="黑体"/>
                <w:szCs w:val="18"/>
              </w:rPr>
            </w:pPr>
            <w:r>
              <w:rPr>
                <w:rFonts w:hint="eastAsia" w:ascii="黑体" w:hAnsi="黑体"/>
                <w:szCs w:val="18"/>
              </w:rPr>
              <w:t>开放式幕墙</w:t>
            </w:r>
          </w:p>
        </w:tc>
        <w:tc>
          <w:tcPr>
            <w:tcW w:w="2835" w:type="dxa"/>
          </w:tcPr>
          <w:p w14:paraId="1BFE6D8C">
            <w:pPr>
              <w:spacing w:line="360" w:lineRule="auto"/>
              <w:jc w:val="left"/>
              <w:rPr>
                <w:rFonts w:ascii="黑体" w:hAnsi="黑体"/>
                <w:szCs w:val="18"/>
              </w:rPr>
            </w:pPr>
            <w:r>
              <w:rPr>
                <w:rFonts w:hint="eastAsia" w:ascii="黑体" w:hAnsi="黑体"/>
                <w:szCs w:val="18"/>
              </w:rPr>
              <w:t>2</w:t>
            </w:r>
            <w:r>
              <w:rPr>
                <w:rFonts w:ascii="黑体" w:hAnsi="黑体"/>
                <w:szCs w:val="18"/>
              </w:rPr>
              <w:t>0厚</w:t>
            </w:r>
            <w:r>
              <w:rPr>
                <w:rFonts w:hint="eastAsia" w:ascii="黑体" w:hAnsi="黑体"/>
                <w:szCs w:val="18"/>
              </w:rPr>
              <w:t>M</w:t>
            </w:r>
            <w:r>
              <w:rPr>
                <w:rFonts w:ascii="黑体" w:hAnsi="黑体"/>
                <w:szCs w:val="18"/>
              </w:rPr>
              <w:t>15</w:t>
            </w:r>
            <w:r>
              <w:rPr>
                <w:rFonts w:hint="eastAsia" w:ascii="黑体" w:hAnsi="黑体"/>
                <w:b/>
                <w:szCs w:val="18"/>
              </w:rPr>
              <w:t>水泥砂浆</w:t>
            </w:r>
            <w:r>
              <w:rPr>
                <w:rFonts w:hint="eastAsia" w:ascii="黑体" w:hAnsi="黑体"/>
                <w:szCs w:val="18"/>
              </w:rPr>
              <w:t>抹灰，压入玻纤网</w:t>
            </w:r>
          </w:p>
        </w:tc>
        <w:tc>
          <w:tcPr>
            <w:tcW w:w="2551" w:type="dxa"/>
          </w:tcPr>
          <w:p w14:paraId="42386AC1">
            <w:pPr>
              <w:spacing w:line="360" w:lineRule="auto"/>
              <w:jc w:val="left"/>
              <w:rPr>
                <w:rFonts w:ascii="黑体" w:hAnsi="黑体"/>
                <w:szCs w:val="18"/>
              </w:rPr>
            </w:pPr>
          </w:p>
        </w:tc>
      </w:tr>
      <w:tr w14:paraId="0EFC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42B96DAA">
            <w:pPr>
              <w:spacing w:line="360" w:lineRule="auto"/>
              <w:jc w:val="left"/>
              <w:rPr>
                <w:rFonts w:ascii="黑体" w:hAnsi="黑体"/>
                <w:b/>
                <w:szCs w:val="18"/>
              </w:rPr>
            </w:pPr>
          </w:p>
        </w:tc>
        <w:tc>
          <w:tcPr>
            <w:tcW w:w="1276" w:type="dxa"/>
            <w:vMerge w:val="continue"/>
            <w:vAlign w:val="center"/>
          </w:tcPr>
          <w:p w14:paraId="6593F432">
            <w:pPr>
              <w:spacing w:line="360" w:lineRule="auto"/>
              <w:jc w:val="left"/>
              <w:rPr>
                <w:rFonts w:ascii="黑体" w:hAnsi="黑体"/>
                <w:szCs w:val="18"/>
              </w:rPr>
            </w:pPr>
          </w:p>
        </w:tc>
        <w:tc>
          <w:tcPr>
            <w:tcW w:w="1276" w:type="dxa"/>
          </w:tcPr>
          <w:p w14:paraId="5F52E365">
            <w:pPr>
              <w:spacing w:line="360" w:lineRule="auto"/>
              <w:jc w:val="left"/>
              <w:rPr>
                <w:rFonts w:ascii="黑体" w:hAnsi="黑体"/>
                <w:szCs w:val="18"/>
              </w:rPr>
            </w:pPr>
            <w:r>
              <w:rPr>
                <w:rFonts w:hint="eastAsia" w:ascii="黑体" w:hAnsi="黑体"/>
                <w:szCs w:val="18"/>
              </w:rPr>
              <w:t>封闭式幕墙</w:t>
            </w:r>
          </w:p>
        </w:tc>
        <w:tc>
          <w:tcPr>
            <w:tcW w:w="2835" w:type="dxa"/>
          </w:tcPr>
          <w:p w14:paraId="7E9A6379">
            <w:pPr>
              <w:spacing w:line="360" w:lineRule="auto"/>
              <w:jc w:val="left"/>
              <w:rPr>
                <w:rFonts w:ascii="黑体" w:hAnsi="黑体"/>
                <w:szCs w:val="18"/>
              </w:rPr>
            </w:pPr>
            <w:r>
              <w:rPr>
                <w:rFonts w:hint="eastAsia" w:ascii="黑体" w:hAnsi="黑体"/>
                <w:szCs w:val="18"/>
              </w:rPr>
              <w:t>无</w:t>
            </w:r>
          </w:p>
        </w:tc>
        <w:tc>
          <w:tcPr>
            <w:tcW w:w="2551" w:type="dxa"/>
          </w:tcPr>
          <w:p w14:paraId="05F1D202">
            <w:pPr>
              <w:spacing w:line="360" w:lineRule="auto"/>
              <w:jc w:val="left"/>
              <w:rPr>
                <w:rFonts w:ascii="黑体" w:hAnsi="黑体"/>
                <w:szCs w:val="18"/>
              </w:rPr>
            </w:pPr>
          </w:p>
        </w:tc>
      </w:tr>
      <w:tr w14:paraId="52F2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14:paraId="155DF071">
            <w:pPr>
              <w:spacing w:line="360" w:lineRule="auto"/>
              <w:jc w:val="left"/>
              <w:rPr>
                <w:rFonts w:ascii="黑体" w:hAnsi="黑体"/>
                <w:b/>
                <w:szCs w:val="18"/>
              </w:rPr>
            </w:pPr>
          </w:p>
        </w:tc>
        <w:tc>
          <w:tcPr>
            <w:tcW w:w="1276" w:type="dxa"/>
            <w:vMerge w:val="continue"/>
          </w:tcPr>
          <w:p w14:paraId="4981A7E2">
            <w:pPr>
              <w:spacing w:line="360" w:lineRule="auto"/>
              <w:jc w:val="left"/>
              <w:rPr>
                <w:rFonts w:ascii="黑体" w:hAnsi="黑体"/>
                <w:szCs w:val="18"/>
              </w:rPr>
            </w:pPr>
          </w:p>
        </w:tc>
        <w:tc>
          <w:tcPr>
            <w:tcW w:w="1276" w:type="dxa"/>
            <w:vAlign w:val="center"/>
          </w:tcPr>
          <w:p w14:paraId="5FB1E6AF">
            <w:pPr>
              <w:jc w:val="left"/>
              <w:rPr>
                <w:rFonts w:ascii="黑体" w:hAnsi="黑体"/>
                <w:szCs w:val="18"/>
              </w:rPr>
            </w:pPr>
            <w:r>
              <w:rPr>
                <w:rFonts w:hint="eastAsia" w:ascii="黑体" w:hAnsi="黑体"/>
                <w:szCs w:val="18"/>
              </w:rPr>
              <w:t>角钢交接处</w:t>
            </w:r>
          </w:p>
        </w:tc>
        <w:tc>
          <w:tcPr>
            <w:tcW w:w="2835" w:type="dxa"/>
          </w:tcPr>
          <w:p w14:paraId="642D99E0">
            <w:pPr>
              <w:jc w:val="left"/>
              <w:rPr>
                <w:rFonts w:ascii="黑体" w:hAnsi="黑体"/>
                <w:szCs w:val="18"/>
              </w:rPr>
            </w:pPr>
            <w:r>
              <w:rPr>
                <w:rFonts w:hint="eastAsia" w:ascii="黑体" w:hAnsi="黑体"/>
                <w:szCs w:val="18"/>
              </w:rPr>
              <w:t>上下各</w:t>
            </w:r>
            <w:r>
              <w:rPr>
                <w:rFonts w:ascii="黑体" w:hAnsi="黑体"/>
                <w:szCs w:val="18"/>
              </w:rPr>
              <w:t>100</w:t>
            </w:r>
            <w:r>
              <w:rPr>
                <w:rFonts w:hint="eastAsia" w:ascii="黑体" w:hAnsi="黑体"/>
                <w:szCs w:val="18"/>
              </w:rPr>
              <w:t>范围内2</w:t>
            </w:r>
            <w:r>
              <w:rPr>
                <w:rFonts w:ascii="黑体" w:hAnsi="黑体"/>
                <w:szCs w:val="18"/>
              </w:rPr>
              <w:t>0厚</w:t>
            </w:r>
            <w:r>
              <w:rPr>
                <w:rFonts w:hint="eastAsia" w:ascii="黑体" w:hAnsi="黑体"/>
                <w:szCs w:val="18"/>
              </w:rPr>
              <w:t>M</w:t>
            </w:r>
            <w:r>
              <w:rPr>
                <w:rFonts w:ascii="黑体" w:hAnsi="黑体"/>
                <w:szCs w:val="18"/>
              </w:rPr>
              <w:t>15</w:t>
            </w:r>
            <w:r>
              <w:rPr>
                <w:rFonts w:hint="eastAsia" w:ascii="黑体" w:hAnsi="黑体"/>
                <w:b/>
                <w:szCs w:val="18"/>
              </w:rPr>
              <w:t>水泥砂浆</w:t>
            </w:r>
            <w:r>
              <w:rPr>
                <w:rFonts w:hint="eastAsia" w:ascii="黑体" w:hAnsi="黑体"/>
                <w:szCs w:val="18"/>
              </w:rPr>
              <w:t>抹灰，压入玻纤网</w:t>
            </w:r>
          </w:p>
        </w:tc>
        <w:tc>
          <w:tcPr>
            <w:tcW w:w="2551" w:type="dxa"/>
          </w:tcPr>
          <w:p w14:paraId="3435C1DA">
            <w:pPr>
              <w:spacing w:line="360" w:lineRule="auto"/>
              <w:jc w:val="left"/>
              <w:rPr>
                <w:rFonts w:ascii="黑体" w:hAnsi="黑体"/>
                <w:szCs w:val="18"/>
              </w:rPr>
            </w:pPr>
            <w:r>
              <w:rPr>
                <w:rFonts w:ascii="黑体" w:hAnsi="黑体"/>
                <w:szCs w:val="18"/>
              </w:rPr>
              <w:t>详节点</w:t>
            </w:r>
          </w:p>
        </w:tc>
      </w:tr>
      <w:tr w14:paraId="5EF9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14:paraId="4BCA94AD">
            <w:pPr>
              <w:spacing w:line="360" w:lineRule="auto"/>
              <w:jc w:val="left"/>
              <w:rPr>
                <w:rFonts w:ascii="黑体" w:hAnsi="黑体"/>
                <w:b/>
                <w:szCs w:val="18"/>
              </w:rPr>
            </w:pPr>
            <w:r>
              <w:rPr>
                <w:rFonts w:ascii="黑体" w:hAnsi="黑体"/>
                <w:b/>
                <w:szCs w:val="18"/>
              </w:rPr>
              <w:t>内墙</w:t>
            </w:r>
          </w:p>
        </w:tc>
        <w:tc>
          <w:tcPr>
            <w:tcW w:w="1276" w:type="dxa"/>
          </w:tcPr>
          <w:p w14:paraId="74B8978D">
            <w:pPr>
              <w:spacing w:line="360" w:lineRule="auto"/>
              <w:jc w:val="left"/>
              <w:rPr>
                <w:rFonts w:ascii="黑体" w:hAnsi="黑体"/>
                <w:szCs w:val="18"/>
              </w:rPr>
            </w:pPr>
            <w:r>
              <w:rPr>
                <w:rFonts w:ascii="黑体" w:hAnsi="黑体"/>
                <w:szCs w:val="18"/>
              </w:rPr>
              <w:t>办公研发类</w:t>
            </w:r>
          </w:p>
        </w:tc>
        <w:tc>
          <w:tcPr>
            <w:tcW w:w="4111" w:type="dxa"/>
            <w:gridSpan w:val="2"/>
          </w:tcPr>
          <w:p w14:paraId="50B75389">
            <w:pPr>
              <w:spacing w:line="360" w:lineRule="auto"/>
              <w:jc w:val="left"/>
              <w:rPr>
                <w:rFonts w:ascii="黑体" w:hAnsi="黑体"/>
                <w:szCs w:val="18"/>
              </w:rPr>
            </w:pPr>
            <w:r>
              <w:rPr>
                <w:rFonts w:ascii="黑体" w:hAnsi="黑体"/>
                <w:szCs w:val="18"/>
              </w:rPr>
              <w:t>无</w:t>
            </w:r>
          </w:p>
        </w:tc>
        <w:tc>
          <w:tcPr>
            <w:tcW w:w="2551" w:type="dxa"/>
          </w:tcPr>
          <w:p w14:paraId="4535734F">
            <w:pPr>
              <w:spacing w:line="360" w:lineRule="auto"/>
              <w:jc w:val="left"/>
              <w:rPr>
                <w:rFonts w:ascii="黑体" w:hAnsi="黑体"/>
                <w:szCs w:val="18"/>
              </w:rPr>
            </w:pPr>
            <w:r>
              <w:rPr>
                <w:rFonts w:ascii="黑体" w:hAnsi="黑体"/>
                <w:szCs w:val="18"/>
              </w:rPr>
              <w:t>精装</w:t>
            </w:r>
            <w:r>
              <w:rPr>
                <w:rFonts w:hint="eastAsia" w:ascii="黑体" w:hAnsi="黑体"/>
                <w:szCs w:val="18"/>
              </w:rPr>
              <w:t>饰面</w:t>
            </w:r>
          </w:p>
        </w:tc>
      </w:tr>
      <w:tr w14:paraId="307B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tcPr>
          <w:p w14:paraId="4B3BEF90">
            <w:pPr>
              <w:spacing w:line="360" w:lineRule="auto"/>
              <w:jc w:val="left"/>
              <w:rPr>
                <w:rFonts w:ascii="黑体" w:hAnsi="黑体"/>
                <w:szCs w:val="18"/>
              </w:rPr>
            </w:pPr>
          </w:p>
        </w:tc>
        <w:tc>
          <w:tcPr>
            <w:tcW w:w="1276" w:type="dxa"/>
          </w:tcPr>
          <w:p w14:paraId="6BDED9CE">
            <w:pPr>
              <w:spacing w:line="360" w:lineRule="auto"/>
              <w:jc w:val="left"/>
              <w:rPr>
                <w:rFonts w:ascii="黑体" w:hAnsi="黑体"/>
                <w:szCs w:val="18"/>
              </w:rPr>
            </w:pPr>
            <w:r>
              <w:rPr>
                <w:rFonts w:ascii="黑体" w:hAnsi="黑体"/>
                <w:szCs w:val="18"/>
              </w:rPr>
              <w:t>住宅公寓类</w:t>
            </w:r>
          </w:p>
        </w:tc>
        <w:tc>
          <w:tcPr>
            <w:tcW w:w="4111" w:type="dxa"/>
            <w:gridSpan w:val="2"/>
          </w:tcPr>
          <w:p w14:paraId="69D8B4AD">
            <w:pPr>
              <w:spacing w:line="360" w:lineRule="auto"/>
              <w:jc w:val="left"/>
              <w:rPr>
                <w:rFonts w:ascii="黑体" w:hAnsi="黑体"/>
                <w:szCs w:val="18"/>
              </w:rPr>
            </w:pPr>
            <w:r>
              <w:rPr>
                <w:rFonts w:ascii="黑体" w:hAnsi="黑体"/>
                <w:szCs w:val="18"/>
              </w:rPr>
              <w:t>无</w:t>
            </w:r>
          </w:p>
        </w:tc>
        <w:tc>
          <w:tcPr>
            <w:tcW w:w="2551" w:type="dxa"/>
          </w:tcPr>
          <w:p w14:paraId="179AEB40">
            <w:pPr>
              <w:spacing w:line="360" w:lineRule="auto"/>
              <w:jc w:val="left"/>
              <w:rPr>
                <w:rFonts w:ascii="黑体" w:hAnsi="黑体"/>
                <w:szCs w:val="18"/>
              </w:rPr>
            </w:pPr>
            <w:r>
              <w:rPr>
                <w:rFonts w:ascii="黑体" w:hAnsi="黑体"/>
                <w:szCs w:val="18"/>
              </w:rPr>
              <w:t>精装</w:t>
            </w:r>
            <w:r>
              <w:rPr>
                <w:rFonts w:hint="eastAsia" w:ascii="黑体" w:hAnsi="黑体"/>
                <w:szCs w:val="18"/>
              </w:rPr>
              <w:t>薄抹灰处理</w:t>
            </w:r>
          </w:p>
        </w:tc>
      </w:tr>
      <w:tr w14:paraId="175A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tcPr>
          <w:p w14:paraId="356B4963">
            <w:pPr>
              <w:spacing w:line="360" w:lineRule="auto"/>
              <w:jc w:val="left"/>
              <w:rPr>
                <w:rFonts w:ascii="黑体" w:hAnsi="黑体"/>
                <w:szCs w:val="18"/>
              </w:rPr>
            </w:pPr>
          </w:p>
        </w:tc>
        <w:tc>
          <w:tcPr>
            <w:tcW w:w="1276" w:type="dxa"/>
          </w:tcPr>
          <w:p w14:paraId="288F3465">
            <w:pPr>
              <w:spacing w:line="360" w:lineRule="auto"/>
              <w:jc w:val="left"/>
              <w:rPr>
                <w:rFonts w:ascii="黑体" w:hAnsi="黑体"/>
                <w:szCs w:val="18"/>
              </w:rPr>
            </w:pPr>
            <w:r>
              <w:rPr>
                <w:rFonts w:ascii="黑体" w:hAnsi="黑体"/>
                <w:szCs w:val="18"/>
              </w:rPr>
              <w:t>生产制造类</w:t>
            </w:r>
          </w:p>
        </w:tc>
        <w:tc>
          <w:tcPr>
            <w:tcW w:w="4111" w:type="dxa"/>
            <w:gridSpan w:val="2"/>
          </w:tcPr>
          <w:p w14:paraId="54115728">
            <w:pPr>
              <w:spacing w:line="360" w:lineRule="auto"/>
              <w:jc w:val="left"/>
              <w:rPr>
                <w:rFonts w:ascii="黑体" w:hAnsi="黑体"/>
                <w:szCs w:val="18"/>
              </w:rPr>
            </w:pPr>
            <w:r>
              <w:rPr>
                <w:rFonts w:ascii="黑体" w:hAnsi="黑体"/>
                <w:szCs w:val="18"/>
              </w:rPr>
              <w:t>无</w:t>
            </w:r>
          </w:p>
        </w:tc>
        <w:tc>
          <w:tcPr>
            <w:tcW w:w="2551" w:type="dxa"/>
          </w:tcPr>
          <w:p w14:paraId="4DCA8482">
            <w:pPr>
              <w:jc w:val="left"/>
              <w:rPr>
                <w:rFonts w:ascii="黑体" w:hAnsi="黑体"/>
                <w:szCs w:val="18"/>
              </w:rPr>
            </w:pPr>
            <w:r>
              <w:rPr>
                <w:rFonts w:ascii="黑体" w:hAnsi="黑体"/>
                <w:szCs w:val="18"/>
              </w:rPr>
              <w:t>特殊部位处理</w:t>
            </w:r>
            <w:r>
              <w:rPr>
                <w:rFonts w:hint="eastAsia" w:ascii="黑体" w:hAnsi="黑体"/>
                <w:szCs w:val="18"/>
              </w:rPr>
              <w:t>，</w:t>
            </w:r>
          </w:p>
          <w:p w14:paraId="294882BA">
            <w:pPr>
              <w:jc w:val="left"/>
              <w:rPr>
                <w:rFonts w:ascii="黑体" w:hAnsi="黑体"/>
                <w:szCs w:val="18"/>
              </w:rPr>
            </w:pPr>
            <w:r>
              <w:rPr>
                <w:rFonts w:ascii="黑体" w:hAnsi="黑体"/>
                <w:szCs w:val="18"/>
              </w:rPr>
              <w:t>单独汇报</w:t>
            </w:r>
          </w:p>
        </w:tc>
      </w:tr>
      <w:tr w14:paraId="4624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14:paraId="2BEBFE4C">
            <w:pPr>
              <w:spacing w:line="360" w:lineRule="auto"/>
              <w:jc w:val="left"/>
              <w:rPr>
                <w:rFonts w:ascii="黑体" w:hAnsi="黑体"/>
                <w:b/>
                <w:szCs w:val="18"/>
              </w:rPr>
            </w:pPr>
            <w:r>
              <w:rPr>
                <w:rFonts w:ascii="黑体" w:hAnsi="黑体"/>
                <w:b/>
                <w:szCs w:val="18"/>
              </w:rPr>
              <w:t>地下室</w:t>
            </w:r>
          </w:p>
        </w:tc>
        <w:tc>
          <w:tcPr>
            <w:tcW w:w="1276" w:type="dxa"/>
          </w:tcPr>
          <w:p w14:paraId="6D9F41C3">
            <w:pPr>
              <w:spacing w:line="360" w:lineRule="auto"/>
              <w:jc w:val="left"/>
              <w:rPr>
                <w:rFonts w:ascii="黑体" w:hAnsi="黑体"/>
                <w:szCs w:val="18"/>
              </w:rPr>
            </w:pPr>
            <w:r>
              <w:rPr>
                <w:rFonts w:hint="eastAsia" w:ascii="黑体" w:hAnsi="黑体"/>
                <w:szCs w:val="18"/>
              </w:rPr>
              <w:t>通用</w:t>
            </w:r>
          </w:p>
        </w:tc>
        <w:tc>
          <w:tcPr>
            <w:tcW w:w="4111" w:type="dxa"/>
            <w:gridSpan w:val="2"/>
          </w:tcPr>
          <w:p w14:paraId="1DE90A02">
            <w:pPr>
              <w:spacing w:line="360" w:lineRule="auto"/>
              <w:jc w:val="left"/>
              <w:rPr>
                <w:rFonts w:ascii="黑体" w:hAnsi="黑体"/>
                <w:szCs w:val="18"/>
              </w:rPr>
            </w:pPr>
            <w:r>
              <w:rPr>
                <w:rFonts w:ascii="黑体" w:hAnsi="黑体"/>
                <w:szCs w:val="18"/>
              </w:rPr>
              <w:t>无</w:t>
            </w:r>
          </w:p>
        </w:tc>
        <w:tc>
          <w:tcPr>
            <w:tcW w:w="2551" w:type="dxa"/>
          </w:tcPr>
          <w:p w14:paraId="083DFB30">
            <w:pPr>
              <w:spacing w:line="360" w:lineRule="auto"/>
              <w:jc w:val="left"/>
              <w:rPr>
                <w:rFonts w:ascii="黑体" w:hAnsi="黑体"/>
                <w:szCs w:val="18"/>
              </w:rPr>
            </w:pPr>
          </w:p>
        </w:tc>
      </w:tr>
    </w:tbl>
    <w:p w14:paraId="672A4DF7">
      <w:pPr>
        <w:autoSpaceDE w:val="0"/>
        <w:autoSpaceDN w:val="0"/>
        <w:adjustRightInd w:val="0"/>
        <w:spacing w:line="360" w:lineRule="auto"/>
        <w:jc w:val="left"/>
        <w:rPr>
          <w:rFonts w:ascii="黑体" w:hAnsi="黑体"/>
          <w:b/>
          <w:szCs w:val="18"/>
        </w:rPr>
      </w:pPr>
    </w:p>
    <w:p w14:paraId="6F676621">
      <w:pPr>
        <w:autoSpaceDE w:val="0"/>
        <w:autoSpaceDN w:val="0"/>
        <w:adjustRightInd w:val="0"/>
        <w:spacing w:line="360" w:lineRule="auto"/>
        <w:jc w:val="left"/>
        <w:rPr>
          <w:rFonts w:ascii="黑体" w:hAnsi="黑体"/>
          <w:b/>
          <w:szCs w:val="18"/>
        </w:rPr>
      </w:pPr>
      <w:r>
        <w:rPr>
          <w:rFonts w:ascii="黑体" w:hAnsi="黑体"/>
          <w:b/>
          <w:kern w:val="0"/>
          <w:szCs w:val="18"/>
        </w:rPr>
        <w:t>（4）</w:t>
      </w:r>
      <w:r>
        <w:rPr>
          <w:rFonts w:hint="eastAsia" w:ascii="黑体" w:hAnsi="黑体"/>
          <w:b/>
          <w:szCs w:val="18"/>
        </w:rPr>
        <w:t>设计节点</w:t>
      </w:r>
    </w:p>
    <w:p w14:paraId="35864301">
      <w:pPr>
        <w:autoSpaceDE w:val="0"/>
        <w:autoSpaceDN w:val="0"/>
        <w:adjustRightInd w:val="0"/>
        <w:spacing w:line="360" w:lineRule="auto"/>
        <w:ind w:firstLine="180" w:firstLineChars="100"/>
        <w:jc w:val="left"/>
        <w:rPr>
          <w:rFonts w:ascii="黑体" w:hAnsi="黑体"/>
          <w:szCs w:val="18"/>
        </w:rPr>
      </w:pPr>
      <w:r>
        <w:rPr>
          <w:rFonts w:ascii="黑体" w:hAnsi="黑体"/>
          <w:szCs w:val="18"/>
        </w:rPr>
        <w:t>（</w:t>
      </w:r>
      <w:r>
        <w:rPr>
          <w:rFonts w:hint="eastAsia" w:ascii="黑体" w:hAnsi="黑体"/>
          <w:szCs w:val="18"/>
        </w:rPr>
        <w:t>a</w:t>
      </w:r>
      <w:r>
        <w:rPr>
          <w:rFonts w:ascii="黑体" w:hAnsi="黑体"/>
          <w:szCs w:val="18"/>
        </w:rPr>
        <w:t>）外墙ALC</w:t>
      </w:r>
      <w:r>
        <w:rPr>
          <w:rFonts w:hint="eastAsia" w:ascii="黑体" w:hAnsi="黑体"/>
          <w:szCs w:val="18"/>
        </w:rPr>
        <w:t>宜</w:t>
      </w:r>
      <w:r>
        <w:rPr>
          <w:rFonts w:ascii="黑体" w:hAnsi="黑体"/>
          <w:szCs w:val="18"/>
        </w:rPr>
        <w:t>选用内嵌式设计，参考图集19CJ85-1、13J104;</w:t>
      </w:r>
    </w:p>
    <w:p w14:paraId="571C41B0">
      <w:pPr>
        <w:pStyle w:val="49"/>
        <w:numPr>
          <w:ilvl w:val="0"/>
          <w:numId w:val="21"/>
        </w:numPr>
        <w:autoSpaceDE w:val="0"/>
        <w:autoSpaceDN w:val="0"/>
        <w:adjustRightInd w:val="0"/>
        <w:spacing w:line="360" w:lineRule="auto"/>
        <w:ind w:firstLineChars="0"/>
        <w:jc w:val="left"/>
        <w:rPr>
          <w:rFonts w:ascii="黑体" w:hAnsi="黑体"/>
          <w:szCs w:val="18"/>
        </w:rPr>
      </w:pPr>
      <w:r>
        <w:rPr>
          <w:rFonts w:ascii="黑体" w:hAnsi="黑体"/>
          <w:szCs w:val="18"/>
        </w:rPr>
        <w:t>主体为混凝土结构时，外墙ALC宜选用内嵌式设计</w:t>
      </w:r>
      <w:r>
        <w:rPr>
          <w:rFonts w:hint="eastAsia" w:ascii="黑体" w:hAnsi="黑体"/>
          <w:szCs w:val="18"/>
        </w:rPr>
        <w:t>；</w:t>
      </w:r>
    </w:p>
    <w:p w14:paraId="1A4D2AC9">
      <w:pPr>
        <w:pStyle w:val="49"/>
        <w:numPr>
          <w:ilvl w:val="0"/>
          <w:numId w:val="21"/>
        </w:numPr>
        <w:autoSpaceDE w:val="0"/>
        <w:autoSpaceDN w:val="0"/>
        <w:adjustRightInd w:val="0"/>
        <w:spacing w:line="360" w:lineRule="auto"/>
        <w:ind w:firstLineChars="0"/>
        <w:jc w:val="left"/>
        <w:rPr>
          <w:rFonts w:ascii="黑体" w:hAnsi="黑体"/>
          <w:szCs w:val="18"/>
        </w:rPr>
      </w:pPr>
      <w:r>
        <w:rPr>
          <w:rFonts w:ascii="黑体" w:hAnsi="黑体"/>
          <w:szCs w:val="18"/>
        </w:rPr>
        <w:t>主体为钢结构时，宜选用内嵌式设计</w:t>
      </w:r>
      <w:r>
        <w:rPr>
          <w:rFonts w:hint="eastAsia" w:ascii="黑体" w:hAnsi="黑体"/>
          <w:szCs w:val="18"/>
        </w:rPr>
        <w:t>。（</w:t>
      </w:r>
      <w:r>
        <w:rPr>
          <w:rFonts w:ascii="黑体" w:hAnsi="黑体"/>
          <w:szCs w:val="18"/>
        </w:rPr>
        <w:t>1、屋面风荷载大，ALC墙板外挂施工风险大；2、幕墙与钢立柱焊接不易定位且容易焊接至ALC自身加固梁上，造成安全隐患。）</w:t>
      </w:r>
    </w:p>
    <w:p w14:paraId="55C5FEAE">
      <w:pPr>
        <w:autoSpaceDE w:val="0"/>
        <w:autoSpaceDN w:val="0"/>
        <w:adjustRightInd w:val="0"/>
        <w:spacing w:line="360" w:lineRule="auto"/>
        <w:ind w:firstLine="180" w:firstLineChars="100"/>
        <w:jc w:val="left"/>
        <w:rPr>
          <w:rFonts w:ascii="黑体" w:hAnsi="黑体"/>
          <w:szCs w:val="18"/>
        </w:rPr>
      </w:pPr>
      <w:r>
        <w:rPr>
          <w:rFonts w:ascii="黑体" w:hAnsi="黑体"/>
          <w:szCs w:val="18"/>
        </w:rPr>
        <w:t>（b）外墙板层间节点需要与防水层一起做样板评审，详细评估其节点做法和渗漏风险。</w:t>
      </w:r>
    </w:p>
    <w:p w14:paraId="35765438">
      <w:pPr>
        <w:autoSpaceDE w:val="0"/>
        <w:autoSpaceDN w:val="0"/>
        <w:adjustRightInd w:val="0"/>
        <w:spacing w:line="360" w:lineRule="auto"/>
        <w:ind w:firstLine="180" w:firstLineChars="100"/>
        <w:jc w:val="left"/>
        <w:rPr>
          <w:rFonts w:ascii="黑体" w:hAnsi="黑体"/>
          <w:szCs w:val="18"/>
        </w:rPr>
      </w:pPr>
      <w:r>
        <w:rPr>
          <w:rFonts w:ascii="黑体" w:hAnsi="黑体"/>
          <w:szCs w:val="18"/>
        </w:rPr>
        <w:t>（c）对于幕墙内衬墙体，</w:t>
      </w:r>
      <w:r>
        <w:rPr>
          <w:rFonts w:hint="eastAsia" w:ascii="黑体" w:hAnsi="黑体"/>
          <w:szCs w:val="18"/>
        </w:rPr>
        <w:t>ALC</w:t>
      </w:r>
      <w:r>
        <w:rPr>
          <w:rFonts w:ascii="黑体" w:hAnsi="黑体"/>
          <w:szCs w:val="18"/>
        </w:rPr>
        <w:t>墙体与幕墙之间的收口由幕墙专业负责。</w:t>
      </w:r>
      <w:r>
        <w:rPr>
          <w:rFonts w:hint="eastAsia" w:ascii="黑体" w:hAnsi="黑体"/>
          <w:szCs w:val="18"/>
        </w:rPr>
        <w:t>因幕墙专业自身设置龙骨，ALC墙体两端不再设置钢龙骨。墙体两侧连接应选柔性连接节点。ALC墙体上下端与结构梁板之间节点连接按外墙板节点构造，塞缝要求同内墙构造选用。</w:t>
      </w:r>
    </w:p>
    <w:p w14:paraId="725976A1">
      <w:pPr>
        <w:widowControl/>
        <w:autoSpaceDE w:val="0"/>
        <w:autoSpaceDN w:val="0"/>
        <w:adjustRightInd w:val="0"/>
        <w:spacing w:line="360" w:lineRule="auto"/>
        <w:jc w:val="left"/>
        <w:rPr>
          <w:rFonts w:ascii="黑体" w:hAnsi="黑体"/>
          <w:b/>
          <w:kern w:val="0"/>
          <w:szCs w:val="18"/>
        </w:rPr>
      </w:pPr>
      <w:r>
        <w:rPr>
          <w:rFonts w:ascii="黑体" w:hAnsi="黑体"/>
          <w:b/>
          <w:kern w:val="0"/>
          <w:szCs w:val="18"/>
        </w:rPr>
        <w:t xml:space="preserve"> </w:t>
      </w:r>
      <w:r>
        <w:rPr>
          <w:rFonts w:ascii="黑体" w:hAnsi="黑体"/>
          <w:b/>
          <w:kern w:val="0"/>
          <w:szCs w:val="18"/>
        </w:rPr>
        <w:drawing>
          <wp:inline distT="0" distB="0" distL="0" distR="0">
            <wp:extent cx="4747260" cy="2038350"/>
            <wp:effectExtent l="0" t="0" r="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6"/>
                    <a:srcRect t="8223" b="12212"/>
                    <a:stretch>
                      <a:fillRect/>
                    </a:stretch>
                  </pic:blipFill>
                  <pic:spPr>
                    <a:xfrm>
                      <a:off x="0" y="0"/>
                      <a:ext cx="4806056" cy="2063423"/>
                    </a:xfrm>
                    <a:prstGeom prst="rect">
                      <a:avLst/>
                    </a:prstGeom>
                    <a:ln>
                      <a:noFill/>
                    </a:ln>
                  </pic:spPr>
                </pic:pic>
              </a:graphicData>
            </a:graphic>
          </wp:inline>
        </w:drawing>
      </w:r>
    </w:p>
    <w:p w14:paraId="56AC8BB5">
      <w:pPr>
        <w:autoSpaceDE w:val="0"/>
        <w:autoSpaceDN w:val="0"/>
        <w:adjustRightInd w:val="0"/>
        <w:spacing w:line="360" w:lineRule="auto"/>
        <w:ind w:firstLine="180" w:firstLineChars="100"/>
        <w:jc w:val="left"/>
        <w:rPr>
          <w:rFonts w:ascii="黑体" w:hAnsi="黑体"/>
          <w:b/>
          <w:kern w:val="0"/>
          <w:szCs w:val="18"/>
        </w:rPr>
      </w:pPr>
      <w:r>
        <w:rPr>
          <w:rFonts w:ascii="黑体" w:hAnsi="黑体"/>
          <w:szCs w:val="18"/>
        </w:rPr>
        <w:t>（d）内墙上下端国标图集固定方法有直角钢件法、</w:t>
      </w:r>
      <w:r>
        <w:rPr>
          <w:rFonts w:hint="eastAsia" w:ascii="黑体" w:hAnsi="黑体"/>
          <w:szCs w:val="18"/>
        </w:rPr>
        <w:t>U型卡法、管卡法三种，优先选用</w:t>
      </w:r>
      <w:r>
        <w:rPr>
          <w:rFonts w:hint="eastAsia" w:ascii="黑体" w:hAnsi="黑体"/>
          <w:b/>
          <w:szCs w:val="18"/>
        </w:rPr>
        <w:t>管卡法</w:t>
      </w:r>
      <w:r>
        <w:rPr>
          <w:rFonts w:ascii="黑体" w:hAnsi="黑体"/>
          <w:szCs w:val="18"/>
        </w:rPr>
        <w:t>。</w:t>
      </w:r>
    </w:p>
    <w:p w14:paraId="629C0659">
      <w:pPr>
        <w:autoSpaceDE w:val="0"/>
        <w:autoSpaceDN w:val="0"/>
        <w:adjustRightInd w:val="0"/>
        <w:spacing w:line="360" w:lineRule="auto"/>
        <w:ind w:firstLine="180" w:firstLineChars="100"/>
        <w:jc w:val="left"/>
        <w:rPr>
          <w:rFonts w:ascii="黑体" w:hAnsi="黑体"/>
          <w:szCs w:val="18"/>
        </w:rPr>
      </w:pPr>
      <w:r>
        <w:rPr>
          <w:rFonts w:ascii="黑体" w:hAnsi="黑体"/>
          <w:szCs w:val="18"/>
        </w:rPr>
        <w:t>(e)内墙转角节点选用</w:t>
      </w:r>
      <w:r>
        <w:rPr>
          <w:rFonts w:hint="eastAsia" w:ascii="黑体" w:hAnsi="黑体"/>
          <w:szCs w:val="18"/>
        </w:rPr>
        <w:t>1</w:t>
      </w:r>
      <w:r>
        <w:rPr>
          <w:rFonts w:ascii="黑体" w:hAnsi="黑体"/>
          <w:szCs w:val="18"/>
        </w:rPr>
        <w:t>3J104图集</w:t>
      </w:r>
      <w:r>
        <w:rPr>
          <w:rFonts w:hint="eastAsia" w:ascii="黑体" w:hAnsi="黑体"/>
          <w:szCs w:val="18"/>
        </w:rPr>
        <w:t>B</w:t>
      </w:r>
      <w:r>
        <w:rPr>
          <w:rFonts w:ascii="黑体" w:hAnsi="黑体"/>
          <w:szCs w:val="18"/>
        </w:rPr>
        <w:t>56页做法，对于易碰撞的转角和墙端，宜设置钢方通或扁通构造，具体位置在深化设计图中体现。</w:t>
      </w:r>
    </w:p>
    <w:p w14:paraId="04CF11D3">
      <w:pPr>
        <w:autoSpaceDE w:val="0"/>
        <w:autoSpaceDN w:val="0"/>
        <w:adjustRightInd w:val="0"/>
        <w:spacing w:line="360" w:lineRule="auto"/>
        <w:ind w:firstLine="180" w:firstLineChars="100"/>
        <w:jc w:val="left"/>
        <w:rPr>
          <w:rFonts w:ascii="黑体" w:hAnsi="黑体"/>
          <w:szCs w:val="18"/>
        </w:rPr>
      </w:pPr>
    </w:p>
    <w:p w14:paraId="395C242C">
      <w:pPr>
        <w:spacing w:line="360" w:lineRule="auto"/>
        <w:jc w:val="left"/>
        <w:rPr>
          <w:rFonts w:ascii="黑体" w:hAnsi="黑体"/>
          <w:b/>
          <w:szCs w:val="18"/>
        </w:rPr>
      </w:pPr>
      <w:r>
        <w:rPr>
          <w:rFonts w:ascii="黑体" w:hAnsi="黑体"/>
          <w:b/>
          <w:szCs w:val="18"/>
        </w:rPr>
        <w:t>(5)</w:t>
      </w:r>
      <w:r>
        <w:rPr>
          <w:rFonts w:hint="eastAsia" w:ascii="黑体" w:hAnsi="黑体"/>
          <w:b/>
          <w:szCs w:val="18"/>
        </w:rPr>
        <w:t>住宅公寓类项目A</w:t>
      </w:r>
      <w:r>
        <w:rPr>
          <w:rFonts w:ascii="黑体" w:hAnsi="黑体"/>
          <w:b/>
          <w:szCs w:val="18"/>
        </w:rPr>
        <w:t>LC</w:t>
      </w:r>
      <w:r>
        <w:rPr>
          <w:rFonts w:hint="eastAsia" w:ascii="黑体" w:hAnsi="黑体"/>
          <w:b/>
          <w:szCs w:val="18"/>
        </w:rPr>
        <w:t>板构造做法：</w:t>
      </w:r>
    </w:p>
    <w:p w14:paraId="3046A9EA">
      <w:pPr>
        <w:numPr>
          <w:ilvl w:val="0"/>
          <w:numId w:val="22"/>
        </w:numPr>
        <w:autoSpaceDE w:val="0"/>
        <w:autoSpaceDN w:val="0"/>
        <w:adjustRightInd w:val="0"/>
        <w:spacing w:line="360" w:lineRule="auto"/>
        <w:jc w:val="left"/>
        <w:rPr>
          <w:rFonts w:ascii="黑体" w:hAnsi="黑体"/>
          <w:szCs w:val="18"/>
        </w:rPr>
      </w:pPr>
      <w:r>
        <w:rPr>
          <w:rFonts w:hint="eastAsia" w:ascii="黑体" w:hAnsi="黑体"/>
          <w:szCs w:val="18"/>
        </w:rPr>
        <w:t>入户门门头板必须</w:t>
      </w:r>
      <w:r>
        <w:rPr>
          <w:rFonts w:hint="eastAsia" w:ascii="黑体" w:hAnsi="黑体"/>
          <w:b/>
          <w:bCs/>
          <w:szCs w:val="18"/>
        </w:rPr>
        <w:t>现浇</w:t>
      </w:r>
      <w:r>
        <w:rPr>
          <w:rFonts w:hint="eastAsia" w:ascii="黑体" w:hAnsi="黑体"/>
          <w:szCs w:val="18"/>
        </w:rPr>
        <w:t>；</w:t>
      </w:r>
    </w:p>
    <w:p w14:paraId="2EA57676">
      <w:pPr>
        <w:numPr>
          <w:ilvl w:val="0"/>
          <w:numId w:val="22"/>
        </w:numPr>
        <w:autoSpaceDE w:val="0"/>
        <w:autoSpaceDN w:val="0"/>
        <w:adjustRightInd w:val="0"/>
        <w:spacing w:line="360" w:lineRule="auto"/>
        <w:jc w:val="left"/>
        <w:rPr>
          <w:rFonts w:ascii="黑体" w:hAnsi="黑体"/>
          <w:szCs w:val="18"/>
        </w:rPr>
      </w:pPr>
      <w:r>
        <w:rPr>
          <w:rFonts w:hint="eastAsia" w:ascii="黑体" w:hAnsi="黑体"/>
          <w:szCs w:val="18"/>
        </w:rPr>
        <w:t>户内门头板及边框设置原则如下：</w:t>
      </w:r>
    </w:p>
    <w:tbl>
      <w:tblPr>
        <w:tblStyle w:val="36"/>
        <w:tblW w:w="6110" w:type="dxa"/>
        <w:tblInd w:w="0" w:type="dxa"/>
        <w:tblLayout w:type="autofit"/>
        <w:tblCellMar>
          <w:top w:w="0" w:type="dxa"/>
          <w:left w:w="0" w:type="dxa"/>
          <w:bottom w:w="0" w:type="dxa"/>
          <w:right w:w="0" w:type="dxa"/>
        </w:tblCellMar>
      </w:tblPr>
      <w:tblGrid>
        <w:gridCol w:w="1884"/>
        <w:gridCol w:w="1281"/>
        <w:gridCol w:w="2945"/>
      </w:tblGrid>
      <w:tr w14:paraId="0970FFB8">
        <w:tblPrEx>
          <w:tblCellMar>
            <w:top w:w="0" w:type="dxa"/>
            <w:left w:w="0" w:type="dxa"/>
            <w:bottom w:w="0" w:type="dxa"/>
            <w:right w:w="0" w:type="dxa"/>
          </w:tblCellMar>
        </w:tblPrEx>
        <w:trPr>
          <w:trHeight w:val="329" w:hRule="atLeast"/>
        </w:trPr>
        <w:tc>
          <w:tcPr>
            <w:tcW w:w="1884"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F55AAB8">
            <w:pPr>
              <w:spacing w:line="360" w:lineRule="auto"/>
              <w:jc w:val="left"/>
              <w:rPr>
                <w:rFonts w:ascii="黑体" w:hAnsi="黑体"/>
                <w:szCs w:val="18"/>
              </w:rPr>
            </w:pPr>
            <w:r>
              <w:rPr>
                <w:rFonts w:hint="eastAsia" w:ascii="黑体" w:hAnsi="黑体"/>
                <w:b/>
                <w:bCs/>
                <w:szCs w:val="18"/>
              </w:rPr>
              <w:t>住宅公寓类型</w:t>
            </w:r>
          </w:p>
        </w:tc>
        <w:tc>
          <w:tcPr>
            <w:tcW w:w="128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49785540">
            <w:pPr>
              <w:spacing w:line="360" w:lineRule="auto"/>
              <w:jc w:val="left"/>
              <w:rPr>
                <w:rFonts w:ascii="黑体" w:hAnsi="黑体"/>
                <w:szCs w:val="18"/>
              </w:rPr>
            </w:pPr>
            <w:r>
              <w:rPr>
                <w:rFonts w:hint="eastAsia" w:ascii="黑体" w:hAnsi="黑体"/>
                <w:b/>
                <w:bCs/>
                <w:szCs w:val="18"/>
              </w:rPr>
              <w:t>模板</w:t>
            </w:r>
          </w:p>
        </w:tc>
        <w:tc>
          <w:tcPr>
            <w:tcW w:w="2945"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4848E6E0">
            <w:pPr>
              <w:spacing w:line="360" w:lineRule="auto"/>
              <w:jc w:val="left"/>
              <w:rPr>
                <w:rFonts w:ascii="黑体" w:hAnsi="黑体"/>
                <w:szCs w:val="18"/>
              </w:rPr>
            </w:pPr>
            <w:r>
              <w:rPr>
                <w:rFonts w:hint="eastAsia" w:ascii="黑体" w:hAnsi="黑体"/>
                <w:b/>
                <w:bCs/>
                <w:szCs w:val="18"/>
              </w:rPr>
              <w:t>建议做法</w:t>
            </w:r>
          </w:p>
        </w:tc>
      </w:tr>
      <w:tr w14:paraId="650DD398">
        <w:tblPrEx>
          <w:tblCellMar>
            <w:top w:w="0" w:type="dxa"/>
            <w:left w:w="0" w:type="dxa"/>
            <w:bottom w:w="0" w:type="dxa"/>
            <w:right w:w="0" w:type="dxa"/>
          </w:tblCellMar>
        </w:tblPrEx>
        <w:trPr>
          <w:trHeight w:val="326" w:hRule="atLeast"/>
        </w:trPr>
        <w:tc>
          <w:tcPr>
            <w:tcW w:w="1884"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750D72FF">
            <w:pPr>
              <w:spacing w:line="360" w:lineRule="auto"/>
              <w:jc w:val="left"/>
              <w:rPr>
                <w:rFonts w:ascii="黑体" w:hAnsi="黑体"/>
                <w:szCs w:val="18"/>
              </w:rPr>
            </w:pPr>
            <w:r>
              <w:rPr>
                <w:rFonts w:hint="eastAsia" w:ascii="黑体" w:hAnsi="黑体"/>
                <w:szCs w:val="18"/>
              </w:rPr>
              <w:t>高层</w:t>
            </w:r>
          </w:p>
        </w:tc>
        <w:tc>
          <w:tcPr>
            <w:tcW w:w="128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630A79CD">
            <w:pPr>
              <w:spacing w:line="360" w:lineRule="auto"/>
              <w:jc w:val="left"/>
              <w:rPr>
                <w:rFonts w:ascii="黑体" w:hAnsi="黑体"/>
                <w:szCs w:val="18"/>
              </w:rPr>
            </w:pPr>
            <w:r>
              <w:rPr>
                <w:rFonts w:hint="eastAsia" w:ascii="黑体" w:hAnsi="黑体"/>
                <w:szCs w:val="18"/>
              </w:rPr>
              <w:t>铝模</w:t>
            </w:r>
          </w:p>
        </w:tc>
        <w:tc>
          <w:tcPr>
            <w:tcW w:w="2945"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0FD1EB05">
            <w:pPr>
              <w:spacing w:line="360" w:lineRule="auto"/>
              <w:jc w:val="left"/>
              <w:rPr>
                <w:rFonts w:ascii="黑体" w:hAnsi="黑体"/>
                <w:szCs w:val="18"/>
              </w:rPr>
            </w:pPr>
            <w:r>
              <w:rPr>
                <w:rFonts w:hint="eastAsia" w:ascii="黑体" w:hAnsi="黑体"/>
                <w:szCs w:val="18"/>
              </w:rPr>
              <w:t>一次浇筑</w:t>
            </w:r>
          </w:p>
        </w:tc>
      </w:tr>
      <w:tr w14:paraId="6EE6162A">
        <w:tblPrEx>
          <w:tblCellMar>
            <w:top w:w="0" w:type="dxa"/>
            <w:left w:w="0" w:type="dxa"/>
            <w:bottom w:w="0" w:type="dxa"/>
            <w:right w:w="0" w:type="dxa"/>
          </w:tblCellMar>
        </w:tblPrEx>
        <w:trPr>
          <w:trHeight w:val="326" w:hRule="atLeast"/>
        </w:trPr>
        <w:tc>
          <w:tcPr>
            <w:tcW w:w="1884"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1736A171">
            <w:pPr>
              <w:spacing w:line="360" w:lineRule="auto"/>
              <w:jc w:val="left"/>
              <w:rPr>
                <w:rFonts w:ascii="黑体" w:hAnsi="黑体"/>
                <w:szCs w:val="18"/>
              </w:rPr>
            </w:pPr>
            <w:r>
              <w:rPr>
                <w:rFonts w:hint="eastAsia" w:ascii="黑体" w:hAnsi="黑体"/>
                <w:szCs w:val="18"/>
              </w:rPr>
              <w:t>多层或小高层</w:t>
            </w:r>
          </w:p>
        </w:tc>
        <w:tc>
          <w:tcPr>
            <w:tcW w:w="1281"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15E8C414">
            <w:pPr>
              <w:spacing w:line="360" w:lineRule="auto"/>
              <w:jc w:val="left"/>
              <w:rPr>
                <w:rFonts w:ascii="黑体" w:hAnsi="黑体"/>
                <w:szCs w:val="18"/>
              </w:rPr>
            </w:pPr>
            <w:r>
              <w:rPr>
                <w:rFonts w:hint="eastAsia" w:ascii="黑体" w:hAnsi="黑体"/>
                <w:szCs w:val="18"/>
              </w:rPr>
              <w:t>非铝模</w:t>
            </w:r>
          </w:p>
        </w:tc>
        <w:tc>
          <w:tcPr>
            <w:tcW w:w="2945" w:type="dxa"/>
            <w:tcBorders>
              <w:top w:val="single" w:color="1D1D1A" w:sz="8" w:space="0"/>
              <w:left w:val="single" w:color="1D1D1A" w:sz="8" w:space="0"/>
              <w:bottom w:val="single" w:color="1D1D1A" w:sz="8" w:space="0"/>
              <w:right w:val="single" w:color="1D1D1A" w:sz="8" w:space="0"/>
            </w:tcBorders>
            <w:shd w:val="clear" w:color="auto" w:fill="auto"/>
            <w:tcMar>
              <w:top w:w="15" w:type="dxa"/>
              <w:left w:w="71" w:type="dxa"/>
              <w:bottom w:w="0" w:type="dxa"/>
              <w:right w:w="71" w:type="dxa"/>
            </w:tcMar>
            <w:vAlign w:val="center"/>
          </w:tcPr>
          <w:p w14:paraId="2E79393C">
            <w:pPr>
              <w:spacing w:line="360" w:lineRule="auto"/>
              <w:jc w:val="left"/>
              <w:rPr>
                <w:rFonts w:ascii="黑体" w:hAnsi="黑体"/>
                <w:szCs w:val="18"/>
              </w:rPr>
            </w:pPr>
            <w:r>
              <w:rPr>
                <w:rFonts w:hint="eastAsia" w:ascii="黑体" w:hAnsi="黑体"/>
                <w:szCs w:val="18"/>
              </w:rPr>
              <w:t>详深化设计标准图</w:t>
            </w:r>
          </w:p>
        </w:tc>
      </w:tr>
    </w:tbl>
    <w:p w14:paraId="0659C666">
      <w:pPr>
        <w:autoSpaceDE w:val="0"/>
        <w:autoSpaceDN w:val="0"/>
        <w:adjustRightInd w:val="0"/>
        <w:spacing w:line="360" w:lineRule="auto"/>
        <w:jc w:val="left"/>
        <w:rPr>
          <w:rFonts w:ascii="黑体" w:hAnsi="黑体"/>
          <w:szCs w:val="18"/>
        </w:rPr>
      </w:pPr>
      <w:r>
        <w:rPr>
          <w:rFonts w:ascii="黑体" w:hAnsi="黑体"/>
          <w:szCs w:val="18"/>
        </w:rPr>
        <w:t>（</w:t>
      </w:r>
      <w:r>
        <w:rPr>
          <w:rFonts w:hint="eastAsia" w:ascii="黑体" w:hAnsi="黑体"/>
          <w:szCs w:val="18"/>
          <w:lang w:val="en-US" w:eastAsia="zh-CN"/>
        </w:rPr>
        <w:t>6</w:t>
      </w:r>
      <w:r>
        <w:rPr>
          <w:rFonts w:ascii="黑体" w:hAnsi="黑体"/>
          <w:szCs w:val="18"/>
        </w:rPr>
        <w:t>）防火卷帘门窗洞口顶部和侧边</w:t>
      </w:r>
      <w:r>
        <w:rPr>
          <w:rFonts w:hint="eastAsia" w:ascii="黑体" w:hAnsi="黑体"/>
          <w:szCs w:val="18"/>
        </w:rPr>
        <w:t>应</w:t>
      </w:r>
      <w:r>
        <w:rPr>
          <w:rFonts w:ascii="黑体" w:hAnsi="黑体"/>
          <w:szCs w:val="18"/>
        </w:rPr>
        <w:t>采用钢筋混凝土构造梁柱。</w:t>
      </w:r>
    </w:p>
    <w:p w14:paraId="3D246412">
      <w:pPr>
        <w:autoSpaceDE w:val="0"/>
        <w:autoSpaceDN w:val="0"/>
        <w:adjustRightInd w:val="0"/>
        <w:spacing w:line="360" w:lineRule="auto"/>
        <w:jc w:val="left"/>
        <w:rPr>
          <w:rFonts w:ascii="黑体" w:hAnsi="黑体"/>
          <w:szCs w:val="18"/>
        </w:rPr>
      </w:pPr>
    </w:p>
    <w:p w14:paraId="6FBA9887">
      <w:pPr>
        <w:autoSpaceDE w:val="0"/>
        <w:autoSpaceDN w:val="0"/>
        <w:adjustRightInd w:val="0"/>
        <w:spacing w:line="360" w:lineRule="auto"/>
        <w:jc w:val="left"/>
        <w:rPr>
          <w:rFonts w:ascii="黑体" w:hAnsi="黑体"/>
          <w:b/>
          <w:szCs w:val="18"/>
        </w:rPr>
      </w:pPr>
      <w:r>
        <w:rPr>
          <w:rFonts w:ascii="黑体" w:hAnsi="黑体"/>
          <w:b/>
          <w:szCs w:val="18"/>
        </w:rPr>
        <w:t>2.3.6</w:t>
      </w:r>
      <w:r>
        <w:rPr>
          <w:rFonts w:hint="eastAsia" w:ascii="黑体" w:hAnsi="黑体"/>
          <w:b/>
          <w:szCs w:val="18"/>
        </w:rPr>
        <w:t>、A</w:t>
      </w:r>
      <w:r>
        <w:rPr>
          <w:rFonts w:ascii="黑体" w:hAnsi="黑体"/>
          <w:b/>
          <w:szCs w:val="18"/>
        </w:rPr>
        <w:t>LC</w:t>
      </w:r>
      <w:r>
        <w:rPr>
          <w:rFonts w:hint="eastAsia" w:ascii="黑体" w:hAnsi="黑体"/>
          <w:b/>
          <w:szCs w:val="18"/>
        </w:rPr>
        <w:t>板深化设计：</w:t>
      </w:r>
    </w:p>
    <w:p w14:paraId="6E626E52">
      <w:pPr>
        <w:pStyle w:val="49"/>
        <w:numPr>
          <w:ilvl w:val="0"/>
          <w:numId w:val="23"/>
        </w:numPr>
        <w:autoSpaceDE w:val="0"/>
        <w:autoSpaceDN w:val="0"/>
        <w:adjustRightInd w:val="0"/>
        <w:spacing w:line="360" w:lineRule="auto"/>
        <w:ind w:firstLineChars="0"/>
        <w:jc w:val="left"/>
        <w:rPr>
          <w:rFonts w:ascii="黑体" w:hAnsi="黑体"/>
          <w:szCs w:val="18"/>
        </w:rPr>
      </w:pPr>
      <w:r>
        <w:rPr>
          <w:rFonts w:hint="eastAsia" w:ascii="黑体" w:hAnsi="黑体"/>
          <w:szCs w:val="18"/>
        </w:rPr>
        <w:t>A</w:t>
      </w:r>
      <w:r>
        <w:rPr>
          <w:rFonts w:ascii="黑体" w:hAnsi="黑体"/>
          <w:szCs w:val="18"/>
        </w:rPr>
        <w:t>LC</w:t>
      </w:r>
      <w:r>
        <w:rPr>
          <w:rFonts w:hint="eastAsia" w:ascii="黑体" w:hAnsi="黑体"/>
          <w:szCs w:val="18"/>
        </w:rPr>
        <w:t>墙板施工单位应根据国标设计图集及项目所在地相关标准进行深化设计，由设计单位进行审核、签字、盖章。</w:t>
      </w:r>
    </w:p>
    <w:p w14:paraId="665B69AE">
      <w:pPr>
        <w:pStyle w:val="49"/>
        <w:numPr>
          <w:ilvl w:val="0"/>
          <w:numId w:val="23"/>
        </w:numPr>
        <w:autoSpaceDE w:val="0"/>
        <w:autoSpaceDN w:val="0"/>
        <w:adjustRightInd w:val="0"/>
        <w:spacing w:line="360" w:lineRule="auto"/>
        <w:ind w:firstLineChars="0"/>
        <w:jc w:val="left"/>
        <w:rPr>
          <w:rFonts w:ascii="黑体" w:hAnsi="黑体"/>
          <w:szCs w:val="18"/>
        </w:rPr>
      </w:pPr>
      <w:r>
        <w:rPr>
          <w:rFonts w:hint="eastAsia" w:ascii="黑体" w:hAnsi="黑体"/>
          <w:szCs w:val="18"/>
        </w:rPr>
        <w:t>建设单位应组织设计、总包、监理、A</w:t>
      </w:r>
      <w:r>
        <w:rPr>
          <w:rFonts w:ascii="黑体" w:hAnsi="黑体"/>
          <w:szCs w:val="18"/>
        </w:rPr>
        <w:t>LC</w:t>
      </w:r>
      <w:r>
        <w:rPr>
          <w:rFonts w:hint="eastAsia" w:ascii="黑体" w:hAnsi="黑体"/>
          <w:szCs w:val="18"/>
        </w:rPr>
        <w:t>墙板施工单位召开</w:t>
      </w:r>
      <w:r>
        <w:rPr>
          <w:rFonts w:ascii="黑体" w:hAnsi="黑体"/>
          <w:szCs w:val="18"/>
        </w:rPr>
        <w:t>ALC</w:t>
      </w:r>
      <w:r>
        <w:rPr>
          <w:rFonts w:hint="eastAsia" w:ascii="黑体" w:hAnsi="黑体"/>
          <w:szCs w:val="18"/>
        </w:rPr>
        <w:t>墙板方案及深化图纸审查专项会议，评审通过后方可实施。</w:t>
      </w:r>
    </w:p>
    <w:p w14:paraId="6696E45A">
      <w:pPr>
        <w:pStyle w:val="31"/>
        <w:widowControl/>
        <w:numPr>
          <w:ilvl w:val="0"/>
          <w:numId w:val="23"/>
        </w:numPr>
        <w:spacing w:before="0" w:beforeAutospacing="0" w:after="150" w:afterAutospacing="0" w:line="360" w:lineRule="auto"/>
        <w:rPr>
          <w:rFonts w:ascii="黑体" w:hAnsi="黑体"/>
          <w:sz w:val="18"/>
          <w:szCs w:val="18"/>
        </w:rPr>
      </w:pPr>
      <w:r>
        <w:rPr>
          <w:rFonts w:ascii="黑体" w:hAnsi="黑体"/>
          <w:sz w:val="18"/>
          <w:szCs w:val="18"/>
        </w:rPr>
        <w:t>墙板深化设计过程中需要关注精装末端点位对墙板固定点的影响，避免墙板宽度无法满足最小固定要求。</w:t>
      </w:r>
    </w:p>
    <w:p w14:paraId="38BBD087">
      <w:pPr>
        <w:pStyle w:val="31"/>
        <w:widowControl/>
        <w:numPr>
          <w:ilvl w:val="0"/>
          <w:numId w:val="23"/>
        </w:numPr>
        <w:spacing w:before="0" w:beforeAutospacing="0" w:after="150" w:afterAutospacing="0" w:line="360" w:lineRule="auto"/>
        <w:rPr>
          <w:rFonts w:ascii="黑体" w:hAnsi="黑体"/>
          <w:sz w:val="18"/>
          <w:szCs w:val="18"/>
        </w:rPr>
      </w:pPr>
      <w:r>
        <w:rPr>
          <w:rFonts w:ascii="黑体" w:hAnsi="黑体"/>
          <w:bCs/>
          <w:sz w:val="18"/>
          <w:szCs w:val="18"/>
        </w:rPr>
        <w:t>ALC</w:t>
      </w:r>
      <w:r>
        <w:rPr>
          <w:rFonts w:hint="eastAsia" w:ascii="黑体" w:hAnsi="黑体"/>
          <w:bCs/>
          <w:sz w:val="18"/>
          <w:szCs w:val="18"/>
        </w:rPr>
        <w:t>板</w:t>
      </w:r>
      <w:r>
        <w:rPr>
          <w:rFonts w:ascii="黑体" w:hAnsi="黑体"/>
          <w:bCs/>
          <w:sz w:val="18"/>
          <w:szCs w:val="18"/>
        </w:rPr>
        <w:t>深化设计应与幕墙专业拉通评审。</w:t>
      </w:r>
    </w:p>
    <w:p w14:paraId="643E6393">
      <w:pPr>
        <w:pStyle w:val="31"/>
        <w:widowControl/>
        <w:numPr>
          <w:ilvl w:val="0"/>
          <w:numId w:val="23"/>
        </w:numPr>
        <w:spacing w:before="0" w:beforeAutospacing="0" w:after="150" w:afterAutospacing="0" w:line="360" w:lineRule="auto"/>
        <w:rPr>
          <w:rFonts w:ascii="黑体" w:hAnsi="黑体"/>
          <w:sz w:val="18"/>
          <w:szCs w:val="18"/>
        </w:rPr>
      </w:pPr>
      <w:r>
        <w:rPr>
          <w:rFonts w:hint="eastAsia" w:ascii="黑体" w:hAnsi="黑体"/>
          <w:sz w:val="18"/>
          <w:szCs w:val="18"/>
        </w:rPr>
        <w:t>深化设计标准节点详：《建筑工程标准图集-</w:t>
      </w:r>
      <w:r>
        <w:rPr>
          <w:rFonts w:ascii="黑体" w:hAnsi="黑体"/>
          <w:sz w:val="18"/>
          <w:szCs w:val="18"/>
        </w:rPr>
        <w:t>ALC</w:t>
      </w:r>
      <w:r>
        <w:rPr>
          <w:rFonts w:hint="eastAsia" w:ascii="黑体" w:hAnsi="黑体"/>
          <w:sz w:val="18"/>
          <w:szCs w:val="18"/>
        </w:rPr>
        <w:t>板深化设计标准节点图》</w:t>
      </w:r>
    </w:p>
    <w:p w14:paraId="0CAA6676">
      <w:pPr>
        <w:pStyle w:val="31"/>
        <w:widowControl/>
        <w:spacing w:before="0" w:beforeAutospacing="0" w:after="150" w:afterAutospacing="0" w:line="360" w:lineRule="auto"/>
        <w:ind w:left="567"/>
        <w:rPr>
          <w:rFonts w:ascii="黑体" w:hAnsi="黑体"/>
          <w:b/>
          <w:bCs/>
          <w:sz w:val="18"/>
          <w:szCs w:val="18"/>
        </w:rPr>
      </w:pPr>
      <w:r>
        <w:rPr>
          <w:rFonts w:hint="eastAsia" w:ascii="黑体" w:hAnsi="黑体"/>
          <w:b/>
          <w:sz w:val="18"/>
          <w:szCs w:val="18"/>
        </w:rPr>
        <w:t>深化设计常见问题：</w:t>
      </w:r>
    </w:p>
    <w:p w14:paraId="2D6CBFA9">
      <w:pPr>
        <w:numPr>
          <w:ilvl w:val="0"/>
          <w:numId w:val="24"/>
        </w:numPr>
        <w:autoSpaceDE w:val="0"/>
        <w:autoSpaceDN w:val="0"/>
        <w:adjustRightInd w:val="0"/>
        <w:spacing w:line="360" w:lineRule="auto"/>
        <w:jc w:val="left"/>
        <w:rPr>
          <w:rFonts w:ascii="黑体" w:hAnsi="黑体"/>
          <w:szCs w:val="18"/>
        </w:rPr>
      </w:pPr>
      <w:r>
        <w:rPr>
          <w:rFonts w:hint="eastAsia" w:ascii="黑体" w:hAnsi="黑体"/>
          <w:szCs w:val="18"/>
        </w:rPr>
        <w:t>情况描述：管井内部隔墙在管道安装后，无法后续安装墙板;</w:t>
      </w:r>
    </w:p>
    <w:p w14:paraId="5A782D6A">
      <w:pPr>
        <w:numPr>
          <w:ilvl w:val="0"/>
          <w:numId w:val="24"/>
        </w:numPr>
        <w:autoSpaceDE w:val="0"/>
        <w:autoSpaceDN w:val="0"/>
        <w:adjustRightInd w:val="0"/>
        <w:spacing w:line="360" w:lineRule="auto"/>
        <w:jc w:val="left"/>
        <w:rPr>
          <w:rFonts w:ascii="黑体" w:hAnsi="黑体"/>
          <w:szCs w:val="18"/>
        </w:rPr>
      </w:pPr>
      <w:r>
        <w:rPr>
          <w:rFonts w:hint="eastAsia" w:ascii="黑体" w:hAnsi="黑体"/>
          <w:szCs w:val="18"/>
        </w:rPr>
        <w:t>调整方式：后续确认此处墙体若对功能使用无影响且在封闭空间内，建议取消。</w:t>
      </w:r>
    </w:p>
    <w:p w14:paraId="7CCEAC2A">
      <w:pPr>
        <w:autoSpaceDE w:val="0"/>
        <w:autoSpaceDN w:val="0"/>
        <w:adjustRightInd w:val="0"/>
        <w:spacing w:line="360" w:lineRule="auto"/>
        <w:ind w:firstLine="540" w:firstLineChars="300"/>
        <w:jc w:val="left"/>
        <w:rPr>
          <w:rFonts w:ascii="黑体" w:hAnsi="黑体"/>
          <w:szCs w:val="18"/>
        </w:rPr>
      </w:pPr>
      <w:r>
        <w:rPr>
          <w:rFonts w:ascii="黑体" w:hAnsi="黑体"/>
          <w:szCs w:val="18"/>
        </w:rPr>
        <w:drawing>
          <wp:inline distT="0" distB="0" distL="0" distR="0">
            <wp:extent cx="3180080" cy="2283460"/>
            <wp:effectExtent l="0" t="0" r="127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3191962" cy="2291941"/>
                    </a:xfrm>
                    <a:prstGeom prst="rect">
                      <a:avLst/>
                    </a:prstGeom>
                  </pic:spPr>
                </pic:pic>
              </a:graphicData>
            </a:graphic>
          </wp:inline>
        </w:drawing>
      </w:r>
    </w:p>
    <w:p w14:paraId="120CF4D0">
      <w:pPr>
        <w:autoSpaceDE w:val="0"/>
        <w:autoSpaceDN w:val="0"/>
        <w:adjustRightInd w:val="0"/>
        <w:spacing w:line="360" w:lineRule="auto"/>
        <w:ind w:firstLine="540" w:firstLineChars="300"/>
        <w:jc w:val="left"/>
        <w:rPr>
          <w:rFonts w:ascii="黑体" w:hAnsi="黑体"/>
          <w:szCs w:val="18"/>
        </w:rPr>
      </w:pPr>
      <w:r>
        <w:rPr>
          <w:rFonts w:ascii="黑体" w:hAnsi="黑体"/>
          <w:szCs w:val="18"/>
        </w:rPr>
        <w:drawing>
          <wp:inline distT="0" distB="0" distL="0" distR="0">
            <wp:extent cx="3180080" cy="1964690"/>
            <wp:effectExtent l="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3245746" cy="2005438"/>
                    </a:xfrm>
                    <a:prstGeom prst="rect">
                      <a:avLst/>
                    </a:prstGeom>
                  </pic:spPr>
                </pic:pic>
              </a:graphicData>
            </a:graphic>
          </wp:inline>
        </w:drawing>
      </w:r>
    </w:p>
    <w:p w14:paraId="4EFEE067">
      <w:pPr>
        <w:autoSpaceDE w:val="0"/>
        <w:autoSpaceDN w:val="0"/>
        <w:adjustRightInd w:val="0"/>
        <w:spacing w:line="360" w:lineRule="auto"/>
        <w:ind w:left="720"/>
        <w:jc w:val="left"/>
        <w:rPr>
          <w:rFonts w:ascii="黑体" w:hAnsi="黑体"/>
          <w:szCs w:val="18"/>
        </w:rPr>
      </w:pPr>
    </w:p>
    <w:p w14:paraId="0DEB7B82">
      <w:pPr>
        <w:pStyle w:val="49"/>
        <w:numPr>
          <w:ilvl w:val="0"/>
          <w:numId w:val="25"/>
        </w:numPr>
        <w:autoSpaceDE w:val="0"/>
        <w:autoSpaceDN w:val="0"/>
        <w:adjustRightInd w:val="0"/>
        <w:spacing w:line="360" w:lineRule="auto"/>
        <w:ind w:firstLineChars="0"/>
        <w:jc w:val="left"/>
        <w:rPr>
          <w:rFonts w:ascii="黑体" w:hAnsi="黑体"/>
          <w:szCs w:val="18"/>
        </w:rPr>
      </w:pPr>
      <w:r>
        <w:rPr>
          <w:rFonts w:hint="eastAsia" w:ascii="黑体" w:hAnsi="黑体"/>
          <w:szCs w:val="18"/>
        </w:rPr>
        <w:t>情况描述：前期设计中未考虑墙与梁位置关系，存在缝隙；</w:t>
      </w:r>
    </w:p>
    <w:p w14:paraId="3918806E">
      <w:pPr>
        <w:pStyle w:val="49"/>
        <w:numPr>
          <w:ilvl w:val="0"/>
          <w:numId w:val="25"/>
        </w:numPr>
        <w:autoSpaceDE w:val="0"/>
        <w:autoSpaceDN w:val="0"/>
        <w:adjustRightInd w:val="0"/>
        <w:spacing w:line="360" w:lineRule="auto"/>
        <w:ind w:firstLineChars="0"/>
        <w:jc w:val="left"/>
        <w:rPr>
          <w:rFonts w:ascii="黑体" w:hAnsi="黑体"/>
          <w:szCs w:val="18"/>
        </w:rPr>
      </w:pPr>
      <w:r>
        <w:rPr>
          <w:rFonts w:hint="eastAsia" w:ascii="黑体" w:hAnsi="黑体"/>
          <w:szCs w:val="18"/>
        </w:rPr>
        <w:t>调整方案：墙体调整至梁平，墙体与柱错台；精装单位角线收口处理（需与精装单位确认可行性）</w:t>
      </w:r>
    </w:p>
    <w:p w14:paraId="6968BA6B">
      <w:pPr>
        <w:autoSpaceDE w:val="0"/>
        <w:autoSpaceDN w:val="0"/>
        <w:adjustRightInd w:val="0"/>
        <w:spacing w:line="360" w:lineRule="auto"/>
        <w:ind w:firstLine="270" w:firstLineChars="150"/>
        <w:jc w:val="left"/>
        <w:rPr>
          <w:rFonts w:ascii="黑体" w:hAnsi="黑体"/>
          <w:szCs w:val="18"/>
        </w:rPr>
      </w:pPr>
      <w:r>
        <w:rPr>
          <w:rFonts w:ascii="黑体" w:hAnsi="黑体"/>
          <w:szCs w:val="18"/>
        </w:rPr>
        <w:drawing>
          <wp:inline distT="0" distB="0" distL="0" distR="0">
            <wp:extent cx="2305050" cy="1899920"/>
            <wp:effectExtent l="0" t="0" r="0" b="508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9"/>
                    <a:stretch>
                      <a:fillRect/>
                    </a:stretch>
                  </pic:blipFill>
                  <pic:spPr>
                    <a:xfrm>
                      <a:off x="0" y="0"/>
                      <a:ext cx="2371380" cy="1954626"/>
                    </a:xfrm>
                    <a:prstGeom prst="rect">
                      <a:avLst/>
                    </a:prstGeom>
                  </pic:spPr>
                </pic:pic>
              </a:graphicData>
            </a:graphic>
          </wp:inline>
        </w:drawing>
      </w:r>
      <w:r>
        <w:rPr>
          <w:rFonts w:hint="eastAsia" w:ascii="黑体" w:hAnsi="黑体"/>
          <w:szCs w:val="18"/>
        </w:rPr>
        <w:t xml:space="preserve"> </w:t>
      </w:r>
      <w:r>
        <w:rPr>
          <w:rFonts w:ascii="黑体" w:hAnsi="黑体"/>
          <w:szCs w:val="18"/>
        </w:rPr>
        <w:drawing>
          <wp:inline distT="0" distB="0" distL="0" distR="0">
            <wp:extent cx="2622550" cy="1906270"/>
            <wp:effectExtent l="0" t="0" r="6350"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30"/>
                    <a:stretch>
                      <a:fillRect/>
                    </a:stretch>
                  </pic:blipFill>
                  <pic:spPr>
                    <a:xfrm>
                      <a:off x="0" y="0"/>
                      <a:ext cx="2723809" cy="1980338"/>
                    </a:xfrm>
                    <a:prstGeom prst="rect">
                      <a:avLst/>
                    </a:prstGeom>
                  </pic:spPr>
                </pic:pic>
              </a:graphicData>
            </a:graphic>
          </wp:inline>
        </w:drawing>
      </w:r>
    </w:p>
    <w:p w14:paraId="2AFBF6AF">
      <w:pPr>
        <w:numPr>
          <w:ilvl w:val="0"/>
          <w:numId w:val="26"/>
        </w:numPr>
        <w:autoSpaceDE w:val="0"/>
        <w:autoSpaceDN w:val="0"/>
        <w:adjustRightInd w:val="0"/>
        <w:spacing w:line="360" w:lineRule="auto"/>
        <w:jc w:val="left"/>
        <w:rPr>
          <w:rFonts w:ascii="黑体" w:hAnsi="黑体"/>
          <w:szCs w:val="18"/>
        </w:rPr>
      </w:pPr>
      <w:r>
        <w:rPr>
          <w:rFonts w:hint="eastAsia" w:ascii="黑体" w:hAnsi="黑体"/>
          <w:szCs w:val="18"/>
        </w:rPr>
        <w:t>情况描述：根据规范要求，小于200mm墙板不允许上墙，洞口边板通过位置微调解决门边板尺寸要求；</w:t>
      </w:r>
    </w:p>
    <w:p w14:paraId="701CFFCC">
      <w:pPr>
        <w:numPr>
          <w:ilvl w:val="0"/>
          <w:numId w:val="26"/>
        </w:numPr>
        <w:autoSpaceDE w:val="0"/>
        <w:autoSpaceDN w:val="0"/>
        <w:adjustRightInd w:val="0"/>
        <w:spacing w:line="360" w:lineRule="auto"/>
        <w:jc w:val="left"/>
        <w:rPr>
          <w:rFonts w:ascii="黑体" w:hAnsi="黑体"/>
          <w:szCs w:val="18"/>
        </w:rPr>
      </w:pPr>
      <w:r>
        <w:rPr>
          <w:rFonts w:hint="eastAsia" w:ascii="黑体" w:hAnsi="黑体"/>
          <w:szCs w:val="18"/>
        </w:rPr>
        <w:t>调整方案：需总包单位现浇构造柱</w:t>
      </w:r>
    </w:p>
    <w:p w14:paraId="677E6C50">
      <w:pPr>
        <w:autoSpaceDE w:val="0"/>
        <w:autoSpaceDN w:val="0"/>
        <w:adjustRightInd w:val="0"/>
        <w:spacing w:line="360" w:lineRule="auto"/>
        <w:ind w:firstLine="540" w:firstLineChars="300"/>
        <w:jc w:val="left"/>
        <w:rPr>
          <w:rFonts w:ascii="黑体" w:hAnsi="黑体"/>
          <w:szCs w:val="18"/>
        </w:rPr>
      </w:pPr>
      <w:r>
        <w:rPr>
          <w:rFonts w:ascii="黑体" w:hAnsi="黑体"/>
          <w:szCs w:val="18"/>
        </w:rPr>
        <w:drawing>
          <wp:inline distT="0" distB="0" distL="0" distR="0">
            <wp:extent cx="2346325" cy="1746250"/>
            <wp:effectExtent l="0" t="0" r="0" b="635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1"/>
                    <a:stretch>
                      <a:fillRect/>
                    </a:stretch>
                  </pic:blipFill>
                  <pic:spPr>
                    <a:xfrm>
                      <a:off x="0" y="0"/>
                      <a:ext cx="2388174" cy="1776999"/>
                    </a:xfrm>
                    <a:prstGeom prst="rect">
                      <a:avLst/>
                    </a:prstGeom>
                  </pic:spPr>
                </pic:pic>
              </a:graphicData>
            </a:graphic>
          </wp:inline>
        </w:drawing>
      </w:r>
      <w:r>
        <w:rPr>
          <w:rFonts w:hint="eastAsia" w:ascii="黑体" w:hAnsi="黑体"/>
          <w:szCs w:val="18"/>
        </w:rPr>
        <w:t xml:space="preserve"> </w:t>
      </w:r>
      <w:r>
        <w:rPr>
          <w:rFonts w:ascii="黑体" w:hAnsi="黑体"/>
          <w:szCs w:val="18"/>
        </w:rPr>
        <w:t xml:space="preserve"> </w:t>
      </w:r>
      <w:r>
        <w:rPr>
          <w:rFonts w:ascii="黑体" w:hAnsi="黑体"/>
          <w:szCs w:val="18"/>
        </w:rPr>
        <w:drawing>
          <wp:inline distT="0" distB="0" distL="0" distR="0">
            <wp:extent cx="2397125" cy="1744345"/>
            <wp:effectExtent l="0" t="0" r="3175" b="825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2"/>
                    <a:stretch>
                      <a:fillRect/>
                    </a:stretch>
                  </pic:blipFill>
                  <pic:spPr>
                    <a:xfrm>
                      <a:off x="0" y="0"/>
                      <a:ext cx="2441240" cy="1776568"/>
                    </a:xfrm>
                    <a:prstGeom prst="rect">
                      <a:avLst/>
                    </a:prstGeom>
                  </pic:spPr>
                </pic:pic>
              </a:graphicData>
            </a:graphic>
          </wp:inline>
        </w:drawing>
      </w:r>
    </w:p>
    <w:p w14:paraId="24D5EF70">
      <w:pPr>
        <w:autoSpaceDE w:val="0"/>
        <w:autoSpaceDN w:val="0"/>
        <w:adjustRightInd w:val="0"/>
        <w:spacing w:line="360" w:lineRule="auto"/>
        <w:jc w:val="left"/>
        <w:rPr>
          <w:rFonts w:ascii="黑体" w:hAnsi="黑体"/>
          <w:b/>
          <w:szCs w:val="18"/>
        </w:rPr>
      </w:pPr>
    </w:p>
    <w:p w14:paraId="1032AAE9">
      <w:pPr>
        <w:autoSpaceDE w:val="0"/>
        <w:autoSpaceDN w:val="0"/>
        <w:adjustRightInd w:val="0"/>
        <w:spacing w:line="360" w:lineRule="auto"/>
        <w:jc w:val="left"/>
        <w:rPr>
          <w:rFonts w:ascii="黑体" w:hAnsi="黑体"/>
          <w:b/>
          <w:szCs w:val="18"/>
        </w:rPr>
      </w:pPr>
      <w:r>
        <w:rPr>
          <w:rFonts w:ascii="黑体" w:hAnsi="黑体"/>
          <w:b/>
          <w:szCs w:val="18"/>
        </w:rPr>
        <w:t>2.3.7</w:t>
      </w:r>
      <w:r>
        <w:rPr>
          <w:rFonts w:hint="eastAsia" w:ascii="黑体" w:hAnsi="黑体"/>
          <w:b/>
          <w:szCs w:val="18"/>
        </w:rPr>
        <w:t>、</w:t>
      </w:r>
      <w:r>
        <w:rPr>
          <w:rFonts w:ascii="黑体" w:hAnsi="黑体"/>
          <w:b/>
          <w:szCs w:val="18"/>
        </w:rPr>
        <w:t>ALC墙体施工质量控制要点</w:t>
      </w:r>
    </w:p>
    <w:p w14:paraId="1330DA4F">
      <w:pPr>
        <w:autoSpaceDE w:val="0"/>
        <w:autoSpaceDN w:val="0"/>
        <w:adjustRightInd w:val="0"/>
        <w:spacing w:line="360" w:lineRule="auto"/>
        <w:jc w:val="left"/>
        <w:rPr>
          <w:rFonts w:ascii="黑体" w:hAnsi="黑体"/>
          <w:b/>
          <w:szCs w:val="18"/>
        </w:rPr>
      </w:pPr>
      <w:bookmarkStart w:id="14" w:name="_Hlk135595112"/>
      <w:r>
        <w:rPr>
          <w:rFonts w:ascii="黑体" w:hAnsi="黑体"/>
          <w:b/>
          <w:szCs w:val="18"/>
        </w:rPr>
        <w:t>2.3.7.</w:t>
      </w:r>
      <w:bookmarkEnd w:id="14"/>
      <w:r>
        <w:rPr>
          <w:rFonts w:ascii="黑体" w:hAnsi="黑体"/>
          <w:b/>
          <w:szCs w:val="18"/>
        </w:rPr>
        <w:t>1、导墙施工</w:t>
      </w:r>
    </w:p>
    <w:p w14:paraId="762A791A">
      <w:pPr>
        <w:pStyle w:val="49"/>
        <w:numPr>
          <w:ilvl w:val="0"/>
          <w:numId w:val="27"/>
        </w:numPr>
        <w:autoSpaceDE w:val="0"/>
        <w:autoSpaceDN w:val="0"/>
        <w:adjustRightInd w:val="0"/>
        <w:spacing w:line="360" w:lineRule="auto"/>
        <w:ind w:firstLineChars="0"/>
        <w:jc w:val="left"/>
        <w:rPr>
          <w:rFonts w:ascii="黑体" w:hAnsi="黑体"/>
          <w:szCs w:val="18"/>
        </w:rPr>
      </w:pPr>
      <w:r>
        <w:rPr>
          <w:rFonts w:ascii="黑体" w:hAnsi="黑体"/>
          <w:szCs w:val="18"/>
        </w:rPr>
        <w:t>导墙</w:t>
      </w:r>
      <w:r>
        <w:rPr>
          <w:rFonts w:hint="eastAsia" w:ascii="黑体" w:hAnsi="黑体"/>
          <w:szCs w:val="18"/>
        </w:rPr>
        <w:t>由</w:t>
      </w:r>
      <w:r>
        <w:rPr>
          <w:rFonts w:ascii="黑体" w:hAnsi="黑体"/>
          <w:szCs w:val="18"/>
        </w:rPr>
        <w:t>总包</w:t>
      </w:r>
      <w:r>
        <w:rPr>
          <w:rFonts w:hint="eastAsia" w:ascii="黑体" w:hAnsi="黑体"/>
          <w:szCs w:val="18"/>
        </w:rPr>
        <w:t>负责施工，需A</w:t>
      </w:r>
      <w:r>
        <w:rPr>
          <w:rFonts w:ascii="黑体" w:hAnsi="黑体"/>
          <w:szCs w:val="18"/>
        </w:rPr>
        <w:t>LC</w:t>
      </w:r>
      <w:r>
        <w:rPr>
          <w:rFonts w:hint="eastAsia" w:ascii="黑体" w:hAnsi="黑体"/>
          <w:szCs w:val="18"/>
        </w:rPr>
        <w:t>（含砌体）</w:t>
      </w:r>
      <w:r>
        <w:rPr>
          <w:rFonts w:ascii="黑体" w:hAnsi="黑体"/>
          <w:szCs w:val="18"/>
        </w:rPr>
        <w:t>墙板单位提供准确的尺寸和定位图</w:t>
      </w:r>
    </w:p>
    <w:p w14:paraId="1E6382AC">
      <w:pPr>
        <w:pStyle w:val="49"/>
        <w:numPr>
          <w:ilvl w:val="0"/>
          <w:numId w:val="27"/>
        </w:numPr>
        <w:autoSpaceDE w:val="0"/>
        <w:autoSpaceDN w:val="0"/>
        <w:adjustRightInd w:val="0"/>
        <w:spacing w:line="360" w:lineRule="auto"/>
        <w:ind w:firstLineChars="0"/>
        <w:jc w:val="left"/>
        <w:rPr>
          <w:rFonts w:ascii="黑体" w:hAnsi="黑体"/>
          <w:szCs w:val="18"/>
        </w:rPr>
      </w:pPr>
      <w:r>
        <w:rPr>
          <w:rFonts w:hint="eastAsia" w:ascii="黑体" w:hAnsi="黑体"/>
          <w:szCs w:val="18"/>
        </w:rPr>
        <w:t>导墙施工时基层混凝土表面需凿毛，去除收光浆料，露出混凝土石子骨料；</w:t>
      </w:r>
    </w:p>
    <w:p w14:paraId="278ADCA0">
      <w:pPr>
        <w:pStyle w:val="49"/>
        <w:numPr>
          <w:ilvl w:val="0"/>
          <w:numId w:val="27"/>
        </w:numPr>
        <w:autoSpaceDE w:val="0"/>
        <w:autoSpaceDN w:val="0"/>
        <w:adjustRightInd w:val="0"/>
        <w:spacing w:line="360" w:lineRule="auto"/>
        <w:ind w:firstLineChars="0"/>
        <w:jc w:val="left"/>
        <w:rPr>
          <w:rFonts w:ascii="黑体" w:hAnsi="黑体"/>
          <w:szCs w:val="18"/>
        </w:rPr>
      </w:pPr>
      <w:r>
        <w:rPr>
          <w:rFonts w:hint="eastAsia" w:ascii="黑体" w:hAnsi="黑体"/>
          <w:szCs w:val="18"/>
        </w:rPr>
        <w:t>导墙与墙体定位线需总包与ALC</w:t>
      </w:r>
      <w:r>
        <w:rPr>
          <w:rFonts w:ascii="黑体" w:hAnsi="黑体"/>
          <w:szCs w:val="18"/>
        </w:rPr>
        <w:t>施工分包双方签字确认，确保定位准确；</w:t>
      </w:r>
    </w:p>
    <w:p w14:paraId="24F53507">
      <w:pPr>
        <w:pStyle w:val="49"/>
        <w:numPr>
          <w:ilvl w:val="0"/>
          <w:numId w:val="27"/>
        </w:numPr>
        <w:autoSpaceDE w:val="0"/>
        <w:autoSpaceDN w:val="0"/>
        <w:adjustRightInd w:val="0"/>
        <w:spacing w:line="360" w:lineRule="auto"/>
        <w:ind w:firstLineChars="0"/>
        <w:jc w:val="left"/>
        <w:rPr>
          <w:rFonts w:ascii="黑体" w:hAnsi="黑体"/>
          <w:szCs w:val="18"/>
        </w:rPr>
      </w:pPr>
      <w:r>
        <w:rPr>
          <w:rFonts w:hint="eastAsia" w:ascii="黑体" w:hAnsi="黑体"/>
          <w:szCs w:val="18"/>
        </w:rPr>
        <w:t>导墙高度有特殊要求的位置需总分包双方签字并报甲方、监理确认。</w:t>
      </w:r>
    </w:p>
    <w:p w14:paraId="4F3581FD">
      <w:pPr>
        <w:pStyle w:val="49"/>
        <w:numPr>
          <w:ilvl w:val="0"/>
          <w:numId w:val="27"/>
        </w:numPr>
        <w:autoSpaceDE w:val="0"/>
        <w:autoSpaceDN w:val="0"/>
        <w:adjustRightInd w:val="0"/>
        <w:spacing w:line="360" w:lineRule="auto"/>
        <w:ind w:firstLineChars="0"/>
        <w:jc w:val="left"/>
        <w:rPr>
          <w:rFonts w:ascii="黑体" w:hAnsi="黑体"/>
          <w:szCs w:val="18"/>
        </w:rPr>
      </w:pPr>
      <w:r>
        <w:rPr>
          <w:rFonts w:ascii="黑体" w:hAnsi="黑体"/>
          <w:szCs w:val="18"/>
        </w:rPr>
        <w:t>导墙完成后需办理工作面交接手续。</w:t>
      </w:r>
    </w:p>
    <w:p w14:paraId="448C48B4">
      <w:pPr>
        <w:autoSpaceDE w:val="0"/>
        <w:autoSpaceDN w:val="0"/>
        <w:adjustRightInd w:val="0"/>
        <w:spacing w:line="360" w:lineRule="auto"/>
        <w:jc w:val="left"/>
        <w:rPr>
          <w:rFonts w:ascii="黑体" w:hAnsi="黑体"/>
          <w:b/>
          <w:szCs w:val="18"/>
        </w:rPr>
      </w:pPr>
      <w:r>
        <w:rPr>
          <w:rFonts w:ascii="黑体" w:hAnsi="黑体"/>
          <w:b/>
          <w:szCs w:val="18"/>
        </w:rPr>
        <w:t>2.3.7.</w:t>
      </w:r>
      <w:r>
        <w:rPr>
          <w:rFonts w:hint="eastAsia" w:ascii="黑体" w:hAnsi="黑体"/>
          <w:b/>
          <w:szCs w:val="18"/>
        </w:rPr>
        <w:t>2、ALC</w:t>
      </w:r>
      <w:r>
        <w:rPr>
          <w:rFonts w:ascii="黑体" w:hAnsi="黑体"/>
          <w:b/>
          <w:szCs w:val="18"/>
        </w:rPr>
        <w:t>墙板</w:t>
      </w:r>
      <w:r>
        <w:rPr>
          <w:rFonts w:hint="eastAsia" w:ascii="黑体" w:hAnsi="黑体"/>
          <w:b/>
          <w:szCs w:val="18"/>
        </w:rPr>
        <w:t>安装</w:t>
      </w:r>
      <w:r>
        <w:rPr>
          <w:rFonts w:ascii="黑体" w:hAnsi="黑体"/>
          <w:b/>
          <w:szCs w:val="18"/>
        </w:rPr>
        <w:t>要求</w:t>
      </w:r>
    </w:p>
    <w:p w14:paraId="013F7B4C">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墙板上墙前应检查完整度，板边破口</w:t>
      </w:r>
      <w:r>
        <w:rPr>
          <w:rFonts w:ascii="黑体" w:hAnsi="黑体"/>
          <w:szCs w:val="18"/>
        </w:rPr>
        <w:t>&gt;100</w:t>
      </w:r>
      <w:r>
        <w:rPr>
          <w:rFonts w:hint="eastAsia" w:ascii="黑体" w:hAnsi="黑体"/>
          <w:szCs w:val="18"/>
        </w:rPr>
        <w:t>m</w:t>
      </w:r>
      <w:r>
        <w:rPr>
          <w:rFonts w:ascii="黑体" w:hAnsi="黑体"/>
          <w:szCs w:val="18"/>
        </w:rPr>
        <w:t>m</w:t>
      </w:r>
      <w:r>
        <w:rPr>
          <w:rFonts w:hint="eastAsia" w:ascii="黑体" w:hAnsi="黑体"/>
          <w:szCs w:val="18"/>
        </w:rPr>
        <w:t>时不可上墙安装；</w:t>
      </w:r>
    </w:p>
    <w:p w14:paraId="42EB82BB">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板宽</w:t>
      </w:r>
      <w:r>
        <w:rPr>
          <w:rFonts w:ascii="黑体" w:hAnsi="黑体"/>
          <w:szCs w:val="18"/>
        </w:rPr>
        <w:t>&lt;200</w:t>
      </w:r>
      <w:r>
        <w:rPr>
          <w:rFonts w:hint="eastAsia" w:ascii="黑体" w:hAnsi="黑体"/>
          <w:szCs w:val="18"/>
        </w:rPr>
        <w:t>m</w:t>
      </w:r>
      <w:r>
        <w:rPr>
          <w:rFonts w:ascii="黑体" w:hAnsi="黑体"/>
          <w:szCs w:val="18"/>
        </w:rPr>
        <w:t>m</w:t>
      </w:r>
      <w:r>
        <w:rPr>
          <w:rFonts w:hint="eastAsia" w:ascii="黑体" w:hAnsi="黑体"/>
          <w:szCs w:val="18"/>
        </w:rPr>
        <w:t>不符合规范要求，不可上墙安装；</w:t>
      </w:r>
    </w:p>
    <w:p w14:paraId="7E2CA61F">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固定角钢时按孔位逐个安装</w:t>
      </w:r>
      <w:r>
        <w:rPr>
          <w:rFonts w:ascii="黑体" w:hAnsi="黑体"/>
          <w:szCs w:val="18"/>
        </w:rPr>
        <w:t>M12</w:t>
      </w:r>
      <w:r>
        <w:rPr>
          <w:rFonts w:hint="eastAsia" w:ascii="黑体" w:hAnsi="黑体"/>
          <w:szCs w:val="18"/>
        </w:rPr>
        <w:t>膨胀螺栓。打孔应注意不要打爆反坎，造成结构削弱。</w:t>
      </w:r>
    </w:p>
    <w:p w14:paraId="57748DD5">
      <w:pPr>
        <w:pStyle w:val="49"/>
        <w:numPr>
          <w:ilvl w:val="0"/>
          <w:numId w:val="28"/>
        </w:numPr>
        <w:autoSpaceDE w:val="0"/>
        <w:autoSpaceDN w:val="0"/>
        <w:adjustRightInd w:val="0"/>
        <w:spacing w:line="312" w:lineRule="exact"/>
        <w:ind w:firstLineChars="0"/>
        <w:jc w:val="left"/>
        <w:rPr>
          <w:rFonts w:ascii="黑体" w:hAnsi="黑体"/>
          <w:szCs w:val="18"/>
        </w:rPr>
      </w:pPr>
      <w:r>
        <w:rPr>
          <w:rFonts w:hint="eastAsia" w:ascii="黑体" w:hAnsi="黑体"/>
          <w:szCs w:val="18"/>
        </w:rPr>
        <w:t>墙板拼缝要求饱满，安装时应凹凸面双面抹拼缝剂，安装后挤浆效果长度不小于拼缝总长度的90%。</w:t>
      </w:r>
    </w:p>
    <w:p w14:paraId="0464C433">
      <w:pPr>
        <w:adjustRightInd w:val="0"/>
        <w:ind w:firstLine="360" w:firstLineChars="200"/>
        <w:jc w:val="left"/>
        <w:rPr>
          <w:rFonts w:ascii="黑体" w:hAnsi="黑体"/>
          <w:szCs w:val="18"/>
        </w:rPr>
      </w:pPr>
      <w:r>
        <w:rPr>
          <w:rFonts w:ascii="黑体" w:hAnsi="黑体"/>
          <w:szCs w:val="18"/>
        </w:rPr>
        <w:drawing>
          <wp:inline distT="0" distB="0" distL="0" distR="0">
            <wp:extent cx="4468495" cy="2620645"/>
            <wp:effectExtent l="19050" t="19050" r="27305" b="273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rcRect l="1902" t="4574" r="1157" b="14705"/>
                    <a:stretch>
                      <a:fillRect/>
                    </a:stretch>
                  </pic:blipFill>
                  <pic:spPr>
                    <a:xfrm>
                      <a:off x="0" y="0"/>
                      <a:ext cx="4489018" cy="2632603"/>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2F41D0A">
      <w:pPr>
        <w:pStyle w:val="49"/>
        <w:numPr>
          <w:ilvl w:val="0"/>
          <w:numId w:val="28"/>
        </w:numPr>
        <w:autoSpaceDE w:val="0"/>
        <w:autoSpaceDN w:val="0"/>
        <w:adjustRightInd w:val="0"/>
        <w:spacing w:line="312" w:lineRule="exact"/>
        <w:ind w:firstLineChars="0"/>
        <w:jc w:val="left"/>
        <w:rPr>
          <w:rFonts w:ascii="黑体" w:hAnsi="黑体"/>
          <w:szCs w:val="18"/>
        </w:rPr>
      </w:pPr>
      <w:r>
        <w:rPr>
          <w:rFonts w:hint="eastAsia" w:ascii="黑体" w:hAnsi="黑体"/>
          <w:szCs w:val="18"/>
        </w:rPr>
        <w:t>墙板安装完成后，顶部有时会出现挤浆不饱满的情况，需要用注浆器往顶部灌入粘结砂浆。</w:t>
      </w:r>
    </w:p>
    <w:p w14:paraId="2E3BA7EB">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墙板底部材料要求选用水泥砂浆，坐浆方式，达到挤出效果；</w:t>
      </w:r>
    </w:p>
    <w:p w14:paraId="31A0A9FF">
      <w:pPr>
        <w:pStyle w:val="49"/>
        <w:adjustRightInd w:val="0"/>
        <w:spacing w:line="360" w:lineRule="auto"/>
        <w:ind w:left="420" w:firstLine="360"/>
        <w:jc w:val="left"/>
        <w:rPr>
          <w:rFonts w:ascii="黑体" w:hAnsi="黑体"/>
          <w:szCs w:val="18"/>
        </w:rPr>
      </w:pPr>
      <w:r>
        <w:rPr>
          <w:rFonts w:ascii="黑体" w:hAnsi="黑体"/>
          <w:szCs w:val="18"/>
        </w:rPr>
        <w:drawing>
          <wp:inline distT="0" distB="0" distL="0" distR="0">
            <wp:extent cx="2661285" cy="2024380"/>
            <wp:effectExtent l="0" t="0" r="5715" b="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4" cstate="print">
                      <a:extLst>
                        <a:ext uri="{28A0092B-C50C-407E-A947-70E740481C1C}">
                          <a14:useLocalDpi xmlns:a14="http://schemas.microsoft.com/office/drawing/2010/main" val="0"/>
                        </a:ext>
                      </a:extLst>
                    </a:blip>
                    <a:srcRect r="22266" b="21153"/>
                    <a:stretch>
                      <a:fillRect/>
                    </a:stretch>
                  </pic:blipFill>
                  <pic:spPr>
                    <a:xfrm>
                      <a:off x="0" y="0"/>
                      <a:ext cx="2662194" cy="2025228"/>
                    </a:xfrm>
                    <a:prstGeom prst="rect">
                      <a:avLst/>
                    </a:prstGeom>
                    <a:ln>
                      <a:noFill/>
                    </a:ln>
                  </pic:spPr>
                </pic:pic>
              </a:graphicData>
            </a:graphic>
          </wp:inline>
        </w:drawing>
      </w:r>
    </w:p>
    <w:p w14:paraId="146F918D">
      <w:pPr>
        <w:pStyle w:val="49"/>
        <w:adjustRightInd w:val="0"/>
        <w:spacing w:line="360" w:lineRule="auto"/>
        <w:ind w:left="420" w:firstLine="360"/>
        <w:jc w:val="left"/>
        <w:rPr>
          <w:rFonts w:ascii="黑体" w:hAnsi="黑体"/>
          <w:szCs w:val="18"/>
        </w:rPr>
      </w:pPr>
      <w:r>
        <w:rPr>
          <w:rFonts w:ascii="黑体" w:hAnsi="黑体"/>
          <w:szCs w:val="18"/>
        </w:rPr>
        <w:t xml:space="preserve">不合格做法：安装过程未坐浆                    </w:t>
      </w:r>
    </w:p>
    <w:p w14:paraId="627A3201">
      <w:pPr>
        <w:adjustRightInd w:val="0"/>
        <w:spacing w:line="360" w:lineRule="auto"/>
        <w:ind w:firstLine="360" w:firstLineChars="200"/>
        <w:jc w:val="left"/>
        <w:rPr>
          <w:rFonts w:ascii="黑体" w:hAnsi="黑体"/>
          <w:b/>
          <w:bCs/>
          <w:szCs w:val="18"/>
        </w:rPr>
      </w:pPr>
      <w:r>
        <w:rPr>
          <w:rFonts w:ascii="黑体" w:hAnsi="黑体"/>
          <w:szCs w:val="18"/>
        </w:rPr>
        <w:drawing>
          <wp:inline distT="0" distB="0" distL="0" distR="0">
            <wp:extent cx="2632710" cy="2142490"/>
            <wp:effectExtent l="0" t="0" r="0" b="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5" cstate="print">
                      <a:extLst>
                        <a:ext uri="{28A0092B-C50C-407E-A947-70E740481C1C}">
                          <a14:useLocalDpi xmlns:a14="http://schemas.microsoft.com/office/drawing/2010/main" val="0"/>
                        </a:ext>
                      </a:extLst>
                    </a:blip>
                    <a:srcRect t="16191" b="22769"/>
                    <a:stretch>
                      <a:fillRect/>
                    </a:stretch>
                  </pic:blipFill>
                  <pic:spPr>
                    <a:xfrm>
                      <a:off x="0" y="0"/>
                      <a:ext cx="2672920" cy="2175409"/>
                    </a:xfrm>
                    <a:prstGeom prst="rect">
                      <a:avLst/>
                    </a:prstGeom>
                    <a:ln>
                      <a:noFill/>
                    </a:ln>
                  </pic:spPr>
                </pic:pic>
              </a:graphicData>
            </a:graphic>
          </wp:inline>
        </w:drawing>
      </w:r>
    </w:p>
    <w:p w14:paraId="2B144857">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板缝之间ALC本身的抗裂由ALC单位负责，板缝补缝时应增加抗裂玻纤网，每边</w:t>
      </w:r>
      <w:r>
        <w:rPr>
          <w:rFonts w:ascii="黑体" w:hAnsi="黑体"/>
          <w:szCs w:val="18"/>
        </w:rPr>
        <w:t>50宽</w:t>
      </w:r>
      <w:r>
        <w:rPr>
          <w:rFonts w:hint="eastAsia" w:ascii="黑体" w:hAnsi="黑体"/>
          <w:szCs w:val="18"/>
        </w:rPr>
        <w:t>。</w:t>
      </w:r>
    </w:p>
    <w:p w14:paraId="66EB0F96">
      <w:pPr>
        <w:pStyle w:val="49"/>
        <w:adjustRightInd w:val="0"/>
        <w:spacing w:line="360" w:lineRule="auto"/>
        <w:ind w:left="704" w:firstLine="360"/>
        <w:jc w:val="left"/>
        <w:rPr>
          <w:rFonts w:ascii="黑体" w:hAnsi="黑体"/>
          <w:szCs w:val="18"/>
        </w:rPr>
      </w:pPr>
      <w:r>
        <w:rPr>
          <w:rFonts w:ascii="黑体" w:hAnsi="黑体"/>
          <w:szCs w:val="18"/>
        </w:rPr>
        <w:drawing>
          <wp:inline distT="0" distB="0" distL="0" distR="0">
            <wp:extent cx="2604770" cy="1953895"/>
            <wp:effectExtent l="0" t="0" r="5080" b="8255"/>
            <wp:docPr id="62" name="图片 62" descr="D:\old_drive_F\上海青浦\招标阶段\ALC\ALC样板施工及评审\娄城\IMG_20220314_1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old_drive_F\上海青浦\招标阶段\ALC\ALC样板施工及评审\娄城\IMG_20220314_1102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08169" cy="1956126"/>
                    </a:xfrm>
                    <a:prstGeom prst="rect">
                      <a:avLst/>
                    </a:prstGeom>
                    <a:noFill/>
                    <a:ln>
                      <a:noFill/>
                    </a:ln>
                  </pic:spPr>
                </pic:pic>
              </a:graphicData>
            </a:graphic>
          </wp:inline>
        </w:drawing>
      </w:r>
    </w:p>
    <w:p w14:paraId="45054021">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安装时应注意连接件的选用及安装方向，做到可后期隐蔽。</w:t>
      </w:r>
    </w:p>
    <w:p w14:paraId="4D7267D9">
      <w:pPr>
        <w:autoSpaceDE w:val="0"/>
        <w:autoSpaceDN w:val="0"/>
        <w:adjustRightInd w:val="0"/>
        <w:spacing w:line="360" w:lineRule="auto"/>
        <w:ind w:firstLine="542" w:firstLineChars="300"/>
        <w:jc w:val="left"/>
        <w:rPr>
          <w:rFonts w:ascii="黑体" w:hAnsi="黑体"/>
          <w:b/>
          <w:kern w:val="0"/>
          <w:szCs w:val="18"/>
        </w:rPr>
      </w:pPr>
      <w:r>
        <w:rPr>
          <w:rFonts w:ascii="黑体" w:hAnsi="黑体"/>
          <w:b/>
          <w:kern w:val="0"/>
          <w:szCs w:val="18"/>
        </w:rPr>
        <w:drawing>
          <wp:inline distT="0" distB="0" distL="0" distR="0">
            <wp:extent cx="1399540" cy="1870075"/>
            <wp:effectExtent l="0" t="0" r="0" b="0"/>
            <wp:docPr id="63" name="图片 63" descr="D:\old_drive_F\上海青浦\招标阶段\ALC\ALC样板施工及评审\1-中国一冶\3.10 墙端固定单射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old_drive_F\上海青浦\招标阶段\ALC\ALC样板施工及评审\1-中国一冶\3.10 墙端固定单射钉.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36581" cy="1919218"/>
                    </a:xfrm>
                    <a:prstGeom prst="rect">
                      <a:avLst/>
                    </a:prstGeom>
                    <a:noFill/>
                    <a:ln>
                      <a:noFill/>
                    </a:ln>
                  </pic:spPr>
                </pic:pic>
              </a:graphicData>
            </a:graphic>
          </wp:inline>
        </w:drawing>
      </w:r>
      <w:r>
        <w:rPr>
          <w:rFonts w:hint="eastAsia" w:ascii="黑体" w:hAnsi="黑体"/>
          <w:b/>
          <w:kern w:val="0"/>
          <w:szCs w:val="18"/>
        </w:rPr>
        <w:t xml:space="preserve"> </w:t>
      </w:r>
      <w:r>
        <w:rPr>
          <w:rFonts w:ascii="黑体" w:hAnsi="黑体"/>
          <w:b/>
          <w:kern w:val="0"/>
          <w:szCs w:val="18"/>
        </w:rPr>
        <w:drawing>
          <wp:inline distT="0" distB="0" distL="0" distR="0">
            <wp:extent cx="1409065" cy="1882775"/>
            <wp:effectExtent l="0" t="0" r="635" b="3175"/>
            <wp:docPr id="64" name="图片 64" descr="D:\old_drive_F\上海青浦\招标阶段\ALC\ALC样板施工及评审\6-浙江双元\3.8 墙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old_drive_F\上海青浦\招标阶段\ALC\ALC样板施工及评审\6-浙江双元\3.8 墙顶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35306" cy="1917513"/>
                    </a:xfrm>
                    <a:prstGeom prst="rect">
                      <a:avLst/>
                    </a:prstGeom>
                    <a:noFill/>
                    <a:ln>
                      <a:noFill/>
                    </a:ln>
                  </pic:spPr>
                </pic:pic>
              </a:graphicData>
            </a:graphic>
          </wp:inline>
        </w:drawing>
      </w:r>
    </w:p>
    <w:p w14:paraId="18C4A5AA">
      <w:pPr>
        <w:autoSpaceDE w:val="0"/>
        <w:autoSpaceDN w:val="0"/>
        <w:adjustRightInd w:val="0"/>
        <w:spacing w:line="360" w:lineRule="auto"/>
        <w:ind w:firstLine="542" w:firstLineChars="300"/>
        <w:jc w:val="left"/>
        <w:rPr>
          <w:rFonts w:ascii="黑体" w:hAnsi="黑体"/>
          <w:b/>
          <w:kern w:val="0"/>
          <w:szCs w:val="18"/>
        </w:rPr>
      </w:pPr>
      <w:r>
        <w:rPr>
          <w:rFonts w:ascii="黑体" w:hAnsi="黑体"/>
          <w:b/>
          <w:kern w:val="0"/>
          <w:szCs w:val="18"/>
        </w:rPr>
        <w:t>错误做法：</w:t>
      </w:r>
      <w:r>
        <w:rPr>
          <w:rFonts w:hint="eastAsia" w:ascii="黑体" w:hAnsi="黑体"/>
          <w:b/>
          <w:kern w:val="0"/>
          <w:szCs w:val="18"/>
        </w:rPr>
        <w:t>连接件固定于转角混凝土墙柱面无法隐蔽。</w:t>
      </w:r>
    </w:p>
    <w:p w14:paraId="29D4458D">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钩头螺栓要紧扣角钢龙骨，钩头螺栓与角钢龙骨搭接量不得少于</w:t>
      </w:r>
      <w:r>
        <w:rPr>
          <w:rFonts w:ascii="黑体" w:hAnsi="黑体"/>
          <w:szCs w:val="18"/>
        </w:rPr>
        <w:t>2</w:t>
      </w:r>
      <w:r>
        <w:rPr>
          <w:rFonts w:hint="eastAsia" w:ascii="黑体" w:hAnsi="黑体"/>
          <w:szCs w:val="18"/>
        </w:rPr>
        <w:t>公分；安装完成后，钩头螺栓处要用粘结砂浆填充修补。</w:t>
      </w:r>
    </w:p>
    <w:p w14:paraId="20635966">
      <w:pPr>
        <w:pStyle w:val="49"/>
        <w:numPr>
          <w:ilvl w:val="0"/>
          <w:numId w:val="28"/>
        </w:numPr>
        <w:autoSpaceDE w:val="0"/>
        <w:autoSpaceDN w:val="0"/>
        <w:adjustRightInd w:val="0"/>
        <w:spacing w:line="360" w:lineRule="auto"/>
        <w:ind w:firstLineChars="0"/>
        <w:jc w:val="left"/>
        <w:rPr>
          <w:rFonts w:ascii="黑体" w:hAnsi="黑体"/>
          <w:szCs w:val="18"/>
        </w:rPr>
      </w:pPr>
      <w:r>
        <w:rPr>
          <w:rFonts w:hint="eastAsia" w:ascii="黑体" w:hAnsi="黑体"/>
          <w:szCs w:val="18"/>
        </w:rPr>
        <w:t>角钢与钩头螺栓接触面应满焊，满焊完成后再使用防腐漆进行表面上的涂抹。</w:t>
      </w:r>
    </w:p>
    <w:p w14:paraId="1C4D3D71">
      <w:pPr>
        <w:pStyle w:val="49"/>
        <w:numPr>
          <w:ilvl w:val="0"/>
          <w:numId w:val="28"/>
        </w:numPr>
        <w:autoSpaceDE w:val="0"/>
        <w:autoSpaceDN w:val="0"/>
        <w:adjustRightInd w:val="0"/>
        <w:spacing w:line="360" w:lineRule="auto"/>
        <w:ind w:firstLineChars="0"/>
        <w:jc w:val="left"/>
        <w:rPr>
          <w:rFonts w:ascii="黑体" w:hAnsi="黑体"/>
          <w:b/>
          <w:szCs w:val="18"/>
        </w:rPr>
      </w:pPr>
      <w:r>
        <w:rPr>
          <w:rFonts w:hint="eastAsia" w:ascii="黑体" w:hAnsi="黑体"/>
          <w:szCs w:val="18"/>
        </w:rPr>
        <w:t>等</w:t>
      </w:r>
      <w:r>
        <w:rPr>
          <w:rFonts w:ascii="黑体" w:hAnsi="黑体"/>
          <w:szCs w:val="18"/>
        </w:rPr>
        <w:t>48</w:t>
      </w:r>
      <w:r>
        <w:rPr>
          <w:rFonts w:hint="eastAsia" w:ascii="黑体" w:hAnsi="黑体"/>
          <w:szCs w:val="18"/>
        </w:rPr>
        <w:t>小时后板缝挤出的砂浆完全凝固后，再使用耐碱性玻璃纤维网进行粘贴；</w:t>
      </w:r>
    </w:p>
    <w:p w14:paraId="3A06F009">
      <w:pPr>
        <w:widowControl/>
        <w:jc w:val="left"/>
        <w:rPr>
          <w:rFonts w:ascii="黑体" w:hAnsi="黑体"/>
          <w:b/>
          <w:szCs w:val="18"/>
        </w:rPr>
      </w:pPr>
    </w:p>
    <w:p w14:paraId="5F6A6EA4">
      <w:pPr>
        <w:adjustRightInd w:val="0"/>
        <w:spacing w:line="360" w:lineRule="auto"/>
        <w:ind w:left="284"/>
        <w:jc w:val="left"/>
        <w:rPr>
          <w:rFonts w:ascii="黑体" w:hAnsi="黑体"/>
          <w:b/>
          <w:szCs w:val="18"/>
        </w:rPr>
      </w:pPr>
      <w:r>
        <w:rPr>
          <w:rFonts w:ascii="黑体" w:hAnsi="黑体"/>
          <w:b/>
          <w:szCs w:val="18"/>
        </w:rPr>
        <w:t xml:space="preserve"> 2.3.7.</w:t>
      </w:r>
      <w:r>
        <w:rPr>
          <w:rFonts w:hint="eastAsia" w:ascii="黑体" w:hAnsi="黑体"/>
          <w:b/>
          <w:szCs w:val="18"/>
        </w:rPr>
        <w:t>3、ALC</w:t>
      </w:r>
      <w:r>
        <w:rPr>
          <w:rFonts w:ascii="黑体" w:hAnsi="黑体"/>
          <w:b/>
          <w:szCs w:val="18"/>
        </w:rPr>
        <w:t>墙体防开裂措施</w:t>
      </w:r>
    </w:p>
    <w:p w14:paraId="1B25D261">
      <w:pPr>
        <w:pStyle w:val="49"/>
        <w:numPr>
          <w:ilvl w:val="0"/>
          <w:numId w:val="29"/>
        </w:numPr>
        <w:autoSpaceDE w:val="0"/>
        <w:autoSpaceDN w:val="0"/>
        <w:adjustRightInd w:val="0"/>
        <w:spacing w:line="360" w:lineRule="auto"/>
        <w:ind w:firstLineChars="0"/>
        <w:jc w:val="left"/>
        <w:rPr>
          <w:rFonts w:ascii="黑体" w:hAnsi="黑体"/>
          <w:szCs w:val="18"/>
        </w:rPr>
      </w:pPr>
      <w:r>
        <w:rPr>
          <w:rFonts w:ascii="黑体" w:hAnsi="黑体"/>
          <w:szCs w:val="18"/>
        </w:rPr>
        <w:t>样板评审：承包人在认可的区域制作样板墙，认可后的样板墙可以作为整个完整工程的一部分。样板评审内容需包括材料、过程工艺、完成效果、防开裂措施</w:t>
      </w:r>
      <w:r>
        <w:rPr>
          <w:rFonts w:hint="eastAsia" w:ascii="黑体" w:hAnsi="黑体"/>
          <w:szCs w:val="18"/>
        </w:rPr>
        <w:t>、防撞击实验</w:t>
      </w:r>
      <w:r>
        <w:rPr>
          <w:rFonts w:ascii="黑体" w:hAnsi="黑体"/>
          <w:szCs w:val="18"/>
        </w:rPr>
        <w:t>等方面，评审确认后方可大面施工</w:t>
      </w:r>
      <w:r>
        <w:rPr>
          <w:rFonts w:hint="eastAsia" w:ascii="黑体" w:hAnsi="黑体"/>
          <w:szCs w:val="18"/>
        </w:rPr>
        <w:t>。</w:t>
      </w:r>
    </w:p>
    <w:p w14:paraId="3C8E39BE">
      <w:pPr>
        <w:pStyle w:val="49"/>
        <w:numPr>
          <w:ilvl w:val="0"/>
          <w:numId w:val="29"/>
        </w:numPr>
        <w:autoSpaceDE w:val="0"/>
        <w:autoSpaceDN w:val="0"/>
        <w:adjustRightInd w:val="0"/>
        <w:spacing w:line="360" w:lineRule="auto"/>
        <w:ind w:firstLineChars="0"/>
        <w:jc w:val="left"/>
        <w:rPr>
          <w:rFonts w:ascii="黑体" w:hAnsi="黑体"/>
          <w:szCs w:val="18"/>
        </w:rPr>
      </w:pPr>
      <w:r>
        <w:rPr>
          <w:rFonts w:hint="eastAsia" w:ascii="黑体" w:hAnsi="黑体" w:cs="微软雅黑"/>
          <w:szCs w:val="18"/>
        </w:rPr>
        <w:t>设计构造</w:t>
      </w:r>
      <w:r>
        <w:rPr>
          <w:rFonts w:ascii="黑体" w:hAnsi="黑体"/>
          <w:szCs w:val="18"/>
        </w:rPr>
        <w:t>：</w:t>
      </w:r>
      <w:r>
        <w:rPr>
          <w:rFonts w:hint="eastAsia" w:ascii="黑体" w:hAnsi="黑体"/>
          <w:szCs w:val="18"/>
        </w:rPr>
        <w:t>ALC</w:t>
      </w:r>
      <w:r>
        <w:rPr>
          <w:rFonts w:ascii="黑体" w:hAnsi="黑体"/>
          <w:szCs w:val="18"/>
        </w:rPr>
        <w:t>墙板拼缝处要求墙体单位补缝时添加不小于</w:t>
      </w:r>
      <w:r>
        <w:rPr>
          <w:rFonts w:hint="eastAsia" w:ascii="黑体" w:hAnsi="黑体"/>
          <w:szCs w:val="18"/>
        </w:rPr>
        <w:t>1</w:t>
      </w:r>
      <w:r>
        <w:rPr>
          <w:rFonts w:ascii="黑体" w:hAnsi="黑体"/>
          <w:szCs w:val="18"/>
        </w:rPr>
        <w:t>00宽的抗裂玻纤网格布；墙板与门窗预留洞口加固钢框、外墙板与楼板结构之间等不同材料之间需设置玻纤网格布，压入界面砂浆。</w:t>
      </w:r>
    </w:p>
    <w:p w14:paraId="0E0EEC64">
      <w:pPr>
        <w:pStyle w:val="49"/>
        <w:numPr>
          <w:ilvl w:val="0"/>
          <w:numId w:val="29"/>
        </w:numPr>
        <w:autoSpaceDE w:val="0"/>
        <w:autoSpaceDN w:val="0"/>
        <w:adjustRightInd w:val="0"/>
        <w:spacing w:line="360" w:lineRule="auto"/>
        <w:ind w:firstLineChars="0"/>
        <w:jc w:val="left"/>
        <w:rPr>
          <w:rFonts w:ascii="黑体" w:hAnsi="黑体"/>
          <w:szCs w:val="18"/>
        </w:rPr>
      </w:pPr>
      <w:r>
        <w:rPr>
          <w:rFonts w:ascii="黑体" w:hAnsi="黑体"/>
          <w:szCs w:val="18"/>
        </w:rPr>
        <w:t>安装过程中临时固定用木楔需在坐浆</w:t>
      </w:r>
      <w:r>
        <w:rPr>
          <w:rFonts w:hint="eastAsia" w:ascii="黑体" w:hAnsi="黑体"/>
          <w:szCs w:val="18"/>
        </w:rPr>
        <w:t>/塞缝材料达到一定强度后方可拔出，最低不少于3天，防止因施工过程管理造成开裂。</w:t>
      </w:r>
    </w:p>
    <w:p w14:paraId="428885C5">
      <w:pPr>
        <w:pStyle w:val="49"/>
        <w:numPr>
          <w:ilvl w:val="0"/>
          <w:numId w:val="29"/>
        </w:numPr>
        <w:autoSpaceDE w:val="0"/>
        <w:autoSpaceDN w:val="0"/>
        <w:adjustRightInd w:val="0"/>
        <w:spacing w:line="360" w:lineRule="auto"/>
        <w:ind w:firstLineChars="0"/>
        <w:jc w:val="left"/>
        <w:rPr>
          <w:rFonts w:ascii="黑体" w:hAnsi="黑体"/>
          <w:szCs w:val="18"/>
        </w:rPr>
      </w:pPr>
      <w:r>
        <w:rPr>
          <w:rFonts w:ascii="黑体" w:hAnsi="黑体"/>
          <w:szCs w:val="18"/>
        </w:rPr>
        <w:t>现场需加强对</w:t>
      </w:r>
      <w:r>
        <w:rPr>
          <w:rFonts w:hint="eastAsia" w:ascii="黑体" w:hAnsi="黑体"/>
          <w:szCs w:val="18"/>
        </w:rPr>
        <w:t>ALC</w:t>
      </w:r>
      <w:r>
        <w:rPr>
          <w:rFonts w:ascii="黑体" w:hAnsi="黑体"/>
          <w:szCs w:val="18"/>
        </w:rPr>
        <w:t>拼缝饱满度的检查，保证板缝挤浆长度。</w:t>
      </w:r>
    </w:p>
    <w:p w14:paraId="08D8B436">
      <w:pPr>
        <w:pStyle w:val="49"/>
        <w:numPr>
          <w:ilvl w:val="0"/>
          <w:numId w:val="29"/>
        </w:numPr>
        <w:autoSpaceDE w:val="0"/>
        <w:autoSpaceDN w:val="0"/>
        <w:adjustRightInd w:val="0"/>
        <w:spacing w:line="360" w:lineRule="auto"/>
        <w:ind w:firstLineChars="0"/>
        <w:jc w:val="left"/>
        <w:rPr>
          <w:rFonts w:ascii="黑体" w:hAnsi="黑体"/>
          <w:szCs w:val="18"/>
        </w:rPr>
      </w:pPr>
      <w:r>
        <w:rPr>
          <w:rFonts w:hint="eastAsia" w:ascii="黑体" w:hAnsi="黑体"/>
          <w:szCs w:val="18"/>
        </w:rPr>
        <w:t>后续的防火门安装，不宜采用射钉，防止因后续工序造成开裂。</w:t>
      </w:r>
    </w:p>
    <w:p w14:paraId="336A85A3">
      <w:pPr>
        <w:pStyle w:val="49"/>
        <w:numPr>
          <w:ilvl w:val="0"/>
          <w:numId w:val="29"/>
        </w:numPr>
        <w:autoSpaceDE w:val="0"/>
        <w:autoSpaceDN w:val="0"/>
        <w:adjustRightInd w:val="0"/>
        <w:spacing w:line="360" w:lineRule="auto"/>
        <w:ind w:firstLineChars="0"/>
        <w:jc w:val="left"/>
        <w:rPr>
          <w:rFonts w:ascii="黑体" w:hAnsi="黑体"/>
          <w:szCs w:val="18"/>
        </w:rPr>
      </w:pPr>
      <w:r>
        <w:rPr>
          <w:rFonts w:ascii="黑体" w:hAnsi="黑体"/>
          <w:szCs w:val="18"/>
        </w:rPr>
        <w:t>项目中若遇到大面积裂缝</w:t>
      </w:r>
      <w:r>
        <w:rPr>
          <w:rFonts w:hint="eastAsia" w:ascii="黑体" w:hAnsi="黑体"/>
          <w:szCs w:val="18"/>
        </w:rPr>
        <w:t>应</w:t>
      </w:r>
      <w:r>
        <w:rPr>
          <w:rFonts w:ascii="黑体" w:hAnsi="黑体"/>
          <w:szCs w:val="18"/>
        </w:rPr>
        <w:t>召开专题评审。</w:t>
      </w:r>
    </w:p>
    <w:p w14:paraId="707EF8F5">
      <w:pPr>
        <w:pStyle w:val="49"/>
        <w:numPr>
          <w:ilvl w:val="0"/>
          <w:numId w:val="29"/>
        </w:numPr>
        <w:autoSpaceDE w:val="0"/>
        <w:autoSpaceDN w:val="0"/>
        <w:spacing w:line="360" w:lineRule="auto"/>
        <w:ind w:firstLineChars="0"/>
        <w:jc w:val="left"/>
        <w:rPr>
          <w:rFonts w:ascii="黑体" w:hAnsi="黑体"/>
          <w:szCs w:val="18"/>
        </w:rPr>
      </w:pPr>
      <w:r>
        <w:rPr>
          <w:rFonts w:hint="eastAsia" w:ascii="黑体" w:hAnsi="黑体"/>
          <w:szCs w:val="18"/>
        </w:rPr>
        <w:t>管线穿墙板的开洞及封堵应严格按标准执行，避免野蛮开洞；</w:t>
      </w:r>
    </w:p>
    <w:p w14:paraId="61CE14CF">
      <w:pPr>
        <w:pStyle w:val="49"/>
        <w:numPr>
          <w:ilvl w:val="0"/>
          <w:numId w:val="29"/>
        </w:numPr>
        <w:autoSpaceDE w:val="0"/>
        <w:autoSpaceDN w:val="0"/>
        <w:adjustRightInd w:val="0"/>
        <w:spacing w:line="360" w:lineRule="auto"/>
        <w:ind w:firstLineChars="0"/>
        <w:jc w:val="left"/>
        <w:rPr>
          <w:rFonts w:ascii="黑体" w:hAnsi="黑体"/>
          <w:szCs w:val="18"/>
        </w:rPr>
      </w:pPr>
      <w:r>
        <w:rPr>
          <w:rFonts w:ascii="黑体" w:hAnsi="黑体"/>
          <w:szCs w:val="18"/>
        </w:rPr>
        <w:t>墙板后开洞需要做样板确认标准，避免开洞开槽不规范</w:t>
      </w:r>
      <w:r>
        <w:rPr>
          <w:rFonts w:hint="eastAsia" w:ascii="黑体" w:hAnsi="黑体"/>
          <w:szCs w:val="18"/>
        </w:rPr>
        <w:t>导致后期开裂。</w:t>
      </w:r>
    </w:p>
    <w:p w14:paraId="6E27EA5D">
      <w:pPr>
        <w:pStyle w:val="49"/>
        <w:numPr>
          <w:ilvl w:val="0"/>
          <w:numId w:val="29"/>
        </w:numPr>
        <w:autoSpaceDE w:val="0"/>
        <w:autoSpaceDN w:val="0"/>
        <w:adjustRightInd w:val="0"/>
        <w:spacing w:line="360" w:lineRule="auto"/>
        <w:ind w:firstLineChars="0"/>
        <w:jc w:val="left"/>
        <w:rPr>
          <w:rFonts w:ascii="黑体" w:hAnsi="黑体"/>
          <w:szCs w:val="18"/>
        </w:rPr>
      </w:pPr>
      <w:r>
        <w:rPr>
          <w:rFonts w:ascii="黑体" w:hAnsi="黑体"/>
          <w:szCs w:val="18"/>
        </w:rPr>
        <w:t>项目中若遇到大面积裂缝</w:t>
      </w:r>
      <w:r>
        <w:rPr>
          <w:rFonts w:hint="eastAsia" w:ascii="黑体" w:hAnsi="黑体"/>
          <w:szCs w:val="18"/>
        </w:rPr>
        <w:t>应</w:t>
      </w:r>
      <w:r>
        <w:rPr>
          <w:rFonts w:ascii="黑体" w:hAnsi="黑体"/>
          <w:szCs w:val="18"/>
        </w:rPr>
        <w:t>召开专题评审。</w:t>
      </w:r>
    </w:p>
    <w:p w14:paraId="4F69C24E">
      <w:pPr>
        <w:spacing w:line="360" w:lineRule="auto"/>
        <w:jc w:val="left"/>
        <w:rPr>
          <w:rFonts w:ascii="黑体" w:hAnsi="黑体"/>
          <w:szCs w:val="18"/>
        </w:rPr>
      </w:pPr>
    </w:p>
    <w:p w14:paraId="4D80D705">
      <w:pPr>
        <w:autoSpaceDE w:val="0"/>
        <w:autoSpaceDN w:val="0"/>
        <w:adjustRightInd w:val="0"/>
        <w:spacing w:line="360" w:lineRule="auto"/>
        <w:jc w:val="left"/>
        <w:rPr>
          <w:rFonts w:ascii="黑体" w:hAnsi="黑体"/>
          <w:b/>
          <w:szCs w:val="18"/>
        </w:rPr>
      </w:pPr>
      <w:r>
        <w:rPr>
          <w:rFonts w:ascii="黑体" w:hAnsi="黑体"/>
          <w:b/>
          <w:szCs w:val="18"/>
        </w:rPr>
        <w:t>2.3.</w:t>
      </w:r>
      <w:r>
        <w:rPr>
          <w:rFonts w:hint="eastAsia" w:ascii="黑体" w:hAnsi="黑体"/>
          <w:b/>
          <w:szCs w:val="18"/>
        </w:rPr>
        <w:t>8、现场施工管理：</w:t>
      </w:r>
    </w:p>
    <w:p w14:paraId="107B6942">
      <w:pPr>
        <w:pStyle w:val="49"/>
        <w:numPr>
          <w:ilvl w:val="0"/>
          <w:numId w:val="30"/>
        </w:numPr>
        <w:autoSpaceDE w:val="0"/>
        <w:autoSpaceDN w:val="0"/>
        <w:adjustRightInd w:val="0"/>
        <w:spacing w:line="360" w:lineRule="auto"/>
        <w:ind w:firstLineChars="0"/>
        <w:jc w:val="left"/>
        <w:rPr>
          <w:rFonts w:ascii="黑体" w:hAnsi="黑体"/>
          <w:szCs w:val="18"/>
        </w:rPr>
      </w:pPr>
      <w:r>
        <w:rPr>
          <w:rFonts w:hint="eastAsia" w:ascii="黑体" w:hAnsi="黑体"/>
          <w:szCs w:val="18"/>
        </w:rPr>
        <w:t>现场材料堆放整齐，确保施工现场顺畅，减少和降低因为绊倒而引发的事故风险；</w:t>
      </w:r>
    </w:p>
    <w:p w14:paraId="2C864C6E">
      <w:pPr>
        <w:pStyle w:val="49"/>
        <w:numPr>
          <w:ilvl w:val="0"/>
          <w:numId w:val="30"/>
        </w:numPr>
        <w:autoSpaceDE w:val="0"/>
        <w:autoSpaceDN w:val="0"/>
        <w:adjustRightInd w:val="0"/>
        <w:spacing w:line="360" w:lineRule="auto"/>
        <w:ind w:firstLineChars="0"/>
        <w:jc w:val="left"/>
        <w:rPr>
          <w:rFonts w:ascii="黑体" w:hAnsi="黑体"/>
          <w:szCs w:val="18"/>
        </w:rPr>
      </w:pPr>
      <w:r>
        <w:rPr>
          <w:rFonts w:hint="eastAsia" w:ascii="黑体" w:hAnsi="黑体"/>
          <w:szCs w:val="18"/>
        </w:rPr>
        <w:t>应加强墙板施工期间的现场巡查力度，做到早发现、早排除，杜绝一切危险源；</w:t>
      </w:r>
    </w:p>
    <w:p w14:paraId="30A27694">
      <w:pPr>
        <w:pStyle w:val="49"/>
        <w:numPr>
          <w:ilvl w:val="0"/>
          <w:numId w:val="30"/>
        </w:numPr>
        <w:autoSpaceDE w:val="0"/>
        <w:autoSpaceDN w:val="0"/>
        <w:adjustRightInd w:val="0"/>
        <w:spacing w:line="360" w:lineRule="auto"/>
        <w:ind w:firstLineChars="0"/>
        <w:jc w:val="left"/>
        <w:rPr>
          <w:rFonts w:ascii="黑体" w:hAnsi="黑体"/>
          <w:szCs w:val="18"/>
        </w:rPr>
      </w:pPr>
      <w:r>
        <w:rPr>
          <w:rFonts w:hint="eastAsia" w:ascii="黑体" w:hAnsi="黑体"/>
          <w:szCs w:val="18"/>
        </w:rPr>
        <w:t>墙板施工方案应上报总包、监理审批后实施。</w:t>
      </w:r>
    </w:p>
    <w:p w14:paraId="0C73A381">
      <w:pPr>
        <w:autoSpaceDE w:val="0"/>
        <w:autoSpaceDN w:val="0"/>
        <w:adjustRightInd w:val="0"/>
        <w:spacing w:line="360" w:lineRule="auto"/>
        <w:jc w:val="left"/>
        <w:rPr>
          <w:rFonts w:ascii="黑体" w:hAnsi="黑体"/>
          <w:szCs w:val="18"/>
        </w:rPr>
      </w:pPr>
    </w:p>
    <w:p w14:paraId="30B6045F">
      <w:pPr>
        <w:autoSpaceDE w:val="0"/>
        <w:autoSpaceDN w:val="0"/>
        <w:adjustRightInd w:val="0"/>
        <w:spacing w:line="360" w:lineRule="auto"/>
        <w:jc w:val="left"/>
        <w:rPr>
          <w:rFonts w:ascii="黑体" w:hAnsi="黑体"/>
          <w:b/>
          <w:szCs w:val="18"/>
        </w:rPr>
      </w:pPr>
      <w:r>
        <w:rPr>
          <w:rFonts w:ascii="黑体" w:hAnsi="黑体"/>
          <w:b/>
          <w:szCs w:val="18"/>
        </w:rPr>
        <w:t>2.3.</w:t>
      </w:r>
      <w:r>
        <w:rPr>
          <w:rFonts w:hint="eastAsia" w:ascii="黑体" w:hAnsi="黑体"/>
          <w:b/>
          <w:szCs w:val="18"/>
        </w:rPr>
        <w:t>9、施工验收：</w:t>
      </w:r>
      <w:r>
        <w:rPr>
          <w:rFonts w:ascii="黑体" w:hAnsi="黑体"/>
          <w:b/>
          <w:szCs w:val="18"/>
        </w:rPr>
        <w:tab/>
      </w:r>
    </w:p>
    <w:p w14:paraId="4559D585">
      <w:pPr>
        <w:pStyle w:val="49"/>
        <w:numPr>
          <w:ilvl w:val="0"/>
          <w:numId w:val="31"/>
        </w:numPr>
        <w:autoSpaceDE w:val="0"/>
        <w:autoSpaceDN w:val="0"/>
        <w:adjustRightInd w:val="0"/>
        <w:spacing w:line="360" w:lineRule="auto"/>
        <w:ind w:firstLineChars="0"/>
        <w:jc w:val="left"/>
        <w:rPr>
          <w:rFonts w:ascii="黑体" w:hAnsi="黑体"/>
          <w:szCs w:val="18"/>
        </w:rPr>
      </w:pPr>
      <w:r>
        <w:rPr>
          <w:rFonts w:ascii="黑体" w:hAnsi="黑体"/>
          <w:szCs w:val="18"/>
        </w:rPr>
        <w:t>ALC</w:t>
      </w:r>
      <w:r>
        <w:rPr>
          <w:rFonts w:hint="eastAsia" w:ascii="黑体" w:hAnsi="黑体"/>
          <w:szCs w:val="18"/>
        </w:rPr>
        <w:t>板材进入施工现场应提供材料性能测试报告，并对全部板材进行外观检查。</w:t>
      </w:r>
    </w:p>
    <w:p w14:paraId="0DE08CFC">
      <w:pPr>
        <w:pStyle w:val="49"/>
        <w:numPr>
          <w:ilvl w:val="0"/>
          <w:numId w:val="31"/>
        </w:numPr>
        <w:autoSpaceDE w:val="0"/>
        <w:autoSpaceDN w:val="0"/>
        <w:adjustRightInd w:val="0"/>
        <w:spacing w:line="360" w:lineRule="auto"/>
        <w:ind w:firstLineChars="0"/>
        <w:jc w:val="left"/>
        <w:rPr>
          <w:rFonts w:ascii="黑体" w:hAnsi="黑体"/>
          <w:szCs w:val="18"/>
        </w:rPr>
      </w:pPr>
      <w:r>
        <w:rPr>
          <w:rFonts w:ascii="黑体" w:hAnsi="黑体"/>
          <w:szCs w:val="18"/>
        </w:rPr>
        <w:t>ALC</w:t>
      </w:r>
      <w:r>
        <w:rPr>
          <w:rFonts w:hint="eastAsia" w:ascii="黑体" w:hAnsi="黑体"/>
          <w:szCs w:val="18"/>
        </w:rPr>
        <w:t>墙板安装允许偏差及检测方法应符合下表规定。</w:t>
      </w:r>
    </w:p>
    <w:tbl>
      <w:tblPr>
        <w:tblStyle w:val="37"/>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2268"/>
        <w:gridCol w:w="2126"/>
        <w:gridCol w:w="2631"/>
      </w:tblGrid>
      <w:tr w14:paraId="6EF3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tcPr>
          <w:p w14:paraId="777892DC">
            <w:pPr>
              <w:autoSpaceDE w:val="0"/>
              <w:autoSpaceDN w:val="0"/>
              <w:adjustRightInd w:val="0"/>
              <w:spacing w:line="360" w:lineRule="auto"/>
              <w:jc w:val="left"/>
              <w:rPr>
                <w:rFonts w:ascii="黑体" w:hAnsi="黑体"/>
                <w:szCs w:val="18"/>
              </w:rPr>
            </w:pPr>
            <w:r>
              <w:rPr>
                <w:rFonts w:hint="eastAsia" w:ascii="黑体" w:hAnsi="黑体"/>
                <w:szCs w:val="18"/>
              </w:rPr>
              <w:t>项次</w:t>
            </w:r>
          </w:p>
        </w:tc>
        <w:tc>
          <w:tcPr>
            <w:tcW w:w="2268" w:type="dxa"/>
          </w:tcPr>
          <w:p w14:paraId="61C94107">
            <w:pPr>
              <w:autoSpaceDE w:val="0"/>
              <w:autoSpaceDN w:val="0"/>
              <w:adjustRightInd w:val="0"/>
              <w:spacing w:line="360" w:lineRule="auto"/>
              <w:jc w:val="left"/>
              <w:rPr>
                <w:rFonts w:ascii="黑体" w:hAnsi="黑体"/>
                <w:szCs w:val="18"/>
              </w:rPr>
            </w:pPr>
            <w:r>
              <w:rPr>
                <w:rFonts w:hint="eastAsia" w:ascii="黑体" w:hAnsi="黑体"/>
                <w:szCs w:val="18"/>
              </w:rPr>
              <w:t>检测项目名称</w:t>
            </w:r>
          </w:p>
        </w:tc>
        <w:tc>
          <w:tcPr>
            <w:tcW w:w="2126" w:type="dxa"/>
          </w:tcPr>
          <w:p w14:paraId="4FE3D7C4">
            <w:pPr>
              <w:autoSpaceDE w:val="0"/>
              <w:autoSpaceDN w:val="0"/>
              <w:adjustRightInd w:val="0"/>
              <w:spacing w:line="360" w:lineRule="auto"/>
              <w:jc w:val="left"/>
              <w:rPr>
                <w:rFonts w:ascii="黑体" w:hAnsi="黑体"/>
                <w:szCs w:val="18"/>
              </w:rPr>
            </w:pPr>
            <w:r>
              <w:rPr>
                <w:rFonts w:hint="eastAsia" w:ascii="黑体" w:hAnsi="黑体"/>
                <w:szCs w:val="18"/>
              </w:rPr>
              <w:t>允许偏差</w:t>
            </w:r>
          </w:p>
        </w:tc>
        <w:tc>
          <w:tcPr>
            <w:tcW w:w="2631" w:type="dxa"/>
          </w:tcPr>
          <w:p w14:paraId="360FFC74">
            <w:pPr>
              <w:autoSpaceDE w:val="0"/>
              <w:autoSpaceDN w:val="0"/>
              <w:adjustRightInd w:val="0"/>
              <w:spacing w:line="360" w:lineRule="auto"/>
              <w:jc w:val="left"/>
              <w:rPr>
                <w:rFonts w:ascii="黑体" w:hAnsi="黑体"/>
                <w:szCs w:val="18"/>
              </w:rPr>
            </w:pPr>
            <w:r>
              <w:rPr>
                <w:rFonts w:hint="eastAsia" w:ascii="黑体" w:hAnsi="黑体"/>
                <w:szCs w:val="18"/>
              </w:rPr>
              <w:t>检测方法</w:t>
            </w:r>
          </w:p>
        </w:tc>
      </w:tr>
      <w:tr w14:paraId="0314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14:paraId="76F73B71">
            <w:pPr>
              <w:autoSpaceDE w:val="0"/>
              <w:autoSpaceDN w:val="0"/>
              <w:adjustRightInd w:val="0"/>
              <w:spacing w:line="360" w:lineRule="auto"/>
              <w:jc w:val="left"/>
              <w:rPr>
                <w:rFonts w:ascii="黑体" w:hAnsi="黑体"/>
                <w:szCs w:val="18"/>
              </w:rPr>
            </w:pPr>
            <w:r>
              <w:rPr>
                <w:rFonts w:hint="eastAsia" w:ascii="黑体" w:hAnsi="黑体"/>
                <w:szCs w:val="18"/>
              </w:rPr>
              <w:t>1</w:t>
            </w:r>
          </w:p>
        </w:tc>
        <w:tc>
          <w:tcPr>
            <w:tcW w:w="2268" w:type="dxa"/>
          </w:tcPr>
          <w:p w14:paraId="00EF1236">
            <w:pPr>
              <w:autoSpaceDE w:val="0"/>
              <w:autoSpaceDN w:val="0"/>
              <w:adjustRightInd w:val="0"/>
              <w:spacing w:line="360" w:lineRule="auto"/>
              <w:jc w:val="left"/>
              <w:rPr>
                <w:rFonts w:ascii="黑体" w:hAnsi="黑体"/>
                <w:szCs w:val="18"/>
              </w:rPr>
            </w:pPr>
            <w:r>
              <w:rPr>
                <w:rFonts w:hint="eastAsia" w:ascii="黑体" w:hAnsi="黑体"/>
                <w:szCs w:val="18"/>
              </w:rPr>
              <w:t>墙面垂直度</w:t>
            </w:r>
          </w:p>
        </w:tc>
        <w:tc>
          <w:tcPr>
            <w:tcW w:w="2126" w:type="dxa"/>
          </w:tcPr>
          <w:p w14:paraId="3C03E4EB">
            <w:pPr>
              <w:autoSpaceDE w:val="0"/>
              <w:autoSpaceDN w:val="0"/>
              <w:adjustRightInd w:val="0"/>
              <w:spacing w:line="360" w:lineRule="auto"/>
              <w:jc w:val="left"/>
              <w:rPr>
                <w:rFonts w:ascii="黑体" w:hAnsi="黑体"/>
                <w:szCs w:val="18"/>
              </w:rPr>
            </w:pPr>
            <w:r>
              <w:rPr>
                <w:rFonts w:hint="eastAsia" w:ascii="黑体" w:hAnsi="黑体"/>
                <w:szCs w:val="18"/>
              </w:rPr>
              <w:t>3mm</w:t>
            </w:r>
          </w:p>
        </w:tc>
        <w:tc>
          <w:tcPr>
            <w:tcW w:w="2631" w:type="dxa"/>
          </w:tcPr>
          <w:p w14:paraId="34ACD6C4">
            <w:pPr>
              <w:autoSpaceDE w:val="0"/>
              <w:autoSpaceDN w:val="0"/>
              <w:adjustRightInd w:val="0"/>
              <w:spacing w:line="360" w:lineRule="auto"/>
              <w:jc w:val="left"/>
              <w:rPr>
                <w:rFonts w:ascii="黑体" w:hAnsi="黑体"/>
                <w:szCs w:val="18"/>
              </w:rPr>
            </w:pPr>
            <w:r>
              <w:rPr>
                <w:rFonts w:hint="eastAsia" w:ascii="黑体" w:hAnsi="黑体"/>
                <w:szCs w:val="18"/>
              </w:rPr>
              <w:t>拖线板、吊垂线</w:t>
            </w:r>
          </w:p>
        </w:tc>
      </w:tr>
      <w:tr w14:paraId="6329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14:paraId="6B1FBD30">
            <w:pPr>
              <w:autoSpaceDE w:val="0"/>
              <w:autoSpaceDN w:val="0"/>
              <w:adjustRightInd w:val="0"/>
              <w:spacing w:line="360" w:lineRule="auto"/>
              <w:jc w:val="left"/>
              <w:rPr>
                <w:rFonts w:ascii="黑体" w:hAnsi="黑体"/>
                <w:szCs w:val="18"/>
              </w:rPr>
            </w:pPr>
            <w:r>
              <w:rPr>
                <w:rFonts w:hint="eastAsia" w:ascii="黑体" w:hAnsi="黑体"/>
                <w:szCs w:val="18"/>
              </w:rPr>
              <w:t>2</w:t>
            </w:r>
          </w:p>
        </w:tc>
        <w:tc>
          <w:tcPr>
            <w:tcW w:w="2268" w:type="dxa"/>
          </w:tcPr>
          <w:p w14:paraId="36A5A6CD">
            <w:pPr>
              <w:autoSpaceDE w:val="0"/>
              <w:autoSpaceDN w:val="0"/>
              <w:adjustRightInd w:val="0"/>
              <w:spacing w:line="360" w:lineRule="auto"/>
              <w:jc w:val="left"/>
              <w:rPr>
                <w:rFonts w:ascii="黑体" w:hAnsi="黑体"/>
                <w:szCs w:val="18"/>
              </w:rPr>
            </w:pPr>
            <w:r>
              <w:rPr>
                <w:rFonts w:hint="eastAsia" w:ascii="黑体" w:hAnsi="黑体"/>
                <w:szCs w:val="18"/>
              </w:rPr>
              <w:t>表面平整度</w:t>
            </w:r>
          </w:p>
        </w:tc>
        <w:tc>
          <w:tcPr>
            <w:tcW w:w="2126" w:type="dxa"/>
          </w:tcPr>
          <w:p w14:paraId="12165ACE">
            <w:pPr>
              <w:autoSpaceDE w:val="0"/>
              <w:autoSpaceDN w:val="0"/>
              <w:adjustRightInd w:val="0"/>
              <w:spacing w:line="360" w:lineRule="auto"/>
              <w:jc w:val="left"/>
              <w:rPr>
                <w:rFonts w:ascii="黑体" w:hAnsi="黑体"/>
                <w:szCs w:val="18"/>
              </w:rPr>
            </w:pPr>
            <w:r>
              <w:rPr>
                <w:rFonts w:hint="eastAsia" w:ascii="黑体" w:hAnsi="黑体"/>
                <w:szCs w:val="18"/>
              </w:rPr>
              <w:t>3mm</w:t>
            </w:r>
          </w:p>
        </w:tc>
        <w:tc>
          <w:tcPr>
            <w:tcW w:w="2631" w:type="dxa"/>
          </w:tcPr>
          <w:p w14:paraId="5D2E672F">
            <w:pPr>
              <w:autoSpaceDE w:val="0"/>
              <w:autoSpaceDN w:val="0"/>
              <w:adjustRightInd w:val="0"/>
              <w:spacing w:line="360" w:lineRule="auto"/>
              <w:jc w:val="left"/>
              <w:rPr>
                <w:rFonts w:ascii="黑体" w:hAnsi="黑体"/>
                <w:szCs w:val="18"/>
              </w:rPr>
            </w:pPr>
            <w:r>
              <w:rPr>
                <w:rFonts w:hint="eastAsia" w:ascii="黑体" w:hAnsi="黑体"/>
                <w:szCs w:val="18"/>
              </w:rPr>
              <w:t>2m靠尺、塞尺</w:t>
            </w:r>
          </w:p>
        </w:tc>
      </w:tr>
      <w:tr w14:paraId="58AA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14:paraId="68EA99BE">
            <w:pPr>
              <w:autoSpaceDE w:val="0"/>
              <w:autoSpaceDN w:val="0"/>
              <w:adjustRightInd w:val="0"/>
              <w:spacing w:line="360" w:lineRule="auto"/>
              <w:jc w:val="left"/>
              <w:rPr>
                <w:rFonts w:ascii="黑体" w:hAnsi="黑体"/>
                <w:szCs w:val="18"/>
              </w:rPr>
            </w:pPr>
            <w:r>
              <w:rPr>
                <w:rFonts w:hint="eastAsia" w:ascii="黑体" w:hAnsi="黑体"/>
                <w:szCs w:val="18"/>
              </w:rPr>
              <w:t>3</w:t>
            </w:r>
          </w:p>
        </w:tc>
        <w:tc>
          <w:tcPr>
            <w:tcW w:w="2268" w:type="dxa"/>
          </w:tcPr>
          <w:p w14:paraId="6818D7FC">
            <w:pPr>
              <w:autoSpaceDE w:val="0"/>
              <w:autoSpaceDN w:val="0"/>
              <w:adjustRightInd w:val="0"/>
              <w:spacing w:line="360" w:lineRule="auto"/>
              <w:jc w:val="left"/>
              <w:rPr>
                <w:rFonts w:ascii="黑体" w:hAnsi="黑体"/>
                <w:szCs w:val="18"/>
              </w:rPr>
            </w:pPr>
            <w:r>
              <w:rPr>
                <w:rFonts w:hint="eastAsia" w:ascii="黑体" w:hAnsi="黑体"/>
                <w:szCs w:val="18"/>
              </w:rPr>
              <w:t>洞口位移</w:t>
            </w:r>
          </w:p>
        </w:tc>
        <w:tc>
          <w:tcPr>
            <w:tcW w:w="2126" w:type="dxa"/>
          </w:tcPr>
          <w:p w14:paraId="645EE4B3">
            <w:pPr>
              <w:autoSpaceDE w:val="0"/>
              <w:autoSpaceDN w:val="0"/>
              <w:adjustRightInd w:val="0"/>
              <w:spacing w:line="360" w:lineRule="auto"/>
              <w:jc w:val="left"/>
              <w:rPr>
                <w:rFonts w:ascii="黑体" w:hAnsi="黑体"/>
                <w:szCs w:val="18"/>
              </w:rPr>
            </w:pPr>
            <w:r>
              <w:rPr>
                <w:rFonts w:hint="eastAsia" w:ascii="黑体" w:hAnsi="黑体"/>
                <w:szCs w:val="18"/>
              </w:rPr>
              <w:t>±</w:t>
            </w:r>
            <w:r>
              <w:rPr>
                <w:rFonts w:ascii="黑体" w:hAnsi="黑体"/>
                <w:szCs w:val="18"/>
              </w:rPr>
              <w:t>5</w:t>
            </w:r>
            <w:r>
              <w:rPr>
                <w:rFonts w:hint="eastAsia" w:ascii="黑体" w:hAnsi="黑体"/>
                <w:szCs w:val="18"/>
              </w:rPr>
              <w:t>mm</w:t>
            </w:r>
          </w:p>
        </w:tc>
        <w:tc>
          <w:tcPr>
            <w:tcW w:w="2631" w:type="dxa"/>
          </w:tcPr>
          <w:p w14:paraId="3970322E">
            <w:pPr>
              <w:autoSpaceDE w:val="0"/>
              <w:autoSpaceDN w:val="0"/>
              <w:adjustRightInd w:val="0"/>
              <w:spacing w:line="360" w:lineRule="auto"/>
              <w:jc w:val="left"/>
              <w:rPr>
                <w:rFonts w:ascii="黑体" w:hAnsi="黑体"/>
                <w:szCs w:val="18"/>
              </w:rPr>
            </w:pPr>
            <w:r>
              <w:rPr>
                <w:rFonts w:hint="eastAsia" w:ascii="黑体" w:hAnsi="黑体"/>
                <w:szCs w:val="18"/>
              </w:rPr>
              <w:t>尺量</w:t>
            </w:r>
          </w:p>
        </w:tc>
      </w:tr>
    </w:tbl>
    <w:p w14:paraId="17EE1006">
      <w:pPr>
        <w:autoSpaceDE w:val="0"/>
        <w:autoSpaceDN w:val="0"/>
        <w:adjustRightInd w:val="0"/>
        <w:spacing w:line="360" w:lineRule="auto"/>
        <w:jc w:val="left"/>
        <w:rPr>
          <w:rFonts w:ascii="黑体" w:hAnsi="黑体"/>
          <w:szCs w:val="18"/>
        </w:rPr>
        <w:sectPr>
          <w:footerReference r:id="rId4" w:type="default"/>
          <w:pgSz w:w="11906" w:h="16838"/>
          <w:pgMar w:top="709" w:right="1133" w:bottom="720" w:left="1134" w:header="794" w:footer="490" w:gutter="0"/>
          <w:pgNumType w:fmt="decimal"/>
          <w:cols w:space="425" w:num="1"/>
          <w:docGrid w:type="lines" w:linePitch="312" w:charSpace="0"/>
        </w:sectPr>
      </w:pPr>
    </w:p>
    <w:p w14:paraId="311A7A8C">
      <w:pPr>
        <w:pStyle w:val="2"/>
        <w:ind w:left="365" w:hanging="365"/>
        <w:rPr>
          <w:sz w:val="21"/>
        </w:rPr>
      </w:pPr>
      <w:bookmarkStart w:id="15" w:name="_Toc174556772"/>
      <w:bookmarkStart w:id="16" w:name="_Toc399688986"/>
      <w:r>
        <w:rPr>
          <w:rFonts w:hint="eastAsia"/>
          <w:sz w:val="21"/>
        </w:rPr>
        <w:t>门窗</w:t>
      </w:r>
      <w:bookmarkEnd w:id="15"/>
      <w:bookmarkEnd w:id="16"/>
    </w:p>
    <w:p w14:paraId="6E6F0299">
      <w:pPr>
        <w:pStyle w:val="3"/>
        <w:jc w:val="left"/>
      </w:pPr>
      <w:bookmarkStart w:id="17" w:name="_Toc170300974"/>
      <w:bookmarkStart w:id="18" w:name="_Toc174556773"/>
      <w:r>
        <w:rPr>
          <w:rFonts w:hint="eastAsia"/>
        </w:rPr>
        <w:t>概述</w:t>
      </w:r>
      <w:bookmarkEnd w:id="17"/>
      <w:bookmarkEnd w:id="18"/>
    </w:p>
    <w:p w14:paraId="29C68243">
      <w:pPr>
        <w:pStyle w:val="97"/>
      </w:pPr>
      <w:r>
        <w:rPr>
          <w:rFonts w:hint="eastAsia"/>
        </w:rPr>
        <w:t>总体要求</w:t>
      </w:r>
    </w:p>
    <w:p w14:paraId="76923497">
      <w:pPr>
        <w:pStyle w:val="111"/>
        <w:tabs>
          <w:tab w:val="left" w:pos="1680"/>
        </w:tabs>
        <w:ind w:left="1275"/>
        <w:jc w:val="left"/>
      </w:pPr>
      <w:r>
        <w:rPr>
          <w:rFonts w:hint="eastAsia"/>
        </w:rPr>
        <w:t>门窗类别、数量、洞口尺寸、立面形式、材料组成及开启方式的选用，见门窗表、门窗详图。</w:t>
      </w:r>
    </w:p>
    <w:p w14:paraId="20011ACA">
      <w:pPr>
        <w:pStyle w:val="111"/>
        <w:tabs>
          <w:tab w:val="left" w:pos="1680"/>
        </w:tabs>
        <w:ind w:left="1275"/>
        <w:jc w:val="left"/>
      </w:pPr>
      <w:r>
        <w:rPr>
          <w:rFonts w:hint="eastAsia"/>
        </w:rPr>
        <w:t xml:space="preserve">立樘位置：外门窗立樘位置见墙身节点图；非精装修区域的内门窗立樘位置除注明外，双向平开门立樘居墙中，单向平开门立樘与开启方向墙面平，内窗立樘居墙中；精装修与非精装修交界处所有平开门，立樘均与精装修区域一侧墙面平。 </w:t>
      </w:r>
    </w:p>
    <w:p w14:paraId="01295868">
      <w:pPr>
        <w:pStyle w:val="111"/>
        <w:tabs>
          <w:tab w:val="left" w:pos="1680"/>
        </w:tabs>
        <w:ind w:left="1275"/>
        <w:jc w:val="left"/>
      </w:pPr>
      <w:r>
        <w:rPr>
          <w:rFonts w:hint="eastAsia"/>
        </w:rPr>
        <w:t>门窗加工尺寸：</w:t>
      </w:r>
    </w:p>
    <w:p w14:paraId="44323099">
      <w:pPr>
        <w:spacing w:line="360" w:lineRule="auto"/>
        <w:ind w:left="851"/>
        <w:jc w:val="left"/>
        <w:rPr>
          <w:rFonts w:ascii="黑体" w:hAnsi="黑体"/>
          <w:szCs w:val="18"/>
        </w:rPr>
      </w:pPr>
      <w:r>
        <w:rPr>
          <w:rFonts w:hint="eastAsia" w:ascii="黑体" w:hAnsi="黑体"/>
          <w:szCs w:val="18"/>
        </w:rPr>
        <w:t>要按门窗洞口尺寸（施工应以实际测量为准）减去相关外饰面的厚度。</w:t>
      </w:r>
    </w:p>
    <w:p w14:paraId="349F94B8">
      <w:pPr>
        <w:pStyle w:val="111"/>
        <w:tabs>
          <w:tab w:val="left" w:pos="1680"/>
        </w:tabs>
        <w:ind w:left="1275"/>
        <w:jc w:val="left"/>
      </w:pPr>
      <w:r>
        <w:rPr>
          <w:rFonts w:hint="eastAsia"/>
        </w:rPr>
        <w:t>外墙金属门窗边框应与结构钢筋通过金属连接，以确保防雷接地。</w:t>
      </w:r>
    </w:p>
    <w:p w14:paraId="3A1F10FC">
      <w:pPr>
        <w:pStyle w:val="111"/>
        <w:tabs>
          <w:tab w:val="left" w:pos="1680"/>
        </w:tabs>
        <w:ind w:left="1275"/>
        <w:jc w:val="left"/>
      </w:pPr>
      <w:r>
        <w:rPr>
          <w:rFonts w:hint="eastAsia"/>
        </w:rPr>
        <w:t>铝合金门窗主型材的壁厚应经过计算或试验确定，除压条、扣板等需要弹性装配的型材外，门用主型材主要受力部位基材界面最小实测壁厚不小于2mm，窗主型材主要受力部位基材界面最小实测壁厚不小于1.4mm。</w:t>
      </w:r>
    </w:p>
    <w:p w14:paraId="1671D3C1">
      <w:pPr>
        <w:pStyle w:val="111"/>
        <w:tabs>
          <w:tab w:val="left" w:pos="1680"/>
        </w:tabs>
        <w:ind w:left="1275"/>
        <w:jc w:val="left"/>
      </w:pPr>
      <w:r>
        <w:rPr>
          <w:rFonts w:hint="eastAsia"/>
        </w:rPr>
        <w:t>所有建筑的入口大门如下：自动大门选用无框12mm厚钢化清玻，地面设地毯，大门设红外对射防夹及防撞系统，自动门夜间需要设置锁止装置和断电不自启动系统；平开门选用金属外框钢化玻璃门；地面设地毯；要求有锁止装置及门阻、闭门器，同时考虑门禁系统。双扇平开门要应设有顺位器。</w:t>
      </w:r>
    </w:p>
    <w:p w14:paraId="78FD6119">
      <w:pPr>
        <w:pStyle w:val="111"/>
        <w:tabs>
          <w:tab w:val="left" w:pos="1680"/>
        </w:tabs>
        <w:ind w:left="1275"/>
        <w:jc w:val="left"/>
      </w:pPr>
      <w:r>
        <w:rPr>
          <w:rFonts w:hint="eastAsia"/>
        </w:rPr>
        <w:t>所有室内平开门均装门轧头。</w:t>
      </w:r>
    </w:p>
    <w:p w14:paraId="094ED307">
      <w:pPr>
        <w:pStyle w:val="111"/>
        <w:tabs>
          <w:tab w:val="left" w:pos="1680"/>
        </w:tabs>
        <w:ind w:left="1275"/>
        <w:jc w:val="left"/>
      </w:pPr>
      <w:r>
        <w:rPr>
          <w:rFonts w:hint="eastAsia"/>
        </w:rPr>
        <w:t>防火门及防火卷帘应采用当地消防部门指定认可的优质防火门及防火卷帘,防火门均选用木质或钢质防火门，具体详门窗表，做法参12J609图集（图集仅做参</w:t>
      </w:r>
      <w:r>
        <w:rPr>
          <w:rFonts w:hint="eastAsia"/>
          <w:color w:val="auto"/>
        </w:rPr>
        <w:t>考，按各厂形式检测报告，结构一致即可）</w:t>
      </w:r>
      <w:r>
        <w:rPr>
          <w:rFonts w:hint="eastAsia"/>
        </w:rPr>
        <w:t>。考虑土建施工误差,本设计有关其洞口尺寸（详门表）仅供参考,其定货、制作应以现场实际尺寸为准。</w:t>
      </w:r>
    </w:p>
    <w:p w14:paraId="514E7D82">
      <w:pPr>
        <w:pStyle w:val="111"/>
        <w:tabs>
          <w:tab w:val="left" w:pos="1680"/>
        </w:tabs>
        <w:ind w:left="1275"/>
        <w:jc w:val="left"/>
      </w:pPr>
      <w:r>
        <w:rPr>
          <w:rFonts w:hint="eastAsia"/>
        </w:rPr>
        <w:t>逃生疏散通道或楼梯上，如果是防火门，则需设置逃生装置，即：无需使用钥匙，也无需专业知识及经验，仅需一个动作，即可由内向外操作开门；如果不是防火门，则配置推拉手板；</w:t>
      </w:r>
    </w:p>
    <w:p w14:paraId="1670CCEA">
      <w:pPr>
        <w:pStyle w:val="111"/>
        <w:tabs>
          <w:tab w:val="left" w:pos="1680"/>
        </w:tabs>
        <w:ind w:left="1275"/>
        <w:jc w:val="left"/>
      </w:pPr>
      <w:r>
        <w:rPr>
          <w:rFonts w:hint="eastAsia"/>
        </w:rPr>
        <w:t>防火门及其使用的建筑五金均应为防火产品配置，包括：防火锁具、阻燃闭门器、认可的轴承铰链以及可膨胀的密封胶条。相关产品并须取得国家指定的专业检测机构的检测认证；所有防火门均应选用带有防火型逃生装置，可以防止发生火灾时由于空气膨胀产生的压力使防火门自动打开，从而导致其失去防火的作用。</w:t>
      </w:r>
    </w:p>
    <w:p w14:paraId="501A8EA9">
      <w:pPr>
        <w:pStyle w:val="111"/>
        <w:tabs>
          <w:tab w:val="left" w:pos="1680"/>
        </w:tabs>
        <w:ind w:left="1275"/>
        <w:jc w:val="left"/>
      </w:pPr>
      <w:r>
        <w:rPr>
          <w:rFonts w:hint="eastAsia"/>
        </w:rPr>
        <w:t>用于疏散的走道、楼梯间和前室的防火门均装闭门器，双扇防火门均装顺序器；常开防火门必须有自行关闭和信号反馈装置。</w:t>
      </w:r>
    </w:p>
    <w:p w14:paraId="02AEC27A">
      <w:pPr>
        <w:pStyle w:val="111"/>
        <w:tabs>
          <w:tab w:val="left" w:pos="1680"/>
        </w:tabs>
        <w:ind w:left="1275"/>
        <w:jc w:val="left"/>
      </w:pPr>
      <w:r>
        <w:rPr>
          <w:rFonts w:hint="eastAsia"/>
        </w:rPr>
        <w:t>设备用房、厨房、地下室的库房以及相邻防火分区之间的门，均为甲级防火门。。</w:t>
      </w:r>
    </w:p>
    <w:p w14:paraId="592B5881">
      <w:pPr>
        <w:pStyle w:val="111"/>
        <w:tabs>
          <w:tab w:val="left" w:pos="1680"/>
        </w:tabs>
        <w:ind w:left="1275"/>
        <w:jc w:val="left"/>
      </w:pPr>
      <w:r>
        <w:rPr>
          <w:rFonts w:hint="eastAsia"/>
        </w:rPr>
        <w:t>消防电梯前室、防烟楼梯间及其前室的门均采用甲级防火门。</w:t>
      </w:r>
    </w:p>
    <w:p w14:paraId="68E4E5A4">
      <w:pPr>
        <w:pStyle w:val="111"/>
        <w:tabs>
          <w:tab w:val="left" w:pos="1680"/>
        </w:tabs>
        <w:ind w:left="1275"/>
        <w:jc w:val="left"/>
      </w:pPr>
      <w:r>
        <w:rPr>
          <w:rFonts w:hint="eastAsia"/>
        </w:rPr>
        <w:t>门洞尺寸与门框缩减尺寸不超过2cm以内（含）</w:t>
      </w:r>
    </w:p>
    <w:p w14:paraId="1E52512B">
      <w:pPr>
        <w:pStyle w:val="111"/>
        <w:tabs>
          <w:tab w:val="left" w:pos="1680"/>
        </w:tabs>
        <w:ind w:left="1275"/>
        <w:jc w:val="left"/>
      </w:pPr>
      <w:r>
        <w:rPr>
          <w:rFonts w:hint="eastAsia"/>
        </w:rPr>
        <w:t>防火卷帘:本工程防火分区间隔处采用双轨无机布基特级防火卷帘,位置详平面图标注，要求防火卷帘的耐火极限不低于3.0h。具体设计和预埋件等由厂家配合。卷帘均应安装在钢筋混凝土梁、板、柱等承重构件上，否则由厂家提供有关牢固构件支承；卷帘上部如不到顶或侧面与土建墙、柱不闭合，均应设耐火极限不低于3小时的防火封堵。卷帘外饰处理:车库内采用0.8厚彩色钢板，其它部位采用2-3厚铝合金板。</w:t>
      </w:r>
    </w:p>
    <w:p w14:paraId="6CD8315F">
      <w:pPr>
        <w:pStyle w:val="111"/>
        <w:tabs>
          <w:tab w:val="left" w:pos="1680"/>
        </w:tabs>
        <w:ind w:left="1275"/>
        <w:jc w:val="left"/>
      </w:pPr>
      <w:r>
        <w:rPr>
          <w:rFonts w:hint="eastAsia"/>
        </w:rPr>
        <w:t>外门窗另详幕墙设计</w:t>
      </w:r>
    </w:p>
    <w:p w14:paraId="35210F9D">
      <w:pPr>
        <w:pStyle w:val="111"/>
        <w:tabs>
          <w:tab w:val="left" w:pos="1680"/>
        </w:tabs>
        <w:ind w:left="1275"/>
        <w:jc w:val="left"/>
      </w:pPr>
      <w:r>
        <w:rPr>
          <w:rFonts w:hint="eastAsia"/>
        </w:rPr>
        <w:t>门窗应由专业厂家进行深化设计，由建筑设计单位审校确认。所有门窗配套五金件选用经建筑设计单位和业主的确认方可订货。</w:t>
      </w:r>
    </w:p>
    <w:p w14:paraId="69380B56">
      <w:pPr>
        <w:pStyle w:val="111"/>
        <w:tabs>
          <w:tab w:val="left" w:pos="1680"/>
        </w:tabs>
        <w:ind w:left="1275"/>
        <w:jc w:val="left"/>
      </w:pPr>
      <w:r>
        <w:rPr>
          <w:rFonts w:hint="eastAsia"/>
        </w:rPr>
        <w:t>外墙上百页窗接风口的位置,与室内相通的部位应做好密封处理。</w:t>
      </w:r>
    </w:p>
    <w:p w14:paraId="3691E54A">
      <w:pPr>
        <w:pStyle w:val="111"/>
        <w:tabs>
          <w:tab w:val="left" w:pos="1680"/>
        </w:tabs>
        <w:ind w:left="1275"/>
        <w:jc w:val="left"/>
      </w:pPr>
      <w:r>
        <w:rPr>
          <w:rFonts w:hint="eastAsia"/>
        </w:rPr>
        <w:t xml:space="preserve">物理性能： </w:t>
      </w:r>
    </w:p>
    <w:p w14:paraId="1796CF33">
      <w:pPr>
        <w:spacing w:line="360" w:lineRule="auto"/>
        <w:ind w:left="729" w:leftChars="405"/>
        <w:jc w:val="left"/>
        <w:rPr>
          <w:rFonts w:ascii="黑体" w:hAnsi="黑体"/>
          <w:szCs w:val="18"/>
        </w:rPr>
      </w:pPr>
      <w:r>
        <w:rPr>
          <w:rFonts w:hint="eastAsia" w:ascii="黑体" w:hAnsi="黑体"/>
          <w:szCs w:val="18"/>
        </w:rPr>
        <w:t>气密性6级，1.0≤q1≤1.5，3.0≤q2≤4.5；</w:t>
      </w:r>
    </w:p>
    <w:p w14:paraId="57EBAFBF">
      <w:pPr>
        <w:spacing w:line="360" w:lineRule="auto"/>
        <w:ind w:left="729" w:leftChars="405"/>
        <w:jc w:val="left"/>
        <w:rPr>
          <w:rFonts w:ascii="黑体" w:hAnsi="黑体"/>
          <w:szCs w:val="18"/>
        </w:rPr>
      </w:pPr>
      <w:r>
        <w:rPr>
          <w:rFonts w:hint="eastAsia" w:ascii="黑体" w:hAnsi="黑体"/>
          <w:szCs w:val="18"/>
        </w:rPr>
        <w:t>水密性4级，350≤△p＜500；</w:t>
      </w:r>
    </w:p>
    <w:p w14:paraId="03B96270">
      <w:pPr>
        <w:spacing w:line="360" w:lineRule="auto"/>
        <w:ind w:left="729" w:leftChars="405"/>
        <w:jc w:val="left"/>
        <w:rPr>
          <w:rFonts w:ascii="黑体" w:hAnsi="黑体"/>
          <w:szCs w:val="18"/>
        </w:rPr>
      </w:pPr>
      <w:r>
        <w:rPr>
          <w:rFonts w:hint="eastAsia" w:ascii="黑体" w:hAnsi="黑体"/>
          <w:szCs w:val="18"/>
        </w:rPr>
        <w:t>抗风压性5级，3.0≤P^L3^L＜3.5；</w:t>
      </w:r>
    </w:p>
    <w:p w14:paraId="1353BE39">
      <w:pPr>
        <w:spacing w:line="360" w:lineRule="auto"/>
        <w:ind w:left="729" w:leftChars="405"/>
        <w:jc w:val="left"/>
        <w:rPr>
          <w:rFonts w:ascii="黑体" w:hAnsi="黑体"/>
          <w:szCs w:val="18"/>
        </w:rPr>
      </w:pPr>
      <w:r>
        <w:rPr>
          <w:rFonts w:hint="eastAsia" w:ascii="黑体" w:hAnsi="黑体"/>
          <w:szCs w:val="18"/>
        </w:rPr>
        <w:t>空气隔声性能3级， 30≤Rw＜35；</w:t>
      </w:r>
    </w:p>
    <w:p w14:paraId="16D7D78B">
      <w:pPr>
        <w:spacing w:line="360" w:lineRule="auto"/>
        <w:ind w:left="729" w:leftChars="405"/>
        <w:jc w:val="left"/>
        <w:rPr>
          <w:rFonts w:ascii="黑体" w:hAnsi="黑体"/>
          <w:szCs w:val="18"/>
        </w:rPr>
      </w:pPr>
      <w:r>
        <w:rPr>
          <w:rFonts w:hint="eastAsia" w:ascii="黑体" w:hAnsi="黑体"/>
          <w:szCs w:val="18"/>
        </w:rPr>
        <w:t>热断桥材料为聚酰氨尼龙66加25%玻璃纤维，</w:t>
      </w:r>
    </w:p>
    <w:p w14:paraId="26CCF5F4">
      <w:pPr>
        <w:spacing w:line="360" w:lineRule="auto"/>
        <w:jc w:val="left"/>
        <w:rPr>
          <w:rFonts w:ascii="黑体" w:hAnsi="黑体"/>
          <w:szCs w:val="18"/>
        </w:rPr>
      </w:pPr>
    </w:p>
    <w:p w14:paraId="4A905646">
      <w:pPr>
        <w:pStyle w:val="97"/>
      </w:pPr>
      <w:r>
        <w:rPr>
          <w:rFonts w:hint="eastAsia"/>
        </w:rPr>
        <w:t>规范依据</w:t>
      </w:r>
    </w:p>
    <w:p w14:paraId="22E50469">
      <w:pPr>
        <w:spacing w:line="360" w:lineRule="auto"/>
        <w:ind w:firstLine="360" w:firstLineChars="200"/>
        <w:jc w:val="left"/>
        <w:rPr>
          <w:rFonts w:ascii="黑体" w:hAnsi="黑体"/>
          <w:szCs w:val="18"/>
        </w:rPr>
      </w:pPr>
      <w:r>
        <w:rPr>
          <w:rFonts w:hint="eastAsia" w:ascii="黑体" w:hAnsi="黑体"/>
          <w:szCs w:val="18"/>
        </w:rPr>
        <w:t>除另有注明外，本工程须符合设计、图纸和相关国家、地方及行业标准，主要包括但不限于：</w:t>
      </w:r>
    </w:p>
    <w:p w14:paraId="056043DE">
      <w:pPr>
        <w:pStyle w:val="111"/>
        <w:tabs>
          <w:tab w:val="left" w:pos="1680"/>
        </w:tabs>
        <w:ind w:left="1275"/>
        <w:jc w:val="left"/>
      </w:pPr>
      <w:r>
        <w:rPr>
          <w:rFonts w:hint="eastAsia"/>
        </w:rPr>
        <w:t>《防火门》(</w:t>
      </w:r>
      <w:r>
        <w:t>GB 12955)</w:t>
      </w:r>
    </w:p>
    <w:p w14:paraId="76291DE4">
      <w:pPr>
        <w:pStyle w:val="111"/>
        <w:tabs>
          <w:tab w:val="left" w:pos="1680"/>
        </w:tabs>
        <w:ind w:left="1275"/>
        <w:jc w:val="left"/>
      </w:pPr>
      <w:r>
        <w:t>《建筑外</w:t>
      </w:r>
      <w:r>
        <w:rPr>
          <w:rFonts w:hint="eastAsia"/>
        </w:rPr>
        <w:t>门</w:t>
      </w:r>
      <w:r>
        <w:t>窗气密、水密、抗风压性能分级及检测方法》</w:t>
      </w:r>
      <w:r>
        <w:rPr>
          <w:rFonts w:hint="eastAsia"/>
        </w:rPr>
        <w:t>（GB/T 7106）</w:t>
      </w:r>
    </w:p>
    <w:p w14:paraId="36D6B56D">
      <w:pPr>
        <w:pStyle w:val="111"/>
        <w:tabs>
          <w:tab w:val="left" w:pos="1680"/>
        </w:tabs>
        <w:ind w:left="1275"/>
        <w:jc w:val="left"/>
      </w:pPr>
      <w:r>
        <w:rPr>
          <w:rFonts w:hint="eastAsia"/>
        </w:rPr>
        <w:t>《建筑外门窗保温性能分级及检测方法》（GB/T 8484）</w:t>
      </w:r>
    </w:p>
    <w:p w14:paraId="30B8177B">
      <w:pPr>
        <w:pStyle w:val="111"/>
        <w:tabs>
          <w:tab w:val="left" w:pos="1680"/>
        </w:tabs>
        <w:ind w:left="1275"/>
        <w:jc w:val="left"/>
      </w:pPr>
      <w:r>
        <w:rPr>
          <w:rFonts w:hint="eastAsia"/>
        </w:rPr>
        <w:t>《建筑外窗采光性能分级及检测方法》（GB/T 11976）</w:t>
      </w:r>
    </w:p>
    <w:p w14:paraId="7A327907">
      <w:pPr>
        <w:pStyle w:val="111"/>
        <w:tabs>
          <w:tab w:val="left" w:pos="1680"/>
        </w:tabs>
        <w:ind w:left="1275"/>
        <w:jc w:val="left"/>
      </w:pPr>
      <w:r>
        <w:rPr>
          <w:rFonts w:hint="eastAsia"/>
        </w:rPr>
        <w:t>《铝合金门窗工程技术规范》（</w:t>
      </w:r>
      <w:r>
        <w:t>JGJ</w:t>
      </w:r>
      <w:r>
        <w:rPr>
          <w:rFonts w:hint="eastAsia"/>
        </w:rPr>
        <w:t>214）</w:t>
      </w:r>
    </w:p>
    <w:p w14:paraId="0B74CE6F">
      <w:pPr>
        <w:pStyle w:val="111"/>
        <w:tabs>
          <w:tab w:val="left" w:pos="1680"/>
        </w:tabs>
        <w:ind w:left="1275"/>
        <w:jc w:val="left"/>
      </w:pPr>
      <w:r>
        <w:rPr>
          <w:rFonts w:hint="eastAsia"/>
        </w:rPr>
        <w:t>《铝合金门窗》（GB/T 8478）</w:t>
      </w:r>
    </w:p>
    <w:p w14:paraId="62638FD8">
      <w:pPr>
        <w:pStyle w:val="111"/>
        <w:tabs>
          <w:tab w:val="left" w:pos="1680"/>
        </w:tabs>
        <w:ind w:left="1275"/>
        <w:jc w:val="left"/>
      </w:pPr>
      <w:r>
        <w:rPr>
          <w:rFonts w:hint="eastAsia"/>
        </w:rPr>
        <w:t>《铝合金建筑型材 第1部分：基材》（GB/T 5237.1）</w:t>
      </w:r>
    </w:p>
    <w:p w14:paraId="1D291275">
      <w:pPr>
        <w:pStyle w:val="111"/>
        <w:tabs>
          <w:tab w:val="left" w:pos="1680"/>
        </w:tabs>
        <w:ind w:left="1275"/>
        <w:jc w:val="left"/>
      </w:pPr>
      <w:r>
        <w:rPr>
          <w:rFonts w:hint="eastAsia"/>
        </w:rPr>
        <w:t>《铝合金建筑型材 第2部分：阳极氧化型材》（GB/T 5237.2）</w:t>
      </w:r>
    </w:p>
    <w:p w14:paraId="536E9413">
      <w:pPr>
        <w:pStyle w:val="111"/>
        <w:tabs>
          <w:tab w:val="left" w:pos="1680"/>
        </w:tabs>
        <w:ind w:left="1275"/>
        <w:jc w:val="left"/>
      </w:pPr>
      <w:r>
        <w:rPr>
          <w:rFonts w:hint="eastAsia"/>
        </w:rPr>
        <w:t>《铝合金建筑型材 第3部分：电泳涂漆型材》（GB/T 5237.3）</w:t>
      </w:r>
    </w:p>
    <w:p w14:paraId="5359F9CE">
      <w:pPr>
        <w:pStyle w:val="111"/>
        <w:tabs>
          <w:tab w:val="left" w:pos="1680"/>
        </w:tabs>
        <w:ind w:left="1275"/>
        <w:jc w:val="left"/>
      </w:pPr>
      <w:r>
        <w:rPr>
          <w:rFonts w:hint="eastAsia"/>
        </w:rPr>
        <w:t>《铝合金建筑型材 第4部分：粉末喷涂型材》（GB/T 5237.4）</w:t>
      </w:r>
    </w:p>
    <w:p w14:paraId="6AA96E1A">
      <w:pPr>
        <w:pStyle w:val="111"/>
        <w:tabs>
          <w:tab w:val="left" w:pos="1680"/>
        </w:tabs>
        <w:ind w:left="1275"/>
        <w:jc w:val="left"/>
      </w:pPr>
      <w:r>
        <w:rPr>
          <w:rFonts w:hint="eastAsia"/>
        </w:rPr>
        <w:t>《铝合金建筑型材 第5部分：氟碳喷涂型材》（GB/T 5237.5）</w:t>
      </w:r>
    </w:p>
    <w:p w14:paraId="2D15DCEC">
      <w:pPr>
        <w:pStyle w:val="111"/>
        <w:tabs>
          <w:tab w:val="left" w:pos="1680"/>
        </w:tabs>
        <w:ind w:left="1275"/>
        <w:jc w:val="left"/>
      </w:pPr>
      <w:r>
        <w:rPr>
          <w:rFonts w:hint="eastAsia"/>
        </w:rPr>
        <w:t>《建筑门窗玻璃幕墙热工计算规程》（JGJ/T151）</w:t>
      </w:r>
    </w:p>
    <w:p w14:paraId="3F18AC4C">
      <w:pPr>
        <w:pStyle w:val="111"/>
        <w:tabs>
          <w:tab w:val="left" w:pos="1680"/>
        </w:tabs>
        <w:ind w:left="1275"/>
        <w:jc w:val="left"/>
      </w:pPr>
      <w:r>
        <w:rPr>
          <w:rFonts w:hint="eastAsia"/>
        </w:rPr>
        <w:t>《建筑幕墙》</w:t>
      </w:r>
      <w:r>
        <w:t>GB/T 21086</w:t>
      </w:r>
    </w:p>
    <w:p w14:paraId="6E32E5F8">
      <w:pPr>
        <w:pStyle w:val="111"/>
        <w:tabs>
          <w:tab w:val="left" w:pos="1680"/>
        </w:tabs>
        <w:ind w:left="1275"/>
        <w:jc w:val="left"/>
      </w:pPr>
      <w:r>
        <w:t>《</w:t>
      </w:r>
      <w:r>
        <w:rPr>
          <w:rFonts w:hint="eastAsia"/>
        </w:rPr>
        <w:t>防火</w:t>
      </w:r>
      <w:r>
        <w:t>门窗》（</w:t>
      </w:r>
      <w:r>
        <w:rPr>
          <w:rFonts w:hint="eastAsia"/>
        </w:rPr>
        <w:t>12J609</w:t>
      </w:r>
      <w:r>
        <w:t>）</w:t>
      </w:r>
    </w:p>
    <w:p w14:paraId="4AE08B42">
      <w:pPr>
        <w:pStyle w:val="111"/>
        <w:tabs>
          <w:tab w:val="left" w:pos="1680"/>
        </w:tabs>
        <w:ind w:left="1275"/>
        <w:jc w:val="left"/>
      </w:pPr>
      <w:r>
        <w:t>《建筑设计防火规范》GB 50016</w:t>
      </w:r>
    </w:p>
    <w:p w14:paraId="0284F069">
      <w:pPr>
        <w:pStyle w:val="111"/>
        <w:tabs>
          <w:tab w:val="left" w:pos="1680"/>
        </w:tabs>
        <w:ind w:left="1275"/>
        <w:jc w:val="left"/>
      </w:pPr>
      <w:r>
        <w:t>《建筑材料不燃性试验方法》（GB</w:t>
      </w:r>
      <w:r>
        <w:rPr>
          <w:rFonts w:hint="eastAsia"/>
        </w:rPr>
        <w:t xml:space="preserve"> </w:t>
      </w:r>
      <w:r>
        <w:t>5464）</w:t>
      </w:r>
    </w:p>
    <w:p w14:paraId="2B69509A">
      <w:pPr>
        <w:pStyle w:val="111"/>
        <w:tabs>
          <w:tab w:val="left" w:pos="1680"/>
        </w:tabs>
        <w:ind w:left="1275"/>
        <w:jc w:val="left"/>
      </w:pPr>
      <w:r>
        <w:t>《建筑门窗术语》（GB</w:t>
      </w:r>
      <w:r>
        <w:rPr>
          <w:rFonts w:hint="eastAsia"/>
        </w:rPr>
        <w:t xml:space="preserve"> </w:t>
      </w:r>
      <w:r>
        <w:t>5823）</w:t>
      </w:r>
    </w:p>
    <w:p w14:paraId="5E017B60">
      <w:pPr>
        <w:pStyle w:val="111"/>
        <w:tabs>
          <w:tab w:val="left" w:pos="1680"/>
        </w:tabs>
        <w:ind w:left="1275"/>
        <w:jc w:val="left"/>
      </w:pPr>
      <w:r>
        <w:rPr>
          <w:rFonts w:hint="eastAsia"/>
        </w:rPr>
        <w:t>《民用建筑工程室内环境污染控制规范》（</w:t>
      </w:r>
      <w:r>
        <w:t>GB</w:t>
      </w:r>
      <w:r>
        <w:rPr>
          <w:rFonts w:hint="eastAsia"/>
        </w:rPr>
        <w:t xml:space="preserve"> 50325</w:t>
      </w:r>
      <w:r>
        <w:t>）</w:t>
      </w:r>
    </w:p>
    <w:p w14:paraId="1BC03EA7">
      <w:pPr>
        <w:pStyle w:val="111"/>
        <w:tabs>
          <w:tab w:val="left" w:pos="1680"/>
        </w:tabs>
        <w:ind w:left="1275"/>
        <w:jc w:val="left"/>
      </w:pPr>
      <w:r>
        <w:rPr>
          <w:rFonts w:hint="eastAsia"/>
        </w:rPr>
        <w:t>《建筑装饰装修工程施工质量验收规范》（GB 50210）</w:t>
      </w:r>
    </w:p>
    <w:p w14:paraId="7FEC5B54">
      <w:pPr>
        <w:pStyle w:val="111"/>
        <w:tabs>
          <w:tab w:val="left" w:pos="1680"/>
        </w:tabs>
        <w:ind w:left="1275"/>
        <w:jc w:val="left"/>
      </w:pPr>
      <w:r>
        <w:rPr>
          <w:rFonts w:hint="eastAsia"/>
        </w:rPr>
        <w:t>《建筑安装工程质量验收评定统一标准》（</w:t>
      </w:r>
      <w:r>
        <w:t>GBJ300）</w:t>
      </w:r>
    </w:p>
    <w:p w14:paraId="6E96F72B">
      <w:pPr>
        <w:autoSpaceDE w:val="0"/>
        <w:autoSpaceDN w:val="0"/>
        <w:adjustRightInd w:val="0"/>
        <w:spacing w:line="360" w:lineRule="auto"/>
        <w:jc w:val="left"/>
        <w:rPr>
          <w:rFonts w:ascii="黑体" w:hAnsi="黑体" w:cs="宋体"/>
          <w:kern w:val="0"/>
          <w:szCs w:val="18"/>
        </w:rPr>
      </w:pPr>
    </w:p>
    <w:p w14:paraId="1BBAD19B">
      <w:pPr>
        <w:pStyle w:val="3"/>
        <w:jc w:val="left"/>
      </w:pPr>
      <w:bookmarkStart w:id="19" w:name="_Toc170300975"/>
      <w:bookmarkStart w:id="20" w:name="_Toc174556774"/>
      <w:r>
        <w:rPr>
          <w:rFonts w:hint="eastAsia"/>
        </w:rPr>
        <w:t>钢质防火门</w:t>
      </w:r>
      <w:bookmarkEnd w:id="19"/>
      <w:bookmarkEnd w:id="20"/>
    </w:p>
    <w:p w14:paraId="2D85D98E">
      <w:pPr>
        <w:pStyle w:val="97"/>
      </w:pPr>
      <w:r>
        <w:rPr>
          <w:rFonts w:hint="eastAsia"/>
        </w:rPr>
        <w:t>通用技术条件：</w:t>
      </w:r>
    </w:p>
    <w:p w14:paraId="4BF3CECC">
      <w:pPr>
        <w:pStyle w:val="111"/>
        <w:tabs>
          <w:tab w:val="left" w:pos="1680"/>
        </w:tabs>
        <w:ind w:left="1275"/>
        <w:jc w:val="left"/>
      </w:pPr>
      <w:r>
        <w:rPr>
          <w:rFonts w:hint="eastAsia"/>
        </w:rPr>
        <w:t>钢质防火门按规格要求为甲级≥50mm厚。</w:t>
      </w:r>
    </w:p>
    <w:p w14:paraId="0319A65A">
      <w:pPr>
        <w:pStyle w:val="111"/>
        <w:tabs>
          <w:tab w:val="left" w:pos="1680"/>
        </w:tabs>
        <w:ind w:left="1275"/>
        <w:jc w:val="left"/>
      </w:pPr>
      <w:r>
        <w:rPr>
          <w:rFonts w:hint="eastAsia"/>
        </w:rPr>
        <w:t>耐火极限：满足国家规范甲级防火门的要求。</w:t>
      </w:r>
    </w:p>
    <w:p w14:paraId="1477EE59">
      <w:pPr>
        <w:pStyle w:val="111"/>
        <w:tabs>
          <w:tab w:val="left" w:pos="1680"/>
        </w:tabs>
        <w:ind w:left="1275"/>
        <w:jc w:val="left"/>
      </w:pPr>
      <w:r>
        <w:rPr>
          <w:rFonts w:hint="eastAsia"/>
        </w:rPr>
        <w:t>防火隔音门隔音要求：隔声量≥</w:t>
      </w:r>
      <w:r>
        <w:t>35</w:t>
      </w:r>
      <w:r>
        <w:rPr>
          <w:rFonts w:hint="eastAsia"/>
        </w:rPr>
        <w:t xml:space="preserve"> dB。</w:t>
      </w:r>
    </w:p>
    <w:p w14:paraId="4454A640">
      <w:pPr>
        <w:pStyle w:val="111"/>
        <w:tabs>
          <w:tab w:val="left" w:pos="1680"/>
        </w:tabs>
        <w:ind w:left="1275"/>
        <w:jc w:val="left"/>
      </w:pPr>
      <w:r>
        <w:t>门框、门扇面板</w:t>
      </w:r>
      <w:r>
        <w:rPr>
          <w:rFonts w:hint="eastAsia"/>
        </w:rPr>
        <w:t>、加固件</w:t>
      </w:r>
      <w:r>
        <w:t>均采用</w:t>
      </w:r>
      <w:r>
        <w:rPr>
          <w:rFonts w:hint="eastAsia"/>
        </w:rPr>
        <w:t>热镀锌冷轧钢板，</w:t>
      </w:r>
      <w:r>
        <w:t>门框</w:t>
      </w:r>
      <w:r>
        <w:rPr>
          <w:rFonts w:hint="eastAsia"/>
        </w:rPr>
        <w:t>板厚≥1.2mm</w:t>
      </w:r>
      <w:r>
        <w:t>厚，门扇面板</w:t>
      </w:r>
      <w:r>
        <w:rPr>
          <w:rFonts w:hint="eastAsia"/>
        </w:rPr>
        <w:t>板厚≥0.8mm</w:t>
      </w:r>
      <w:r>
        <w:t>厚</w:t>
      </w:r>
      <w:r>
        <w:rPr>
          <w:rFonts w:hint="eastAsia"/>
        </w:rPr>
        <w:t>。加固件</w:t>
      </w:r>
      <w:r>
        <w:t>板</w:t>
      </w:r>
      <w:r>
        <w:rPr>
          <w:rFonts w:hint="eastAsia"/>
        </w:rPr>
        <w:t>厚≥</w:t>
      </w:r>
      <w:r>
        <w:t>3.0mm</w:t>
      </w:r>
      <w:r>
        <w:rPr>
          <w:rFonts w:hint="eastAsia"/>
        </w:rPr>
        <w:t>，铰链板厚度≥3mm</w:t>
      </w:r>
      <w:r>
        <w:rPr>
          <w:rFonts w:hint="eastAsia"/>
          <w:color w:val="auto"/>
        </w:rPr>
        <w:t>，上述数值及形式检验报告允许国标负公差，其耐火性</w:t>
      </w:r>
      <w:r>
        <w:rPr>
          <w:rFonts w:hint="eastAsia"/>
        </w:rPr>
        <w:t>能应符合《防火门》GB12955的规定</w:t>
      </w:r>
      <w:r>
        <w:t xml:space="preserve">。 </w:t>
      </w:r>
    </w:p>
    <w:p w14:paraId="502FA1E0">
      <w:pPr>
        <w:pStyle w:val="111"/>
        <w:tabs>
          <w:tab w:val="left" w:pos="1680"/>
        </w:tabs>
        <w:ind w:left="1275"/>
        <w:jc w:val="left"/>
      </w:pPr>
      <w:r>
        <w:t>门扇内</w:t>
      </w:r>
      <w:r>
        <w:rPr>
          <w:rFonts w:hint="eastAsia" w:cs="宋体"/>
        </w:rPr>
        <w:t>应填充对人体无毒无害的防火隔热材料</w:t>
      </w:r>
      <w:r>
        <w:t>。填充材料应符合《建筑材料不燃性试验方法》</w:t>
      </w:r>
      <w:r>
        <w:rPr>
          <w:rFonts w:hint="eastAsia"/>
        </w:rPr>
        <w:t xml:space="preserve"> </w:t>
      </w:r>
      <w:r>
        <w:t>（GB5464）规定，同时满足环保要求</w:t>
      </w:r>
      <w:r>
        <w:rPr>
          <w:rFonts w:hint="eastAsia"/>
        </w:rPr>
        <w:t>，填充材料的密度≥300千克/立方米。</w:t>
      </w:r>
    </w:p>
    <w:p w14:paraId="7FB089D6">
      <w:pPr>
        <w:pStyle w:val="111"/>
        <w:tabs>
          <w:tab w:val="left" w:pos="1680"/>
        </w:tabs>
        <w:ind w:left="1275"/>
        <w:jc w:val="left"/>
      </w:pPr>
      <w:r>
        <w:t>玻璃材料：钢质防火门要求选用复合防火玻璃，玻璃性能应能满足钢质门耐火性能实验要求，玻璃的耐火等级同其门的防火等级要求相同。</w:t>
      </w:r>
      <w:r>
        <w:rPr>
          <w:rFonts w:hint="eastAsia"/>
        </w:rPr>
        <w:t>玻璃原片</w:t>
      </w:r>
      <w:r>
        <w:t>要求选用安全玻璃</w:t>
      </w:r>
      <w:r>
        <w:rPr>
          <w:rFonts w:hint="eastAsia"/>
        </w:rPr>
        <w:t>，防火玻璃优选三玻两腔</w:t>
      </w:r>
      <w:r>
        <w:t xml:space="preserve">。 </w:t>
      </w:r>
    </w:p>
    <w:p w14:paraId="4B343AFE">
      <w:pPr>
        <w:pStyle w:val="111"/>
        <w:tabs>
          <w:tab w:val="left" w:pos="1680"/>
        </w:tabs>
        <w:ind w:left="1275"/>
        <w:jc w:val="left"/>
      </w:pPr>
      <w:r>
        <w:t xml:space="preserve">规格尺寸要求：钢质门的洞口尺寸、构造尺寸符合《建筑门窗洞口尺寸系列》（GB5824）。 </w:t>
      </w:r>
    </w:p>
    <w:p w14:paraId="0379F219">
      <w:pPr>
        <w:autoSpaceDE w:val="0"/>
        <w:autoSpaceDN w:val="0"/>
        <w:adjustRightInd w:val="0"/>
        <w:spacing w:line="360" w:lineRule="auto"/>
        <w:jc w:val="left"/>
        <w:rPr>
          <w:rFonts w:ascii="黑体" w:hAnsi="黑体"/>
          <w:kern w:val="0"/>
          <w:szCs w:val="18"/>
        </w:rPr>
      </w:pPr>
    </w:p>
    <w:p w14:paraId="17355686">
      <w:pPr>
        <w:pStyle w:val="97"/>
      </w:pPr>
      <w:r>
        <w:t xml:space="preserve">油漆处理要求： </w:t>
      </w:r>
    </w:p>
    <w:p w14:paraId="3F8B04B3">
      <w:pPr>
        <w:pStyle w:val="111"/>
        <w:tabs>
          <w:tab w:val="left" w:pos="1680"/>
        </w:tabs>
        <w:ind w:left="1275"/>
        <w:jc w:val="left"/>
      </w:pPr>
      <w:r>
        <w:t>防火门饰面处理：静电粉末喷涂</w:t>
      </w:r>
      <w:r>
        <w:rPr>
          <w:rFonts w:hint="eastAsia"/>
        </w:rPr>
        <w:t>，</w:t>
      </w:r>
      <w:r>
        <w:t>粉末涂层</w:t>
      </w:r>
      <w:r>
        <w:rPr>
          <w:rFonts w:hint="eastAsia"/>
        </w:rPr>
        <w:t>厚度平均为6</w:t>
      </w:r>
      <w:r>
        <w:t>0</w:t>
      </w:r>
      <w:r>
        <w:rPr>
          <w:rFonts w:ascii="Calibri" w:hAnsi="Calibri" w:cs="Calibri"/>
        </w:rPr>
        <w:t>µ</w:t>
      </w:r>
      <w:r>
        <w:t>m</w:t>
      </w:r>
      <w:r>
        <w:rPr>
          <w:rFonts w:hint="eastAsia"/>
        </w:rPr>
        <w:t>-</w:t>
      </w:r>
      <w:r>
        <w:t>120</w:t>
      </w:r>
      <w:r>
        <w:rPr>
          <w:rFonts w:ascii="Calibri" w:hAnsi="Calibri" w:cs="Calibri"/>
        </w:rPr>
        <w:t>µ</w:t>
      </w:r>
      <w:r>
        <w:t>m</w:t>
      </w:r>
      <w:r>
        <w:rPr>
          <w:rFonts w:hint="eastAsia"/>
        </w:rPr>
        <w:t>，最薄处不得小于4</w:t>
      </w:r>
      <w:r>
        <w:t>0</w:t>
      </w:r>
      <w:r>
        <w:rPr>
          <w:rFonts w:ascii="Calibri" w:hAnsi="Calibri" w:cs="Calibri"/>
        </w:rPr>
        <w:t>µ</w:t>
      </w:r>
      <w:r>
        <w:t xml:space="preserve">m。 </w:t>
      </w:r>
    </w:p>
    <w:p w14:paraId="39D2EF57">
      <w:pPr>
        <w:pStyle w:val="111"/>
        <w:tabs>
          <w:tab w:val="left" w:pos="1680"/>
        </w:tabs>
        <w:ind w:left="1275"/>
        <w:jc w:val="left"/>
      </w:pPr>
      <w:r>
        <w:t>防火门饰面</w:t>
      </w:r>
      <w:r>
        <w:rPr>
          <w:rFonts w:hint="eastAsia"/>
        </w:rPr>
        <w:t>颜色</w:t>
      </w:r>
      <w:r>
        <w:t>由设计</w:t>
      </w:r>
      <w:r>
        <w:rPr>
          <w:rFonts w:hint="eastAsia"/>
        </w:rPr>
        <w:t>、业主确定</w:t>
      </w:r>
      <w:r>
        <w:t>。</w:t>
      </w:r>
    </w:p>
    <w:p w14:paraId="47F017DA">
      <w:pPr>
        <w:pStyle w:val="111"/>
        <w:tabs>
          <w:tab w:val="left" w:pos="1680"/>
        </w:tabs>
        <w:ind w:left="1275"/>
        <w:jc w:val="left"/>
      </w:pPr>
      <w:r>
        <w:t xml:space="preserve">防火门在车间装配完成后，喷涂前钢板表面应彻底清洁。 </w:t>
      </w:r>
    </w:p>
    <w:p w14:paraId="66C6146F">
      <w:pPr>
        <w:pStyle w:val="111"/>
        <w:tabs>
          <w:tab w:val="left" w:pos="1680"/>
        </w:tabs>
        <w:ind w:left="1275"/>
        <w:jc w:val="left"/>
      </w:pPr>
      <w:r>
        <w:t>防火门清除油渍及其它杂质后，采用磷酸盐浴剂处理，然后上底漆及焗上防锈后喷</w:t>
      </w:r>
      <w:r>
        <w:rPr>
          <w:rFonts w:hint="eastAsia"/>
        </w:rPr>
        <w:t>涂。</w:t>
      </w:r>
    </w:p>
    <w:p w14:paraId="2458993F">
      <w:pPr>
        <w:autoSpaceDE w:val="0"/>
        <w:autoSpaceDN w:val="0"/>
        <w:adjustRightInd w:val="0"/>
        <w:spacing w:line="360" w:lineRule="auto"/>
        <w:ind w:left="420"/>
        <w:jc w:val="left"/>
        <w:rPr>
          <w:rFonts w:ascii="黑体" w:hAnsi="黑体" w:cs="宋体"/>
          <w:kern w:val="0"/>
          <w:szCs w:val="18"/>
        </w:rPr>
      </w:pPr>
    </w:p>
    <w:p w14:paraId="73036F56">
      <w:pPr>
        <w:pStyle w:val="97"/>
      </w:pPr>
      <w:r>
        <w:t>供应厂商</w:t>
      </w:r>
      <w:r>
        <w:rPr>
          <w:rFonts w:hint="eastAsia"/>
        </w:rPr>
        <w:t>提交资料</w:t>
      </w:r>
    </w:p>
    <w:p w14:paraId="2C0A3DAC">
      <w:pPr>
        <w:pStyle w:val="111"/>
        <w:tabs>
          <w:tab w:val="left" w:pos="1680"/>
        </w:tabs>
        <w:ind w:left="1275"/>
        <w:jc w:val="left"/>
      </w:pPr>
      <w:r>
        <w:t>供应厂商资质、企业状况、技术状况文件，产品实施项目表，厂商安装技术规程</w:t>
      </w:r>
      <w:r>
        <w:rPr>
          <w:rFonts w:hint="eastAsia"/>
        </w:rPr>
        <w:t>，产品合格证书</w:t>
      </w:r>
      <w:r>
        <w:t xml:space="preserve">。 </w:t>
      </w:r>
    </w:p>
    <w:p w14:paraId="2F1DFEBC">
      <w:pPr>
        <w:pStyle w:val="111"/>
        <w:tabs>
          <w:tab w:val="left" w:pos="1680"/>
        </w:tabs>
        <w:ind w:left="1275"/>
        <w:jc w:val="left"/>
      </w:pPr>
      <w:r>
        <w:t xml:space="preserve">产品资料：递交厂商关于钢质防火门产品资料，产品生产、安装、验收方面资料。 </w:t>
      </w:r>
    </w:p>
    <w:p w14:paraId="2231F66B">
      <w:pPr>
        <w:pStyle w:val="111"/>
        <w:tabs>
          <w:tab w:val="left" w:pos="1680"/>
        </w:tabs>
        <w:ind w:left="1275"/>
        <w:jc w:val="left"/>
      </w:pPr>
      <w:r>
        <w:t xml:space="preserve">施工安装图：递交标有详细尺寸和产品安装位置的施工安装详图，图纸比例足以表达相应技术内容和满足安装要求，图纸包括（不限于）以下： </w:t>
      </w:r>
    </w:p>
    <w:p w14:paraId="5942CA1B">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 xml:space="preserve">所有钢质防火门、普通钢质门产品平面图、立面图 </w:t>
      </w:r>
      <w:r>
        <w:rPr>
          <w:rFonts w:hint="eastAsia" w:ascii="黑体" w:hAnsi="黑体" w:cs="宋体"/>
          <w:kern w:val="0"/>
          <w:szCs w:val="18"/>
        </w:rPr>
        <w:t>；</w:t>
      </w:r>
    </w:p>
    <w:p w14:paraId="60FB2786">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 xml:space="preserve">所有产品技术接点图，厂商推荐五金资料 </w:t>
      </w:r>
      <w:r>
        <w:rPr>
          <w:rFonts w:hint="eastAsia" w:ascii="黑体" w:hAnsi="黑体" w:cs="宋体"/>
          <w:kern w:val="0"/>
          <w:szCs w:val="18"/>
        </w:rPr>
        <w:t>；</w:t>
      </w:r>
    </w:p>
    <w:p w14:paraId="09096431">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 xml:space="preserve">产品的数据资料及建议的工作计划资料 </w:t>
      </w:r>
      <w:r>
        <w:rPr>
          <w:rFonts w:hint="eastAsia" w:ascii="黑体" w:hAnsi="黑体" w:cs="宋体"/>
          <w:kern w:val="0"/>
          <w:szCs w:val="18"/>
        </w:rPr>
        <w:t>；</w:t>
      </w:r>
    </w:p>
    <w:p w14:paraId="09EC9CD8">
      <w:pPr>
        <w:pStyle w:val="111"/>
        <w:tabs>
          <w:tab w:val="left" w:pos="1680"/>
        </w:tabs>
        <w:ind w:left="1275"/>
        <w:jc w:val="left"/>
      </w:pPr>
      <w:r>
        <w:t xml:space="preserve">产品样品：递交以下样品： </w:t>
      </w:r>
    </w:p>
    <w:p w14:paraId="2E841AAD">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钢质防火门样品</w:t>
      </w:r>
      <w:r>
        <w:rPr>
          <w:rFonts w:hint="eastAsia" w:ascii="黑体" w:hAnsi="黑体" w:cs="宋体"/>
          <w:kern w:val="0"/>
          <w:szCs w:val="18"/>
        </w:rPr>
        <w:t>；</w:t>
      </w:r>
    </w:p>
    <w:p w14:paraId="5A44857F">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经国家消防检测机构检测合格的定型配套五金配件</w:t>
      </w:r>
      <w:r>
        <w:rPr>
          <w:rFonts w:hint="eastAsia" w:ascii="黑体" w:hAnsi="黑体" w:cs="宋体"/>
          <w:kern w:val="0"/>
          <w:szCs w:val="18"/>
        </w:rPr>
        <w:t>；</w:t>
      </w:r>
      <w:r>
        <w:rPr>
          <w:rFonts w:ascii="黑体" w:hAnsi="黑体" w:cs="宋体"/>
          <w:kern w:val="0"/>
          <w:szCs w:val="18"/>
        </w:rPr>
        <w:t xml:space="preserve"> </w:t>
      </w:r>
    </w:p>
    <w:p w14:paraId="116EB2C9">
      <w:pPr>
        <w:autoSpaceDE w:val="0"/>
        <w:autoSpaceDN w:val="0"/>
        <w:adjustRightInd w:val="0"/>
        <w:spacing w:line="360" w:lineRule="auto"/>
        <w:ind w:left="851"/>
        <w:jc w:val="left"/>
        <w:rPr>
          <w:rFonts w:ascii="黑体" w:hAnsi="黑体" w:cs="宋体"/>
          <w:kern w:val="0"/>
          <w:szCs w:val="18"/>
        </w:rPr>
      </w:pPr>
      <w:r>
        <w:rPr>
          <w:rFonts w:hint="eastAsia" w:ascii="黑体" w:hAnsi="黑体" w:cs="宋体"/>
          <w:kern w:val="0"/>
          <w:szCs w:val="18"/>
        </w:rPr>
        <w:t>对应防火门</w:t>
      </w:r>
      <w:r>
        <w:rPr>
          <w:rFonts w:hint="eastAsia" w:ascii="黑体" w:hAnsi="黑体" w:cs="宋体"/>
          <w:szCs w:val="18"/>
        </w:rPr>
        <w:t>型式认证报告</w:t>
      </w:r>
    </w:p>
    <w:p w14:paraId="27AAFE19">
      <w:pPr>
        <w:pStyle w:val="97"/>
      </w:pPr>
      <w:r>
        <w:rPr>
          <w:rFonts w:hint="eastAsia"/>
        </w:rPr>
        <w:t>现场抽检</w:t>
      </w:r>
    </w:p>
    <w:p w14:paraId="6E66E2C4">
      <w:pPr>
        <w:pStyle w:val="111"/>
        <w:tabs>
          <w:tab w:val="left" w:pos="1680"/>
        </w:tabs>
        <w:ind w:left="1275"/>
        <w:jc w:val="left"/>
      </w:pPr>
      <w:r>
        <w:rPr>
          <w:rFonts w:hint="eastAsia" w:cs="宋体"/>
        </w:rPr>
        <w:t>按国家及</w:t>
      </w:r>
      <w:r>
        <w:rPr>
          <w:rFonts w:hint="eastAsia"/>
        </w:rPr>
        <w:t>地方政府要求对本工程防火门进行耐火性能试验和不燃材料试验，满足消防验收。另外应由业主/监理工程师在送达现场准备安装的防火门进行抽查，抽查按甲、乙、丙三种防火等级进行，每200扇抽查1扇。所抽查的防火门应检查外观、主要材料细部尺寸，以及防火材料在门扇内的填充情况，所需费用由承包方承担。当单个项目合同供货不足200扇时，拉通其他项目合并抽检，满足以上要求。</w:t>
      </w:r>
    </w:p>
    <w:p w14:paraId="50E19DCC">
      <w:pPr>
        <w:pStyle w:val="97"/>
      </w:pPr>
      <w:r>
        <w:rPr>
          <w:rFonts w:hint="eastAsia"/>
        </w:rPr>
        <w:t>安装工艺标准：</w:t>
      </w:r>
    </w:p>
    <w:p w14:paraId="354F61F5">
      <w:pPr>
        <w:pStyle w:val="111"/>
        <w:tabs>
          <w:tab w:val="left" w:pos="1680"/>
        </w:tabs>
        <w:ind w:left="1275"/>
        <w:jc w:val="left"/>
      </w:pPr>
      <w:r>
        <w:rPr>
          <w:rFonts w:hint="eastAsia"/>
        </w:rPr>
        <w:t>结构质量经验收符合安装要求，工种之间办好交接手续。</w:t>
      </w:r>
    </w:p>
    <w:p w14:paraId="61639F7B">
      <w:pPr>
        <w:pStyle w:val="111"/>
        <w:tabs>
          <w:tab w:val="left" w:pos="1680"/>
        </w:tabs>
        <w:ind w:left="1275"/>
        <w:jc w:val="left"/>
      </w:pPr>
      <w:r>
        <w:rPr>
          <w:rFonts w:hint="eastAsia"/>
        </w:rPr>
        <w:t>检查门洞口高和宽是否合适。</w:t>
      </w:r>
    </w:p>
    <w:p w14:paraId="6EB0D32E">
      <w:pPr>
        <w:pStyle w:val="111"/>
        <w:tabs>
          <w:tab w:val="left" w:pos="1680"/>
        </w:tabs>
        <w:ind w:left="1275"/>
        <w:jc w:val="left"/>
      </w:pPr>
      <w:r>
        <w:rPr>
          <w:rFonts w:hint="eastAsia"/>
        </w:rPr>
        <w:t>对门进行检查，如因运输、堆放不当导致门窗框扇出现翘曲变形，或在框角、门蕊的焊接处有脱焊或失落的情况，应进行校正和修理。对其表面处理后进行补焊的，焊后须刷防绣漆。</w:t>
      </w:r>
    </w:p>
    <w:p w14:paraId="7A2D04B6">
      <w:pPr>
        <w:pStyle w:val="111"/>
        <w:tabs>
          <w:tab w:val="left" w:pos="1680"/>
        </w:tabs>
        <w:ind w:left="1275"/>
        <w:jc w:val="left"/>
      </w:pPr>
      <w:r>
        <w:rPr>
          <w:rFonts w:hint="eastAsia"/>
        </w:rPr>
        <w:t>对于防火门组合门框，应先做组拼样板，经现场验收合格后，再进行大量组装。</w:t>
      </w:r>
    </w:p>
    <w:p w14:paraId="0E381542">
      <w:pPr>
        <w:pStyle w:val="111"/>
        <w:tabs>
          <w:tab w:val="left" w:pos="1680"/>
        </w:tabs>
        <w:ind w:left="1275"/>
        <w:jc w:val="left"/>
      </w:pPr>
      <w:r>
        <w:rPr>
          <w:rFonts w:hint="eastAsia"/>
        </w:rPr>
        <w:t>就位：按图纸要求的型号、尺寸及门的开启方向等，将门运到安装点，并及时靠垫牢固。</w:t>
      </w:r>
    </w:p>
    <w:p w14:paraId="4519B3A2">
      <w:pPr>
        <w:pStyle w:val="111"/>
        <w:tabs>
          <w:tab w:val="left" w:pos="1680"/>
        </w:tabs>
        <w:ind w:left="1275"/>
        <w:jc w:val="left"/>
      </w:pPr>
      <w:r>
        <w:rPr>
          <w:rFonts w:hint="eastAsia"/>
        </w:rPr>
        <w:t>安装门框：用膨胀螺丝或连接铁片或电焊，将门框牢固固定在门洞上</w:t>
      </w:r>
    </w:p>
    <w:p w14:paraId="5AF69512">
      <w:pPr>
        <w:pStyle w:val="111"/>
        <w:tabs>
          <w:tab w:val="left" w:pos="1680"/>
        </w:tabs>
        <w:ind w:left="1275"/>
        <w:jc w:val="left"/>
      </w:pPr>
      <w:r>
        <w:rPr>
          <w:rFonts w:hint="eastAsia"/>
        </w:rPr>
        <w:t>灌浆：防火门门框安装完成后，必须在框内罐实水泥砂浆，水泥砂浆如有外溢，必须清理干净。</w:t>
      </w:r>
    </w:p>
    <w:p w14:paraId="36E65098">
      <w:pPr>
        <w:pStyle w:val="111"/>
        <w:tabs>
          <w:tab w:val="left" w:pos="1680"/>
        </w:tabs>
        <w:ind w:left="1275"/>
        <w:jc w:val="left"/>
      </w:pPr>
      <w:r>
        <w:rPr>
          <w:rFonts w:hint="eastAsia"/>
        </w:rPr>
        <w:t>安装门扇：将配套的门扇安装在门框上，所有的铰链螺丝必须完全拧紧。</w:t>
      </w:r>
    </w:p>
    <w:p w14:paraId="54A391FB">
      <w:pPr>
        <w:pStyle w:val="111"/>
        <w:tabs>
          <w:tab w:val="left" w:pos="1680"/>
        </w:tabs>
        <w:ind w:left="1275"/>
        <w:jc w:val="left"/>
      </w:pPr>
      <w:r>
        <w:rPr>
          <w:rFonts w:hint="eastAsia"/>
        </w:rPr>
        <w:t>安装五金配件：将配套的防火锁、闭门器等五金件按设计要求安装到门扇上。</w:t>
      </w:r>
    </w:p>
    <w:p w14:paraId="13AAAC6D">
      <w:pPr>
        <w:pStyle w:val="97"/>
      </w:pPr>
      <w:r>
        <w:rPr>
          <w:rFonts w:hint="eastAsia"/>
        </w:rPr>
        <w:t>质量验收要求</w:t>
      </w:r>
    </w:p>
    <w:p w14:paraId="46E0AFDB">
      <w:pPr>
        <w:pStyle w:val="111"/>
        <w:tabs>
          <w:tab w:val="left" w:pos="1680"/>
        </w:tabs>
        <w:ind w:left="1275"/>
        <w:jc w:val="left"/>
      </w:pPr>
      <w:r>
        <w:rPr>
          <w:rFonts w:hint="eastAsia"/>
        </w:rPr>
        <w:t>防火门及其附件的质量必须符合设计要求和有关标准的规定。</w:t>
      </w:r>
    </w:p>
    <w:p w14:paraId="645721EC">
      <w:pPr>
        <w:pStyle w:val="111"/>
        <w:tabs>
          <w:tab w:val="left" w:pos="1680"/>
        </w:tabs>
        <w:ind w:left="1275"/>
        <w:jc w:val="left"/>
      </w:pPr>
      <w:r>
        <w:rPr>
          <w:rFonts w:hint="eastAsia"/>
        </w:rPr>
        <w:t>防火门安装的位置、开启方向，必须符合设计要求。</w:t>
      </w:r>
    </w:p>
    <w:p w14:paraId="6605217C">
      <w:pPr>
        <w:pStyle w:val="111"/>
        <w:tabs>
          <w:tab w:val="left" w:pos="1680"/>
        </w:tabs>
        <w:ind w:left="1275"/>
        <w:jc w:val="left"/>
      </w:pPr>
      <w:r>
        <w:rPr>
          <w:rFonts w:hint="eastAsia"/>
        </w:rPr>
        <w:t>防火门安装必须牢固，门扇应关闭严密、开关灵活，无卡阻现象。</w:t>
      </w:r>
    </w:p>
    <w:p w14:paraId="6AF549A5">
      <w:pPr>
        <w:pStyle w:val="111"/>
        <w:tabs>
          <w:tab w:val="left" w:pos="1680"/>
        </w:tabs>
        <w:ind w:left="1275"/>
        <w:jc w:val="left"/>
      </w:pPr>
      <w:r>
        <w:rPr>
          <w:rFonts w:hint="eastAsia"/>
        </w:rPr>
        <w:t>防火门五金配件齐全，位置正确，安装牢固、端正、启闭灵活适用。</w:t>
      </w:r>
    </w:p>
    <w:p w14:paraId="3AAA0F29">
      <w:pPr>
        <w:pStyle w:val="111"/>
        <w:tabs>
          <w:tab w:val="left" w:pos="1680"/>
        </w:tabs>
        <w:ind w:left="1275"/>
        <w:jc w:val="left"/>
      </w:pPr>
      <w:r>
        <w:rPr>
          <w:rFonts w:hint="eastAsia"/>
        </w:rPr>
        <w:t>防火门框与墙体的缝隙填嵌应饱满密实，表面平整、嵌填材料、方法符合设计要求。</w:t>
      </w:r>
    </w:p>
    <w:p w14:paraId="7F97CBA3">
      <w:pPr>
        <w:pStyle w:val="97"/>
      </w:pPr>
      <w:r>
        <w:rPr>
          <w:rFonts w:hint="eastAsia"/>
        </w:rPr>
        <w:t>成品保护要求</w:t>
      </w:r>
    </w:p>
    <w:p w14:paraId="4A308547">
      <w:pPr>
        <w:pStyle w:val="111"/>
        <w:tabs>
          <w:tab w:val="left" w:pos="1680"/>
        </w:tabs>
        <w:ind w:left="1275"/>
        <w:jc w:val="left"/>
      </w:pPr>
      <w:r>
        <w:rPr>
          <w:rFonts w:hint="eastAsia"/>
        </w:rPr>
        <w:t>防火门运输时要轻拿轻放，并采取保护措施，避免碰撞、摔压，防止损坏变形。</w:t>
      </w:r>
    </w:p>
    <w:p w14:paraId="176A5A5C">
      <w:pPr>
        <w:pStyle w:val="111"/>
        <w:tabs>
          <w:tab w:val="left" w:pos="1680"/>
        </w:tabs>
        <w:ind w:left="1275"/>
        <w:jc w:val="left"/>
      </w:pPr>
      <w:r>
        <w:rPr>
          <w:rFonts w:hint="eastAsia"/>
        </w:rPr>
        <w:t>防火门进场后，应按规格、型号分类堆放，底层应垫平、垫高，露天堆放应用塑料布遮盖好，严防乱堆乱放，防止防火门变形及生锈。</w:t>
      </w:r>
    </w:p>
    <w:p w14:paraId="319E7541">
      <w:pPr>
        <w:pStyle w:val="111"/>
        <w:tabs>
          <w:tab w:val="left" w:pos="1680"/>
        </w:tabs>
        <w:ind w:left="1275"/>
        <w:jc w:val="left"/>
      </w:pPr>
      <w:r>
        <w:rPr>
          <w:rFonts w:hint="eastAsia"/>
        </w:rPr>
        <w:t>严禁以防火门为支点，在防火门上支承桥枋、桥架，防止变形。</w:t>
      </w:r>
    </w:p>
    <w:p w14:paraId="0A09CBEA">
      <w:pPr>
        <w:pStyle w:val="111"/>
        <w:tabs>
          <w:tab w:val="left" w:pos="1680"/>
        </w:tabs>
        <w:ind w:left="1275"/>
        <w:jc w:val="left"/>
      </w:pPr>
      <w:r>
        <w:rPr>
          <w:rFonts w:hint="eastAsia"/>
        </w:rPr>
        <w:t>拆架子时，应将开启的门窗关好，再落架子，防止撞坏防火门。</w:t>
      </w:r>
    </w:p>
    <w:p w14:paraId="40D46B8A">
      <w:pPr>
        <w:pStyle w:val="111"/>
        <w:tabs>
          <w:tab w:val="left" w:pos="1680"/>
        </w:tabs>
        <w:ind w:left="1275"/>
        <w:jc w:val="left"/>
      </w:pPr>
      <w:r>
        <w:rPr>
          <w:rFonts w:hint="eastAsia"/>
        </w:rPr>
        <w:t>墙体粉刷完毕后，应及时清除残留在防火门框、扇上砂浆，并清理干净。</w:t>
      </w:r>
    </w:p>
    <w:p w14:paraId="116689E7">
      <w:pPr>
        <w:pStyle w:val="97"/>
      </w:pPr>
      <w:r>
        <w:rPr>
          <w:rFonts w:hint="eastAsia"/>
        </w:rPr>
        <w:t>安全措施要求</w:t>
      </w:r>
    </w:p>
    <w:p w14:paraId="24B46D53">
      <w:pPr>
        <w:pStyle w:val="111"/>
        <w:tabs>
          <w:tab w:val="left" w:pos="1680"/>
        </w:tabs>
        <w:ind w:left="1275"/>
        <w:jc w:val="left"/>
      </w:pPr>
      <w:r>
        <w:rPr>
          <w:rFonts w:hint="eastAsia"/>
        </w:rPr>
        <w:t>操作前要检查工具是否牢固，以防掉落伤人，电动工具绝缘应可靠，先试后用。</w:t>
      </w:r>
    </w:p>
    <w:p w14:paraId="18F6AD32">
      <w:pPr>
        <w:pStyle w:val="111"/>
        <w:tabs>
          <w:tab w:val="left" w:pos="1680"/>
        </w:tabs>
        <w:ind w:left="1275"/>
        <w:jc w:val="left"/>
      </w:pPr>
      <w:r>
        <w:rPr>
          <w:rFonts w:hint="eastAsia"/>
        </w:rPr>
        <w:t>进入工地现场必须佩戴安全帽。</w:t>
      </w:r>
    </w:p>
    <w:p w14:paraId="079EDDAB">
      <w:pPr>
        <w:pStyle w:val="97"/>
      </w:pPr>
      <w:r>
        <w:rPr>
          <w:rFonts w:hint="eastAsia"/>
        </w:rPr>
        <w:t>其他</w:t>
      </w:r>
    </w:p>
    <w:p w14:paraId="6D0ED677">
      <w:pPr>
        <w:pStyle w:val="111"/>
        <w:tabs>
          <w:tab w:val="left" w:pos="1680"/>
        </w:tabs>
        <w:ind w:left="1275"/>
        <w:jc w:val="left"/>
        <w:rPr>
          <w:rFonts w:cs="宋体"/>
        </w:rPr>
      </w:pPr>
      <w:r>
        <w:rPr>
          <w:rFonts w:hint="eastAsia" w:cs="宋体"/>
        </w:rPr>
        <w:t>防火门厂家需满足以上技术要求，现场验收以防火门型式认证报告为准。</w:t>
      </w:r>
    </w:p>
    <w:p w14:paraId="563C2558">
      <w:pPr>
        <w:pStyle w:val="111"/>
        <w:tabs>
          <w:tab w:val="left" w:pos="1680"/>
        </w:tabs>
        <w:ind w:left="1275"/>
        <w:jc w:val="left"/>
        <w:rPr>
          <w:rFonts w:cs="宋体"/>
        </w:rPr>
      </w:pPr>
      <w:r>
        <w:rPr>
          <w:rFonts w:hint="eastAsia" w:cs="宋体"/>
        </w:rPr>
        <w:t>不锈钢防火门参照本规范执行。</w:t>
      </w:r>
    </w:p>
    <w:p w14:paraId="0E71BA95">
      <w:pPr>
        <w:pStyle w:val="111"/>
        <w:tabs>
          <w:tab w:val="left" w:pos="1680"/>
        </w:tabs>
        <w:ind w:left="1275"/>
        <w:jc w:val="left"/>
        <w:rPr>
          <w:rFonts w:cs="宋体"/>
        </w:rPr>
      </w:pPr>
      <w:r>
        <w:rPr>
          <w:rFonts w:hint="eastAsia" w:cs="宋体"/>
        </w:rPr>
        <w:t>满足当地行政主管部门的消防验收要求。</w:t>
      </w:r>
    </w:p>
    <w:p w14:paraId="657B6698">
      <w:pPr>
        <w:pStyle w:val="111"/>
        <w:tabs>
          <w:tab w:val="left" w:pos="1680"/>
        </w:tabs>
        <w:ind w:left="1275"/>
        <w:jc w:val="left"/>
      </w:pPr>
      <w:r>
        <w:rPr>
          <w:rFonts w:hint="eastAsia" w:cs="宋体"/>
        </w:rPr>
        <w:t>其他未尽事宜详见《防火门》</w:t>
      </w:r>
      <w:r>
        <w:rPr>
          <w:rFonts w:cs="宋体"/>
        </w:rPr>
        <w:t>GB12955</w:t>
      </w:r>
      <w:r>
        <w:rPr>
          <w:rFonts w:hint="eastAsia" w:cs="宋体"/>
        </w:rPr>
        <w:t>的规定。</w:t>
      </w:r>
    </w:p>
    <w:p w14:paraId="4C1837A5">
      <w:pPr>
        <w:pStyle w:val="111"/>
        <w:numPr>
          <w:ilvl w:val="0"/>
          <w:numId w:val="0"/>
        </w:numPr>
        <w:tabs>
          <w:tab w:val="left" w:pos="1680"/>
        </w:tabs>
        <w:ind w:left="1275"/>
        <w:jc w:val="left"/>
      </w:pPr>
    </w:p>
    <w:p w14:paraId="3A09918A">
      <w:pPr>
        <w:pStyle w:val="3"/>
        <w:jc w:val="left"/>
      </w:pPr>
      <w:bookmarkStart w:id="21" w:name="_Toc174556775"/>
      <w:bookmarkStart w:id="22" w:name="_Toc170300976"/>
      <w:r>
        <w:rPr>
          <w:rFonts w:hint="eastAsia"/>
        </w:rPr>
        <w:t>不锈钢防火门</w:t>
      </w:r>
      <w:bookmarkEnd w:id="21"/>
      <w:bookmarkEnd w:id="22"/>
    </w:p>
    <w:p w14:paraId="352BB67B">
      <w:pPr>
        <w:pStyle w:val="97"/>
      </w:pPr>
      <w:r>
        <w:rPr>
          <w:rFonts w:hint="eastAsia"/>
        </w:rPr>
        <w:t>通用技术条件：</w:t>
      </w:r>
    </w:p>
    <w:p w14:paraId="50C788DF">
      <w:pPr>
        <w:pStyle w:val="111"/>
        <w:ind w:left="1275"/>
        <w:jc w:val="left"/>
      </w:pPr>
      <w:r>
        <w:rPr>
          <w:rFonts w:hint="eastAsia"/>
        </w:rPr>
        <w:t>不锈钢防火门按规格要求为≥50mm厚。</w:t>
      </w:r>
    </w:p>
    <w:p w14:paraId="454D6EE4">
      <w:pPr>
        <w:pStyle w:val="111"/>
        <w:ind w:left="1275"/>
        <w:jc w:val="left"/>
      </w:pPr>
      <w:r>
        <w:rPr>
          <w:rFonts w:hint="eastAsia"/>
        </w:rPr>
        <w:t>耐火极限：满足国家规范甲级防火门的要求。</w:t>
      </w:r>
    </w:p>
    <w:p w14:paraId="43B6F853">
      <w:pPr>
        <w:pStyle w:val="111"/>
        <w:ind w:left="1275"/>
        <w:jc w:val="left"/>
      </w:pPr>
      <w:r>
        <w:rPr>
          <w:rFonts w:hint="eastAsia"/>
        </w:rPr>
        <w:t>防火隔音门隔音要求：隔声量≥</w:t>
      </w:r>
      <w:r>
        <w:t>35</w:t>
      </w:r>
      <w:r>
        <w:rPr>
          <w:rFonts w:hint="eastAsia"/>
        </w:rPr>
        <w:t xml:space="preserve"> dB。</w:t>
      </w:r>
    </w:p>
    <w:p w14:paraId="204B9E0A">
      <w:pPr>
        <w:pStyle w:val="111"/>
        <w:ind w:left="1275"/>
        <w:jc w:val="left"/>
        <w:rPr>
          <w:color w:val="auto"/>
        </w:rPr>
      </w:pPr>
      <w:r>
        <w:t>门框、门扇面板</w:t>
      </w:r>
      <w:r>
        <w:rPr>
          <w:rFonts w:hint="eastAsia"/>
        </w:rPr>
        <w:t>、加固件</w:t>
      </w:r>
      <w:r>
        <w:t>均采用</w:t>
      </w:r>
      <w:r>
        <w:rPr>
          <w:rFonts w:hint="eastAsia"/>
        </w:rPr>
        <w:t>不锈钢钢板（</w:t>
      </w:r>
      <w:r>
        <w:t>304</w:t>
      </w:r>
      <w:r>
        <w:rPr>
          <w:rFonts w:hint="eastAsia"/>
        </w:rPr>
        <w:t>），</w:t>
      </w:r>
      <w:r>
        <w:t>门框</w:t>
      </w:r>
      <w:r>
        <w:rPr>
          <w:rFonts w:hint="eastAsia"/>
        </w:rPr>
        <w:t>板厚≥1.2mm</w:t>
      </w:r>
      <w:r>
        <w:t>厚，门扇面板</w:t>
      </w:r>
      <w:r>
        <w:rPr>
          <w:rFonts w:hint="eastAsia"/>
        </w:rPr>
        <w:t>板厚≥0.8mm</w:t>
      </w:r>
      <w:r>
        <w:t>厚</w:t>
      </w:r>
      <w:r>
        <w:rPr>
          <w:rFonts w:hint="eastAsia"/>
        </w:rPr>
        <w:t>。加固件</w:t>
      </w:r>
      <w:r>
        <w:t>板</w:t>
      </w:r>
      <w:r>
        <w:rPr>
          <w:rFonts w:hint="eastAsia"/>
        </w:rPr>
        <w:t>厚≥</w:t>
      </w:r>
      <w:r>
        <w:t>3.0mm</w:t>
      </w:r>
      <w:r>
        <w:rPr>
          <w:rFonts w:hint="eastAsia"/>
        </w:rPr>
        <w:t>，铰链板</w:t>
      </w:r>
      <w:r>
        <w:rPr>
          <w:rFonts w:hint="eastAsia"/>
          <w:color w:val="auto"/>
        </w:rPr>
        <w:t>厚度≥3mm，上述数值及形式检验报告允许国标负公差，其耐火性能应符合《防火门》GB12955的规定</w:t>
      </w:r>
      <w:r>
        <w:rPr>
          <w:color w:val="auto"/>
        </w:rPr>
        <w:t xml:space="preserve">。 </w:t>
      </w:r>
    </w:p>
    <w:p w14:paraId="5F1AAC8A">
      <w:pPr>
        <w:pStyle w:val="111"/>
        <w:ind w:left="1275"/>
        <w:jc w:val="left"/>
      </w:pPr>
      <w:r>
        <w:t>门扇内</w:t>
      </w:r>
      <w:r>
        <w:rPr>
          <w:rFonts w:hint="eastAsia" w:cs="宋体"/>
        </w:rPr>
        <w:t>应填充对人体无毒无害的防火隔热材料</w:t>
      </w:r>
      <w:r>
        <w:t>。填充材料应符合《建筑材料不燃性试验方法》</w:t>
      </w:r>
      <w:r>
        <w:rPr>
          <w:rFonts w:hint="eastAsia"/>
        </w:rPr>
        <w:t xml:space="preserve"> </w:t>
      </w:r>
      <w:r>
        <w:t>（GB5464）规定，同时满足环保要求</w:t>
      </w:r>
      <w:r>
        <w:rPr>
          <w:rFonts w:hint="eastAsia"/>
        </w:rPr>
        <w:t>，填充材料的密度≥300千克/立方米。</w:t>
      </w:r>
    </w:p>
    <w:p w14:paraId="3379D5E5">
      <w:pPr>
        <w:pStyle w:val="111"/>
        <w:tabs>
          <w:tab w:val="left" w:pos="1680"/>
        </w:tabs>
        <w:ind w:left="1275"/>
        <w:jc w:val="left"/>
      </w:pPr>
      <w:r>
        <w:t>玻璃材料：钢质防火门要求选用复合防火玻璃，玻璃性能应能满足钢质门耐火性能实验要求，玻璃的耐火等级同其门的防火等级要求相同。</w:t>
      </w:r>
      <w:r>
        <w:rPr>
          <w:rFonts w:hint="eastAsia"/>
        </w:rPr>
        <w:t>玻璃原片</w:t>
      </w:r>
      <w:r>
        <w:t>要求选用安全玻璃</w:t>
      </w:r>
      <w:r>
        <w:rPr>
          <w:rFonts w:hint="eastAsia"/>
        </w:rPr>
        <w:t>，防火玻璃优选三玻两腔</w:t>
      </w:r>
      <w:r>
        <w:t xml:space="preserve">。 </w:t>
      </w:r>
    </w:p>
    <w:p w14:paraId="2190160E">
      <w:pPr>
        <w:pStyle w:val="111"/>
        <w:ind w:left="1275"/>
        <w:jc w:val="left"/>
      </w:pPr>
      <w:r>
        <w:t>规格尺寸要求：</w:t>
      </w:r>
      <w:r>
        <w:rPr>
          <w:rFonts w:hint="eastAsia"/>
        </w:rPr>
        <w:t>本</w:t>
      </w:r>
      <w:r>
        <w:t xml:space="preserve">防火门的洞口尺寸、构造尺寸符合《建筑门窗洞口尺寸系列》（GB5824）。 </w:t>
      </w:r>
    </w:p>
    <w:p w14:paraId="6B93669D">
      <w:pPr>
        <w:autoSpaceDE w:val="0"/>
        <w:autoSpaceDN w:val="0"/>
        <w:adjustRightInd w:val="0"/>
        <w:spacing w:line="360" w:lineRule="auto"/>
        <w:jc w:val="left"/>
        <w:rPr>
          <w:rFonts w:ascii="黑体" w:hAnsi="黑体"/>
          <w:kern w:val="0"/>
          <w:szCs w:val="18"/>
        </w:rPr>
      </w:pPr>
    </w:p>
    <w:p w14:paraId="6B96CE04">
      <w:pPr>
        <w:pStyle w:val="97"/>
      </w:pPr>
      <w:r>
        <w:rPr>
          <w:rFonts w:hint="eastAsia"/>
        </w:rPr>
        <w:t>表面</w:t>
      </w:r>
      <w:r>
        <w:t xml:space="preserve">处理要求： </w:t>
      </w:r>
    </w:p>
    <w:p w14:paraId="324FE499">
      <w:pPr>
        <w:pStyle w:val="111"/>
        <w:ind w:left="1275"/>
        <w:jc w:val="left"/>
      </w:pPr>
      <w:r>
        <w:t>防火门饰面处理：</w:t>
      </w:r>
      <w:r>
        <w:rPr>
          <w:rFonts w:hint="eastAsia"/>
        </w:rPr>
        <w:t>表面采用拉丝不锈钢，甲方另有要求除外</w:t>
      </w:r>
      <w:r>
        <w:t xml:space="preserve">。 </w:t>
      </w:r>
    </w:p>
    <w:p w14:paraId="03D3E90D">
      <w:pPr>
        <w:pStyle w:val="111"/>
        <w:ind w:left="1275"/>
        <w:jc w:val="left"/>
      </w:pPr>
      <w:r>
        <w:t>防火门饰面</w:t>
      </w:r>
      <w:r>
        <w:rPr>
          <w:rFonts w:hint="eastAsia"/>
        </w:rPr>
        <w:t>颜色</w:t>
      </w:r>
      <w:r>
        <w:t>由设计</w:t>
      </w:r>
      <w:r>
        <w:rPr>
          <w:rFonts w:hint="eastAsia"/>
        </w:rPr>
        <w:t>、业主确定</w:t>
      </w:r>
      <w:r>
        <w:t>。</w:t>
      </w:r>
    </w:p>
    <w:p w14:paraId="023AD06F">
      <w:pPr>
        <w:autoSpaceDE w:val="0"/>
        <w:autoSpaceDN w:val="0"/>
        <w:adjustRightInd w:val="0"/>
        <w:spacing w:line="360" w:lineRule="auto"/>
        <w:ind w:left="420"/>
        <w:jc w:val="left"/>
        <w:rPr>
          <w:rFonts w:ascii="黑体" w:hAnsi="黑体" w:cs="宋体"/>
          <w:kern w:val="0"/>
          <w:szCs w:val="18"/>
        </w:rPr>
      </w:pPr>
    </w:p>
    <w:p w14:paraId="3AFA5A98">
      <w:pPr>
        <w:pStyle w:val="97"/>
      </w:pPr>
      <w:r>
        <w:t>供应厂商</w:t>
      </w:r>
      <w:r>
        <w:rPr>
          <w:rFonts w:hint="eastAsia"/>
        </w:rPr>
        <w:t>提交资料</w:t>
      </w:r>
    </w:p>
    <w:p w14:paraId="545863A1">
      <w:pPr>
        <w:pStyle w:val="111"/>
        <w:ind w:left="1275"/>
        <w:jc w:val="left"/>
      </w:pPr>
      <w:r>
        <w:t>供应厂商资质、企业状况、技术状况文件，产品实施项目表，厂商安装技术规程</w:t>
      </w:r>
      <w:r>
        <w:rPr>
          <w:rFonts w:hint="eastAsia"/>
        </w:rPr>
        <w:t>，产品合格证书</w:t>
      </w:r>
      <w:r>
        <w:t xml:space="preserve">。 </w:t>
      </w:r>
    </w:p>
    <w:p w14:paraId="106D3949">
      <w:pPr>
        <w:pStyle w:val="111"/>
        <w:ind w:left="1275"/>
        <w:jc w:val="left"/>
      </w:pPr>
      <w:r>
        <w:t xml:space="preserve">产品资料：递交厂商关于钢质防火门产品资料，产品生产、安装、验收方面资料。 </w:t>
      </w:r>
    </w:p>
    <w:p w14:paraId="7A730675">
      <w:pPr>
        <w:pStyle w:val="111"/>
        <w:ind w:left="1275"/>
        <w:jc w:val="left"/>
      </w:pPr>
      <w:r>
        <w:t xml:space="preserve">施工安装图：递交标有详细尺寸和产品安装位置的施工安装详图，图纸比例足以表达相应技术内容和满足安装要求，图纸包括（不限于）以下： </w:t>
      </w:r>
    </w:p>
    <w:p w14:paraId="4936EB57">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 xml:space="preserve">所有钢质防火门、普通钢质门产品平面图、立面图 </w:t>
      </w:r>
      <w:r>
        <w:rPr>
          <w:rFonts w:hint="eastAsia" w:ascii="黑体" w:hAnsi="黑体" w:cs="宋体"/>
          <w:kern w:val="0"/>
          <w:szCs w:val="18"/>
        </w:rPr>
        <w:t>；</w:t>
      </w:r>
    </w:p>
    <w:p w14:paraId="0AA275DA">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 xml:space="preserve">所有产品技术接点图，厂商推荐五金资料 </w:t>
      </w:r>
      <w:r>
        <w:rPr>
          <w:rFonts w:hint="eastAsia" w:ascii="黑体" w:hAnsi="黑体" w:cs="宋体"/>
          <w:kern w:val="0"/>
          <w:szCs w:val="18"/>
        </w:rPr>
        <w:t>；</w:t>
      </w:r>
    </w:p>
    <w:p w14:paraId="1D8361DD">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 xml:space="preserve">产品的数据资料及建议的工作计划资料 </w:t>
      </w:r>
      <w:r>
        <w:rPr>
          <w:rFonts w:hint="eastAsia" w:ascii="黑体" w:hAnsi="黑体" w:cs="宋体"/>
          <w:kern w:val="0"/>
          <w:szCs w:val="18"/>
        </w:rPr>
        <w:t>；</w:t>
      </w:r>
    </w:p>
    <w:p w14:paraId="53C393F7">
      <w:pPr>
        <w:pStyle w:val="111"/>
        <w:ind w:left="1275"/>
        <w:jc w:val="left"/>
      </w:pPr>
      <w:r>
        <w:t xml:space="preserve">产品样品：递交以下样品： </w:t>
      </w:r>
    </w:p>
    <w:p w14:paraId="64AF4260">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钢质防火门样品</w:t>
      </w:r>
      <w:r>
        <w:rPr>
          <w:rFonts w:hint="eastAsia" w:ascii="黑体" w:hAnsi="黑体" w:cs="宋体"/>
          <w:kern w:val="0"/>
          <w:szCs w:val="18"/>
        </w:rPr>
        <w:t>；</w:t>
      </w:r>
    </w:p>
    <w:p w14:paraId="272FEFD2">
      <w:pPr>
        <w:autoSpaceDE w:val="0"/>
        <w:autoSpaceDN w:val="0"/>
        <w:adjustRightInd w:val="0"/>
        <w:spacing w:line="360" w:lineRule="auto"/>
        <w:ind w:left="851"/>
        <w:jc w:val="left"/>
        <w:rPr>
          <w:rFonts w:ascii="黑体" w:hAnsi="黑体" w:cs="宋体"/>
          <w:kern w:val="0"/>
          <w:szCs w:val="18"/>
        </w:rPr>
      </w:pPr>
      <w:r>
        <w:rPr>
          <w:rFonts w:ascii="黑体" w:hAnsi="黑体" w:cs="宋体"/>
          <w:kern w:val="0"/>
          <w:szCs w:val="18"/>
        </w:rPr>
        <w:t>经国家消防检测机构检测合格的定型配套五金配件</w:t>
      </w:r>
      <w:r>
        <w:rPr>
          <w:rFonts w:hint="eastAsia" w:ascii="黑体" w:hAnsi="黑体" w:cs="宋体"/>
          <w:kern w:val="0"/>
          <w:szCs w:val="18"/>
        </w:rPr>
        <w:t>；</w:t>
      </w:r>
      <w:r>
        <w:rPr>
          <w:rFonts w:ascii="黑体" w:hAnsi="黑体" w:cs="宋体"/>
          <w:kern w:val="0"/>
          <w:szCs w:val="18"/>
        </w:rPr>
        <w:t xml:space="preserve"> </w:t>
      </w:r>
    </w:p>
    <w:p w14:paraId="75D81B2D">
      <w:pPr>
        <w:autoSpaceDE w:val="0"/>
        <w:autoSpaceDN w:val="0"/>
        <w:adjustRightInd w:val="0"/>
        <w:spacing w:line="360" w:lineRule="auto"/>
        <w:ind w:left="851"/>
        <w:jc w:val="left"/>
        <w:rPr>
          <w:rFonts w:ascii="黑体" w:hAnsi="黑体" w:cs="宋体"/>
          <w:kern w:val="0"/>
          <w:szCs w:val="18"/>
        </w:rPr>
      </w:pPr>
      <w:r>
        <w:rPr>
          <w:rFonts w:hint="eastAsia" w:ascii="黑体" w:hAnsi="黑体" w:cs="宋体"/>
          <w:kern w:val="0"/>
          <w:szCs w:val="18"/>
        </w:rPr>
        <w:t>对应防火门</w:t>
      </w:r>
      <w:r>
        <w:rPr>
          <w:rFonts w:hint="eastAsia" w:ascii="黑体" w:hAnsi="黑体" w:cs="宋体"/>
          <w:szCs w:val="18"/>
        </w:rPr>
        <w:t>型式认证报告</w:t>
      </w:r>
    </w:p>
    <w:p w14:paraId="1D0DC4E4">
      <w:pPr>
        <w:pStyle w:val="97"/>
      </w:pPr>
      <w:r>
        <w:rPr>
          <w:rFonts w:hint="eastAsia"/>
        </w:rPr>
        <w:t>现场抽检</w:t>
      </w:r>
    </w:p>
    <w:p w14:paraId="2CCC884C">
      <w:pPr>
        <w:pStyle w:val="111"/>
        <w:ind w:left="1275"/>
        <w:jc w:val="left"/>
      </w:pPr>
      <w:r>
        <w:rPr>
          <w:rFonts w:hint="eastAsia" w:cs="宋体"/>
        </w:rPr>
        <w:t>按国家及</w:t>
      </w:r>
      <w:r>
        <w:rPr>
          <w:rFonts w:hint="eastAsia"/>
        </w:rPr>
        <w:t>地方政府要求对本工程防火门进行耐火性能试验和不燃材料试验，满足消防验收。另外应由业主/监理工程师在送达现场准备安装的防火门进行抽查，抽查按甲、乙、丙三种防火等级进行，每200扇抽查1扇。所抽查的防火门应检查外观、主要材料细部尺寸，以及防火材料在门扇内的填充情况，所需费用由承包方承担。当单个项目合同供货不足200扇时，拉通其他项目合并抽检，满足以上要求。</w:t>
      </w:r>
    </w:p>
    <w:p w14:paraId="12B8EEFD">
      <w:pPr>
        <w:pStyle w:val="97"/>
      </w:pPr>
      <w:r>
        <w:rPr>
          <w:rFonts w:hint="eastAsia"/>
        </w:rPr>
        <w:t>安装工艺标准：</w:t>
      </w:r>
    </w:p>
    <w:p w14:paraId="52F28218">
      <w:pPr>
        <w:pStyle w:val="111"/>
        <w:ind w:left="1275"/>
        <w:jc w:val="left"/>
      </w:pPr>
      <w:r>
        <w:rPr>
          <w:rFonts w:hint="eastAsia"/>
        </w:rPr>
        <w:t>结构质量经验收符合安装要求，工种之间办好交接手续。</w:t>
      </w:r>
    </w:p>
    <w:p w14:paraId="4B832A05">
      <w:pPr>
        <w:pStyle w:val="111"/>
        <w:ind w:left="1275"/>
        <w:jc w:val="left"/>
      </w:pPr>
      <w:r>
        <w:rPr>
          <w:rFonts w:hint="eastAsia"/>
        </w:rPr>
        <w:t>检查门洞口高和宽是否合适。</w:t>
      </w:r>
    </w:p>
    <w:p w14:paraId="1171DC04">
      <w:pPr>
        <w:pStyle w:val="111"/>
        <w:ind w:left="1275"/>
        <w:jc w:val="left"/>
      </w:pPr>
      <w:r>
        <w:rPr>
          <w:rFonts w:hint="eastAsia"/>
        </w:rPr>
        <w:t>对门进行检查，如因运输、堆放不当导致门窗框扇出现翘曲变形，或在框角、门蕊的焊接处有脱焊或失落的情况，应进行校正和修理。对其表面处理后进行补焊的，焊后须刷防绣漆。</w:t>
      </w:r>
    </w:p>
    <w:p w14:paraId="0A9CC01F">
      <w:pPr>
        <w:pStyle w:val="111"/>
        <w:ind w:left="1275"/>
        <w:jc w:val="left"/>
      </w:pPr>
      <w:r>
        <w:rPr>
          <w:rFonts w:hint="eastAsia"/>
        </w:rPr>
        <w:t>对于防火门组合门框，应先做组拼样板，经现场验收合格后，再进行大量组装。</w:t>
      </w:r>
    </w:p>
    <w:p w14:paraId="66C99DEE">
      <w:pPr>
        <w:pStyle w:val="111"/>
        <w:ind w:left="1275"/>
        <w:jc w:val="left"/>
      </w:pPr>
      <w:r>
        <w:rPr>
          <w:rFonts w:hint="eastAsia"/>
        </w:rPr>
        <w:t>就位：按图纸要求的型号、尺寸及门的开启方向等，将门运到安装点，并及时靠垫牢固。</w:t>
      </w:r>
    </w:p>
    <w:p w14:paraId="200F678B">
      <w:pPr>
        <w:pStyle w:val="111"/>
        <w:ind w:left="1275"/>
        <w:jc w:val="left"/>
      </w:pPr>
      <w:r>
        <w:rPr>
          <w:rFonts w:hint="eastAsia"/>
        </w:rPr>
        <w:t>安装门框：用膨胀螺丝或连接铁片或电焊，将门框牢固固定在门洞上</w:t>
      </w:r>
    </w:p>
    <w:p w14:paraId="7A30EB6D">
      <w:pPr>
        <w:pStyle w:val="111"/>
        <w:ind w:left="1275"/>
        <w:jc w:val="left"/>
      </w:pPr>
      <w:r>
        <w:rPr>
          <w:rFonts w:hint="eastAsia"/>
        </w:rPr>
        <w:t>灌浆：防火门门框安装完成后，必须在框内罐实水泥砂浆，水泥砂浆如有外溢，必须清理干净。</w:t>
      </w:r>
    </w:p>
    <w:p w14:paraId="2F3682DC">
      <w:pPr>
        <w:pStyle w:val="111"/>
        <w:ind w:left="1275"/>
        <w:jc w:val="left"/>
      </w:pPr>
      <w:r>
        <w:rPr>
          <w:rFonts w:hint="eastAsia"/>
        </w:rPr>
        <w:t>安装门扇：将配套的门扇安装在门框上，所有的铰链螺丝必须完全拧紧。</w:t>
      </w:r>
    </w:p>
    <w:p w14:paraId="45273EB2">
      <w:pPr>
        <w:pStyle w:val="111"/>
        <w:ind w:left="1275"/>
        <w:jc w:val="left"/>
      </w:pPr>
      <w:r>
        <w:rPr>
          <w:rFonts w:hint="eastAsia"/>
        </w:rPr>
        <w:t>安装五金配件：将配套的防火锁、闭门器等五金件按设计要求安装到门扇上。</w:t>
      </w:r>
    </w:p>
    <w:p w14:paraId="1BB7DE5A">
      <w:pPr>
        <w:pStyle w:val="97"/>
      </w:pPr>
      <w:r>
        <w:rPr>
          <w:rFonts w:hint="eastAsia"/>
        </w:rPr>
        <w:t>质量验收要求</w:t>
      </w:r>
    </w:p>
    <w:p w14:paraId="0344F1E0">
      <w:pPr>
        <w:pStyle w:val="111"/>
        <w:ind w:left="1275"/>
        <w:jc w:val="left"/>
      </w:pPr>
      <w:r>
        <w:rPr>
          <w:rFonts w:hint="eastAsia"/>
        </w:rPr>
        <w:t>防火门及其附件的质量必须符合设计要求和有关标准的规定。</w:t>
      </w:r>
    </w:p>
    <w:p w14:paraId="0F2C5E94">
      <w:pPr>
        <w:pStyle w:val="111"/>
        <w:ind w:left="1275"/>
        <w:jc w:val="left"/>
      </w:pPr>
      <w:r>
        <w:rPr>
          <w:rFonts w:hint="eastAsia"/>
        </w:rPr>
        <w:t>防火门安装的位置、开启方向，必须符合设计要求。</w:t>
      </w:r>
    </w:p>
    <w:p w14:paraId="644B5579">
      <w:pPr>
        <w:pStyle w:val="111"/>
        <w:ind w:left="1275"/>
        <w:jc w:val="left"/>
      </w:pPr>
      <w:r>
        <w:rPr>
          <w:rFonts w:hint="eastAsia"/>
        </w:rPr>
        <w:t>防火门安装必须牢固，门扇应关闭严密、开关灵活，无卡阻现象。</w:t>
      </w:r>
    </w:p>
    <w:p w14:paraId="1012B9F8">
      <w:pPr>
        <w:pStyle w:val="111"/>
        <w:ind w:left="1275"/>
        <w:jc w:val="left"/>
      </w:pPr>
      <w:r>
        <w:rPr>
          <w:rFonts w:hint="eastAsia"/>
        </w:rPr>
        <w:t>防火门五金配件齐全，位置正确，安装牢固、端正、启闭灵活适用。</w:t>
      </w:r>
    </w:p>
    <w:p w14:paraId="2797EA6B">
      <w:pPr>
        <w:pStyle w:val="111"/>
        <w:ind w:left="1275"/>
        <w:jc w:val="left"/>
      </w:pPr>
      <w:r>
        <w:rPr>
          <w:rFonts w:hint="eastAsia"/>
        </w:rPr>
        <w:t>防火门框与墙体的缝隙填嵌应饱满密实，表面平整、嵌填材料、方法符合设计要求。</w:t>
      </w:r>
    </w:p>
    <w:p w14:paraId="763F7BD7">
      <w:pPr>
        <w:pStyle w:val="97"/>
      </w:pPr>
      <w:r>
        <w:rPr>
          <w:rFonts w:hint="eastAsia"/>
        </w:rPr>
        <w:t>成品保护要求</w:t>
      </w:r>
    </w:p>
    <w:p w14:paraId="39AE948B">
      <w:pPr>
        <w:pStyle w:val="111"/>
        <w:ind w:left="1275"/>
        <w:jc w:val="left"/>
      </w:pPr>
      <w:r>
        <w:rPr>
          <w:rFonts w:hint="eastAsia"/>
        </w:rPr>
        <w:t>防火门运输时要轻拿轻放，并采取保护措施，避免碰撞、摔压，防止损坏变形。</w:t>
      </w:r>
    </w:p>
    <w:p w14:paraId="1C609ACA">
      <w:pPr>
        <w:pStyle w:val="111"/>
        <w:ind w:left="1275"/>
        <w:jc w:val="left"/>
      </w:pPr>
      <w:r>
        <w:rPr>
          <w:rFonts w:hint="eastAsia"/>
        </w:rPr>
        <w:t>防火门进场后，应按规格、型号分类堆放，底层应垫平、垫高，露天堆放应用塑料布遮盖好，严防乱堆乱放，防止防火门变形及生锈。</w:t>
      </w:r>
    </w:p>
    <w:p w14:paraId="7FE056A9">
      <w:pPr>
        <w:pStyle w:val="111"/>
        <w:ind w:left="1275"/>
        <w:jc w:val="left"/>
      </w:pPr>
      <w:r>
        <w:rPr>
          <w:rFonts w:hint="eastAsia"/>
        </w:rPr>
        <w:t>严禁以防火门为支点，在防火门上支承桥枋、桥架，防止变形。</w:t>
      </w:r>
    </w:p>
    <w:p w14:paraId="33668A42">
      <w:pPr>
        <w:pStyle w:val="111"/>
        <w:ind w:left="1275"/>
        <w:jc w:val="left"/>
      </w:pPr>
      <w:r>
        <w:rPr>
          <w:rFonts w:hint="eastAsia"/>
        </w:rPr>
        <w:t>拆架子时，应将开启的门窗关好，再落架子，防止撞坏防火门。</w:t>
      </w:r>
    </w:p>
    <w:p w14:paraId="60DB2688">
      <w:pPr>
        <w:pStyle w:val="111"/>
        <w:ind w:left="1275"/>
        <w:jc w:val="left"/>
      </w:pPr>
      <w:r>
        <w:rPr>
          <w:rFonts w:hint="eastAsia"/>
        </w:rPr>
        <w:t>墙体粉刷完毕后，应及时清除残留在防火门框、扇上砂浆，并清理干净。</w:t>
      </w:r>
    </w:p>
    <w:p w14:paraId="53F23907">
      <w:pPr>
        <w:pStyle w:val="97"/>
      </w:pPr>
      <w:r>
        <w:rPr>
          <w:rFonts w:hint="eastAsia"/>
        </w:rPr>
        <w:t>安全措施要求</w:t>
      </w:r>
    </w:p>
    <w:p w14:paraId="7FD981F8">
      <w:pPr>
        <w:pStyle w:val="111"/>
        <w:ind w:left="1275"/>
        <w:jc w:val="left"/>
      </w:pPr>
      <w:r>
        <w:rPr>
          <w:rFonts w:hint="eastAsia"/>
        </w:rPr>
        <w:t>操作前要检查工具是否牢固，以防掉落伤人，电动工具绝缘应可靠，先试后用。</w:t>
      </w:r>
    </w:p>
    <w:p w14:paraId="40585568">
      <w:pPr>
        <w:pStyle w:val="111"/>
        <w:ind w:left="1275"/>
        <w:jc w:val="left"/>
      </w:pPr>
      <w:r>
        <w:rPr>
          <w:rFonts w:hint="eastAsia"/>
        </w:rPr>
        <w:t>进入工地现场必须佩戴安全帽。</w:t>
      </w:r>
    </w:p>
    <w:p w14:paraId="545FD6C0">
      <w:pPr>
        <w:pStyle w:val="111"/>
        <w:numPr>
          <w:ilvl w:val="3"/>
          <w:numId w:val="0"/>
        </w:numPr>
        <w:tabs>
          <w:tab w:val="left" w:pos="1680"/>
        </w:tabs>
        <w:jc w:val="left"/>
      </w:pPr>
    </w:p>
    <w:p w14:paraId="1D1E806B">
      <w:pPr>
        <w:pStyle w:val="97"/>
      </w:pPr>
      <w:r>
        <w:rPr>
          <w:rFonts w:hint="eastAsia"/>
        </w:rPr>
        <w:t>其他</w:t>
      </w:r>
    </w:p>
    <w:p w14:paraId="652F4491">
      <w:pPr>
        <w:pStyle w:val="111"/>
        <w:ind w:left="1275"/>
        <w:jc w:val="left"/>
        <w:rPr>
          <w:rFonts w:cs="宋体"/>
        </w:rPr>
      </w:pPr>
      <w:r>
        <w:rPr>
          <w:rFonts w:hint="eastAsia" w:cs="宋体"/>
        </w:rPr>
        <w:t>防火门厂家需满足以上技术要求，现场验收以防火门型式认证报告为准。</w:t>
      </w:r>
    </w:p>
    <w:p w14:paraId="5ACA1D91">
      <w:pPr>
        <w:pStyle w:val="111"/>
        <w:ind w:left="1275"/>
        <w:jc w:val="left"/>
        <w:rPr>
          <w:rFonts w:cs="宋体"/>
        </w:rPr>
      </w:pPr>
      <w:r>
        <w:rPr>
          <w:rFonts w:hint="eastAsia" w:cs="宋体"/>
        </w:rPr>
        <w:t>满足当地行政主管部门的消防验收要求。</w:t>
      </w:r>
    </w:p>
    <w:p w14:paraId="68127AEF">
      <w:pPr>
        <w:pStyle w:val="111"/>
        <w:ind w:left="1275"/>
        <w:jc w:val="left"/>
      </w:pPr>
      <w:r>
        <w:rPr>
          <w:rFonts w:hint="eastAsia" w:cs="宋体"/>
        </w:rPr>
        <w:t>其他未尽事宜详见《防火门》</w:t>
      </w:r>
      <w:r>
        <w:rPr>
          <w:rFonts w:cs="宋体"/>
        </w:rPr>
        <w:t>GB12955</w:t>
      </w:r>
      <w:r>
        <w:rPr>
          <w:rFonts w:hint="eastAsia" w:cs="宋体"/>
        </w:rPr>
        <w:t>的规定。</w:t>
      </w:r>
    </w:p>
    <w:p w14:paraId="3A9EC326">
      <w:pPr>
        <w:spacing w:line="360" w:lineRule="auto"/>
        <w:jc w:val="left"/>
        <w:rPr>
          <w:rFonts w:ascii="黑体" w:hAnsi="黑体"/>
          <w:b/>
          <w:bCs/>
          <w:szCs w:val="18"/>
        </w:rPr>
      </w:pPr>
    </w:p>
    <w:p w14:paraId="703DC2EC">
      <w:pPr>
        <w:pStyle w:val="3"/>
        <w:ind w:left="1276"/>
        <w:jc w:val="left"/>
      </w:pPr>
      <w:bookmarkStart w:id="23" w:name="_Toc170300977"/>
      <w:bookmarkStart w:id="24" w:name="_Toc174556776"/>
      <w:r>
        <w:rPr>
          <w:rFonts w:hint="eastAsia"/>
        </w:rPr>
        <w:t>门窗五金</w:t>
      </w:r>
      <w:bookmarkEnd w:id="23"/>
      <w:bookmarkEnd w:id="24"/>
    </w:p>
    <w:p w14:paraId="24A362B6">
      <w:pPr>
        <w:pStyle w:val="97"/>
        <w:ind w:left="-1"/>
      </w:pPr>
      <w:r>
        <w:rPr>
          <w:rFonts w:hint="eastAsia"/>
        </w:rPr>
        <w:t>通用技术条件：</w:t>
      </w:r>
    </w:p>
    <w:p w14:paraId="6BCF18CF">
      <w:pPr>
        <w:pStyle w:val="111"/>
        <w:tabs>
          <w:tab w:val="left" w:pos="1680"/>
        </w:tabs>
        <w:ind w:left="1275"/>
        <w:jc w:val="left"/>
      </w:pPr>
      <w:r>
        <w:t xml:space="preserve">五金配件应是经过国家消防检测机构检测合格的定型配套产品。 </w:t>
      </w:r>
    </w:p>
    <w:p w14:paraId="2E919A6D">
      <w:pPr>
        <w:pStyle w:val="111"/>
        <w:tabs>
          <w:tab w:val="left" w:pos="1680"/>
        </w:tabs>
        <w:ind w:left="1275"/>
        <w:jc w:val="left"/>
      </w:pPr>
      <w:r>
        <w:t xml:space="preserve">所有门扇在生产时应按小五金安装要求准备妥当预留孔以便安装五金件，更应按小五金件生产商之要求加上适合尺寸及厚度之加固镀锌钢片。 </w:t>
      </w:r>
    </w:p>
    <w:p w14:paraId="601CF0C1">
      <w:pPr>
        <w:pStyle w:val="111"/>
        <w:tabs>
          <w:tab w:val="left" w:pos="1680"/>
        </w:tabs>
        <w:ind w:left="1275"/>
        <w:jc w:val="left"/>
      </w:pPr>
      <w:r>
        <w:t xml:space="preserve">五金件耐火极限应不低于防火门本身的耐火极限。 </w:t>
      </w:r>
    </w:p>
    <w:p w14:paraId="0AF02FDA">
      <w:pPr>
        <w:pStyle w:val="111"/>
        <w:tabs>
          <w:tab w:val="left" w:pos="1680"/>
        </w:tabs>
        <w:ind w:left="1275"/>
        <w:jc w:val="left"/>
      </w:pPr>
      <w:r>
        <w:t xml:space="preserve">防火门连五金件应视为一整体，需得到有关消防公安部门认可及确认其耐火极限能达到设计极限。 </w:t>
      </w:r>
    </w:p>
    <w:p w14:paraId="322B4E60">
      <w:pPr>
        <w:pStyle w:val="111"/>
        <w:tabs>
          <w:tab w:val="left" w:pos="1680"/>
        </w:tabs>
        <w:ind w:left="1275"/>
        <w:jc w:val="left"/>
      </w:pPr>
      <w:r>
        <w:t xml:space="preserve">安装在防火门的合页，不得使用双向弹簧，单扇门应设闭门器。 </w:t>
      </w:r>
    </w:p>
    <w:p w14:paraId="3250D00E">
      <w:pPr>
        <w:pStyle w:val="111"/>
        <w:tabs>
          <w:tab w:val="left" w:pos="1680"/>
        </w:tabs>
        <w:ind w:left="1275"/>
        <w:jc w:val="left"/>
      </w:pPr>
      <w:r>
        <w:t xml:space="preserve">双扇门间必须带有盖缝板，并装设闭门器和顺位器等。 </w:t>
      </w:r>
    </w:p>
    <w:p w14:paraId="358694BD">
      <w:pPr>
        <w:pStyle w:val="111"/>
        <w:tabs>
          <w:tab w:val="left" w:pos="1680"/>
        </w:tabs>
        <w:ind w:left="1275"/>
        <w:jc w:val="left"/>
      </w:pPr>
      <w:r>
        <w:t>门框应设密封槽，槽内应嵌装由不燃性材料制成的密封条。</w:t>
      </w:r>
    </w:p>
    <w:p w14:paraId="59EF122E">
      <w:pPr>
        <w:pStyle w:val="111"/>
        <w:tabs>
          <w:tab w:val="left" w:pos="1680"/>
        </w:tabs>
        <w:ind w:left="1275"/>
        <w:jc w:val="left"/>
      </w:pPr>
      <w:r>
        <w:rPr>
          <w:rFonts w:hint="eastAsia"/>
        </w:rPr>
        <w:t>门用铰链须满足门及有关五金件的最小开启角度要求；门扇高2200MM以内，每扇门设置三个铰链；超过2200MM，每765MM，设置一个铰链；单扇门铰链配置个数需满足国标标准且≥3个；</w:t>
      </w:r>
    </w:p>
    <w:p w14:paraId="6839FCEF">
      <w:pPr>
        <w:pStyle w:val="111"/>
        <w:tabs>
          <w:tab w:val="left" w:pos="1680"/>
        </w:tabs>
        <w:ind w:left="1275"/>
        <w:jc w:val="left"/>
      </w:pPr>
      <w:r>
        <w:t xml:space="preserve"> 在闭门状态下，门扇与门框贴合，其搭接量不小于12mm，门扇与门框间的两侧缝隙不大于3mm，上缝隙不大于3mm，双扇门中缝</w:t>
      </w:r>
      <w:r>
        <w:rPr>
          <w:rFonts w:hint="eastAsia"/>
        </w:rPr>
        <w:t>间</w:t>
      </w:r>
      <w:r>
        <w:t xml:space="preserve">隙不大于3mm。 </w:t>
      </w:r>
    </w:p>
    <w:p w14:paraId="10612A50">
      <w:pPr>
        <w:pStyle w:val="111"/>
        <w:tabs>
          <w:tab w:val="left" w:pos="1680"/>
        </w:tabs>
        <w:ind w:left="1275"/>
        <w:jc w:val="left"/>
      </w:pPr>
      <w:r>
        <w:t xml:space="preserve"> 检验规则和试验方法按《防火门》GB12955的规定。 </w:t>
      </w:r>
    </w:p>
    <w:p w14:paraId="5255AFB2">
      <w:pPr>
        <w:pStyle w:val="111"/>
        <w:tabs>
          <w:tab w:val="left" w:pos="1680"/>
        </w:tabs>
        <w:ind w:left="1275"/>
        <w:jc w:val="left"/>
      </w:pPr>
      <w:r>
        <w:rPr>
          <w:rFonts w:hint="eastAsia"/>
        </w:rPr>
        <w:t>具体配置详门窗五金配置表。</w:t>
      </w:r>
    </w:p>
    <w:p w14:paraId="736D24EC"/>
    <w:p w14:paraId="4026325A">
      <w:pPr>
        <w:pStyle w:val="97"/>
      </w:pPr>
      <w:r>
        <w:rPr>
          <w:rFonts w:hint="eastAsia"/>
        </w:rPr>
        <w:t>供应商的工作范围</w:t>
      </w:r>
    </w:p>
    <w:p w14:paraId="55D6CCF1">
      <w:pPr>
        <w:pStyle w:val="111"/>
        <w:tabs>
          <w:tab w:val="left" w:pos="1680"/>
        </w:tabs>
        <w:jc w:val="left"/>
      </w:pPr>
      <w:r>
        <w:rPr>
          <w:rFonts w:hint="eastAsia"/>
        </w:rPr>
        <w:t>建筑五金供货的内容包括按照提供的图纸和技术规范要求，提供所需的门用建筑五金和门用电子五金以及相关的材料报审、送检（抽检）、深化设计、以及提供五金样板和现场的实物样板等工作内容。所需的建筑五金包括但不限于：门锁、合页、紧急疏散通道推杆锁、门碰/门挡/门吸、闭门器、插销、地弹簧、门把手及其他配套的小五金、紧固件，螺钉等；防火门上配合消防要求的电磁门吸也须包括；</w:t>
      </w:r>
    </w:p>
    <w:p w14:paraId="41615F48">
      <w:pPr>
        <w:pStyle w:val="111"/>
        <w:tabs>
          <w:tab w:val="left" w:pos="1680"/>
        </w:tabs>
        <w:jc w:val="left"/>
      </w:pPr>
      <w:r>
        <w:rPr>
          <w:rFonts w:hint="eastAsia"/>
        </w:rPr>
        <w:t>是否需要采用主匙系统，须根据建筑使用部门的使用要求和后勤、物业管理部门的具体管理要求确定；如这部分要求未专门提出，则在本次供货要求中不作考虑；1.3 电气、电子和气动五金的管路和槽，防火及逃生系统的连通和联动，及有关的排线、布线，均由其他单位负责，不包括在本次供货要求中；</w:t>
      </w:r>
    </w:p>
    <w:p w14:paraId="7AEAD26F">
      <w:pPr>
        <w:pStyle w:val="97"/>
      </w:pPr>
      <w:r>
        <w:rPr>
          <w:rFonts w:hint="eastAsia"/>
        </w:rPr>
        <w:t>建筑五金适用的标准</w:t>
      </w:r>
    </w:p>
    <w:p w14:paraId="420A407B">
      <w:pPr>
        <w:pStyle w:val="111"/>
        <w:tabs>
          <w:tab w:val="left" w:pos="1680"/>
        </w:tabs>
        <w:jc w:val="left"/>
      </w:pPr>
      <w:r>
        <w:rPr>
          <w:rFonts w:hint="eastAsia"/>
        </w:rPr>
        <w:t>所提供的建筑五金产品，应满足中国国家标准(GB)要求</w:t>
      </w:r>
    </w:p>
    <w:p w14:paraId="2738671F">
      <w:pPr>
        <w:pStyle w:val="97"/>
      </w:pPr>
      <w:r>
        <w:rPr>
          <w:rFonts w:hint="eastAsia"/>
        </w:rPr>
        <w:t>五金供应商/制造商的要求和工作内容</w:t>
      </w:r>
    </w:p>
    <w:p w14:paraId="5571EA68">
      <w:pPr>
        <w:pStyle w:val="111"/>
        <w:tabs>
          <w:tab w:val="left" w:pos="1680"/>
        </w:tabs>
        <w:jc w:val="left"/>
      </w:pPr>
      <w:r>
        <w:rPr>
          <w:rFonts w:hint="eastAsia"/>
        </w:rPr>
        <w:t>被认可的建筑五金供应商应具有五年以上的为工程配套的经验。制造商应具备10年以上的制造工艺经验。</w:t>
      </w:r>
    </w:p>
    <w:p w14:paraId="11DB1620">
      <w:pPr>
        <w:pStyle w:val="111"/>
        <w:tabs>
          <w:tab w:val="left" w:pos="1680"/>
        </w:tabs>
        <w:jc w:val="left"/>
      </w:pPr>
      <w:r>
        <w:rPr>
          <w:rFonts w:hint="eastAsia"/>
        </w:rPr>
        <w:t>供应品牌须在近两年内有三个或以上外资大型项目的五金整体方案设计及供货经验，并在至少两个项目中使用过超过1000套锁具的四级以上钥匙系统。</w:t>
      </w:r>
    </w:p>
    <w:p w14:paraId="42321572">
      <w:pPr>
        <w:pStyle w:val="111"/>
        <w:tabs>
          <w:tab w:val="left" w:pos="1680"/>
        </w:tabs>
        <w:jc w:val="left"/>
      </w:pPr>
      <w:r>
        <w:rPr>
          <w:rFonts w:hint="eastAsia"/>
        </w:rPr>
        <w:t>供应商应在工程所在地具备五金方案设计、工程安装顾问、售后服务之技术力量，应以有经验的建筑五金顾问在整个工程期间为业主、设计师和承包商提供五金方面的技术咨询服务。</w:t>
      </w:r>
    </w:p>
    <w:p w14:paraId="22C312B8">
      <w:pPr>
        <w:pStyle w:val="97"/>
      </w:pPr>
      <w:r>
        <w:rPr>
          <w:rFonts w:hint="eastAsia"/>
        </w:rPr>
        <w:t>投标方案及标准的确定</w:t>
      </w:r>
    </w:p>
    <w:p w14:paraId="260A8DED">
      <w:pPr>
        <w:pStyle w:val="111"/>
        <w:tabs>
          <w:tab w:val="left" w:pos="1680"/>
        </w:tabs>
        <w:jc w:val="left"/>
      </w:pPr>
      <w:r>
        <w:rPr>
          <w:rFonts w:hint="eastAsia"/>
        </w:rPr>
        <w:t>建筑五金供应商应根据提供的图纸，按照经久耐用、美观适用、经济合理的原则，并依照第2条要求的技术规范标准及选配原则，针对不同区域的使用功能和特点选用合适的产品，对图纸中涉及使用的五金件，进行合理的设计、搭配；提交的搭配方案及适用范围应以图纸和表格的方式明确表示；</w:t>
      </w:r>
    </w:p>
    <w:p w14:paraId="2C1BA122">
      <w:pPr>
        <w:pStyle w:val="111"/>
        <w:tabs>
          <w:tab w:val="left" w:pos="1680"/>
        </w:tabs>
        <w:jc w:val="left"/>
      </w:pPr>
      <w:r>
        <w:rPr>
          <w:rFonts w:hint="eastAsia"/>
        </w:rPr>
        <w:t>针对五金供应商提交的方案，经设计师和建设方审核通过后，作为五金供应商供货报价的依据；</w:t>
      </w:r>
    </w:p>
    <w:p w14:paraId="1483CF73">
      <w:pPr>
        <w:pStyle w:val="111"/>
        <w:tabs>
          <w:tab w:val="left" w:pos="1680"/>
        </w:tabs>
        <w:jc w:val="left"/>
      </w:pPr>
      <w:r>
        <w:rPr>
          <w:rFonts w:hint="eastAsia"/>
        </w:rPr>
        <w:t>设计师和建设方对五金供应商提交方案的审核，并不免除五金供应商对须提供的五金件所应承担的质量责任；</w:t>
      </w:r>
    </w:p>
    <w:p w14:paraId="5F1CBF90">
      <w:pPr>
        <w:pStyle w:val="111"/>
        <w:tabs>
          <w:tab w:val="left" w:pos="1680"/>
        </w:tabs>
        <w:jc w:val="left"/>
      </w:pPr>
      <w:r>
        <w:rPr>
          <w:rFonts w:hint="eastAsia"/>
        </w:rPr>
        <w:t>为满足本技术规格之要求所需的所有相关费用，均应已包括在投标总价之中。中标单位在履约过程中除获业主指令变更外，不得以任何理由要求额外的费用补偿；</w:t>
      </w:r>
    </w:p>
    <w:p w14:paraId="2BBB21A9">
      <w:pPr>
        <w:pStyle w:val="97"/>
      </w:pPr>
      <w:r>
        <w:rPr>
          <w:rFonts w:hint="eastAsia"/>
        </w:rPr>
        <w:t>样品提交和报审要求</w:t>
      </w:r>
    </w:p>
    <w:p w14:paraId="430FA1BB">
      <w:pPr>
        <w:pStyle w:val="111"/>
        <w:tabs>
          <w:tab w:val="left" w:pos="1680"/>
        </w:tabs>
        <w:jc w:val="left"/>
      </w:pPr>
      <w:r>
        <w:rPr>
          <w:rFonts w:hint="eastAsia"/>
        </w:rPr>
        <w:t>提交的报审材料和图纸：针对每一扇门或每一个开口，按照设计意图配置的全套五金件的配置，并以表格和图纸的形式明确有序的展示出来，包括：五金件的型号、类型、尺寸大小、功能、数量、装饰面要求，以及五金件在楼层平面图和门表中的位置；</w:t>
      </w:r>
    </w:p>
    <w:p w14:paraId="703CE31A">
      <w:pPr>
        <w:pStyle w:val="111"/>
        <w:tabs>
          <w:tab w:val="left" w:pos="1680"/>
        </w:tabs>
        <w:jc w:val="left"/>
      </w:pPr>
      <w:r>
        <w:rPr>
          <w:rFonts w:hint="eastAsia"/>
        </w:rPr>
        <w:t>须明确标示各五金件的名称、部件编号及制造商；</w:t>
      </w:r>
    </w:p>
    <w:p w14:paraId="1378FB0A">
      <w:pPr>
        <w:pStyle w:val="111"/>
        <w:tabs>
          <w:tab w:val="left" w:pos="1680"/>
        </w:tabs>
        <w:jc w:val="left"/>
      </w:pPr>
      <w:r>
        <w:rPr>
          <w:rFonts w:hint="eastAsia"/>
        </w:rPr>
        <w:t>须明确标示各五金件的技术限制（如：闭门器的开启限制角度，地弹簧的安装限制条件），安装的位置和要求（如：闭门器是正装还是背装，门挡是地安还是墙安，等），门及门框的尺寸，材料和旋转角度；</w:t>
      </w:r>
    </w:p>
    <w:p w14:paraId="1AD7D729">
      <w:pPr>
        <w:pStyle w:val="111"/>
        <w:tabs>
          <w:tab w:val="left" w:pos="1680"/>
        </w:tabs>
        <w:jc w:val="left"/>
      </w:pPr>
      <w:r>
        <w:rPr>
          <w:rFonts w:hint="eastAsia"/>
        </w:rPr>
        <w:t>须提供产品的详细技术资料、安装使用说明、维修保养手册；品牌型号与认证证书及检测报告须一致；对于有防火要求的五金件（如：防火门锁、防火闭门器、等）须提供国家“固定灭火系统和耐火构件质量监督检验中心”的检测报告；</w:t>
      </w:r>
    </w:p>
    <w:p w14:paraId="3366B935">
      <w:pPr>
        <w:pStyle w:val="111"/>
        <w:tabs>
          <w:tab w:val="left" w:pos="1680"/>
        </w:tabs>
        <w:jc w:val="left"/>
      </w:pPr>
      <w:r>
        <w:rPr>
          <w:rFonts w:hint="eastAsia"/>
        </w:rPr>
        <w:t>按照招标文件的要求，提供要求套数的五金件样板，并在五金件清单表上明确标示相应的编号，以及拟安装的位置；</w:t>
      </w:r>
    </w:p>
    <w:p w14:paraId="7FD7995F">
      <w:pPr>
        <w:pStyle w:val="111"/>
        <w:tabs>
          <w:tab w:val="left" w:pos="1680"/>
        </w:tabs>
        <w:jc w:val="left"/>
      </w:pPr>
      <w:r>
        <w:rPr>
          <w:rFonts w:hint="eastAsia"/>
        </w:rPr>
        <w:t>建筑五金样品</w:t>
      </w:r>
    </w:p>
    <w:p w14:paraId="24E31782">
      <w:pPr>
        <w:pStyle w:val="113"/>
        <w:numPr>
          <w:ilvl w:val="4"/>
          <w:numId w:val="32"/>
        </w:numPr>
        <w:tabs>
          <w:tab w:val="left" w:pos="2100"/>
        </w:tabs>
        <w:ind w:left="851" w:hanging="425"/>
        <w:jc w:val="left"/>
      </w:pPr>
      <w:r>
        <w:rPr>
          <w:rFonts w:hint="eastAsia"/>
        </w:rPr>
        <w:t>所有建筑五金产品及其配套的小五金，在正式订货前，均须提交报装的样品，并经设计师认可后方可安排订货；</w:t>
      </w:r>
    </w:p>
    <w:p w14:paraId="72F85C34">
      <w:pPr>
        <w:pStyle w:val="113"/>
        <w:numPr>
          <w:ilvl w:val="4"/>
          <w:numId w:val="32"/>
        </w:numPr>
        <w:tabs>
          <w:tab w:val="left" w:pos="2100"/>
        </w:tabs>
        <w:ind w:left="851" w:hanging="425"/>
        <w:jc w:val="left"/>
      </w:pPr>
      <w:r>
        <w:rPr>
          <w:rFonts w:hint="eastAsia"/>
        </w:rPr>
        <w:t>样品施工要求：除按要求提供五金样品外，如果建筑师要求，还须在现场完成实物样板。该实物样板须在现场指定部位按设计要求完成图纸约定的全部内容并经建筑师审批认可后方可开始大面积施工。</w:t>
      </w:r>
    </w:p>
    <w:p w14:paraId="5EB7E4B2">
      <w:pPr>
        <w:pStyle w:val="97"/>
      </w:pPr>
      <w:r>
        <w:rPr>
          <w:rFonts w:hint="eastAsia"/>
        </w:rPr>
        <w:t>建筑五金的品质要求</w:t>
      </w:r>
    </w:p>
    <w:p w14:paraId="60DE675A">
      <w:pPr>
        <w:pStyle w:val="111"/>
        <w:tabs>
          <w:tab w:val="left" w:pos="1680"/>
        </w:tabs>
        <w:jc w:val="left"/>
      </w:pPr>
      <w:r>
        <w:rPr>
          <w:rFonts w:hint="eastAsia"/>
        </w:rPr>
        <w:t>建筑五金须采用全新的、没有瑕疵的产品；每一种建筑五金，包括：锁、逃生装置、门合页、闭门器及配套的五金件，均应由同一家制造商提供；</w:t>
      </w:r>
    </w:p>
    <w:p w14:paraId="723D5A81">
      <w:pPr>
        <w:pStyle w:val="111"/>
        <w:tabs>
          <w:tab w:val="left" w:pos="1680"/>
        </w:tabs>
        <w:jc w:val="left"/>
      </w:pPr>
      <w:r>
        <w:rPr>
          <w:rFonts w:hint="eastAsia"/>
        </w:rPr>
        <w:t>建筑五金的形式：凡涉及建筑五金的外观表现形式，如：门锁把手的样式、表面处理采用镜面或拉丝或发纹处理，均按照设计文件/标书的要求；如设计文件/标书中没有相关的约定，由供应商提交样板供设计师审批；</w:t>
      </w:r>
    </w:p>
    <w:p w14:paraId="0DF4A612">
      <w:pPr>
        <w:pStyle w:val="111"/>
        <w:tabs>
          <w:tab w:val="left" w:pos="1680"/>
        </w:tabs>
        <w:jc w:val="left"/>
      </w:pPr>
      <w:r>
        <w:rPr>
          <w:rFonts w:hint="eastAsia"/>
        </w:rPr>
        <w:t>建筑五金的材质和表面处理的技术要求：按照适用技术规范的要求；如：采用美国标准，则采用ANSI 156.18 材料及表面处理的要求；</w:t>
      </w:r>
    </w:p>
    <w:p w14:paraId="4302373A">
      <w:pPr>
        <w:pStyle w:val="97"/>
      </w:pPr>
      <w:r>
        <w:rPr>
          <w:rFonts w:hint="eastAsia"/>
        </w:rPr>
        <w:t>建筑五金的运输、存储和交付</w:t>
      </w:r>
    </w:p>
    <w:p w14:paraId="7F663035">
      <w:pPr>
        <w:pStyle w:val="111"/>
        <w:numPr>
          <w:ilvl w:val="3"/>
          <w:numId w:val="32"/>
        </w:numPr>
        <w:tabs>
          <w:tab w:val="left" w:pos="1680"/>
        </w:tabs>
        <w:ind w:left="1984"/>
      </w:pPr>
      <w:r>
        <w:rPr>
          <w:rFonts w:hint="eastAsia"/>
        </w:rPr>
        <w:t>建筑五金出货前，应独立包装，并包含相应的螺丝等零配件；包装上须明确标识装箱内容，以及在五金配置表中的安装位置，及相应的编号；</w:t>
      </w:r>
    </w:p>
    <w:p w14:paraId="2CD932B4">
      <w:pPr>
        <w:pStyle w:val="111"/>
        <w:numPr>
          <w:ilvl w:val="3"/>
          <w:numId w:val="32"/>
        </w:numPr>
        <w:tabs>
          <w:tab w:val="left" w:pos="1680"/>
        </w:tabs>
        <w:ind w:left="1984"/>
      </w:pPr>
      <w:r>
        <w:rPr>
          <w:rFonts w:hint="eastAsia"/>
        </w:rPr>
        <w:t>由五金供应商负责产品的包装，并按通知的数量运输至指定的交货地点；</w:t>
      </w:r>
    </w:p>
    <w:p w14:paraId="23305D0D">
      <w:pPr>
        <w:pStyle w:val="111"/>
        <w:numPr>
          <w:ilvl w:val="3"/>
          <w:numId w:val="32"/>
        </w:numPr>
        <w:tabs>
          <w:tab w:val="left" w:pos="1680"/>
        </w:tabs>
        <w:ind w:left="1984"/>
      </w:pPr>
      <w:r>
        <w:rPr>
          <w:rFonts w:hint="eastAsia"/>
        </w:rPr>
        <w:t>五金件须存储在安全场所，防止受潮湿、酸碱腐蚀、雨水侵蚀等损害；</w:t>
      </w:r>
    </w:p>
    <w:p w14:paraId="14EE3039">
      <w:pPr>
        <w:pStyle w:val="97"/>
      </w:pPr>
      <w:r>
        <w:rPr>
          <w:rFonts w:hint="eastAsia"/>
        </w:rPr>
        <w:t>建筑五金备品备件的补充</w:t>
      </w:r>
    </w:p>
    <w:p w14:paraId="0D321AD8">
      <w:pPr>
        <w:pStyle w:val="96"/>
        <w:ind w:left="846" w:firstLine="0"/>
        <w:rPr>
          <w:b w:val="0"/>
          <w:sz w:val="18"/>
        </w:rPr>
      </w:pPr>
      <w:r>
        <w:rPr>
          <w:rFonts w:hint="eastAsia"/>
          <w:b w:val="0"/>
          <w:sz w:val="18"/>
        </w:rPr>
        <w:t>为保证货物的及时供应以及备品备件的随时补充，供应商必须在国内拥有生产基地和服务机构，所须货物应能在50天内提供。备件供货时间不超过两周。</w:t>
      </w:r>
    </w:p>
    <w:p w14:paraId="3AAC5876">
      <w:pPr>
        <w:pStyle w:val="97"/>
      </w:pPr>
      <w:r>
        <w:rPr>
          <w:rFonts w:hint="eastAsia"/>
        </w:rPr>
        <w:t>建筑五金的运输、存储和交付</w:t>
      </w:r>
    </w:p>
    <w:p w14:paraId="581C42D9">
      <w:pPr>
        <w:pStyle w:val="111"/>
        <w:tabs>
          <w:tab w:val="left" w:pos="1680"/>
        </w:tabs>
        <w:jc w:val="left"/>
      </w:pPr>
      <w:r>
        <w:rPr>
          <w:rFonts w:hint="eastAsia"/>
        </w:rPr>
        <w:t>建筑五金出货前，应独立包装，并包含相应的螺丝等零配件；包装上须明确标识装箱内容，以及在五金配置表中的安装位置，及相应的编号；</w:t>
      </w:r>
    </w:p>
    <w:p w14:paraId="01048D42">
      <w:pPr>
        <w:pStyle w:val="111"/>
        <w:tabs>
          <w:tab w:val="left" w:pos="1680"/>
        </w:tabs>
        <w:jc w:val="left"/>
      </w:pPr>
      <w:r>
        <w:rPr>
          <w:rFonts w:hint="eastAsia"/>
        </w:rPr>
        <w:t>由五金供应商负责产品的包装，并按通知的数量运输至指定的交货地点；</w:t>
      </w:r>
    </w:p>
    <w:p w14:paraId="5C9720F5">
      <w:pPr>
        <w:pStyle w:val="111"/>
        <w:tabs>
          <w:tab w:val="left" w:pos="1680"/>
        </w:tabs>
        <w:jc w:val="left"/>
      </w:pPr>
      <w:r>
        <w:rPr>
          <w:rFonts w:hint="eastAsia"/>
        </w:rPr>
        <w:t>五金件须存储在安全场所，防止受潮湿、酸碱腐蚀、雨水侵蚀等损害；</w:t>
      </w:r>
    </w:p>
    <w:p w14:paraId="0B763849">
      <w:pPr>
        <w:pStyle w:val="97"/>
      </w:pPr>
      <w:r>
        <w:rPr>
          <w:rFonts w:hint="eastAsia"/>
        </w:rPr>
        <w:t>建筑五金备品备件的补充</w:t>
      </w:r>
    </w:p>
    <w:p w14:paraId="4FBC9144">
      <w:pPr>
        <w:pStyle w:val="96"/>
        <w:ind w:left="846" w:firstLine="0"/>
        <w:jc w:val="left"/>
        <w:rPr>
          <w:b w:val="0"/>
          <w:sz w:val="18"/>
        </w:rPr>
      </w:pPr>
      <w:r>
        <w:rPr>
          <w:rFonts w:hint="eastAsia"/>
          <w:b w:val="0"/>
          <w:sz w:val="18"/>
        </w:rPr>
        <w:t>为保证货物的及时供应以及备品备件的随时补充，供应商必须在国内拥有生产基地和服务机构，所须货物应能在50天内提供。备件供货时间不超过两周。</w:t>
      </w:r>
    </w:p>
    <w:p w14:paraId="50D182FD">
      <w:pPr>
        <w:pStyle w:val="97"/>
      </w:pPr>
      <w:r>
        <w:rPr>
          <w:rFonts w:hint="eastAsia"/>
        </w:rPr>
        <w:t>建筑五金的质量保证期</w:t>
      </w:r>
    </w:p>
    <w:p w14:paraId="57B9F397">
      <w:pPr>
        <w:pStyle w:val="111"/>
        <w:tabs>
          <w:tab w:val="left" w:pos="1680"/>
        </w:tabs>
        <w:jc w:val="left"/>
      </w:pPr>
      <w:r>
        <w:rPr>
          <w:rFonts w:hint="eastAsia"/>
        </w:rPr>
        <w:t>建筑五金的供应商须提供产品的质量保证书；</w:t>
      </w:r>
    </w:p>
    <w:p w14:paraId="082CF11C">
      <w:pPr>
        <w:pStyle w:val="111"/>
        <w:tabs>
          <w:tab w:val="left" w:pos="1680"/>
        </w:tabs>
        <w:jc w:val="left"/>
      </w:pPr>
      <w:r>
        <w:rPr>
          <w:rFonts w:hint="eastAsia"/>
        </w:rPr>
        <w:t>建筑五金的保修年限：</w:t>
      </w:r>
    </w:p>
    <w:p w14:paraId="34BDEB3D">
      <w:pPr>
        <w:pStyle w:val="113"/>
        <w:numPr>
          <w:ilvl w:val="4"/>
          <w:numId w:val="32"/>
        </w:numPr>
        <w:tabs>
          <w:tab w:val="left" w:pos="2100"/>
        </w:tabs>
        <w:ind w:left="851" w:hanging="425"/>
        <w:jc w:val="left"/>
      </w:pPr>
      <w:r>
        <w:rPr>
          <w:rFonts w:hint="eastAsia"/>
        </w:rPr>
        <w:t>锁具：三年质量保质期；</w:t>
      </w:r>
    </w:p>
    <w:p w14:paraId="7E453453">
      <w:pPr>
        <w:pStyle w:val="113"/>
        <w:numPr>
          <w:ilvl w:val="4"/>
          <w:numId w:val="32"/>
        </w:numPr>
        <w:tabs>
          <w:tab w:val="left" w:pos="2100"/>
        </w:tabs>
        <w:ind w:left="851" w:hanging="425"/>
        <w:jc w:val="left"/>
      </w:pPr>
      <w:r>
        <w:rPr>
          <w:rFonts w:hint="eastAsia"/>
        </w:rPr>
        <w:t>闭门器：机械部分：十年质量保质期；电子部分：二年质量保证期；</w:t>
      </w:r>
    </w:p>
    <w:p w14:paraId="75AC34F0">
      <w:pPr>
        <w:pStyle w:val="113"/>
        <w:numPr>
          <w:ilvl w:val="4"/>
          <w:numId w:val="32"/>
        </w:numPr>
        <w:tabs>
          <w:tab w:val="left" w:pos="2100"/>
        </w:tabs>
        <w:ind w:left="851" w:hanging="425"/>
        <w:jc w:val="left"/>
      </w:pPr>
      <w:r>
        <w:rPr>
          <w:rFonts w:hint="eastAsia"/>
        </w:rPr>
        <w:t>逃生装置：三年质量保证期；</w:t>
      </w:r>
    </w:p>
    <w:p w14:paraId="623B4CA2">
      <w:pPr>
        <w:pStyle w:val="113"/>
        <w:numPr>
          <w:ilvl w:val="4"/>
          <w:numId w:val="32"/>
        </w:numPr>
        <w:tabs>
          <w:tab w:val="left" w:pos="2100"/>
        </w:tabs>
        <w:ind w:left="851" w:hanging="425"/>
        <w:jc w:val="left"/>
      </w:pPr>
      <w:r>
        <w:rPr>
          <w:rFonts w:hint="eastAsia"/>
        </w:rPr>
        <w:t>其他零星五金：二年质量保证期；</w:t>
      </w:r>
    </w:p>
    <w:p w14:paraId="3E20F055">
      <w:pPr>
        <w:pStyle w:val="97"/>
      </w:pPr>
      <w:r>
        <w:rPr>
          <w:rFonts w:hint="eastAsia"/>
        </w:rPr>
        <w:t>建筑五金的施工配合</w:t>
      </w:r>
    </w:p>
    <w:p w14:paraId="0D52F14D">
      <w:pPr>
        <w:pStyle w:val="111"/>
        <w:tabs>
          <w:tab w:val="left" w:pos="1680"/>
        </w:tabs>
        <w:jc w:val="left"/>
      </w:pPr>
      <w:r>
        <w:rPr>
          <w:rFonts w:hint="eastAsia"/>
        </w:rPr>
        <w:t>建筑五金的供货，已包括与其档次相配的小五金；</w:t>
      </w:r>
    </w:p>
    <w:p w14:paraId="6C97217D">
      <w:pPr>
        <w:pStyle w:val="111"/>
        <w:tabs>
          <w:tab w:val="left" w:pos="1680"/>
        </w:tabs>
        <w:jc w:val="left"/>
      </w:pPr>
      <w:r>
        <w:rPr>
          <w:rFonts w:hint="eastAsia"/>
        </w:rPr>
        <w:t>在安装门五金过程中，为使门的位置调整到最佳，须考虑提供必要的垫片等必要的辅助、零星材料；</w:t>
      </w:r>
    </w:p>
    <w:p w14:paraId="5309267B">
      <w:pPr>
        <w:pStyle w:val="111"/>
        <w:tabs>
          <w:tab w:val="left" w:pos="1680"/>
        </w:tabs>
        <w:jc w:val="left"/>
      </w:pPr>
      <w:r>
        <w:rPr>
          <w:rFonts w:hint="eastAsia"/>
        </w:rPr>
        <w:t>为配合特定的门或墙体状况或其周边环境，须设置或配备的小五金、小支架或其他零配件，均须考虑在内；</w:t>
      </w:r>
    </w:p>
    <w:p w14:paraId="1E9AF618">
      <w:pPr>
        <w:pStyle w:val="111"/>
        <w:tabs>
          <w:tab w:val="left" w:pos="1680"/>
        </w:tabs>
        <w:jc w:val="left"/>
      </w:pPr>
      <w:r>
        <w:rPr>
          <w:rFonts w:hint="eastAsia"/>
        </w:rPr>
        <w:t>需要进行联动测试时，五金供应商须提供要求的配合；</w:t>
      </w:r>
    </w:p>
    <w:p w14:paraId="092DF38F">
      <w:pPr>
        <w:pStyle w:val="111"/>
        <w:tabs>
          <w:tab w:val="left" w:pos="1680"/>
        </w:tabs>
        <w:jc w:val="left"/>
      </w:pPr>
      <w:r>
        <w:rPr>
          <w:rFonts w:hint="eastAsia"/>
        </w:rPr>
        <w:t>供应商须协助安装单位的工作内容，包括但不限于：协助复核有关的开孔、定位尺寸，检查安装前的准备工作，现场全程指导、配合五金安装，并在安装完成后检查是否安装正确，满足供应商产品的技术要求；</w:t>
      </w:r>
    </w:p>
    <w:p w14:paraId="42DDEF02">
      <w:pPr>
        <w:pStyle w:val="97"/>
      </w:pPr>
      <w:r>
        <w:rPr>
          <w:rFonts w:hint="eastAsia"/>
        </w:rPr>
        <w:t>建筑五金的检查验收</w:t>
      </w:r>
    </w:p>
    <w:p w14:paraId="37052927">
      <w:pPr>
        <w:pStyle w:val="96"/>
        <w:ind w:left="846" w:firstLine="0"/>
        <w:jc w:val="left"/>
        <w:rPr>
          <w:b w:val="0"/>
          <w:sz w:val="18"/>
        </w:rPr>
      </w:pPr>
      <w:r>
        <w:rPr>
          <w:rFonts w:hint="eastAsia"/>
          <w:b w:val="0"/>
          <w:sz w:val="18"/>
        </w:rPr>
        <w:t>建筑五金的检查验收，以设计师满意为基本原则；但不免除供应商按照建筑工程材料供应的有关管理规定，应承担的相关责任和义务，包括但不限于：材料进场申报，提交出厂合格证及相关的检验报告，监理的检查、验收，等；</w:t>
      </w:r>
    </w:p>
    <w:p w14:paraId="51F85C8E">
      <w:pPr>
        <w:pStyle w:val="97"/>
      </w:pPr>
      <w:r>
        <w:rPr>
          <w:rFonts w:hint="eastAsia"/>
        </w:rPr>
        <w:t>建筑五金的维修保养</w:t>
      </w:r>
    </w:p>
    <w:p w14:paraId="5AE3A3E8">
      <w:pPr>
        <w:pStyle w:val="111"/>
        <w:tabs>
          <w:tab w:val="left" w:pos="1680"/>
        </w:tabs>
        <w:jc w:val="left"/>
      </w:pPr>
      <w:r>
        <w:rPr>
          <w:rFonts w:hint="eastAsia"/>
        </w:rPr>
        <w:t>供应商须提供要求套数的使用保养说明书，明确后期使用过程中维修保养的要求以及使用注意事项；按合同要求提供足够的备品、备件及零星辅助材料，同时提供此类材料采购的联系人及联系方式；</w:t>
      </w:r>
    </w:p>
    <w:p w14:paraId="77F74A6D">
      <w:pPr>
        <w:pStyle w:val="111"/>
        <w:tabs>
          <w:tab w:val="left" w:pos="1680"/>
        </w:tabs>
        <w:jc w:val="left"/>
      </w:pPr>
      <w:r>
        <w:rPr>
          <w:rFonts w:hint="eastAsia"/>
        </w:rPr>
        <w:t>如有定期保养、上油的要求，须在维修保养说明书中明确；对清洁剂的性能要求也应明示；</w:t>
      </w:r>
    </w:p>
    <w:p w14:paraId="3BA271A9">
      <w:pPr>
        <w:pStyle w:val="111"/>
        <w:tabs>
          <w:tab w:val="left" w:pos="1680"/>
        </w:tabs>
        <w:jc w:val="left"/>
      </w:pPr>
      <w:r>
        <w:rPr>
          <w:rFonts w:hint="eastAsia"/>
        </w:rPr>
        <w:t>供应商须提供配钥匙的便利</w:t>
      </w:r>
    </w:p>
    <w:p w14:paraId="1F08FCFA">
      <w:pPr>
        <w:pStyle w:val="49"/>
        <w:spacing w:line="360" w:lineRule="auto"/>
        <w:ind w:firstLine="0" w:firstLineChars="0"/>
        <w:jc w:val="left"/>
        <w:rPr>
          <w:rFonts w:ascii="黑体" w:hAnsi="黑体"/>
          <w:szCs w:val="18"/>
        </w:rPr>
      </w:pPr>
    </w:p>
    <w:p w14:paraId="2025292C">
      <w:pPr>
        <w:autoSpaceDE w:val="0"/>
        <w:autoSpaceDN w:val="0"/>
        <w:adjustRightInd w:val="0"/>
        <w:spacing w:line="360" w:lineRule="auto"/>
        <w:ind w:left="420"/>
        <w:jc w:val="left"/>
        <w:rPr>
          <w:rFonts w:ascii="黑体" w:hAnsi="黑体" w:cs="宋体"/>
          <w:kern w:val="0"/>
          <w:szCs w:val="18"/>
        </w:rPr>
      </w:pPr>
    </w:p>
    <w:p w14:paraId="5099BBC7">
      <w:pPr>
        <w:autoSpaceDE w:val="0"/>
        <w:autoSpaceDN w:val="0"/>
        <w:adjustRightInd w:val="0"/>
        <w:spacing w:line="360" w:lineRule="auto"/>
        <w:ind w:left="420"/>
        <w:jc w:val="left"/>
        <w:rPr>
          <w:rFonts w:ascii="黑体" w:hAnsi="黑体" w:cs="宋体"/>
          <w:kern w:val="0"/>
          <w:szCs w:val="18"/>
        </w:rPr>
      </w:pPr>
    </w:p>
    <w:p w14:paraId="106F4629">
      <w:pPr>
        <w:widowControl/>
        <w:jc w:val="left"/>
        <w:rPr>
          <w:rFonts w:ascii="黑体" w:hAnsi="黑体"/>
          <w:b/>
          <w:kern w:val="0"/>
          <w:szCs w:val="18"/>
        </w:rPr>
      </w:pPr>
      <w:bookmarkStart w:id="25" w:name="_Toc167271866"/>
      <w:r>
        <w:rPr>
          <w:rFonts w:ascii="黑体" w:hAnsi="黑体"/>
          <w:szCs w:val="18"/>
        </w:rPr>
        <w:br w:type="page"/>
      </w:r>
    </w:p>
    <w:p w14:paraId="0A91B786">
      <w:pPr>
        <w:pStyle w:val="2"/>
        <w:ind w:left="365" w:hanging="365"/>
        <w:rPr>
          <w:sz w:val="21"/>
        </w:rPr>
      </w:pPr>
      <w:bookmarkStart w:id="26" w:name="_Toc174556777"/>
      <w:r>
        <w:rPr>
          <w:rFonts w:hint="eastAsia"/>
          <w:sz w:val="21"/>
        </w:rPr>
        <w:t>卷帘门</w:t>
      </w:r>
      <w:bookmarkEnd w:id="25"/>
      <w:bookmarkEnd w:id="26"/>
    </w:p>
    <w:p w14:paraId="2D2B9B5F">
      <w:pPr>
        <w:pStyle w:val="3"/>
        <w:jc w:val="left"/>
      </w:pPr>
      <w:bookmarkStart w:id="27" w:name="_Toc167271867"/>
      <w:bookmarkStart w:id="28" w:name="_Toc174556778"/>
      <w:r>
        <w:rPr>
          <w:rFonts w:hint="eastAsia"/>
        </w:rPr>
        <w:t>概述</w:t>
      </w:r>
      <w:bookmarkEnd w:id="27"/>
      <w:bookmarkEnd w:id="28"/>
    </w:p>
    <w:p w14:paraId="135074AB">
      <w:pPr>
        <w:pStyle w:val="97"/>
        <w:rPr>
          <w:b/>
        </w:rPr>
      </w:pPr>
      <w:r>
        <w:rPr>
          <w:rFonts w:hint="eastAsia"/>
          <w:b/>
        </w:rPr>
        <w:t>总体要求</w:t>
      </w:r>
    </w:p>
    <w:p w14:paraId="730BC807">
      <w:pPr>
        <w:pStyle w:val="111"/>
        <w:numPr>
          <w:ilvl w:val="3"/>
          <w:numId w:val="1"/>
        </w:numPr>
        <w:tabs>
          <w:tab w:val="left" w:pos="1680"/>
        </w:tabs>
        <w:jc w:val="left"/>
      </w:pPr>
      <w:r>
        <w:rPr>
          <w:rFonts w:hint="eastAsia"/>
        </w:rPr>
        <w:t>门窗类别、数量、洞口尺寸、立面形式、材料组成及开启方式的选用，见门窗表、门窗详图。</w:t>
      </w:r>
    </w:p>
    <w:p w14:paraId="568E663F">
      <w:pPr>
        <w:pStyle w:val="111"/>
        <w:numPr>
          <w:ilvl w:val="3"/>
          <w:numId w:val="1"/>
        </w:numPr>
        <w:tabs>
          <w:tab w:val="left" w:pos="1680"/>
        </w:tabs>
        <w:jc w:val="left"/>
      </w:pPr>
      <w:r>
        <w:rPr>
          <w:rFonts w:hint="eastAsia"/>
        </w:rPr>
        <w:t xml:space="preserve">立樘位置：外门窗立樘位置见墙身节点图；非精装修区域的内门窗立樘位置除注明外，双向平开门立樘居墙中，单向平开门立樘与开启方向墙面平，内窗立樘居墙中；精装修与非精装修交界处所有平开门，立樘均与精装修区域一侧墙面平。 </w:t>
      </w:r>
    </w:p>
    <w:p w14:paraId="200610AC">
      <w:pPr>
        <w:pStyle w:val="111"/>
        <w:numPr>
          <w:ilvl w:val="3"/>
          <w:numId w:val="1"/>
        </w:numPr>
        <w:tabs>
          <w:tab w:val="left" w:pos="1680"/>
        </w:tabs>
        <w:jc w:val="left"/>
      </w:pPr>
      <w:r>
        <w:rPr>
          <w:rFonts w:hint="eastAsia"/>
        </w:rPr>
        <w:t>门窗加工尺寸：</w:t>
      </w:r>
    </w:p>
    <w:p w14:paraId="20E54930">
      <w:pPr>
        <w:spacing w:line="360" w:lineRule="auto"/>
        <w:ind w:left="851"/>
        <w:jc w:val="left"/>
        <w:rPr>
          <w:rFonts w:ascii="黑体" w:hAnsi="黑体"/>
          <w:szCs w:val="18"/>
        </w:rPr>
      </w:pPr>
      <w:r>
        <w:rPr>
          <w:rFonts w:hint="eastAsia" w:ascii="黑体" w:hAnsi="黑体"/>
          <w:szCs w:val="18"/>
        </w:rPr>
        <w:t>要按门窗洞口尺寸（施工应以实际测量为准）减去相关外饰面的厚度。</w:t>
      </w:r>
    </w:p>
    <w:p w14:paraId="6689CA66">
      <w:pPr>
        <w:pStyle w:val="111"/>
        <w:numPr>
          <w:ilvl w:val="3"/>
          <w:numId w:val="1"/>
        </w:numPr>
        <w:tabs>
          <w:tab w:val="left" w:pos="1680"/>
        </w:tabs>
        <w:jc w:val="left"/>
      </w:pPr>
      <w:r>
        <w:rPr>
          <w:rFonts w:hint="eastAsia"/>
        </w:rPr>
        <w:t>外墙金属门窗边框应与结构钢筋通过金属连接，以确保防雷接地。</w:t>
      </w:r>
    </w:p>
    <w:p w14:paraId="68A762A7">
      <w:pPr>
        <w:pStyle w:val="111"/>
        <w:numPr>
          <w:ilvl w:val="3"/>
          <w:numId w:val="1"/>
        </w:numPr>
        <w:tabs>
          <w:tab w:val="left" w:pos="1680"/>
        </w:tabs>
        <w:jc w:val="left"/>
      </w:pPr>
      <w:r>
        <w:rPr>
          <w:rFonts w:hint="eastAsia"/>
        </w:rPr>
        <w:t>铝合金门窗主型材的壁厚应经过计算或试验确定，除压条、扣板等需要弹性装配的型材外，门用主型材主要受力部位基材界面最小实测壁厚不小于2mm，窗主型材主要受力部位基材界面最小实测壁厚不小于1.4mm。</w:t>
      </w:r>
    </w:p>
    <w:p w14:paraId="50E28A8B">
      <w:pPr>
        <w:pStyle w:val="111"/>
        <w:numPr>
          <w:ilvl w:val="3"/>
          <w:numId w:val="1"/>
        </w:numPr>
        <w:tabs>
          <w:tab w:val="left" w:pos="1680"/>
        </w:tabs>
        <w:jc w:val="left"/>
      </w:pPr>
      <w:r>
        <w:rPr>
          <w:rFonts w:hint="eastAsia"/>
        </w:rPr>
        <w:t>所有建筑的入口大门如下：自动大门选用无框12mm厚钢化清玻，地面设地毯，大门设红外对射防夹及防撞系统，自动门夜间需要设置锁止装置和断电不自启动系统；平开门选用金属外框钢化玻璃门；地面设地毯；要求有锁止装置及门阻、闭门器，同时考虑门禁系统。双扇平开门要应设有顺位器。</w:t>
      </w:r>
    </w:p>
    <w:p w14:paraId="232A1C1F">
      <w:pPr>
        <w:pStyle w:val="111"/>
        <w:numPr>
          <w:ilvl w:val="3"/>
          <w:numId w:val="1"/>
        </w:numPr>
        <w:tabs>
          <w:tab w:val="left" w:pos="1680"/>
        </w:tabs>
        <w:jc w:val="left"/>
      </w:pPr>
      <w:r>
        <w:rPr>
          <w:rFonts w:hint="eastAsia"/>
        </w:rPr>
        <w:t>所有室内平开门均装门轧头。</w:t>
      </w:r>
    </w:p>
    <w:p w14:paraId="35E2F7A8">
      <w:pPr>
        <w:pStyle w:val="111"/>
        <w:numPr>
          <w:ilvl w:val="3"/>
          <w:numId w:val="1"/>
        </w:numPr>
        <w:tabs>
          <w:tab w:val="left" w:pos="1680"/>
        </w:tabs>
        <w:jc w:val="left"/>
      </w:pPr>
      <w:r>
        <w:rPr>
          <w:rFonts w:hint="eastAsia"/>
        </w:rPr>
        <w:t>防火门及防火卷帘应采用当地消防部门指定认可的优质防火门及防火卷帘。考虑土建施工误差,本设计有关其洞口尺寸（详门表）仅供参考,其定货、制作应以现场实际尺寸为准。</w:t>
      </w:r>
    </w:p>
    <w:p w14:paraId="4682C94C">
      <w:pPr>
        <w:pStyle w:val="111"/>
        <w:numPr>
          <w:ilvl w:val="3"/>
          <w:numId w:val="1"/>
        </w:numPr>
        <w:tabs>
          <w:tab w:val="left" w:pos="1680"/>
        </w:tabs>
        <w:jc w:val="left"/>
      </w:pPr>
      <w:r>
        <w:rPr>
          <w:rFonts w:hint="eastAsia"/>
        </w:rPr>
        <w:t>防火卷帘:本工程防火分区间隔处采用双轨无机布基特级防火卷帘,位置详平面图标注，要求防火卷帘的耐火极限不低于3.0h。具体设计和预埋件等由厂家配合。卷帘均应安装在钢筋混凝土（钢结构）梁、板、柱等承重构件上，由厂家提出构件承重要求，由项目总包负责承重构件施工；卷帘上部如不到顶或侧面与土建墙、柱不闭合，均应设耐火极限不低于3小时的防火封堵。卷帘外饰处理:车库内采用0.8厚彩色钢板，其它部位采用2-3厚铝合金板。</w:t>
      </w:r>
    </w:p>
    <w:p w14:paraId="228A8985">
      <w:pPr>
        <w:pStyle w:val="111"/>
        <w:numPr>
          <w:ilvl w:val="3"/>
          <w:numId w:val="1"/>
        </w:numPr>
        <w:tabs>
          <w:tab w:val="left" w:pos="1680"/>
        </w:tabs>
        <w:jc w:val="left"/>
      </w:pPr>
      <w:r>
        <w:rPr>
          <w:rFonts w:hint="eastAsia"/>
        </w:rPr>
        <w:t>卷帘应由专业厂家进行深化设计，由建筑设计单位审校确认。所有配套五金件选用经建筑设计单位和业主的确认方可订货。</w:t>
      </w:r>
    </w:p>
    <w:p w14:paraId="3C94560B">
      <w:pPr>
        <w:pStyle w:val="111"/>
        <w:numPr>
          <w:ilvl w:val="3"/>
          <w:numId w:val="1"/>
        </w:numPr>
        <w:tabs>
          <w:tab w:val="left" w:pos="1680"/>
        </w:tabs>
        <w:jc w:val="left"/>
      </w:pPr>
      <w:r>
        <w:rPr>
          <w:rFonts w:hint="eastAsia"/>
        </w:rPr>
        <w:t>外墙上百页窗接风口的位置,与室内相通的部位应做好密封处理。</w:t>
      </w:r>
    </w:p>
    <w:p w14:paraId="01B3A289">
      <w:pPr>
        <w:pStyle w:val="111"/>
        <w:numPr>
          <w:ilvl w:val="3"/>
          <w:numId w:val="1"/>
        </w:numPr>
        <w:tabs>
          <w:tab w:val="left" w:pos="1680"/>
        </w:tabs>
        <w:jc w:val="left"/>
      </w:pPr>
      <w:r>
        <w:rPr>
          <w:rFonts w:hint="eastAsia"/>
        </w:rPr>
        <w:t xml:space="preserve">物理性能： </w:t>
      </w:r>
    </w:p>
    <w:p w14:paraId="52886430">
      <w:pPr>
        <w:pStyle w:val="111"/>
        <w:numPr>
          <w:ilvl w:val="0"/>
          <w:numId w:val="0"/>
        </w:numPr>
        <w:ind w:left="1984"/>
        <w:jc w:val="left"/>
      </w:pPr>
      <w:r>
        <w:rPr>
          <w:rFonts w:hint="eastAsia"/>
        </w:rPr>
        <w:t>气密性6级，1.0≤q1≤1.5，3.0≤q2≤4.5；</w:t>
      </w:r>
    </w:p>
    <w:p w14:paraId="50BA17D4">
      <w:pPr>
        <w:pStyle w:val="111"/>
        <w:numPr>
          <w:ilvl w:val="0"/>
          <w:numId w:val="0"/>
        </w:numPr>
        <w:ind w:left="1984"/>
        <w:jc w:val="left"/>
      </w:pPr>
      <w:r>
        <w:rPr>
          <w:rFonts w:hint="eastAsia"/>
        </w:rPr>
        <w:t>水密性4级，350≤△p＜500；</w:t>
      </w:r>
    </w:p>
    <w:p w14:paraId="644557CC">
      <w:pPr>
        <w:pStyle w:val="111"/>
        <w:numPr>
          <w:ilvl w:val="0"/>
          <w:numId w:val="0"/>
        </w:numPr>
        <w:ind w:left="1984"/>
        <w:jc w:val="left"/>
      </w:pPr>
      <w:r>
        <w:rPr>
          <w:rFonts w:hint="eastAsia"/>
        </w:rPr>
        <w:t>抗风压性5级，3.0≤P^L3^L＜3.5；</w:t>
      </w:r>
    </w:p>
    <w:p w14:paraId="02ED1405">
      <w:pPr>
        <w:pStyle w:val="111"/>
        <w:numPr>
          <w:ilvl w:val="0"/>
          <w:numId w:val="0"/>
        </w:numPr>
        <w:ind w:left="1984"/>
        <w:jc w:val="left"/>
      </w:pPr>
      <w:r>
        <w:rPr>
          <w:rFonts w:hint="eastAsia"/>
        </w:rPr>
        <w:t>空气隔声性能3级， 30≤Rw＜35；</w:t>
      </w:r>
    </w:p>
    <w:p w14:paraId="102AD838">
      <w:pPr>
        <w:pStyle w:val="111"/>
        <w:numPr>
          <w:ilvl w:val="0"/>
          <w:numId w:val="0"/>
        </w:numPr>
        <w:ind w:left="1984"/>
        <w:jc w:val="left"/>
      </w:pPr>
      <w:r>
        <w:rPr>
          <w:rFonts w:hint="eastAsia"/>
        </w:rPr>
        <w:t>热断桥材料为聚酰氨尼龙66加25%玻璃纤维，</w:t>
      </w:r>
    </w:p>
    <w:p w14:paraId="222A8161">
      <w:pPr>
        <w:spacing w:line="360" w:lineRule="auto"/>
        <w:jc w:val="left"/>
        <w:rPr>
          <w:rFonts w:ascii="黑体" w:hAnsi="黑体"/>
          <w:szCs w:val="18"/>
        </w:rPr>
      </w:pPr>
    </w:p>
    <w:p w14:paraId="012F115B">
      <w:pPr>
        <w:pStyle w:val="97"/>
        <w:rPr>
          <w:b/>
        </w:rPr>
      </w:pPr>
      <w:r>
        <w:rPr>
          <w:rFonts w:hint="eastAsia"/>
          <w:b/>
        </w:rPr>
        <w:t>规范依据</w:t>
      </w:r>
    </w:p>
    <w:p w14:paraId="2F3E94E7">
      <w:pPr>
        <w:pStyle w:val="111"/>
        <w:numPr>
          <w:ilvl w:val="0"/>
          <w:numId w:val="0"/>
        </w:numPr>
        <w:ind w:left="1842" w:hanging="850"/>
        <w:jc w:val="left"/>
      </w:pPr>
      <w:r>
        <w:rPr>
          <w:rFonts w:hint="eastAsia"/>
        </w:rPr>
        <w:t>除另有注明外，本工程须符合设计、图纸和相关国家、地方及行业标准，主要包括但不限于：</w:t>
      </w:r>
    </w:p>
    <w:p w14:paraId="038CA390">
      <w:pPr>
        <w:pStyle w:val="111"/>
        <w:numPr>
          <w:ilvl w:val="3"/>
          <w:numId w:val="1"/>
        </w:numPr>
        <w:tabs>
          <w:tab w:val="left" w:pos="1680"/>
        </w:tabs>
        <w:jc w:val="left"/>
      </w:pPr>
      <w:r>
        <w:t>《建筑外</w:t>
      </w:r>
      <w:r>
        <w:rPr>
          <w:rFonts w:hint="eastAsia"/>
        </w:rPr>
        <w:t>门</w:t>
      </w:r>
      <w:r>
        <w:t>窗气密、水密、抗风压性能分级及检测方法》</w:t>
      </w:r>
      <w:r>
        <w:rPr>
          <w:rFonts w:hint="eastAsia"/>
        </w:rPr>
        <w:t>（GB/T 7106）</w:t>
      </w:r>
    </w:p>
    <w:p w14:paraId="365E5CE0">
      <w:pPr>
        <w:pStyle w:val="111"/>
        <w:numPr>
          <w:ilvl w:val="3"/>
          <w:numId w:val="1"/>
        </w:numPr>
        <w:tabs>
          <w:tab w:val="left" w:pos="1680"/>
        </w:tabs>
        <w:jc w:val="left"/>
      </w:pPr>
      <w:r>
        <w:rPr>
          <w:rFonts w:hint="eastAsia"/>
        </w:rPr>
        <w:t>《建筑外门窗保温性能分级及检测方法》（GB/T 8484）</w:t>
      </w:r>
    </w:p>
    <w:p w14:paraId="2263E9EA">
      <w:pPr>
        <w:pStyle w:val="111"/>
        <w:numPr>
          <w:ilvl w:val="3"/>
          <w:numId w:val="1"/>
        </w:numPr>
        <w:tabs>
          <w:tab w:val="left" w:pos="1680"/>
        </w:tabs>
        <w:jc w:val="left"/>
      </w:pPr>
      <w:r>
        <w:rPr>
          <w:rFonts w:hint="eastAsia"/>
        </w:rPr>
        <w:t>《建筑外窗采光性能分级及检测方法》（GB/T 11976）</w:t>
      </w:r>
    </w:p>
    <w:p w14:paraId="587E6ECB">
      <w:pPr>
        <w:pStyle w:val="111"/>
        <w:numPr>
          <w:ilvl w:val="3"/>
          <w:numId w:val="1"/>
        </w:numPr>
        <w:tabs>
          <w:tab w:val="left" w:pos="1680"/>
        </w:tabs>
        <w:jc w:val="left"/>
      </w:pPr>
      <w:r>
        <w:rPr>
          <w:rFonts w:hint="eastAsia"/>
        </w:rPr>
        <w:t>《铝合金门窗工程技术规范》（</w:t>
      </w:r>
      <w:r>
        <w:t>JGJ</w:t>
      </w:r>
      <w:r>
        <w:rPr>
          <w:rFonts w:hint="eastAsia"/>
        </w:rPr>
        <w:t>214）</w:t>
      </w:r>
    </w:p>
    <w:p w14:paraId="64BCBF4B">
      <w:pPr>
        <w:pStyle w:val="111"/>
        <w:numPr>
          <w:ilvl w:val="3"/>
          <w:numId w:val="1"/>
        </w:numPr>
        <w:tabs>
          <w:tab w:val="left" w:pos="1680"/>
        </w:tabs>
        <w:jc w:val="left"/>
      </w:pPr>
      <w:r>
        <w:rPr>
          <w:rFonts w:hint="eastAsia"/>
        </w:rPr>
        <w:t>《铝合金门窗》（GB/T 8478）</w:t>
      </w:r>
    </w:p>
    <w:p w14:paraId="3DC1259D">
      <w:pPr>
        <w:pStyle w:val="111"/>
        <w:numPr>
          <w:ilvl w:val="3"/>
          <w:numId w:val="1"/>
        </w:numPr>
        <w:tabs>
          <w:tab w:val="left" w:pos="1680"/>
        </w:tabs>
        <w:jc w:val="left"/>
      </w:pPr>
      <w:r>
        <w:rPr>
          <w:rFonts w:hint="eastAsia"/>
        </w:rPr>
        <w:t>《铝合金建筑型材 第1部分：基材》（GB/T 5237.1）</w:t>
      </w:r>
    </w:p>
    <w:p w14:paraId="43D87F8B">
      <w:pPr>
        <w:pStyle w:val="111"/>
        <w:numPr>
          <w:ilvl w:val="3"/>
          <w:numId w:val="1"/>
        </w:numPr>
        <w:tabs>
          <w:tab w:val="left" w:pos="1680"/>
        </w:tabs>
        <w:jc w:val="left"/>
      </w:pPr>
      <w:r>
        <w:rPr>
          <w:rFonts w:hint="eastAsia"/>
        </w:rPr>
        <w:t>《铝合金建筑型材 第2部分：阳极氧化型材》（GB/T 5237.2）</w:t>
      </w:r>
    </w:p>
    <w:p w14:paraId="3E6EAD39">
      <w:pPr>
        <w:pStyle w:val="111"/>
        <w:numPr>
          <w:ilvl w:val="3"/>
          <w:numId w:val="1"/>
        </w:numPr>
        <w:tabs>
          <w:tab w:val="left" w:pos="1680"/>
        </w:tabs>
        <w:jc w:val="left"/>
      </w:pPr>
      <w:r>
        <w:rPr>
          <w:rFonts w:hint="eastAsia"/>
        </w:rPr>
        <w:t>《铝合金建筑型材 第3部分：电泳涂漆型材》（GB/T 5237.3）</w:t>
      </w:r>
    </w:p>
    <w:p w14:paraId="5A20EA36">
      <w:pPr>
        <w:pStyle w:val="111"/>
        <w:numPr>
          <w:ilvl w:val="3"/>
          <w:numId w:val="1"/>
        </w:numPr>
        <w:tabs>
          <w:tab w:val="left" w:pos="1680"/>
        </w:tabs>
        <w:jc w:val="left"/>
      </w:pPr>
      <w:r>
        <w:rPr>
          <w:rFonts w:hint="eastAsia"/>
        </w:rPr>
        <w:t>《铝合金建筑型材 第4部分：粉末喷涂型材》（GB/T 5237.4）</w:t>
      </w:r>
    </w:p>
    <w:p w14:paraId="0D9366A8">
      <w:pPr>
        <w:pStyle w:val="111"/>
        <w:numPr>
          <w:ilvl w:val="3"/>
          <w:numId w:val="1"/>
        </w:numPr>
        <w:tabs>
          <w:tab w:val="left" w:pos="1680"/>
        </w:tabs>
        <w:jc w:val="left"/>
      </w:pPr>
      <w:r>
        <w:rPr>
          <w:rFonts w:hint="eastAsia"/>
        </w:rPr>
        <w:t>《铝合金建筑型材 第5部分：氟碳喷涂型材》（GB/T 5237.5）</w:t>
      </w:r>
    </w:p>
    <w:p w14:paraId="7BAEC7DC">
      <w:pPr>
        <w:pStyle w:val="111"/>
        <w:numPr>
          <w:ilvl w:val="3"/>
          <w:numId w:val="1"/>
        </w:numPr>
        <w:tabs>
          <w:tab w:val="left" w:pos="1680"/>
        </w:tabs>
        <w:jc w:val="left"/>
      </w:pPr>
      <w:r>
        <w:rPr>
          <w:rFonts w:hint="eastAsia"/>
        </w:rPr>
        <w:t>《连续热镀锌和锌合金镀层钢板及钢带》（</w:t>
      </w:r>
      <w:r>
        <w:t>GB/T 2518</w:t>
      </w:r>
      <w:r>
        <w:rPr>
          <w:rFonts w:hint="eastAsia"/>
        </w:rPr>
        <w:t>）</w:t>
      </w:r>
    </w:p>
    <w:p w14:paraId="682A9C9F">
      <w:pPr>
        <w:pStyle w:val="111"/>
        <w:numPr>
          <w:ilvl w:val="3"/>
          <w:numId w:val="1"/>
        </w:numPr>
        <w:tabs>
          <w:tab w:val="left" w:pos="1680"/>
        </w:tabs>
        <w:jc w:val="left"/>
      </w:pPr>
      <w:r>
        <w:rPr>
          <w:rFonts w:hint="eastAsia"/>
        </w:rPr>
        <w:t>《建筑门窗玻璃幕墙热工计算规程》（JGJ/T151）</w:t>
      </w:r>
    </w:p>
    <w:p w14:paraId="6B62F5BD">
      <w:pPr>
        <w:pStyle w:val="111"/>
        <w:numPr>
          <w:ilvl w:val="3"/>
          <w:numId w:val="1"/>
        </w:numPr>
        <w:tabs>
          <w:tab w:val="left" w:pos="1680"/>
        </w:tabs>
        <w:jc w:val="left"/>
      </w:pPr>
      <w:r>
        <w:rPr>
          <w:rFonts w:hint="eastAsia"/>
        </w:rPr>
        <w:t>《建筑幕墙》</w:t>
      </w:r>
      <w:r>
        <w:t>GB/T 21086</w:t>
      </w:r>
    </w:p>
    <w:p w14:paraId="6DFA487D">
      <w:pPr>
        <w:pStyle w:val="111"/>
        <w:numPr>
          <w:ilvl w:val="3"/>
          <w:numId w:val="1"/>
        </w:numPr>
        <w:tabs>
          <w:tab w:val="left" w:pos="1680"/>
        </w:tabs>
        <w:jc w:val="left"/>
      </w:pPr>
      <w:r>
        <w:t>《</w:t>
      </w:r>
      <w:r>
        <w:rPr>
          <w:rFonts w:hint="eastAsia"/>
        </w:rPr>
        <w:t>防火</w:t>
      </w:r>
      <w:r>
        <w:t>门窗》（</w:t>
      </w:r>
      <w:r>
        <w:rPr>
          <w:rFonts w:hint="eastAsia"/>
        </w:rPr>
        <w:t>12J609</w:t>
      </w:r>
      <w:r>
        <w:t>）</w:t>
      </w:r>
    </w:p>
    <w:p w14:paraId="417AFA1A">
      <w:pPr>
        <w:pStyle w:val="111"/>
        <w:numPr>
          <w:ilvl w:val="3"/>
          <w:numId w:val="1"/>
        </w:numPr>
        <w:tabs>
          <w:tab w:val="left" w:pos="1680"/>
        </w:tabs>
        <w:jc w:val="left"/>
      </w:pPr>
      <w:r>
        <w:t>《建筑设计防火规范》GB 50016</w:t>
      </w:r>
    </w:p>
    <w:p w14:paraId="625838B5">
      <w:pPr>
        <w:pStyle w:val="111"/>
        <w:numPr>
          <w:ilvl w:val="3"/>
          <w:numId w:val="1"/>
        </w:numPr>
        <w:tabs>
          <w:tab w:val="left" w:pos="1680"/>
        </w:tabs>
        <w:jc w:val="left"/>
      </w:pPr>
      <w:r>
        <w:t>《建筑材料不燃性试验方法》（GB</w:t>
      </w:r>
      <w:r>
        <w:rPr>
          <w:rFonts w:hint="eastAsia"/>
        </w:rPr>
        <w:t xml:space="preserve"> </w:t>
      </w:r>
      <w:r>
        <w:t>5464）</w:t>
      </w:r>
    </w:p>
    <w:p w14:paraId="289F84A6">
      <w:pPr>
        <w:pStyle w:val="111"/>
        <w:numPr>
          <w:ilvl w:val="3"/>
          <w:numId w:val="1"/>
        </w:numPr>
        <w:tabs>
          <w:tab w:val="left" w:pos="1680"/>
        </w:tabs>
        <w:jc w:val="left"/>
      </w:pPr>
      <w:r>
        <w:rPr>
          <w:rFonts w:hint="eastAsia"/>
        </w:rPr>
        <w:t>《建筑材料燃烧性分级方法》GB8624</w:t>
      </w:r>
    </w:p>
    <w:p w14:paraId="5A473635">
      <w:pPr>
        <w:pStyle w:val="111"/>
        <w:numPr>
          <w:ilvl w:val="3"/>
          <w:numId w:val="1"/>
        </w:numPr>
        <w:tabs>
          <w:tab w:val="left" w:pos="1680"/>
        </w:tabs>
        <w:jc w:val="left"/>
      </w:pPr>
      <w:r>
        <w:t>《建筑门窗术语》（GB</w:t>
      </w:r>
      <w:r>
        <w:rPr>
          <w:rFonts w:hint="eastAsia"/>
        </w:rPr>
        <w:t xml:space="preserve"> </w:t>
      </w:r>
      <w:r>
        <w:t>5823）</w:t>
      </w:r>
    </w:p>
    <w:p w14:paraId="58A28DC5">
      <w:pPr>
        <w:pStyle w:val="111"/>
        <w:numPr>
          <w:ilvl w:val="3"/>
          <w:numId w:val="1"/>
        </w:numPr>
        <w:tabs>
          <w:tab w:val="left" w:pos="1680"/>
        </w:tabs>
        <w:jc w:val="left"/>
      </w:pPr>
      <w:r>
        <w:rPr>
          <w:rFonts w:hint="eastAsia"/>
        </w:rPr>
        <w:t>《民用建筑工程室内环境污染控制规范》（</w:t>
      </w:r>
      <w:r>
        <w:t>GB</w:t>
      </w:r>
      <w:r>
        <w:rPr>
          <w:rFonts w:hint="eastAsia"/>
        </w:rPr>
        <w:t xml:space="preserve"> 50325</w:t>
      </w:r>
      <w:r>
        <w:t>）</w:t>
      </w:r>
    </w:p>
    <w:p w14:paraId="4E31B65A">
      <w:pPr>
        <w:pStyle w:val="111"/>
        <w:numPr>
          <w:ilvl w:val="3"/>
          <w:numId w:val="1"/>
        </w:numPr>
        <w:tabs>
          <w:tab w:val="left" w:pos="1680"/>
        </w:tabs>
        <w:jc w:val="left"/>
      </w:pPr>
      <w:r>
        <w:rPr>
          <w:rFonts w:hint="eastAsia"/>
        </w:rPr>
        <w:t>《建筑装饰装修工程施工质量验收规范》（GB 50210）</w:t>
      </w:r>
    </w:p>
    <w:p w14:paraId="7936C9D9">
      <w:pPr>
        <w:pStyle w:val="111"/>
        <w:numPr>
          <w:ilvl w:val="3"/>
          <w:numId w:val="1"/>
        </w:numPr>
        <w:tabs>
          <w:tab w:val="left" w:pos="1680"/>
        </w:tabs>
        <w:jc w:val="left"/>
      </w:pPr>
      <w:r>
        <w:rPr>
          <w:rFonts w:hint="eastAsia"/>
        </w:rPr>
        <w:t>《防火卷帘》GB14102</w:t>
      </w:r>
    </w:p>
    <w:p w14:paraId="7F5627E0">
      <w:pPr>
        <w:pStyle w:val="111"/>
        <w:numPr>
          <w:ilvl w:val="3"/>
          <w:numId w:val="1"/>
        </w:numPr>
        <w:tabs>
          <w:tab w:val="left" w:pos="1680"/>
        </w:tabs>
        <w:jc w:val="left"/>
      </w:pPr>
      <w:r>
        <w:rPr>
          <w:rFonts w:hint="eastAsia"/>
        </w:rPr>
        <w:t>《防火卷帘、防火门、防火窗施工及验收规范》 GB50877</w:t>
      </w:r>
    </w:p>
    <w:p w14:paraId="642811C1">
      <w:pPr>
        <w:pStyle w:val="111"/>
        <w:numPr>
          <w:ilvl w:val="3"/>
          <w:numId w:val="1"/>
        </w:numPr>
        <w:tabs>
          <w:tab w:val="left" w:pos="1680"/>
        </w:tabs>
        <w:jc w:val="left"/>
      </w:pPr>
      <w:r>
        <w:rPr>
          <w:rFonts w:hint="eastAsia"/>
        </w:rPr>
        <w:t>《卷帘门窗》 JG/T 302</w:t>
      </w:r>
    </w:p>
    <w:p w14:paraId="6D6B3B98">
      <w:pPr>
        <w:pStyle w:val="111"/>
        <w:numPr>
          <w:ilvl w:val="3"/>
          <w:numId w:val="1"/>
        </w:numPr>
        <w:tabs>
          <w:tab w:val="left" w:pos="1680"/>
        </w:tabs>
        <w:jc w:val="left"/>
      </w:pPr>
      <w:r>
        <w:rPr>
          <w:rFonts w:hint="eastAsia"/>
        </w:rPr>
        <w:t xml:space="preserve">《传动用短节距精密滚子链》GB 1243.1  </w:t>
      </w:r>
    </w:p>
    <w:p w14:paraId="269CFF8A">
      <w:pPr>
        <w:pStyle w:val="111"/>
        <w:numPr>
          <w:ilvl w:val="3"/>
          <w:numId w:val="1"/>
        </w:numPr>
        <w:tabs>
          <w:tab w:val="left" w:pos="1680"/>
        </w:tabs>
        <w:jc w:val="left"/>
      </w:pPr>
      <w:r>
        <w:rPr>
          <w:rFonts w:hint="eastAsia"/>
        </w:rPr>
        <w:t>《防火卷帘通用技术条件》GB14102</w:t>
      </w:r>
    </w:p>
    <w:p w14:paraId="78CE89D2">
      <w:pPr>
        <w:pStyle w:val="111"/>
        <w:numPr>
          <w:ilvl w:val="3"/>
          <w:numId w:val="1"/>
        </w:numPr>
        <w:tabs>
          <w:tab w:val="left" w:pos="1680"/>
        </w:tabs>
        <w:jc w:val="left"/>
      </w:pPr>
      <w:r>
        <w:rPr>
          <w:rFonts w:hint="eastAsia"/>
        </w:rPr>
        <w:t>《卷帘门安全性要求》</w:t>
      </w:r>
      <w:r>
        <w:t>GA/T 1499</w:t>
      </w:r>
    </w:p>
    <w:p w14:paraId="7A50D762">
      <w:pPr>
        <w:pStyle w:val="111"/>
        <w:numPr>
          <w:ilvl w:val="3"/>
          <w:numId w:val="1"/>
        </w:numPr>
        <w:tabs>
          <w:tab w:val="left" w:pos="1680"/>
        </w:tabs>
        <w:jc w:val="left"/>
      </w:pPr>
      <w:r>
        <w:rPr>
          <w:rFonts w:hint="eastAsia"/>
        </w:rPr>
        <w:t>《人行自动门安全要求》</w:t>
      </w:r>
      <w:r>
        <w:t>JG 305</w:t>
      </w:r>
    </w:p>
    <w:p w14:paraId="49A5C210">
      <w:pPr>
        <w:pStyle w:val="111"/>
        <w:numPr>
          <w:ilvl w:val="3"/>
          <w:numId w:val="1"/>
        </w:numPr>
        <w:tabs>
          <w:tab w:val="left" w:pos="1680"/>
        </w:tabs>
        <w:jc w:val="left"/>
      </w:pPr>
      <w:r>
        <w:rPr>
          <w:rFonts w:hint="eastAsia"/>
        </w:rPr>
        <w:t>《电动卷门开门机》</w:t>
      </w:r>
      <w:r>
        <w:t>JG/T 411</w:t>
      </w:r>
    </w:p>
    <w:p w14:paraId="1D3C1514">
      <w:pPr>
        <w:autoSpaceDE w:val="0"/>
        <w:autoSpaceDN w:val="0"/>
        <w:adjustRightInd w:val="0"/>
        <w:spacing w:line="360" w:lineRule="auto"/>
        <w:jc w:val="left"/>
        <w:rPr>
          <w:rFonts w:ascii="黑体" w:hAnsi="黑体" w:cs="宋体"/>
          <w:kern w:val="0"/>
          <w:szCs w:val="18"/>
        </w:rPr>
      </w:pPr>
    </w:p>
    <w:p w14:paraId="0E75D494">
      <w:pPr>
        <w:pStyle w:val="2"/>
        <w:numPr>
          <w:ilvl w:val="0"/>
          <w:numId w:val="0"/>
        </w:numPr>
        <w:ind w:left="365"/>
        <w:jc w:val="both"/>
        <w:rPr>
          <w:szCs w:val="18"/>
        </w:rPr>
      </w:pPr>
      <w:bookmarkStart w:id="29" w:name="_Toc174556779"/>
      <w:bookmarkStart w:id="30" w:name="_Toc167271868"/>
      <w:r>
        <w:rPr>
          <w:rFonts w:hint="eastAsia"/>
          <w:szCs w:val="18"/>
        </w:rPr>
        <w:t>防火卷帘</w:t>
      </w:r>
      <w:bookmarkEnd w:id="29"/>
      <w:bookmarkEnd w:id="30"/>
    </w:p>
    <w:p w14:paraId="1959BB96">
      <w:pPr>
        <w:pStyle w:val="3"/>
        <w:jc w:val="left"/>
      </w:pPr>
      <w:bookmarkStart w:id="31" w:name="_Toc167271869"/>
      <w:bookmarkStart w:id="32" w:name="_Toc174556780"/>
      <w:r>
        <w:rPr>
          <w:rFonts w:hint="eastAsia"/>
        </w:rPr>
        <w:t>通用技术条件：</w:t>
      </w:r>
      <w:bookmarkEnd w:id="31"/>
      <w:bookmarkEnd w:id="32"/>
    </w:p>
    <w:p w14:paraId="61480418">
      <w:pPr>
        <w:pStyle w:val="97"/>
      </w:pPr>
      <w:r>
        <w:rPr>
          <w:rFonts w:hint="eastAsia"/>
        </w:rPr>
        <w:t>特级无机布防火卷帘：指用无机纤维材料做帘面，用钢质材料做导轨、座板、夹板、门楣、箱体等，并配以卷门机和控制箱所组成的能符合耐火完整性、隔热性和防烟性能要求的卷帘。以背火面温升为判定条件，满足耐火极限≥3小时。卷帘两侧柱或墙上要预埋固定卷帘门轴的埋件，该埋件图由安装单位配合确定。</w:t>
      </w:r>
    </w:p>
    <w:p w14:paraId="58A86CF2">
      <w:pPr>
        <w:pStyle w:val="97"/>
      </w:pPr>
      <w:r>
        <w:rPr>
          <w:rFonts w:hint="eastAsia"/>
        </w:rPr>
        <w:t>所有穿防火墙的设备管道应走在卷帘门上方，梁与卷帘门之间应做防火处理，并封堵严实，达到防火墙防火要求。</w:t>
      </w:r>
    </w:p>
    <w:p w14:paraId="6CACFD02">
      <w:pPr>
        <w:pStyle w:val="97"/>
      </w:pPr>
      <w:r>
        <w:rPr>
          <w:rFonts w:hint="eastAsia"/>
        </w:rPr>
        <w:t>材料：防火卷帘使用的原材料应符合健康环保的有关规定，不应使用国家明令禁止的材料。</w:t>
      </w:r>
    </w:p>
    <w:p w14:paraId="670DE9C6">
      <w:pPr>
        <w:pStyle w:val="97"/>
        <w:rPr>
          <w:rFonts w:cs="宋体"/>
        </w:rPr>
      </w:pPr>
      <w:r>
        <w:t>防火卷帘金属材料应满足钢牌号不低于Q235B</w:t>
      </w:r>
      <w:r>
        <w:rPr>
          <w:rFonts w:hint="eastAsia"/>
        </w:rPr>
        <w:t>，原材料厚度：帘板≥1.0mm；夹板≥3mm；座板≥3mm；导轨</w:t>
      </w:r>
      <w:r>
        <w:rPr>
          <w:rFonts w:hint="eastAsia" w:cs="宋体"/>
        </w:rPr>
        <w:t>：外露型≥3mm、掩埋型≥1.5mm；门楣≥0.8mm；箱体≥0.8mm，符合国标公差标准。</w:t>
      </w:r>
    </w:p>
    <w:p w14:paraId="292FFB69">
      <w:pPr>
        <w:autoSpaceDE w:val="0"/>
        <w:autoSpaceDN w:val="0"/>
        <w:adjustRightInd w:val="0"/>
        <w:spacing w:line="360" w:lineRule="auto"/>
        <w:ind w:left="284" w:hanging="284"/>
        <w:jc w:val="left"/>
        <w:rPr>
          <w:rFonts w:ascii="黑体" w:hAnsi="黑体" w:cs="宋体"/>
          <w:kern w:val="0"/>
          <w:szCs w:val="18"/>
        </w:rPr>
      </w:pPr>
    </w:p>
    <w:p w14:paraId="4D9E6F64">
      <w:pPr>
        <w:pStyle w:val="3"/>
        <w:jc w:val="left"/>
      </w:pPr>
      <w:bookmarkStart w:id="33" w:name="_Toc167271870"/>
      <w:bookmarkStart w:id="34" w:name="_Toc174556781"/>
      <w:r>
        <w:rPr>
          <w:rFonts w:hint="eastAsia"/>
        </w:rPr>
        <w:t>零部件</w:t>
      </w:r>
      <w:bookmarkEnd w:id="33"/>
      <w:bookmarkEnd w:id="34"/>
    </w:p>
    <w:p w14:paraId="287B54AB">
      <w:pPr>
        <w:pStyle w:val="97"/>
      </w:pPr>
      <w:r>
        <w:t>防火卷帘门应包括以下</w:t>
      </w:r>
      <w:r>
        <w:rPr>
          <w:rFonts w:hint="eastAsia"/>
        </w:rPr>
        <w:t>主要</w:t>
      </w:r>
      <w:r>
        <w:t>部件</w:t>
      </w:r>
      <w:r>
        <w:rPr>
          <w:rFonts w:hint="eastAsia"/>
        </w:rPr>
        <w:t>，</w:t>
      </w:r>
      <w:r>
        <w:t>能满足消防验收规范要求</w:t>
      </w:r>
      <w:r>
        <w:rPr>
          <w:rFonts w:hint="eastAsia"/>
        </w:rPr>
        <w:t>。</w:t>
      </w:r>
    </w:p>
    <w:p w14:paraId="697A8282">
      <w:pPr>
        <w:numPr>
          <w:ilvl w:val="0"/>
          <w:numId w:val="33"/>
        </w:numPr>
        <w:spacing w:line="360" w:lineRule="auto"/>
        <w:ind w:left="1271" w:firstLine="5"/>
        <w:jc w:val="left"/>
        <w:rPr>
          <w:rFonts w:ascii="黑体" w:hAnsi="黑体"/>
          <w:szCs w:val="18"/>
        </w:rPr>
      </w:pPr>
      <w:r>
        <w:rPr>
          <w:rFonts w:ascii="黑体" w:hAnsi="黑体"/>
          <w:szCs w:val="18"/>
        </w:rPr>
        <w:t>电控箱</w:t>
      </w:r>
      <w:r>
        <w:rPr>
          <w:rFonts w:hint="eastAsia" w:ascii="黑体" w:hAnsi="黑体"/>
          <w:szCs w:val="18"/>
        </w:rPr>
        <w:t>：</w:t>
      </w:r>
      <w:r>
        <w:rPr>
          <w:rFonts w:ascii="黑体" w:hAnsi="黑体"/>
          <w:szCs w:val="18"/>
        </w:rPr>
        <w:t>应具有远程控制和就地手动控制的功能，当远程控制信号发生故障不能正常控制防火卷帘门时，可就地通过按钮上下启动或停止卷帘门，以达到紧急情况下就地控制防火卷帘门的目的</w:t>
      </w:r>
      <w:r>
        <w:rPr>
          <w:rFonts w:hint="eastAsia" w:ascii="黑体" w:hAnsi="黑体"/>
          <w:szCs w:val="18"/>
        </w:rPr>
        <w:t>。</w:t>
      </w:r>
      <w:r>
        <w:rPr>
          <w:rFonts w:ascii="黑体" w:hAnsi="黑体"/>
          <w:szCs w:val="18"/>
        </w:rPr>
        <w:t>其性能应符合《防火卷帘》（GB14102）附录B和《防火卷帘控制器》（GA386）的规定</w:t>
      </w:r>
    </w:p>
    <w:p w14:paraId="44C605C0">
      <w:pPr>
        <w:numPr>
          <w:ilvl w:val="0"/>
          <w:numId w:val="33"/>
        </w:numPr>
        <w:spacing w:line="360" w:lineRule="auto"/>
        <w:ind w:left="1271" w:firstLine="5"/>
        <w:jc w:val="left"/>
        <w:rPr>
          <w:rFonts w:ascii="黑体" w:hAnsi="黑体"/>
          <w:szCs w:val="18"/>
        </w:rPr>
      </w:pPr>
      <w:r>
        <w:rPr>
          <w:rFonts w:ascii="黑体" w:hAnsi="黑体"/>
          <w:szCs w:val="18"/>
        </w:rPr>
        <w:t>按钮开关</w:t>
      </w:r>
      <w:bookmarkStart w:id="35" w:name="_Hlk496605767"/>
      <w:r>
        <w:rPr>
          <w:rFonts w:hint="eastAsia" w:ascii="黑体" w:hAnsi="黑体"/>
          <w:szCs w:val="18"/>
        </w:rPr>
        <w:t>：</w:t>
      </w:r>
      <w:r>
        <w:rPr>
          <w:rFonts w:ascii="黑体" w:hAnsi="黑体"/>
          <w:szCs w:val="18"/>
        </w:rPr>
        <w:t>在每樘卷帘门的两侧各设置一个带电子面板和钥匙的按钮开关</w:t>
      </w:r>
      <w:bookmarkEnd w:id="35"/>
      <w:r>
        <w:rPr>
          <w:rFonts w:ascii="黑体" w:hAnsi="黑体"/>
          <w:szCs w:val="18"/>
        </w:rPr>
        <w:t xml:space="preserve">，能控制卷帘门开启和关闭， </w:t>
      </w:r>
    </w:p>
    <w:p w14:paraId="24DFE74F">
      <w:pPr>
        <w:numPr>
          <w:ilvl w:val="0"/>
          <w:numId w:val="33"/>
        </w:numPr>
        <w:spacing w:line="360" w:lineRule="auto"/>
        <w:ind w:left="1271" w:firstLine="5"/>
        <w:jc w:val="left"/>
        <w:rPr>
          <w:rFonts w:ascii="黑体" w:hAnsi="黑体"/>
          <w:szCs w:val="18"/>
        </w:rPr>
      </w:pPr>
      <w:r>
        <w:rPr>
          <w:rFonts w:ascii="黑体" w:hAnsi="黑体"/>
          <w:szCs w:val="18"/>
        </w:rPr>
        <w:t>卷轴</w:t>
      </w:r>
      <w:r>
        <w:rPr>
          <w:rFonts w:hint="eastAsia" w:ascii="黑体" w:hAnsi="黑体"/>
          <w:szCs w:val="18"/>
        </w:rPr>
        <w:t>：</w:t>
      </w:r>
      <w:r>
        <w:rPr>
          <w:rFonts w:ascii="黑体" w:hAnsi="黑体"/>
          <w:szCs w:val="18"/>
        </w:rPr>
        <w:t>钢板厚度应经过强度计算，能满足防火卷帘的正常使用要求</w:t>
      </w:r>
    </w:p>
    <w:p w14:paraId="2139B1F0">
      <w:pPr>
        <w:numPr>
          <w:ilvl w:val="0"/>
          <w:numId w:val="33"/>
        </w:numPr>
        <w:spacing w:line="360" w:lineRule="auto"/>
        <w:ind w:left="1271" w:firstLine="5"/>
        <w:jc w:val="left"/>
        <w:rPr>
          <w:rFonts w:ascii="黑体" w:hAnsi="黑体"/>
          <w:szCs w:val="18"/>
        </w:rPr>
      </w:pPr>
      <w:r>
        <w:rPr>
          <w:rFonts w:ascii="黑体" w:hAnsi="黑体"/>
          <w:szCs w:val="18"/>
        </w:rPr>
        <w:t>主动支承架</w:t>
      </w:r>
      <w:r>
        <w:rPr>
          <w:rFonts w:hint="eastAsia" w:ascii="黑体" w:hAnsi="黑体"/>
          <w:szCs w:val="18"/>
        </w:rPr>
        <w:t>：</w:t>
      </w:r>
      <w:r>
        <w:rPr>
          <w:rFonts w:ascii="黑体" w:hAnsi="黑体"/>
          <w:szCs w:val="18"/>
        </w:rPr>
        <w:t>膨胀螺栓固定在土建结构中。支</w:t>
      </w:r>
      <w:r>
        <w:rPr>
          <w:rFonts w:hint="eastAsia" w:ascii="黑体" w:hAnsi="黑体"/>
          <w:szCs w:val="18"/>
        </w:rPr>
        <w:t>架</w:t>
      </w:r>
      <w:r>
        <w:rPr>
          <w:rFonts w:ascii="黑体" w:hAnsi="黑体"/>
          <w:szCs w:val="18"/>
        </w:rPr>
        <w:t xml:space="preserve">的材质为普通碳素钢，材料须符合GB700的要求，支承架上安装链轮、滚动轴承、电动机 </w:t>
      </w:r>
    </w:p>
    <w:p w14:paraId="7D022E50">
      <w:pPr>
        <w:numPr>
          <w:ilvl w:val="0"/>
          <w:numId w:val="33"/>
        </w:numPr>
        <w:spacing w:line="360" w:lineRule="auto"/>
        <w:ind w:left="1271" w:firstLine="5"/>
        <w:jc w:val="left"/>
        <w:rPr>
          <w:rFonts w:ascii="黑体" w:hAnsi="黑体"/>
          <w:szCs w:val="18"/>
        </w:rPr>
      </w:pPr>
      <w:r>
        <w:rPr>
          <w:rFonts w:ascii="黑体" w:hAnsi="黑体"/>
          <w:szCs w:val="18"/>
        </w:rPr>
        <w:t>传动装置</w:t>
      </w:r>
      <w:r>
        <w:rPr>
          <w:rFonts w:hint="eastAsia" w:ascii="黑体" w:hAnsi="黑体"/>
          <w:szCs w:val="18"/>
        </w:rPr>
        <w:t>：</w:t>
      </w:r>
      <w:r>
        <w:rPr>
          <w:rFonts w:ascii="黑体" w:hAnsi="黑体"/>
          <w:szCs w:val="18"/>
        </w:rPr>
        <w:t>传动用滚子链和链轮的尺寸、公差及基本参数应复合GB/T1243的规定，链条静强度、选用的许可安全系数应大于4。传动机构、轴承、链条表面应无锈蚀，并应按要求加适量润滑剂</w:t>
      </w:r>
      <w:r>
        <w:rPr>
          <w:rFonts w:hint="eastAsia" w:ascii="黑体" w:hAnsi="黑体"/>
          <w:szCs w:val="18"/>
        </w:rPr>
        <w:t>。</w:t>
      </w:r>
    </w:p>
    <w:p w14:paraId="6488CE5F">
      <w:pPr>
        <w:numPr>
          <w:ilvl w:val="0"/>
          <w:numId w:val="33"/>
        </w:numPr>
        <w:spacing w:line="360" w:lineRule="auto"/>
        <w:ind w:left="1271" w:firstLine="5"/>
        <w:jc w:val="left"/>
        <w:rPr>
          <w:rFonts w:ascii="黑体" w:hAnsi="黑体"/>
          <w:szCs w:val="18"/>
        </w:rPr>
      </w:pPr>
      <w:r>
        <w:rPr>
          <w:rFonts w:ascii="黑体" w:hAnsi="黑体"/>
          <w:szCs w:val="18"/>
        </w:rPr>
        <w:t>卷门机及手动装置</w:t>
      </w:r>
      <w:r>
        <w:rPr>
          <w:rFonts w:hint="eastAsia" w:ascii="黑体" w:hAnsi="黑体"/>
          <w:szCs w:val="18"/>
        </w:rPr>
        <w:t>：</w:t>
      </w:r>
      <w:r>
        <w:rPr>
          <w:rFonts w:ascii="黑体" w:hAnsi="黑体"/>
          <w:szCs w:val="18"/>
        </w:rPr>
        <w:t>采用三相异步电动机提供驱动力</w:t>
      </w:r>
      <w:r>
        <w:rPr>
          <w:rFonts w:hint="eastAsia" w:ascii="黑体" w:hAnsi="黑体"/>
          <w:szCs w:val="18"/>
        </w:rPr>
        <w:t>，</w:t>
      </w:r>
      <w:r>
        <w:rPr>
          <w:rFonts w:ascii="黑体" w:hAnsi="黑体"/>
          <w:szCs w:val="18"/>
        </w:rPr>
        <w:t>卷门机应设置限位开关，卷帘启闭至上下限时</w:t>
      </w:r>
      <w:r>
        <w:rPr>
          <w:rFonts w:hint="eastAsia" w:ascii="黑体" w:hAnsi="黑体"/>
          <w:szCs w:val="18"/>
        </w:rPr>
        <w:t>，</w:t>
      </w:r>
      <w:r>
        <w:rPr>
          <w:rFonts w:ascii="黑体" w:hAnsi="黑体"/>
          <w:szCs w:val="18"/>
        </w:rPr>
        <w:t>能自动停止，其重复定位误差&lt;20mm</w:t>
      </w:r>
      <w:r>
        <w:rPr>
          <w:rFonts w:hint="eastAsia" w:ascii="黑体" w:hAnsi="黑体"/>
          <w:szCs w:val="18"/>
        </w:rPr>
        <w:t>。</w:t>
      </w:r>
      <w:r>
        <w:rPr>
          <w:rFonts w:ascii="黑体" w:hAnsi="黑体"/>
          <w:szCs w:val="18"/>
        </w:rPr>
        <w:t>其性能应符合《防火卷帘》（GB14102）附录A和《防火卷帘用卷门机》（GA603）的规定</w:t>
      </w:r>
    </w:p>
    <w:p w14:paraId="3E1C49E3">
      <w:pPr>
        <w:numPr>
          <w:ilvl w:val="0"/>
          <w:numId w:val="33"/>
        </w:numPr>
        <w:spacing w:line="360" w:lineRule="auto"/>
        <w:ind w:left="1271" w:firstLine="5"/>
        <w:jc w:val="left"/>
        <w:rPr>
          <w:rFonts w:ascii="黑体" w:hAnsi="黑体"/>
          <w:szCs w:val="18"/>
        </w:rPr>
      </w:pPr>
      <w:r>
        <w:rPr>
          <w:rFonts w:ascii="黑体" w:hAnsi="黑体"/>
          <w:szCs w:val="18"/>
        </w:rPr>
        <w:t xml:space="preserve">横梁安装托轮与副轴支承架，由薄钢板制成罩住卷帘及传动罩壳装置 </w:t>
      </w:r>
    </w:p>
    <w:p w14:paraId="3F31D826">
      <w:pPr>
        <w:numPr>
          <w:ilvl w:val="0"/>
          <w:numId w:val="33"/>
        </w:numPr>
        <w:spacing w:line="360" w:lineRule="auto"/>
        <w:ind w:left="1271" w:firstLine="5"/>
        <w:jc w:val="left"/>
        <w:rPr>
          <w:rFonts w:ascii="黑体" w:hAnsi="黑体"/>
          <w:szCs w:val="18"/>
        </w:rPr>
      </w:pPr>
      <w:r>
        <w:rPr>
          <w:rFonts w:ascii="黑体" w:hAnsi="黑体"/>
          <w:szCs w:val="18"/>
        </w:rPr>
        <w:t xml:space="preserve">锁盒：盒上安装控制卷帘门启闭的按钮、材料采用不锈钢 </w:t>
      </w:r>
    </w:p>
    <w:p w14:paraId="33E4B027">
      <w:pPr>
        <w:numPr>
          <w:ilvl w:val="0"/>
          <w:numId w:val="33"/>
        </w:numPr>
        <w:spacing w:line="360" w:lineRule="auto"/>
        <w:ind w:left="1271" w:firstLine="5"/>
        <w:jc w:val="left"/>
        <w:rPr>
          <w:rFonts w:ascii="黑体" w:hAnsi="黑体"/>
          <w:szCs w:val="18"/>
        </w:rPr>
      </w:pPr>
      <w:r>
        <w:rPr>
          <w:rFonts w:ascii="黑体" w:hAnsi="黑体"/>
          <w:szCs w:val="18"/>
        </w:rPr>
        <w:t xml:space="preserve">从动支承板，安装轴承座支架，轴承座支架轴承用铸铁做成 </w:t>
      </w:r>
    </w:p>
    <w:p w14:paraId="54C42611">
      <w:pPr>
        <w:numPr>
          <w:ilvl w:val="0"/>
          <w:numId w:val="33"/>
        </w:numPr>
        <w:spacing w:line="360" w:lineRule="auto"/>
        <w:ind w:left="1271" w:firstLine="5"/>
        <w:jc w:val="left"/>
        <w:rPr>
          <w:rFonts w:ascii="黑体" w:hAnsi="黑体"/>
          <w:szCs w:val="18"/>
        </w:rPr>
      </w:pPr>
      <w:r>
        <w:rPr>
          <w:rFonts w:ascii="黑体" w:hAnsi="黑体"/>
          <w:szCs w:val="18"/>
        </w:rPr>
        <w:t>卷轴：悬挂门帘，并卷起门帘的在重轴</w:t>
      </w:r>
      <w:r>
        <w:rPr>
          <w:rFonts w:hint="eastAsia" w:ascii="黑体" w:hAnsi="黑体"/>
          <w:szCs w:val="18"/>
        </w:rPr>
        <w:t>。</w:t>
      </w:r>
      <w:r>
        <w:rPr>
          <w:rFonts w:ascii="黑体" w:hAnsi="黑体"/>
          <w:szCs w:val="18"/>
        </w:rPr>
        <w:t>垂直卷帘的卷轴在正常使用的挠度应小于卷轴长度的1/400。卷帘的卷轴安装时应与基础面垂直。垂直度误差应小于1.5mm/m</w:t>
      </w:r>
      <w:r>
        <w:rPr>
          <w:rFonts w:hint="eastAsia" w:ascii="黑体" w:hAnsi="黑体"/>
          <w:szCs w:val="18"/>
        </w:rPr>
        <w:t>，</w:t>
      </w:r>
      <w:r>
        <w:rPr>
          <w:rFonts w:ascii="黑体" w:hAnsi="黑体"/>
          <w:szCs w:val="18"/>
        </w:rPr>
        <w:t>全长应小于5mm</w:t>
      </w:r>
      <w:r>
        <w:rPr>
          <w:rFonts w:hint="eastAsia" w:ascii="黑体" w:hAnsi="黑体"/>
          <w:szCs w:val="18"/>
        </w:rPr>
        <w:t>。</w:t>
      </w:r>
      <w:r>
        <w:rPr>
          <w:rFonts w:ascii="黑体" w:hAnsi="黑体"/>
          <w:szCs w:val="18"/>
        </w:rPr>
        <w:t>底板：门帘下部的刚性梁，</w:t>
      </w:r>
      <w:r>
        <w:rPr>
          <w:rFonts w:hint="eastAsia" w:ascii="黑体" w:hAnsi="黑体"/>
          <w:szCs w:val="18"/>
        </w:rPr>
        <w:t>两帘面用底座板联成一体，保证平整，光洁，无凹凸，底座板与地面平行、接触均匀；精装区卷帘装饰底座板可采用</w:t>
      </w:r>
      <w:r>
        <w:rPr>
          <w:rFonts w:ascii="黑体" w:hAnsi="黑体"/>
          <w:szCs w:val="18"/>
        </w:rPr>
        <w:t>304不锈钢，其他场所可采用镀锌钢板。</w:t>
      </w:r>
      <w:r>
        <w:rPr>
          <w:rFonts w:hint="eastAsia" w:ascii="黑体" w:hAnsi="黑体"/>
          <w:szCs w:val="18"/>
        </w:rPr>
        <w:t>底座板材料厚度不小于</w:t>
      </w:r>
      <w:r>
        <w:rPr>
          <w:rFonts w:ascii="黑体" w:hAnsi="黑体"/>
          <w:szCs w:val="18"/>
        </w:rPr>
        <w:t xml:space="preserve">1.2mm </w:t>
      </w:r>
    </w:p>
    <w:p w14:paraId="7CF41585">
      <w:pPr>
        <w:numPr>
          <w:ilvl w:val="0"/>
          <w:numId w:val="33"/>
        </w:numPr>
        <w:spacing w:line="360" w:lineRule="auto"/>
        <w:ind w:left="1271" w:firstLine="5"/>
        <w:jc w:val="left"/>
        <w:rPr>
          <w:rFonts w:ascii="黑体" w:hAnsi="黑体"/>
          <w:szCs w:val="18"/>
        </w:rPr>
      </w:pPr>
      <w:r>
        <w:rPr>
          <w:rFonts w:hint="eastAsia" w:ascii="黑体" w:hAnsi="黑体"/>
          <w:szCs w:val="18"/>
        </w:rPr>
        <w:t>导轨：导轨表面应光滑、平直，帘面在导轨内运行时应平稳顺畅，不应有碰撞和冲击现象。</w:t>
      </w:r>
    </w:p>
    <w:p w14:paraId="1AE80915">
      <w:pPr>
        <w:numPr>
          <w:ilvl w:val="0"/>
          <w:numId w:val="33"/>
        </w:numPr>
        <w:spacing w:line="360" w:lineRule="auto"/>
        <w:ind w:left="1271" w:firstLine="5"/>
        <w:jc w:val="left"/>
        <w:rPr>
          <w:rFonts w:ascii="黑体" w:hAnsi="黑体"/>
          <w:szCs w:val="18"/>
        </w:rPr>
      </w:pPr>
      <w:r>
        <w:rPr>
          <w:rFonts w:ascii="黑体" w:hAnsi="黑体"/>
          <w:szCs w:val="18"/>
        </w:rPr>
        <w:t>信号反馈装置：在卷帘门关闭至离地1.5mm和全部关闭时，分别发送接点信号给消防中心</w:t>
      </w:r>
      <w:r>
        <w:rPr>
          <w:rFonts w:hint="eastAsia" w:ascii="黑体" w:hAnsi="黑体"/>
          <w:szCs w:val="18"/>
        </w:rPr>
        <w:t>。</w:t>
      </w:r>
    </w:p>
    <w:p w14:paraId="061510A4">
      <w:pPr>
        <w:numPr>
          <w:ilvl w:val="0"/>
          <w:numId w:val="33"/>
        </w:numPr>
        <w:spacing w:line="360" w:lineRule="auto"/>
        <w:ind w:left="1271" w:firstLine="5"/>
        <w:jc w:val="left"/>
        <w:rPr>
          <w:rFonts w:ascii="黑体" w:hAnsi="黑体"/>
          <w:szCs w:val="18"/>
        </w:rPr>
      </w:pPr>
      <w:r>
        <w:rPr>
          <w:rFonts w:hint="eastAsia" w:ascii="黑体" w:hAnsi="黑体"/>
          <w:szCs w:val="18"/>
        </w:rPr>
        <w:t>帘面：帘面装饰布、帘面基布的性能应满足</w:t>
      </w:r>
      <w:r>
        <w:rPr>
          <w:rFonts w:ascii="黑体" w:hAnsi="黑体"/>
          <w:szCs w:val="18"/>
        </w:rPr>
        <w:t>GB8624 A</w:t>
      </w:r>
      <w:r>
        <w:rPr>
          <w:rFonts w:hint="eastAsia" w:ascii="黑体" w:hAnsi="黑体"/>
          <w:szCs w:val="18"/>
        </w:rPr>
        <w:t>级（纺织物）的要求。</w:t>
      </w:r>
    </w:p>
    <w:p w14:paraId="4A3D715A">
      <w:pPr>
        <w:pStyle w:val="97"/>
      </w:pPr>
      <w:r>
        <w:t xml:space="preserve"> 防火卷帘门启闭时的平均噪声 </w:t>
      </w:r>
    </w:p>
    <w:p w14:paraId="5002504E">
      <w:pPr>
        <w:numPr>
          <w:ilvl w:val="0"/>
          <w:numId w:val="33"/>
        </w:numPr>
        <w:spacing w:line="360" w:lineRule="auto"/>
        <w:ind w:left="1271" w:firstLine="5"/>
        <w:jc w:val="left"/>
        <w:rPr>
          <w:rFonts w:ascii="黑体" w:hAnsi="黑体"/>
          <w:szCs w:val="18"/>
        </w:rPr>
      </w:pPr>
      <w:r>
        <w:rPr>
          <w:rFonts w:ascii="黑体" w:hAnsi="黑体"/>
          <w:szCs w:val="18"/>
        </w:rPr>
        <w:t>卷门机功率</w:t>
      </w:r>
      <w:r>
        <w:rPr>
          <w:rFonts w:hint="eastAsia" w:ascii="黑体" w:hAnsi="黑体"/>
          <w:szCs w:val="18"/>
        </w:rPr>
        <w:t>小于</w:t>
      </w:r>
      <w:r>
        <w:rPr>
          <w:rFonts w:ascii="黑体" w:hAnsi="黑体"/>
          <w:szCs w:val="18"/>
        </w:rPr>
        <w:t xml:space="preserve">0.4kw时，平均噪音&lt;50dB。 </w:t>
      </w:r>
    </w:p>
    <w:p w14:paraId="3AB3E2AC">
      <w:pPr>
        <w:numPr>
          <w:ilvl w:val="0"/>
          <w:numId w:val="33"/>
        </w:numPr>
        <w:spacing w:line="360" w:lineRule="auto"/>
        <w:ind w:left="1271" w:firstLine="5"/>
        <w:jc w:val="left"/>
        <w:rPr>
          <w:rFonts w:ascii="黑体" w:hAnsi="黑体"/>
          <w:szCs w:val="18"/>
        </w:rPr>
      </w:pPr>
      <w:r>
        <w:rPr>
          <w:rFonts w:ascii="黑体" w:hAnsi="黑体"/>
          <w:szCs w:val="18"/>
        </w:rPr>
        <w:t>卷门机功率</w:t>
      </w:r>
      <w:r>
        <w:rPr>
          <w:rFonts w:hint="eastAsia" w:ascii="黑体" w:hAnsi="黑体"/>
          <w:szCs w:val="18"/>
        </w:rPr>
        <w:t>大于</w:t>
      </w:r>
      <w:r>
        <w:rPr>
          <w:rFonts w:ascii="黑体" w:hAnsi="黑体"/>
          <w:szCs w:val="18"/>
        </w:rPr>
        <w:t xml:space="preserve">0.4时，平均噪音&lt;60dB。 </w:t>
      </w:r>
    </w:p>
    <w:p w14:paraId="6D524C60">
      <w:pPr>
        <w:pStyle w:val="97"/>
      </w:pPr>
      <w:r>
        <w:t xml:space="preserve">帘板公差 </w:t>
      </w:r>
    </w:p>
    <w:p w14:paraId="67B41744">
      <w:pPr>
        <w:numPr>
          <w:ilvl w:val="0"/>
          <w:numId w:val="33"/>
        </w:numPr>
        <w:spacing w:line="360" w:lineRule="auto"/>
        <w:ind w:left="1271" w:firstLine="5"/>
        <w:jc w:val="left"/>
        <w:rPr>
          <w:rFonts w:ascii="黑体" w:hAnsi="黑体"/>
          <w:szCs w:val="18"/>
        </w:rPr>
      </w:pPr>
      <w:r>
        <w:rPr>
          <w:rFonts w:ascii="黑体" w:hAnsi="黑体"/>
          <w:szCs w:val="18"/>
        </w:rPr>
        <w:t xml:space="preserve">长度误差△b≤2mm </w:t>
      </w:r>
    </w:p>
    <w:p w14:paraId="360E811B">
      <w:pPr>
        <w:numPr>
          <w:ilvl w:val="0"/>
          <w:numId w:val="33"/>
        </w:numPr>
        <w:spacing w:line="360" w:lineRule="auto"/>
        <w:ind w:left="1271" w:firstLine="5"/>
        <w:jc w:val="left"/>
        <w:rPr>
          <w:rFonts w:ascii="黑体" w:hAnsi="黑体"/>
          <w:szCs w:val="18"/>
        </w:rPr>
      </w:pPr>
      <w:r>
        <w:rPr>
          <w:rFonts w:ascii="黑体" w:hAnsi="黑体"/>
          <w:szCs w:val="18"/>
        </w:rPr>
        <w:t xml:space="preserve">宽度误差△δ≤1mm </w:t>
      </w:r>
    </w:p>
    <w:p w14:paraId="5DE8F64E">
      <w:pPr>
        <w:numPr>
          <w:ilvl w:val="0"/>
          <w:numId w:val="33"/>
        </w:numPr>
        <w:spacing w:line="360" w:lineRule="auto"/>
        <w:ind w:left="1271" w:firstLine="5"/>
        <w:jc w:val="left"/>
        <w:rPr>
          <w:rFonts w:ascii="黑体" w:hAnsi="黑体"/>
          <w:szCs w:val="18"/>
        </w:rPr>
      </w:pPr>
      <w:r>
        <w:rPr>
          <w:rFonts w:ascii="黑体" w:hAnsi="黑体"/>
          <w:szCs w:val="18"/>
        </w:rPr>
        <w:t xml:space="preserve">全长度直线度误差≤0.12% </w:t>
      </w:r>
    </w:p>
    <w:p w14:paraId="341B5D6D">
      <w:pPr>
        <w:pStyle w:val="97"/>
      </w:pPr>
      <w:r>
        <w:t xml:space="preserve">导轨公差 </w:t>
      </w:r>
    </w:p>
    <w:p w14:paraId="743575B0">
      <w:pPr>
        <w:numPr>
          <w:ilvl w:val="0"/>
          <w:numId w:val="33"/>
        </w:numPr>
        <w:spacing w:line="360" w:lineRule="auto"/>
        <w:ind w:left="1271" w:firstLine="5"/>
        <w:jc w:val="left"/>
        <w:rPr>
          <w:rFonts w:ascii="黑体" w:hAnsi="黑体"/>
          <w:szCs w:val="18"/>
        </w:rPr>
      </w:pPr>
      <w:r>
        <w:rPr>
          <w:rFonts w:ascii="黑体" w:hAnsi="黑体"/>
          <w:szCs w:val="18"/>
        </w:rPr>
        <w:t xml:space="preserve">宽度误差△a≤1.5mm </w:t>
      </w:r>
    </w:p>
    <w:p w14:paraId="1EC01190">
      <w:pPr>
        <w:numPr>
          <w:ilvl w:val="0"/>
          <w:numId w:val="33"/>
        </w:numPr>
        <w:spacing w:line="360" w:lineRule="auto"/>
        <w:ind w:left="1271" w:firstLine="5"/>
        <w:jc w:val="left"/>
        <w:rPr>
          <w:rFonts w:ascii="黑体" w:hAnsi="黑体"/>
          <w:szCs w:val="18"/>
        </w:rPr>
      </w:pPr>
      <w:r>
        <w:rPr>
          <w:rFonts w:ascii="黑体" w:hAnsi="黑体"/>
          <w:szCs w:val="18"/>
        </w:rPr>
        <w:t>b. 误差△b≤1.5mm</w:t>
      </w:r>
    </w:p>
    <w:p w14:paraId="7313610D">
      <w:pPr>
        <w:numPr>
          <w:ilvl w:val="0"/>
          <w:numId w:val="33"/>
        </w:numPr>
        <w:spacing w:line="360" w:lineRule="auto"/>
        <w:ind w:left="1271" w:firstLine="5"/>
        <w:jc w:val="left"/>
        <w:rPr>
          <w:rFonts w:ascii="黑体" w:hAnsi="黑体"/>
          <w:szCs w:val="18"/>
        </w:rPr>
      </w:pPr>
      <w:r>
        <w:rPr>
          <w:rFonts w:ascii="黑体" w:hAnsi="黑体"/>
          <w:szCs w:val="18"/>
        </w:rPr>
        <w:t xml:space="preserve">全长直线度误差≤0.12％ </w:t>
      </w:r>
    </w:p>
    <w:p w14:paraId="18E9EDDB">
      <w:pPr>
        <w:pStyle w:val="97"/>
      </w:pPr>
      <w:r>
        <w:t xml:space="preserve">帘板串接性能 </w:t>
      </w:r>
    </w:p>
    <w:p w14:paraId="307CB2C0">
      <w:pPr>
        <w:numPr>
          <w:ilvl w:val="0"/>
          <w:numId w:val="33"/>
        </w:numPr>
        <w:spacing w:line="360" w:lineRule="auto"/>
        <w:ind w:left="1271" w:firstLine="5"/>
        <w:jc w:val="left"/>
        <w:rPr>
          <w:rFonts w:ascii="黑体" w:hAnsi="黑体"/>
          <w:szCs w:val="18"/>
        </w:rPr>
      </w:pPr>
      <w:r>
        <w:rPr>
          <w:rFonts w:ascii="黑体" w:hAnsi="黑体"/>
          <w:szCs w:val="18"/>
        </w:rPr>
        <w:t xml:space="preserve">相邻互锁帘板串接后，摆动±90°不许脱落，具有防烟性能的垂叠形帘板串接后，摆90°不许脱落。 </w:t>
      </w:r>
    </w:p>
    <w:p w14:paraId="6DCC4C10">
      <w:pPr>
        <w:numPr>
          <w:ilvl w:val="0"/>
          <w:numId w:val="33"/>
        </w:numPr>
        <w:spacing w:line="360" w:lineRule="auto"/>
        <w:ind w:left="1271" w:firstLine="5"/>
        <w:jc w:val="left"/>
        <w:rPr>
          <w:rFonts w:ascii="黑体" w:hAnsi="黑体"/>
          <w:szCs w:val="18"/>
        </w:rPr>
      </w:pPr>
      <w:r>
        <w:rPr>
          <w:rFonts w:ascii="黑体" w:hAnsi="黑体"/>
          <w:szCs w:val="18"/>
        </w:rPr>
        <w:t xml:space="preserve">帘板装配成卷帘后，帘板窜动量≤2mm。 </w:t>
      </w:r>
    </w:p>
    <w:p w14:paraId="5B1D6BD5">
      <w:pPr>
        <w:numPr>
          <w:ilvl w:val="0"/>
          <w:numId w:val="33"/>
        </w:numPr>
        <w:spacing w:line="360" w:lineRule="auto"/>
        <w:ind w:left="1271" w:firstLine="5"/>
        <w:jc w:val="left"/>
        <w:rPr>
          <w:rFonts w:ascii="黑体" w:hAnsi="黑体"/>
          <w:szCs w:val="18"/>
        </w:rPr>
      </w:pPr>
      <w:r>
        <w:rPr>
          <w:rFonts w:ascii="黑体" w:hAnsi="黑体"/>
          <w:szCs w:val="18"/>
        </w:rPr>
        <w:t xml:space="preserve">帘板装配成卷帘后，不允许有孔洞和缝隙存在。帘板与封口板严密性要好，铆焊牢固。 </w:t>
      </w:r>
    </w:p>
    <w:p w14:paraId="39611C83">
      <w:pPr>
        <w:pStyle w:val="97"/>
      </w:pPr>
      <w:r>
        <w:t xml:space="preserve"> 电动卷门机 </w:t>
      </w:r>
    </w:p>
    <w:p w14:paraId="7406461E">
      <w:pPr>
        <w:numPr>
          <w:ilvl w:val="0"/>
          <w:numId w:val="33"/>
        </w:numPr>
        <w:spacing w:line="360" w:lineRule="auto"/>
        <w:ind w:left="1271" w:firstLine="5"/>
        <w:jc w:val="left"/>
        <w:rPr>
          <w:rFonts w:ascii="黑体" w:hAnsi="黑体"/>
          <w:szCs w:val="18"/>
        </w:rPr>
      </w:pPr>
      <w:r>
        <w:rPr>
          <w:rFonts w:ascii="黑体" w:hAnsi="黑体"/>
          <w:szCs w:val="18"/>
        </w:rPr>
        <w:t xml:space="preserve">应设置限位开头，卷帘启闭至上下限时，能自动停止，其重复定位误差&lt;1．5cm。 </w:t>
      </w:r>
    </w:p>
    <w:p w14:paraId="716273CA">
      <w:pPr>
        <w:numPr>
          <w:ilvl w:val="0"/>
          <w:numId w:val="33"/>
        </w:numPr>
        <w:spacing w:line="360" w:lineRule="auto"/>
        <w:ind w:left="1271" w:firstLine="5"/>
        <w:jc w:val="left"/>
        <w:rPr>
          <w:rFonts w:ascii="黑体" w:hAnsi="黑体"/>
          <w:szCs w:val="18"/>
        </w:rPr>
      </w:pPr>
      <w:r>
        <w:rPr>
          <w:rFonts w:ascii="黑体" w:hAnsi="黑体"/>
          <w:szCs w:val="18"/>
        </w:rPr>
        <w:t xml:space="preserve">应设有手动启闭装置。 </w:t>
      </w:r>
    </w:p>
    <w:p w14:paraId="1D73DB1B">
      <w:pPr>
        <w:numPr>
          <w:ilvl w:val="0"/>
          <w:numId w:val="33"/>
        </w:numPr>
        <w:spacing w:line="360" w:lineRule="auto"/>
        <w:ind w:left="1271" w:firstLine="5"/>
        <w:jc w:val="left"/>
        <w:rPr>
          <w:rFonts w:ascii="黑体" w:hAnsi="黑体"/>
          <w:szCs w:val="18"/>
        </w:rPr>
      </w:pPr>
      <w:r>
        <w:rPr>
          <w:rFonts w:ascii="黑体" w:hAnsi="黑体"/>
          <w:szCs w:val="18"/>
        </w:rPr>
        <w:t xml:space="preserve">具有自重下降性能，并具有恒速性能。 </w:t>
      </w:r>
    </w:p>
    <w:p w14:paraId="18D1CA58">
      <w:pPr>
        <w:numPr>
          <w:ilvl w:val="0"/>
          <w:numId w:val="33"/>
        </w:numPr>
        <w:spacing w:line="360" w:lineRule="auto"/>
        <w:ind w:left="1271" w:firstLine="5"/>
        <w:jc w:val="left"/>
        <w:rPr>
          <w:rFonts w:ascii="黑体" w:hAnsi="黑体"/>
          <w:szCs w:val="18"/>
        </w:rPr>
      </w:pPr>
      <w:r>
        <w:rPr>
          <w:rFonts w:ascii="黑体" w:hAnsi="黑体"/>
          <w:szCs w:val="18"/>
        </w:rPr>
        <w:t xml:space="preserve">能在任何位置停止。 </w:t>
      </w:r>
    </w:p>
    <w:p w14:paraId="41DDCCA4">
      <w:pPr>
        <w:numPr>
          <w:ilvl w:val="0"/>
          <w:numId w:val="33"/>
        </w:numPr>
        <w:spacing w:line="360" w:lineRule="auto"/>
        <w:ind w:left="1271" w:firstLine="5"/>
        <w:jc w:val="left"/>
        <w:rPr>
          <w:rFonts w:ascii="黑体" w:hAnsi="黑体"/>
          <w:szCs w:val="18"/>
        </w:rPr>
      </w:pPr>
      <w:r>
        <w:rPr>
          <w:rFonts w:ascii="黑体" w:hAnsi="黑体"/>
          <w:szCs w:val="18"/>
        </w:rPr>
        <w:t xml:space="preserve">可以附设以下控制保险装置：联动装置、手动速放关闭装置、烟感装置、温度金属熔断装置及自控防坠装置，其位置不允许安装在可燃材料上。 </w:t>
      </w:r>
    </w:p>
    <w:p w14:paraId="1A7140A3">
      <w:pPr>
        <w:numPr>
          <w:ilvl w:val="0"/>
          <w:numId w:val="33"/>
        </w:numPr>
        <w:spacing w:line="360" w:lineRule="auto"/>
        <w:ind w:left="1271" w:firstLine="5"/>
        <w:jc w:val="left"/>
        <w:rPr>
          <w:rFonts w:ascii="黑体" w:hAnsi="黑体"/>
          <w:szCs w:val="18"/>
        </w:rPr>
      </w:pPr>
      <w:r>
        <w:rPr>
          <w:rFonts w:ascii="黑体" w:hAnsi="黑体"/>
          <w:szCs w:val="18"/>
        </w:rPr>
        <w:t xml:space="preserve">控制箱应安全便于维修。 </w:t>
      </w:r>
    </w:p>
    <w:p w14:paraId="17F180CD">
      <w:pPr>
        <w:numPr>
          <w:ilvl w:val="0"/>
          <w:numId w:val="33"/>
        </w:numPr>
        <w:spacing w:line="360" w:lineRule="auto"/>
        <w:ind w:left="1271" w:firstLine="5"/>
        <w:jc w:val="left"/>
        <w:rPr>
          <w:rFonts w:ascii="黑体" w:hAnsi="黑体"/>
          <w:szCs w:val="18"/>
        </w:rPr>
      </w:pPr>
      <w:r>
        <w:rPr>
          <w:rFonts w:ascii="黑体" w:hAnsi="黑体"/>
          <w:szCs w:val="18"/>
        </w:rPr>
        <w:t>所装配的操纵装置都应有明显的操纵标志，便于灾情发生时消防人员、执勤人员准确迅速地操作使用。</w:t>
      </w:r>
    </w:p>
    <w:p w14:paraId="11E8601A">
      <w:pPr>
        <w:pStyle w:val="97"/>
      </w:pPr>
      <w:r>
        <w:rPr>
          <w:rFonts w:hint="eastAsia"/>
        </w:rPr>
        <w:t>防火卷帘的帘板、导轨、门楣、座板、传动装置、卷门机及控制箱的加工精度一用料规格均应满足《防火卷帘》GB14102的要求，防火卷帘导轨及门楣内应设防烟设施，该装置应用不燃或难燃材料制作。</w:t>
      </w:r>
    </w:p>
    <w:p w14:paraId="258C985A">
      <w:pPr>
        <w:pStyle w:val="97"/>
      </w:pPr>
      <w:r>
        <w:rPr>
          <w:rFonts w:hint="eastAsia"/>
        </w:rPr>
        <w:t>无机纤维复合防火卷帘表面的材料和构造均应符合《防火卷帘》GB14102第6.3.3条的要求。</w:t>
      </w:r>
    </w:p>
    <w:p w14:paraId="77C7D987">
      <w:pPr>
        <w:autoSpaceDE w:val="0"/>
        <w:autoSpaceDN w:val="0"/>
        <w:adjustRightInd w:val="0"/>
        <w:spacing w:line="360" w:lineRule="auto"/>
        <w:ind w:left="1080"/>
        <w:jc w:val="left"/>
        <w:rPr>
          <w:rFonts w:ascii="黑体" w:hAnsi="黑体" w:cs="宋体"/>
          <w:kern w:val="0"/>
          <w:szCs w:val="18"/>
        </w:rPr>
      </w:pPr>
    </w:p>
    <w:p w14:paraId="30D8105B">
      <w:pPr>
        <w:pStyle w:val="3"/>
        <w:jc w:val="left"/>
      </w:pPr>
      <w:bookmarkStart w:id="36" w:name="_Toc167271871"/>
      <w:bookmarkStart w:id="37" w:name="_Toc174556782"/>
      <w:r>
        <w:rPr>
          <w:rFonts w:hint="eastAsia"/>
        </w:rPr>
        <w:t>性能要求</w:t>
      </w:r>
      <w:bookmarkEnd w:id="36"/>
      <w:bookmarkEnd w:id="37"/>
    </w:p>
    <w:p w14:paraId="169CC834">
      <w:pPr>
        <w:pStyle w:val="97"/>
        <w:rPr>
          <w:rFonts w:cs="宋体"/>
        </w:rPr>
      </w:pPr>
      <w:r>
        <w:rPr>
          <w:rFonts w:hint="eastAsia"/>
        </w:rPr>
        <w:t>防火卷帘的抗风压、防烟、运行的平稳性、运行噪声、运行速度及两步关闭、温控释放和耐火等级必须符合</w:t>
      </w:r>
      <w:r>
        <w:rPr>
          <w:rFonts w:hint="eastAsia" w:cs="宋体"/>
        </w:rPr>
        <w:t>《防火卷帘》GB14102的要求。</w:t>
      </w:r>
    </w:p>
    <w:p w14:paraId="38DE9EE8">
      <w:pPr>
        <w:pStyle w:val="97"/>
        <w:numPr>
          <w:ilvl w:val="2"/>
          <w:numId w:val="34"/>
        </w:numPr>
        <w:tabs>
          <w:tab w:val="left" w:pos="1200"/>
        </w:tabs>
        <w:jc w:val="left"/>
      </w:pPr>
      <w:r>
        <w:rPr>
          <w:rFonts w:hint="eastAsia"/>
        </w:rPr>
        <w:t>防烟性能：帘面两侧差压为</w:t>
      </w:r>
      <w:r>
        <w:t>20Pa</w:t>
      </w:r>
      <w:r>
        <w:rPr>
          <w:rFonts w:hint="eastAsia"/>
        </w:rPr>
        <w:t>时，其在标准状态下的漏烟量不应大于</w:t>
      </w:r>
      <w:r>
        <w:t>0.2m3/(m2.min)</w:t>
      </w:r>
    </w:p>
    <w:p w14:paraId="081871FF">
      <w:pPr>
        <w:pStyle w:val="97"/>
        <w:numPr>
          <w:ilvl w:val="2"/>
          <w:numId w:val="34"/>
        </w:numPr>
        <w:tabs>
          <w:tab w:val="left" w:pos="1200"/>
        </w:tabs>
        <w:jc w:val="left"/>
      </w:pPr>
      <w:r>
        <w:rPr>
          <w:rFonts w:hint="eastAsia"/>
        </w:rPr>
        <w:t>运行平稳性能：防火卷帘装配完毕后，帘面在导轨内运行应平衡，不应有脱轨和明显的倾斜现象；双帘帘面应同时升降，两个帘面之间的高度差不应大于</w:t>
      </w:r>
      <w:r>
        <w:t>30mm</w:t>
      </w:r>
      <w:r>
        <w:rPr>
          <w:rFonts w:hint="eastAsia"/>
        </w:rPr>
        <w:t>。</w:t>
      </w:r>
    </w:p>
    <w:p w14:paraId="6AB49B0F">
      <w:pPr>
        <w:pStyle w:val="97"/>
        <w:numPr>
          <w:ilvl w:val="2"/>
          <w:numId w:val="34"/>
        </w:numPr>
        <w:tabs>
          <w:tab w:val="left" w:pos="1200"/>
        </w:tabs>
        <w:jc w:val="left"/>
      </w:pPr>
      <w:r>
        <w:rPr>
          <w:rFonts w:hint="eastAsia"/>
        </w:rPr>
        <w:t>两步关闭性能：安装在疏散通道处的防火卷帘应具备两步关闭性能。即控制器接收到报警控制信号后，控制防火卷帘自动关闭至距地面</w:t>
      </w:r>
      <w:r>
        <w:t>1.8m</w:t>
      </w:r>
      <w:r>
        <w:rPr>
          <w:rFonts w:hint="eastAsia"/>
        </w:rPr>
        <w:t>处，延时</w:t>
      </w:r>
      <w:r>
        <w:t>20s~50s</w:t>
      </w:r>
      <w:r>
        <w:rPr>
          <w:rFonts w:hint="eastAsia"/>
        </w:rPr>
        <w:t>后关闭至全闭；或控制器接收第一次报警信号后，控制防火卷帘自动关闭至距地面</w:t>
      </w:r>
      <w:r>
        <w:t>1.8m</w:t>
      </w:r>
      <w:r>
        <w:rPr>
          <w:rFonts w:hint="eastAsia"/>
        </w:rPr>
        <w:t>处，接收第二次报警信号后关闭至全闭。</w:t>
      </w:r>
    </w:p>
    <w:p w14:paraId="22463D06">
      <w:pPr>
        <w:pStyle w:val="97"/>
        <w:numPr>
          <w:ilvl w:val="2"/>
          <w:numId w:val="34"/>
        </w:numPr>
        <w:tabs>
          <w:tab w:val="left" w:pos="1200"/>
        </w:tabs>
        <w:jc w:val="left"/>
      </w:pPr>
      <w:r>
        <w:rPr>
          <w:rFonts w:hint="eastAsia"/>
        </w:rPr>
        <w:t>温控释放性能：防火卷帘应装配温控释放装置，当释放装置的感温元件周围温度达到</w:t>
      </w:r>
      <w:r>
        <w:t>73</w:t>
      </w:r>
      <w:r>
        <w:rPr>
          <w:rFonts w:hint="eastAsia"/>
        </w:rPr>
        <w:t>℃±</w:t>
      </w:r>
      <w:r>
        <w:t>0.5</w:t>
      </w:r>
      <w:r>
        <w:rPr>
          <w:rFonts w:hint="eastAsia"/>
        </w:rPr>
        <w:t>℃时，释放装置动作，卷帘应依自重下降关闭。</w:t>
      </w:r>
    </w:p>
    <w:p w14:paraId="3CF91F2D">
      <w:pPr>
        <w:pStyle w:val="97"/>
        <w:numPr>
          <w:ilvl w:val="2"/>
          <w:numId w:val="34"/>
        </w:numPr>
        <w:tabs>
          <w:tab w:val="left" w:pos="1200"/>
        </w:tabs>
        <w:jc w:val="left"/>
      </w:pPr>
      <w:r>
        <w:rPr>
          <w:rFonts w:hint="eastAsia"/>
        </w:rPr>
        <w:t>防火性能：特级防火卷帘必须遵循</w:t>
      </w:r>
      <w:r>
        <w:t>GB14102-2005</w:t>
      </w:r>
      <w:r>
        <w:rPr>
          <w:rFonts w:hint="eastAsia"/>
        </w:rPr>
        <w:t>以背火面温升为判定标准，满足</w:t>
      </w:r>
      <w:r>
        <w:t>3h</w:t>
      </w:r>
      <w:r>
        <w:rPr>
          <w:rFonts w:hint="eastAsia"/>
        </w:rPr>
        <w:t>耐火隔热的要求。</w:t>
      </w:r>
    </w:p>
    <w:p w14:paraId="4F9C142F">
      <w:pPr>
        <w:pStyle w:val="97"/>
        <w:numPr>
          <w:ilvl w:val="2"/>
          <w:numId w:val="34"/>
        </w:numPr>
        <w:tabs>
          <w:tab w:val="left" w:pos="1200"/>
        </w:tabs>
        <w:jc w:val="left"/>
      </w:pPr>
      <w:r>
        <w:rPr>
          <w:rFonts w:hint="eastAsia"/>
        </w:rPr>
        <w:t>耐久性：可承受</w:t>
      </w:r>
      <w:r>
        <w:t>4000</w:t>
      </w:r>
      <w:r>
        <w:rPr>
          <w:rFonts w:hint="eastAsia"/>
        </w:rPr>
        <w:t>次以上开闭。</w:t>
      </w:r>
    </w:p>
    <w:p w14:paraId="05D65224">
      <w:pPr>
        <w:spacing w:line="360" w:lineRule="auto"/>
        <w:jc w:val="left"/>
        <w:rPr>
          <w:rFonts w:ascii="黑体" w:hAnsi="黑体"/>
          <w:b/>
          <w:bCs/>
          <w:szCs w:val="18"/>
        </w:rPr>
      </w:pPr>
    </w:p>
    <w:p w14:paraId="5FC91EBD">
      <w:pPr>
        <w:pStyle w:val="3"/>
        <w:jc w:val="left"/>
      </w:pPr>
      <w:bookmarkStart w:id="38" w:name="_Toc167271872"/>
      <w:bookmarkStart w:id="39" w:name="_Toc174556783"/>
      <w:r>
        <w:rPr>
          <w:rFonts w:hint="eastAsia"/>
        </w:rPr>
        <w:t>供应商提交资料</w:t>
      </w:r>
      <w:bookmarkEnd w:id="38"/>
      <w:bookmarkEnd w:id="39"/>
    </w:p>
    <w:p w14:paraId="00508413">
      <w:pPr>
        <w:pStyle w:val="97"/>
        <w:numPr>
          <w:ilvl w:val="2"/>
          <w:numId w:val="1"/>
        </w:numPr>
        <w:tabs>
          <w:tab w:val="left" w:pos="1200"/>
        </w:tabs>
        <w:jc w:val="left"/>
      </w:pPr>
      <w:r>
        <w:t xml:space="preserve">供应厂商资质、企业状况、技术状况文件，产品实施项目表，厂商安装技术规程。 </w:t>
      </w:r>
    </w:p>
    <w:p w14:paraId="4FA0E65D">
      <w:pPr>
        <w:pStyle w:val="97"/>
        <w:numPr>
          <w:ilvl w:val="2"/>
          <w:numId w:val="1"/>
        </w:numPr>
        <w:tabs>
          <w:tab w:val="left" w:pos="1200"/>
        </w:tabs>
        <w:jc w:val="left"/>
      </w:pPr>
      <w:r>
        <w:t>产品资料：递交厂商关于</w:t>
      </w:r>
      <w:r>
        <w:rPr>
          <w:rFonts w:hint="eastAsia"/>
        </w:rPr>
        <w:t>防火卷帘</w:t>
      </w:r>
      <w:r>
        <w:t>门产品资料，产品生产</w:t>
      </w:r>
      <w:r>
        <w:rPr>
          <w:rFonts w:hint="eastAsia"/>
        </w:rPr>
        <w:t>、检测</w:t>
      </w:r>
      <w:r>
        <w:t>、安装、验收方面资料。</w:t>
      </w:r>
      <w:r>
        <w:rPr>
          <w:rFonts w:hint="eastAsia"/>
        </w:rPr>
        <w:t>必须提供</w:t>
      </w:r>
      <w:r>
        <w:t>CCCF认证及型式检验报告</w:t>
      </w:r>
      <w:r>
        <w:rPr>
          <w:rFonts w:hint="eastAsia"/>
        </w:rPr>
        <w:t>。</w:t>
      </w:r>
    </w:p>
    <w:p w14:paraId="18E950C9">
      <w:pPr>
        <w:pStyle w:val="97"/>
        <w:numPr>
          <w:ilvl w:val="2"/>
          <w:numId w:val="1"/>
        </w:numPr>
        <w:tabs>
          <w:tab w:val="left" w:pos="1200"/>
        </w:tabs>
        <w:jc w:val="left"/>
      </w:pPr>
      <w:r>
        <w:t xml:space="preserve">施工安装图：递交标有详细尺寸和产品安装位置的施工安装详图，图纸比例足以表达相应技术内容和满足安装要求，图纸包括（不限于）以下： </w:t>
      </w:r>
    </w:p>
    <w:p w14:paraId="4B0ACF28">
      <w:pPr>
        <w:pStyle w:val="49"/>
        <w:numPr>
          <w:ilvl w:val="0"/>
          <w:numId w:val="35"/>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所有</w:t>
      </w:r>
      <w:r>
        <w:rPr>
          <w:rFonts w:hint="eastAsia" w:ascii="黑体" w:hAnsi="黑体" w:cs="宋体"/>
          <w:kern w:val="0"/>
          <w:szCs w:val="18"/>
        </w:rPr>
        <w:t>防火卷帘门</w:t>
      </w:r>
      <w:r>
        <w:rPr>
          <w:rFonts w:ascii="黑体" w:hAnsi="黑体" w:cs="宋体"/>
          <w:kern w:val="0"/>
          <w:szCs w:val="18"/>
        </w:rPr>
        <w:t xml:space="preserve">产品平面图、立面图 </w:t>
      </w:r>
    </w:p>
    <w:p w14:paraId="5F12AC90">
      <w:pPr>
        <w:pStyle w:val="49"/>
        <w:numPr>
          <w:ilvl w:val="0"/>
          <w:numId w:val="35"/>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所有产品技术接点图，</w:t>
      </w:r>
    </w:p>
    <w:p w14:paraId="152746E6">
      <w:pPr>
        <w:pStyle w:val="49"/>
        <w:numPr>
          <w:ilvl w:val="0"/>
          <w:numId w:val="35"/>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 xml:space="preserve">产品的数据资料及建议的工作计划资料 </w:t>
      </w:r>
    </w:p>
    <w:p w14:paraId="7E9F5072">
      <w:pPr>
        <w:pStyle w:val="97"/>
        <w:rPr>
          <w:rFonts w:cs="宋体"/>
        </w:rPr>
      </w:pPr>
      <w:r>
        <w:t>产品样品：递交以下样品：</w:t>
      </w:r>
      <w:r>
        <w:rPr>
          <w:rFonts w:cs="宋体"/>
        </w:rPr>
        <w:t xml:space="preserve"> </w:t>
      </w:r>
    </w:p>
    <w:p w14:paraId="28E22D62">
      <w:pPr>
        <w:pStyle w:val="49"/>
        <w:numPr>
          <w:ilvl w:val="0"/>
          <w:numId w:val="36"/>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防火</w:t>
      </w:r>
      <w:r>
        <w:rPr>
          <w:rFonts w:hint="eastAsia" w:ascii="黑体" w:hAnsi="黑体" w:cs="宋体"/>
          <w:kern w:val="0"/>
          <w:szCs w:val="18"/>
        </w:rPr>
        <w:t>卷帘</w:t>
      </w:r>
      <w:r>
        <w:rPr>
          <w:rFonts w:ascii="黑体" w:hAnsi="黑体" w:cs="宋体"/>
          <w:kern w:val="0"/>
          <w:szCs w:val="18"/>
        </w:rPr>
        <w:t xml:space="preserve">门样品。 </w:t>
      </w:r>
    </w:p>
    <w:p w14:paraId="4ADAD34D">
      <w:pPr>
        <w:pStyle w:val="49"/>
        <w:numPr>
          <w:ilvl w:val="0"/>
          <w:numId w:val="36"/>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经国家消防检测机构检测合格的定型</w:t>
      </w:r>
      <w:r>
        <w:rPr>
          <w:rFonts w:hint="eastAsia" w:ascii="黑体" w:hAnsi="黑体" w:cs="宋体"/>
          <w:kern w:val="0"/>
          <w:szCs w:val="18"/>
        </w:rPr>
        <w:t>零部件</w:t>
      </w:r>
      <w:r>
        <w:rPr>
          <w:rFonts w:ascii="黑体" w:hAnsi="黑体" w:cs="宋体"/>
          <w:kern w:val="0"/>
          <w:szCs w:val="18"/>
        </w:rPr>
        <w:t xml:space="preserve">。 </w:t>
      </w:r>
    </w:p>
    <w:p w14:paraId="37E26211">
      <w:pPr>
        <w:pStyle w:val="3"/>
        <w:jc w:val="left"/>
      </w:pPr>
      <w:bookmarkStart w:id="40" w:name="_Toc167271873"/>
      <w:bookmarkStart w:id="41" w:name="_Toc174556784"/>
      <w:bookmarkStart w:id="42" w:name="_Toc136462895"/>
      <w:r>
        <w:t>安装</w:t>
      </w:r>
      <w:r>
        <w:rPr>
          <w:rFonts w:hint="eastAsia"/>
        </w:rPr>
        <w:t>及施工工艺</w:t>
      </w:r>
      <w:r>
        <w:t>要求</w:t>
      </w:r>
      <w:bookmarkEnd w:id="40"/>
      <w:bookmarkEnd w:id="41"/>
      <w:bookmarkEnd w:id="42"/>
    </w:p>
    <w:p w14:paraId="3B32D262">
      <w:pPr>
        <w:pStyle w:val="97"/>
      </w:pPr>
      <w:r>
        <w:rPr>
          <w:rFonts w:hint="eastAsia"/>
        </w:rPr>
        <w:t>防火卷帘安装前必须做样板，待验收通过后再行施工。</w:t>
      </w:r>
    </w:p>
    <w:p w14:paraId="61D473AF">
      <w:pPr>
        <w:pStyle w:val="111"/>
        <w:numPr>
          <w:ilvl w:val="3"/>
          <w:numId w:val="1"/>
        </w:numPr>
        <w:tabs>
          <w:tab w:val="left" w:pos="1680"/>
        </w:tabs>
        <w:jc w:val="left"/>
      </w:pPr>
      <w:r>
        <w:t>防火卷帘安装前应确认</w:t>
      </w:r>
      <w:r>
        <w:rPr>
          <w:rFonts w:hint="eastAsia"/>
        </w:rPr>
        <w:t>安装</w:t>
      </w:r>
      <w:r>
        <w:t>图纸，检查设备零部件无缺失，配置相应工具设备，制定施工方案。</w:t>
      </w:r>
    </w:p>
    <w:p w14:paraId="1286368F">
      <w:pPr>
        <w:pStyle w:val="111"/>
        <w:numPr>
          <w:ilvl w:val="3"/>
          <w:numId w:val="1"/>
        </w:numPr>
        <w:tabs>
          <w:tab w:val="left" w:pos="1680"/>
        </w:tabs>
        <w:jc w:val="left"/>
      </w:pPr>
      <w:r>
        <w:rPr>
          <w:rFonts w:hint="eastAsia"/>
        </w:rPr>
        <w:t>安装前需对所有零部件进行清点检查，确保其符合要求；</w:t>
      </w:r>
    </w:p>
    <w:p w14:paraId="175B4946">
      <w:pPr>
        <w:pStyle w:val="111"/>
        <w:numPr>
          <w:ilvl w:val="3"/>
          <w:numId w:val="1"/>
        </w:numPr>
        <w:tabs>
          <w:tab w:val="left" w:pos="1680"/>
        </w:tabs>
        <w:jc w:val="left"/>
      </w:pPr>
      <w:r>
        <w:rPr>
          <w:rFonts w:hint="eastAsia"/>
        </w:rPr>
        <w:t>安装前需核对卷门机功率、电压、相制与电源相符；</w:t>
      </w:r>
    </w:p>
    <w:p w14:paraId="33552022">
      <w:pPr>
        <w:pStyle w:val="111"/>
        <w:numPr>
          <w:ilvl w:val="3"/>
          <w:numId w:val="1"/>
        </w:numPr>
        <w:tabs>
          <w:tab w:val="left" w:pos="1680"/>
        </w:tabs>
        <w:jc w:val="left"/>
      </w:pPr>
      <w:r>
        <w:rPr>
          <w:rFonts w:hint="eastAsia"/>
        </w:rPr>
        <w:t>安装前应确定出电控装置和按钮盒的位置，且需与墙面装修和电源、消防布线互相协调；</w:t>
      </w:r>
    </w:p>
    <w:p w14:paraId="7CC00235">
      <w:pPr>
        <w:pStyle w:val="97"/>
      </w:pPr>
      <w:r>
        <w:rPr>
          <w:rFonts w:hint="eastAsia"/>
        </w:rPr>
        <w:t>对于防火卷帘，若使用预埋方式安装，安装前需检查卷轴支座及导轨预埋件是否相符；若采用膨胀螺栓固定安装，则应在划出水平和垂直线后定出膨胀螺栓位置，以确保安装后卷轴的水平度和同轴度及导轨的垂直度满足要求。</w:t>
      </w:r>
    </w:p>
    <w:p w14:paraId="5B986E6D">
      <w:pPr>
        <w:pStyle w:val="97"/>
        <w:numPr>
          <w:ilvl w:val="2"/>
          <w:numId w:val="1"/>
        </w:numPr>
        <w:tabs>
          <w:tab w:val="left" w:pos="1200"/>
        </w:tabs>
        <w:jc w:val="left"/>
      </w:pPr>
      <w:r>
        <w:rPr>
          <w:rFonts w:hint="eastAsia"/>
        </w:rPr>
        <w:t>零部件安装流程：防火卷帘各零部件的安装工艺流程可参考如下：主付支撑板</w:t>
      </w:r>
      <w:r>
        <w:t>--</w:t>
      </w:r>
      <w:r>
        <w:rPr>
          <w:rFonts w:hint="eastAsia"/>
        </w:rPr>
        <w:t>＞卷轴</w:t>
      </w:r>
      <w:r>
        <w:t>--</w:t>
      </w:r>
      <w:r>
        <w:rPr>
          <w:rFonts w:hint="eastAsia"/>
        </w:rPr>
        <w:t>＞导轨</w:t>
      </w:r>
      <w:r>
        <w:t>--</w:t>
      </w:r>
      <w:r>
        <w:rPr>
          <w:rFonts w:hint="eastAsia"/>
        </w:rPr>
        <w:t>＞卷门机</w:t>
      </w:r>
      <w:r>
        <w:t>--</w:t>
      </w:r>
      <w:r>
        <w:rPr>
          <w:rFonts w:hint="eastAsia"/>
        </w:rPr>
        <w:t>＞帘布</w:t>
      </w:r>
      <w:r>
        <w:t>--</w:t>
      </w:r>
      <w:r>
        <w:rPr>
          <w:rFonts w:hint="eastAsia"/>
        </w:rPr>
        <w:t>＞</w:t>
      </w:r>
      <w:r>
        <w:t>箱罩--</w:t>
      </w:r>
      <w:r>
        <w:rPr>
          <w:rFonts w:hint="eastAsia"/>
        </w:rPr>
        <w:t>＞电控箱、按钮盒</w:t>
      </w:r>
      <w:r>
        <w:t>--</w:t>
      </w:r>
      <w:r>
        <w:rPr>
          <w:rFonts w:hint="eastAsia"/>
        </w:rPr>
        <w:t>＞通电调试。</w:t>
      </w:r>
    </w:p>
    <w:p w14:paraId="3677449A">
      <w:pPr>
        <w:pStyle w:val="97"/>
        <w:numPr>
          <w:ilvl w:val="2"/>
          <w:numId w:val="1"/>
        </w:numPr>
        <w:tabs>
          <w:tab w:val="left" w:pos="1200"/>
        </w:tabs>
        <w:jc w:val="left"/>
      </w:pPr>
      <w:r>
        <w:rPr>
          <w:rFonts w:hint="eastAsia"/>
        </w:rPr>
        <w:t>主付支撑板安装：确定门洞中心线，以此为基准（</w:t>
      </w:r>
      <w:r>
        <w:t>1/2w,其中w</w:t>
      </w:r>
      <w:r>
        <w:rPr>
          <w:rFonts w:hint="eastAsia"/>
        </w:rPr>
        <w:t>为门洞宽度）</w:t>
      </w:r>
      <w:r>
        <w:t>,左右分别确认</w:t>
      </w:r>
      <w:r>
        <w:rPr>
          <w:rFonts w:hint="eastAsia"/>
        </w:rPr>
        <w:t>主付支撑板</w:t>
      </w:r>
      <w:r>
        <w:t>的</w:t>
      </w:r>
      <w:r>
        <w:rPr>
          <w:rFonts w:hint="eastAsia"/>
        </w:rPr>
        <w:t>安装</w:t>
      </w:r>
      <w:r>
        <w:t>位置（一般为1/2w+150mm）。</w:t>
      </w:r>
      <w:r>
        <w:rPr>
          <w:rFonts w:hint="eastAsia"/>
        </w:rPr>
        <w:t>支撑板应固定在梁、柱、混凝土墙或钢结构上，</w:t>
      </w:r>
      <w:r>
        <w:t>当采用ALC墙板时，应焊接在顶部钢梁上，满足结构要求。</w:t>
      </w:r>
      <w:r>
        <w:rPr>
          <w:rFonts w:hint="eastAsia"/>
        </w:rPr>
        <w:t>支撑板与墙面应垂直，角度偏差不宜超过±</w:t>
      </w:r>
      <w:r>
        <w:t>10mm</w:t>
      </w:r>
      <w:r>
        <w:rPr>
          <w:rFonts w:hint="eastAsia"/>
        </w:rPr>
        <w:t>。</w:t>
      </w:r>
    </w:p>
    <w:p w14:paraId="3AA0E14C">
      <w:pPr>
        <w:pStyle w:val="97"/>
        <w:numPr>
          <w:ilvl w:val="2"/>
          <w:numId w:val="1"/>
        </w:numPr>
        <w:tabs>
          <w:tab w:val="left" w:pos="1200"/>
        </w:tabs>
        <w:jc w:val="left"/>
      </w:pPr>
      <w:r>
        <w:rPr>
          <w:rFonts w:hint="eastAsia"/>
        </w:rPr>
        <w:t>卷轴安装：确定卷轴高度。以地坪±</w:t>
      </w:r>
      <w:r>
        <w:t>0</w:t>
      </w:r>
      <w:r>
        <w:rPr>
          <w:rFonts w:hint="eastAsia"/>
        </w:rPr>
        <w:t>为基准，高度一般为</w:t>
      </w:r>
      <w:r>
        <w:t>H+200mm（H</w:t>
      </w:r>
      <w:r>
        <w:rPr>
          <w:rFonts w:hint="eastAsia"/>
        </w:rPr>
        <w:t>为门洞高度</w:t>
      </w:r>
      <w:r>
        <w:t>）,</w:t>
      </w:r>
      <w:r>
        <w:rPr>
          <w:rFonts w:hint="eastAsia"/>
        </w:rPr>
        <w:t>卷轴应安装平直，中心点与两侧支撑板十字中心线对齐，上下及水平误差±</w:t>
      </w:r>
      <w:r>
        <w:t>3mm，并用激光仪定位</w:t>
      </w:r>
      <w:r>
        <w:rPr>
          <w:rFonts w:hint="eastAsia"/>
        </w:rPr>
        <w:t>。，安装完后应检查卷轴的水平度是否满足要求。卷轴安装后应保证转动灵活，无卡顿。</w:t>
      </w:r>
    </w:p>
    <w:p w14:paraId="0B491C3F">
      <w:pPr>
        <w:pStyle w:val="97"/>
      </w:pPr>
      <w:r>
        <w:rPr>
          <w:rFonts w:hint="eastAsia"/>
        </w:rPr>
        <w:t>导轨安装：</w:t>
      </w:r>
      <w:r>
        <w:t>确定导轨外侧位置，一般为1/2w+100mm, 顺序安装两侧导轨、包边与底座。原则上选择掩埋型导轨，导轨两侧及前后应采用砌砖或轻钢龙骨+</w:t>
      </w:r>
      <w:r>
        <w:rPr>
          <w:rFonts w:hint="eastAsia"/>
        </w:rPr>
        <w:t>填充岩棉的方式进行防火包裹。内外侧导轨之间应有方管连接，然后与导轨后侧的结构柱固定。当采用</w:t>
      </w:r>
      <w:r>
        <w:t>ALC板时，导轨一侧应与垂直方向的钢方管焊接固定，间距600~800mm之间。</w:t>
      </w:r>
      <w:r>
        <w:rPr>
          <w:rFonts w:hint="eastAsia"/>
        </w:rPr>
        <w:t>导轨安装应垂直于完成面，垂直度误差不应大于1.5mm/m，全长不大于20mm。</w:t>
      </w:r>
    </w:p>
    <w:p w14:paraId="6B7443D8">
      <w:pPr>
        <w:pStyle w:val="111"/>
        <w:numPr>
          <w:ilvl w:val="0"/>
          <w:numId w:val="0"/>
        </w:numPr>
        <w:ind w:left="1276"/>
        <w:jc w:val="left"/>
      </w:pPr>
      <w:r>
        <w:drawing>
          <wp:inline distT="0" distB="0" distL="0" distR="0">
            <wp:extent cx="4603115" cy="2679700"/>
            <wp:effectExtent l="0" t="0" r="6985" b="6350"/>
            <wp:docPr id="11667605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60502" name="图片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604903" cy="2680466"/>
                    </a:xfrm>
                    <a:prstGeom prst="rect">
                      <a:avLst/>
                    </a:prstGeom>
                    <a:noFill/>
                    <a:ln>
                      <a:noFill/>
                    </a:ln>
                  </pic:spPr>
                </pic:pic>
              </a:graphicData>
            </a:graphic>
          </wp:inline>
        </w:drawing>
      </w:r>
    </w:p>
    <w:p w14:paraId="6C74EA0E">
      <w:pPr>
        <w:pStyle w:val="111"/>
        <w:numPr>
          <w:ilvl w:val="0"/>
          <w:numId w:val="0"/>
        </w:numPr>
        <w:ind w:left="1276"/>
        <w:jc w:val="left"/>
      </w:pPr>
      <w:r>
        <w:rPr>
          <w:rFonts w:cs="宋体"/>
        </w:rPr>
        <w:drawing>
          <wp:inline distT="0" distB="0" distL="0" distR="0">
            <wp:extent cx="2626360" cy="2282190"/>
            <wp:effectExtent l="0" t="0" r="2540" b="3810"/>
            <wp:docPr id="5757649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6493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b="8578"/>
                    <a:stretch>
                      <a:fillRect/>
                    </a:stretch>
                  </pic:blipFill>
                  <pic:spPr>
                    <a:xfrm>
                      <a:off x="0" y="0"/>
                      <a:ext cx="2654728" cy="2306588"/>
                    </a:xfrm>
                    <a:prstGeom prst="rect">
                      <a:avLst/>
                    </a:prstGeom>
                    <a:noFill/>
                    <a:ln>
                      <a:noFill/>
                    </a:ln>
                  </pic:spPr>
                </pic:pic>
              </a:graphicData>
            </a:graphic>
          </wp:inline>
        </w:drawing>
      </w:r>
      <w:r>
        <w:t xml:space="preserve"> </w:t>
      </w:r>
      <w:r>
        <w:rPr>
          <w:rFonts w:cs="宋体"/>
        </w:rPr>
        <w:drawing>
          <wp:inline distT="0" distB="0" distL="0" distR="0">
            <wp:extent cx="1927225" cy="2214245"/>
            <wp:effectExtent l="0" t="0" r="0" b="0"/>
            <wp:docPr id="137194607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46073" name="图片 3" descr="图示&#10;&#10;描述已自动生成"/>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49309" cy="2239749"/>
                    </a:xfrm>
                    <a:prstGeom prst="rect">
                      <a:avLst/>
                    </a:prstGeom>
                  </pic:spPr>
                </pic:pic>
              </a:graphicData>
            </a:graphic>
          </wp:inline>
        </w:drawing>
      </w:r>
    </w:p>
    <w:p w14:paraId="58BD1FBC">
      <w:pPr>
        <w:pStyle w:val="111"/>
        <w:numPr>
          <w:ilvl w:val="0"/>
          <w:numId w:val="0"/>
        </w:numPr>
        <w:ind w:left="1276"/>
        <w:jc w:val="left"/>
      </w:pPr>
    </w:p>
    <w:p w14:paraId="2FF1FC40">
      <w:pPr>
        <w:pStyle w:val="3"/>
        <w:jc w:val="left"/>
        <w:rPr>
          <w:b w:val="0"/>
        </w:rPr>
      </w:pPr>
      <w:bookmarkStart w:id="43" w:name="_Toc167271874"/>
      <w:bookmarkStart w:id="44" w:name="_Toc174556785"/>
      <w:r>
        <w:rPr>
          <w:rFonts w:hint="eastAsia"/>
        </w:rPr>
        <w:t>其它</w:t>
      </w:r>
      <w:bookmarkEnd w:id="43"/>
      <w:bookmarkEnd w:id="44"/>
    </w:p>
    <w:p w14:paraId="30080CCB">
      <w:pPr>
        <w:pStyle w:val="97"/>
        <w:tabs>
          <w:tab w:val="left" w:pos="1200"/>
        </w:tabs>
        <w:jc w:val="left"/>
      </w:pPr>
      <w:r>
        <w:rPr>
          <w:rFonts w:hint="eastAsia"/>
        </w:rPr>
        <w:t>防火卷帘必须提供</w:t>
      </w:r>
      <w:r>
        <w:t>CCCF认证及型式检验报告</w:t>
      </w:r>
      <w:r>
        <w:rPr>
          <w:rFonts w:hint="eastAsia"/>
        </w:rPr>
        <w:t>。</w:t>
      </w:r>
    </w:p>
    <w:p w14:paraId="0303B0EC">
      <w:pPr>
        <w:pStyle w:val="97"/>
        <w:tabs>
          <w:tab w:val="left" w:pos="1200"/>
        </w:tabs>
        <w:jc w:val="left"/>
      </w:pPr>
      <w:r>
        <w:t>防火卷帘有</w:t>
      </w:r>
      <w:r>
        <w:rPr>
          <w:rFonts w:hint="eastAsia"/>
        </w:rPr>
        <w:t>报警、故障、动作事件时卷帘控制箱应有蜂鸣报警。</w:t>
      </w:r>
    </w:p>
    <w:p w14:paraId="28519CE2">
      <w:pPr>
        <w:pStyle w:val="97"/>
        <w:tabs>
          <w:tab w:val="left" w:pos="1200"/>
        </w:tabs>
        <w:jc w:val="left"/>
      </w:pPr>
      <w:r>
        <w:t>所有卷帘包厢必须封闭，在电机处开检修口。</w:t>
      </w:r>
    </w:p>
    <w:p w14:paraId="537CEDC2">
      <w:pPr>
        <w:pStyle w:val="97"/>
        <w:tabs>
          <w:tab w:val="left" w:pos="1200"/>
        </w:tabs>
        <w:jc w:val="left"/>
      </w:pPr>
      <w:r>
        <w:rPr>
          <w:rFonts w:hint="eastAsia"/>
        </w:rPr>
        <w:t>所选卷门机功率提升能力不小于卷帘帘片总重量的</w:t>
      </w:r>
      <w:r>
        <w:t>2</w:t>
      </w:r>
      <w:r>
        <w:rPr>
          <w:rFonts w:hint="eastAsia"/>
        </w:rPr>
        <w:t>倍，链条选择满足规范，链条静强度、许可安全系数＞</w:t>
      </w:r>
      <w:r>
        <w:t>4。</w:t>
      </w:r>
    </w:p>
    <w:p w14:paraId="60E5A0C3">
      <w:pPr>
        <w:pStyle w:val="97"/>
        <w:tabs>
          <w:tab w:val="left" w:pos="1200"/>
        </w:tabs>
        <w:jc w:val="left"/>
      </w:pPr>
      <w:r>
        <w:rPr>
          <w:rFonts w:hint="eastAsia"/>
        </w:rPr>
        <w:t>防火卷帘金属部件必须有防腐防锈处理，包厢、导轨、钢夹带、座板必须为镀锌钢板</w:t>
      </w:r>
      <w:r>
        <w:t>，支架板必须烤漆处理，卷轴必须有防锈漆。</w:t>
      </w:r>
    </w:p>
    <w:p w14:paraId="4B3002DB">
      <w:pPr>
        <w:pStyle w:val="97"/>
        <w:tabs>
          <w:tab w:val="left" w:pos="1200"/>
        </w:tabs>
        <w:jc w:val="left"/>
      </w:pPr>
      <w:r>
        <w:t>卷门机、链条必须原厂供应并提供合格证，品牌型号与卷帘型式检验报告相符。</w:t>
      </w:r>
    </w:p>
    <w:p w14:paraId="4E93C4FD">
      <w:pPr>
        <w:pStyle w:val="97"/>
      </w:pPr>
      <w:r>
        <w:t>所有卷帘</w:t>
      </w:r>
      <w:r>
        <w:rPr>
          <w:rFonts w:hint="eastAsia"/>
        </w:rPr>
        <w:t>均需</w:t>
      </w:r>
      <w:r>
        <w:t>设置防断链装置，避免意外断链坠落。</w:t>
      </w:r>
    </w:p>
    <w:p w14:paraId="335EBA31">
      <w:pPr>
        <w:pStyle w:val="3"/>
        <w:jc w:val="left"/>
      </w:pPr>
      <w:bookmarkStart w:id="45" w:name="_Toc174556786"/>
      <w:bookmarkStart w:id="46" w:name="_Toc167271875"/>
      <w:r>
        <w:rPr>
          <w:rFonts w:hint="eastAsia"/>
          <w:kern w:val="0"/>
        </w:rPr>
        <w:t>保修</w:t>
      </w:r>
      <w:r>
        <w:rPr>
          <w:rFonts w:hint="eastAsia"/>
        </w:rPr>
        <w:t>要求</w:t>
      </w:r>
      <w:r>
        <w:rPr>
          <w:rFonts w:hint="eastAsia"/>
          <w:kern w:val="0"/>
        </w:rPr>
        <w:t>：</w:t>
      </w:r>
      <w:bookmarkEnd w:id="45"/>
      <w:bookmarkEnd w:id="46"/>
    </w:p>
    <w:p w14:paraId="60671C82">
      <w:pPr>
        <w:pStyle w:val="97"/>
        <w:numPr>
          <w:ilvl w:val="2"/>
          <w:numId w:val="37"/>
        </w:numPr>
        <w:tabs>
          <w:tab w:val="left" w:pos="1200"/>
        </w:tabs>
        <w:jc w:val="left"/>
      </w:pPr>
      <w:r>
        <w:rPr>
          <w:rFonts w:hint="eastAsia" w:cs="Arial"/>
          <w:bCs/>
        </w:rPr>
        <w:t>保修期：自业主集中交付之日起一个月后开始计算，分批交付的，分批计算，保修期为</w:t>
      </w:r>
      <w:r>
        <w:rPr>
          <w:rFonts w:cs="Arial"/>
          <w:bCs/>
        </w:rPr>
        <w:t>2</w:t>
      </w:r>
      <w:r>
        <w:rPr>
          <w:rFonts w:hint="eastAsia" w:cs="Arial"/>
          <w:bCs/>
        </w:rPr>
        <w:t>年。业主报</w:t>
      </w:r>
      <w:r>
        <w:rPr>
          <w:rFonts w:hint="eastAsia"/>
        </w:rPr>
        <w:t>修后，维修人员必须在24小时内到达现场。</w:t>
      </w:r>
    </w:p>
    <w:p w14:paraId="6E7ECECF">
      <w:pPr>
        <w:pStyle w:val="97"/>
        <w:numPr>
          <w:ilvl w:val="2"/>
          <w:numId w:val="37"/>
        </w:numPr>
        <w:tabs>
          <w:tab w:val="left" w:pos="1200"/>
        </w:tabs>
        <w:jc w:val="left"/>
      </w:pPr>
      <w:r>
        <w:rPr>
          <w:rFonts w:hint="eastAsia" w:cs="Arial"/>
          <w:bCs/>
        </w:rPr>
        <w:t>卷帘门整体使用年限不小于5年。</w:t>
      </w:r>
    </w:p>
    <w:p w14:paraId="0A667077">
      <w:pPr>
        <w:pStyle w:val="111"/>
        <w:numPr>
          <w:ilvl w:val="0"/>
          <w:numId w:val="0"/>
        </w:numPr>
        <w:jc w:val="left"/>
      </w:pPr>
    </w:p>
    <w:p w14:paraId="5645655B">
      <w:pPr>
        <w:pStyle w:val="2"/>
        <w:numPr>
          <w:ilvl w:val="0"/>
          <w:numId w:val="0"/>
        </w:numPr>
        <w:ind w:left="365"/>
        <w:jc w:val="left"/>
        <w:rPr>
          <w:szCs w:val="18"/>
        </w:rPr>
      </w:pPr>
      <w:bookmarkStart w:id="47" w:name="_Toc174556787"/>
      <w:bookmarkStart w:id="48" w:name="_Toc167271876"/>
      <w:r>
        <w:rPr>
          <w:rFonts w:hint="eastAsia"/>
          <w:szCs w:val="18"/>
        </w:rPr>
        <w:t>普通卷帘门</w:t>
      </w:r>
      <w:bookmarkEnd w:id="47"/>
      <w:bookmarkEnd w:id="48"/>
    </w:p>
    <w:p w14:paraId="455CF58C">
      <w:pPr>
        <w:pStyle w:val="3"/>
        <w:jc w:val="left"/>
      </w:pPr>
      <w:bookmarkStart w:id="49" w:name="_Toc167271877"/>
      <w:bookmarkStart w:id="50" w:name="_Toc174556788"/>
      <w:r>
        <w:rPr>
          <w:rFonts w:hint="eastAsia"/>
        </w:rPr>
        <w:t>通用技术条件：</w:t>
      </w:r>
      <w:bookmarkEnd w:id="49"/>
      <w:bookmarkEnd w:id="50"/>
    </w:p>
    <w:p w14:paraId="4B0BB0ED">
      <w:pPr>
        <w:pStyle w:val="97"/>
        <w:numPr>
          <w:ilvl w:val="2"/>
          <w:numId w:val="38"/>
        </w:numPr>
        <w:tabs>
          <w:tab w:val="left" w:pos="1200"/>
        </w:tabs>
        <w:jc w:val="left"/>
      </w:pPr>
      <w:r>
        <w:rPr>
          <w:rFonts w:hint="eastAsia"/>
        </w:rPr>
        <w:t>普通卷帘门，是指使用钢质材料做帘板、座板、导轨、支座、卷轴、箱体等，并配以卷门机、控制箱、按钮盒所组成的卷帘门。卷帘两侧柱或墙上要预埋固定卷帘门轴的埋件，该埋件图由安装单位配合确定。</w:t>
      </w:r>
    </w:p>
    <w:p w14:paraId="26A6A3F8">
      <w:pPr>
        <w:pStyle w:val="97"/>
        <w:numPr>
          <w:ilvl w:val="2"/>
          <w:numId w:val="38"/>
        </w:numPr>
        <w:tabs>
          <w:tab w:val="left" w:pos="1200"/>
        </w:tabs>
        <w:jc w:val="left"/>
      </w:pPr>
      <w:r>
        <w:rPr>
          <w:rFonts w:hint="eastAsia"/>
        </w:rPr>
        <w:t>材料：卷帘使用的原材料应符合健康环保的有关规定，不应使用国家明令禁止的材料。主要零部件使用的各种原材料应符合相应国家标准或行业标准的规定。</w:t>
      </w:r>
    </w:p>
    <w:p w14:paraId="133B8B45">
      <w:pPr>
        <w:pStyle w:val="97"/>
        <w:numPr>
          <w:ilvl w:val="2"/>
          <w:numId w:val="38"/>
        </w:numPr>
        <w:tabs>
          <w:tab w:val="left" w:pos="1200"/>
        </w:tabs>
        <w:jc w:val="left"/>
        <w:rPr>
          <w:rFonts w:cs="宋体"/>
        </w:rPr>
      </w:pPr>
      <w:r>
        <w:t>卷帘金属材料应满足钢牌号不低于Q235B</w:t>
      </w:r>
      <w:r>
        <w:rPr>
          <w:rFonts w:hint="eastAsia"/>
        </w:rPr>
        <w:t>，帘片烤漆涂层厚度不应小于</w:t>
      </w:r>
      <w:r>
        <w:t>25</w:t>
      </w:r>
      <w:r>
        <w:rPr>
          <w:rFonts w:hint="eastAsia"/>
        </w:rPr>
        <w:t>微米，原材料厚度：帘板≥</w:t>
      </w:r>
      <w:r>
        <w:t>0.8</w:t>
      </w:r>
      <w:r>
        <w:rPr>
          <w:rFonts w:hint="eastAsia"/>
        </w:rPr>
        <w:t>mm；座板≥</w:t>
      </w:r>
      <w:r>
        <w:t>5</w:t>
      </w:r>
      <w:r>
        <w:rPr>
          <w:rFonts w:hint="eastAsia"/>
        </w:rPr>
        <w:t>mm；支座≥</w:t>
      </w:r>
      <w:r>
        <w:t>5</w:t>
      </w:r>
      <w:r>
        <w:rPr>
          <w:rFonts w:hint="eastAsia"/>
        </w:rPr>
        <w:t>mm；导轨</w:t>
      </w:r>
      <w:r>
        <w:rPr>
          <w:rFonts w:hint="eastAsia" w:cs="宋体"/>
        </w:rPr>
        <w:t>≥</w:t>
      </w:r>
      <w:r>
        <w:rPr>
          <w:rFonts w:cs="宋体"/>
        </w:rPr>
        <w:t>2</w:t>
      </w:r>
      <w:r>
        <w:rPr>
          <w:rFonts w:hint="eastAsia" w:cs="宋体"/>
        </w:rPr>
        <w:t>mm；符合国标公差标准。</w:t>
      </w:r>
    </w:p>
    <w:p w14:paraId="33B722E5">
      <w:pPr>
        <w:pStyle w:val="3"/>
        <w:jc w:val="left"/>
      </w:pPr>
      <w:bookmarkStart w:id="51" w:name="_Toc167271878"/>
      <w:bookmarkStart w:id="52" w:name="_Toc174556789"/>
      <w:r>
        <w:rPr>
          <w:rFonts w:hint="eastAsia"/>
        </w:rPr>
        <w:t>零部件</w:t>
      </w:r>
      <w:bookmarkEnd w:id="51"/>
      <w:bookmarkEnd w:id="52"/>
    </w:p>
    <w:p w14:paraId="51404240">
      <w:pPr>
        <w:pStyle w:val="97"/>
        <w:numPr>
          <w:ilvl w:val="2"/>
          <w:numId w:val="39"/>
        </w:numPr>
        <w:tabs>
          <w:tab w:val="left" w:pos="1200"/>
        </w:tabs>
        <w:jc w:val="left"/>
      </w:pPr>
      <w:r>
        <w:rPr>
          <w:rFonts w:hint="eastAsia"/>
        </w:rPr>
        <w:t>零部件尺寸公差:钢质卷帘门主要零部件尺寸公差应符合规范要求。</w:t>
      </w:r>
    </w:p>
    <w:p w14:paraId="30C106D8">
      <w:pPr>
        <w:pStyle w:val="97"/>
        <w:numPr>
          <w:ilvl w:val="2"/>
          <w:numId w:val="39"/>
        </w:numPr>
        <w:tabs>
          <w:tab w:val="left" w:pos="1200"/>
        </w:tabs>
        <w:jc w:val="left"/>
      </w:pPr>
      <w:r>
        <w:rPr>
          <w:rFonts w:hint="eastAsia"/>
        </w:rPr>
        <w:t>帘板：</w:t>
      </w:r>
    </w:p>
    <w:p w14:paraId="5E456EC0">
      <w:pPr>
        <w:pStyle w:val="111"/>
        <w:tabs>
          <w:tab w:val="left" w:pos="1680"/>
        </w:tabs>
        <w:jc w:val="left"/>
      </w:pPr>
      <w:r>
        <w:rPr>
          <w:rFonts w:hint="eastAsia"/>
        </w:rPr>
        <w:t>钢质卷帘门相邻帘板窜接后应转动灵活，摆动90度，不允许脱落。</w:t>
      </w:r>
    </w:p>
    <w:p w14:paraId="60B32011">
      <w:pPr>
        <w:pStyle w:val="111"/>
        <w:tabs>
          <w:tab w:val="left" w:pos="1680"/>
        </w:tabs>
        <w:jc w:val="left"/>
      </w:pPr>
      <w:r>
        <w:rPr>
          <w:rFonts w:hint="eastAsia"/>
        </w:rPr>
        <w:t>钢质卷帘门帘板两端档板装配牢固，卷帘运行时相邻帘板窜动量不大于2mm。</w:t>
      </w:r>
    </w:p>
    <w:p w14:paraId="2E4EFB9D">
      <w:pPr>
        <w:pStyle w:val="111"/>
        <w:tabs>
          <w:tab w:val="left" w:pos="1680"/>
        </w:tabs>
        <w:jc w:val="left"/>
      </w:pPr>
      <w:r>
        <w:rPr>
          <w:rFonts w:hint="eastAsia"/>
        </w:rPr>
        <w:t>钢质卷帘门帘板应平直，装配成卷后，不允许有孔洞或缝隙存在。</w:t>
      </w:r>
    </w:p>
    <w:p w14:paraId="1DB4E492">
      <w:pPr>
        <w:pStyle w:val="97"/>
      </w:pPr>
      <w:r>
        <w:rPr>
          <w:rFonts w:hint="eastAsia"/>
        </w:rPr>
        <w:t>导轨</w:t>
      </w:r>
    </w:p>
    <w:p w14:paraId="2069CAC1">
      <w:pPr>
        <w:pStyle w:val="111"/>
        <w:tabs>
          <w:tab w:val="left" w:pos="1680"/>
        </w:tabs>
        <w:jc w:val="left"/>
      </w:pPr>
      <w:r>
        <w:rPr>
          <w:rFonts w:hint="eastAsia"/>
        </w:rPr>
        <w:t>导轨顶部应成圆弧形，以便于卷帘运行。</w:t>
      </w:r>
    </w:p>
    <w:p w14:paraId="09FF3AFE">
      <w:pPr>
        <w:pStyle w:val="111"/>
        <w:tabs>
          <w:tab w:val="left" w:pos="1680"/>
        </w:tabs>
        <w:jc w:val="left"/>
      </w:pPr>
      <w:r>
        <w:rPr>
          <w:rFonts w:hint="eastAsia"/>
        </w:rPr>
        <w:t>导轨的滑动面应光滑、平直，帘面在导轨内运行时应平稳顺畅，不应有碰撞和冲击现象</w:t>
      </w:r>
    </w:p>
    <w:p w14:paraId="434FD1E0">
      <w:pPr>
        <w:pStyle w:val="111"/>
        <w:tabs>
          <w:tab w:val="left" w:pos="1680"/>
        </w:tabs>
        <w:jc w:val="left"/>
      </w:pPr>
      <w:r>
        <w:rPr>
          <w:rFonts w:hint="eastAsia"/>
        </w:rPr>
        <w:t>钢质卷帘门的两根导轨应相互平行，其平行度误差不应大于5mm。</w:t>
      </w:r>
    </w:p>
    <w:p w14:paraId="5DC17704">
      <w:pPr>
        <w:pStyle w:val="111"/>
        <w:tabs>
          <w:tab w:val="left" w:pos="1680"/>
        </w:tabs>
        <w:jc w:val="left"/>
      </w:pPr>
      <w:r>
        <w:rPr>
          <w:rFonts w:hint="eastAsia"/>
        </w:rPr>
        <w:t>导轨与墙体间的缝隙应以建筑密封胶封严。</w:t>
      </w:r>
    </w:p>
    <w:p w14:paraId="3BA67CEF">
      <w:pPr>
        <w:pStyle w:val="97"/>
        <w:numPr>
          <w:ilvl w:val="2"/>
          <w:numId w:val="40"/>
        </w:numPr>
        <w:tabs>
          <w:tab w:val="left" w:pos="1200"/>
        </w:tabs>
        <w:jc w:val="left"/>
      </w:pPr>
      <w:r>
        <w:t>卷轴：悬挂门帘，并卷起门帘的在重轴</w:t>
      </w:r>
      <w:r>
        <w:rPr>
          <w:rFonts w:hint="eastAsia"/>
        </w:rPr>
        <w:t>。</w:t>
      </w:r>
      <w:r>
        <w:t>垂直卷帘的卷轴在正常使用的挠度应小于卷轴长度的1/400。卷帘的卷轴安装时应与基础面垂直。垂直度误差应小于1.5mm/m</w:t>
      </w:r>
      <w:r>
        <w:rPr>
          <w:rFonts w:hint="eastAsia"/>
        </w:rPr>
        <w:t>，</w:t>
      </w:r>
      <w:r>
        <w:t>全长应小于5mm</w:t>
      </w:r>
      <w:r>
        <w:rPr>
          <w:rFonts w:hint="eastAsia"/>
        </w:rPr>
        <w:t>。</w:t>
      </w:r>
    </w:p>
    <w:p w14:paraId="34BE475D">
      <w:pPr>
        <w:pStyle w:val="97"/>
        <w:numPr>
          <w:ilvl w:val="2"/>
          <w:numId w:val="40"/>
        </w:numPr>
        <w:tabs>
          <w:tab w:val="left" w:pos="1200"/>
        </w:tabs>
        <w:jc w:val="left"/>
      </w:pPr>
      <w:r>
        <w:rPr>
          <w:rFonts w:hint="eastAsia"/>
        </w:rPr>
        <w:t>座板</w:t>
      </w:r>
    </w:p>
    <w:p w14:paraId="769D1D3A">
      <w:pPr>
        <w:pStyle w:val="111"/>
        <w:tabs>
          <w:tab w:val="left" w:pos="1680"/>
        </w:tabs>
        <w:jc w:val="left"/>
      </w:pPr>
      <w:r>
        <w:rPr>
          <w:rFonts w:hint="eastAsia"/>
        </w:rPr>
        <w:t>帘面用底座板联成一体，保证平整，光洁，无凹凸，座板与地面应平行、接触应均匀。</w:t>
      </w:r>
    </w:p>
    <w:p w14:paraId="426A329A">
      <w:pPr>
        <w:pStyle w:val="111"/>
        <w:tabs>
          <w:tab w:val="left" w:pos="1680"/>
        </w:tabs>
        <w:jc w:val="left"/>
      </w:pPr>
      <w:r>
        <w:rPr>
          <w:rFonts w:hint="eastAsia"/>
        </w:rPr>
        <w:t>底座板同地面之间应有防渗水设计及装置，例如橡胶条。</w:t>
      </w:r>
    </w:p>
    <w:p w14:paraId="1D97B9B5">
      <w:pPr>
        <w:pStyle w:val="111"/>
        <w:tabs>
          <w:tab w:val="left" w:pos="1680"/>
        </w:tabs>
        <w:jc w:val="left"/>
      </w:pPr>
      <w:r>
        <w:rPr>
          <w:rFonts w:hint="eastAsia"/>
        </w:rPr>
        <w:t>座板的刚度应大于抗风卷帘门的刚度,座板与帘面之间的连接应牢固。</w:t>
      </w:r>
    </w:p>
    <w:p w14:paraId="1BB3DAB5">
      <w:pPr>
        <w:pStyle w:val="97"/>
      </w:pPr>
      <w:r>
        <w:rPr>
          <w:rFonts w:hint="eastAsia"/>
        </w:rPr>
        <w:t>传动装置</w:t>
      </w:r>
    </w:p>
    <w:p w14:paraId="0637EB47">
      <w:pPr>
        <w:pStyle w:val="111"/>
        <w:tabs>
          <w:tab w:val="left" w:pos="1680"/>
        </w:tabs>
        <w:jc w:val="left"/>
      </w:pPr>
      <w:r>
        <w:rPr>
          <w:rFonts w:hint="eastAsia"/>
        </w:rPr>
        <w:t>传动用滚子链和链轮的尺寸、公差及基本参数应符合GB/T1243的规定，链条静强度、选用的许可安全系数应大于4。</w:t>
      </w:r>
    </w:p>
    <w:p w14:paraId="40D62CCE">
      <w:pPr>
        <w:pStyle w:val="111"/>
        <w:tabs>
          <w:tab w:val="left" w:pos="1680"/>
        </w:tabs>
        <w:jc w:val="left"/>
      </w:pPr>
      <w:r>
        <w:rPr>
          <w:rFonts w:hint="eastAsia"/>
        </w:rPr>
        <w:t>传动机构、轴承、链条表面应无锈蚀，并应按要求加适量润滑剂。</w:t>
      </w:r>
    </w:p>
    <w:p w14:paraId="5206C419">
      <w:pPr>
        <w:pStyle w:val="97"/>
        <w:numPr>
          <w:ilvl w:val="2"/>
          <w:numId w:val="41"/>
        </w:numPr>
        <w:tabs>
          <w:tab w:val="left" w:pos="1200"/>
        </w:tabs>
        <w:jc w:val="left"/>
      </w:pPr>
      <w:r>
        <w:rPr>
          <w:rFonts w:hint="eastAsia"/>
        </w:rPr>
        <w:t>卷门机：抗风卷帘门电机应符合GB4717的要求。</w:t>
      </w:r>
    </w:p>
    <w:p w14:paraId="4940BE32">
      <w:pPr>
        <w:pStyle w:val="97"/>
        <w:numPr>
          <w:ilvl w:val="2"/>
          <w:numId w:val="41"/>
        </w:numPr>
        <w:tabs>
          <w:tab w:val="left" w:pos="1200"/>
        </w:tabs>
        <w:jc w:val="left"/>
      </w:pPr>
      <w:r>
        <w:t>所有卷帘</w:t>
      </w:r>
      <w:r>
        <w:rPr>
          <w:rFonts w:hint="eastAsia"/>
        </w:rPr>
        <w:t>均需</w:t>
      </w:r>
      <w:r>
        <w:t>设置防断链装置，避免意外断链坠落</w:t>
      </w:r>
    </w:p>
    <w:p w14:paraId="0B9FD69B">
      <w:pPr>
        <w:pStyle w:val="3"/>
        <w:jc w:val="left"/>
      </w:pPr>
      <w:bookmarkStart w:id="53" w:name="_Toc174556790"/>
      <w:bookmarkStart w:id="54" w:name="_Toc167271879"/>
      <w:r>
        <w:rPr>
          <w:rFonts w:hint="eastAsia"/>
        </w:rPr>
        <w:t>性能要求</w:t>
      </w:r>
      <w:bookmarkEnd w:id="53"/>
      <w:bookmarkEnd w:id="54"/>
    </w:p>
    <w:p w14:paraId="0E8EED7F">
      <w:pPr>
        <w:pStyle w:val="97"/>
        <w:numPr>
          <w:ilvl w:val="2"/>
          <w:numId w:val="42"/>
        </w:numPr>
        <w:tabs>
          <w:tab w:val="left" w:pos="1200"/>
        </w:tabs>
        <w:jc w:val="left"/>
      </w:pPr>
      <w:r>
        <w:rPr>
          <w:rFonts w:hint="eastAsia"/>
        </w:rPr>
        <w:t>使用寿命：门的正常使用寿命不低于</w:t>
      </w:r>
      <w:r>
        <w:t>10000</w:t>
      </w:r>
      <w:r>
        <w:rPr>
          <w:rFonts w:hint="eastAsia"/>
        </w:rPr>
        <w:t>次。</w:t>
      </w:r>
    </w:p>
    <w:p w14:paraId="2DA9CD0B">
      <w:pPr>
        <w:pStyle w:val="97"/>
        <w:numPr>
          <w:ilvl w:val="2"/>
          <w:numId w:val="42"/>
        </w:numPr>
        <w:tabs>
          <w:tab w:val="left" w:pos="1200"/>
        </w:tabs>
        <w:jc w:val="left"/>
      </w:pPr>
      <w:r>
        <w:rPr>
          <w:rFonts w:hint="eastAsia"/>
        </w:rPr>
        <w:t>耐风性能</w:t>
      </w:r>
    </w:p>
    <w:p w14:paraId="5CD84C04">
      <w:pPr>
        <w:pStyle w:val="111"/>
        <w:tabs>
          <w:tab w:val="left" w:pos="1680"/>
        </w:tabs>
        <w:jc w:val="left"/>
      </w:pPr>
      <w:r>
        <w:rPr>
          <w:rFonts w:hint="eastAsia"/>
        </w:rPr>
        <w:t>钢质卷帘门的帘板应具备不同等级的耐风压强度要求，在规定的风载下，帘板不允许从导轨中脱出。</w:t>
      </w:r>
    </w:p>
    <w:p w14:paraId="74E5AF10">
      <w:pPr>
        <w:pStyle w:val="111"/>
        <w:tabs>
          <w:tab w:val="left" w:pos="1680"/>
        </w:tabs>
        <w:jc w:val="left"/>
      </w:pPr>
      <w:r>
        <w:rPr>
          <w:rFonts w:hint="eastAsia"/>
        </w:rPr>
        <w:t>最大耐风压不低于1</w:t>
      </w:r>
      <w:r>
        <w:t>0</w:t>
      </w:r>
      <w:r>
        <w:rPr>
          <w:rFonts w:hint="eastAsia"/>
        </w:rPr>
        <w:t>级。</w:t>
      </w:r>
    </w:p>
    <w:p w14:paraId="13E30A62">
      <w:pPr>
        <w:spacing w:line="360" w:lineRule="auto"/>
        <w:ind w:firstLine="4680" w:firstLineChars="2600"/>
        <w:jc w:val="left"/>
        <w:rPr>
          <w:rFonts w:ascii="黑体" w:hAnsi="黑体"/>
          <w:szCs w:val="18"/>
        </w:rPr>
      </w:pPr>
      <w:r>
        <w:rPr>
          <w:rFonts w:hint="eastAsia" w:ascii="黑体" w:hAnsi="黑体"/>
          <w:szCs w:val="18"/>
        </w:rPr>
        <w:t>风</w:t>
      </w:r>
      <w:r>
        <w:rPr>
          <w:rFonts w:ascii="黑体" w:hAnsi="黑体"/>
          <w:szCs w:val="18"/>
        </w:rPr>
        <w:t xml:space="preserve"> </w:t>
      </w:r>
      <w:r>
        <w:rPr>
          <w:rFonts w:hint="eastAsia" w:ascii="黑体" w:hAnsi="黑体"/>
          <w:szCs w:val="18"/>
        </w:rPr>
        <w:t>压</w:t>
      </w:r>
      <w:r>
        <w:rPr>
          <w:rFonts w:ascii="黑体" w:hAnsi="黑体"/>
          <w:szCs w:val="18"/>
        </w:rPr>
        <w:t xml:space="preserve"> </w:t>
      </w:r>
      <w:r>
        <w:rPr>
          <w:rFonts w:hint="eastAsia" w:ascii="黑体" w:hAnsi="黑体"/>
          <w:szCs w:val="18"/>
        </w:rPr>
        <w:t>等</w:t>
      </w:r>
      <w:r>
        <w:rPr>
          <w:rFonts w:ascii="黑体" w:hAnsi="黑体"/>
          <w:szCs w:val="18"/>
        </w:rPr>
        <w:t xml:space="preserve"> </w:t>
      </w:r>
      <w:r>
        <w:rPr>
          <w:rFonts w:hint="eastAsia" w:ascii="黑体" w:hAnsi="黑体"/>
          <w:szCs w:val="18"/>
        </w:rPr>
        <w:t>级</w:t>
      </w:r>
    </w:p>
    <w:tbl>
      <w:tblPr>
        <w:tblStyle w:val="36"/>
        <w:tblW w:w="7460" w:type="dxa"/>
        <w:jc w:val="center"/>
        <w:tblLayout w:type="autofit"/>
        <w:tblCellMar>
          <w:top w:w="0" w:type="dxa"/>
          <w:left w:w="108" w:type="dxa"/>
          <w:bottom w:w="0" w:type="dxa"/>
          <w:right w:w="108" w:type="dxa"/>
        </w:tblCellMar>
      </w:tblPr>
      <w:tblGrid>
        <w:gridCol w:w="1060"/>
        <w:gridCol w:w="1780"/>
        <w:gridCol w:w="1780"/>
        <w:gridCol w:w="1780"/>
        <w:gridCol w:w="1060"/>
      </w:tblGrid>
      <w:tr w14:paraId="71655372">
        <w:tblPrEx>
          <w:tblCellMar>
            <w:top w:w="0" w:type="dxa"/>
            <w:left w:w="108" w:type="dxa"/>
            <w:bottom w:w="0" w:type="dxa"/>
            <w:right w:w="108" w:type="dxa"/>
          </w:tblCellMar>
        </w:tblPrEx>
        <w:trPr>
          <w:trHeight w:val="288" w:hRule="atLeast"/>
          <w:jc w:val="center"/>
        </w:trPr>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1DB59D1A">
            <w:pPr>
              <w:widowControl/>
              <w:jc w:val="left"/>
              <w:rPr>
                <w:rFonts w:ascii="黑体" w:hAnsi="黑体" w:cs="宋体"/>
                <w:kern w:val="0"/>
                <w:szCs w:val="18"/>
              </w:rPr>
            </w:pPr>
            <w:r>
              <w:rPr>
                <w:rFonts w:hint="eastAsia" w:ascii="黑体" w:hAnsi="黑体" w:cs="宋体"/>
                <w:kern w:val="0"/>
                <w:szCs w:val="18"/>
              </w:rPr>
              <w:t>风级</w:t>
            </w:r>
          </w:p>
        </w:tc>
        <w:tc>
          <w:tcPr>
            <w:tcW w:w="1780" w:type="dxa"/>
            <w:tcBorders>
              <w:top w:val="single" w:color="auto" w:sz="8" w:space="0"/>
              <w:left w:val="nil"/>
              <w:bottom w:val="single" w:color="auto" w:sz="8" w:space="0"/>
              <w:right w:val="single" w:color="auto" w:sz="8" w:space="0"/>
            </w:tcBorders>
            <w:shd w:val="clear" w:color="auto" w:fill="auto"/>
            <w:vAlign w:val="center"/>
          </w:tcPr>
          <w:p w14:paraId="431DC995">
            <w:pPr>
              <w:widowControl/>
              <w:jc w:val="left"/>
              <w:rPr>
                <w:rFonts w:ascii="黑体" w:hAnsi="黑体" w:cs="宋体"/>
                <w:kern w:val="0"/>
                <w:szCs w:val="18"/>
              </w:rPr>
            </w:pPr>
            <w:r>
              <w:rPr>
                <w:rFonts w:hint="eastAsia" w:ascii="黑体" w:hAnsi="黑体" w:cs="宋体"/>
                <w:kern w:val="0"/>
                <w:szCs w:val="18"/>
              </w:rPr>
              <w:t>风速（m/秒）</w:t>
            </w:r>
          </w:p>
        </w:tc>
        <w:tc>
          <w:tcPr>
            <w:tcW w:w="1780" w:type="dxa"/>
            <w:tcBorders>
              <w:top w:val="single" w:color="auto" w:sz="8" w:space="0"/>
              <w:left w:val="nil"/>
              <w:bottom w:val="single" w:color="auto" w:sz="8" w:space="0"/>
              <w:right w:val="single" w:color="auto" w:sz="8" w:space="0"/>
            </w:tcBorders>
            <w:shd w:val="clear" w:color="auto" w:fill="auto"/>
            <w:vAlign w:val="center"/>
          </w:tcPr>
          <w:p w14:paraId="7ABA5D62">
            <w:pPr>
              <w:widowControl/>
              <w:jc w:val="left"/>
              <w:rPr>
                <w:rFonts w:ascii="黑体" w:hAnsi="黑体" w:cs="宋体"/>
                <w:kern w:val="0"/>
                <w:szCs w:val="18"/>
              </w:rPr>
            </w:pPr>
            <w:r>
              <w:rPr>
                <w:rFonts w:hint="eastAsia" w:ascii="黑体" w:hAnsi="黑体" w:cs="宋体"/>
                <w:kern w:val="0"/>
                <w:szCs w:val="18"/>
              </w:rPr>
              <w:t>风压（kg/㎡）</w:t>
            </w:r>
          </w:p>
        </w:tc>
        <w:tc>
          <w:tcPr>
            <w:tcW w:w="1780" w:type="dxa"/>
            <w:tcBorders>
              <w:top w:val="single" w:color="auto" w:sz="8" w:space="0"/>
              <w:left w:val="nil"/>
              <w:bottom w:val="single" w:color="auto" w:sz="8" w:space="0"/>
              <w:right w:val="single" w:color="auto" w:sz="8" w:space="0"/>
            </w:tcBorders>
            <w:shd w:val="clear" w:color="auto" w:fill="auto"/>
            <w:vAlign w:val="center"/>
          </w:tcPr>
          <w:p w14:paraId="6B6B72A2">
            <w:pPr>
              <w:widowControl/>
              <w:jc w:val="left"/>
              <w:rPr>
                <w:rFonts w:ascii="黑体" w:hAnsi="黑体" w:cs="宋体"/>
                <w:kern w:val="0"/>
                <w:szCs w:val="18"/>
              </w:rPr>
            </w:pPr>
            <w:r>
              <w:rPr>
                <w:rFonts w:hint="eastAsia" w:ascii="黑体" w:hAnsi="黑体" w:cs="宋体"/>
                <w:kern w:val="0"/>
                <w:szCs w:val="18"/>
              </w:rPr>
              <w:t>风压（pa）</w:t>
            </w:r>
          </w:p>
        </w:tc>
        <w:tc>
          <w:tcPr>
            <w:tcW w:w="1060" w:type="dxa"/>
            <w:tcBorders>
              <w:top w:val="single" w:color="auto" w:sz="8" w:space="0"/>
              <w:left w:val="nil"/>
              <w:bottom w:val="single" w:color="auto" w:sz="8" w:space="0"/>
              <w:right w:val="single" w:color="auto" w:sz="8" w:space="0"/>
            </w:tcBorders>
            <w:shd w:val="clear" w:color="auto" w:fill="auto"/>
            <w:vAlign w:val="center"/>
          </w:tcPr>
          <w:p w14:paraId="538A8A7F">
            <w:pPr>
              <w:widowControl/>
              <w:jc w:val="left"/>
              <w:rPr>
                <w:rFonts w:ascii="黑体" w:hAnsi="黑体" w:cs="宋体"/>
                <w:kern w:val="0"/>
                <w:szCs w:val="18"/>
              </w:rPr>
            </w:pPr>
            <w:r>
              <w:rPr>
                <w:rFonts w:hint="eastAsia" w:ascii="黑体" w:hAnsi="黑体" w:cs="宋体"/>
                <w:kern w:val="0"/>
                <w:szCs w:val="18"/>
              </w:rPr>
              <w:t>帘板挠度mm</w:t>
            </w:r>
          </w:p>
        </w:tc>
      </w:tr>
      <w:tr w14:paraId="2BAFB7A6">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1A0B3646">
            <w:pPr>
              <w:widowControl/>
              <w:jc w:val="left"/>
              <w:rPr>
                <w:rFonts w:ascii="黑体" w:hAnsi="黑体" w:cs="宋体"/>
                <w:kern w:val="0"/>
                <w:szCs w:val="18"/>
              </w:rPr>
            </w:pPr>
            <w:r>
              <w:rPr>
                <w:rFonts w:hint="eastAsia" w:ascii="黑体" w:hAnsi="黑体" w:cs="宋体"/>
                <w:kern w:val="0"/>
                <w:szCs w:val="18"/>
              </w:rPr>
              <w:t>0</w:t>
            </w:r>
          </w:p>
        </w:tc>
        <w:tc>
          <w:tcPr>
            <w:tcW w:w="1780" w:type="dxa"/>
            <w:tcBorders>
              <w:top w:val="nil"/>
              <w:left w:val="nil"/>
              <w:bottom w:val="single" w:color="auto" w:sz="8" w:space="0"/>
              <w:right w:val="single" w:color="auto" w:sz="8" w:space="0"/>
            </w:tcBorders>
            <w:shd w:val="clear" w:color="auto" w:fill="auto"/>
            <w:vAlign w:val="center"/>
          </w:tcPr>
          <w:p w14:paraId="6C192934">
            <w:pPr>
              <w:widowControl/>
              <w:jc w:val="left"/>
              <w:rPr>
                <w:rFonts w:ascii="黑体" w:hAnsi="黑体" w:cs="宋体"/>
                <w:kern w:val="0"/>
                <w:szCs w:val="18"/>
              </w:rPr>
            </w:pPr>
            <w:r>
              <w:rPr>
                <w:rFonts w:hint="eastAsia" w:ascii="黑体" w:hAnsi="黑体" w:cs="宋体"/>
                <w:kern w:val="0"/>
                <w:szCs w:val="18"/>
              </w:rPr>
              <w:t>0__0.2</w:t>
            </w:r>
          </w:p>
        </w:tc>
        <w:tc>
          <w:tcPr>
            <w:tcW w:w="1780" w:type="dxa"/>
            <w:tcBorders>
              <w:top w:val="nil"/>
              <w:left w:val="nil"/>
              <w:bottom w:val="single" w:color="auto" w:sz="8" w:space="0"/>
              <w:right w:val="single" w:color="auto" w:sz="8" w:space="0"/>
            </w:tcBorders>
            <w:shd w:val="clear" w:color="auto" w:fill="auto"/>
            <w:vAlign w:val="center"/>
          </w:tcPr>
          <w:p w14:paraId="3BEF5100">
            <w:pPr>
              <w:widowControl/>
              <w:jc w:val="left"/>
              <w:rPr>
                <w:rFonts w:ascii="黑体" w:hAnsi="黑体" w:cs="宋体"/>
                <w:kern w:val="0"/>
                <w:szCs w:val="18"/>
              </w:rPr>
            </w:pPr>
            <w:r>
              <w:rPr>
                <w:rFonts w:hint="eastAsia" w:ascii="黑体" w:hAnsi="黑体" w:cs="宋体"/>
                <w:kern w:val="0"/>
                <w:szCs w:val="18"/>
              </w:rPr>
              <w:t>0--0.0025</w:t>
            </w:r>
          </w:p>
        </w:tc>
        <w:tc>
          <w:tcPr>
            <w:tcW w:w="1780" w:type="dxa"/>
            <w:tcBorders>
              <w:top w:val="nil"/>
              <w:left w:val="nil"/>
              <w:bottom w:val="single" w:color="auto" w:sz="8" w:space="0"/>
              <w:right w:val="single" w:color="auto" w:sz="8" w:space="0"/>
            </w:tcBorders>
            <w:shd w:val="clear" w:color="auto" w:fill="auto"/>
            <w:vAlign w:val="center"/>
          </w:tcPr>
          <w:p w14:paraId="4AFDEDC6">
            <w:pPr>
              <w:widowControl/>
              <w:jc w:val="left"/>
              <w:rPr>
                <w:rFonts w:ascii="黑体" w:hAnsi="黑体" w:cs="宋体"/>
                <w:kern w:val="0"/>
                <w:szCs w:val="18"/>
              </w:rPr>
            </w:pPr>
            <w:r>
              <w:rPr>
                <w:rFonts w:hint="eastAsia" w:ascii="黑体" w:hAnsi="黑体" w:cs="宋体"/>
                <w:kern w:val="0"/>
                <w:szCs w:val="18"/>
              </w:rPr>
              <w:t>　</w:t>
            </w:r>
          </w:p>
        </w:tc>
        <w:tc>
          <w:tcPr>
            <w:tcW w:w="1060" w:type="dxa"/>
            <w:tcBorders>
              <w:top w:val="nil"/>
              <w:left w:val="nil"/>
              <w:bottom w:val="single" w:color="auto" w:sz="8" w:space="0"/>
              <w:right w:val="single" w:color="auto" w:sz="8" w:space="0"/>
            </w:tcBorders>
            <w:shd w:val="clear" w:color="auto" w:fill="auto"/>
            <w:vAlign w:val="center"/>
          </w:tcPr>
          <w:p w14:paraId="32A55C70">
            <w:pPr>
              <w:widowControl/>
              <w:jc w:val="left"/>
              <w:rPr>
                <w:rFonts w:ascii="黑体" w:hAnsi="黑体" w:cs="宋体"/>
                <w:kern w:val="0"/>
                <w:szCs w:val="18"/>
              </w:rPr>
            </w:pPr>
            <w:r>
              <w:rPr>
                <w:rFonts w:hint="eastAsia" w:ascii="黑体" w:hAnsi="黑体" w:cs="宋体"/>
                <w:kern w:val="0"/>
                <w:szCs w:val="18"/>
              </w:rPr>
              <w:t>---</w:t>
            </w:r>
          </w:p>
        </w:tc>
      </w:tr>
      <w:tr w14:paraId="55427BA5">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0C67981F">
            <w:pPr>
              <w:widowControl/>
              <w:jc w:val="left"/>
              <w:rPr>
                <w:rFonts w:ascii="黑体" w:hAnsi="黑体" w:cs="宋体"/>
                <w:kern w:val="0"/>
                <w:szCs w:val="18"/>
              </w:rPr>
            </w:pPr>
            <w:r>
              <w:rPr>
                <w:rFonts w:hint="eastAsia" w:ascii="黑体" w:hAnsi="黑体" w:cs="宋体"/>
                <w:kern w:val="0"/>
                <w:szCs w:val="18"/>
              </w:rPr>
              <w:t>1</w:t>
            </w:r>
          </w:p>
        </w:tc>
        <w:tc>
          <w:tcPr>
            <w:tcW w:w="1780" w:type="dxa"/>
            <w:tcBorders>
              <w:top w:val="nil"/>
              <w:left w:val="nil"/>
              <w:bottom w:val="single" w:color="auto" w:sz="8" w:space="0"/>
              <w:right w:val="single" w:color="auto" w:sz="8" w:space="0"/>
            </w:tcBorders>
            <w:shd w:val="clear" w:color="auto" w:fill="auto"/>
            <w:vAlign w:val="center"/>
          </w:tcPr>
          <w:p w14:paraId="03CDEC31">
            <w:pPr>
              <w:widowControl/>
              <w:jc w:val="left"/>
              <w:rPr>
                <w:rFonts w:ascii="黑体" w:hAnsi="黑体" w:cs="宋体"/>
                <w:kern w:val="0"/>
                <w:szCs w:val="18"/>
              </w:rPr>
            </w:pPr>
            <w:r>
              <w:rPr>
                <w:rFonts w:hint="eastAsia" w:ascii="黑体" w:hAnsi="黑体" w:cs="宋体"/>
                <w:kern w:val="0"/>
                <w:szCs w:val="18"/>
              </w:rPr>
              <w:t>0.3—1.5</w:t>
            </w:r>
          </w:p>
        </w:tc>
        <w:tc>
          <w:tcPr>
            <w:tcW w:w="1780" w:type="dxa"/>
            <w:tcBorders>
              <w:top w:val="nil"/>
              <w:left w:val="nil"/>
              <w:bottom w:val="single" w:color="auto" w:sz="8" w:space="0"/>
              <w:right w:val="single" w:color="auto" w:sz="8" w:space="0"/>
            </w:tcBorders>
            <w:shd w:val="clear" w:color="auto" w:fill="auto"/>
            <w:vAlign w:val="center"/>
          </w:tcPr>
          <w:p w14:paraId="0E0A904B">
            <w:pPr>
              <w:widowControl/>
              <w:jc w:val="left"/>
              <w:rPr>
                <w:rFonts w:ascii="黑体" w:hAnsi="黑体" w:cs="宋体"/>
                <w:kern w:val="0"/>
                <w:szCs w:val="18"/>
              </w:rPr>
            </w:pPr>
            <w:r>
              <w:rPr>
                <w:rFonts w:hint="eastAsia" w:ascii="黑体" w:hAnsi="黑体" w:cs="宋体"/>
                <w:kern w:val="0"/>
                <w:szCs w:val="18"/>
              </w:rPr>
              <w:t>0.0056--0.014</w:t>
            </w:r>
          </w:p>
        </w:tc>
        <w:tc>
          <w:tcPr>
            <w:tcW w:w="1780" w:type="dxa"/>
            <w:tcBorders>
              <w:top w:val="nil"/>
              <w:left w:val="nil"/>
              <w:bottom w:val="single" w:color="auto" w:sz="8" w:space="0"/>
              <w:right w:val="single" w:color="auto" w:sz="8" w:space="0"/>
            </w:tcBorders>
            <w:shd w:val="clear" w:color="auto" w:fill="auto"/>
            <w:vAlign w:val="center"/>
          </w:tcPr>
          <w:p w14:paraId="58323458">
            <w:pPr>
              <w:widowControl/>
              <w:jc w:val="left"/>
              <w:rPr>
                <w:rFonts w:ascii="黑体" w:hAnsi="黑体" w:cs="宋体"/>
                <w:kern w:val="0"/>
                <w:szCs w:val="18"/>
              </w:rPr>
            </w:pPr>
            <w:r>
              <w:rPr>
                <w:rFonts w:hint="eastAsia" w:ascii="黑体" w:hAnsi="黑体" w:cs="宋体"/>
                <w:kern w:val="0"/>
                <w:szCs w:val="18"/>
              </w:rPr>
              <w:t>0-0.1</w:t>
            </w:r>
          </w:p>
        </w:tc>
        <w:tc>
          <w:tcPr>
            <w:tcW w:w="1060" w:type="dxa"/>
            <w:tcBorders>
              <w:top w:val="nil"/>
              <w:left w:val="nil"/>
              <w:bottom w:val="single" w:color="auto" w:sz="8" w:space="0"/>
              <w:right w:val="single" w:color="auto" w:sz="8" w:space="0"/>
            </w:tcBorders>
            <w:shd w:val="clear" w:color="auto" w:fill="auto"/>
            <w:vAlign w:val="center"/>
          </w:tcPr>
          <w:p w14:paraId="3D1A1DA2">
            <w:pPr>
              <w:widowControl/>
              <w:jc w:val="left"/>
              <w:rPr>
                <w:rFonts w:ascii="黑体" w:hAnsi="黑体" w:cs="宋体"/>
                <w:kern w:val="0"/>
                <w:szCs w:val="18"/>
              </w:rPr>
            </w:pPr>
            <w:r>
              <w:rPr>
                <w:rFonts w:hint="eastAsia" w:ascii="黑体" w:hAnsi="黑体" w:cs="宋体"/>
                <w:kern w:val="0"/>
                <w:szCs w:val="18"/>
              </w:rPr>
              <w:t>---</w:t>
            </w:r>
          </w:p>
        </w:tc>
      </w:tr>
      <w:tr w14:paraId="3E361922">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2DE0E368">
            <w:pPr>
              <w:widowControl/>
              <w:jc w:val="left"/>
              <w:rPr>
                <w:rFonts w:ascii="黑体" w:hAnsi="黑体" w:cs="宋体"/>
                <w:kern w:val="0"/>
                <w:szCs w:val="18"/>
              </w:rPr>
            </w:pPr>
            <w:r>
              <w:rPr>
                <w:rFonts w:hint="eastAsia" w:ascii="黑体" w:hAnsi="黑体" w:cs="宋体"/>
                <w:kern w:val="0"/>
                <w:szCs w:val="18"/>
              </w:rPr>
              <w:t>2</w:t>
            </w:r>
          </w:p>
        </w:tc>
        <w:tc>
          <w:tcPr>
            <w:tcW w:w="1780" w:type="dxa"/>
            <w:tcBorders>
              <w:top w:val="nil"/>
              <w:left w:val="nil"/>
              <w:bottom w:val="single" w:color="auto" w:sz="8" w:space="0"/>
              <w:right w:val="single" w:color="auto" w:sz="8" w:space="0"/>
            </w:tcBorders>
            <w:shd w:val="clear" w:color="auto" w:fill="auto"/>
            <w:vAlign w:val="center"/>
          </w:tcPr>
          <w:p w14:paraId="69E345ED">
            <w:pPr>
              <w:widowControl/>
              <w:jc w:val="left"/>
              <w:rPr>
                <w:rFonts w:ascii="黑体" w:hAnsi="黑体" w:cs="宋体"/>
                <w:kern w:val="0"/>
                <w:szCs w:val="18"/>
              </w:rPr>
            </w:pPr>
            <w:r>
              <w:rPr>
                <w:rFonts w:hint="eastAsia" w:ascii="黑体" w:hAnsi="黑体" w:cs="宋体"/>
                <w:kern w:val="0"/>
                <w:szCs w:val="18"/>
              </w:rPr>
              <w:t>1.6—3.3</w:t>
            </w:r>
          </w:p>
        </w:tc>
        <w:tc>
          <w:tcPr>
            <w:tcW w:w="1780" w:type="dxa"/>
            <w:tcBorders>
              <w:top w:val="nil"/>
              <w:left w:val="nil"/>
              <w:bottom w:val="single" w:color="auto" w:sz="8" w:space="0"/>
              <w:right w:val="single" w:color="auto" w:sz="8" w:space="0"/>
            </w:tcBorders>
            <w:shd w:val="clear" w:color="auto" w:fill="auto"/>
            <w:vAlign w:val="center"/>
          </w:tcPr>
          <w:p w14:paraId="4EEB8BF5">
            <w:pPr>
              <w:widowControl/>
              <w:jc w:val="left"/>
              <w:rPr>
                <w:rFonts w:ascii="黑体" w:hAnsi="黑体" w:cs="宋体"/>
                <w:kern w:val="0"/>
                <w:szCs w:val="18"/>
              </w:rPr>
            </w:pPr>
            <w:r>
              <w:rPr>
                <w:rFonts w:hint="eastAsia" w:ascii="黑体" w:hAnsi="黑体" w:cs="宋体"/>
                <w:kern w:val="0"/>
                <w:szCs w:val="18"/>
              </w:rPr>
              <w:t>0.016--0.68</w:t>
            </w:r>
          </w:p>
        </w:tc>
        <w:tc>
          <w:tcPr>
            <w:tcW w:w="1780" w:type="dxa"/>
            <w:tcBorders>
              <w:top w:val="nil"/>
              <w:left w:val="nil"/>
              <w:bottom w:val="single" w:color="auto" w:sz="8" w:space="0"/>
              <w:right w:val="single" w:color="auto" w:sz="8" w:space="0"/>
            </w:tcBorders>
            <w:shd w:val="clear" w:color="auto" w:fill="auto"/>
            <w:vAlign w:val="center"/>
          </w:tcPr>
          <w:p w14:paraId="0C64E98C">
            <w:pPr>
              <w:widowControl/>
              <w:jc w:val="left"/>
              <w:rPr>
                <w:rFonts w:ascii="黑体" w:hAnsi="黑体" w:cs="宋体"/>
                <w:kern w:val="0"/>
                <w:szCs w:val="18"/>
              </w:rPr>
            </w:pPr>
            <w:r>
              <w:rPr>
                <w:rFonts w:hint="eastAsia" w:ascii="黑体" w:hAnsi="黑体" w:cs="宋体"/>
                <w:kern w:val="0"/>
                <w:szCs w:val="18"/>
              </w:rPr>
              <w:t>2.0-5.0</w:t>
            </w:r>
          </w:p>
        </w:tc>
        <w:tc>
          <w:tcPr>
            <w:tcW w:w="1060" w:type="dxa"/>
            <w:tcBorders>
              <w:top w:val="nil"/>
              <w:left w:val="nil"/>
              <w:bottom w:val="single" w:color="auto" w:sz="8" w:space="0"/>
              <w:right w:val="single" w:color="auto" w:sz="8" w:space="0"/>
            </w:tcBorders>
            <w:shd w:val="clear" w:color="auto" w:fill="auto"/>
            <w:vAlign w:val="center"/>
          </w:tcPr>
          <w:p w14:paraId="2E0C589B">
            <w:pPr>
              <w:widowControl/>
              <w:jc w:val="left"/>
              <w:rPr>
                <w:rFonts w:ascii="黑体" w:hAnsi="黑体" w:cs="宋体"/>
                <w:kern w:val="0"/>
                <w:szCs w:val="18"/>
              </w:rPr>
            </w:pPr>
            <w:r>
              <w:rPr>
                <w:rFonts w:hint="eastAsia" w:ascii="黑体" w:hAnsi="黑体" w:cs="宋体"/>
                <w:kern w:val="0"/>
                <w:szCs w:val="18"/>
              </w:rPr>
              <w:t>---</w:t>
            </w:r>
          </w:p>
        </w:tc>
      </w:tr>
      <w:tr w14:paraId="72B5C31A">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3E23554F">
            <w:pPr>
              <w:widowControl/>
              <w:jc w:val="left"/>
              <w:rPr>
                <w:rFonts w:ascii="黑体" w:hAnsi="黑体" w:cs="宋体"/>
                <w:kern w:val="0"/>
                <w:szCs w:val="18"/>
              </w:rPr>
            </w:pPr>
            <w:r>
              <w:rPr>
                <w:rFonts w:hint="eastAsia" w:ascii="黑体" w:hAnsi="黑体" w:cs="宋体"/>
                <w:kern w:val="0"/>
                <w:szCs w:val="18"/>
              </w:rPr>
              <w:t>3</w:t>
            </w:r>
          </w:p>
        </w:tc>
        <w:tc>
          <w:tcPr>
            <w:tcW w:w="1780" w:type="dxa"/>
            <w:tcBorders>
              <w:top w:val="nil"/>
              <w:left w:val="nil"/>
              <w:bottom w:val="single" w:color="auto" w:sz="8" w:space="0"/>
              <w:right w:val="single" w:color="auto" w:sz="8" w:space="0"/>
            </w:tcBorders>
            <w:shd w:val="clear" w:color="auto" w:fill="auto"/>
            <w:vAlign w:val="center"/>
          </w:tcPr>
          <w:p w14:paraId="3ED7AE27">
            <w:pPr>
              <w:widowControl/>
              <w:jc w:val="left"/>
              <w:rPr>
                <w:rFonts w:ascii="黑体" w:hAnsi="黑体" w:cs="宋体"/>
                <w:kern w:val="0"/>
                <w:szCs w:val="18"/>
              </w:rPr>
            </w:pPr>
            <w:r>
              <w:rPr>
                <w:rFonts w:hint="eastAsia" w:ascii="黑体" w:hAnsi="黑体" w:cs="宋体"/>
                <w:kern w:val="0"/>
                <w:szCs w:val="18"/>
              </w:rPr>
              <w:t>3.4—5.4</w:t>
            </w:r>
          </w:p>
        </w:tc>
        <w:tc>
          <w:tcPr>
            <w:tcW w:w="1780" w:type="dxa"/>
            <w:tcBorders>
              <w:top w:val="nil"/>
              <w:left w:val="nil"/>
              <w:bottom w:val="single" w:color="auto" w:sz="8" w:space="0"/>
              <w:right w:val="single" w:color="auto" w:sz="8" w:space="0"/>
            </w:tcBorders>
            <w:shd w:val="clear" w:color="auto" w:fill="auto"/>
            <w:vAlign w:val="center"/>
          </w:tcPr>
          <w:p w14:paraId="7E0D3FA8">
            <w:pPr>
              <w:widowControl/>
              <w:jc w:val="left"/>
              <w:rPr>
                <w:rFonts w:ascii="黑体" w:hAnsi="黑体" w:cs="宋体"/>
                <w:kern w:val="0"/>
                <w:szCs w:val="18"/>
              </w:rPr>
            </w:pPr>
            <w:r>
              <w:rPr>
                <w:rFonts w:hint="eastAsia" w:ascii="黑体" w:hAnsi="黑体" w:cs="宋体"/>
                <w:kern w:val="0"/>
                <w:szCs w:val="18"/>
              </w:rPr>
              <w:t>0.72--1.82</w:t>
            </w:r>
          </w:p>
        </w:tc>
        <w:tc>
          <w:tcPr>
            <w:tcW w:w="1780" w:type="dxa"/>
            <w:tcBorders>
              <w:top w:val="nil"/>
              <w:left w:val="nil"/>
              <w:bottom w:val="single" w:color="auto" w:sz="8" w:space="0"/>
              <w:right w:val="single" w:color="auto" w:sz="8" w:space="0"/>
            </w:tcBorders>
            <w:shd w:val="clear" w:color="auto" w:fill="auto"/>
            <w:vAlign w:val="center"/>
          </w:tcPr>
          <w:p w14:paraId="2995EBC4">
            <w:pPr>
              <w:widowControl/>
              <w:jc w:val="left"/>
              <w:rPr>
                <w:rFonts w:ascii="黑体" w:hAnsi="黑体" w:cs="宋体"/>
                <w:kern w:val="0"/>
                <w:szCs w:val="18"/>
              </w:rPr>
            </w:pPr>
            <w:r>
              <w:rPr>
                <w:rFonts w:hint="eastAsia" w:ascii="黑体" w:hAnsi="黑体" w:cs="宋体"/>
                <w:kern w:val="0"/>
                <w:szCs w:val="18"/>
              </w:rPr>
              <w:t>6.9-17.7</w:t>
            </w:r>
          </w:p>
        </w:tc>
        <w:tc>
          <w:tcPr>
            <w:tcW w:w="1060" w:type="dxa"/>
            <w:tcBorders>
              <w:top w:val="nil"/>
              <w:left w:val="nil"/>
              <w:bottom w:val="single" w:color="auto" w:sz="8" w:space="0"/>
              <w:right w:val="single" w:color="auto" w:sz="8" w:space="0"/>
            </w:tcBorders>
            <w:shd w:val="clear" w:color="auto" w:fill="auto"/>
            <w:vAlign w:val="center"/>
          </w:tcPr>
          <w:p w14:paraId="017D6BEA">
            <w:pPr>
              <w:widowControl/>
              <w:jc w:val="left"/>
              <w:rPr>
                <w:rFonts w:ascii="黑体" w:hAnsi="黑体" w:cs="宋体"/>
                <w:kern w:val="0"/>
                <w:szCs w:val="18"/>
              </w:rPr>
            </w:pPr>
            <w:r>
              <w:rPr>
                <w:rFonts w:hint="eastAsia" w:ascii="黑体" w:hAnsi="黑体" w:cs="宋体"/>
                <w:kern w:val="0"/>
                <w:szCs w:val="18"/>
              </w:rPr>
              <w:t>---</w:t>
            </w:r>
          </w:p>
        </w:tc>
      </w:tr>
      <w:tr w14:paraId="1FCD6F16">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61CD4048">
            <w:pPr>
              <w:widowControl/>
              <w:jc w:val="left"/>
              <w:rPr>
                <w:rFonts w:ascii="黑体" w:hAnsi="黑体" w:cs="宋体"/>
                <w:kern w:val="0"/>
                <w:szCs w:val="18"/>
              </w:rPr>
            </w:pPr>
            <w:r>
              <w:rPr>
                <w:rFonts w:hint="eastAsia" w:ascii="黑体" w:hAnsi="黑体" w:cs="宋体"/>
                <w:kern w:val="0"/>
                <w:szCs w:val="18"/>
              </w:rPr>
              <w:t>4</w:t>
            </w:r>
          </w:p>
        </w:tc>
        <w:tc>
          <w:tcPr>
            <w:tcW w:w="1780" w:type="dxa"/>
            <w:tcBorders>
              <w:top w:val="nil"/>
              <w:left w:val="nil"/>
              <w:bottom w:val="single" w:color="auto" w:sz="8" w:space="0"/>
              <w:right w:val="single" w:color="auto" w:sz="8" w:space="0"/>
            </w:tcBorders>
            <w:shd w:val="clear" w:color="auto" w:fill="auto"/>
            <w:vAlign w:val="center"/>
          </w:tcPr>
          <w:p w14:paraId="2BF32389">
            <w:pPr>
              <w:widowControl/>
              <w:jc w:val="left"/>
              <w:rPr>
                <w:rFonts w:ascii="黑体" w:hAnsi="黑体" w:cs="宋体"/>
                <w:kern w:val="0"/>
                <w:szCs w:val="18"/>
              </w:rPr>
            </w:pPr>
            <w:r>
              <w:rPr>
                <w:rFonts w:hint="eastAsia" w:ascii="黑体" w:hAnsi="黑体" w:cs="宋体"/>
                <w:kern w:val="0"/>
                <w:szCs w:val="18"/>
              </w:rPr>
              <w:t>5.5—7.9</w:t>
            </w:r>
          </w:p>
        </w:tc>
        <w:tc>
          <w:tcPr>
            <w:tcW w:w="1780" w:type="dxa"/>
            <w:tcBorders>
              <w:top w:val="nil"/>
              <w:left w:val="nil"/>
              <w:bottom w:val="single" w:color="auto" w:sz="8" w:space="0"/>
              <w:right w:val="single" w:color="auto" w:sz="8" w:space="0"/>
            </w:tcBorders>
            <w:shd w:val="clear" w:color="auto" w:fill="auto"/>
            <w:vAlign w:val="center"/>
          </w:tcPr>
          <w:p w14:paraId="3582CDA4">
            <w:pPr>
              <w:widowControl/>
              <w:jc w:val="left"/>
              <w:rPr>
                <w:rFonts w:ascii="黑体" w:hAnsi="黑体" w:cs="宋体"/>
                <w:kern w:val="0"/>
                <w:szCs w:val="18"/>
              </w:rPr>
            </w:pPr>
            <w:r>
              <w:rPr>
                <w:rFonts w:hint="eastAsia" w:ascii="黑体" w:hAnsi="黑体" w:cs="宋体"/>
                <w:kern w:val="0"/>
                <w:szCs w:val="18"/>
              </w:rPr>
              <w:t>1.89--3.9</w:t>
            </w:r>
          </w:p>
        </w:tc>
        <w:tc>
          <w:tcPr>
            <w:tcW w:w="1780" w:type="dxa"/>
            <w:tcBorders>
              <w:top w:val="nil"/>
              <w:left w:val="nil"/>
              <w:bottom w:val="single" w:color="auto" w:sz="8" w:space="0"/>
              <w:right w:val="single" w:color="auto" w:sz="8" w:space="0"/>
            </w:tcBorders>
            <w:shd w:val="clear" w:color="auto" w:fill="auto"/>
            <w:vAlign w:val="center"/>
          </w:tcPr>
          <w:p w14:paraId="031F23ED">
            <w:pPr>
              <w:widowControl/>
              <w:jc w:val="left"/>
              <w:rPr>
                <w:rFonts w:ascii="黑体" w:hAnsi="黑体" w:cs="宋体"/>
                <w:kern w:val="0"/>
                <w:szCs w:val="18"/>
              </w:rPr>
            </w:pPr>
            <w:r>
              <w:rPr>
                <w:rFonts w:hint="eastAsia" w:ascii="黑体" w:hAnsi="黑体" w:cs="宋体"/>
                <w:kern w:val="0"/>
                <w:szCs w:val="18"/>
              </w:rPr>
              <w:t>18.6-38.3</w:t>
            </w:r>
          </w:p>
        </w:tc>
        <w:tc>
          <w:tcPr>
            <w:tcW w:w="1060" w:type="dxa"/>
            <w:tcBorders>
              <w:top w:val="nil"/>
              <w:left w:val="nil"/>
              <w:bottom w:val="single" w:color="auto" w:sz="8" w:space="0"/>
              <w:right w:val="single" w:color="auto" w:sz="8" w:space="0"/>
            </w:tcBorders>
            <w:shd w:val="clear" w:color="auto" w:fill="auto"/>
            <w:vAlign w:val="center"/>
          </w:tcPr>
          <w:p w14:paraId="223219B5">
            <w:pPr>
              <w:widowControl/>
              <w:jc w:val="left"/>
              <w:rPr>
                <w:rFonts w:ascii="黑体" w:hAnsi="黑体" w:cs="宋体"/>
                <w:kern w:val="0"/>
                <w:szCs w:val="18"/>
              </w:rPr>
            </w:pPr>
            <w:r>
              <w:rPr>
                <w:rFonts w:hint="eastAsia" w:ascii="黑体" w:hAnsi="黑体" w:cs="宋体"/>
                <w:kern w:val="0"/>
                <w:szCs w:val="18"/>
              </w:rPr>
              <w:t>＜90</w:t>
            </w:r>
          </w:p>
        </w:tc>
      </w:tr>
      <w:tr w14:paraId="2BF1F8D8">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5EF81EC7">
            <w:pPr>
              <w:widowControl/>
              <w:jc w:val="left"/>
              <w:rPr>
                <w:rFonts w:ascii="黑体" w:hAnsi="黑体" w:cs="宋体"/>
                <w:kern w:val="0"/>
                <w:szCs w:val="18"/>
              </w:rPr>
            </w:pPr>
            <w:r>
              <w:rPr>
                <w:rFonts w:hint="eastAsia" w:ascii="黑体" w:hAnsi="黑体" w:cs="宋体"/>
                <w:kern w:val="0"/>
                <w:szCs w:val="18"/>
              </w:rPr>
              <w:t>5</w:t>
            </w:r>
          </w:p>
        </w:tc>
        <w:tc>
          <w:tcPr>
            <w:tcW w:w="1780" w:type="dxa"/>
            <w:tcBorders>
              <w:top w:val="nil"/>
              <w:left w:val="nil"/>
              <w:bottom w:val="single" w:color="auto" w:sz="8" w:space="0"/>
              <w:right w:val="single" w:color="auto" w:sz="8" w:space="0"/>
            </w:tcBorders>
            <w:shd w:val="clear" w:color="auto" w:fill="auto"/>
            <w:vAlign w:val="center"/>
          </w:tcPr>
          <w:p w14:paraId="11D5C82D">
            <w:pPr>
              <w:widowControl/>
              <w:jc w:val="left"/>
              <w:rPr>
                <w:rFonts w:ascii="黑体" w:hAnsi="黑体" w:cs="宋体"/>
                <w:kern w:val="0"/>
                <w:szCs w:val="18"/>
              </w:rPr>
            </w:pPr>
            <w:r>
              <w:rPr>
                <w:rFonts w:hint="eastAsia" w:ascii="黑体" w:hAnsi="黑体" w:cs="宋体"/>
                <w:kern w:val="0"/>
                <w:szCs w:val="18"/>
              </w:rPr>
              <w:t>8.0—10.7</w:t>
            </w:r>
          </w:p>
        </w:tc>
        <w:tc>
          <w:tcPr>
            <w:tcW w:w="1780" w:type="dxa"/>
            <w:tcBorders>
              <w:top w:val="nil"/>
              <w:left w:val="nil"/>
              <w:bottom w:val="single" w:color="auto" w:sz="8" w:space="0"/>
              <w:right w:val="single" w:color="auto" w:sz="8" w:space="0"/>
            </w:tcBorders>
            <w:shd w:val="clear" w:color="auto" w:fill="auto"/>
            <w:vAlign w:val="center"/>
          </w:tcPr>
          <w:p w14:paraId="657B925A">
            <w:pPr>
              <w:widowControl/>
              <w:jc w:val="left"/>
              <w:rPr>
                <w:rFonts w:ascii="黑体" w:hAnsi="黑体" w:cs="宋体"/>
                <w:kern w:val="0"/>
                <w:szCs w:val="18"/>
              </w:rPr>
            </w:pPr>
            <w:r>
              <w:rPr>
                <w:rFonts w:hint="eastAsia" w:ascii="黑体" w:hAnsi="黑体" w:cs="宋体"/>
                <w:kern w:val="0"/>
                <w:szCs w:val="18"/>
              </w:rPr>
              <w:t>4--7.16</w:t>
            </w:r>
          </w:p>
        </w:tc>
        <w:tc>
          <w:tcPr>
            <w:tcW w:w="1780" w:type="dxa"/>
            <w:tcBorders>
              <w:top w:val="nil"/>
              <w:left w:val="nil"/>
              <w:bottom w:val="single" w:color="auto" w:sz="8" w:space="0"/>
              <w:right w:val="single" w:color="auto" w:sz="8" w:space="0"/>
            </w:tcBorders>
            <w:shd w:val="clear" w:color="auto" w:fill="auto"/>
            <w:vAlign w:val="center"/>
          </w:tcPr>
          <w:p w14:paraId="07A695C6">
            <w:pPr>
              <w:widowControl/>
              <w:jc w:val="left"/>
              <w:rPr>
                <w:rFonts w:ascii="黑体" w:hAnsi="黑体" w:cs="宋体"/>
                <w:kern w:val="0"/>
                <w:szCs w:val="18"/>
              </w:rPr>
            </w:pPr>
            <w:r>
              <w:rPr>
                <w:rFonts w:hint="eastAsia" w:ascii="黑体" w:hAnsi="黑体" w:cs="宋体"/>
                <w:kern w:val="0"/>
                <w:szCs w:val="18"/>
              </w:rPr>
              <w:t>39.2-70.0</w:t>
            </w:r>
          </w:p>
        </w:tc>
        <w:tc>
          <w:tcPr>
            <w:tcW w:w="1060" w:type="dxa"/>
            <w:tcBorders>
              <w:top w:val="nil"/>
              <w:left w:val="nil"/>
              <w:bottom w:val="single" w:color="auto" w:sz="8" w:space="0"/>
              <w:right w:val="single" w:color="auto" w:sz="8" w:space="0"/>
            </w:tcBorders>
            <w:shd w:val="clear" w:color="auto" w:fill="auto"/>
            <w:vAlign w:val="center"/>
          </w:tcPr>
          <w:p w14:paraId="4E6F1A37">
            <w:pPr>
              <w:widowControl/>
              <w:jc w:val="left"/>
              <w:rPr>
                <w:rFonts w:ascii="黑体" w:hAnsi="黑体" w:cs="宋体"/>
                <w:kern w:val="0"/>
                <w:szCs w:val="18"/>
              </w:rPr>
            </w:pPr>
            <w:r>
              <w:rPr>
                <w:rFonts w:hint="eastAsia" w:ascii="黑体" w:hAnsi="黑体" w:cs="宋体"/>
                <w:kern w:val="0"/>
                <w:szCs w:val="18"/>
              </w:rPr>
              <w:t>＜90</w:t>
            </w:r>
          </w:p>
        </w:tc>
      </w:tr>
      <w:tr w14:paraId="448B225D">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22A61D95">
            <w:pPr>
              <w:widowControl/>
              <w:jc w:val="left"/>
              <w:rPr>
                <w:rFonts w:ascii="黑体" w:hAnsi="黑体" w:cs="宋体"/>
                <w:kern w:val="0"/>
                <w:szCs w:val="18"/>
              </w:rPr>
            </w:pPr>
            <w:r>
              <w:rPr>
                <w:rFonts w:hint="eastAsia" w:ascii="黑体" w:hAnsi="黑体" w:cs="宋体"/>
                <w:kern w:val="0"/>
                <w:szCs w:val="18"/>
              </w:rPr>
              <w:t>6</w:t>
            </w:r>
          </w:p>
        </w:tc>
        <w:tc>
          <w:tcPr>
            <w:tcW w:w="1780" w:type="dxa"/>
            <w:tcBorders>
              <w:top w:val="nil"/>
              <w:left w:val="nil"/>
              <w:bottom w:val="single" w:color="auto" w:sz="8" w:space="0"/>
              <w:right w:val="single" w:color="auto" w:sz="8" w:space="0"/>
            </w:tcBorders>
            <w:shd w:val="clear" w:color="auto" w:fill="auto"/>
            <w:vAlign w:val="center"/>
          </w:tcPr>
          <w:p w14:paraId="559969D6">
            <w:pPr>
              <w:widowControl/>
              <w:jc w:val="left"/>
              <w:rPr>
                <w:rFonts w:ascii="黑体" w:hAnsi="黑体" w:cs="宋体"/>
                <w:kern w:val="0"/>
                <w:szCs w:val="18"/>
              </w:rPr>
            </w:pPr>
            <w:r>
              <w:rPr>
                <w:rFonts w:hint="eastAsia" w:ascii="黑体" w:hAnsi="黑体" w:cs="宋体"/>
                <w:kern w:val="0"/>
                <w:szCs w:val="18"/>
              </w:rPr>
              <w:t>10.8—13.8</w:t>
            </w:r>
          </w:p>
        </w:tc>
        <w:tc>
          <w:tcPr>
            <w:tcW w:w="1780" w:type="dxa"/>
            <w:tcBorders>
              <w:top w:val="nil"/>
              <w:left w:val="nil"/>
              <w:bottom w:val="single" w:color="auto" w:sz="8" w:space="0"/>
              <w:right w:val="single" w:color="auto" w:sz="8" w:space="0"/>
            </w:tcBorders>
            <w:shd w:val="clear" w:color="auto" w:fill="auto"/>
            <w:vAlign w:val="center"/>
          </w:tcPr>
          <w:p w14:paraId="0B6433B1">
            <w:pPr>
              <w:widowControl/>
              <w:jc w:val="left"/>
              <w:rPr>
                <w:rFonts w:ascii="黑体" w:hAnsi="黑体" w:cs="宋体"/>
                <w:kern w:val="0"/>
                <w:szCs w:val="18"/>
              </w:rPr>
            </w:pPr>
            <w:r>
              <w:rPr>
                <w:rFonts w:hint="eastAsia" w:ascii="黑体" w:hAnsi="黑体" w:cs="宋体"/>
                <w:kern w:val="0"/>
                <w:szCs w:val="18"/>
              </w:rPr>
              <w:t>7.29--11.9</w:t>
            </w:r>
          </w:p>
        </w:tc>
        <w:tc>
          <w:tcPr>
            <w:tcW w:w="1780" w:type="dxa"/>
            <w:tcBorders>
              <w:top w:val="nil"/>
              <w:left w:val="nil"/>
              <w:bottom w:val="single" w:color="auto" w:sz="8" w:space="0"/>
              <w:right w:val="single" w:color="auto" w:sz="8" w:space="0"/>
            </w:tcBorders>
            <w:shd w:val="clear" w:color="auto" w:fill="auto"/>
            <w:vAlign w:val="center"/>
          </w:tcPr>
          <w:p w14:paraId="5EC3E2BA">
            <w:pPr>
              <w:widowControl/>
              <w:jc w:val="left"/>
              <w:rPr>
                <w:rFonts w:ascii="黑体" w:hAnsi="黑体" w:cs="宋体"/>
                <w:kern w:val="0"/>
                <w:szCs w:val="18"/>
              </w:rPr>
            </w:pPr>
            <w:r>
              <w:rPr>
                <w:rFonts w:hint="eastAsia" w:ascii="黑体" w:hAnsi="黑体" w:cs="宋体"/>
                <w:kern w:val="0"/>
                <w:szCs w:val="18"/>
              </w:rPr>
              <w:t>71.6-116.7</w:t>
            </w:r>
          </w:p>
        </w:tc>
        <w:tc>
          <w:tcPr>
            <w:tcW w:w="1060" w:type="dxa"/>
            <w:tcBorders>
              <w:top w:val="nil"/>
              <w:left w:val="nil"/>
              <w:bottom w:val="single" w:color="auto" w:sz="8" w:space="0"/>
              <w:right w:val="single" w:color="auto" w:sz="8" w:space="0"/>
            </w:tcBorders>
            <w:shd w:val="clear" w:color="auto" w:fill="auto"/>
            <w:vAlign w:val="center"/>
          </w:tcPr>
          <w:p w14:paraId="0A502A51">
            <w:pPr>
              <w:widowControl/>
              <w:jc w:val="left"/>
              <w:rPr>
                <w:rFonts w:ascii="黑体" w:hAnsi="黑体" w:cs="宋体"/>
                <w:kern w:val="0"/>
                <w:szCs w:val="18"/>
              </w:rPr>
            </w:pPr>
            <w:r>
              <w:rPr>
                <w:rFonts w:hint="eastAsia" w:ascii="黑体" w:hAnsi="黑体" w:cs="宋体"/>
                <w:kern w:val="0"/>
                <w:szCs w:val="18"/>
              </w:rPr>
              <w:t>＜90</w:t>
            </w:r>
          </w:p>
        </w:tc>
      </w:tr>
      <w:tr w14:paraId="22C20090">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4F566DD9">
            <w:pPr>
              <w:widowControl/>
              <w:jc w:val="left"/>
              <w:rPr>
                <w:rFonts w:ascii="黑体" w:hAnsi="黑体" w:cs="宋体"/>
                <w:kern w:val="0"/>
                <w:szCs w:val="18"/>
              </w:rPr>
            </w:pPr>
            <w:r>
              <w:rPr>
                <w:rFonts w:hint="eastAsia" w:ascii="黑体" w:hAnsi="黑体" w:cs="宋体"/>
                <w:kern w:val="0"/>
                <w:szCs w:val="18"/>
              </w:rPr>
              <w:t>7</w:t>
            </w:r>
          </w:p>
        </w:tc>
        <w:tc>
          <w:tcPr>
            <w:tcW w:w="1780" w:type="dxa"/>
            <w:tcBorders>
              <w:top w:val="nil"/>
              <w:left w:val="nil"/>
              <w:bottom w:val="single" w:color="auto" w:sz="8" w:space="0"/>
              <w:right w:val="single" w:color="auto" w:sz="8" w:space="0"/>
            </w:tcBorders>
            <w:shd w:val="clear" w:color="auto" w:fill="auto"/>
            <w:vAlign w:val="center"/>
          </w:tcPr>
          <w:p w14:paraId="4C0B477B">
            <w:pPr>
              <w:widowControl/>
              <w:jc w:val="left"/>
              <w:rPr>
                <w:rFonts w:ascii="黑体" w:hAnsi="黑体" w:cs="宋体"/>
                <w:kern w:val="0"/>
                <w:szCs w:val="18"/>
              </w:rPr>
            </w:pPr>
            <w:r>
              <w:rPr>
                <w:rFonts w:hint="eastAsia" w:ascii="黑体" w:hAnsi="黑体" w:cs="宋体"/>
                <w:kern w:val="0"/>
                <w:szCs w:val="18"/>
              </w:rPr>
              <w:t>13.9—17.1</w:t>
            </w:r>
          </w:p>
        </w:tc>
        <w:tc>
          <w:tcPr>
            <w:tcW w:w="1780" w:type="dxa"/>
            <w:tcBorders>
              <w:top w:val="nil"/>
              <w:left w:val="nil"/>
              <w:bottom w:val="single" w:color="auto" w:sz="8" w:space="0"/>
              <w:right w:val="single" w:color="auto" w:sz="8" w:space="0"/>
            </w:tcBorders>
            <w:shd w:val="clear" w:color="auto" w:fill="auto"/>
            <w:vAlign w:val="center"/>
          </w:tcPr>
          <w:p w14:paraId="0DBCD86C">
            <w:pPr>
              <w:widowControl/>
              <w:jc w:val="left"/>
              <w:rPr>
                <w:rFonts w:ascii="黑体" w:hAnsi="黑体" w:cs="宋体"/>
                <w:kern w:val="0"/>
                <w:szCs w:val="18"/>
              </w:rPr>
            </w:pPr>
            <w:r>
              <w:rPr>
                <w:rFonts w:hint="eastAsia" w:ascii="黑体" w:hAnsi="黑体" w:cs="宋体"/>
                <w:kern w:val="0"/>
                <w:szCs w:val="18"/>
              </w:rPr>
              <w:t>12.08—18.28</w:t>
            </w:r>
          </w:p>
        </w:tc>
        <w:tc>
          <w:tcPr>
            <w:tcW w:w="1780" w:type="dxa"/>
            <w:tcBorders>
              <w:top w:val="nil"/>
              <w:left w:val="nil"/>
              <w:bottom w:val="single" w:color="auto" w:sz="8" w:space="0"/>
              <w:right w:val="single" w:color="auto" w:sz="8" w:space="0"/>
            </w:tcBorders>
            <w:shd w:val="clear" w:color="auto" w:fill="auto"/>
            <w:vAlign w:val="center"/>
          </w:tcPr>
          <w:p w14:paraId="2CB03971">
            <w:pPr>
              <w:widowControl/>
              <w:jc w:val="left"/>
              <w:rPr>
                <w:rFonts w:ascii="黑体" w:hAnsi="黑体" w:cs="宋体"/>
                <w:kern w:val="0"/>
                <w:szCs w:val="18"/>
              </w:rPr>
            </w:pPr>
            <w:r>
              <w:rPr>
                <w:rFonts w:hint="eastAsia" w:ascii="黑体" w:hAnsi="黑体" w:cs="宋体"/>
                <w:kern w:val="0"/>
                <w:szCs w:val="18"/>
              </w:rPr>
              <w:t>117.7-179.5</w:t>
            </w:r>
          </w:p>
        </w:tc>
        <w:tc>
          <w:tcPr>
            <w:tcW w:w="1060" w:type="dxa"/>
            <w:tcBorders>
              <w:top w:val="nil"/>
              <w:left w:val="nil"/>
              <w:bottom w:val="single" w:color="auto" w:sz="8" w:space="0"/>
              <w:right w:val="single" w:color="auto" w:sz="8" w:space="0"/>
            </w:tcBorders>
            <w:shd w:val="clear" w:color="auto" w:fill="auto"/>
            <w:vAlign w:val="center"/>
          </w:tcPr>
          <w:p w14:paraId="46372367">
            <w:pPr>
              <w:widowControl/>
              <w:jc w:val="left"/>
              <w:rPr>
                <w:rFonts w:ascii="黑体" w:hAnsi="黑体" w:cs="宋体"/>
                <w:kern w:val="0"/>
                <w:szCs w:val="18"/>
              </w:rPr>
            </w:pPr>
            <w:r>
              <w:rPr>
                <w:rFonts w:hint="eastAsia" w:ascii="黑体" w:hAnsi="黑体" w:cs="宋体"/>
                <w:kern w:val="0"/>
                <w:szCs w:val="18"/>
              </w:rPr>
              <w:t>＜90</w:t>
            </w:r>
          </w:p>
        </w:tc>
      </w:tr>
      <w:tr w14:paraId="447093A0">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19510F1A">
            <w:pPr>
              <w:widowControl/>
              <w:jc w:val="left"/>
              <w:rPr>
                <w:rFonts w:ascii="黑体" w:hAnsi="黑体" w:cs="宋体"/>
                <w:kern w:val="0"/>
                <w:szCs w:val="18"/>
              </w:rPr>
            </w:pPr>
            <w:r>
              <w:rPr>
                <w:rFonts w:hint="eastAsia" w:ascii="黑体" w:hAnsi="黑体" w:cs="宋体"/>
                <w:kern w:val="0"/>
                <w:szCs w:val="18"/>
              </w:rPr>
              <w:t>8</w:t>
            </w:r>
          </w:p>
        </w:tc>
        <w:tc>
          <w:tcPr>
            <w:tcW w:w="1780" w:type="dxa"/>
            <w:tcBorders>
              <w:top w:val="nil"/>
              <w:left w:val="nil"/>
              <w:bottom w:val="single" w:color="auto" w:sz="8" w:space="0"/>
              <w:right w:val="single" w:color="auto" w:sz="8" w:space="0"/>
            </w:tcBorders>
            <w:shd w:val="clear" w:color="auto" w:fill="auto"/>
            <w:vAlign w:val="center"/>
          </w:tcPr>
          <w:p w14:paraId="377B0E8D">
            <w:pPr>
              <w:widowControl/>
              <w:jc w:val="left"/>
              <w:rPr>
                <w:rFonts w:ascii="黑体" w:hAnsi="黑体" w:cs="宋体"/>
                <w:kern w:val="0"/>
                <w:szCs w:val="18"/>
              </w:rPr>
            </w:pPr>
            <w:r>
              <w:rPr>
                <w:rFonts w:hint="eastAsia" w:ascii="黑体" w:hAnsi="黑体" w:cs="宋体"/>
                <w:kern w:val="0"/>
                <w:szCs w:val="18"/>
              </w:rPr>
              <w:t>17.2—20.7</w:t>
            </w:r>
          </w:p>
        </w:tc>
        <w:tc>
          <w:tcPr>
            <w:tcW w:w="1780" w:type="dxa"/>
            <w:tcBorders>
              <w:top w:val="nil"/>
              <w:left w:val="nil"/>
              <w:bottom w:val="single" w:color="auto" w:sz="8" w:space="0"/>
              <w:right w:val="single" w:color="auto" w:sz="8" w:space="0"/>
            </w:tcBorders>
            <w:shd w:val="clear" w:color="auto" w:fill="auto"/>
            <w:vAlign w:val="center"/>
          </w:tcPr>
          <w:p w14:paraId="55E09D8E">
            <w:pPr>
              <w:widowControl/>
              <w:jc w:val="left"/>
              <w:rPr>
                <w:rFonts w:ascii="黑体" w:hAnsi="黑体" w:cs="宋体"/>
                <w:kern w:val="0"/>
                <w:szCs w:val="18"/>
              </w:rPr>
            </w:pPr>
            <w:r>
              <w:rPr>
                <w:rFonts w:hint="eastAsia" w:ascii="黑体" w:hAnsi="黑体" w:cs="宋体"/>
                <w:kern w:val="0"/>
                <w:szCs w:val="18"/>
              </w:rPr>
              <w:t>18.49—26.78</w:t>
            </w:r>
          </w:p>
        </w:tc>
        <w:tc>
          <w:tcPr>
            <w:tcW w:w="1780" w:type="dxa"/>
            <w:tcBorders>
              <w:top w:val="nil"/>
              <w:left w:val="nil"/>
              <w:bottom w:val="single" w:color="auto" w:sz="8" w:space="0"/>
              <w:right w:val="single" w:color="auto" w:sz="8" w:space="0"/>
            </w:tcBorders>
            <w:shd w:val="clear" w:color="auto" w:fill="auto"/>
            <w:vAlign w:val="center"/>
          </w:tcPr>
          <w:p w14:paraId="759DAB8A">
            <w:pPr>
              <w:widowControl/>
              <w:jc w:val="left"/>
              <w:rPr>
                <w:rFonts w:ascii="黑体" w:hAnsi="黑体" w:cs="宋体"/>
                <w:kern w:val="0"/>
                <w:szCs w:val="18"/>
              </w:rPr>
            </w:pPr>
            <w:r>
              <w:rPr>
                <w:rFonts w:hint="eastAsia" w:ascii="黑体" w:hAnsi="黑体" w:cs="宋体"/>
                <w:kern w:val="0"/>
                <w:szCs w:val="18"/>
              </w:rPr>
              <w:t>180.5-262.9</w:t>
            </w:r>
          </w:p>
        </w:tc>
        <w:tc>
          <w:tcPr>
            <w:tcW w:w="1060" w:type="dxa"/>
            <w:tcBorders>
              <w:top w:val="nil"/>
              <w:left w:val="nil"/>
              <w:bottom w:val="single" w:color="auto" w:sz="8" w:space="0"/>
              <w:right w:val="single" w:color="auto" w:sz="8" w:space="0"/>
            </w:tcBorders>
            <w:shd w:val="clear" w:color="auto" w:fill="auto"/>
            <w:vAlign w:val="center"/>
          </w:tcPr>
          <w:p w14:paraId="6BF4041C">
            <w:pPr>
              <w:widowControl/>
              <w:jc w:val="left"/>
              <w:rPr>
                <w:rFonts w:ascii="黑体" w:hAnsi="黑体" w:cs="宋体"/>
                <w:kern w:val="0"/>
                <w:szCs w:val="18"/>
              </w:rPr>
            </w:pPr>
            <w:r>
              <w:rPr>
                <w:rFonts w:hint="eastAsia" w:ascii="黑体" w:hAnsi="黑体" w:cs="宋体"/>
                <w:kern w:val="0"/>
                <w:szCs w:val="18"/>
              </w:rPr>
              <w:t>＜90</w:t>
            </w:r>
          </w:p>
        </w:tc>
      </w:tr>
      <w:tr w14:paraId="309B0205">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0F82C615">
            <w:pPr>
              <w:widowControl/>
              <w:jc w:val="left"/>
              <w:rPr>
                <w:rFonts w:ascii="黑体" w:hAnsi="黑体" w:cs="宋体"/>
                <w:kern w:val="0"/>
                <w:szCs w:val="18"/>
              </w:rPr>
            </w:pPr>
            <w:r>
              <w:rPr>
                <w:rFonts w:hint="eastAsia" w:ascii="黑体" w:hAnsi="黑体" w:cs="宋体"/>
                <w:kern w:val="0"/>
                <w:szCs w:val="18"/>
              </w:rPr>
              <w:t>9</w:t>
            </w:r>
          </w:p>
        </w:tc>
        <w:tc>
          <w:tcPr>
            <w:tcW w:w="1780" w:type="dxa"/>
            <w:tcBorders>
              <w:top w:val="nil"/>
              <w:left w:val="nil"/>
              <w:bottom w:val="single" w:color="auto" w:sz="8" w:space="0"/>
              <w:right w:val="single" w:color="auto" w:sz="8" w:space="0"/>
            </w:tcBorders>
            <w:shd w:val="clear" w:color="auto" w:fill="auto"/>
            <w:vAlign w:val="center"/>
          </w:tcPr>
          <w:p w14:paraId="20CD5A3E">
            <w:pPr>
              <w:widowControl/>
              <w:jc w:val="left"/>
              <w:rPr>
                <w:rFonts w:ascii="黑体" w:hAnsi="黑体" w:cs="宋体"/>
                <w:kern w:val="0"/>
                <w:szCs w:val="18"/>
              </w:rPr>
            </w:pPr>
            <w:r>
              <w:rPr>
                <w:rFonts w:hint="eastAsia" w:ascii="黑体" w:hAnsi="黑体" w:cs="宋体"/>
                <w:kern w:val="0"/>
                <w:szCs w:val="18"/>
              </w:rPr>
              <w:t>20.8—24.4</w:t>
            </w:r>
          </w:p>
        </w:tc>
        <w:tc>
          <w:tcPr>
            <w:tcW w:w="1780" w:type="dxa"/>
            <w:tcBorders>
              <w:top w:val="nil"/>
              <w:left w:val="nil"/>
              <w:bottom w:val="single" w:color="auto" w:sz="8" w:space="0"/>
              <w:right w:val="single" w:color="auto" w:sz="8" w:space="0"/>
            </w:tcBorders>
            <w:shd w:val="clear" w:color="auto" w:fill="auto"/>
            <w:vAlign w:val="center"/>
          </w:tcPr>
          <w:p w14:paraId="496AB70B">
            <w:pPr>
              <w:widowControl/>
              <w:jc w:val="left"/>
              <w:rPr>
                <w:rFonts w:ascii="黑体" w:hAnsi="黑体" w:cs="宋体"/>
                <w:kern w:val="0"/>
                <w:szCs w:val="18"/>
              </w:rPr>
            </w:pPr>
            <w:r>
              <w:rPr>
                <w:rFonts w:hint="eastAsia" w:ascii="黑体" w:hAnsi="黑体" w:cs="宋体"/>
                <w:kern w:val="0"/>
                <w:szCs w:val="18"/>
              </w:rPr>
              <w:t>27.04—37.21</w:t>
            </w:r>
          </w:p>
        </w:tc>
        <w:tc>
          <w:tcPr>
            <w:tcW w:w="1780" w:type="dxa"/>
            <w:tcBorders>
              <w:top w:val="nil"/>
              <w:left w:val="nil"/>
              <w:bottom w:val="single" w:color="auto" w:sz="8" w:space="0"/>
              <w:right w:val="single" w:color="auto" w:sz="8" w:space="0"/>
            </w:tcBorders>
            <w:shd w:val="clear" w:color="auto" w:fill="auto"/>
            <w:vAlign w:val="center"/>
          </w:tcPr>
          <w:p w14:paraId="3AAAF594">
            <w:pPr>
              <w:widowControl/>
              <w:jc w:val="left"/>
              <w:rPr>
                <w:rFonts w:ascii="黑体" w:hAnsi="黑体" w:cs="宋体"/>
                <w:kern w:val="0"/>
                <w:szCs w:val="18"/>
              </w:rPr>
            </w:pPr>
            <w:r>
              <w:rPr>
                <w:rFonts w:hint="eastAsia" w:ascii="黑体" w:hAnsi="黑体" w:cs="宋体"/>
                <w:kern w:val="0"/>
                <w:szCs w:val="18"/>
              </w:rPr>
              <w:t>263.9-365.9</w:t>
            </w:r>
          </w:p>
        </w:tc>
        <w:tc>
          <w:tcPr>
            <w:tcW w:w="1060" w:type="dxa"/>
            <w:tcBorders>
              <w:top w:val="nil"/>
              <w:left w:val="nil"/>
              <w:bottom w:val="single" w:color="auto" w:sz="8" w:space="0"/>
              <w:right w:val="single" w:color="auto" w:sz="8" w:space="0"/>
            </w:tcBorders>
            <w:shd w:val="clear" w:color="auto" w:fill="auto"/>
            <w:vAlign w:val="center"/>
          </w:tcPr>
          <w:p w14:paraId="42E3B4F6">
            <w:pPr>
              <w:widowControl/>
              <w:jc w:val="left"/>
              <w:rPr>
                <w:rFonts w:ascii="黑体" w:hAnsi="黑体" w:cs="宋体"/>
                <w:kern w:val="0"/>
                <w:szCs w:val="18"/>
              </w:rPr>
            </w:pPr>
            <w:r>
              <w:rPr>
                <w:rFonts w:hint="eastAsia" w:ascii="黑体" w:hAnsi="黑体" w:cs="宋体"/>
                <w:kern w:val="0"/>
                <w:szCs w:val="18"/>
              </w:rPr>
              <w:t>＜90</w:t>
            </w:r>
          </w:p>
        </w:tc>
      </w:tr>
      <w:tr w14:paraId="38E1AF4F">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6D59710D">
            <w:pPr>
              <w:widowControl/>
              <w:jc w:val="left"/>
              <w:rPr>
                <w:rFonts w:ascii="黑体" w:hAnsi="黑体" w:cs="宋体"/>
                <w:kern w:val="0"/>
                <w:szCs w:val="18"/>
              </w:rPr>
            </w:pPr>
            <w:r>
              <w:rPr>
                <w:rFonts w:hint="eastAsia" w:ascii="黑体" w:hAnsi="黑体" w:cs="宋体"/>
                <w:kern w:val="0"/>
                <w:szCs w:val="18"/>
              </w:rPr>
              <w:t>10</w:t>
            </w:r>
          </w:p>
        </w:tc>
        <w:tc>
          <w:tcPr>
            <w:tcW w:w="1780" w:type="dxa"/>
            <w:tcBorders>
              <w:top w:val="nil"/>
              <w:left w:val="nil"/>
              <w:bottom w:val="single" w:color="auto" w:sz="8" w:space="0"/>
              <w:right w:val="single" w:color="auto" w:sz="8" w:space="0"/>
            </w:tcBorders>
            <w:shd w:val="clear" w:color="auto" w:fill="auto"/>
            <w:vAlign w:val="center"/>
          </w:tcPr>
          <w:p w14:paraId="7CAA7304">
            <w:pPr>
              <w:widowControl/>
              <w:jc w:val="left"/>
              <w:rPr>
                <w:rFonts w:ascii="黑体" w:hAnsi="黑体" w:cs="宋体"/>
                <w:kern w:val="0"/>
                <w:szCs w:val="18"/>
              </w:rPr>
            </w:pPr>
            <w:r>
              <w:rPr>
                <w:rFonts w:hint="eastAsia" w:ascii="黑体" w:hAnsi="黑体" w:cs="宋体"/>
                <w:kern w:val="0"/>
                <w:szCs w:val="18"/>
              </w:rPr>
              <w:t>24.5—28.4</w:t>
            </w:r>
          </w:p>
        </w:tc>
        <w:tc>
          <w:tcPr>
            <w:tcW w:w="1780" w:type="dxa"/>
            <w:tcBorders>
              <w:top w:val="nil"/>
              <w:left w:val="nil"/>
              <w:bottom w:val="single" w:color="auto" w:sz="8" w:space="0"/>
              <w:right w:val="single" w:color="auto" w:sz="8" w:space="0"/>
            </w:tcBorders>
            <w:shd w:val="clear" w:color="auto" w:fill="auto"/>
            <w:vAlign w:val="center"/>
          </w:tcPr>
          <w:p w14:paraId="4559F40F">
            <w:pPr>
              <w:widowControl/>
              <w:jc w:val="left"/>
              <w:rPr>
                <w:rFonts w:ascii="黑体" w:hAnsi="黑体" w:cs="宋体"/>
                <w:kern w:val="0"/>
                <w:szCs w:val="18"/>
              </w:rPr>
            </w:pPr>
            <w:r>
              <w:rPr>
                <w:rFonts w:hint="eastAsia" w:ascii="黑体" w:hAnsi="黑体" w:cs="宋体"/>
                <w:kern w:val="0"/>
                <w:szCs w:val="18"/>
              </w:rPr>
              <w:t>37.52—50.41</w:t>
            </w:r>
          </w:p>
        </w:tc>
        <w:tc>
          <w:tcPr>
            <w:tcW w:w="1780" w:type="dxa"/>
            <w:tcBorders>
              <w:top w:val="nil"/>
              <w:left w:val="nil"/>
              <w:bottom w:val="single" w:color="auto" w:sz="8" w:space="0"/>
              <w:right w:val="single" w:color="auto" w:sz="8" w:space="0"/>
            </w:tcBorders>
            <w:shd w:val="clear" w:color="auto" w:fill="auto"/>
            <w:vAlign w:val="center"/>
          </w:tcPr>
          <w:p w14:paraId="65788AC9">
            <w:pPr>
              <w:widowControl/>
              <w:jc w:val="left"/>
              <w:rPr>
                <w:rFonts w:ascii="黑体" w:hAnsi="黑体" w:cs="宋体"/>
                <w:kern w:val="0"/>
                <w:szCs w:val="18"/>
              </w:rPr>
            </w:pPr>
            <w:r>
              <w:rPr>
                <w:rFonts w:hint="eastAsia" w:ascii="黑体" w:hAnsi="黑体" w:cs="宋体"/>
                <w:kern w:val="0"/>
                <w:szCs w:val="18"/>
              </w:rPr>
              <w:t>366.9-495.4</w:t>
            </w:r>
          </w:p>
        </w:tc>
        <w:tc>
          <w:tcPr>
            <w:tcW w:w="1060" w:type="dxa"/>
            <w:tcBorders>
              <w:top w:val="nil"/>
              <w:left w:val="nil"/>
              <w:bottom w:val="single" w:color="auto" w:sz="8" w:space="0"/>
              <w:right w:val="single" w:color="auto" w:sz="8" w:space="0"/>
            </w:tcBorders>
            <w:shd w:val="clear" w:color="auto" w:fill="auto"/>
            <w:vAlign w:val="center"/>
          </w:tcPr>
          <w:p w14:paraId="7ACC0F8A">
            <w:pPr>
              <w:widowControl/>
              <w:jc w:val="left"/>
              <w:rPr>
                <w:rFonts w:ascii="黑体" w:hAnsi="黑体" w:cs="宋体"/>
                <w:kern w:val="0"/>
                <w:szCs w:val="18"/>
              </w:rPr>
            </w:pPr>
            <w:r>
              <w:rPr>
                <w:rFonts w:hint="eastAsia" w:ascii="黑体" w:hAnsi="黑体" w:cs="宋体"/>
                <w:kern w:val="0"/>
                <w:szCs w:val="18"/>
              </w:rPr>
              <w:t>90</w:t>
            </w:r>
          </w:p>
        </w:tc>
      </w:tr>
      <w:tr w14:paraId="21041CEE">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6319D0F5">
            <w:pPr>
              <w:widowControl/>
              <w:jc w:val="left"/>
              <w:rPr>
                <w:rFonts w:ascii="黑体" w:hAnsi="黑体" w:cs="宋体"/>
                <w:kern w:val="0"/>
                <w:szCs w:val="18"/>
              </w:rPr>
            </w:pPr>
            <w:r>
              <w:rPr>
                <w:rFonts w:hint="eastAsia" w:ascii="黑体" w:hAnsi="黑体" w:cs="宋体"/>
                <w:kern w:val="0"/>
                <w:szCs w:val="18"/>
              </w:rPr>
              <w:t>11</w:t>
            </w:r>
          </w:p>
        </w:tc>
        <w:tc>
          <w:tcPr>
            <w:tcW w:w="1780" w:type="dxa"/>
            <w:tcBorders>
              <w:top w:val="nil"/>
              <w:left w:val="nil"/>
              <w:bottom w:val="single" w:color="auto" w:sz="8" w:space="0"/>
              <w:right w:val="single" w:color="auto" w:sz="8" w:space="0"/>
            </w:tcBorders>
            <w:shd w:val="clear" w:color="auto" w:fill="auto"/>
            <w:vAlign w:val="center"/>
          </w:tcPr>
          <w:p w14:paraId="240299EB">
            <w:pPr>
              <w:widowControl/>
              <w:jc w:val="left"/>
              <w:rPr>
                <w:rFonts w:ascii="黑体" w:hAnsi="黑体" w:cs="宋体"/>
                <w:kern w:val="0"/>
                <w:szCs w:val="18"/>
              </w:rPr>
            </w:pPr>
            <w:r>
              <w:rPr>
                <w:rFonts w:hint="eastAsia" w:ascii="黑体" w:hAnsi="黑体" w:cs="宋体"/>
                <w:kern w:val="0"/>
                <w:szCs w:val="18"/>
              </w:rPr>
              <w:t>28.5—32.6</w:t>
            </w:r>
          </w:p>
        </w:tc>
        <w:tc>
          <w:tcPr>
            <w:tcW w:w="1780" w:type="dxa"/>
            <w:tcBorders>
              <w:top w:val="nil"/>
              <w:left w:val="nil"/>
              <w:bottom w:val="single" w:color="auto" w:sz="8" w:space="0"/>
              <w:right w:val="single" w:color="auto" w:sz="8" w:space="0"/>
            </w:tcBorders>
            <w:shd w:val="clear" w:color="auto" w:fill="auto"/>
            <w:vAlign w:val="center"/>
          </w:tcPr>
          <w:p w14:paraId="26A0C0D3">
            <w:pPr>
              <w:widowControl/>
              <w:jc w:val="left"/>
              <w:rPr>
                <w:rFonts w:ascii="黑体" w:hAnsi="黑体" w:cs="宋体"/>
                <w:kern w:val="0"/>
                <w:szCs w:val="18"/>
              </w:rPr>
            </w:pPr>
            <w:r>
              <w:rPr>
                <w:rFonts w:hint="eastAsia" w:ascii="黑体" w:hAnsi="黑体" w:cs="宋体"/>
                <w:kern w:val="0"/>
                <w:szCs w:val="18"/>
              </w:rPr>
              <w:t>50.77—66.42</w:t>
            </w:r>
          </w:p>
        </w:tc>
        <w:tc>
          <w:tcPr>
            <w:tcW w:w="1780" w:type="dxa"/>
            <w:tcBorders>
              <w:top w:val="nil"/>
              <w:left w:val="nil"/>
              <w:bottom w:val="single" w:color="auto" w:sz="8" w:space="0"/>
              <w:right w:val="single" w:color="auto" w:sz="8" w:space="0"/>
            </w:tcBorders>
            <w:shd w:val="clear" w:color="auto" w:fill="auto"/>
            <w:vAlign w:val="center"/>
          </w:tcPr>
          <w:p w14:paraId="06C06FEF">
            <w:pPr>
              <w:widowControl/>
              <w:jc w:val="left"/>
              <w:rPr>
                <w:rFonts w:ascii="黑体" w:hAnsi="黑体" w:cs="宋体"/>
                <w:kern w:val="0"/>
                <w:szCs w:val="18"/>
              </w:rPr>
            </w:pPr>
            <w:r>
              <w:rPr>
                <w:rFonts w:hint="eastAsia" w:ascii="黑体" w:hAnsi="黑体" w:cs="宋体"/>
                <w:kern w:val="0"/>
                <w:szCs w:val="18"/>
              </w:rPr>
              <w:t>496.4-652.4</w:t>
            </w:r>
          </w:p>
        </w:tc>
        <w:tc>
          <w:tcPr>
            <w:tcW w:w="1060" w:type="dxa"/>
            <w:tcBorders>
              <w:top w:val="nil"/>
              <w:left w:val="nil"/>
              <w:bottom w:val="single" w:color="auto" w:sz="8" w:space="0"/>
              <w:right w:val="single" w:color="auto" w:sz="8" w:space="0"/>
            </w:tcBorders>
            <w:shd w:val="clear" w:color="auto" w:fill="auto"/>
            <w:vAlign w:val="center"/>
          </w:tcPr>
          <w:p w14:paraId="753C70C5">
            <w:pPr>
              <w:widowControl/>
              <w:jc w:val="left"/>
              <w:rPr>
                <w:rFonts w:ascii="黑体" w:hAnsi="黑体" w:cs="宋体"/>
                <w:kern w:val="0"/>
                <w:szCs w:val="18"/>
              </w:rPr>
            </w:pPr>
            <w:r>
              <w:rPr>
                <w:rFonts w:hint="eastAsia" w:ascii="黑体" w:hAnsi="黑体" w:cs="宋体"/>
                <w:kern w:val="0"/>
                <w:szCs w:val="18"/>
              </w:rPr>
              <w:t>90--135</w:t>
            </w:r>
          </w:p>
        </w:tc>
      </w:tr>
      <w:tr w14:paraId="5EAD19FC">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77403405">
            <w:pPr>
              <w:widowControl/>
              <w:jc w:val="left"/>
              <w:rPr>
                <w:rFonts w:ascii="黑体" w:hAnsi="黑体" w:cs="宋体"/>
                <w:kern w:val="0"/>
                <w:szCs w:val="18"/>
              </w:rPr>
            </w:pPr>
            <w:r>
              <w:rPr>
                <w:rFonts w:hint="eastAsia" w:ascii="黑体" w:hAnsi="黑体" w:cs="宋体"/>
                <w:kern w:val="0"/>
                <w:szCs w:val="18"/>
              </w:rPr>
              <w:t>12</w:t>
            </w:r>
          </w:p>
        </w:tc>
        <w:tc>
          <w:tcPr>
            <w:tcW w:w="1780" w:type="dxa"/>
            <w:tcBorders>
              <w:top w:val="nil"/>
              <w:left w:val="nil"/>
              <w:bottom w:val="single" w:color="auto" w:sz="8" w:space="0"/>
              <w:right w:val="single" w:color="auto" w:sz="8" w:space="0"/>
            </w:tcBorders>
            <w:shd w:val="clear" w:color="auto" w:fill="auto"/>
            <w:vAlign w:val="center"/>
          </w:tcPr>
          <w:p w14:paraId="76B21CFF">
            <w:pPr>
              <w:widowControl/>
              <w:jc w:val="left"/>
              <w:rPr>
                <w:rFonts w:ascii="黑体" w:hAnsi="黑体" w:cs="宋体"/>
                <w:kern w:val="0"/>
                <w:szCs w:val="18"/>
              </w:rPr>
            </w:pPr>
            <w:r>
              <w:rPr>
                <w:rFonts w:hint="eastAsia" w:ascii="黑体" w:hAnsi="黑体" w:cs="宋体"/>
                <w:kern w:val="0"/>
                <w:szCs w:val="18"/>
              </w:rPr>
              <w:t>＞32.7</w:t>
            </w:r>
          </w:p>
        </w:tc>
        <w:tc>
          <w:tcPr>
            <w:tcW w:w="1780" w:type="dxa"/>
            <w:tcBorders>
              <w:top w:val="nil"/>
              <w:left w:val="nil"/>
              <w:bottom w:val="single" w:color="auto" w:sz="8" w:space="0"/>
              <w:right w:val="single" w:color="auto" w:sz="8" w:space="0"/>
            </w:tcBorders>
            <w:shd w:val="clear" w:color="auto" w:fill="auto"/>
            <w:vAlign w:val="center"/>
          </w:tcPr>
          <w:p w14:paraId="53AD32A4">
            <w:pPr>
              <w:widowControl/>
              <w:jc w:val="left"/>
              <w:rPr>
                <w:rFonts w:ascii="黑体" w:hAnsi="黑体" w:cs="宋体"/>
                <w:kern w:val="0"/>
                <w:szCs w:val="18"/>
              </w:rPr>
            </w:pPr>
            <w:r>
              <w:rPr>
                <w:rFonts w:hint="eastAsia" w:ascii="黑体" w:hAnsi="黑体" w:cs="宋体"/>
                <w:kern w:val="0"/>
                <w:szCs w:val="18"/>
              </w:rPr>
              <w:t>66.42—85.1</w:t>
            </w:r>
          </w:p>
        </w:tc>
        <w:tc>
          <w:tcPr>
            <w:tcW w:w="1780" w:type="dxa"/>
            <w:tcBorders>
              <w:top w:val="nil"/>
              <w:left w:val="nil"/>
              <w:bottom w:val="single" w:color="auto" w:sz="8" w:space="0"/>
              <w:right w:val="single" w:color="auto" w:sz="8" w:space="0"/>
            </w:tcBorders>
            <w:shd w:val="clear" w:color="auto" w:fill="auto"/>
            <w:vAlign w:val="center"/>
          </w:tcPr>
          <w:p w14:paraId="7FF7437E">
            <w:pPr>
              <w:widowControl/>
              <w:jc w:val="left"/>
              <w:rPr>
                <w:rFonts w:ascii="黑体" w:hAnsi="黑体" w:cs="宋体"/>
                <w:kern w:val="0"/>
                <w:szCs w:val="18"/>
              </w:rPr>
            </w:pPr>
            <w:r>
              <w:rPr>
                <w:rFonts w:hint="eastAsia" w:ascii="黑体" w:hAnsi="黑体" w:cs="宋体"/>
                <w:kern w:val="0"/>
                <w:szCs w:val="18"/>
              </w:rPr>
              <w:t>653.3-836.8</w:t>
            </w:r>
          </w:p>
        </w:tc>
        <w:tc>
          <w:tcPr>
            <w:tcW w:w="1060" w:type="dxa"/>
            <w:tcBorders>
              <w:top w:val="nil"/>
              <w:left w:val="nil"/>
              <w:bottom w:val="single" w:color="auto" w:sz="8" w:space="0"/>
              <w:right w:val="single" w:color="auto" w:sz="8" w:space="0"/>
            </w:tcBorders>
            <w:shd w:val="clear" w:color="auto" w:fill="auto"/>
            <w:vAlign w:val="center"/>
          </w:tcPr>
          <w:p w14:paraId="7CC4708E">
            <w:pPr>
              <w:widowControl/>
              <w:jc w:val="left"/>
              <w:rPr>
                <w:rFonts w:ascii="黑体" w:hAnsi="黑体" w:cs="宋体"/>
                <w:kern w:val="0"/>
                <w:szCs w:val="18"/>
              </w:rPr>
            </w:pPr>
            <w:r>
              <w:rPr>
                <w:rFonts w:hint="eastAsia" w:ascii="黑体" w:hAnsi="黑体" w:cs="宋体"/>
                <w:kern w:val="0"/>
                <w:szCs w:val="18"/>
              </w:rPr>
              <w:t>135</w:t>
            </w:r>
          </w:p>
        </w:tc>
      </w:tr>
      <w:tr w14:paraId="3C6735E1">
        <w:tblPrEx>
          <w:tblCellMar>
            <w:top w:w="0" w:type="dxa"/>
            <w:left w:w="108" w:type="dxa"/>
            <w:bottom w:w="0" w:type="dxa"/>
            <w:right w:w="108" w:type="dxa"/>
          </w:tblCellMar>
        </w:tblPrEx>
        <w:trPr>
          <w:trHeight w:val="288" w:hRule="atLeast"/>
          <w:jc w:val="center"/>
        </w:trPr>
        <w:tc>
          <w:tcPr>
            <w:tcW w:w="1060" w:type="dxa"/>
            <w:tcBorders>
              <w:top w:val="nil"/>
              <w:left w:val="single" w:color="auto" w:sz="8" w:space="0"/>
              <w:bottom w:val="single" w:color="auto" w:sz="8" w:space="0"/>
              <w:right w:val="single" w:color="auto" w:sz="8" w:space="0"/>
            </w:tcBorders>
            <w:shd w:val="clear" w:color="auto" w:fill="auto"/>
            <w:vAlign w:val="center"/>
          </w:tcPr>
          <w:p w14:paraId="4CF730A1">
            <w:pPr>
              <w:widowControl/>
              <w:jc w:val="left"/>
              <w:rPr>
                <w:rFonts w:ascii="黑体" w:hAnsi="黑体" w:cs="宋体"/>
                <w:kern w:val="0"/>
                <w:szCs w:val="18"/>
              </w:rPr>
            </w:pPr>
            <w:r>
              <w:rPr>
                <w:rFonts w:hint="eastAsia" w:ascii="黑体" w:hAnsi="黑体" w:cs="宋体"/>
                <w:kern w:val="0"/>
                <w:szCs w:val="18"/>
              </w:rPr>
              <w:t>＞12</w:t>
            </w:r>
          </w:p>
        </w:tc>
        <w:tc>
          <w:tcPr>
            <w:tcW w:w="1780" w:type="dxa"/>
            <w:tcBorders>
              <w:top w:val="nil"/>
              <w:left w:val="nil"/>
              <w:bottom w:val="single" w:color="auto" w:sz="8" w:space="0"/>
              <w:right w:val="single" w:color="auto" w:sz="8" w:space="0"/>
            </w:tcBorders>
            <w:shd w:val="clear" w:color="auto" w:fill="auto"/>
            <w:vAlign w:val="center"/>
          </w:tcPr>
          <w:p w14:paraId="7891A4CF">
            <w:pPr>
              <w:widowControl/>
              <w:jc w:val="left"/>
              <w:rPr>
                <w:rFonts w:ascii="黑体" w:hAnsi="黑体" w:cs="宋体"/>
                <w:kern w:val="0"/>
                <w:szCs w:val="18"/>
              </w:rPr>
            </w:pPr>
            <w:r>
              <w:rPr>
                <w:rFonts w:hint="eastAsia" w:ascii="黑体" w:hAnsi="黑体" w:cs="宋体"/>
                <w:kern w:val="0"/>
                <w:szCs w:val="18"/>
              </w:rPr>
              <w:t>3</w:t>
            </w:r>
            <w:r>
              <w:rPr>
                <w:rFonts w:ascii="黑体" w:hAnsi="黑体" w:cs="宋体"/>
                <w:kern w:val="0"/>
                <w:szCs w:val="18"/>
              </w:rPr>
              <w:t>7</w:t>
            </w:r>
            <w:r>
              <w:rPr>
                <w:rFonts w:hint="eastAsia" w:ascii="黑体" w:hAnsi="黑体" w:cs="宋体"/>
                <w:kern w:val="0"/>
                <w:szCs w:val="18"/>
              </w:rPr>
              <w:t>-</w:t>
            </w:r>
            <w:r>
              <w:rPr>
                <w:rFonts w:ascii="黑体" w:hAnsi="黑体" w:cs="宋体"/>
                <w:kern w:val="0"/>
                <w:szCs w:val="18"/>
              </w:rPr>
              <w:t>50.9</w:t>
            </w:r>
          </w:p>
        </w:tc>
        <w:tc>
          <w:tcPr>
            <w:tcW w:w="1780" w:type="dxa"/>
            <w:tcBorders>
              <w:top w:val="nil"/>
              <w:left w:val="nil"/>
              <w:bottom w:val="single" w:color="auto" w:sz="8" w:space="0"/>
              <w:right w:val="single" w:color="auto" w:sz="8" w:space="0"/>
            </w:tcBorders>
            <w:shd w:val="clear" w:color="auto" w:fill="auto"/>
            <w:vAlign w:val="center"/>
          </w:tcPr>
          <w:p w14:paraId="5905DB35">
            <w:pPr>
              <w:widowControl/>
              <w:jc w:val="left"/>
              <w:rPr>
                <w:rFonts w:ascii="黑体" w:hAnsi="黑体" w:cs="宋体"/>
                <w:kern w:val="0"/>
                <w:szCs w:val="18"/>
              </w:rPr>
            </w:pPr>
            <w:r>
              <w:rPr>
                <w:rFonts w:ascii="黑体" w:hAnsi="黑体" w:cs="宋体"/>
                <w:kern w:val="0"/>
                <w:szCs w:val="18"/>
              </w:rPr>
              <w:t>85.4</w:t>
            </w:r>
            <w:r>
              <w:rPr>
                <w:rFonts w:hint="eastAsia" w:ascii="黑体" w:hAnsi="黑体" w:cs="宋体"/>
                <w:kern w:val="0"/>
                <w:szCs w:val="18"/>
              </w:rPr>
              <w:t>-</w:t>
            </w:r>
            <w:r>
              <w:rPr>
                <w:rFonts w:ascii="黑体" w:hAnsi="黑体" w:cs="宋体"/>
                <w:kern w:val="0"/>
                <w:szCs w:val="18"/>
              </w:rPr>
              <w:t>161</w:t>
            </w:r>
          </w:p>
        </w:tc>
        <w:tc>
          <w:tcPr>
            <w:tcW w:w="1780" w:type="dxa"/>
            <w:tcBorders>
              <w:top w:val="nil"/>
              <w:left w:val="nil"/>
              <w:bottom w:val="single" w:color="auto" w:sz="8" w:space="0"/>
              <w:right w:val="single" w:color="auto" w:sz="8" w:space="0"/>
            </w:tcBorders>
            <w:shd w:val="clear" w:color="auto" w:fill="auto"/>
            <w:vAlign w:val="center"/>
          </w:tcPr>
          <w:p w14:paraId="1E820D5A">
            <w:pPr>
              <w:widowControl/>
              <w:jc w:val="left"/>
              <w:rPr>
                <w:rFonts w:ascii="黑体" w:hAnsi="黑体" w:cs="宋体"/>
                <w:kern w:val="0"/>
                <w:szCs w:val="18"/>
              </w:rPr>
            </w:pPr>
            <w:r>
              <w:rPr>
                <w:rFonts w:hint="eastAsia" w:ascii="黑体" w:hAnsi="黑体" w:cs="宋体"/>
                <w:kern w:val="0"/>
                <w:szCs w:val="18"/>
              </w:rPr>
              <w:t>8</w:t>
            </w:r>
            <w:r>
              <w:rPr>
                <w:rFonts w:ascii="黑体" w:hAnsi="黑体" w:cs="宋体"/>
                <w:kern w:val="0"/>
                <w:szCs w:val="18"/>
              </w:rPr>
              <w:t>37.8</w:t>
            </w:r>
            <w:r>
              <w:rPr>
                <w:rFonts w:hint="eastAsia" w:ascii="黑体" w:hAnsi="黑体" w:cs="宋体"/>
                <w:kern w:val="0"/>
                <w:szCs w:val="18"/>
              </w:rPr>
              <w:t>-</w:t>
            </w:r>
            <w:r>
              <w:rPr>
                <w:rFonts w:ascii="黑体" w:hAnsi="黑体" w:cs="宋体"/>
                <w:kern w:val="0"/>
                <w:szCs w:val="18"/>
              </w:rPr>
              <w:t>1573.9</w:t>
            </w:r>
          </w:p>
        </w:tc>
        <w:tc>
          <w:tcPr>
            <w:tcW w:w="1060" w:type="dxa"/>
            <w:tcBorders>
              <w:top w:val="nil"/>
              <w:left w:val="nil"/>
              <w:bottom w:val="single" w:color="auto" w:sz="8" w:space="0"/>
              <w:right w:val="single" w:color="auto" w:sz="8" w:space="0"/>
            </w:tcBorders>
            <w:shd w:val="clear" w:color="auto" w:fill="auto"/>
            <w:vAlign w:val="center"/>
          </w:tcPr>
          <w:p w14:paraId="36D8C2A2">
            <w:pPr>
              <w:widowControl/>
              <w:jc w:val="left"/>
              <w:rPr>
                <w:rFonts w:ascii="黑体" w:hAnsi="黑体" w:cs="宋体"/>
                <w:kern w:val="0"/>
                <w:szCs w:val="18"/>
              </w:rPr>
            </w:pPr>
            <w:r>
              <w:rPr>
                <w:rFonts w:hint="eastAsia" w:ascii="黑体" w:hAnsi="黑体" w:cs="宋体"/>
                <w:kern w:val="0"/>
                <w:szCs w:val="18"/>
              </w:rPr>
              <w:t>180</w:t>
            </w:r>
          </w:p>
        </w:tc>
      </w:tr>
    </w:tbl>
    <w:p w14:paraId="4E4F741E">
      <w:pPr>
        <w:pStyle w:val="97"/>
        <w:numPr>
          <w:ilvl w:val="2"/>
          <w:numId w:val="1"/>
        </w:numPr>
        <w:tabs>
          <w:tab w:val="left" w:pos="1200"/>
        </w:tabs>
        <w:jc w:val="left"/>
      </w:pPr>
      <w:r>
        <w:rPr>
          <w:rFonts w:hint="eastAsia"/>
        </w:rPr>
        <w:t>运行平稳性：钢质卷帘门装配完毕后，帘面在导轨内运行平稳，不应有脱轨和明显的倾斜现象，限位精准、无电情况下可手动操作等功能。</w:t>
      </w:r>
    </w:p>
    <w:p w14:paraId="14F7C7DA">
      <w:pPr>
        <w:pStyle w:val="97"/>
        <w:numPr>
          <w:ilvl w:val="2"/>
          <w:numId w:val="1"/>
        </w:numPr>
        <w:tabs>
          <w:tab w:val="left" w:pos="1200"/>
        </w:tabs>
        <w:jc w:val="left"/>
      </w:pPr>
      <w:r>
        <w:rPr>
          <w:rFonts w:hint="eastAsia"/>
        </w:rPr>
        <w:t>噪音：钢质卷帘门启闭运行的平均噪声不应大于</w:t>
      </w:r>
      <w:r>
        <w:t>65dB</w:t>
      </w:r>
      <w:r>
        <w:rPr>
          <w:rFonts w:hint="eastAsia"/>
        </w:rPr>
        <w:t>。</w:t>
      </w:r>
    </w:p>
    <w:p w14:paraId="3BAAE6F6">
      <w:pPr>
        <w:pStyle w:val="97"/>
        <w:numPr>
          <w:ilvl w:val="2"/>
          <w:numId w:val="1"/>
        </w:numPr>
        <w:tabs>
          <w:tab w:val="left" w:pos="1200"/>
        </w:tabs>
        <w:jc w:val="left"/>
      </w:pPr>
      <w:r>
        <w:rPr>
          <w:rFonts w:hint="eastAsia"/>
        </w:rPr>
        <w:t>电动启闭速度：钢质卷帘门电动启闭速度应均匀，宜控制在为</w:t>
      </w:r>
      <w:r>
        <w:t>2m/min—9.5m/min</w:t>
      </w:r>
      <w:r>
        <w:rPr>
          <w:rFonts w:hint="eastAsia"/>
        </w:rPr>
        <w:t>。</w:t>
      </w:r>
    </w:p>
    <w:p w14:paraId="3C09D24E">
      <w:pPr>
        <w:pStyle w:val="97"/>
        <w:numPr>
          <w:ilvl w:val="2"/>
          <w:numId w:val="1"/>
        </w:numPr>
        <w:tabs>
          <w:tab w:val="left" w:pos="1200"/>
        </w:tabs>
        <w:jc w:val="left"/>
      </w:pPr>
      <w:r>
        <w:rPr>
          <w:rFonts w:hint="eastAsia"/>
        </w:rPr>
        <w:t>制动装置应灵敏，运行过程中能在任意位置停止。切断电源时，卷帘门应能手动启闭，操作力应小于</w:t>
      </w:r>
      <w:r>
        <w:t>260N</w:t>
      </w:r>
      <w:r>
        <w:rPr>
          <w:rFonts w:hint="eastAsia"/>
        </w:rPr>
        <w:t>。</w:t>
      </w:r>
    </w:p>
    <w:p w14:paraId="1E6EB38C">
      <w:pPr>
        <w:pStyle w:val="97"/>
      </w:pPr>
      <w:r>
        <w:t>所有卷帘</w:t>
      </w:r>
      <w:r>
        <w:rPr>
          <w:rFonts w:hint="eastAsia"/>
        </w:rPr>
        <w:t>均需</w:t>
      </w:r>
      <w:r>
        <w:t>设置防断链装置，避免意外断链坠落。</w:t>
      </w:r>
    </w:p>
    <w:p w14:paraId="7E654BF7">
      <w:pPr>
        <w:pStyle w:val="3"/>
        <w:jc w:val="left"/>
      </w:pPr>
      <w:bookmarkStart w:id="55" w:name="_Toc174556791"/>
      <w:bookmarkStart w:id="56" w:name="_Toc167271880"/>
      <w:r>
        <w:rPr>
          <w:rFonts w:hint="eastAsia"/>
        </w:rPr>
        <w:t>外观质量</w:t>
      </w:r>
      <w:bookmarkEnd w:id="55"/>
      <w:bookmarkEnd w:id="56"/>
    </w:p>
    <w:p w14:paraId="606AE35C">
      <w:pPr>
        <w:pStyle w:val="97"/>
        <w:numPr>
          <w:ilvl w:val="2"/>
          <w:numId w:val="43"/>
        </w:numPr>
        <w:tabs>
          <w:tab w:val="left" w:pos="1200"/>
        </w:tabs>
        <w:jc w:val="left"/>
      </w:pPr>
      <w:r>
        <w:rPr>
          <w:rFonts w:hint="eastAsia"/>
        </w:rPr>
        <w:t>钢质卷帘门金属零件表面不应有裂纹、压坑及明显的凹凸、锤痕、毛刺、孔洞等缺陷。表面应做防锈处理，涂层、镀层应均匀，不得有斑剥、流淌现象。</w:t>
      </w:r>
    </w:p>
    <w:p w14:paraId="29CC8228">
      <w:pPr>
        <w:pStyle w:val="97"/>
        <w:numPr>
          <w:ilvl w:val="2"/>
          <w:numId w:val="43"/>
        </w:numPr>
        <w:tabs>
          <w:tab w:val="left" w:pos="1200"/>
        </w:tabs>
        <w:jc w:val="left"/>
      </w:pPr>
      <w:r>
        <w:rPr>
          <w:rFonts w:hint="eastAsia"/>
        </w:rPr>
        <w:t>相对运动件在切割、弯曲、冲钻等加工处不应有毛刺。</w:t>
      </w:r>
    </w:p>
    <w:p w14:paraId="3E2517EC">
      <w:pPr>
        <w:pStyle w:val="97"/>
        <w:numPr>
          <w:ilvl w:val="2"/>
          <w:numId w:val="43"/>
        </w:numPr>
        <w:tabs>
          <w:tab w:val="left" w:pos="1200"/>
        </w:tabs>
        <w:jc w:val="left"/>
      </w:pPr>
      <w:r>
        <w:rPr>
          <w:rFonts w:hint="eastAsia"/>
        </w:rPr>
        <w:t>各零部件的组装、拼接处不应有错位，焊接处应牢固，外观应平整，不应有夹渣、漏焊、疏松等现象。</w:t>
      </w:r>
    </w:p>
    <w:p w14:paraId="336039C4">
      <w:pPr>
        <w:pStyle w:val="97"/>
        <w:numPr>
          <w:ilvl w:val="2"/>
          <w:numId w:val="43"/>
        </w:numPr>
        <w:tabs>
          <w:tab w:val="left" w:pos="1200"/>
        </w:tabs>
        <w:jc w:val="left"/>
      </w:pPr>
      <w:r>
        <w:rPr>
          <w:rFonts w:hint="eastAsia"/>
        </w:rPr>
        <w:t>所有紧固件应紧牢，不应有松动现象。</w:t>
      </w:r>
    </w:p>
    <w:p w14:paraId="5F9B0719">
      <w:pPr>
        <w:pStyle w:val="3"/>
        <w:jc w:val="left"/>
      </w:pPr>
      <w:bookmarkStart w:id="57" w:name="_Toc167271881"/>
      <w:bookmarkStart w:id="58" w:name="_Toc174556792"/>
      <w:r>
        <w:rPr>
          <w:rFonts w:hint="eastAsia"/>
        </w:rPr>
        <w:t>供应商提交资料</w:t>
      </w:r>
      <w:bookmarkEnd w:id="57"/>
      <w:bookmarkEnd w:id="58"/>
    </w:p>
    <w:p w14:paraId="495617EE">
      <w:pPr>
        <w:pStyle w:val="97"/>
        <w:tabs>
          <w:tab w:val="left" w:pos="1200"/>
        </w:tabs>
        <w:jc w:val="left"/>
      </w:pPr>
      <w:r>
        <w:t xml:space="preserve">供应厂商资质、企业状况、技术状况文件，产品实施项目表，厂商安装技术规程。 </w:t>
      </w:r>
    </w:p>
    <w:p w14:paraId="607C9154">
      <w:pPr>
        <w:pStyle w:val="97"/>
        <w:tabs>
          <w:tab w:val="left" w:pos="1200"/>
        </w:tabs>
        <w:jc w:val="left"/>
      </w:pPr>
      <w:r>
        <w:t>产品资料：递交厂商关于</w:t>
      </w:r>
      <w:r>
        <w:rPr>
          <w:rFonts w:hint="eastAsia"/>
        </w:rPr>
        <w:t>防火卷帘</w:t>
      </w:r>
      <w:r>
        <w:t>门产品资料，产品生产</w:t>
      </w:r>
      <w:r>
        <w:rPr>
          <w:rFonts w:hint="eastAsia"/>
        </w:rPr>
        <w:t>、检测</w:t>
      </w:r>
      <w:r>
        <w:t>、安装、验收方面资料。</w:t>
      </w:r>
    </w:p>
    <w:p w14:paraId="44255DC8">
      <w:pPr>
        <w:pStyle w:val="97"/>
        <w:tabs>
          <w:tab w:val="left" w:pos="1200"/>
        </w:tabs>
        <w:jc w:val="left"/>
      </w:pPr>
      <w:r>
        <w:t xml:space="preserve">施工安装图：递交标有详细尺寸和产品安装位置的施工安装详图，图纸比例足以表达相应技术内容和满足安装要求，图纸包括（不限于）以下： </w:t>
      </w:r>
    </w:p>
    <w:p w14:paraId="1E3AB985">
      <w:pPr>
        <w:pStyle w:val="49"/>
        <w:numPr>
          <w:ilvl w:val="0"/>
          <w:numId w:val="44"/>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所有</w:t>
      </w:r>
      <w:r>
        <w:rPr>
          <w:rFonts w:hint="eastAsia" w:ascii="黑体" w:hAnsi="黑体" w:cs="宋体"/>
          <w:kern w:val="0"/>
          <w:szCs w:val="18"/>
        </w:rPr>
        <w:t>卷帘门</w:t>
      </w:r>
      <w:r>
        <w:rPr>
          <w:rFonts w:ascii="黑体" w:hAnsi="黑体" w:cs="宋体"/>
          <w:kern w:val="0"/>
          <w:szCs w:val="18"/>
        </w:rPr>
        <w:t xml:space="preserve">产品平面图、立面图 </w:t>
      </w:r>
    </w:p>
    <w:p w14:paraId="7C944309">
      <w:pPr>
        <w:pStyle w:val="49"/>
        <w:numPr>
          <w:ilvl w:val="0"/>
          <w:numId w:val="44"/>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所有产品技术接点图，</w:t>
      </w:r>
    </w:p>
    <w:p w14:paraId="2D3422F6">
      <w:pPr>
        <w:pStyle w:val="49"/>
        <w:numPr>
          <w:ilvl w:val="0"/>
          <w:numId w:val="44"/>
        </w:numPr>
        <w:autoSpaceDE w:val="0"/>
        <w:autoSpaceDN w:val="0"/>
        <w:adjustRightInd w:val="0"/>
        <w:spacing w:line="360" w:lineRule="auto"/>
        <w:ind w:firstLineChars="0"/>
        <w:jc w:val="left"/>
        <w:rPr>
          <w:rFonts w:ascii="黑体" w:hAnsi="黑体" w:cs="宋体"/>
          <w:kern w:val="0"/>
          <w:szCs w:val="18"/>
        </w:rPr>
      </w:pPr>
      <w:r>
        <w:rPr>
          <w:rFonts w:ascii="黑体" w:hAnsi="黑体" w:cs="宋体"/>
          <w:kern w:val="0"/>
          <w:szCs w:val="18"/>
        </w:rPr>
        <w:t xml:space="preserve">产品的数据资料及建议的工作计划资料 </w:t>
      </w:r>
    </w:p>
    <w:p w14:paraId="32726F94">
      <w:pPr>
        <w:pStyle w:val="97"/>
        <w:rPr>
          <w:rFonts w:cs="宋体"/>
        </w:rPr>
      </w:pPr>
      <w:r>
        <w:t>产品样品：递交以下样品：</w:t>
      </w:r>
      <w:r>
        <w:rPr>
          <w:rFonts w:cs="宋体"/>
        </w:rPr>
        <w:t xml:space="preserve"> </w:t>
      </w:r>
    </w:p>
    <w:p w14:paraId="65D9A7E0">
      <w:pPr>
        <w:pStyle w:val="49"/>
        <w:numPr>
          <w:ilvl w:val="0"/>
          <w:numId w:val="45"/>
        </w:numPr>
        <w:autoSpaceDE w:val="0"/>
        <w:autoSpaceDN w:val="0"/>
        <w:adjustRightInd w:val="0"/>
        <w:spacing w:line="360" w:lineRule="auto"/>
        <w:ind w:firstLineChars="0"/>
        <w:jc w:val="left"/>
        <w:rPr>
          <w:rFonts w:ascii="黑体" w:hAnsi="黑体" w:cs="宋体"/>
          <w:kern w:val="0"/>
          <w:szCs w:val="18"/>
        </w:rPr>
      </w:pPr>
      <w:r>
        <w:rPr>
          <w:rFonts w:hint="eastAsia" w:ascii="黑体" w:hAnsi="黑体" w:cs="宋体"/>
          <w:kern w:val="0"/>
          <w:szCs w:val="18"/>
        </w:rPr>
        <w:t>卷帘</w:t>
      </w:r>
      <w:r>
        <w:rPr>
          <w:rFonts w:ascii="黑体" w:hAnsi="黑体" w:cs="宋体"/>
          <w:kern w:val="0"/>
          <w:szCs w:val="18"/>
        </w:rPr>
        <w:t>门样品</w:t>
      </w:r>
      <w:r>
        <w:rPr>
          <w:rFonts w:hint="eastAsia" w:ascii="黑体" w:hAnsi="黑体" w:cs="宋体"/>
          <w:kern w:val="0"/>
          <w:szCs w:val="18"/>
        </w:rPr>
        <w:t>，</w:t>
      </w:r>
      <w:r>
        <w:rPr>
          <w:rFonts w:ascii="黑体" w:hAnsi="黑体" w:cs="宋体"/>
          <w:kern w:val="0"/>
          <w:szCs w:val="18"/>
        </w:rPr>
        <w:t>经国家检测机构检测合格的定型</w:t>
      </w:r>
      <w:r>
        <w:rPr>
          <w:rFonts w:hint="eastAsia" w:ascii="黑体" w:hAnsi="黑体" w:cs="宋体"/>
          <w:kern w:val="0"/>
          <w:szCs w:val="18"/>
        </w:rPr>
        <w:t>零部件</w:t>
      </w:r>
      <w:r>
        <w:rPr>
          <w:rFonts w:ascii="黑体" w:hAnsi="黑体" w:cs="宋体"/>
          <w:kern w:val="0"/>
          <w:szCs w:val="18"/>
        </w:rPr>
        <w:t xml:space="preserve">。 </w:t>
      </w:r>
    </w:p>
    <w:p w14:paraId="0EFDED55">
      <w:pPr>
        <w:pStyle w:val="3"/>
        <w:jc w:val="left"/>
      </w:pPr>
      <w:bookmarkStart w:id="59" w:name="_Toc167271882"/>
      <w:bookmarkStart w:id="60" w:name="_Toc174556793"/>
      <w:r>
        <w:rPr>
          <w:rFonts w:hint="eastAsia"/>
        </w:rPr>
        <w:t>检验</w:t>
      </w:r>
      <w:bookmarkEnd w:id="59"/>
      <w:bookmarkEnd w:id="60"/>
    </w:p>
    <w:p w14:paraId="1ED1C928">
      <w:pPr>
        <w:pStyle w:val="97"/>
      </w:pPr>
      <w:r>
        <w:rPr>
          <w:rFonts w:hint="eastAsia"/>
        </w:rPr>
        <w:t>出厂检验</w:t>
      </w:r>
    </w:p>
    <w:p w14:paraId="3822BF71">
      <w:pPr>
        <w:pStyle w:val="111"/>
        <w:tabs>
          <w:tab w:val="left" w:pos="1680"/>
        </w:tabs>
        <w:jc w:val="left"/>
      </w:pPr>
      <w:r>
        <w:rPr>
          <w:rFonts w:hint="eastAsia"/>
        </w:rPr>
        <w:t>出厂检验按</w:t>
      </w:r>
      <w:r>
        <w:t>GB/T2828.1</w:t>
      </w:r>
      <w:r>
        <w:rPr>
          <w:rFonts w:hint="eastAsia"/>
        </w:rPr>
        <w:t>的规定，采用一般检验水平Ⅱ，接收质量限</w:t>
      </w:r>
      <w:r>
        <w:t>6.5</w:t>
      </w:r>
      <w:r>
        <w:rPr>
          <w:rFonts w:hint="eastAsia"/>
        </w:rPr>
        <w:t>，一次正常检验抽样方案。</w:t>
      </w:r>
    </w:p>
    <w:p w14:paraId="1E0E2D07">
      <w:pPr>
        <w:pStyle w:val="111"/>
        <w:tabs>
          <w:tab w:val="left" w:pos="1680"/>
        </w:tabs>
        <w:jc w:val="left"/>
      </w:pPr>
      <w:r>
        <w:rPr>
          <w:rFonts w:hint="eastAsia"/>
        </w:rPr>
        <w:t>钢质卷帘门应由生产厂质量检验部门按出厂检验项目逐项检验合格</w:t>
      </w:r>
      <w:r>
        <w:t>,</w:t>
      </w:r>
      <w:r>
        <w:rPr>
          <w:rFonts w:hint="eastAsia"/>
        </w:rPr>
        <w:t>并签发合格证后方可出厂</w:t>
      </w:r>
      <w:r>
        <w:t>.</w:t>
      </w:r>
    </w:p>
    <w:p w14:paraId="0C28EB6D">
      <w:pPr>
        <w:pStyle w:val="97"/>
      </w:pPr>
      <w:r>
        <w:rPr>
          <w:rFonts w:hint="eastAsia"/>
        </w:rPr>
        <w:t>抽检检验</w:t>
      </w:r>
    </w:p>
    <w:p w14:paraId="089EDA18">
      <w:pPr>
        <w:pStyle w:val="111"/>
        <w:tabs>
          <w:tab w:val="left" w:pos="1680"/>
        </w:tabs>
        <w:jc w:val="left"/>
      </w:pPr>
      <w:r>
        <w:rPr>
          <w:rFonts w:hint="eastAsia"/>
        </w:rPr>
        <w:t>检验项目为本标准要求的全部项目内容。</w:t>
      </w:r>
    </w:p>
    <w:p w14:paraId="2CBCBA30">
      <w:pPr>
        <w:pStyle w:val="97"/>
      </w:pPr>
      <w:r>
        <w:rPr>
          <w:rFonts w:hint="eastAsia"/>
        </w:rPr>
        <w:t>有下列情况之一时应进行检验：</w:t>
      </w:r>
    </w:p>
    <w:p w14:paraId="0236126A">
      <w:pPr>
        <w:pStyle w:val="111"/>
        <w:tabs>
          <w:tab w:val="left" w:pos="1680"/>
        </w:tabs>
        <w:jc w:val="left"/>
      </w:pPr>
      <w:r>
        <w:rPr>
          <w:rFonts w:hint="eastAsia"/>
        </w:rPr>
        <w:t>新产品或老产品转厂生产时需要检验</w:t>
      </w:r>
    </w:p>
    <w:p w14:paraId="298A00E0">
      <w:pPr>
        <w:pStyle w:val="111"/>
        <w:tabs>
          <w:tab w:val="left" w:pos="1680"/>
        </w:tabs>
        <w:jc w:val="left"/>
      </w:pPr>
      <w:r>
        <w:rPr>
          <w:rFonts w:hint="eastAsia"/>
        </w:rPr>
        <w:t>正式生产后，产品的结构、材料、生产工艺、关键工序的加工方法等有较大改变，可能影响产品的性能时</w:t>
      </w:r>
    </w:p>
    <w:p w14:paraId="4192619C">
      <w:pPr>
        <w:pStyle w:val="111"/>
        <w:tabs>
          <w:tab w:val="left" w:pos="1680"/>
        </w:tabs>
        <w:jc w:val="left"/>
      </w:pPr>
      <w:r>
        <w:rPr>
          <w:rFonts w:hint="eastAsia"/>
        </w:rPr>
        <w:t>产品停产</w:t>
      </w:r>
      <w:r>
        <w:t>1</w:t>
      </w:r>
      <w:r>
        <w:rPr>
          <w:rFonts w:hint="eastAsia"/>
        </w:rPr>
        <w:t>年以上恢复生产时</w:t>
      </w:r>
    </w:p>
    <w:p w14:paraId="6E683152">
      <w:pPr>
        <w:pStyle w:val="111"/>
        <w:tabs>
          <w:tab w:val="left" w:pos="1680"/>
        </w:tabs>
        <w:jc w:val="left"/>
      </w:pPr>
      <w:r>
        <w:rPr>
          <w:rFonts w:hint="eastAsia"/>
        </w:rPr>
        <w:t>出厂检验结果与上次型式检验有较大差异时</w:t>
      </w:r>
    </w:p>
    <w:p w14:paraId="1FBC77B4">
      <w:pPr>
        <w:pStyle w:val="111"/>
        <w:tabs>
          <w:tab w:val="left" w:pos="1680"/>
        </w:tabs>
        <w:jc w:val="left"/>
      </w:pPr>
      <w:r>
        <w:rPr>
          <w:rFonts w:hint="eastAsia"/>
        </w:rPr>
        <w:t>发生重大质量事故时</w:t>
      </w:r>
    </w:p>
    <w:p w14:paraId="67393770">
      <w:pPr>
        <w:pStyle w:val="111"/>
        <w:tabs>
          <w:tab w:val="left" w:pos="1680"/>
        </w:tabs>
        <w:jc w:val="left"/>
      </w:pPr>
      <w:r>
        <w:rPr>
          <w:rFonts w:hint="eastAsia"/>
        </w:rPr>
        <w:t>质量监督机构提出要求时</w:t>
      </w:r>
    </w:p>
    <w:p w14:paraId="6350A590">
      <w:pPr>
        <w:pStyle w:val="3"/>
        <w:jc w:val="left"/>
      </w:pPr>
      <w:bookmarkStart w:id="61" w:name="_Toc167271883"/>
      <w:bookmarkStart w:id="62" w:name="_Toc174556794"/>
      <w:r>
        <w:rPr>
          <w:rFonts w:hint="eastAsia"/>
        </w:rPr>
        <w:t>标志、包装、运输、储存</w:t>
      </w:r>
      <w:bookmarkEnd w:id="61"/>
      <w:bookmarkEnd w:id="62"/>
    </w:p>
    <w:p w14:paraId="195C848B">
      <w:pPr>
        <w:pStyle w:val="97"/>
      </w:pPr>
      <w:r>
        <w:rPr>
          <w:rFonts w:hint="eastAsia"/>
        </w:rPr>
        <w:t>标志</w:t>
      </w:r>
    </w:p>
    <w:p w14:paraId="3DB06B56">
      <w:pPr>
        <w:pStyle w:val="111"/>
        <w:tabs>
          <w:tab w:val="left" w:pos="1680"/>
        </w:tabs>
        <w:jc w:val="left"/>
      </w:pPr>
      <w:r>
        <w:t xml:space="preserve">   </w:t>
      </w:r>
      <w:r>
        <w:rPr>
          <w:rFonts w:hint="eastAsia"/>
        </w:rPr>
        <w:t>每樘门都应在明显位置上安装永久性铭牌，铭牌上有以下内容：</w:t>
      </w:r>
    </w:p>
    <w:p w14:paraId="1EA39F27">
      <w:pPr>
        <w:spacing w:line="360" w:lineRule="auto"/>
        <w:ind w:left="420"/>
        <w:jc w:val="left"/>
        <w:rPr>
          <w:rFonts w:ascii="黑体" w:hAnsi="黑体"/>
          <w:szCs w:val="18"/>
        </w:rPr>
      </w:pPr>
      <w:r>
        <w:rPr>
          <w:rFonts w:ascii="黑体" w:hAnsi="黑体"/>
          <w:szCs w:val="18"/>
        </w:rPr>
        <w:t xml:space="preserve">   </w:t>
      </w:r>
      <w:r>
        <w:rPr>
          <w:rFonts w:hint="eastAsia" w:ascii="黑体" w:hAnsi="黑体"/>
          <w:szCs w:val="18"/>
        </w:rPr>
        <w:t>产品名称、型号、规格及商标，制造厂家名称，出厂日期及产品编号或生产批号，电机功率，执行标准。</w:t>
      </w:r>
    </w:p>
    <w:p w14:paraId="12C1E2F9">
      <w:pPr>
        <w:pStyle w:val="97"/>
      </w:pPr>
      <w:r>
        <w:rPr>
          <w:rFonts w:hint="eastAsia"/>
        </w:rPr>
        <w:t>包装、运输</w:t>
      </w:r>
    </w:p>
    <w:p w14:paraId="291F14FA">
      <w:pPr>
        <w:pStyle w:val="111"/>
        <w:tabs>
          <w:tab w:val="left" w:pos="1680"/>
        </w:tabs>
        <w:jc w:val="left"/>
      </w:pPr>
      <w:r>
        <w:rPr>
          <w:rFonts w:hint="eastAsia"/>
        </w:rPr>
        <w:t>产品和各种零部件的包装应安全、可靠、便于装卸、运输及储存，帘片表面之间不应直接接触。</w:t>
      </w:r>
    </w:p>
    <w:p w14:paraId="533088D9">
      <w:pPr>
        <w:pStyle w:val="111"/>
        <w:tabs>
          <w:tab w:val="left" w:pos="1680"/>
        </w:tabs>
        <w:jc w:val="left"/>
      </w:pPr>
      <w:r>
        <w:rPr>
          <w:rFonts w:hint="eastAsia"/>
        </w:rPr>
        <w:t>随产品应提供如下文字资料</w:t>
      </w:r>
    </w:p>
    <w:p w14:paraId="731785A6">
      <w:pPr>
        <w:spacing w:line="360" w:lineRule="auto"/>
        <w:ind w:left="840" w:firstLine="420"/>
        <w:jc w:val="left"/>
        <w:rPr>
          <w:rFonts w:ascii="黑体" w:hAnsi="黑体"/>
          <w:szCs w:val="18"/>
        </w:rPr>
      </w:pPr>
      <w:r>
        <w:rPr>
          <w:rFonts w:hint="eastAsia" w:ascii="黑体" w:hAnsi="黑体"/>
          <w:szCs w:val="18"/>
        </w:rPr>
        <w:t>产品合格证，其表述应符合</w:t>
      </w:r>
      <w:r>
        <w:rPr>
          <w:rFonts w:ascii="黑体" w:hAnsi="黑体"/>
          <w:szCs w:val="18"/>
        </w:rPr>
        <w:t>GB/T14436</w:t>
      </w:r>
      <w:r>
        <w:rPr>
          <w:rFonts w:hint="eastAsia" w:ascii="黑体" w:hAnsi="黑体"/>
          <w:szCs w:val="18"/>
        </w:rPr>
        <w:t>的规定，产品使用说明书，其表述应符合</w:t>
      </w:r>
      <w:r>
        <w:rPr>
          <w:rFonts w:ascii="黑体" w:hAnsi="黑体"/>
          <w:szCs w:val="18"/>
        </w:rPr>
        <w:t>GB9969.1</w:t>
      </w:r>
      <w:r>
        <w:rPr>
          <w:rFonts w:hint="eastAsia" w:ascii="黑体" w:hAnsi="黑体"/>
          <w:szCs w:val="18"/>
        </w:rPr>
        <w:t>的规定，装箱单，产品安装图，零部件及附件清单，应把上述资料装入防水袋中</w:t>
      </w:r>
    </w:p>
    <w:p w14:paraId="6B9788C3">
      <w:pPr>
        <w:pStyle w:val="111"/>
        <w:tabs>
          <w:tab w:val="left" w:pos="1680"/>
        </w:tabs>
        <w:jc w:val="left"/>
      </w:pPr>
      <w:r>
        <w:rPr>
          <w:rFonts w:hint="eastAsia"/>
        </w:rPr>
        <w:t>产品在运输过程中应平稳，避免因行车时碰撞损坏包装，卸装时要轻抬轻放，严格避免磕、摔、撬等行为，防止机械变形损坏产品。</w:t>
      </w:r>
    </w:p>
    <w:p w14:paraId="5ED1F262">
      <w:pPr>
        <w:pStyle w:val="97"/>
      </w:pPr>
      <w:r>
        <w:rPr>
          <w:rFonts w:hint="eastAsia"/>
        </w:rPr>
        <w:t>储存</w:t>
      </w:r>
    </w:p>
    <w:p w14:paraId="44B8AE30">
      <w:pPr>
        <w:pStyle w:val="111"/>
        <w:tabs>
          <w:tab w:val="left" w:pos="1680"/>
        </w:tabs>
        <w:jc w:val="left"/>
      </w:pPr>
      <w:r>
        <w:rPr>
          <w:rFonts w:hint="eastAsia"/>
        </w:rPr>
        <w:t>产品和各种零部件在厂内或现场存放时，应放置在干燥通风的地方，堆放高度不超过</w:t>
      </w:r>
      <w:r>
        <w:t>1m，</w:t>
      </w:r>
      <w:r>
        <w:rPr>
          <w:rFonts w:hint="eastAsia"/>
        </w:rPr>
        <w:t>要避免和有腐蚀的物质及气体接触，并要有必要的防潮、防雨、防晒、防腐等措施。</w:t>
      </w:r>
    </w:p>
    <w:p w14:paraId="46258A90">
      <w:pPr>
        <w:pStyle w:val="3"/>
        <w:jc w:val="left"/>
      </w:pPr>
      <w:bookmarkStart w:id="63" w:name="_Toc167271884"/>
      <w:bookmarkStart w:id="64" w:name="_Toc174556795"/>
      <w:r>
        <w:rPr>
          <w:rFonts w:hint="eastAsia"/>
        </w:rPr>
        <w:t>保修要求：</w:t>
      </w:r>
      <w:bookmarkEnd w:id="63"/>
      <w:bookmarkEnd w:id="64"/>
    </w:p>
    <w:p w14:paraId="5F28BD47">
      <w:pPr>
        <w:widowControl/>
        <w:numPr>
          <w:ilvl w:val="0"/>
          <w:numId w:val="46"/>
        </w:numPr>
        <w:autoSpaceDE w:val="0"/>
        <w:autoSpaceDN w:val="0"/>
        <w:adjustRightInd w:val="0"/>
        <w:spacing w:line="360" w:lineRule="auto"/>
        <w:jc w:val="left"/>
        <w:rPr>
          <w:rFonts w:ascii="黑体" w:hAnsi="黑体"/>
          <w:szCs w:val="18"/>
        </w:rPr>
      </w:pPr>
      <w:r>
        <w:rPr>
          <w:rFonts w:hint="eastAsia" w:ascii="黑体" w:hAnsi="黑体" w:cs="Arial"/>
          <w:bCs/>
          <w:kern w:val="0"/>
          <w:szCs w:val="18"/>
        </w:rPr>
        <w:t>保修期：自业主集中交付之日起一个月后开始计算，分批交付的，分批计算，保修期为</w:t>
      </w:r>
      <w:r>
        <w:rPr>
          <w:rFonts w:ascii="黑体" w:hAnsi="黑体" w:cs="Arial"/>
          <w:bCs/>
          <w:kern w:val="0"/>
          <w:szCs w:val="18"/>
        </w:rPr>
        <w:t>2</w:t>
      </w:r>
      <w:r>
        <w:rPr>
          <w:rFonts w:hint="eastAsia" w:ascii="黑体" w:hAnsi="黑体" w:cs="Arial"/>
          <w:bCs/>
          <w:kern w:val="0"/>
          <w:szCs w:val="18"/>
        </w:rPr>
        <w:t>年。业主报</w:t>
      </w:r>
      <w:r>
        <w:rPr>
          <w:rFonts w:hint="eastAsia" w:ascii="黑体" w:hAnsi="黑体"/>
          <w:kern w:val="0"/>
          <w:szCs w:val="18"/>
        </w:rPr>
        <w:t>修</w:t>
      </w:r>
      <w:r>
        <w:rPr>
          <w:rFonts w:hint="eastAsia" w:ascii="黑体" w:hAnsi="黑体"/>
          <w:szCs w:val="18"/>
        </w:rPr>
        <w:t>后，维修人员必须在24小时内到达现场。</w:t>
      </w:r>
    </w:p>
    <w:p w14:paraId="6F81AFD1">
      <w:pPr>
        <w:widowControl/>
        <w:numPr>
          <w:ilvl w:val="0"/>
          <w:numId w:val="46"/>
        </w:numPr>
        <w:autoSpaceDE w:val="0"/>
        <w:autoSpaceDN w:val="0"/>
        <w:adjustRightInd w:val="0"/>
        <w:spacing w:line="360" w:lineRule="auto"/>
        <w:jc w:val="left"/>
        <w:rPr>
          <w:rFonts w:ascii="黑体" w:hAnsi="黑体"/>
          <w:szCs w:val="18"/>
        </w:rPr>
      </w:pPr>
      <w:r>
        <w:rPr>
          <w:rFonts w:hint="eastAsia" w:ascii="黑体" w:hAnsi="黑体" w:cs="Arial"/>
          <w:bCs/>
          <w:kern w:val="0"/>
          <w:szCs w:val="18"/>
        </w:rPr>
        <w:t>卷帘门整体使用年限不小于5年。</w:t>
      </w:r>
    </w:p>
    <w:p w14:paraId="147ACD57">
      <w:pPr>
        <w:autoSpaceDE w:val="0"/>
        <w:autoSpaceDN w:val="0"/>
        <w:adjustRightInd w:val="0"/>
        <w:spacing w:line="360" w:lineRule="auto"/>
        <w:jc w:val="left"/>
        <w:rPr>
          <w:rFonts w:ascii="黑体" w:hAnsi="黑体" w:cs="宋体"/>
          <w:kern w:val="0"/>
          <w:szCs w:val="18"/>
        </w:rPr>
      </w:pPr>
    </w:p>
    <w:p w14:paraId="471E191C">
      <w:pPr>
        <w:autoSpaceDE w:val="0"/>
        <w:autoSpaceDN w:val="0"/>
        <w:adjustRightInd w:val="0"/>
        <w:spacing w:line="360" w:lineRule="auto"/>
        <w:ind w:left="1260" w:firstLine="420"/>
        <w:jc w:val="left"/>
        <w:rPr>
          <w:rFonts w:ascii="黑体" w:hAnsi="黑体" w:cs="宋体"/>
          <w:kern w:val="0"/>
          <w:szCs w:val="18"/>
        </w:rPr>
      </w:pPr>
    </w:p>
    <w:p w14:paraId="0DC10A61">
      <w:pPr>
        <w:autoSpaceDE w:val="0"/>
        <w:autoSpaceDN w:val="0"/>
        <w:adjustRightInd w:val="0"/>
        <w:spacing w:line="360" w:lineRule="auto"/>
        <w:ind w:left="420"/>
        <w:jc w:val="left"/>
        <w:rPr>
          <w:rFonts w:ascii="黑体" w:hAnsi="黑体" w:cs="宋体"/>
          <w:kern w:val="0"/>
          <w:szCs w:val="18"/>
        </w:rPr>
        <w:sectPr>
          <w:footerReference r:id="rId5" w:type="default"/>
          <w:pgSz w:w="11906" w:h="16838"/>
          <w:pgMar w:top="709" w:right="1133" w:bottom="720" w:left="1134" w:header="794" w:footer="490" w:gutter="0"/>
          <w:pgNumType w:fmt="decimal"/>
          <w:cols w:space="425" w:num="1"/>
          <w:docGrid w:type="lines" w:linePitch="312" w:charSpace="0"/>
        </w:sectPr>
      </w:pPr>
    </w:p>
    <w:p w14:paraId="6BFF44E7">
      <w:pPr>
        <w:pStyle w:val="2"/>
        <w:ind w:left="365" w:hanging="365"/>
        <w:rPr>
          <w:sz w:val="21"/>
        </w:rPr>
      </w:pPr>
      <w:bookmarkStart w:id="65" w:name="_Toc174556796"/>
      <w:bookmarkStart w:id="66" w:name="_Toc399688993"/>
      <w:r>
        <w:rPr>
          <w:rFonts w:hint="eastAsia"/>
          <w:sz w:val="21"/>
        </w:rPr>
        <w:t>栏杆</w:t>
      </w:r>
      <w:bookmarkEnd w:id="65"/>
      <w:bookmarkEnd w:id="66"/>
    </w:p>
    <w:p w14:paraId="5CA2F2CA">
      <w:pPr>
        <w:pStyle w:val="3"/>
        <w:jc w:val="left"/>
      </w:pPr>
      <w:bookmarkStart w:id="67" w:name="_Toc174556797"/>
      <w:bookmarkStart w:id="68" w:name="_Toc399688994"/>
      <w:r>
        <w:rPr>
          <w:rFonts w:hint="eastAsia"/>
        </w:rPr>
        <w:t>不锈钢栏杆</w:t>
      </w:r>
      <w:bookmarkEnd w:id="67"/>
      <w:bookmarkEnd w:id="68"/>
    </w:p>
    <w:p w14:paraId="616B5279">
      <w:pPr>
        <w:pStyle w:val="97"/>
      </w:pPr>
      <w:r>
        <w:rPr>
          <w:rFonts w:hint="eastAsia"/>
        </w:rPr>
        <w:t>使用部位：地库卸货平台旁的坡道栏杆、机房及走道上台阶栏杆</w:t>
      </w:r>
    </w:p>
    <w:p w14:paraId="79B0CB02">
      <w:pPr>
        <w:spacing w:line="360" w:lineRule="auto"/>
        <w:ind w:left="420"/>
        <w:jc w:val="left"/>
        <w:rPr>
          <w:rFonts w:ascii="黑体" w:hAnsi="黑体"/>
          <w:b/>
          <w:bCs/>
          <w:szCs w:val="18"/>
        </w:rPr>
      </w:pPr>
    </w:p>
    <w:p w14:paraId="1E1B410D">
      <w:pPr>
        <w:pStyle w:val="97"/>
      </w:pPr>
      <w:r>
        <w:rPr>
          <w:rFonts w:hint="eastAsia"/>
        </w:rPr>
        <w:t>规范依据</w:t>
      </w:r>
    </w:p>
    <w:p w14:paraId="060D8981">
      <w:pPr>
        <w:spacing w:line="360" w:lineRule="auto"/>
        <w:ind w:left="729" w:leftChars="405"/>
        <w:jc w:val="left"/>
        <w:rPr>
          <w:rFonts w:ascii="黑体" w:hAnsi="黑体"/>
          <w:szCs w:val="18"/>
        </w:rPr>
      </w:pPr>
      <w:r>
        <w:rPr>
          <w:rFonts w:hint="eastAsia" w:ascii="黑体" w:hAnsi="黑体"/>
          <w:szCs w:val="18"/>
        </w:rPr>
        <w:t>除另有注明外，本工程须符合设计、图纸和相关国家、地方及行业标准，主要包括但不限于：</w:t>
      </w:r>
    </w:p>
    <w:p w14:paraId="4B831E84">
      <w:pPr>
        <w:pStyle w:val="111"/>
      </w:pPr>
      <w:r>
        <w:rPr>
          <w:rFonts w:hint="eastAsia"/>
        </w:rPr>
        <w:t>《工程建设标准强制性条文》</w:t>
      </w:r>
    </w:p>
    <w:p w14:paraId="2D71F8BB">
      <w:pPr>
        <w:pStyle w:val="111"/>
        <w:jc w:val="left"/>
      </w:pPr>
      <w:r>
        <w:rPr>
          <w:rFonts w:hint="eastAsia"/>
        </w:rPr>
        <w:t>《建筑工程施工质量验收统一标准》（GB50300</w:t>
      </w:r>
      <w:r>
        <w:t>）</w:t>
      </w:r>
    </w:p>
    <w:p w14:paraId="5D1CC7FB">
      <w:pPr>
        <w:pStyle w:val="111"/>
        <w:jc w:val="left"/>
      </w:pPr>
      <w:r>
        <w:rPr>
          <w:rFonts w:hint="eastAsia"/>
        </w:rPr>
        <w:t>《建筑装饰装修工程质量验收规范》（GB50210</w:t>
      </w:r>
      <w:r>
        <w:t>）</w:t>
      </w:r>
    </w:p>
    <w:p w14:paraId="74D3A4F7">
      <w:pPr>
        <w:pStyle w:val="111"/>
        <w:jc w:val="left"/>
      </w:pPr>
      <w:r>
        <w:rPr>
          <w:rFonts w:hint="eastAsia"/>
        </w:rPr>
        <w:t>《建筑钢结构焊接技术规程》（JGJ81）</w:t>
      </w:r>
    </w:p>
    <w:p w14:paraId="228C4FAB">
      <w:pPr>
        <w:pStyle w:val="111"/>
        <w:jc w:val="left"/>
      </w:pPr>
      <w:r>
        <w:rPr>
          <w:rFonts w:hint="eastAsia"/>
        </w:rPr>
        <w:t>《民用建筑工程室内环境污染控制规范》（</w:t>
      </w:r>
      <w:r>
        <w:t>GB</w:t>
      </w:r>
      <w:r>
        <w:rPr>
          <w:rFonts w:hint="eastAsia"/>
        </w:rPr>
        <w:t>50325</w:t>
      </w:r>
      <w:r>
        <w:t>）</w:t>
      </w:r>
    </w:p>
    <w:p w14:paraId="6F600E5B">
      <w:pPr>
        <w:tabs>
          <w:tab w:val="left" w:pos="425"/>
        </w:tabs>
        <w:spacing w:line="360" w:lineRule="auto"/>
        <w:ind w:left="425"/>
        <w:jc w:val="left"/>
        <w:rPr>
          <w:rFonts w:ascii="黑体" w:hAnsi="黑体"/>
          <w:szCs w:val="18"/>
        </w:rPr>
      </w:pPr>
    </w:p>
    <w:p w14:paraId="020F5066">
      <w:pPr>
        <w:pStyle w:val="97"/>
      </w:pPr>
      <w:r>
        <w:rPr>
          <w:rFonts w:hint="eastAsia"/>
        </w:rPr>
        <w:t>材料及配件要求</w:t>
      </w:r>
    </w:p>
    <w:p w14:paraId="598E6745">
      <w:pPr>
        <w:pStyle w:val="111"/>
        <w:jc w:val="left"/>
      </w:pPr>
      <w:r>
        <w:rPr>
          <w:rFonts w:hint="eastAsia"/>
        </w:rPr>
        <w:t>不锈钢材料采用316不锈钢。不锈钢拉弯强度同钢材的Q235级钢。产品质量应符合相应的国家规范，并需提供出厂合格证和检验报告。</w:t>
      </w:r>
    </w:p>
    <w:p w14:paraId="6237A1E1">
      <w:pPr>
        <w:pStyle w:val="111"/>
        <w:jc w:val="left"/>
      </w:pPr>
      <w:r>
        <w:rPr>
          <w:rFonts w:hint="eastAsia"/>
        </w:rPr>
        <w:t>电焊时采用专用不锈钢焊条和焊丝，焊接应符合JGJ81-2002的有关技术规定。</w:t>
      </w:r>
    </w:p>
    <w:p w14:paraId="2795F797">
      <w:pPr>
        <w:pStyle w:val="111"/>
        <w:jc w:val="left"/>
      </w:pPr>
      <w:r>
        <w:rPr>
          <w:rFonts w:hint="eastAsia"/>
        </w:rPr>
        <w:t>焊缝质量等级不低于二级。</w:t>
      </w:r>
    </w:p>
    <w:p w14:paraId="7B453ED8">
      <w:pPr>
        <w:pStyle w:val="111"/>
        <w:jc w:val="left"/>
      </w:pPr>
      <w:r>
        <w:rPr>
          <w:rFonts w:hint="eastAsia"/>
        </w:rPr>
        <w:t>所有杆件焊接须在工厂完成，焊接部位应打磨光洁。</w:t>
      </w:r>
    </w:p>
    <w:p w14:paraId="4E57C252">
      <w:pPr>
        <w:pStyle w:val="111"/>
        <w:jc w:val="left"/>
      </w:pPr>
      <w:r>
        <w:rPr>
          <w:rFonts w:hint="eastAsia"/>
        </w:rPr>
        <w:t>不锈钢管壁厚≥1.5mm，法兰盘采用市售不锈钢成品，壁厚≥1mm。</w:t>
      </w:r>
    </w:p>
    <w:p w14:paraId="1EAE20D5">
      <w:pPr>
        <w:pStyle w:val="111"/>
        <w:jc w:val="left"/>
      </w:pPr>
      <w:r>
        <w:rPr>
          <w:rFonts w:hint="eastAsia"/>
        </w:rPr>
        <w:t>不锈钢表面应光滑、平直、无毛刺，安装后不应有歪斜、扭曲和变形等缺陷。</w:t>
      </w:r>
    </w:p>
    <w:p w14:paraId="1E871ABC">
      <w:pPr>
        <w:pStyle w:val="111"/>
        <w:jc w:val="left"/>
      </w:pPr>
      <w:r>
        <w:rPr>
          <w:rFonts w:hint="eastAsia"/>
        </w:rPr>
        <w:t>栏杆、扶手饰面材料：不锈钢，普通抛光、发纹、电解着色。</w:t>
      </w:r>
    </w:p>
    <w:p w14:paraId="752B0581">
      <w:pPr>
        <w:spacing w:line="360" w:lineRule="auto"/>
        <w:jc w:val="left"/>
        <w:rPr>
          <w:rFonts w:ascii="黑体" w:hAnsi="黑体"/>
          <w:szCs w:val="18"/>
        </w:rPr>
      </w:pPr>
    </w:p>
    <w:p w14:paraId="5BBB9C66">
      <w:pPr>
        <w:pStyle w:val="97"/>
      </w:pPr>
      <w:r>
        <w:rPr>
          <w:rFonts w:hint="eastAsia"/>
        </w:rPr>
        <w:t>结构设计要求：</w:t>
      </w:r>
    </w:p>
    <w:p w14:paraId="46F6C385">
      <w:pPr>
        <w:spacing w:line="360" w:lineRule="auto"/>
        <w:ind w:left="729" w:leftChars="405"/>
        <w:jc w:val="left"/>
        <w:rPr>
          <w:rFonts w:ascii="黑体" w:hAnsi="黑体"/>
          <w:szCs w:val="18"/>
        </w:rPr>
      </w:pPr>
      <w:r>
        <w:rPr>
          <w:rFonts w:hint="eastAsia" w:ascii="黑体" w:hAnsi="黑体"/>
          <w:szCs w:val="18"/>
        </w:rPr>
        <w:t>建筑施工图纸仅对栏杆形式及用材作出要求，承包商须自行进行栏杆抗水平冲击力等结构安全计算并对结构安全负责。扶手顶部至少应能承受每米2.5kN（市政栏杆</w:t>
      </w:r>
      <w:r>
        <w:rPr>
          <w:rFonts w:ascii="黑体" w:hAnsi="黑体"/>
          <w:szCs w:val="18"/>
        </w:rPr>
        <w:t>）及</w:t>
      </w:r>
      <w:r>
        <w:rPr>
          <w:rFonts w:hint="eastAsia" w:ascii="黑体" w:hAnsi="黑体"/>
          <w:szCs w:val="18"/>
        </w:rPr>
        <w:t>1.</w:t>
      </w:r>
      <w:r>
        <w:rPr>
          <w:rFonts w:ascii="黑体" w:hAnsi="黑体"/>
          <w:szCs w:val="18"/>
        </w:rPr>
        <w:t>0KN/M</w:t>
      </w:r>
      <w:r>
        <w:rPr>
          <w:rFonts w:hint="eastAsia" w:ascii="黑体" w:hAnsi="黑体"/>
          <w:szCs w:val="18"/>
        </w:rPr>
        <w:t>（建筑栏杆</w:t>
      </w:r>
      <w:r>
        <w:rPr>
          <w:rFonts w:ascii="黑体" w:hAnsi="黑体"/>
          <w:szCs w:val="18"/>
        </w:rPr>
        <w:t>）</w:t>
      </w:r>
      <w:r>
        <w:rPr>
          <w:rFonts w:hint="eastAsia" w:ascii="黑体" w:hAnsi="黑体"/>
          <w:szCs w:val="18"/>
        </w:rPr>
        <w:t>的水平荷载。</w:t>
      </w:r>
    </w:p>
    <w:p w14:paraId="18116B17">
      <w:pPr>
        <w:tabs>
          <w:tab w:val="left" w:pos="735"/>
        </w:tabs>
        <w:spacing w:before="156" w:beforeLines="50" w:line="360" w:lineRule="auto"/>
        <w:jc w:val="left"/>
        <w:rPr>
          <w:rFonts w:ascii="黑体" w:hAnsi="黑体"/>
          <w:b/>
          <w:szCs w:val="18"/>
        </w:rPr>
      </w:pPr>
    </w:p>
    <w:p w14:paraId="0BBC938A">
      <w:pPr>
        <w:pStyle w:val="97"/>
      </w:pPr>
      <w:r>
        <w:rPr>
          <w:rFonts w:hint="eastAsia"/>
        </w:rPr>
        <w:t>样品提交和报审要求</w:t>
      </w:r>
    </w:p>
    <w:p w14:paraId="535CE7F3">
      <w:pPr>
        <w:pStyle w:val="111"/>
        <w:jc w:val="left"/>
      </w:pPr>
      <w:r>
        <w:rPr>
          <w:rFonts w:hint="eastAsia"/>
        </w:rPr>
        <w:t>在正式订货前，均须提交报装的样品，并经设计师认可后方可安排订货。</w:t>
      </w:r>
    </w:p>
    <w:p w14:paraId="0F60DB95">
      <w:pPr>
        <w:pStyle w:val="111"/>
        <w:jc w:val="left"/>
      </w:pPr>
      <w:r>
        <w:rPr>
          <w:rFonts w:hint="eastAsia"/>
        </w:rPr>
        <w:t>样品施工要求：除按要求提供样品外，如果建筑师要求，还须在现场完成实物样板。该实物样板须在现场指定部位按设计要求完成图纸约定的全部内容并经建筑师审批认可后方可开始大面积施工。</w:t>
      </w:r>
    </w:p>
    <w:p w14:paraId="0E6264C9">
      <w:pPr>
        <w:pStyle w:val="111"/>
        <w:numPr>
          <w:ilvl w:val="0"/>
          <w:numId w:val="0"/>
        </w:numPr>
        <w:ind w:left="1276"/>
        <w:jc w:val="left"/>
      </w:pPr>
    </w:p>
    <w:p w14:paraId="28B3FC85">
      <w:pPr>
        <w:pStyle w:val="3"/>
        <w:jc w:val="left"/>
      </w:pPr>
      <w:bookmarkStart w:id="69" w:name="_Toc174556798"/>
      <w:r>
        <w:rPr>
          <w:rFonts w:hint="eastAsia"/>
        </w:rPr>
        <w:t>栏杆和</w:t>
      </w:r>
      <w:r>
        <w:t>围栏大门设计</w:t>
      </w:r>
      <w:r>
        <w:rPr>
          <w:rFonts w:hint="eastAsia"/>
        </w:rPr>
        <w:t>及</w:t>
      </w:r>
      <w:r>
        <w:t>选用标准</w:t>
      </w:r>
      <w:bookmarkEnd w:id="69"/>
    </w:p>
    <w:p w14:paraId="1008D848">
      <w:pPr>
        <w:pStyle w:val="97"/>
      </w:pPr>
      <w:r>
        <w:rPr>
          <w:rFonts w:hint="eastAsia"/>
        </w:rPr>
        <w:t>目的</w:t>
      </w:r>
    </w:p>
    <w:p w14:paraId="10007448">
      <w:pPr>
        <w:autoSpaceDE w:val="0"/>
        <w:autoSpaceDN w:val="0"/>
        <w:adjustRightInd w:val="0"/>
        <w:spacing w:line="360" w:lineRule="auto"/>
        <w:ind w:left="425"/>
        <w:jc w:val="left"/>
        <w:rPr>
          <w:rFonts w:ascii="黑体" w:hAnsi="黑体" w:cs="宋体"/>
          <w:kern w:val="0"/>
          <w:szCs w:val="18"/>
        </w:rPr>
      </w:pPr>
      <w:r>
        <w:rPr>
          <w:rFonts w:hint="eastAsia" w:ascii="黑体" w:hAnsi="黑体" w:cs="宋体"/>
          <w:kern w:val="0"/>
          <w:szCs w:val="18"/>
        </w:rPr>
        <w:t>为统一</w:t>
      </w:r>
      <w:r>
        <w:rPr>
          <w:rFonts w:ascii="黑体" w:hAnsi="黑体" w:cs="宋体"/>
          <w:kern w:val="0"/>
          <w:szCs w:val="18"/>
        </w:rPr>
        <w:t>公司</w:t>
      </w:r>
      <w:r>
        <w:rPr>
          <w:rFonts w:hint="eastAsia" w:ascii="黑体" w:hAnsi="黑体" w:cs="宋体"/>
          <w:kern w:val="0"/>
          <w:szCs w:val="18"/>
        </w:rPr>
        <w:t>新建、改扩建项目楼梯栏杆</w:t>
      </w:r>
      <w:r>
        <w:rPr>
          <w:rFonts w:ascii="黑体" w:hAnsi="黑体" w:cs="宋体"/>
          <w:kern w:val="0"/>
          <w:szCs w:val="18"/>
        </w:rPr>
        <w:t>、</w:t>
      </w:r>
      <w:r>
        <w:rPr>
          <w:rFonts w:hint="eastAsia" w:ascii="黑体" w:hAnsi="黑体" w:cs="宋体"/>
          <w:kern w:val="0"/>
          <w:szCs w:val="18"/>
        </w:rPr>
        <w:t>阳台</w:t>
      </w:r>
      <w:r>
        <w:rPr>
          <w:rFonts w:ascii="黑体" w:hAnsi="黑体" w:cs="宋体"/>
          <w:kern w:val="0"/>
          <w:szCs w:val="18"/>
        </w:rPr>
        <w:t>和中庭</w:t>
      </w:r>
      <w:r>
        <w:rPr>
          <w:rFonts w:hint="eastAsia" w:ascii="黑体" w:hAnsi="黑体" w:cs="宋体"/>
          <w:kern w:val="0"/>
          <w:szCs w:val="18"/>
        </w:rPr>
        <w:t>栏杆</w:t>
      </w:r>
      <w:r>
        <w:rPr>
          <w:rFonts w:ascii="黑体" w:hAnsi="黑体" w:cs="宋体"/>
          <w:kern w:val="0"/>
          <w:szCs w:val="18"/>
        </w:rPr>
        <w:t>、护窗栏杆、园区围栏和大门</w:t>
      </w:r>
      <w:r>
        <w:rPr>
          <w:rFonts w:hint="eastAsia" w:ascii="黑体" w:hAnsi="黑体" w:cs="宋体"/>
          <w:kern w:val="0"/>
          <w:szCs w:val="18"/>
        </w:rPr>
        <w:t>的</w:t>
      </w:r>
      <w:r>
        <w:rPr>
          <w:rFonts w:ascii="黑体" w:hAnsi="黑体" w:cs="宋体"/>
          <w:kern w:val="0"/>
          <w:szCs w:val="18"/>
        </w:rPr>
        <w:t>设计</w:t>
      </w:r>
      <w:r>
        <w:rPr>
          <w:rFonts w:hint="eastAsia" w:ascii="黑体" w:hAnsi="黑体" w:cs="宋体"/>
          <w:kern w:val="0"/>
          <w:szCs w:val="18"/>
        </w:rPr>
        <w:t>、选用</w:t>
      </w:r>
      <w:r>
        <w:rPr>
          <w:rFonts w:ascii="黑体" w:hAnsi="黑体" w:cs="宋体"/>
          <w:kern w:val="0"/>
          <w:szCs w:val="18"/>
        </w:rPr>
        <w:t>及制</w:t>
      </w:r>
      <w:r>
        <w:rPr>
          <w:rFonts w:hint="eastAsia" w:ascii="黑体" w:hAnsi="黑体" w:cs="宋体"/>
          <w:kern w:val="0"/>
          <w:szCs w:val="18"/>
        </w:rPr>
        <w:t>作</w:t>
      </w:r>
      <w:r>
        <w:rPr>
          <w:rFonts w:ascii="黑体" w:hAnsi="黑体" w:cs="宋体"/>
          <w:kern w:val="0"/>
          <w:szCs w:val="18"/>
        </w:rPr>
        <w:t>安装</w:t>
      </w:r>
      <w:r>
        <w:rPr>
          <w:rFonts w:hint="eastAsia" w:ascii="黑体" w:hAnsi="黑体" w:cs="宋体"/>
          <w:kern w:val="0"/>
          <w:szCs w:val="18"/>
        </w:rPr>
        <w:t>要求，确保</w:t>
      </w:r>
      <w:r>
        <w:rPr>
          <w:rFonts w:ascii="黑体" w:hAnsi="黑体" w:cs="宋体"/>
          <w:kern w:val="0"/>
          <w:szCs w:val="18"/>
        </w:rPr>
        <w:t>满足</w:t>
      </w:r>
      <w:r>
        <w:rPr>
          <w:rFonts w:hint="eastAsia" w:ascii="黑体" w:hAnsi="黑体" w:cs="宋体"/>
          <w:kern w:val="0"/>
          <w:szCs w:val="18"/>
        </w:rPr>
        <w:t>美观和功能需求，</w:t>
      </w:r>
      <w:r>
        <w:rPr>
          <w:rFonts w:ascii="黑体" w:hAnsi="黑体" w:cs="宋体"/>
          <w:kern w:val="0"/>
          <w:szCs w:val="18"/>
        </w:rPr>
        <w:t>提高</w:t>
      </w:r>
      <w:r>
        <w:rPr>
          <w:rFonts w:hint="eastAsia" w:ascii="黑体" w:hAnsi="黑体" w:cs="宋体"/>
          <w:kern w:val="0"/>
          <w:szCs w:val="18"/>
        </w:rPr>
        <w:t>质量和</w:t>
      </w:r>
      <w:r>
        <w:rPr>
          <w:rFonts w:ascii="黑体" w:hAnsi="黑体" w:cs="宋体"/>
          <w:kern w:val="0"/>
          <w:szCs w:val="18"/>
        </w:rPr>
        <w:t>控制建安成本</w:t>
      </w:r>
      <w:r>
        <w:rPr>
          <w:rFonts w:hint="eastAsia" w:ascii="黑体" w:hAnsi="黑体" w:cs="宋体"/>
          <w:kern w:val="0"/>
          <w:szCs w:val="18"/>
        </w:rPr>
        <w:t>。</w:t>
      </w:r>
    </w:p>
    <w:p w14:paraId="31126E83">
      <w:pPr>
        <w:pStyle w:val="97"/>
        <w:rPr>
          <w:iCs/>
        </w:rPr>
      </w:pPr>
      <w:r>
        <w:rPr>
          <w:rFonts w:hint="eastAsia"/>
        </w:rPr>
        <w:t>概述</w:t>
      </w:r>
    </w:p>
    <w:p w14:paraId="0938C460">
      <w:pPr>
        <w:numPr>
          <w:ilvl w:val="0"/>
          <w:numId w:val="47"/>
        </w:numPr>
        <w:autoSpaceDE w:val="0"/>
        <w:autoSpaceDN w:val="0"/>
        <w:adjustRightInd w:val="0"/>
        <w:spacing w:line="360" w:lineRule="auto"/>
        <w:jc w:val="left"/>
        <w:rPr>
          <w:rFonts w:ascii="黑体" w:hAnsi="黑体"/>
          <w:szCs w:val="18"/>
        </w:rPr>
      </w:pPr>
      <w:r>
        <w:rPr>
          <w:rFonts w:hint="eastAsia" w:ascii="黑体" w:hAnsi="黑体"/>
          <w:szCs w:val="18"/>
        </w:rPr>
        <w:t>本标准指为</w:t>
      </w:r>
      <w:r>
        <w:rPr>
          <w:rFonts w:ascii="黑体" w:hAnsi="黑体"/>
          <w:szCs w:val="18"/>
        </w:rPr>
        <w:t>满足</w:t>
      </w:r>
      <w:r>
        <w:rPr>
          <w:rFonts w:hint="eastAsia" w:ascii="黑体" w:hAnsi="黑体"/>
          <w:szCs w:val="18"/>
        </w:rPr>
        <w:t>栏杆和</w:t>
      </w:r>
      <w:r>
        <w:rPr>
          <w:rFonts w:ascii="黑体" w:hAnsi="黑体"/>
          <w:szCs w:val="18"/>
        </w:rPr>
        <w:t>围栏大门功能的</w:t>
      </w:r>
      <w:r>
        <w:rPr>
          <w:rFonts w:hint="eastAsia" w:ascii="黑体" w:hAnsi="黑体"/>
          <w:szCs w:val="18"/>
        </w:rPr>
        <w:t>所有相关</w:t>
      </w:r>
      <w:r>
        <w:rPr>
          <w:rFonts w:ascii="黑体" w:hAnsi="黑体"/>
          <w:szCs w:val="18"/>
        </w:rPr>
        <w:t>构件，</w:t>
      </w:r>
      <w:r>
        <w:rPr>
          <w:rFonts w:hint="eastAsia" w:ascii="黑体" w:hAnsi="黑体"/>
          <w:szCs w:val="18"/>
        </w:rPr>
        <w:t>包括且不限于栏杆立柱、连接</w:t>
      </w:r>
      <w:r>
        <w:rPr>
          <w:rFonts w:ascii="黑体" w:hAnsi="黑体"/>
          <w:szCs w:val="18"/>
        </w:rPr>
        <w:t>横竖</w:t>
      </w:r>
      <w:r>
        <w:rPr>
          <w:rFonts w:hint="eastAsia" w:ascii="黑体" w:hAnsi="黑体"/>
          <w:szCs w:val="18"/>
        </w:rPr>
        <w:t>杆、扶手</w:t>
      </w:r>
      <w:r>
        <w:rPr>
          <w:rFonts w:ascii="黑体" w:hAnsi="黑体"/>
          <w:szCs w:val="18"/>
        </w:rPr>
        <w:t>、底座</w:t>
      </w:r>
      <w:r>
        <w:rPr>
          <w:rFonts w:hint="eastAsia" w:ascii="黑体" w:hAnsi="黑体"/>
          <w:szCs w:val="18"/>
        </w:rPr>
        <w:t>埋件</w:t>
      </w:r>
      <w:r>
        <w:rPr>
          <w:rFonts w:ascii="黑体" w:hAnsi="黑体"/>
          <w:szCs w:val="18"/>
        </w:rPr>
        <w:t>和</w:t>
      </w:r>
      <w:r>
        <w:rPr>
          <w:rFonts w:hint="eastAsia" w:ascii="黑体" w:hAnsi="黑体"/>
          <w:szCs w:val="18"/>
        </w:rPr>
        <w:t>节点</w:t>
      </w:r>
      <w:r>
        <w:rPr>
          <w:rFonts w:ascii="黑体" w:hAnsi="黑体"/>
          <w:szCs w:val="18"/>
        </w:rPr>
        <w:t>连接件</w:t>
      </w:r>
      <w:r>
        <w:rPr>
          <w:rFonts w:hint="eastAsia" w:ascii="黑体" w:hAnsi="黑体"/>
          <w:szCs w:val="18"/>
        </w:rPr>
        <w:t>、</w:t>
      </w:r>
      <w:r>
        <w:rPr>
          <w:rFonts w:ascii="黑体" w:hAnsi="黑体"/>
          <w:szCs w:val="18"/>
        </w:rPr>
        <w:t>装饰件</w:t>
      </w:r>
      <w:r>
        <w:rPr>
          <w:rFonts w:hint="eastAsia" w:ascii="黑体" w:hAnsi="黑体"/>
          <w:szCs w:val="18"/>
        </w:rPr>
        <w:t>等。</w:t>
      </w:r>
    </w:p>
    <w:p w14:paraId="4EE1E049">
      <w:pPr>
        <w:numPr>
          <w:ilvl w:val="0"/>
          <w:numId w:val="47"/>
        </w:numPr>
        <w:autoSpaceDE w:val="0"/>
        <w:autoSpaceDN w:val="0"/>
        <w:adjustRightInd w:val="0"/>
        <w:spacing w:line="360" w:lineRule="auto"/>
        <w:jc w:val="left"/>
        <w:rPr>
          <w:rFonts w:ascii="黑体" w:hAnsi="黑体"/>
          <w:szCs w:val="18"/>
        </w:rPr>
      </w:pPr>
      <w:r>
        <w:rPr>
          <w:rFonts w:hint="eastAsia" w:ascii="黑体" w:hAnsi="黑体"/>
          <w:szCs w:val="18"/>
        </w:rPr>
        <w:t>本设计</w:t>
      </w:r>
      <w:r>
        <w:rPr>
          <w:rFonts w:ascii="黑体" w:hAnsi="黑体"/>
          <w:szCs w:val="18"/>
        </w:rPr>
        <w:t>指导书</w:t>
      </w:r>
      <w:r>
        <w:rPr>
          <w:rFonts w:hint="eastAsia" w:ascii="黑体" w:hAnsi="黑体"/>
          <w:szCs w:val="18"/>
        </w:rPr>
        <w:t>在参照相关国家和</w:t>
      </w:r>
      <w:r>
        <w:rPr>
          <w:rFonts w:ascii="黑体" w:hAnsi="黑体"/>
          <w:szCs w:val="18"/>
        </w:rPr>
        <w:t>行业</w:t>
      </w:r>
      <w:r>
        <w:rPr>
          <w:rFonts w:hint="eastAsia" w:ascii="黑体" w:hAnsi="黑体"/>
          <w:szCs w:val="18"/>
        </w:rPr>
        <w:t>标准的同时，需同时满足公司特定需求。</w:t>
      </w:r>
    </w:p>
    <w:p w14:paraId="63E64544">
      <w:pPr>
        <w:pStyle w:val="97"/>
      </w:pPr>
      <w:r>
        <w:t>术语</w:t>
      </w:r>
    </w:p>
    <w:tbl>
      <w:tblPr>
        <w:tblStyle w:val="36"/>
        <w:tblW w:w="8789"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7945"/>
      </w:tblGrid>
      <w:tr w14:paraId="0B74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44" w:type="dxa"/>
            <w:shd w:val="clear" w:color="auto" w:fill="auto"/>
            <w:vAlign w:val="center"/>
          </w:tcPr>
          <w:p w14:paraId="7EB49091">
            <w:pPr>
              <w:autoSpaceDE w:val="0"/>
              <w:autoSpaceDN w:val="0"/>
              <w:adjustRightInd w:val="0"/>
              <w:jc w:val="left"/>
              <w:rPr>
                <w:rFonts w:ascii="黑体" w:hAnsi="黑体" w:cs="Arial"/>
                <w:b/>
                <w:kern w:val="0"/>
                <w:szCs w:val="18"/>
              </w:rPr>
            </w:pPr>
            <w:r>
              <w:rPr>
                <w:rFonts w:ascii="黑体" w:hAnsi="黑体" w:cs="Arial"/>
                <w:b/>
                <w:kern w:val="0"/>
                <w:szCs w:val="18"/>
              </w:rPr>
              <w:t>名称</w:t>
            </w:r>
          </w:p>
        </w:tc>
        <w:tc>
          <w:tcPr>
            <w:tcW w:w="7945" w:type="dxa"/>
            <w:shd w:val="clear" w:color="auto" w:fill="auto"/>
            <w:vAlign w:val="center"/>
          </w:tcPr>
          <w:p w14:paraId="6D6FBC6B">
            <w:pPr>
              <w:autoSpaceDE w:val="0"/>
              <w:autoSpaceDN w:val="0"/>
              <w:adjustRightInd w:val="0"/>
              <w:jc w:val="left"/>
              <w:rPr>
                <w:rFonts w:ascii="黑体" w:hAnsi="黑体" w:cs="Arial"/>
                <w:b/>
                <w:kern w:val="0"/>
                <w:szCs w:val="18"/>
              </w:rPr>
            </w:pPr>
            <w:r>
              <w:rPr>
                <w:rFonts w:ascii="黑体" w:hAnsi="黑体" w:cs="Arial"/>
                <w:b/>
                <w:kern w:val="0"/>
                <w:szCs w:val="18"/>
              </w:rPr>
              <w:t>定义</w:t>
            </w:r>
          </w:p>
        </w:tc>
      </w:tr>
      <w:tr w14:paraId="58A3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44" w:type="dxa"/>
            <w:shd w:val="clear" w:color="auto" w:fill="FFFFFF"/>
            <w:vAlign w:val="center"/>
          </w:tcPr>
          <w:p w14:paraId="2BCCDE69">
            <w:pPr>
              <w:autoSpaceDE w:val="0"/>
              <w:autoSpaceDN w:val="0"/>
              <w:adjustRightInd w:val="0"/>
              <w:jc w:val="left"/>
              <w:rPr>
                <w:rFonts w:ascii="黑体" w:hAnsi="黑体" w:cs="Arial"/>
                <w:iCs/>
                <w:kern w:val="0"/>
                <w:szCs w:val="18"/>
              </w:rPr>
            </w:pPr>
            <w:r>
              <w:rPr>
                <w:rFonts w:hint="eastAsia" w:ascii="黑体" w:hAnsi="黑体" w:cs="Arial"/>
                <w:iCs/>
                <w:kern w:val="0"/>
                <w:szCs w:val="18"/>
              </w:rPr>
              <w:t>无</w:t>
            </w:r>
          </w:p>
        </w:tc>
        <w:tc>
          <w:tcPr>
            <w:tcW w:w="7945" w:type="dxa"/>
            <w:shd w:val="clear" w:color="auto" w:fill="FFFFFF"/>
            <w:vAlign w:val="center"/>
          </w:tcPr>
          <w:p w14:paraId="718F97E5">
            <w:pPr>
              <w:autoSpaceDE w:val="0"/>
              <w:autoSpaceDN w:val="0"/>
              <w:adjustRightInd w:val="0"/>
              <w:jc w:val="left"/>
              <w:rPr>
                <w:rFonts w:ascii="黑体" w:hAnsi="黑体" w:cs="Arial"/>
                <w:iCs/>
                <w:kern w:val="0"/>
                <w:szCs w:val="18"/>
              </w:rPr>
            </w:pPr>
          </w:p>
        </w:tc>
      </w:tr>
    </w:tbl>
    <w:p w14:paraId="7F0B68B7">
      <w:pPr>
        <w:autoSpaceDE w:val="0"/>
        <w:autoSpaceDN w:val="0"/>
        <w:adjustRightInd w:val="0"/>
        <w:spacing w:line="360" w:lineRule="auto"/>
        <w:jc w:val="left"/>
        <w:rPr>
          <w:rFonts w:ascii="黑体" w:hAnsi="黑体" w:cs="Arial"/>
          <w:kern w:val="0"/>
          <w:szCs w:val="18"/>
        </w:rPr>
      </w:pPr>
      <w:r>
        <w:rPr>
          <w:rFonts w:ascii="黑体" w:hAnsi="黑体" w:cs="Arial"/>
          <w:kern w:val="0"/>
          <w:szCs w:val="18"/>
        </w:rPr>
        <w:t xml:space="preserve">        </w:t>
      </w:r>
    </w:p>
    <w:p w14:paraId="3FA9CB1D">
      <w:pPr>
        <w:pStyle w:val="97"/>
      </w:pPr>
      <w:r>
        <w:rPr>
          <w:rFonts w:hint="eastAsia"/>
        </w:rPr>
        <w:t>适用范围</w:t>
      </w:r>
    </w:p>
    <w:p w14:paraId="6E7F5C65">
      <w:pPr>
        <w:numPr>
          <w:ilvl w:val="0"/>
          <w:numId w:val="48"/>
        </w:numPr>
        <w:autoSpaceDE w:val="0"/>
        <w:autoSpaceDN w:val="0"/>
        <w:adjustRightInd w:val="0"/>
        <w:spacing w:line="360" w:lineRule="auto"/>
        <w:jc w:val="left"/>
        <w:rPr>
          <w:rFonts w:ascii="黑体" w:hAnsi="黑体"/>
          <w:szCs w:val="18"/>
        </w:rPr>
      </w:pPr>
      <w:r>
        <w:rPr>
          <w:rFonts w:hint="eastAsia" w:ascii="黑体" w:hAnsi="黑体"/>
          <w:szCs w:val="18"/>
        </w:rPr>
        <w:t>公司所有新建、改扩建项目、包括厂房、研发楼</w:t>
      </w:r>
      <w:r>
        <w:rPr>
          <w:rFonts w:ascii="黑体" w:hAnsi="黑体"/>
          <w:szCs w:val="18"/>
        </w:rPr>
        <w:t>、住宅和公寓、高端接待中心、酒店等</w:t>
      </w:r>
      <w:r>
        <w:rPr>
          <w:rFonts w:hint="eastAsia" w:ascii="黑体" w:hAnsi="黑体"/>
          <w:szCs w:val="18"/>
        </w:rPr>
        <w:t>凡</w:t>
      </w:r>
      <w:r>
        <w:rPr>
          <w:rFonts w:ascii="黑体" w:hAnsi="黑体"/>
          <w:szCs w:val="18"/>
        </w:rPr>
        <w:t>涉及</w:t>
      </w:r>
      <w:r>
        <w:rPr>
          <w:rFonts w:hint="eastAsia" w:ascii="黑体" w:hAnsi="黑体"/>
          <w:szCs w:val="18"/>
        </w:rPr>
        <w:t>栏杆和</w:t>
      </w:r>
      <w:r>
        <w:rPr>
          <w:rFonts w:ascii="黑体" w:hAnsi="黑体"/>
          <w:szCs w:val="18"/>
        </w:rPr>
        <w:t>围栏大门</w:t>
      </w:r>
      <w:r>
        <w:rPr>
          <w:rFonts w:hint="eastAsia" w:ascii="黑体" w:hAnsi="黑体"/>
          <w:szCs w:val="18"/>
        </w:rPr>
        <w:t>等</w:t>
      </w:r>
      <w:r>
        <w:rPr>
          <w:rFonts w:ascii="黑体" w:hAnsi="黑体"/>
          <w:szCs w:val="18"/>
        </w:rPr>
        <w:t>设计</w:t>
      </w:r>
      <w:r>
        <w:rPr>
          <w:rFonts w:hint="eastAsia" w:ascii="黑体" w:hAnsi="黑体"/>
          <w:szCs w:val="18"/>
        </w:rPr>
        <w:t>及</w:t>
      </w:r>
      <w:r>
        <w:rPr>
          <w:rFonts w:ascii="黑体" w:hAnsi="黑体"/>
          <w:szCs w:val="18"/>
        </w:rPr>
        <w:t>选用</w:t>
      </w:r>
      <w:r>
        <w:rPr>
          <w:rFonts w:hint="eastAsia" w:ascii="黑体" w:hAnsi="黑体"/>
          <w:szCs w:val="18"/>
        </w:rPr>
        <w:t>的</w:t>
      </w:r>
      <w:r>
        <w:rPr>
          <w:rFonts w:ascii="黑体" w:hAnsi="黑体"/>
          <w:szCs w:val="18"/>
        </w:rPr>
        <w:t>，均适用于本设计指导书</w:t>
      </w:r>
      <w:r>
        <w:rPr>
          <w:rFonts w:hint="eastAsia" w:ascii="黑体" w:hAnsi="黑体"/>
          <w:szCs w:val="18"/>
        </w:rPr>
        <w:t>。</w:t>
      </w:r>
    </w:p>
    <w:p w14:paraId="6EC6D512">
      <w:pPr>
        <w:numPr>
          <w:ilvl w:val="0"/>
          <w:numId w:val="48"/>
        </w:numPr>
        <w:autoSpaceDE w:val="0"/>
        <w:autoSpaceDN w:val="0"/>
        <w:adjustRightInd w:val="0"/>
        <w:spacing w:line="360" w:lineRule="auto"/>
        <w:jc w:val="left"/>
        <w:rPr>
          <w:rFonts w:ascii="黑体" w:hAnsi="黑体"/>
          <w:szCs w:val="18"/>
        </w:rPr>
      </w:pPr>
      <w:r>
        <w:rPr>
          <w:rFonts w:hint="eastAsia" w:ascii="黑体" w:hAnsi="黑体"/>
          <w:szCs w:val="18"/>
        </w:rPr>
        <w:t>本指导书包括栏杆和</w:t>
      </w:r>
      <w:r>
        <w:rPr>
          <w:rFonts w:ascii="黑体" w:hAnsi="黑体"/>
          <w:szCs w:val="18"/>
        </w:rPr>
        <w:t>围栏大门</w:t>
      </w:r>
      <w:r>
        <w:rPr>
          <w:rFonts w:hint="eastAsia" w:ascii="黑体" w:hAnsi="黑体"/>
          <w:szCs w:val="18"/>
        </w:rPr>
        <w:t>的设计</w:t>
      </w:r>
      <w:r>
        <w:rPr>
          <w:rFonts w:ascii="黑体" w:hAnsi="黑体"/>
          <w:szCs w:val="18"/>
        </w:rPr>
        <w:t>标准、</w:t>
      </w:r>
      <w:r>
        <w:rPr>
          <w:rFonts w:hint="eastAsia" w:ascii="黑体" w:hAnsi="黑体"/>
          <w:szCs w:val="18"/>
        </w:rPr>
        <w:t>材料和样式选用等，可供设计、制作及施工安装使用。</w:t>
      </w:r>
    </w:p>
    <w:p w14:paraId="1075A10C">
      <w:pPr>
        <w:numPr>
          <w:ilvl w:val="0"/>
          <w:numId w:val="48"/>
        </w:numPr>
        <w:autoSpaceDE w:val="0"/>
        <w:autoSpaceDN w:val="0"/>
        <w:adjustRightInd w:val="0"/>
        <w:spacing w:line="360" w:lineRule="auto"/>
        <w:jc w:val="left"/>
        <w:rPr>
          <w:rFonts w:ascii="黑体" w:hAnsi="黑体"/>
          <w:szCs w:val="18"/>
        </w:rPr>
      </w:pPr>
      <w:r>
        <w:rPr>
          <w:rFonts w:hint="eastAsia" w:ascii="黑体" w:hAnsi="黑体"/>
          <w:szCs w:val="18"/>
        </w:rPr>
        <w:t>本指导书不适用于酸碱腐蚀等特殊环境。</w:t>
      </w:r>
    </w:p>
    <w:p w14:paraId="23AA97C8">
      <w:pPr>
        <w:autoSpaceDE w:val="0"/>
        <w:autoSpaceDN w:val="0"/>
        <w:adjustRightInd w:val="0"/>
        <w:spacing w:line="360" w:lineRule="auto"/>
        <w:jc w:val="left"/>
        <w:rPr>
          <w:rFonts w:ascii="黑体" w:hAnsi="黑体" w:cs="Arial"/>
          <w:b/>
          <w:kern w:val="0"/>
          <w:szCs w:val="18"/>
        </w:rPr>
      </w:pPr>
    </w:p>
    <w:p w14:paraId="018F5A92">
      <w:pPr>
        <w:pStyle w:val="97"/>
      </w:pPr>
      <w:r>
        <w:t>内容</w:t>
      </w:r>
    </w:p>
    <w:p w14:paraId="18AB34D1">
      <w:pPr>
        <w:pStyle w:val="49"/>
        <w:numPr>
          <w:ilvl w:val="0"/>
          <w:numId w:val="49"/>
        </w:numPr>
        <w:autoSpaceDE w:val="0"/>
        <w:autoSpaceDN w:val="0"/>
        <w:adjustRightInd w:val="0"/>
        <w:spacing w:line="360" w:lineRule="auto"/>
        <w:ind w:firstLine="488" w:firstLineChars="270"/>
        <w:jc w:val="left"/>
        <w:rPr>
          <w:rFonts w:ascii="黑体" w:hAnsi="黑体" w:cs="宋体"/>
          <w:kern w:val="0"/>
          <w:szCs w:val="18"/>
        </w:rPr>
      </w:pPr>
      <w:r>
        <w:rPr>
          <w:rFonts w:hint="eastAsia" w:ascii="黑体" w:hAnsi="黑体" w:cs="宋体"/>
          <w:b/>
          <w:kern w:val="0"/>
          <w:szCs w:val="18"/>
        </w:rPr>
        <w:t>适用规范与</w:t>
      </w:r>
      <w:r>
        <w:rPr>
          <w:rFonts w:ascii="黑体" w:hAnsi="黑体" w:cs="宋体"/>
          <w:b/>
          <w:kern w:val="0"/>
          <w:szCs w:val="18"/>
        </w:rPr>
        <w:t>图集</w:t>
      </w:r>
      <w:r>
        <w:rPr>
          <w:rFonts w:hint="eastAsia" w:ascii="黑体" w:hAnsi="黑体" w:cs="宋体"/>
          <w:b/>
          <w:kern w:val="0"/>
          <w:szCs w:val="18"/>
        </w:rPr>
        <w:t>：</w:t>
      </w:r>
      <w:r>
        <w:rPr>
          <w:rFonts w:hint="eastAsia" w:ascii="黑体" w:hAnsi="黑体" w:cs="宋体"/>
          <w:kern w:val="0"/>
          <w:szCs w:val="18"/>
        </w:rPr>
        <w:t>包括但不限于下列规范和</w:t>
      </w:r>
      <w:r>
        <w:rPr>
          <w:rFonts w:ascii="黑体" w:hAnsi="黑体" w:cs="宋体"/>
          <w:kern w:val="0"/>
          <w:szCs w:val="18"/>
        </w:rPr>
        <w:t>图集</w:t>
      </w:r>
      <w:r>
        <w:rPr>
          <w:rFonts w:hint="eastAsia" w:ascii="黑体" w:hAnsi="黑体" w:cs="宋体"/>
          <w:kern w:val="0"/>
          <w:szCs w:val="18"/>
        </w:rPr>
        <w:t>：</w:t>
      </w:r>
    </w:p>
    <w:p w14:paraId="074D4F1C">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《钢结构设计规范》GB</w:t>
      </w:r>
      <w:r>
        <w:rPr>
          <w:rFonts w:ascii="黑体" w:hAnsi="黑体" w:cs="宋体"/>
          <w:kern w:val="0"/>
          <w:szCs w:val="18"/>
        </w:rPr>
        <w:t>0017</w:t>
      </w:r>
    </w:p>
    <w:p w14:paraId="6975DAAA">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《建筑</w:t>
      </w:r>
      <w:r>
        <w:rPr>
          <w:rFonts w:ascii="黑体" w:hAnsi="黑体" w:cs="宋体"/>
          <w:kern w:val="0"/>
          <w:szCs w:val="18"/>
        </w:rPr>
        <w:t>结构荷载规范</w:t>
      </w:r>
      <w:r>
        <w:rPr>
          <w:rFonts w:hint="eastAsia" w:ascii="黑体" w:hAnsi="黑体" w:cs="宋体"/>
          <w:kern w:val="0"/>
          <w:szCs w:val="18"/>
        </w:rPr>
        <w:t>》GB50009</w:t>
      </w:r>
    </w:p>
    <w:p w14:paraId="09B2A50A">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《建筑设计防火</w:t>
      </w:r>
      <w:r>
        <w:rPr>
          <w:rFonts w:ascii="黑体" w:hAnsi="黑体" w:cs="宋体"/>
          <w:kern w:val="0"/>
          <w:szCs w:val="18"/>
        </w:rPr>
        <w:t>规范</w:t>
      </w:r>
      <w:r>
        <w:rPr>
          <w:rFonts w:hint="eastAsia" w:ascii="黑体" w:hAnsi="黑体" w:cs="宋体"/>
          <w:kern w:val="0"/>
          <w:szCs w:val="18"/>
        </w:rPr>
        <w:t>》GB500</w:t>
      </w:r>
      <w:r>
        <w:rPr>
          <w:rFonts w:ascii="黑体" w:hAnsi="黑体" w:cs="宋体"/>
          <w:kern w:val="0"/>
          <w:szCs w:val="18"/>
        </w:rPr>
        <w:t>16</w:t>
      </w:r>
    </w:p>
    <w:p w14:paraId="212E47E7">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《民用建筑设计通则》GB50</w:t>
      </w:r>
      <w:r>
        <w:rPr>
          <w:rFonts w:ascii="黑体" w:hAnsi="黑体" w:cs="宋体"/>
          <w:kern w:val="0"/>
          <w:szCs w:val="18"/>
        </w:rPr>
        <w:t>352</w:t>
      </w:r>
    </w:p>
    <w:p w14:paraId="05466717">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《住宅设计</w:t>
      </w:r>
      <w:r>
        <w:rPr>
          <w:rFonts w:ascii="黑体" w:hAnsi="黑体" w:cs="宋体"/>
          <w:kern w:val="0"/>
          <w:szCs w:val="18"/>
        </w:rPr>
        <w:t>规范</w:t>
      </w:r>
      <w:r>
        <w:rPr>
          <w:rFonts w:hint="eastAsia" w:ascii="黑体" w:hAnsi="黑体" w:cs="宋体"/>
          <w:kern w:val="0"/>
          <w:szCs w:val="18"/>
        </w:rPr>
        <w:t>》GB500</w:t>
      </w:r>
      <w:r>
        <w:rPr>
          <w:rFonts w:ascii="黑体" w:hAnsi="黑体" w:cs="宋体"/>
          <w:kern w:val="0"/>
          <w:szCs w:val="18"/>
        </w:rPr>
        <w:t>96</w:t>
      </w:r>
    </w:p>
    <w:p w14:paraId="635A65FF">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《办公建筑设计</w:t>
      </w:r>
      <w:r>
        <w:rPr>
          <w:rFonts w:ascii="黑体" w:hAnsi="黑体" w:cs="宋体"/>
          <w:kern w:val="0"/>
          <w:szCs w:val="18"/>
        </w:rPr>
        <w:t>规范</w:t>
      </w:r>
      <w:r>
        <w:rPr>
          <w:rFonts w:hint="eastAsia" w:ascii="黑体" w:hAnsi="黑体" w:cs="宋体"/>
          <w:kern w:val="0"/>
          <w:szCs w:val="18"/>
        </w:rPr>
        <w:t>》</w:t>
      </w:r>
      <w:r>
        <w:rPr>
          <w:rFonts w:ascii="黑体" w:hAnsi="黑体" w:cs="宋体"/>
          <w:kern w:val="0"/>
          <w:szCs w:val="18"/>
        </w:rPr>
        <w:t>JGJ67</w:t>
      </w:r>
    </w:p>
    <w:p w14:paraId="383BB7BB">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《建筑</w:t>
      </w:r>
      <w:r>
        <w:rPr>
          <w:rFonts w:ascii="黑体" w:hAnsi="黑体" w:cs="宋体"/>
          <w:kern w:val="0"/>
          <w:szCs w:val="18"/>
        </w:rPr>
        <w:t>用玻璃</w:t>
      </w:r>
      <w:r>
        <w:rPr>
          <w:rFonts w:hint="eastAsia" w:ascii="黑体" w:hAnsi="黑体" w:cs="宋体"/>
          <w:kern w:val="0"/>
          <w:szCs w:val="18"/>
        </w:rPr>
        <w:t>与</w:t>
      </w:r>
      <w:r>
        <w:rPr>
          <w:rFonts w:ascii="黑体" w:hAnsi="黑体" w:cs="宋体"/>
          <w:kern w:val="0"/>
          <w:szCs w:val="18"/>
        </w:rPr>
        <w:t>金属栏杆</w:t>
      </w:r>
      <w:r>
        <w:rPr>
          <w:rFonts w:hint="eastAsia" w:ascii="黑体" w:hAnsi="黑体" w:cs="宋体"/>
          <w:kern w:val="0"/>
          <w:szCs w:val="18"/>
        </w:rPr>
        <w:t>》JG</w:t>
      </w:r>
      <w:r>
        <w:rPr>
          <w:rFonts w:ascii="黑体" w:hAnsi="黑体" w:cs="宋体"/>
          <w:kern w:val="0"/>
          <w:szCs w:val="18"/>
        </w:rPr>
        <w:t>/</w:t>
      </w:r>
      <w:r>
        <w:rPr>
          <w:rFonts w:hint="eastAsia" w:ascii="黑体" w:hAnsi="黑体" w:cs="宋体"/>
          <w:kern w:val="0"/>
          <w:szCs w:val="18"/>
        </w:rPr>
        <w:t>T</w:t>
      </w:r>
      <w:r>
        <w:rPr>
          <w:rFonts w:ascii="黑体" w:hAnsi="黑体" w:cs="宋体"/>
          <w:kern w:val="0"/>
          <w:szCs w:val="18"/>
        </w:rPr>
        <w:t>342</w:t>
      </w:r>
    </w:p>
    <w:p w14:paraId="5C6ECDCF">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《建筑</w:t>
      </w:r>
      <w:r>
        <w:rPr>
          <w:rFonts w:ascii="黑体" w:hAnsi="黑体" w:cs="宋体"/>
          <w:kern w:val="0"/>
          <w:szCs w:val="18"/>
        </w:rPr>
        <w:t>装饰装修</w:t>
      </w:r>
      <w:r>
        <w:rPr>
          <w:rFonts w:hint="eastAsia" w:ascii="黑体" w:hAnsi="黑体" w:cs="宋体"/>
          <w:kern w:val="0"/>
          <w:szCs w:val="18"/>
        </w:rPr>
        <w:t>工程质量验收规范》GB502</w:t>
      </w:r>
      <w:r>
        <w:rPr>
          <w:rFonts w:ascii="黑体" w:hAnsi="黑体" w:cs="宋体"/>
          <w:kern w:val="0"/>
          <w:szCs w:val="18"/>
        </w:rPr>
        <w:t>10</w:t>
      </w:r>
    </w:p>
    <w:p w14:paraId="1F7049AC">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《钢结构工程施工质量验收规范》GB50205</w:t>
      </w:r>
    </w:p>
    <w:p w14:paraId="0D7864CE">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《建筑</w:t>
      </w:r>
      <w:r>
        <w:rPr>
          <w:rFonts w:ascii="黑体" w:hAnsi="黑体" w:cs="宋体"/>
          <w:kern w:val="0"/>
          <w:szCs w:val="18"/>
        </w:rPr>
        <w:t>玻璃</w:t>
      </w:r>
      <w:r>
        <w:rPr>
          <w:rFonts w:hint="eastAsia" w:ascii="黑体" w:hAnsi="黑体" w:cs="宋体"/>
          <w:kern w:val="0"/>
          <w:szCs w:val="18"/>
        </w:rPr>
        <w:t>应用技术</w:t>
      </w:r>
      <w:r>
        <w:rPr>
          <w:rFonts w:ascii="黑体" w:hAnsi="黑体" w:cs="宋体"/>
          <w:kern w:val="0"/>
          <w:szCs w:val="18"/>
        </w:rPr>
        <w:t>规程</w:t>
      </w:r>
      <w:r>
        <w:rPr>
          <w:rFonts w:hint="eastAsia" w:ascii="黑体" w:hAnsi="黑体" w:cs="宋体"/>
          <w:kern w:val="0"/>
          <w:szCs w:val="18"/>
        </w:rPr>
        <w:t>》JGJ</w:t>
      </w:r>
      <w:r>
        <w:rPr>
          <w:rFonts w:ascii="黑体" w:hAnsi="黑体" w:cs="宋体"/>
          <w:kern w:val="0"/>
          <w:szCs w:val="18"/>
        </w:rPr>
        <w:t>113</w:t>
      </w:r>
    </w:p>
    <w:p w14:paraId="74A6A8F7">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《建筑</w:t>
      </w:r>
      <w:r>
        <w:rPr>
          <w:rFonts w:ascii="黑体" w:hAnsi="黑体" w:cs="宋体"/>
          <w:kern w:val="0"/>
          <w:szCs w:val="18"/>
        </w:rPr>
        <w:t>用安全玻璃</w:t>
      </w:r>
      <w:r>
        <w:rPr>
          <w:rFonts w:hint="eastAsia" w:ascii="黑体" w:hAnsi="黑体" w:cs="宋体"/>
          <w:kern w:val="0"/>
          <w:szCs w:val="18"/>
        </w:rPr>
        <w:t>第3部分：</w:t>
      </w:r>
      <w:r>
        <w:rPr>
          <w:rFonts w:ascii="黑体" w:hAnsi="黑体" w:cs="宋体"/>
          <w:kern w:val="0"/>
          <w:szCs w:val="18"/>
        </w:rPr>
        <w:t>夹层玻璃</w:t>
      </w:r>
      <w:r>
        <w:rPr>
          <w:rFonts w:hint="eastAsia" w:ascii="黑体" w:hAnsi="黑体" w:cs="宋体"/>
          <w:kern w:val="0"/>
          <w:szCs w:val="18"/>
        </w:rPr>
        <w:t>》GB</w:t>
      </w:r>
      <w:r>
        <w:rPr>
          <w:rFonts w:ascii="黑体" w:hAnsi="黑体" w:cs="宋体"/>
          <w:kern w:val="0"/>
          <w:szCs w:val="18"/>
        </w:rPr>
        <w:t>15763.3</w:t>
      </w:r>
    </w:p>
    <w:p w14:paraId="19142B96">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《楼梯 栏杆 栏板（一）》15</w:t>
      </w:r>
      <w:r>
        <w:rPr>
          <w:rFonts w:ascii="黑体" w:hAnsi="黑体" w:cs="宋体"/>
          <w:kern w:val="0"/>
          <w:szCs w:val="18"/>
        </w:rPr>
        <w:t>J403-1</w:t>
      </w:r>
    </w:p>
    <w:p w14:paraId="516220B8">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《楼梯</w:t>
      </w:r>
      <w:r>
        <w:rPr>
          <w:rFonts w:ascii="黑体" w:hAnsi="黑体" w:cs="宋体"/>
          <w:kern w:val="0"/>
          <w:szCs w:val="18"/>
        </w:rPr>
        <w:t>栏杆</w:t>
      </w:r>
      <w:r>
        <w:rPr>
          <w:rFonts w:hint="eastAsia" w:ascii="黑体" w:hAnsi="黑体" w:cs="宋体"/>
          <w:kern w:val="0"/>
          <w:szCs w:val="18"/>
        </w:rPr>
        <w:t>》中南标11</w:t>
      </w:r>
      <w:r>
        <w:rPr>
          <w:rFonts w:ascii="黑体" w:hAnsi="黑体" w:cs="宋体"/>
          <w:kern w:val="0"/>
          <w:szCs w:val="18"/>
        </w:rPr>
        <w:t>ZJ401</w:t>
      </w:r>
    </w:p>
    <w:p w14:paraId="716955F3">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《阳台</w:t>
      </w:r>
      <w:r>
        <w:rPr>
          <w:rFonts w:ascii="黑体" w:hAnsi="黑体" w:cs="宋体"/>
          <w:kern w:val="0"/>
          <w:szCs w:val="18"/>
        </w:rPr>
        <w:t>、</w:t>
      </w:r>
      <w:r>
        <w:rPr>
          <w:rFonts w:hint="eastAsia" w:ascii="黑体" w:hAnsi="黑体" w:cs="宋体"/>
          <w:kern w:val="0"/>
          <w:szCs w:val="18"/>
        </w:rPr>
        <w:t>外廊栏杆》中南标11</w:t>
      </w:r>
      <w:r>
        <w:rPr>
          <w:rFonts w:ascii="黑体" w:hAnsi="黑体" w:cs="宋体"/>
          <w:kern w:val="0"/>
          <w:szCs w:val="18"/>
        </w:rPr>
        <w:t>ZJ411</w:t>
      </w:r>
    </w:p>
    <w:p w14:paraId="74B046B7">
      <w:pPr>
        <w:autoSpaceDE w:val="0"/>
        <w:autoSpaceDN w:val="0"/>
        <w:adjustRightInd w:val="0"/>
        <w:spacing w:line="360" w:lineRule="auto"/>
        <w:ind w:left="425" w:firstLine="90" w:firstLineChars="50"/>
        <w:jc w:val="left"/>
        <w:rPr>
          <w:rFonts w:ascii="黑体" w:hAnsi="黑体" w:cs="宋体"/>
          <w:kern w:val="0"/>
          <w:szCs w:val="18"/>
        </w:rPr>
      </w:pPr>
      <w:r>
        <w:rPr>
          <w:rFonts w:hint="eastAsia" w:ascii="黑体" w:hAnsi="黑体" w:cs="宋体"/>
          <w:kern w:val="0"/>
          <w:szCs w:val="18"/>
        </w:rPr>
        <w:t>《围墙</w:t>
      </w:r>
      <w:r>
        <w:rPr>
          <w:rFonts w:ascii="黑体" w:hAnsi="黑体" w:cs="宋体"/>
          <w:kern w:val="0"/>
          <w:szCs w:val="18"/>
        </w:rPr>
        <w:t>大门</w:t>
      </w:r>
      <w:r>
        <w:rPr>
          <w:rFonts w:hint="eastAsia" w:ascii="黑体" w:hAnsi="黑体" w:cs="宋体"/>
          <w:kern w:val="0"/>
          <w:szCs w:val="18"/>
        </w:rPr>
        <w:t>》15</w:t>
      </w:r>
      <w:r>
        <w:rPr>
          <w:rFonts w:ascii="黑体" w:hAnsi="黑体" w:cs="宋体"/>
          <w:kern w:val="0"/>
          <w:szCs w:val="18"/>
        </w:rPr>
        <w:t>J001</w:t>
      </w:r>
    </w:p>
    <w:p w14:paraId="33708E5B">
      <w:pPr>
        <w:autoSpaceDE w:val="0"/>
        <w:autoSpaceDN w:val="0"/>
        <w:adjustRightInd w:val="0"/>
        <w:spacing w:line="360" w:lineRule="auto"/>
        <w:ind w:left="425" w:firstLine="90" w:firstLineChars="50"/>
        <w:jc w:val="left"/>
        <w:rPr>
          <w:rFonts w:ascii="黑体" w:hAnsi="黑体" w:cs="宋体"/>
          <w:kern w:val="0"/>
          <w:szCs w:val="18"/>
        </w:rPr>
      </w:pPr>
      <w:r>
        <w:rPr>
          <w:rFonts w:ascii="黑体" w:hAnsi="黑体" w:cs="宋体"/>
          <w:kern w:val="0"/>
          <w:szCs w:val="18"/>
        </w:rPr>
        <w:t xml:space="preserve"> </w:t>
      </w:r>
      <w:r>
        <w:rPr>
          <w:rFonts w:hint="eastAsia" w:ascii="黑体" w:hAnsi="黑体" w:cs="宋体"/>
          <w:kern w:val="0"/>
          <w:szCs w:val="18"/>
        </w:rPr>
        <w:t>关于加强东莞市建筑工程栏杆设计构造措施要求的通知（</w:t>
      </w:r>
      <w:r>
        <w:rPr>
          <w:rFonts w:ascii="黑体" w:hAnsi="黑体" w:cs="宋体"/>
          <w:kern w:val="0"/>
          <w:szCs w:val="18"/>
        </w:rPr>
        <w:t>东勘协</w:t>
      </w:r>
      <w:r>
        <w:rPr>
          <w:rFonts w:hint="eastAsia" w:ascii="黑体" w:hAnsi="黑体" w:cs="宋体"/>
          <w:kern w:val="0"/>
          <w:szCs w:val="18"/>
        </w:rPr>
        <w:t>技标〔2017〕001号）</w:t>
      </w:r>
    </w:p>
    <w:p w14:paraId="65A016C5">
      <w:pPr>
        <w:autoSpaceDE w:val="0"/>
        <w:autoSpaceDN w:val="0"/>
        <w:adjustRightInd w:val="0"/>
        <w:spacing w:line="360" w:lineRule="auto"/>
        <w:ind w:left="425" w:firstLine="180" w:firstLineChars="100"/>
        <w:jc w:val="left"/>
        <w:rPr>
          <w:rFonts w:ascii="黑体" w:hAnsi="黑体" w:cs="宋体"/>
          <w:kern w:val="0"/>
          <w:szCs w:val="18"/>
        </w:rPr>
      </w:pPr>
      <w:r>
        <w:rPr>
          <w:rFonts w:hint="eastAsia" w:ascii="黑体" w:hAnsi="黑体" w:cs="宋体"/>
          <w:kern w:val="0"/>
          <w:szCs w:val="18"/>
        </w:rPr>
        <w:t>及公司《新建</w:t>
      </w:r>
      <w:r>
        <w:rPr>
          <w:rFonts w:ascii="黑体" w:hAnsi="黑体" w:cs="宋体"/>
          <w:kern w:val="0"/>
          <w:szCs w:val="18"/>
        </w:rPr>
        <w:t>项目</w:t>
      </w:r>
      <w:r>
        <w:rPr>
          <w:rFonts w:hint="eastAsia" w:ascii="黑体" w:hAnsi="黑体" w:cs="宋体"/>
          <w:kern w:val="0"/>
          <w:szCs w:val="18"/>
        </w:rPr>
        <w:t>设计</w:t>
      </w:r>
      <w:r>
        <w:rPr>
          <w:rFonts w:ascii="黑体" w:hAnsi="黑体" w:cs="宋体"/>
          <w:kern w:val="0"/>
          <w:szCs w:val="18"/>
        </w:rPr>
        <w:t>交付标准</w:t>
      </w:r>
      <w:r>
        <w:rPr>
          <w:rFonts w:hint="eastAsia" w:ascii="黑体" w:hAnsi="黑体" w:cs="宋体"/>
          <w:kern w:val="0"/>
          <w:szCs w:val="18"/>
        </w:rPr>
        <w:t>（结构</w:t>
      </w:r>
      <w:r>
        <w:rPr>
          <w:rFonts w:ascii="黑体" w:hAnsi="黑体" w:cs="宋体"/>
          <w:kern w:val="0"/>
          <w:szCs w:val="18"/>
        </w:rPr>
        <w:t>分册</w:t>
      </w:r>
      <w:r>
        <w:rPr>
          <w:rFonts w:hint="eastAsia" w:ascii="黑体" w:hAnsi="黑体" w:cs="宋体"/>
          <w:kern w:val="0"/>
          <w:szCs w:val="18"/>
        </w:rPr>
        <w:t>）》等有关标准和规定</w:t>
      </w:r>
    </w:p>
    <w:p w14:paraId="4D8BFCA3">
      <w:pPr>
        <w:autoSpaceDE w:val="0"/>
        <w:autoSpaceDN w:val="0"/>
        <w:adjustRightInd w:val="0"/>
        <w:spacing w:line="360" w:lineRule="auto"/>
        <w:ind w:left="425" w:firstLine="180" w:firstLineChars="100"/>
        <w:jc w:val="left"/>
        <w:rPr>
          <w:rFonts w:ascii="黑体" w:hAnsi="黑体" w:cs="宋体"/>
          <w:kern w:val="0"/>
          <w:szCs w:val="18"/>
        </w:rPr>
      </w:pPr>
      <w:r>
        <w:rPr>
          <w:rFonts w:hint="eastAsia" w:ascii="黑体" w:hAnsi="黑体" w:cs="宋体"/>
          <w:kern w:val="0"/>
          <w:szCs w:val="18"/>
        </w:rPr>
        <w:t>公司《新建</w:t>
      </w:r>
      <w:r>
        <w:rPr>
          <w:rFonts w:ascii="黑体" w:hAnsi="黑体" w:cs="宋体"/>
          <w:kern w:val="0"/>
          <w:szCs w:val="18"/>
        </w:rPr>
        <w:t>项目</w:t>
      </w:r>
      <w:r>
        <w:rPr>
          <w:rFonts w:hint="eastAsia" w:ascii="黑体" w:hAnsi="黑体" w:cs="宋体"/>
          <w:kern w:val="0"/>
          <w:szCs w:val="18"/>
        </w:rPr>
        <w:t>设计</w:t>
      </w:r>
      <w:r>
        <w:rPr>
          <w:rFonts w:ascii="黑体" w:hAnsi="黑体" w:cs="宋体"/>
          <w:kern w:val="0"/>
          <w:szCs w:val="18"/>
        </w:rPr>
        <w:t>交付标准</w:t>
      </w:r>
      <w:r>
        <w:rPr>
          <w:rFonts w:hint="eastAsia" w:ascii="黑体" w:hAnsi="黑体" w:cs="宋体"/>
          <w:kern w:val="0"/>
          <w:szCs w:val="18"/>
        </w:rPr>
        <w:t>（幕墙</w:t>
      </w:r>
      <w:r>
        <w:rPr>
          <w:rFonts w:ascii="黑体" w:hAnsi="黑体" w:cs="宋体"/>
          <w:kern w:val="0"/>
          <w:szCs w:val="18"/>
        </w:rPr>
        <w:t>分册</w:t>
      </w:r>
      <w:r>
        <w:rPr>
          <w:rFonts w:hint="eastAsia" w:ascii="黑体" w:hAnsi="黑体" w:cs="宋体"/>
          <w:kern w:val="0"/>
          <w:szCs w:val="18"/>
        </w:rPr>
        <w:t>）》等有关标准和规定</w:t>
      </w:r>
    </w:p>
    <w:p w14:paraId="635AEE5C">
      <w:pPr>
        <w:autoSpaceDE w:val="0"/>
        <w:autoSpaceDN w:val="0"/>
        <w:adjustRightInd w:val="0"/>
        <w:spacing w:line="360" w:lineRule="auto"/>
        <w:ind w:left="425" w:firstLine="180" w:firstLineChars="100"/>
        <w:jc w:val="left"/>
        <w:rPr>
          <w:rFonts w:ascii="黑体" w:hAnsi="黑体" w:cs="宋体"/>
          <w:kern w:val="0"/>
          <w:szCs w:val="18"/>
        </w:rPr>
      </w:pPr>
    </w:p>
    <w:p w14:paraId="4F4145D9">
      <w:pPr>
        <w:pStyle w:val="49"/>
        <w:numPr>
          <w:ilvl w:val="0"/>
          <w:numId w:val="49"/>
        </w:numPr>
        <w:autoSpaceDE w:val="0"/>
        <w:autoSpaceDN w:val="0"/>
        <w:adjustRightInd w:val="0"/>
        <w:spacing w:line="360" w:lineRule="auto"/>
        <w:ind w:firstLineChars="0"/>
        <w:jc w:val="left"/>
        <w:rPr>
          <w:rFonts w:ascii="黑体" w:hAnsi="黑体" w:cs="Arial"/>
          <w:kern w:val="0"/>
          <w:szCs w:val="18"/>
        </w:rPr>
      </w:pPr>
      <w:r>
        <w:rPr>
          <w:rFonts w:hint="eastAsia" w:ascii="黑体" w:hAnsi="黑体" w:cs="宋体"/>
          <w:b/>
          <w:kern w:val="0"/>
          <w:szCs w:val="18"/>
        </w:rPr>
        <w:t>一般</w:t>
      </w:r>
      <w:r>
        <w:rPr>
          <w:rFonts w:ascii="黑体" w:hAnsi="黑体" w:cs="宋体"/>
          <w:b/>
          <w:kern w:val="0"/>
          <w:szCs w:val="18"/>
        </w:rPr>
        <w:t>要求</w:t>
      </w:r>
      <w:r>
        <w:rPr>
          <w:rFonts w:hint="eastAsia" w:ascii="黑体" w:hAnsi="黑体" w:cs="宋体"/>
          <w:b/>
          <w:kern w:val="0"/>
          <w:szCs w:val="18"/>
        </w:rPr>
        <w:t>:</w:t>
      </w:r>
    </w:p>
    <w:p w14:paraId="28880D44">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本标准使用</w:t>
      </w:r>
      <w:r>
        <w:rPr>
          <w:rFonts w:ascii="黑体" w:hAnsi="黑体" w:cs="Arial"/>
          <w:szCs w:val="18"/>
        </w:rPr>
        <w:t>环境</w:t>
      </w:r>
      <w:r>
        <w:rPr>
          <w:rFonts w:hint="eastAsia" w:ascii="黑体" w:hAnsi="黑体" w:cs="Arial"/>
          <w:szCs w:val="18"/>
        </w:rPr>
        <w:t>为办公楼</w:t>
      </w:r>
      <w:r>
        <w:rPr>
          <w:rFonts w:ascii="黑体" w:hAnsi="黑体" w:cs="Arial"/>
          <w:szCs w:val="18"/>
        </w:rPr>
        <w:t>及</w:t>
      </w:r>
      <w:r>
        <w:rPr>
          <w:rFonts w:hint="eastAsia" w:ascii="黑体" w:hAnsi="黑体" w:cs="Arial"/>
          <w:szCs w:val="18"/>
        </w:rPr>
        <w:t>厂房等室内</w:t>
      </w:r>
      <w:r>
        <w:rPr>
          <w:rFonts w:ascii="黑体" w:hAnsi="黑体" w:cs="Arial"/>
          <w:szCs w:val="18"/>
        </w:rPr>
        <w:t>正常环境或</w:t>
      </w:r>
      <w:r>
        <w:rPr>
          <w:rFonts w:hint="eastAsia" w:ascii="黑体" w:hAnsi="黑体" w:cs="Arial"/>
          <w:szCs w:val="18"/>
        </w:rPr>
        <w:t>无</w:t>
      </w:r>
      <w:r>
        <w:rPr>
          <w:rFonts w:hint="eastAsia" w:ascii="黑体" w:hAnsi="黑体"/>
          <w:szCs w:val="18"/>
        </w:rPr>
        <w:t>酸碱腐蚀等作用的</w:t>
      </w:r>
      <w:r>
        <w:rPr>
          <w:rFonts w:ascii="黑体" w:hAnsi="黑体"/>
          <w:szCs w:val="18"/>
        </w:rPr>
        <w:t>室外环境</w:t>
      </w:r>
      <w:r>
        <w:rPr>
          <w:rFonts w:hint="eastAsia" w:ascii="黑体" w:hAnsi="黑体" w:cs="Arial"/>
          <w:szCs w:val="18"/>
        </w:rPr>
        <w:t>；</w:t>
      </w:r>
    </w:p>
    <w:p w14:paraId="32264F69">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本标准设计</w:t>
      </w:r>
      <w:r>
        <w:rPr>
          <w:rFonts w:ascii="黑体" w:hAnsi="黑体" w:cs="Arial"/>
          <w:szCs w:val="18"/>
        </w:rPr>
        <w:t>安全等级</w:t>
      </w:r>
      <w:r>
        <w:rPr>
          <w:rFonts w:hint="eastAsia" w:ascii="黑体" w:hAnsi="黑体" w:cs="Arial"/>
          <w:szCs w:val="18"/>
        </w:rPr>
        <w:t>和使用</w:t>
      </w:r>
      <w:r>
        <w:rPr>
          <w:rFonts w:ascii="黑体" w:hAnsi="黑体" w:cs="Arial"/>
          <w:szCs w:val="18"/>
        </w:rPr>
        <w:t>年限</w:t>
      </w:r>
      <w:r>
        <w:rPr>
          <w:rFonts w:hint="eastAsia" w:ascii="黑体" w:hAnsi="黑体" w:cs="Arial"/>
          <w:szCs w:val="18"/>
        </w:rPr>
        <w:t>同</w:t>
      </w:r>
      <w:r>
        <w:rPr>
          <w:rFonts w:ascii="黑体" w:hAnsi="黑体" w:cs="Arial"/>
          <w:szCs w:val="18"/>
        </w:rPr>
        <w:t>主体结构</w:t>
      </w:r>
      <w:r>
        <w:rPr>
          <w:rFonts w:hint="eastAsia" w:ascii="黑体" w:hAnsi="黑体" w:cs="Arial"/>
          <w:szCs w:val="18"/>
        </w:rPr>
        <w:t>，</w:t>
      </w:r>
      <w:r>
        <w:rPr>
          <w:rFonts w:ascii="黑体" w:hAnsi="黑体" w:cs="Arial"/>
          <w:szCs w:val="18"/>
        </w:rPr>
        <w:t>无抗震与防火设计要求。</w:t>
      </w:r>
    </w:p>
    <w:p w14:paraId="43906B49">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本标准栏杆</w:t>
      </w:r>
      <w:r>
        <w:rPr>
          <w:rFonts w:ascii="黑体" w:hAnsi="黑体" w:cs="Arial"/>
          <w:szCs w:val="18"/>
        </w:rPr>
        <w:t>和围栏大门</w:t>
      </w:r>
      <w:r>
        <w:rPr>
          <w:rFonts w:hint="eastAsia" w:ascii="黑体" w:hAnsi="黑体" w:cs="Arial"/>
          <w:szCs w:val="18"/>
        </w:rPr>
        <w:t>的</w:t>
      </w:r>
      <w:r>
        <w:rPr>
          <w:rFonts w:ascii="黑体" w:hAnsi="黑体" w:cs="Arial"/>
          <w:szCs w:val="18"/>
        </w:rPr>
        <w:t>支柱</w:t>
      </w:r>
      <w:r>
        <w:rPr>
          <w:rFonts w:hint="eastAsia" w:ascii="黑体" w:hAnsi="黑体" w:cs="Arial"/>
          <w:szCs w:val="18"/>
        </w:rPr>
        <w:t>和</w:t>
      </w:r>
      <w:r>
        <w:rPr>
          <w:rFonts w:ascii="黑体" w:hAnsi="黑体" w:cs="Arial"/>
          <w:szCs w:val="18"/>
        </w:rPr>
        <w:t>横竖杆件</w:t>
      </w:r>
      <w:r>
        <w:rPr>
          <w:rFonts w:hint="eastAsia" w:ascii="黑体" w:hAnsi="黑体" w:cs="Arial"/>
          <w:szCs w:val="18"/>
        </w:rPr>
        <w:t>等</w:t>
      </w:r>
      <w:r>
        <w:rPr>
          <w:rFonts w:ascii="黑体" w:hAnsi="黑体" w:cs="Arial"/>
          <w:szCs w:val="18"/>
        </w:rPr>
        <w:t>支撑体系</w:t>
      </w:r>
      <w:r>
        <w:rPr>
          <w:rFonts w:hint="eastAsia" w:ascii="黑体" w:hAnsi="黑体" w:cs="Arial"/>
          <w:szCs w:val="18"/>
        </w:rPr>
        <w:t>的</w:t>
      </w:r>
      <w:r>
        <w:rPr>
          <w:rFonts w:ascii="黑体" w:hAnsi="黑体" w:cs="Arial"/>
          <w:szCs w:val="18"/>
        </w:rPr>
        <w:t>尺寸、厚度等</w:t>
      </w:r>
      <w:r>
        <w:rPr>
          <w:rFonts w:hint="eastAsia" w:ascii="黑体" w:hAnsi="黑体" w:cs="Arial"/>
          <w:szCs w:val="18"/>
        </w:rPr>
        <w:t>由</w:t>
      </w:r>
      <w:r>
        <w:rPr>
          <w:rFonts w:ascii="黑体" w:hAnsi="黑体" w:cs="Arial"/>
          <w:szCs w:val="18"/>
        </w:rPr>
        <w:t>设计单位</w:t>
      </w:r>
      <w:r>
        <w:rPr>
          <w:rFonts w:hint="eastAsia" w:ascii="黑体" w:hAnsi="黑体" w:cs="Arial"/>
          <w:szCs w:val="18"/>
        </w:rPr>
        <w:t>及</w:t>
      </w:r>
      <w:r>
        <w:rPr>
          <w:rFonts w:ascii="黑体" w:hAnsi="黑体" w:cs="Arial"/>
          <w:szCs w:val="18"/>
        </w:rPr>
        <w:t>厂家</w:t>
      </w:r>
      <w:r>
        <w:rPr>
          <w:rFonts w:hint="eastAsia" w:ascii="黑体" w:hAnsi="黑体" w:cs="Arial"/>
          <w:szCs w:val="18"/>
        </w:rPr>
        <w:t>合理设计</w:t>
      </w:r>
      <w:r>
        <w:rPr>
          <w:rFonts w:ascii="黑体" w:hAnsi="黑体" w:cs="Arial"/>
          <w:szCs w:val="18"/>
        </w:rPr>
        <w:t>，</w:t>
      </w:r>
      <w:r>
        <w:rPr>
          <w:rFonts w:hint="eastAsia" w:ascii="黑体" w:hAnsi="黑体" w:cs="Arial"/>
          <w:szCs w:val="18"/>
        </w:rPr>
        <w:t>以安全、</w:t>
      </w:r>
      <w:r>
        <w:rPr>
          <w:rFonts w:ascii="黑体" w:hAnsi="黑体" w:cs="Arial"/>
          <w:szCs w:val="18"/>
        </w:rPr>
        <w:t>经济为原则</w:t>
      </w:r>
      <w:r>
        <w:rPr>
          <w:rFonts w:hint="eastAsia" w:ascii="黑体" w:hAnsi="黑体" w:cs="Arial"/>
          <w:szCs w:val="18"/>
        </w:rPr>
        <w:t>，可</w:t>
      </w:r>
      <w:r>
        <w:rPr>
          <w:rFonts w:ascii="黑体" w:hAnsi="黑体" w:cs="Arial"/>
          <w:szCs w:val="18"/>
        </w:rPr>
        <w:t>参考</w:t>
      </w:r>
      <w:r>
        <w:rPr>
          <w:rFonts w:hint="eastAsia" w:ascii="黑体" w:hAnsi="黑体" w:cs="Arial"/>
          <w:szCs w:val="18"/>
        </w:rPr>
        <w:t>《楼梯 栏杆 栏板（一）》15</w:t>
      </w:r>
      <w:r>
        <w:rPr>
          <w:rFonts w:ascii="黑体" w:hAnsi="黑体" w:cs="Arial"/>
          <w:szCs w:val="18"/>
        </w:rPr>
        <w:t>J403-1</w:t>
      </w:r>
      <w:r>
        <w:rPr>
          <w:rFonts w:hint="eastAsia" w:ascii="黑体" w:hAnsi="黑体" w:cs="Arial"/>
          <w:szCs w:val="18"/>
        </w:rPr>
        <w:t>的</w:t>
      </w:r>
      <w:r>
        <w:rPr>
          <w:rFonts w:ascii="黑体" w:hAnsi="黑体" w:cs="Arial"/>
          <w:szCs w:val="18"/>
        </w:rPr>
        <w:t>相关</w:t>
      </w:r>
      <w:r>
        <w:rPr>
          <w:rFonts w:hint="eastAsia" w:ascii="黑体" w:hAnsi="黑体" w:cs="Arial"/>
          <w:szCs w:val="18"/>
        </w:rPr>
        <w:t>要求</w:t>
      </w:r>
      <w:r>
        <w:rPr>
          <w:rFonts w:ascii="黑体" w:hAnsi="黑体" w:cs="Arial"/>
          <w:szCs w:val="18"/>
        </w:rPr>
        <w:t>。</w:t>
      </w:r>
    </w:p>
    <w:p w14:paraId="6FFAD852">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所有产品原则上</w:t>
      </w:r>
      <w:r>
        <w:rPr>
          <w:rFonts w:ascii="黑体" w:hAnsi="黑体" w:cs="Arial"/>
          <w:szCs w:val="18"/>
        </w:rPr>
        <w:t>质保要求为</w:t>
      </w:r>
      <w:r>
        <w:rPr>
          <w:rFonts w:hint="eastAsia" w:ascii="黑体" w:hAnsi="黑体" w:cs="Arial"/>
          <w:szCs w:val="18"/>
        </w:rPr>
        <w:t>：10年内杆件</w:t>
      </w:r>
      <w:r>
        <w:rPr>
          <w:rFonts w:ascii="黑体" w:hAnsi="黑体" w:cs="Arial"/>
          <w:szCs w:val="18"/>
        </w:rPr>
        <w:t>及配件</w:t>
      </w:r>
      <w:r>
        <w:rPr>
          <w:rFonts w:hint="eastAsia" w:ascii="黑体" w:hAnsi="黑体" w:cs="Arial"/>
          <w:szCs w:val="18"/>
        </w:rPr>
        <w:t>无</w:t>
      </w:r>
      <w:r>
        <w:rPr>
          <w:rFonts w:ascii="黑体" w:hAnsi="黑体" w:cs="Arial"/>
          <w:szCs w:val="18"/>
        </w:rPr>
        <w:t>明显锈蚀</w:t>
      </w:r>
      <w:r>
        <w:rPr>
          <w:rFonts w:hint="eastAsia" w:ascii="黑体" w:hAnsi="黑体" w:cs="Arial"/>
          <w:szCs w:val="18"/>
        </w:rPr>
        <w:t>，表面</w:t>
      </w:r>
      <w:r>
        <w:rPr>
          <w:rFonts w:ascii="黑体" w:hAnsi="黑体" w:cs="Arial"/>
          <w:szCs w:val="18"/>
        </w:rPr>
        <w:t>漆无明显脱落</w:t>
      </w:r>
      <w:r>
        <w:rPr>
          <w:rFonts w:hint="eastAsia" w:ascii="黑体" w:hAnsi="黑体" w:cs="Arial"/>
          <w:szCs w:val="18"/>
        </w:rPr>
        <w:t>，</w:t>
      </w:r>
      <w:r>
        <w:rPr>
          <w:rFonts w:ascii="黑体" w:hAnsi="黑体" w:cs="Arial"/>
          <w:szCs w:val="18"/>
        </w:rPr>
        <w:t>非外力作用下栏杆</w:t>
      </w:r>
      <w:r>
        <w:rPr>
          <w:rFonts w:hint="eastAsia" w:ascii="黑体" w:hAnsi="黑体" w:cs="Arial"/>
          <w:szCs w:val="18"/>
        </w:rPr>
        <w:t>外观</w:t>
      </w:r>
      <w:r>
        <w:rPr>
          <w:rFonts w:ascii="黑体" w:hAnsi="黑体" w:cs="Arial"/>
          <w:szCs w:val="18"/>
        </w:rPr>
        <w:t>无明显变形</w:t>
      </w:r>
      <w:r>
        <w:rPr>
          <w:rFonts w:hint="eastAsia" w:ascii="黑体" w:hAnsi="黑体" w:cs="Arial"/>
          <w:szCs w:val="18"/>
        </w:rPr>
        <w:t>。</w:t>
      </w:r>
    </w:p>
    <w:p w14:paraId="554CC165">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所有</w:t>
      </w:r>
      <w:r>
        <w:rPr>
          <w:rFonts w:ascii="黑体" w:hAnsi="黑体" w:cs="Arial"/>
          <w:szCs w:val="18"/>
        </w:rPr>
        <w:t>产品</w:t>
      </w:r>
      <w:r>
        <w:rPr>
          <w:rFonts w:hint="eastAsia" w:ascii="黑体" w:hAnsi="黑体" w:cs="Arial"/>
          <w:szCs w:val="18"/>
        </w:rPr>
        <w:t>出厂</w:t>
      </w:r>
      <w:r>
        <w:rPr>
          <w:rFonts w:ascii="黑体" w:hAnsi="黑体" w:cs="Arial"/>
          <w:szCs w:val="18"/>
        </w:rPr>
        <w:t>需严格按照</w:t>
      </w:r>
      <w:r>
        <w:rPr>
          <w:rFonts w:hint="eastAsia" w:ascii="黑体" w:hAnsi="黑体" w:cs="Arial"/>
          <w:szCs w:val="18"/>
        </w:rPr>
        <w:t>国家</w:t>
      </w:r>
      <w:r>
        <w:rPr>
          <w:rFonts w:ascii="黑体" w:hAnsi="黑体" w:cs="Arial"/>
          <w:szCs w:val="18"/>
        </w:rPr>
        <w:t>和行业标准</w:t>
      </w:r>
      <w:r>
        <w:rPr>
          <w:rFonts w:hint="eastAsia" w:ascii="黑体" w:hAnsi="黑体" w:cs="Arial"/>
          <w:szCs w:val="18"/>
        </w:rPr>
        <w:t>进行</w:t>
      </w:r>
      <w:r>
        <w:rPr>
          <w:rFonts w:ascii="黑体" w:hAnsi="黑体" w:cs="Arial"/>
          <w:szCs w:val="18"/>
        </w:rPr>
        <w:t>验收，</w:t>
      </w:r>
      <w:r>
        <w:rPr>
          <w:rFonts w:hint="eastAsia" w:ascii="黑体" w:hAnsi="黑体" w:cs="Arial"/>
          <w:szCs w:val="18"/>
        </w:rPr>
        <w:t>并出具</w:t>
      </w:r>
      <w:r>
        <w:rPr>
          <w:rFonts w:ascii="黑体" w:hAnsi="黑体" w:cs="Arial"/>
          <w:szCs w:val="18"/>
        </w:rPr>
        <w:t>产品</w:t>
      </w:r>
      <w:r>
        <w:rPr>
          <w:rFonts w:hint="eastAsia" w:ascii="黑体" w:hAnsi="黑体" w:cs="Arial"/>
          <w:szCs w:val="18"/>
        </w:rPr>
        <w:t>质量</w:t>
      </w:r>
      <w:r>
        <w:rPr>
          <w:rFonts w:ascii="黑体" w:hAnsi="黑体" w:cs="Arial"/>
          <w:szCs w:val="18"/>
        </w:rPr>
        <w:t>合格证，</w:t>
      </w:r>
      <w:r>
        <w:rPr>
          <w:rFonts w:hint="eastAsia" w:ascii="黑体" w:hAnsi="黑体" w:cs="Arial"/>
          <w:szCs w:val="18"/>
        </w:rPr>
        <w:t>验收</w:t>
      </w:r>
      <w:r>
        <w:rPr>
          <w:rFonts w:ascii="黑体" w:hAnsi="黑体" w:cs="Arial"/>
          <w:szCs w:val="18"/>
        </w:rPr>
        <w:t>合格方可出厂。</w:t>
      </w:r>
    </w:p>
    <w:p w14:paraId="3AD26812">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所有</w:t>
      </w:r>
      <w:r>
        <w:rPr>
          <w:rFonts w:ascii="黑体" w:hAnsi="黑体" w:cs="Arial"/>
          <w:szCs w:val="18"/>
        </w:rPr>
        <w:t>产品均适用于</w:t>
      </w:r>
      <w:r>
        <w:rPr>
          <w:rFonts w:hint="eastAsia" w:ascii="黑体" w:hAnsi="黑体" w:cs="Arial"/>
          <w:szCs w:val="18"/>
        </w:rPr>
        <w:t>公司</w:t>
      </w:r>
      <w:r>
        <w:rPr>
          <w:rFonts w:ascii="黑体" w:hAnsi="黑体" w:cs="Arial"/>
          <w:szCs w:val="18"/>
        </w:rPr>
        <w:t>项目</w:t>
      </w:r>
      <w:r>
        <w:rPr>
          <w:rFonts w:hint="eastAsia" w:ascii="黑体" w:hAnsi="黑体" w:cs="Arial"/>
          <w:szCs w:val="18"/>
        </w:rPr>
        <w:t>材料</w:t>
      </w:r>
      <w:r>
        <w:rPr>
          <w:rFonts w:ascii="黑体" w:hAnsi="黑体" w:cs="Arial"/>
          <w:szCs w:val="18"/>
        </w:rPr>
        <w:t>样板先行的</w:t>
      </w:r>
      <w:r>
        <w:rPr>
          <w:rFonts w:hint="eastAsia" w:ascii="黑体" w:hAnsi="黑体" w:cs="Arial"/>
          <w:szCs w:val="18"/>
        </w:rPr>
        <w:t>政策</w:t>
      </w:r>
      <w:r>
        <w:rPr>
          <w:rFonts w:ascii="黑体" w:hAnsi="黑体" w:cs="Arial"/>
          <w:szCs w:val="18"/>
        </w:rPr>
        <w:t>，</w:t>
      </w:r>
      <w:r>
        <w:rPr>
          <w:rFonts w:hint="eastAsia" w:ascii="黑体" w:hAnsi="黑体" w:cs="Arial"/>
          <w:szCs w:val="18"/>
        </w:rPr>
        <w:t>每款产品须先行制作</w:t>
      </w:r>
      <w:r>
        <w:rPr>
          <w:rFonts w:ascii="黑体" w:hAnsi="黑体" w:cs="Arial"/>
          <w:szCs w:val="18"/>
        </w:rPr>
        <w:t>样板，</w:t>
      </w:r>
      <w:r>
        <w:rPr>
          <w:rFonts w:hint="eastAsia" w:ascii="黑体" w:hAnsi="黑体" w:cs="Arial"/>
          <w:szCs w:val="18"/>
        </w:rPr>
        <w:t>按</w:t>
      </w:r>
      <w:r>
        <w:rPr>
          <w:rFonts w:ascii="黑体" w:hAnsi="黑体" w:cs="Arial"/>
          <w:szCs w:val="18"/>
        </w:rPr>
        <w:t>公司流程</w:t>
      </w:r>
      <w:r>
        <w:rPr>
          <w:rFonts w:hint="eastAsia" w:ascii="黑体" w:hAnsi="黑体" w:cs="Arial"/>
          <w:szCs w:val="18"/>
        </w:rPr>
        <w:t>检验</w:t>
      </w:r>
      <w:r>
        <w:rPr>
          <w:rFonts w:ascii="黑体" w:hAnsi="黑体" w:cs="Arial"/>
          <w:szCs w:val="18"/>
        </w:rPr>
        <w:t>合格</w:t>
      </w:r>
      <w:r>
        <w:rPr>
          <w:rFonts w:hint="eastAsia" w:ascii="黑体" w:hAnsi="黑体" w:cs="Arial"/>
          <w:szCs w:val="18"/>
        </w:rPr>
        <w:t>后</w:t>
      </w:r>
      <w:r>
        <w:rPr>
          <w:rFonts w:ascii="黑体" w:hAnsi="黑体" w:cs="Arial"/>
          <w:szCs w:val="18"/>
        </w:rPr>
        <w:t>方可进行生产。</w:t>
      </w:r>
    </w:p>
    <w:p w14:paraId="0B03FE7F">
      <w:pPr>
        <w:autoSpaceDE w:val="0"/>
        <w:autoSpaceDN w:val="0"/>
        <w:adjustRightInd w:val="0"/>
        <w:spacing w:line="360" w:lineRule="auto"/>
        <w:jc w:val="left"/>
        <w:rPr>
          <w:rFonts w:ascii="黑体" w:hAnsi="黑体" w:cs="Arial"/>
          <w:kern w:val="0"/>
          <w:szCs w:val="18"/>
        </w:rPr>
      </w:pPr>
    </w:p>
    <w:p w14:paraId="03B976EC">
      <w:pPr>
        <w:pStyle w:val="49"/>
        <w:numPr>
          <w:ilvl w:val="0"/>
          <w:numId w:val="49"/>
        </w:numPr>
        <w:autoSpaceDE w:val="0"/>
        <w:autoSpaceDN w:val="0"/>
        <w:adjustRightInd w:val="0"/>
        <w:spacing w:line="360" w:lineRule="auto"/>
        <w:ind w:firstLineChars="0"/>
        <w:jc w:val="left"/>
        <w:rPr>
          <w:rFonts w:ascii="黑体" w:hAnsi="黑体" w:cs="Arial"/>
          <w:kern w:val="0"/>
          <w:szCs w:val="18"/>
        </w:rPr>
      </w:pPr>
      <w:r>
        <w:rPr>
          <w:rFonts w:hint="eastAsia" w:ascii="黑体" w:hAnsi="黑体" w:cs="宋体"/>
          <w:b/>
          <w:kern w:val="0"/>
          <w:szCs w:val="18"/>
        </w:rPr>
        <w:t>荷载要求：</w:t>
      </w:r>
    </w:p>
    <w:p w14:paraId="0C463450">
      <w:pPr>
        <w:numPr>
          <w:ilvl w:val="2"/>
          <w:numId w:val="49"/>
        </w:numPr>
        <w:tabs>
          <w:tab w:val="left" w:pos="709"/>
        </w:tabs>
        <w:autoSpaceDE w:val="0"/>
        <w:autoSpaceDN w:val="0"/>
        <w:adjustRightInd w:val="0"/>
        <w:spacing w:line="360" w:lineRule="auto"/>
        <w:jc w:val="left"/>
        <w:rPr>
          <w:rFonts w:ascii="黑体" w:hAnsi="黑体" w:cs="Arial"/>
          <w:b/>
          <w:szCs w:val="18"/>
        </w:rPr>
      </w:pPr>
      <w:r>
        <w:rPr>
          <w:rFonts w:hint="eastAsia" w:ascii="黑体" w:hAnsi="黑体" w:cs="Arial"/>
          <w:b/>
          <w:szCs w:val="18"/>
        </w:rPr>
        <w:t>不同类型栏杆</w:t>
      </w:r>
      <w:r>
        <w:rPr>
          <w:rFonts w:ascii="黑体" w:hAnsi="黑体" w:cs="Arial"/>
          <w:b/>
          <w:szCs w:val="18"/>
        </w:rPr>
        <w:t>均</w:t>
      </w:r>
      <w:r>
        <w:rPr>
          <w:rFonts w:hint="eastAsia" w:ascii="黑体" w:hAnsi="黑体" w:cs="Arial"/>
          <w:b/>
          <w:szCs w:val="18"/>
        </w:rPr>
        <w:t>需</w:t>
      </w:r>
      <w:r>
        <w:rPr>
          <w:rFonts w:ascii="黑体" w:hAnsi="黑体" w:cs="Arial"/>
          <w:b/>
          <w:szCs w:val="18"/>
        </w:rPr>
        <w:t>提供相应计算书供</w:t>
      </w:r>
      <w:r>
        <w:rPr>
          <w:rFonts w:hint="eastAsia" w:ascii="黑体" w:hAnsi="黑体" w:cs="Arial"/>
          <w:b/>
          <w:szCs w:val="18"/>
        </w:rPr>
        <w:t>审核</w:t>
      </w:r>
      <w:r>
        <w:rPr>
          <w:rFonts w:ascii="黑体" w:hAnsi="黑体" w:cs="Arial"/>
          <w:b/>
          <w:szCs w:val="18"/>
        </w:rPr>
        <w:t>，</w:t>
      </w:r>
      <w:r>
        <w:rPr>
          <w:rFonts w:hint="eastAsia" w:ascii="黑体" w:hAnsi="黑体" w:cs="Arial"/>
          <w:b/>
          <w:szCs w:val="18"/>
        </w:rPr>
        <w:t>荷载</w:t>
      </w:r>
      <w:r>
        <w:rPr>
          <w:rFonts w:ascii="黑体" w:hAnsi="黑体" w:cs="Arial"/>
          <w:b/>
          <w:szCs w:val="18"/>
        </w:rPr>
        <w:t>取值</w:t>
      </w:r>
      <w:r>
        <w:rPr>
          <w:rFonts w:hint="eastAsia" w:ascii="黑体" w:hAnsi="黑体" w:cs="Arial"/>
          <w:b/>
          <w:szCs w:val="18"/>
        </w:rPr>
        <w:t>符合</w:t>
      </w:r>
      <w:r>
        <w:rPr>
          <w:rFonts w:ascii="黑体" w:hAnsi="黑体" w:cs="Arial"/>
          <w:b/>
          <w:szCs w:val="18"/>
        </w:rPr>
        <w:t>下</w:t>
      </w:r>
      <w:r>
        <w:rPr>
          <w:rFonts w:hint="eastAsia" w:ascii="黑体" w:hAnsi="黑体" w:cs="Arial"/>
          <w:b/>
          <w:szCs w:val="18"/>
        </w:rPr>
        <w:t>述5.3.2和5.3.3项</w:t>
      </w:r>
      <w:r>
        <w:rPr>
          <w:rFonts w:ascii="黑体" w:hAnsi="黑体" w:cs="Arial"/>
          <w:b/>
          <w:szCs w:val="18"/>
        </w:rPr>
        <w:t>要求</w:t>
      </w:r>
      <w:r>
        <w:rPr>
          <w:rFonts w:hint="eastAsia" w:ascii="黑体" w:hAnsi="黑体" w:cs="Arial"/>
          <w:b/>
          <w:szCs w:val="18"/>
        </w:rPr>
        <w:t>，与</w:t>
      </w:r>
      <w:r>
        <w:rPr>
          <w:rFonts w:ascii="黑体" w:hAnsi="黑体" w:cs="Arial"/>
          <w:b/>
          <w:szCs w:val="18"/>
        </w:rPr>
        <w:t>国家规范</w:t>
      </w:r>
      <w:r>
        <w:rPr>
          <w:rFonts w:hint="eastAsia" w:ascii="黑体" w:hAnsi="黑体" w:cs="Arial"/>
          <w:b/>
          <w:szCs w:val="18"/>
        </w:rPr>
        <w:t>和</w:t>
      </w:r>
      <w:r>
        <w:rPr>
          <w:rFonts w:ascii="黑体" w:hAnsi="黑体" w:cs="Arial"/>
          <w:b/>
          <w:szCs w:val="18"/>
        </w:rPr>
        <w:t>标准相关要求</w:t>
      </w:r>
      <w:r>
        <w:rPr>
          <w:rFonts w:hint="eastAsia" w:ascii="黑体" w:hAnsi="黑体" w:cs="Arial"/>
          <w:b/>
          <w:szCs w:val="18"/>
        </w:rPr>
        <w:t>不符</w:t>
      </w:r>
      <w:r>
        <w:rPr>
          <w:rFonts w:ascii="黑体" w:hAnsi="黑体" w:cs="Arial"/>
          <w:b/>
          <w:szCs w:val="18"/>
        </w:rPr>
        <w:t>的以国家规范</w:t>
      </w:r>
      <w:r>
        <w:rPr>
          <w:rFonts w:hint="eastAsia" w:ascii="黑体" w:hAnsi="黑体" w:cs="Arial"/>
          <w:b/>
          <w:szCs w:val="18"/>
        </w:rPr>
        <w:t>和</w:t>
      </w:r>
      <w:r>
        <w:rPr>
          <w:rFonts w:ascii="黑体" w:hAnsi="黑体" w:cs="Arial"/>
          <w:b/>
          <w:szCs w:val="18"/>
        </w:rPr>
        <w:t>标准为准</w:t>
      </w:r>
      <w:r>
        <w:rPr>
          <w:rFonts w:hint="eastAsia" w:ascii="黑体" w:hAnsi="黑体" w:cs="Arial"/>
          <w:b/>
          <w:szCs w:val="18"/>
        </w:rPr>
        <w:t>。</w:t>
      </w:r>
    </w:p>
    <w:p w14:paraId="0BAAD616">
      <w:pPr>
        <w:numPr>
          <w:ilvl w:val="2"/>
          <w:numId w:val="49"/>
        </w:numPr>
        <w:tabs>
          <w:tab w:val="left" w:pos="709"/>
        </w:tabs>
        <w:autoSpaceDE w:val="0"/>
        <w:autoSpaceDN w:val="0"/>
        <w:adjustRightInd w:val="0"/>
        <w:spacing w:line="360" w:lineRule="auto"/>
        <w:jc w:val="left"/>
        <w:rPr>
          <w:rFonts w:ascii="黑体" w:hAnsi="黑体" w:cs="Arial"/>
          <w:kern w:val="0"/>
          <w:szCs w:val="18"/>
        </w:rPr>
      </w:pPr>
      <w:r>
        <w:rPr>
          <w:rFonts w:ascii="黑体" w:hAnsi="黑体" w:cs="宋体"/>
          <w:b/>
          <w:kern w:val="0"/>
          <w:szCs w:val="18"/>
        </w:rPr>
        <w:t>栏杆设计荷载</w:t>
      </w:r>
      <w:r>
        <w:rPr>
          <w:rFonts w:hint="eastAsia" w:ascii="黑体" w:hAnsi="黑体" w:cs="宋体"/>
          <w:b/>
          <w:kern w:val="0"/>
          <w:szCs w:val="18"/>
        </w:rPr>
        <w:t>：</w:t>
      </w:r>
    </w:p>
    <w:p w14:paraId="1CB7DEF9">
      <w:pPr>
        <w:numPr>
          <w:ilvl w:val="3"/>
          <w:numId w:val="49"/>
        </w:numPr>
        <w:tabs>
          <w:tab w:val="left" w:pos="851"/>
        </w:tabs>
        <w:autoSpaceDE w:val="0"/>
        <w:autoSpaceDN w:val="0"/>
        <w:adjustRightInd w:val="0"/>
        <w:spacing w:line="360" w:lineRule="auto"/>
        <w:jc w:val="left"/>
        <w:rPr>
          <w:rFonts w:ascii="黑体" w:hAnsi="黑体" w:cs="Arial"/>
          <w:kern w:val="0"/>
          <w:szCs w:val="18"/>
        </w:rPr>
      </w:pPr>
      <w:r>
        <w:rPr>
          <w:rFonts w:hint="eastAsia" w:ascii="黑体" w:hAnsi="黑体" w:cs="Arial"/>
          <w:kern w:val="0"/>
          <w:szCs w:val="18"/>
        </w:rPr>
        <w:t>顶部扶手栏杆：栏杆顶部的水平荷载应取值为</w:t>
      </w:r>
      <w:r>
        <w:rPr>
          <w:rFonts w:ascii="黑体" w:hAnsi="黑体" w:cs="Arial"/>
          <w:kern w:val="0"/>
          <w:szCs w:val="18"/>
        </w:rPr>
        <w:t>1.OkN/m,</w:t>
      </w:r>
      <w:r>
        <w:rPr>
          <w:rFonts w:hint="eastAsia" w:ascii="黑体" w:hAnsi="黑体" w:cs="Arial"/>
          <w:kern w:val="0"/>
          <w:szCs w:val="18"/>
        </w:rPr>
        <w:t>竖向荷载取值为</w:t>
      </w:r>
      <w:r>
        <w:rPr>
          <w:rFonts w:ascii="黑体" w:hAnsi="黑体" w:cs="Arial"/>
          <w:kern w:val="0"/>
          <w:szCs w:val="18"/>
        </w:rPr>
        <w:t>1.2kN/m</w:t>
      </w:r>
      <w:r>
        <w:rPr>
          <w:rFonts w:hint="eastAsia" w:ascii="黑体" w:hAnsi="黑体" w:cs="Arial"/>
          <w:kern w:val="0"/>
          <w:szCs w:val="18"/>
        </w:rPr>
        <w:t>，两者不同时</w:t>
      </w:r>
      <w:r>
        <w:rPr>
          <w:rFonts w:ascii="黑体" w:hAnsi="黑体" w:cs="Arial"/>
          <w:kern w:val="0"/>
          <w:szCs w:val="18"/>
        </w:rPr>
        <w:t>考虑。</w:t>
      </w:r>
      <w:r>
        <w:rPr>
          <w:rFonts w:hint="eastAsia" w:ascii="黑体" w:hAnsi="黑体" w:cs="Arial"/>
          <w:kern w:val="0"/>
          <w:szCs w:val="18"/>
        </w:rPr>
        <w:t>跨</w:t>
      </w:r>
      <w:r>
        <w:rPr>
          <w:rFonts w:ascii="黑体" w:hAnsi="黑体" w:cs="Arial"/>
          <w:kern w:val="0"/>
          <w:szCs w:val="18"/>
        </w:rPr>
        <w:t>立</w:t>
      </w:r>
      <w:r>
        <w:rPr>
          <w:rFonts w:hint="eastAsia" w:ascii="黑体" w:hAnsi="黑体" w:cs="Arial"/>
          <w:kern w:val="0"/>
          <w:szCs w:val="18"/>
        </w:rPr>
        <w:t>杆间</w:t>
      </w:r>
      <w:r>
        <w:rPr>
          <w:rFonts w:ascii="黑体" w:hAnsi="黑体" w:cs="Arial"/>
          <w:kern w:val="0"/>
          <w:szCs w:val="18"/>
        </w:rPr>
        <w:t>的</w:t>
      </w:r>
      <w:r>
        <w:rPr>
          <w:rFonts w:hint="eastAsia" w:ascii="黑体" w:hAnsi="黑体" w:cs="Arial"/>
          <w:kern w:val="0"/>
          <w:szCs w:val="18"/>
        </w:rPr>
        <w:t>最大扰度不大于跨度</w:t>
      </w:r>
      <w:r>
        <w:rPr>
          <w:rFonts w:ascii="黑体" w:hAnsi="黑体" w:cs="Arial"/>
          <w:kern w:val="0"/>
          <w:szCs w:val="18"/>
        </w:rPr>
        <w:t>的</w:t>
      </w:r>
      <w:r>
        <w:rPr>
          <w:rFonts w:hint="eastAsia" w:ascii="黑体" w:hAnsi="黑体" w:cs="Arial"/>
          <w:kern w:val="0"/>
          <w:szCs w:val="18"/>
        </w:rPr>
        <w:t>1/</w:t>
      </w:r>
      <w:r>
        <w:rPr>
          <w:rFonts w:ascii="黑体" w:hAnsi="黑体" w:cs="Arial"/>
          <w:kern w:val="0"/>
          <w:szCs w:val="18"/>
        </w:rPr>
        <w:t>250</w:t>
      </w:r>
      <w:r>
        <w:rPr>
          <w:rFonts w:hint="eastAsia" w:ascii="黑体" w:hAnsi="黑体" w:cs="Arial"/>
          <w:kern w:val="0"/>
          <w:szCs w:val="18"/>
        </w:rPr>
        <w:t>。</w:t>
      </w:r>
    </w:p>
    <w:p w14:paraId="28770709">
      <w:pPr>
        <w:numPr>
          <w:ilvl w:val="3"/>
          <w:numId w:val="49"/>
        </w:numPr>
        <w:tabs>
          <w:tab w:val="left" w:pos="851"/>
        </w:tabs>
        <w:autoSpaceDE w:val="0"/>
        <w:autoSpaceDN w:val="0"/>
        <w:adjustRightInd w:val="0"/>
        <w:spacing w:line="360" w:lineRule="auto"/>
        <w:jc w:val="left"/>
        <w:rPr>
          <w:rFonts w:ascii="黑体" w:hAnsi="黑体" w:cs="Arial"/>
          <w:kern w:val="0"/>
          <w:szCs w:val="18"/>
        </w:rPr>
      </w:pPr>
      <w:r>
        <w:rPr>
          <w:rFonts w:hint="eastAsia" w:ascii="黑体" w:hAnsi="黑体" w:cs="Arial"/>
          <w:kern w:val="0"/>
          <w:szCs w:val="18"/>
        </w:rPr>
        <w:t>中间</w:t>
      </w:r>
      <w:r>
        <w:rPr>
          <w:rFonts w:ascii="黑体" w:hAnsi="黑体" w:cs="Arial"/>
          <w:kern w:val="0"/>
          <w:szCs w:val="18"/>
        </w:rPr>
        <w:t>栏杆</w:t>
      </w:r>
      <w:r>
        <w:rPr>
          <w:rFonts w:hint="eastAsia" w:ascii="黑体" w:hAnsi="黑体" w:cs="Arial"/>
          <w:kern w:val="0"/>
          <w:szCs w:val="18"/>
        </w:rPr>
        <w:t>和</w:t>
      </w:r>
      <w:r>
        <w:rPr>
          <w:rFonts w:ascii="黑体" w:hAnsi="黑体" w:cs="Arial"/>
          <w:kern w:val="0"/>
          <w:szCs w:val="18"/>
        </w:rPr>
        <w:t>立杆：</w:t>
      </w:r>
      <w:r>
        <w:rPr>
          <w:rFonts w:hint="eastAsia" w:ascii="黑体" w:hAnsi="黑体" w:cs="Arial"/>
          <w:kern w:val="0"/>
          <w:szCs w:val="18"/>
        </w:rPr>
        <w:t>中点</w:t>
      </w:r>
      <w:r>
        <w:rPr>
          <w:rFonts w:ascii="黑体" w:hAnsi="黑体" w:cs="Arial"/>
          <w:kern w:val="0"/>
          <w:szCs w:val="18"/>
        </w:rPr>
        <w:t>处</w:t>
      </w:r>
      <w:r>
        <w:rPr>
          <w:rFonts w:hint="eastAsia" w:ascii="黑体" w:hAnsi="黑体" w:cs="Arial"/>
          <w:kern w:val="0"/>
          <w:szCs w:val="18"/>
        </w:rPr>
        <w:t>（任意方向）</w:t>
      </w:r>
      <w:r>
        <w:rPr>
          <w:rFonts w:ascii="黑体" w:hAnsi="黑体" w:cs="Arial"/>
          <w:kern w:val="0"/>
          <w:szCs w:val="18"/>
        </w:rPr>
        <w:t>承受</w:t>
      </w:r>
      <w:r>
        <w:rPr>
          <w:rFonts w:hint="eastAsia" w:ascii="黑体" w:hAnsi="黑体" w:cs="Arial"/>
          <w:kern w:val="0"/>
          <w:szCs w:val="18"/>
        </w:rPr>
        <w:t>不小于0.</w:t>
      </w:r>
      <w:r>
        <w:rPr>
          <w:rFonts w:ascii="黑体" w:hAnsi="黑体" w:cs="Arial"/>
          <w:kern w:val="0"/>
          <w:szCs w:val="18"/>
        </w:rPr>
        <w:t>7kN/m</w:t>
      </w:r>
      <w:r>
        <w:rPr>
          <w:rFonts w:hint="eastAsia" w:ascii="黑体" w:hAnsi="黑体" w:cs="Arial"/>
          <w:kern w:val="0"/>
          <w:szCs w:val="18"/>
        </w:rPr>
        <w:t>集中</w:t>
      </w:r>
      <w:r>
        <w:rPr>
          <w:rFonts w:ascii="黑体" w:hAnsi="黑体" w:cs="Arial"/>
          <w:kern w:val="0"/>
          <w:szCs w:val="18"/>
        </w:rPr>
        <w:t>荷载</w:t>
      </w:r>
      <w:r>
        <w:rPr>
          <w:rFonts w:hint="eastAsia" w:ascii="黑体" w:hAnsi="黑体" w:cs="Arial"/>
          <w:kern w:val="0"/>
          <w:szCs w:val="18"/>
        </w:rPr>
        <w:t>，最大扰度不大于7</w:t>
      </w:r>
      <w:r>
        <w:rPr>
          <w:rFonts w:ascii="黑体" w:hAnsi="黑体" w:cs="Arial"/>
          <w:kern w:val="0"/>
          <w:szCs w:val="18"/>
        </w:rPr>
        <w:t>5mm。</w:t>
      </w:r>
    </w:p>
    <w:p w14:paraId="6C166BE1">
      <w:pPr>
        <w:numPr>
          <w:ilvl w:val="3"/>
          <w:numId w:val="49"/>
        </w:numPr>
        <w:tabs>
          <w:tab w:val="left" w:pos="851"/>
        </w:tabs>
        <w:autoSpaceDE w:val="0"/>
        <w:autoSpaceDN w:val="0"/>
        <w:adjustRightInd w:val="0"/>
        <w:spacing w:line="360" w:lineRule="auto"/>
        <w:jc w:val="left"/>
        <w:rPr>
          <w:rFonts w:ascii="黑体" w:hAnsi="黑体" w:cs="Arial"/>
          <w:kern w:val="0"/>
          <w:szCs w:val="18"/>
        </w:rPr>
      </w:pPr>
      <w:r>
        <w:rPr>
          <w:rFonts w:hint="eastAsia" w:ascii="黑体" w:hAnsi="黑体" w:cs="Arial"/>
          <w:kern w:val="0"/>
          <w:szCs w:val="18"/>
        </w:rPr>
        <w:t>端部</w:t>
      </w:r>
      <w:r>
        <w:rPr>
          <w:rFonts w:ascii="黑体" w:hAnsi="黑体" w:cs="Arial"/>
          <w:kern w:val="0"/>
          <w:szCs w:val="18"/>
        </w:rPr>
        <w:t>立杆</w:t>
      </w:r>
      <w:r>
        <w:rPr>
          <w:rFonts w:hint="eastAsia" w:ascii="黑体" w:hAnsi="黑体" w:cs="Arial"/>
          <w:kern w:val="0"/>
          <w:szCs w:val="18"/>
        </w:rPr>
        <w:t>：顶部（任意方向）</w:t>
      </w:r>
      <w:r>
        <w:rPr>
          <w:rFonts w:ascii="黑体" w:hAnsi="黑体" w:cs="Arial"/>
          <w:kern w:val="0"/>
          <w:szCs w:val="18"/>
        </w:rPr>
        <w:t>承受</w:t>
      </w:r>
      <w:r>
        <w:rPr>
          <w:rFonts w:hint="eastAsia" w:ascii="黑体" w:hAnsi="黑体" w:cs="Arial"/>
          <w:kern w:val="0"/>
          <w:szCs w:val="18"/>
        </w:rPr>
        <w:t>不小于</w:t>
      </w:r>
      <w:r>
        <w:rPr>
          <w:rFonts w:ascii="黑体" w:hAnsi="黑体" w:cs="Arial"/>
          <w:kern w:val="0"/>
          <w:szCs w:val="18"/>
        </w:rPr>
        <w:t>1.0kN/m</w:t>
      </w:r>
      <w:r>
        <w:rPr>
          <w:rFonts w:hint="eastAsia" w:ascii="黑体" w:hAnsi="黑体" w:cs="Arial"/>
          <w:kern w:val="0"/>
          <w:szCs w:val="18"/>
        </w:rPr>
        <w:t>集中</w:t>
      </w:r>
      <w:r>
        <w:rPr>
          <w:rFonts w:ascii="黑体" w:hAnsi="黑体" w:cs="Arial"/>
          <w:kern w:val="0"/>
          <w:szCs w:val="18"/>
        </w:rPr>
        <w:t>荷载</w:t>
      </w:r>
      <w:r>
        <w:rPr>
          <w:rFonts w:hint="eastAsia" w:ascii="黑体" w:hAnsi="黑体" w:cs="Arial"/>
          <w:kern w:val="0"/>
          <w:szCs w:val="18"/>
        </w:rPr>
        <w:t>。</w:t>
      </w:r>
    </w:p>
    <w:p w14:paraId="10D7D824">
      <w:pPr>
        <w:numPr>
          <w:ilvl w:val="3"/>
          <w:numId w:val="49"/>
        </w:numPr>
        <w:tabs>
          <w:tab w:val="left" w:pos="851"/>
        </w:tabs>
        <w:autoSpaceDE w:val="0"/>
        <w:autoSpaceDN w:val="0"/>
        <w:adjustRightInd w:val="0"/>
        <w:spacing w:line="360" w:lineRule="auto"/>
        <w:jc w:val="left"/>
        <w:rPr>
          <w:rFonts w:ascii="黑体" w:hAnsi="黑体" w:cs="Arial"/>
          <w:kern w:val="0"/>
          <w:szCs w:val="18"/>
        </w:rPr>
      </w:pPr>
      <w:r>
        <w:rPr>
          <w:rFonts w:hint="eastAsia" w:ascii="黑体" w:hAnsi="黑体" w:cs="Arial"/>
          <w:kern w:val="0"/>
          <w:szCs w:val="18"/>
        </w:rPr>
        <w:t>中小学校的上人屋面、外廊、楼梯、平台、阳台等临空部位必须设防护栏杆，防护栏杆高度不应低于</w:t>
      </w:r>
      <w:r>
        <w:rPr>
          <w:rFonts w:ascii="黑体" w:hAnsi="黑体" w:cs="Arial"/>
          <w:kern w:val="0"/>
          <w:szCs w:val="18"/>
        </w:rPr>
        <w:t>1.1m</w:t>
      </w:r>
      <w:r>
        <w:rPr>
          <w:rFonts w:hint="eastAsia" w:ascii="黑体" w:hAnsi="黑体" w:cs="Arial"/>
          <w:kern w:val="0"/>
          <w:szCs w:val="18"/>
        </w:rPr>
        <w:t>（托儿所、</w:t>
      </w:r>
      <w:r>
        <w:rPr>
          <w:rFonts w:ascii="黑体" w:hAnsi="黑体" w:cs="Arial"/>
          <w:kern w:val="0"/>
          <w:szCs w:val="18"/>
        </w:rPr>
        <w:t>幼儿园</w:t>
      </w:r>
      <w:r>
        <w:rPr>
          <w:rFonts w:hint="eastAsia" w:ascii="黑体" w:hAnsi="黑体" w:cs="Arial"/>
          <w:kern w:val="0"/>
          <w:szCs w:val="18"/>
        </w:rPr>
        <w:t>不低于1.2</w:t>
      </w:r>
      <w:r>
        <w:rPr>
          <w:rFonts w:ascii="黑体" w:hAnsi="黑体" w:cs="Arial"/>
          <w:kern w:val="0"/>
          <w:szCs w:val="18"/>
        </w:rPr>
        <w:t>m</w:t>
      </w:r>
      <w:r>
        <w:rPr>
          <w:rFonts w:hint="eastAsia" w:ascii="黑体" w:hAnsi="黑体" w:cs="Arial"/>
          <w:kern w:val="0"/>
          <w:szCs w:val="18"/>
        </w:rPr>
        <w:t>）。防护栏杆最薄弱处承受的最小水平推力应不小于</w:t>
      </w:r>
      <w:r>
        <w:rPr>
          <w:rFonts w:ascii="黑体" w:hAnsi="黑体" w:cs="Arial"/>
          <w:kern w:val="0"/>
          <w:szCs w:val="18"/>
        </w:rPr>
        <w:t>1.5kN/m</w:t>
      </w:r>
      <w:r>
        <w:rPr>
          <w:rFonts w:hint="eastAsia" w:ascii="黑体" w:hAnsi="黑体" w:cs="Arial"/>
          <w:kern w:val="0"/>
          <w:szCs w:val="18"/>
        </w:rPr>
        <w:t>。</w:t>
      </w:r>
    </w:p>
    <w:p w14:paraId="4B521A9F">
      <w:pPr>
        <w:autoSpaceDE w:val="0"/>
        <w:autoSpaceDN w:val="0"/>
        <w:adjustRightInd w:val="0"/>
        <w:spacing w:line="360" w:lineRule="auto"/>
        <w:jc w:val="left"/>
        <w:rPr>
          <w:rFonts w:ascii="黑体" w:hAnsi="黑体" w:cs="Arial"/>
          <w:kern w:val="0"/>
          <w:szCs w:val="18"/>
        </w:rPr>
      </w:pPr>
    </w:p>
    <w:p w14:paraId="66427F37">
      <w:pPr>
        <w:numPr>
          <w:ilvl w:val="2"/>
          <w:numId w:val="49"/>
        </w:numPr>
        <w:tabs>
          <w:tab w:val="left" w:pos="709"/>
        </w:tabs>
        <w:autoSpaceDE w:val="0"/>
        <w:autoSpaceDN w:val="0"/>
        <w:adjustRightInd w:val="0"/>
        <w:spacing w:line="360" w:lineRule="auto"/>
        <w:jc w:val="left"/>
        <w:rPr>
          <w:rFonts w:ascii="黑体" w:hAnsi="黑体"/>
          <w:b/>
          <w:szCs w:val="18"/>
        </w:rPr>
      </w:pPr>
      <w:r>
        <w:rPr>
          <w:rFonts w:hint="eastAsia" w:ascii="黑体" w:hAnsi="黑体"/>
          <w:b/>
          <w:szCs w:val="18"/>
        </w:rPr>
        <w:t>围栏</w:t>
      </w:r>
      <w:r>
        <w:rPr>
          <w:rFonts w:ascii="黑体" w:hAnsi="黑体"/>
          <w:b/>
          <w:szCs w:val="18"/>
        </w:rPr>
        <w:t>和大门设计荷载</w:t>
      </w:r>
      <w:r>
        <w:rPr>
          <w:rFonts w:hint="eastAsia" w:ascii="黑体" w:hAnsi="黑体"/>
          <w:b/>
          <w:szCs w:val="18"/>
        </w:rPr>
        <w:t>：</w:t>
      </w:r>
    </w:p>
    <w:p w14:paraId="3E722443">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 xml:space="preserve"> 设计荷载应</w:t>
      </w:r>
      <w:r>
        <w:rPr>
          <w:rFonts w:ascii="黑体" w:hAnsi="黑体"/>
          <w:szCs w:val="18"/>
        </w:rPr>
        <w:t>按</w:t>
      </w:r>
      <w:r>
        <w:rPr>
          <w:rFonts w:hint="eastAsia" w:ascii="黑体" w:hAnsi="黑体"/>
          <w:szCs w:val="18"/>
        </w:rPr>
        <w:t>使用场所</w:t>
      </w:r>
      <w:r>
        <w:rPr>
          <w:rFonts w:ascii="黑体" w:hAnsi="黑体"/>
          <w:szCs w:val="18"/>
        </w:rPr>
        <w:t>实际</w:t>
      </w:r>
      <w:r>
        <w:rPr>
          <w:rFonts w:hint="eastAsia" w:ascii="黑体" w:hAnsi="黑体"/>
          <w:szCs w:val="18"/>
        </w:rPr>
        <w:t>使用</w:t>
      </w:r>
      <w:r>
        <w:rPr>
          <w:rFonts w:ascii="黑体" w:hAnsi="黑体"/>
          <w:szCs w:val="18"/>
        </w:rPr>
        <w:t>情况</w:t>
      </w:r>
      <w:r>
        <w:rPr>
          <w:rFonts w:hint="eastAsia" w:ascii="黑体" w:hAnsi="黑体"/>
          <w:szCs w:val="18"/>
        </w:rPr>
        <w:t>合理确定，并</w:t>
      </w:r>
      <w:r>
        <w:rPr>
          <w:rFonts w:ascii="黑体" w:hAnsi="黑体"/>
          <w:szCs w:val="18"/>
        </w:rPr>
        <w:t>不低于设计</w:t>
      </w:r>
      <w:r>
        <w:rPr>
          <w:rFonts w:hint="eastAsia" w:ascii="黑体" w:hAnsi="黑体"/>
          <w:szCs w:val="18"/>
        </w:rPr>
        <w:t>交付</w:t>
      </w:r>
      <w:r>
        <w:rPr>
          <w:rFonts w:ascii="黑体" w:hAnsi="黑体"/>
          <w:szCs w:val="18"/>
        </w:rPr>
        <w:t>标准的规定。</w:t>
      </w:r>
    </w:p>
    <w:p w14:paraId="3E0FF2A2">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 xml:space="preserve"> 除特殊</w:t>
      </w:r>
      <w:r>
        <w:rPr>
          <w:rFonts w:ascii="黑体" w:hAnsi="黑体"/>
          <w:szCs w:val="18"/>
        </w:rPr>
        <w:t>说明外，</w:t>
      </w:r>
      <w:r>
        <w:rPr>
          <w:rFonts w:hint="eastAsia" w:ascii="黑体" w:hAnsi="黑体"/>
          <w:szCs w:val="18"/>
        </w:rPr>
        <w:t>围栏和</w:t>
      </w:r>
      <w:r>
        <w:rPr>
          <w:rFonts w:ascii="黑体" w:hAnsi="黑体"/>
          <w:szCs w:val="18"/>
        </w:rPr>
        <w:t>大门设计荷载要求同</w:t>
      </w:r>
      <w:r>
        <w:rPr>
          <w:rFonts w:hint="eastAsia" w:ascii="黑体" w:hAnsi="黑体"/>
          <w:szCs w:val="18"/>
        </w:rPr>
        <w:t>楼梯</w:t>
      </w:r>
      <w:r>
        <w:rPr>
          <w:rFonts w:ascii="黑体" w:hAnsi="黑体"/>
          <w:szCs w:val="18"/>
        </w:rPr>
        <w:t>栏杆。</w:t>
      </w:r>
    </w:p>
    <w:p w14:paraId="4174A7A6">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 xml:space="preserve"> 竖向和</w:t>
      </w:r>
      <w:r>
        <w:rPr>
          <w:rFonts w:ascii="黑体" w:hAnsi="黑体"/>
          <w:szCs w:val="18"/>
        </w:rPr>
        <w:t>水平杆件的</w:t>
      </w:r>
      <w:r>
        <w:rPr>
          <w:rFonts w:hint="eastAsia" w:ascii="黑体" w:hAnsi="黑体"/>
          <w:szCs w:val="18"/>
        </w:rPr>
        <w:t>最大扰度均不大于跨度</w:t>
      </w:r>
      <w:r>
        <w:rPr>
          <w:rFonts w:ascii="黑体" w:hAnsi="黑体"/>
          <w:szCs w:val="18"/>
        </w:rPr>
        <w:t>的</w:t>
      </w:r>
      <w:r>
        <w:rPr>
          <w:rFonts w:hint="eastAsia" w:ascii="黑体" w:hAnsi="黑体"/>
          <w:szCs w:val="18"/>
        </w:rPr>
        <w:t>1/</w:t>
      </w:r>
      <w:r>
        <w:rPr>
          <w:rFonts w:ascii="黑体" w:hAnsi="黑体"/>
          <w:szCs w:val="18"/>
        </w:rPr>
        <w:t>250</w:t>
      </w:r>
      <w:r>
        <w:rPr>
          <w:rFonts w:hint="eastAsia" w:ascii="黑体" w:hAnsi="黑体"/>
          <w:szCs w:val="18"/>
        </w:rPr>
        <w:t>。</w:t>
      </w:r>
    </w:p>
    <w:p w14:paraId="5C6000E5">
      <w:pPr>
        <w:autoSpaceDE w:val="0"/>
        <w:autoSpaceDN w:val="0"/>
        <w:adjustRightInd w:val="0"/>
        <w:spacing w:line="360" w:lineRule="auto"/>
        <w:jc w:val="left"/>
        <w:rPr>
          <w:rFonts w:ascii="黑体" w:hAnsi="黑体" w:cs="宋体"/>
          <w:kern w:val="0"/>
          <w:szCs w:val="18"/>
        </w:rPr>
      </w:pPr>
    </w:p>
    <w:p w14:paraId="4A8F2422">
      <w:pPr>
        <w:pStyle w:val="49"/>
        <w:numPr>
          <w:ilvl w:val="0"/>
          <w:numId w:val="49"/>
        </w:numPr>
        <w:autoSpaceDE w:val="0"/>
        <w:autoSpaceDN w:val="0"/>
        <w:adjustRightInd w:val="0"/>
        <w:spacing w:line="360" w:lineRule="auto"/>
        <w:ind w:firstLineChars="0"/>
        <w:jc w:val="left"/>
        <w:rPr>
          <w:rFonts w:ascii="黑体" w:hAnsi="黑体" w:cs="宋体"/>
          <w:b/>
          <w:kern w:val="0"/>
          <w:szCs w:val="18"/>
        </w:rPr>
      </w:pPr>
      <w:r>
        <w:rPr>
          <w:rFonts w:hint="eastAsia" w:ascii="黑体" w:hAnsi="黑体" w:cs="宋体"/>
          <w:b/>
          <w:kern w:val="0"/>
          <w:szCs w:val="18"/>
        </w:rPr>
        <w:t>材料</w:t>
      </w:r>
      <w:r>
        <w:rPr>
          <w:rFonts w:ascii="黑体" w:hAnsi="黑体" w:cs="宋体"/>
          <w:b/>
          <w:kern w:val="0"/>
          <w:szCs w:val="18"/>
        </w:rPr>
        <w:t>选用要求</w:t>
      </w:r>
      <w:r>
        <w:rPr>
          <w:rFonts w:hint="eastAsia" w:ascii="黑体" w:hAnsi="黑体" w:cs="宋体"/>
          <w:b/>
          <w:kern w:val="0"/>
          <w:szCs w:val="18"/>
        </w:rPr>
        <w:t>：</w:t>
      </w:r>
    </w:p>
    <w:p w14:paraId="71DD3BCC">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本标准选用</w:t>
      </w:r>
      <w:r>
        <w:rPr>
          <w:rFonts w:ascii="黑体" w:hAnsi="黑体"/>
          <w:szCs w:val="18"/>
        </w:rPr>
        <w:t>材质</w:t>
      </w:r>
      <w:r>
        <w:rPr>
          <w:rFonts w:hint="eastAsia" w:ascii="黑体" w:hAnsi="黑体"/>
          <w:szCs w:val="18"/>
        </w:rPr>
        <w:t>包括：钢材</w:t>
      </w:r>
      <w:r>
        <w:rPr>
          <w:rFonts w:ascii="黑体" w:hAnsi="黑体"/>
          <w:szCs w:val="18"/>
        </w:rPr>
        <w:t>（</w:t>
      </w:r>
      <w:r>
        <w:rPr>
          <w:rFonts w:hint="eastAsia" w:ascii="黑体" w:hAnsi="黑体"/>
          <w:szCs w:val="18"/>
        </w:rPr>
        <w:t>铁艺</w:t>
      </w:r>
      <w:r>
        <w:rPr>
          <w:rFonts w:ascii="黑体" w:hAnsi="黑体"/>
          <w:szCs w:val="18"/>
        </w:rPr>
        <w:t>）</w:t>
      </w:r>
      <w:r>
        <w:rPr>
          <w:rFonts w:hint="eastAsia" w:ascii="黑体" w:hAnsi="黑体"/>
          <w:szCs w:val="18"/>
        </w:rPr>
        <w:t>、不锈钢、铝材</w:t>
      </w:r>
      <w:r>
        <w:rPr>
          <w:rFonts w:ascii="黑体" w:hAnsi="黑体"/>
          <w:szCs w:val="18"/>
        </w:rPr>
        <w:t>、</w:t>
      </w:r>
      <w:r>
        <w:rPr>
          <w:rFonts w:hint="eastAsia" w:ascii="黑体" w:hAnsi="黑体"/>
          <w:szCs w:val="18"/>
        </w:rPr>
        <w:t>铜艺、金属网、玻璃、合金材料等各类材质。</w:t>
      </w:r>
    </w:p>
    <w:p w14:paraId="74BAA208">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本标准所有钢</w:t>
      </w:r>
      <w:r>
        <w:rPr>
          <w:rFonts w:ascii="黑体" w:hAnsi="黑体" w:cs="Arial"/>
          <w:szCs w:val="18"/>
        </w:rPr>
        <w:t>构件</w:t>
      </w:r>
      <w:r>
        <w:rPr>
          <w:rFonts w:hint="eastAsia" w:ascii="黑体" w:hAnsi="黑体" w:cs="Arial"/>
          <w:szCs w:val="18"/>
        </w:rPr>
        <w:t>采用</w:t>
      </w:r>
      <w:r>
        <w:rPr>
          <w:rFonts w:ascii="黑体" w:hAnsi="黑体" w:cs="Arial"/>
          <w:szCs w:val="18"/>
        </w:rPr>
        <w:t>钢材</w:t>
      </w:r>
      <w:r>
        <w:rPr>
          <w:rFonts w:hint="eastAsia" w:ascii="黑体" w:hAnsi="黑体" w:cs="Arial"/>
          <w:szCs w:val="18"/>
        </w:rPr>
        <w:t>均</w:t>
      </w:r>
      <w:r>
        <w:rPr>
          <w:rFonts w:ascii="黑体" w:hAnsi="黑体" w:cs="Arial"/>
          <w:szCs w:val="18"/>
        </w:rPr>
        <w:t>不应</w:t>
      </w:r>
      <w:r>
        <w:rPr>
          <w:rFonts w:hint="eastAsia" w:ascii="黑体" w:hAnsi="黑体" w:cs="Arial"/>
          <w:szCs w:val="18"/>
        </w:rPr>
        <w:t>低于Q</w:t>
      </w:r>
      <w:r>
        <w:rPr>
          <w:rFonts w:ascii="黑体" w:hAnsi="黑体" w:cs="Arial"/>
          <w:szCs w:val="18"/>
        </w:rPr>
        <w:t>235B</w:t>
      </w:r>
      <w:r>
        <w:rPr>
          <w:rFonts w:hint="eastAsia" w:ascii="黑体" w:hAnsi="黑体" w:cs="Arial"/>
          <w:szCs w:val="18"/>
        </w:rPr>
        <w:t>，</w:t>
      </w:r>
      <w:r>
        <w:rPr>
          <w:rFonts w:ascii="黑体" w:hAnsi="黑体" w:cs="Arial"/>
          <w:szCs w:val="18"/>
        </w:rPr>
        <w:t>并具有碳含量合格保证。</w:t>
      </w:r>
      <w:r>
        <w:rPr>
          <w:rFonts w:hint="eastAsia" w:ascii="黑体" w:hAnsi="黑体" w:cs="Arial"/>
          <w:szCs w:val="18"/>
        </w:rPr>
        <w:t>须选用冷拉型材，不得选用热轧材料。当立柱材质为</w:t>
      </w:r>
      <w:r>
        <w:rPr>
          <w:rFonts w:ascii="黑体" w:hAnsi="黑体" w:cs="Arial"/>
          <w:szCs w:val="18"/>
        </w:rPr>
        <w:t>Q235B</w:t>
      </w:r>
      <w:r>
        <w:rPr>
          <w:rFonts w:hint="eastAsia" w:ascii="黑体" w:hAnsi="黑体" w:cs="Arial"/>
          <w:szCs w:val="18"/>
        </w:rPr>
        <w:t>（</w:t>
      </w:r>
      <w:r>
        <w:rPr>
          <w:rFonts w:ascii="黑体" w:hAnsi="黑体" w:cs="Arial"/>
          <w:szCs w:val="18"/>
        </w:rPr>
        <w:t>HPB300</w:t>
      </w:r>
      <w:r>
        <w:rPr>
          <w:rFonts w:hint="eastAsia" w:ascii="黑体" w:hAnsi="黑体" w:cs="Arial"/>
          <w:szCs w:val="18"/>
        </w:rPr>
        <w:t>）时，焊条用</w:t>
      </w:r>
      <w:r>
        <w:rPr>
          <w:rFonts w:ascii="黑体" w:hAnsi="黑体" w:cs="Arial"/>
          <w:szCs w:val="18"/>
        </w:rPr>
        <w:t>E43</w:t>
      </w:r>
      <w:r>
        <w:rPr>
          <w:rFonts w:hint="eastAsia" w:ascii="黑体" w:hAnsi="黑体" w:cs="Arial"/>
          <w:szCs w:val="18"/>
        </w:rPr>
        <w:t>型。</w:t>
      </w:r>
    </w:p>
    <w:p w14:paraId="538300CA">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优质碳素结构钢、碳素结构钢和低合金结构钢应分别符合《优质碳素结构钢》</w:t>
      </w:r>
      <w:r>
        <w:rPr>
          <w:rFonts w:ascii="黑体" w:hAnsi="黑体" w:cs="Arial"/>
          <w:szCs w:val="18"/>
        </w:rPr>
        <w:t>GB/T699</w:t>
      </w:r>
      <w:r>
        <w:rPr>
          <w:rFonts w:hint="eastAsia" w:ascii="黑体" w:hAnsi="黑体" w:cs="Arial"/>
          <w:szCs w:val="18"/>
        </w:rPr>
        <w:t>、《碳素结构钢》</w:t>
      </w:r>
      <w:r>
        <w:rPr>
          <w:rFonts w:ascii="黑体" w:hAnsi="黑体" w:cs="Arial"/>
          <w:szCs w:val="18"/>
        </w:rPr>
        <w:t>GB/H00</w:t>
      </w:r>
      <w:r>
        <w:rPr>
          <w:rFonts w:hint="eastAsia" w:ascii="黑体" w:hAnsi="黑体" w:cs="Arial"/>
          <w:szCs w:val="18"/>
        </w:rPr>
        <w:t>和</w:t>
      </w:r>
      <w:r>
        <w:rPr>
          <w:rFonts w:ascii="黑体" w:hAnsi="黑体" w:cs="Arial"/>
          <w:szCs w:val="18"/>
        </w:rPr>
        <w:t xml:space="preserve"> </w:t>
      </w:r>
      <w:r>
        <w:rPr>
          <w:rFonts w:hint="eastAsia" w:ascii="黑体" w:hAnsi="黑体" w:cs="Arial"/>
          <w:szCs w:val="18"/>
        </w:rPr>
        <w:t>《低合金高强度结构钢》</w:t>
      </w:r>
      <w:r>
        <w:rPr>
          <w:rFonts w:ascii="黑体" w:hAnsi="黑体" w:cs="Arial"/>
          <w:szCs w:val="18"/>
        </w:rPr>
        <w:t>GB/T1591</w:t>
      </w:r>
      <w:r>
        <w:rPr>
          <w:rFonts w:hint="eastAsia" w:ascii="黑体" w:hAnsi="黑体" w:cs="Arial"/>
          <w:szCs w:val="18"/>
        </w:rPr>
        <w:t>的有关规定。</w:t>
      </w:r>
    </w:p>
    <w:p w14:paraId="5A3AE5DF">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铝合金产品材质选用氧化或电泳后的</w:t>
      </w:r>
      <w:r>
        <w:rPr>
          <w:rFonts w:ascii="黑体" w:hAnsi="黑体" w:cs="Arial"/>
          <w:szCs w:val="18"/>
        </w:rPr>
        <w:t>6063</w:t>
      </w:r>
      <w:r>
        <w:rPr>
          <w:rFonts w:hint="eastAsia" w:ascii="黑体" w:hAnsi="黑体" w:cs="Arial"/>
          <w:szCs w:val="18"/>
        </w:rPr>
        <w:t>铝型材，具有较强的抗氧化性和强度。</w:t>
      </w:r>
    </w:p>
    <w:p w14:paraId="6B2D4BD6">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不锈钢材料宜采用奥氏体型不锈钢，</w:t>
      </w:r>
      <w:r>
        <w:rPr>
          <w:rFonts w:hint="eastAsia" w:ascii="黑体" w:hAnsi="黑体"/>
          <w:szCs w:val="18"/>
        </w:rPr>
        <w:t>等级</w:t>
      </w:r>
      <w:r>
        <w:rPr>
          <w:rFonts w:ascii="黑体" w:hAnsi="黑体"/>
          <w:szCs w:val="18"/>
        </w:rPr>
        <w:t>不低于</w:t>
      </w:r>
      <w:r>
        <w:rPr>
          <w:rFonts w:hint="eastAsia" w:ascii="黑体" w:hAnsi="黑体"/>
          <w:szCs w:val="18"/>
        </w:rPr>
        <w:t>SUS</w:t>
      </w:r>
      <w:r>
        <w:rPr>
          <w:rFonts w:ascii="黑体" w:hAnsi="黑体"/>
          <w:szCs w:val="18"/>
        </w:rPr>
        <w:t>304</w:t>
      </w:r>
      <w:r>
        <w:rPr>
          <w:rFonts w:hint="eastAsia" w:ascii="黑体" w:hAnsi="黑体"/>
          <w:szCs w:val="18"/>
        </w:rPr>
        <w:t>，</w:t>
      </w:r>
      <w:r>
        <w:rPr>
          <w:rFonts w:hint="eastAsia" w:ascii="黑体" w:hAnsi="黑体" w:cs="Arial"/>
          <w:szCs w:val="18"/>
        </w:rPr>
        <w:t>其化学成份应符合</w:t>
      </w:r>
      <w:r>
        <w:rPr>
          <w:rFonts w:ascii="黑体" w:hAnsi="黑体" w:cs="Arial"/>
          <w:szCs w:val="18"/>
        </w:rPr>
        <w:t xml:space="preserve"> </w:t>
      </w:r>
      <w:r>
        <w:rPr>
          <w:rFonts w:hint="eastAsia" w:ascii="黑体" w:hAnsi="黑体" w:cs="Arial"/>
          <w:szCs w:val="18"/>
        </w:rPr>
        <w:t>《不锈钢和耐热钢牌号及化学成分》</w:t>
      </w:r>
      <w:r>
        <w:rPr>
          <w:rFonts w:ascii="黑体" w:hAnsi="黑体" w:cs="Arial"/>
          <w:szCs w:val="18"/>
        </w:rPr>
        <w:t>GB/T20878</w:t>
      </w:r>
      <w:r>
        <w:rPr>
          <w:rFonts w:hint="eastAsia" w:ascii="黑体" w:hAnsi="黑体" w:cs="Arial"/>
          <w:szCs w:val="18"/>
        </w:rPr>
        <w:t>的相关要求。</w:t>
      </w:r>
      <w:r>
        <w:rPr>
          <w:rFonts w:ascii="黑体" w:hAnsi="黑体" w:cs="Arial"/>
          <w:szCs w:val="18"/>
        </w:rPr>
        <w:t xml:space="preserve"> </w:t>
      </w:r>
      <w:r>
        <w:rPr>
          <w:rFonts w:ascii="黑体" w:hAnsi="黑体" w:cs="Arial"/>
          <w:b/>
          <w:szCs w:val="18"/>
        </w:rPr>
        <w:t xml:space="preserve"> </w:t>
      </w:r>
    </w:p>
    <w:p w14:paraId="3E58AED1">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木扶手宜选用优质硬木，并选用同一树种的木材加工，其含水率一般为</w:t>
      </w:r>
      <w:r>
        <w:rPr>
          <w:rFonts w:ascii="黑体" w:hAnsi="黑体" w:cs="Arial"/>
          <w:szCs w:val="18"/>
        </w:rPr>
        <w:t>8 % ~18%</w:t>
      </w:r>
      <w:r>
        <w:rPr>
          <w:rFonts w:hint="eastAsia" w:ascii="黑体" w:hAnsi="黑体" w:cs="Arial"/>
          <w:szCs w:val="18"/>
        </w:rPr>
        <w:t>，确保产品加工后无开裂、无变形等质量缺陷。</w:t>
      </w:r>
    </w:p>
    <w:p w14:paraId="632546A9">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材料表面</w:t>
      </w:r>
      <w:r>
        <w:rPr>
          <w:rFonts w:ascii="黑体" w:hAnsi="黑体" w:cs="Arial"/>
          <w:szCs w:val="18"/>
        </w:rPr>
        <w:t>处理：</w:t>
      </w:r>
    </w:p>
    <w:p w14:paraId="03CACC58">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不锈钢产品表面可采用拉丝、亚光、镜面、电镀（镀钛金、玫瑰金、黑钛等）、粉末静电喷涂等加工工艺。</w:t>
      </w:r>
    </w:p>
    <w:p w14:paraId="625D5675">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铝合金产品表面可采用电镀、电泳、钝化打砂、粉末静电喷涂等加工工艺。</w:t>
      </w:r>
    </w:p>
    <w:p w14:paraId="1E4F7E0B">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碳钢（铁艺）产品表面可采用粉末静电喷涂、喷涂氟碳漆等防锈的加工工艺。室外环境下的产品在表面喷涂之前须进行内外热浸（镀）锌处理，双面锌</w:t>
      </w:r>
      <w:r>
        <w:rPr>
          <w:rFonts w:ascii="黑体" w:hAnsi="黑体"/>
          <w:szCs w:val="18"/>
        </w:rPr>
        <w:t>层</w:t>
      </w:r>
      <w:r>
        <w:rPr>
          <w:rFonts w:hint="eastAsia" w:ascii="黑体" w:hAnsi="黑体"/>
          <w:szCs w:val="18"/>
        </w:rPr>
        <w:t>厚度</w:t>
      </w:r>
      <w:r>
        <w:rPr>
          <w:rFonts w:ascii="黑体" w:hAnsi="黑体"/>
          <w:szCs w:val="18"/>
        </w:rPr>
        <w:t>均不低于</w:t>
      </w:r>
      <w:r>
        <w:rPr>
          <w:rFonts w:hint="eastAsia" w:ascii="黑体" w:hAnsi="黑体"/>
          <w:szCs w:val="18"/>
        </w:rPr>
        <w:t>50μm，以确保底层的防锈处理。</w:t>
      </w:r>
    </w:p>
    <w:p w14:paraId="229062E3">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表面涂层</w:t>
      </w:r>
      <w:r>
        <w:rPr>
          <w:rFonts w:ascii="黑体" w:hAnsi="黑体"/>
          <w:szCs w:val="18"/>
        </w:rPr>
        <w:t>要求</w:t>
      </w:r>
      <w:r>
        <w:rPr>
          <w:rFonts w:hint="eastAsia" w:ascii="黑体" w:hAnsi="黑体"/>
          <w:szCs w:val="18"/>
        </w:rPr>
        <w:t>原则上</w:t>
      </w:r>
      <w:r>
        <w:rPr>
          <w:rFonts w:ascii="黑体" w:hAnsi="黑体"/>
          <w:szCs w:val="18"/>
        </w:rPr>
        <w:t>不低于：</w:t>
      </w:r>
      <w:r>
        <w:rPr>
          <w:rFonts w:hint="eastAsia" w:ascii="黑体" w:hAnsi="黑体"/>
          <w:szCs w:val="18"/>
        </w:rPr>
        <w:t>1、附着力二级</w:t>
      </w:r>
      <w:r>
        <w:rPr>
          <w:rFonts w:ascii="黑体" w:hAnsi="黑体"/>
          <w:szCs w:val="18"/>
        </w:rPr>
        <w:t>；</w:t>
      </w:r>
      <w:r>
        <w:rPr>
          <w:rFonts w:hint="eastAsia" w:ascii="黑体" w:hAnsi="黑体"/>
          <w:szCs w:val="18"/>
        </w:rPr>
        <w:t>2、硬度</w:t>
      </w:r>
      <w:r>
        <w:rPr>
          <w:rFonts w:ascii="黑体" w:hAnsi="黑体"/>
          <w:szCs w:val="18"/>
        </w:rPr>
        <w:t>2H；</w:t>
      </w:r>
      <w:r>
        <w:rPr>
          <w:rFonts w:hint="eastAsia" w:ascii="黑体" w:hAnsi="黑体"/>
          <w:szCs w:val="18"/>
        </w:rPr>
        <w:t>3、耐候性</w:t>
      </w:r>
      <w:r>
        <w:rPr>
          <w:rFonts w:ascii="黑体" w:hAnsi="黑体"/>
          <w:szCs w:val="18"/>
        </w:rPr>
        <w:t>一级。</w:t>
      </w:r>
    </w:p>
    <w:p w14:paraId="378659AE">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实木产品表面可采用喷涂油漆等加工工艺，处理前均须经过烘干及去应力处理。</w:t>
      </w:r>
    </w:p>
    <w:p w14:paraId="1AC4C1E8">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室内栏板用玻璃应符合下列规定：</w:t>
      </w:r>
    </w:p>
    <w:p w14:paraId="2A405E1F">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不承受水平荷载的栏板玻璃应使用厚度不小于</w:t>
      </w:r>
      <w:r>
        <w:rPr>
          <w:rFonts w:ascii="黑体" w:hAnsi="黑体"/>
          <w:szCs w:val="18"/>
        </w:rPr>
        <w:t>5mm</w:t>
      </w:r>
      <w:r>
        <w:rPr>
          <w:rFonts w:hint="eastAsia" w:ascii="黑体" w:hAnsi="黑体"/>
          <w:szCs w:val="18"/>
        </w:rPr>
        <w:t>的钢化玻璃，或公称厚度不小于</w:t>
      </w:r>
      <w:r>
        <w:rPr>
          <w:rFonts w:ascii="黑体" w:hAnsi="黑体"/>
          <w:szCs w:val="18"/>
        </w:rPr>
        <w:t>6.38mm</w:t>
      </w:r>
      <w:r>
        <w:rPr>
          <w:rFonts w:hint="eastAsia" w:ascii="黑体" w:hAnsi="黑体"/>
          <w:szCs w:val="18"/>
        </w:rPr>
        <w:t>的夹层玻璃。</w:t>
      </w:r>
    </w:p>
    <w:p w14:paraId="16897A31">
      <w:pPr>
        <w:numPr>
          <w:ilvl w:val="3"/>
          <w:numId w:val="49"/>
        </w:numPr>
        <w:tabs>
          <w:tab w:val="left" w:pos="851"/>
        </w:tabs>
        <w:autoSpaceDE w:val="0"/>
        <w:autoSpaceDN w:val="0"/>
        <w:adjustRightInd w:val="0"/>
        <w:spacing w:line="360" w:lineRule="auto"/>
        <w:jc w:val="left"/>
        <w:rPr>
          <w:rFonts w:ascii="黑体" w:hAnsi="黑体"/>
          <w:szCs w:val="18"/>
        </w:rPr>
      </w:pPr>
      <w:r>
        <w:rPr>
          <w:rFonts w:hint="eastAsia" w:ascii="黑体" w:hAnsi="黑体"/>
          <w:szCs w:val="18"/>
        </w:rPr>
        <w:t>承受水平荷载的栏板用玻璃，应使用公称厚度不小于</w:t>
      </w:r>
      <w:r>
        <w:rPr>
          <w:rFonts w:ascii="黑体" w:hAnsi="黑体"/>
          <w:szCs w:val="18"/>
        </w:rPr>
        <w:t>16.76</w:t>
      </w:r>
      <w:r>
        <w:rPr>
          <w:rFonts w:hint="eastAsia" w:ascii="黑体" w:hAnsi="黑体"/>
          <w:szCs w:val="18"/>
        </w:rPr>
        <w:t>mm的钢化夹层玻璃。当栏板玻璃最低点离一侧楼地面高度大于</w:t>
      </w:r>
      <w:r>
        <w:rPr>
          <w:rFonts w:ascii="黑体" w:hAnsi="黑体"/>
          <w:szCs w:val="18"/>
        </w:rPr>
        <w:t>5m</w:t>
      </w:r>
      <w:r>
        <w:rPr>
          <w:rFonts w:hint="eastAsia" w:ascii="黑体" w:hAnsi="黑体"/>
          <w:szCs w:val="18"/>
        </w:rPr>
        <w:t>时，不得使用承受水平荷载的栏板玻璃。</w:t>
      </w:r>
    </w:p>
    <w:p w14:paraId="6880C795">
      <w:pPr>
        <w:numPr>
          <w:ilvl w:val="2"/>
          <w:numId w:val="49"/>
        </w:numPr>
        <w:tabs>
          <w:tab w:val="left" w:pos="709"/>
        </w:tabs>
        <w:autoSpaceDE w:val="0"/>
        <w:autoSpaceDN w:val="0"/>
        <w:adjustRightInd w:val="0"/>
        <w:spacing w:line="360" w:lineRule="auto"/>
        <w:jc w:val="left"/>
        <w:rPr>
          <w:rFonts w:ascii="黑体" w:hAnsi="黑体" w:cs="Arial"/>
          <w:szCs w:val="18"/>
        </w:rPr>
      </w:pPr>
      <w:r>
        <w:rPr>
          <w:rFonts w:hint="eastAsia" w:ascii="黑体" w:hAnsi="黑体" w:cs="Arial"/>
          <w:szCs w:val="18"/>
        </w:rPr>
        <w:t>室外栏板玻璃除应符合上述规定外，尚应进行玻璃抗风压设计。对有抗震设计要求的地区，尚应考虑地震作用的组合效应。</w:t>
      </w:r>
    </w:p>
    <w:p w14:paraId="2D2BC748">
      <w:pPr>
        <w:autoSpaceDE w:val="0"/>
        <w:autoSpaceDN w:val="0"/>
        <w:adjustRightInd w:val="0"/>
        <w:spacing w:line="360" w:lineRule="auto"/>
        <w:jc w:val="left"/>
        <w:rPr>
          <w:rFonts w:ascii="黑体" w:hAnsi="黑体" w:cs="宋体"/>
          <w:kern w:val="0"/>
          <w:szCs w:val="18"/>
        </w:rPr>
      </w:pPr>
    </w:p>
    <w:p w14:paraId="1D5B5E61">
      <w:pPr>
        <w:pStyle w:val="49"/>
        <w:numPr>
          <w:ilvl w:val="0"/>
          <w:numId w:val="49"/>
        </w:numPr>
        <w:autoSpaceDE w:val="0"/>
        <w:autoSpaceDN w:val="0"/>
        <w:adjustRightInd w:val="0"/>
        <w:spacing w:line="360" w:lineRule="auto"/>
        <w:ind w:firstLineChars="0"/>
        <w:jc w:val="left"/>
        <w:rPr>
          <w:rFonts w:ascii="黑体" w:hAnsi="黑体" w:cs="宋体"/>
          <w:b/>
          <w:kern w:val="0"/>
          <w:szCs w:val="18"/>
        </w:rPr>
      </w:pPr>
      <w:r>
        <w:rPr>
          <w:rFonts w:ascii="黑体" w:hAnsi="黑体" w:cs="宋体"/>
          <w:b/>
          <w:kern w:val="0"/>
          <w:szCs w:val="18"/>
        </w:rPr>
        <w:t>制作安装</w:t>
      </w:r>
      <w:r>
        <w:rPr>
          <w:rFonts w:hint="eastAsia" w:ascii="黑体" w:hAnsi="黑体" w:cs="宋体"/>
          <w:b/>
          <w:kern w:val="0"/>
          <w:szCs w:val="18"/>
        </w:rPr>
        <w:t>与</w:t>
      </w:r>
      <w:r>
        <w:rPr>
          <w:rFonts w:ascii="黑体" w:hAnsi="黑体" w:cs="宋体"/>
          <w:b/>
          <w:kern w:val="0"/>
          <w:szCs w:val="18"/>
        </w:rPr>
        <w:t>施工要求</w:t>
      </w:r>
      <w:r>
        <w:rPr>
          <w:rFonts w:hint="eastAsia" w:ascii="黑体" w:hAnsi="黑体" w:cs="宋体"/>
          <w:b/>
          <w:kern w:val="0"/>
          <w:szCs w:val="18"/>
        </w:rPr>
        <w:t>：</w:t>
      </w:r>
    </w:p>
    <w:p w14:paraId="21C1C328">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所有栏杆和扶手的构件尺寸应加工准确，安装牢固可靠，位置符合设计要求。</w:t>
      </w:r>
    </w:p>
    <w:p w14:paraId="581E1779">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所有栏杆立柱、栏板、扶手表面应平滑、无尖角和毛刺，所有扁钢/铁杆件均需进行抛光处理。所有焊缝要求满焊，并打平磨光。所有喷漆件应色泽均匀、无露底、凹凸、堆漆，无明显流挂、气泡现象；</w:t>
      </w:r>
    </w:p>
    <w:p w14:paraId="14A69035">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玻璃栏板所用钢化夹层玻璃的尺寸分割应以现场实测数据为准。需用螺栓固定的玻璃栏板应预先留孔，孔径应大于固定螺栓直径，使孔口与螺栓之间有空隙。在玻璃与螺栓之间应设置垫圈。所有玻璃栏板外露边缘均要求磨边倒角。</w:t>
      </w:r>
    </w:p>
    <w:p w14:paraId="2D6D0EA2">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玻璃栏板安装前应检查各种钢配件是否牢固，钢板卡槽是否平整，然后清除槽口内所有杂物、砂粒，铺垫弹性材料。在灌注玻璃密封胶前，应将注胶处槽口和玻璃擦干净，灌注后应保证胶缝的厚度符合要求，一般应大于等于</w:t>
      </w:r>
      <w:r>
        <w:rPr>
          <w:rFonts w:ascii="黑体" w:hAnsi="黑体"/>
          <w:szCs w:val="18"/>
        </w:rPr>
        <w:t>3. 5mm</w:t>
      </w:r>
      <w:r>
        <w:rPr>
          <w:rFonts w:hint="eastAsia" w:ascii="黑体" w:hAnsi="黑体"/>
          <w:szCs w:val="18"/>
        </w:rPr>
        <w:t>。</w:t>
      </w:r>
    </w:p>
    <w:p w14:paraId="359C042E">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栏杆栏板玻璃的安装尺寸应符合《建筑玻璃应用技术规程》</w:t>
      </w:r>
      <w:r>
        <w:rPr>
          <w:rFonts w:ascii="黑体" w:hAnsi="黑体"/>
          <w:szCs w:val="18"/>
        </w:rPr>
        <w:t>JGJ113</w:t>
      </w:r>
      <w:r>
        <w:rPr>
          <w:rFonts w:hint="eastAsia" w:ascii="黑体" w:hAnsi="黑体"/>
          <w:szCs w:val="18"/>
        </w:rPr>
        <w:t>中的规定。</w:t>
      </w:r>
    </w:p>
    <w:p w14:paraId="1FB718F0">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本标准所有</w:t>
      </w:r>
      <w:r>
        <w:rPr>
          <w:rFonts w:ascii="黑体" w:hAnsi="黑体"/>
          <w:szCs w:val="18"/>
        </w:rPr>
        <w:t>钢构件须</w:t>
      </w:r>
      <w:r>
        <w:rPr>
          <w:rFonts w:hint="eastAsia" w:ascii="黑体" w:hAnsi="黑体" w:cs="Arial"/>
          <w:szCs w:val="18"/>
        </w:rPr>
        <w:t>根据</w:t>
      </w:r>
      <w:r>
        <w:rPr>
          <w:rFonts w:ascii="黑体" w:hAnsi="黑体"/>
          <w:szCs w:val="18"/>
        </w:rPr>
        <w:t>钢构件</w:t>
      </w:r>
      <w:r>
        <w:rPr>
          <w:rFonts w:hint="eastAsia" w:ascii="黑体" w:hAnsi="黑体"/>
          <w:szCs w:val="18"/>
        </w:rPr>
        <w:t>使用</w:t>
      </w:r>
      <w:r>
        <w:rPr>
          <w:rFonts w:ascii="黑体" w:hAnsi="黑体"/>
          <w:szCs w:val="18"/>
        </w:rPr>
        <w:t>场合</w:t>
      </w:r>
      <w:r>
        <w:rPr>
          <w:rFonts w:hint="eastAsia" w:ascii="黑体" w:hAnsi="黑体"/>
          <w:szCs w:val="18"/>
        </w:rPr>
        <w:t>及</w:t>
      </w:r>
      <w:r>
        <w:rPr>
          <w:rFonts w:ascii="黑体" w:hAnsi="黑体"/>
          <w:szCs w:val="18"/>
        </w:rPr>
        <w:t>环境条件</w:t>
      </w:r>
      <w:r>
        <w:rPr>
          <w:rFonts w:hint="eastAsia" w:ascii="黑体" w:hAnsi="黑体"/>
          <w:szCs w:val="18"/>
        </w:rPr>
        <w:t>，</w:t>
      </w:r>
      <w:r>
        <w:rPr>
          <w:rFonts w:ascii="黑体" w:hAnsi="黑体"/>
          <w:szCs w:val="18"/>
        </w:rPr>
        <w:t>采用</w:t>
      </w:r>
      <w:r>
        <w:rPr>
          <w:rFonts w:hint="eastAsia" w:ascii="黑体" w:hAnsi="黑体"/>
          <w:szCs w:val="18"/>
        </w:rPr>
        <w:t>合理</w:t>
      </w:r>
      <w:r>
        <w:rPr>
          <w:rFonts w:ascii="黑体" w:hAnsi="黑体"/>
          <w:szCs w:val="18"/>
        </w:rPr>
        <w:t>的</w:t>
      </w:r>
      <w:r>
        <w:rPr>
          <w:rFonts w:hint="eastAsia" w:ascii="黑体" w:hAnsi="黑体"/>
          <w:szCs w:val="18"/>
        </w:rPr>
        <w:t>除锈</w:t>
      </w:r>
      <w:r>
        <w:rPr>
          <w:rFonts w:ascii="黑体" w:hAnsi="黑体"/>
          <w:szCs w:val="18"/>
        </w:rPr>
        <w:t>防腐涂装</w:t>
      </w:r>
      <w:r>
        <w:rPr>
          <w:rFonts w:hint="eastAsia" w:ascii="黑体" w:hAnsi="黑体"/>
          <w:szCs w:val="18"/>
        </w:rPr>
        <w:t>做法</w:t>
      </w:r>
      <w:r>
        <w:rPr>
          <w:rFonts w:ascii="黑体" w:hAnsi="黑体"/>
          <w:szCs w:val="18"/>
        </w:rPr>
        <w:t>，同时满足</w:t>
      </w:r>
      <w:r>
        <w:rPr>
          <w:rFonts w:hint="eastAsia" w:ascii="黑体" w:hAnsi="黑体"/>
          <w:szCs w:val="18"/>
        </w:rPr>
        <w:t>《新建</w:t>
      </w:r>
      <w:r>
        <w:rPr>
          <w:rFonts w:ascii="黑体" w:hAnsi="黑体"/>
          <w:szCs w:val="18"/>
        </w:rPr>
        <w:t>项目</w:t>
      </w:r>
      <w:r>
        <w:rPr>
          <w:rFonts w:hint="eastAsia" w:ascii="黑体" w:hAnsi="黑体"/>
          <w:szCs w:val="18"/>
        </w:rPr>
        <w:t>设计</w:t>
      </w:r>
      <w:r>
        <w:rPr>
          <w:rFonts w:ascii="黑体" w:hAnsi="黑体"/>
          <w:szCs w:val="18"/>
        </w:rPr>
        <w:t>交付标准</w:t>
      </w:r>
      <w:r>
        <w:rPr>
          <w:rFonts w:hint="eastAsia" w:ascii="黑体" w:hAnsi="黑体"/>
          <w:szCs w:val="18"/>
        </w:rPr>
        <w:t>（结构</w:t>
      </w:r>
      <w:r>
        <w:rPr>
          <w:rFonts w:ascii="黑体" w:hAnsi="黑体"/>
          <w:szCs w:val="18"/>
        </w:rPr>
        <w:t>分册</w:t>
      </w:r>
      <w:r>
        <w:rPr>
          <w:rFonts w:hint="eastAsia" w:ascii="黑体" w:hAnsi="黑体"/>
          <w:szCs w:val="18"/>
        </w:rPr>
        <w:t>）》的要求</w:t>
      </w:r>
      <w:r>
        <w:rPr>
          <w:rFonts w:ascii="黑体" w:hAnsi="黑体"/>
          <w:szCs w:val="18"/>
        </w:rPr>
        <w:t>。</w:t>
      </w:r>
    </w:p>
    <w:p w14:paraId="14982378">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本标准所有</w:t>
      </w:r>
      <w:r>
        <w:rPr>
          <w:rFonts w:ascii="黑体" w:hAnsi="黑体"/>
          <w:szCs w:val="18"/>
        </w:rPr>
        <w:t>构件</w:t>
      </w:r>
      <w:r>
        <w:rPr>
          <w:rFonts w:hint="eastAsia" w:ascii="黑体" w:hAnsi="黑体"/>
          <w:szCs w:val="18"/>
        </w:rPr>
        <w:t>的制作及</w:t>
      </w:r>
      <w:r>
        <w:rPr>
          <w:rFonts w:ascii="黑体" w:hAnsi="黑体"/>
          <w:szCs w:val="18"/>
        </w:rPr>
        <w:t>安装</w:t>
      </w:r>
      <w:r>
        <w:rPr>
          <w:rFonts w:hint="eastAsia" w:ascii="黑体" w:hAnsi="黑体"/>
          <w:szCs w:val="18"/>
        </w:rPr>
        <w:t>应严格按《钢结构工程施工质量验收规范》GB50205-2001和《建筑</w:t>
      </w:r>
      <w:r>
        <w:rPr>
          <w:rFonts w:ascii="黑体" w:hAnsi="黑体"/>
          <w:szCs w:val="18"/>
        </w:rPr>
        <w:t>装饰装修</w:t>
      </w:r>
      <w:r>
        <w:rPr>
          <w:rFonts w:hint="eastAsia" w:ascii="黑体" w:hAnsi="黑体"/>
          <w:szCs w:val="18"/>
        </w:rPr>
        <w:t>工程质量验收规范》GB502</w:t>
      </w:r>
      <w:r>
        <w:rPr>
          <w:rFonts w:ascii="黑体" w:hAnsi="黑体"/>
          <w:szCs w:val="18"/>
        </w:rPr>
        <w:t>10</w:t>
      </w:r>
      <w:r>
        <w:rPr>
          <w:rFonts w:hint="eastAsia" w:ascii="黑体" w:hAnsi="黑体"/>
          <w:szCs w:val="18"/>
        </w:rPr>
        <w:t>-2001的要求执行</w:t>
      </w:r>
      <w:r>
        <w:rPr>
          <w:rFonts w:ascii="黑体" w:hAnsi="黑体"/>
          <w:szCs w:val="18"/>
        </w:rPr>
        <w:t>。</w:t>
      </w:r>
    </w:p>
    <w:p w14:paraId="7BDCD64B">
      <w:pPr>
        <w:autoSpaceDE w:val="0"/>
        <w:autoSpaceDN w:val="0"/>
        <w:adjustRightInd w:val="0"/>
        <w:spacing w:line="360" w:lineRule="auto"/>
        <w:jc w:val="left"/>
        <w:rPr>
          <w:rFonts w:ascii="黑体" w:hAnsi="黑体" w:cs="宋体"/>
          <w:kern w:val="0"/>
          <w:szCs w:val="18"/>
        </w:rPr>
      </w:pPr>
    </w:p>
    <w:p w14:paraId="56A00D1E">
      <w:pPr>
        <w:pStyle w:val="49"/>
        <w:numPr>
          <w:ilvl w:val="0"/>
          <w:numId w:val="49"/>
        </w:numPr>
        <w:autoSpaceDE w:val="0"/>
        <w:autoSpaceDN w:val="0"/>
        <w:adjustRightInd w:val="0"/>
        <w:spacing w:line="360" w:lineRule="auto"/>
        <w:ind w:firstLineChars="0"/>
        <w:jc w:val="left"/>
        <w:rPr>
          <w:rFonts w:ascii="黑体" w:hAnsi="黑体" w:cs="宋体"/>
          <w:b/>
          <w:kern w:val="0"/>
          <w:szCs w:val="18"/>
        </w:rPr>
      </w:pPr>
      <w:r>
        <w:rPr>
          <w:rFonts w:ascii="黑体" w:hAnsi="黑体" w:cs="宋体"/>
          <w:b/>
          <w:kern w:val="0"/>
          <w:szCs w:val="18"/>
        </w:rPr>
        <w:t>栏杆设计</w:t>
      </w:r>
      <w:r>
        <w:rPr>
          <w:rFonts w:hint="eastAsia" w:ascii="黑体" w:hAnsi="黑体" w:cs="宋体"/>
          <w:b/>
          <w:kern w:val="0"/>
          <w:szCs w:val="18"/>
        </w:rPr>
        <w:t>及</w:t>
      </w:r>
      <w:r>
        <w:rPr>
          <w:rFonts w:ascii="黑体" w:hAnsi="黑体" w:cs="宋体"/>
          <w:b/>
          <w:kern w:val="0"/>
          <w:szCs w:val="18"/>
        </w:rPr>
        <w:t>选用要求</w:t>
      </w:r>
    </w:p>
    <w:p w14:paraId="39621A7A">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楼梯</w:t>
      </w:r>
      <w:r>
        <w:rPr>
          <w:rFonts w:ascii="黑体" w:hAnsi="黑体"/>
          <w:szCs w:val="18"/>
        </w:rPr>
        <w:t>栏杆</w:t>
      </w:r>
      <w:r>
        <w:rPr>
          <w:rFonts w:hint="eastAsia" w:ascii="黑体" w:hAnsi="黑体"/>
          <w:szCs w:val="18"/>
        </w:rPr>
        <w:t>、</w:t>
      </w:r>
      <w:r>
        <w:rPr>
          <w:rFonts w:ascii="黑体" w:hAnsi="黑体"/>
          <w:szCs w:val="18"/>
        </w:rPr>
        <w:t>栏板和扶手</w:t>
      </w:r>
      <w:r>
        <w:rPr>
          <w:rFonts w:hint="eastAsia" w:ascii="黑体" w:hAnsi="黑体"/>
          <w:szCs w:val="18"/>
        </w:rPr>
        <w:t>（含</w:t>
      </w:r>
      <w:r>
        <w:rPr>
          <w:rFonts w:ascii="黑体" w:hAnsi="黑体"/>
          <w:szCs w:val="18"/>
        </w:rPr>
        <w:t>内庭栏杆和护窗栏杆</w:t>
      </w:r>
      <w:r>
        <w:rPr>
          <w:rFonts w:hint="eastAsia" w:ascii="黑体" w:hAnsi="黑体"/>
          <w:szCs w:val="18"/>
        </w:rPr>
        <w:t>）</w:t>
      </w:r>
      <w:r>
        <w:rPr>
          <w:rFonts w:ascii="黑体" w:hAnsi="黑体"/>
          <w:szCs w:val="18"/>
        </w:rPr>
        <w:t>的高度</w:t>
      </w:r>
      <w:r>
        <w:rPr>
          <w:rFonts w:hint="eastAsia" w:ascii="黑体" w:hAnsi="黑体"/>
          <w:szCs w:val="18"/>
        </w:rPr>
        <w:t>不低于</w:t>
      </w:r>
      <w:r>
        <w:rPr>
          <w:rFonts w:ascii="黑体" w:hAnsi="黑体"/>
          <w:szCs w:val="18"/>
        </w:rPr>
        <w:t>90</w:t>
      </w:r>
      <w:r>
        <w:rPr>
          <w:rFonts w:hint="eastAsia" w:ascii="黑体" w:hAnsi="黑体"/>
          <w:szCs w:val="18"/>
        </w:rPr>
        <w:t>0</w:t>
      </w:r>
      <w:r>
        <w:rPr>
          <w:rFonts w:ascii="黑体" w:hAnsi="黑体"/>
          <w:szCs w:val="18"/>
        </w:rPr>
        <w:t>mm</w:t>
      </w:r>
      <w:r>
        <w:rPr>
          <w:rFonts w:hint="eastAsia" w:ascii="黑体" w:hAnsi="黑体"/>
          <w:szCs w:val="18"/>
        </w:rPr>
        <w:t>；当楼梯水平段</w:t>
      </w:r>
      <w:r>
        <w:rPr>
          <w:rFonts w:ascii="黑体" w:hAnsi="黑体"/>
          <w:szCs w:val="18"/>
        </w:rPr>
        <w:t>(</w:t>
      </w:r>
      <w:r>
        <w:rPr>
          <w:rFonts w:hint="eastAsia" w:ascii="黑体" w:hAnsi="黑体"/>
          <w:szCs w:val="18"/>
        </w:rPr>
        <w:t>梯井</w:t>
      </w:r>
      <w:r>
        <w:rPr>
          <w:rFonts w:ascii="黑体" w:hAnsi="黑体"/>
          <w:szCs w:val="18"/>
        </w:rPr>
        <w:t>)</w:t>
      </w:r>
      <w:r>
        <w:rPr>
          <w:rFonts w:hint="eastAsia" w:ascii="黑体" w:hAnsi="黑体"/>
          <w:szCs w:val="18"/>
        </w:rPr>
        <w:t>栏杆、栏板长度</w:t>
      </w:r>
      <w:r>
        <w:rPr>
          <w:rFonts w:ascii="黑体" w:hAnsi="黑体"/>
          <w:szCs w:val="18"/>
        </w:rPr>
        <w:t>&gt; 500mm</w:t>
      </w:r>
      <w:r>
        <w:rPr>
          <w:rFonts w:hint="eastAsia" w:ascii="黑体" w:hAnsi="黑体"/>
          <w:szCs w:val="18"/>
        </w:rPr>
        <w:t>时</w:t>
      </w:r>
      <w:r>
        <w:rPr>
          <w:rFonts w:ascii="黑体" w:hAnsi="黑体"/>
          <w:szCs w:val="18"/>
        </w:rPr>
        <w:t>，栏杆高度</w:t>
      </w:r>
      <w:r>
        <w:rPr>
          <w:rFonts w:hint="eastAsia" w:ascii="黑体" w:hAnsi="黑体"/>
          <w:szCs w:val="18"/>
        </w:rPr>
        <w:t>不低于1050</w:t>
      </w:r>
      <w:r>
        <w:rPr>
          <w:rFonts w:ascii="黑体" w:hAnsi="黑体"/>
          <w:szCs w:val="18"/>
        </w:rPr>
        <w:t>mm</w:t>
      </w:r>
      <w:r>
        <w:rPr>
          <w:rFonts w:hint="eastAsia" w:ascii="黑体" w:hAnsi="黑体"/>
          <w:szCs w:val="18"/>
        </w:rPr>
        <w:t>。楼梯</w:t>
      </w:r>
      <w:r>
        <w:rPr>
          <w:rFonts w:ascii="黑体" w:hAnsi="黑体"/>
          <w:szCs w:val="18"/>
        </w:rPr>
        <w:t>栏杆高度</w:t>
      </w:r>
      <w:r>
        <w:rPr>
          <w:rFonts w:hint="eastAsia" w:ascii="黑体" w:hAnsi="黑体"/>
          <w:szCs w:val="18"/>
        </w:rPr>
        <w:t>指踏步</w:t>
      </w:r>
      <w:r>
        <w:rPr>
          <w:rFonts w:ascii="黑体" w:hAnsi="黑体"/>
          <w:szCs w:val="18"/>
        </w:rPr>
        <w:t>前缘</w:t>
      </w:r>
      <w:r>
        <w:rPr>
          <w:rFonts w:hint="eastAsia" w:ascii="黑体" w:hAnsi="黑体"/>
          <w:szCs w:val="18"/>
        </w:rPr>
        <w:t>至</w:t>
      </w:r>
      <w:r>
        <w:rPr>
          <w:rFonts w:ascii="黑体" w:hAnsi="黑体"/>
          <w:szCs w:val="18"/>
        </w:rPr>
        <w:t>栏杆扶手</w:t>
      </w:r>
      <w:r>
        <w:rPr>
          <w:rFonts w:hint="eastAsia" w:ascii="黑体" w:hAnsi="黑体"/>
          <w:szCs w:val="18"/>
        </w:rPr>
        <w:t>顶</w:t>
      </w:r>
      <w:r>
        <w:rPr>
          <w:rFonts w:ascii="黑体" w:hAnsi="黑体"/>
          <w:szCs w:val="18"/>
        </w:rPr>
        <w:t>的高度。</w:t>
      </w:r>
    </w:p>
    <w:p w14:paraId="13AE7B69">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除</w:t>
      </w:r>
      <w:r>
        <w:rPr>
          <w:rFonts w:ascii="黑体" w:hAnsi="黑体"/>
          <w:szCs w:val="18"/>
        </w:rPr>
        <w:t>特殊说明外，所有</w:t>
      </w:r>
      <w:r>
        <w:rPr>
          <w:rFonts w:hint="eastAsia" w:ascii="黑体" w:hAnsi="黑体"/>
          <w:szCs w:val="18"/>
        </w:rPr>
        <w:t>临空处防护</w:t>
      </w:r>
      <w:r>
        <w:rPr>
          <w:rFonts w:ascii="黑体" w:hAnsi="黑体"/>
          <w:szCs w:val="18"/>
        </w:rPr>
        <w:t>栏杆高度</w:t>
      </w:r>
      <w:r>
        <w:rPr>
          <w:rFonts w:hint="eastAsia" w:ascii="黑体" w:hAnsi="黑体"/>
          <w:szCs w:val="18"/>
        </w:rPr>
        <w:t>均不低于1</w:t>
      </w:r>
      <w:r>
        <w:rPr>
          <w:rFonts w:ascii="黑体" w:hAnsi="黑体"/>
          <w:szCs w:val="18"/>
        </w:rPr>
        <w:t>10</w:t>
      </w:r>
      <w:r>
        <w:rPr>
          <w:rFonts w:hint="eastAsia" w:ascii="黑体" w:hAnsi="黑体"/>
          <w:szCs w:val="18"/>
        </w:rPr>
        <w:t>0</w:t>
      </w:r>
      <w:r>
        <w:rPr>
          <w:rFonts w:ascii="黑体" w:hAnsi="黑体"/>
          <w:szCs w:val="18"/>
        </w:rPr>
        <w:t>mm</w:t>
      </w:r>
      <w:r>
        <w:rPr>
          <w:rFonts w:hint="eastAsia" w:ascii="黑体" w:hAnsi="黑体"/>
          <w:szCs w:val="18"/>
        </w:rPr>
        <w:t>，临空处</w:t>
      </w:r>
      <w:r>
        <w:rPr>
          <w:rFonts w:ascii="黑体" w:hAnsi="黑体"/>
          <w:szCs w:val="18"/>
        </w:rPr>
        <w:t>阳台栏杆高度</w:t>
      </w:r>
      <w:r>
        <w:rPr>
          <w:rFonts w:hint="eastAsia" w:ascii="黑体" w:hAnsi="黑体"/>
          <w:szCs w:val="18"/>
        </w:rPr>
        <w:t>不低于1200</w:t>
      </w:r>
      <w:r>
        <w:rPr>
          <w:rFonts w:ascii="黑体" w:hAnsi="黑体"/>
          <w:szCs w:val="18"/>
        </w:rPr>
        <w:t>mm</w:t>
      </w:r>
      <w:r>
        <w:rPr>
          <w:rFonts w:hint="eastAsia" w:ascii="黑体" w:hAnsi="黑体"/>
          <w:szCs w:val="18"/>
        </w:rPr>
        <w:t>。临空处栏杆高度应从楼地面或屋面至栏杆栏板顶面垂直高度计算，如底部有宽度大于或等于</w:t>
      </w:r>
      <w:r>
        <w:rPr>
          <w:rFonts w:ascii="黑体" w:hAnsi="黑体"/>
          <w:szCs w:val="18"/>
        </w:rPr>
        <w:t>220mm</w:t>
      </w:r>
      <w:r>
        <w:rPr>
          <w:rFonts w:hint="eastAsia" w:ascii="黑体" w:hAnsi="黑体"/>
          <w:szCs w:val="18"/>
        </w:rPr>
        <w:t>，且高度低于或等于</w:t>
      </w:r>
      <w:r>
        <w:rPr>
          <w:rFonts w:ascii="黑体" w:hAnsi="黑体"/>
          <w:szCs w:val="18"/>
        </w:rPr>
        <w:t>450mm</w:t>
      </w:r>
      <w:r>
        <w:rPr>
          <w:rFonts w:hint="eastAsia" w:ascii="黑体" w:hAnsi="黑体"/>
          <w:szCs w:val="18"/>
        </w:rPr>
        <w:t>的可踏部位，应从可踏部位顶面起计算，低于或等于</w:t>
      </w:r>
      <w:r>
        <w:rPr>
          <w:rFonts w:ascii="黑体" w:hAnsi="黑体"/>
          <w:szCs w:val="18"/>
        </w:rPr>
        <w:t>450</w:t>
      </w:r>
      <w:r>
        <w:rPr>
          <w:rFonts w:hint="eastAsia" w:ascii="黑体" w:hAnsi="黑体"/>
          <w:szCs w:val="18"/>
        </w:rPr>
        <w:t>的可踏部位，应从可踏部位顶面起计算。</w:t>
      </w:r>
    </w:p>
    <w:p w14:paraId="00FC0884">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托儿所、</w:t>
      </w:r>
      <w:r>
        <w:rPr>
          <w:rFonts w:ascii="黑体" w:hAnsi="黑体"/>
          <w:szCs w:val="18"/>
        </w:rPr>
        <w:t>幼儿园</w:t>
      </w:r>
      <w:r>
        <w:rPr>
          <w:rFonts w:hint="eastAsia" w:ascii="黑体" w:hAnsi="黑体"/>
          <w:szCs w:val="18"/>
        </w:rPr>
        <w:t>的上人屋面、外廊、楼梯、平台、阳台等临空部位须严格设置防护栏杆，防护栏杆高度不应低于</w:t>
      </w:r>
      <w:r>
        <w:rPr>
          <w:rFonts w:ascii="黑体" w:hAnsi="黑体"/>
          <w:szCs w:val="18"/>
        </w:rPr>
        <w:t>1200mm</w:t>
      </w:r>
      <w:r>
        <w:rPr>
          <w:rFonts w:hint="eastAsia" w:ascii="黑体" w:hAnsi="黑体"/>
          <w:szCs w:val="18"/>
        </w:rPr>
        <w:t>。</w:t>
      </w:r>
    </w:p>
    <w:p w14:paraId="608BD945">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栏杆如采用垂直杆件，杆件间净距</w:t>
      </w:r>
      <w:r>
        <w:rPr>
          <w:rFonts w:ascii="黑体" w:hAnsi="黑体"/>
          <w:szCs w:val="18"/>
        </w:rPr>
        <w:t>不</w:t>
      </w:r>
      <w:r>
        <w:rPr>
          <w:rFonts w:hint="eastAsia" w:ascii="黑体" w:hAnsi="黑体"/>
          <w:szCs w:val="18"/>
        </w:rPr>
        <w:t>大</w:t>
      </w:r>
      <w:r>
        <w:rPr>
          <w:rFonts w:ascii="黑体" w:hAnsi="黑体"/>
          <w:szCs w:val="18"/>
        </w:rPr>
        <w:t>于110</w:t>
      </w:r>
      <w:r>
        <w:rPr>
          <w:rFonts w:hint="eastAsia" w:ascii="黑体" w:hAnsi="黑体"/>
          <w:szCs w:val="18"/>
        </w:rPr>
        <w:t>mm。</w:t>
      </w:r>
    </w:p>
    <w:p w14:paraId="36129D5D">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用于室外的栏杆、栏板在项目设计时应说明采取什么样的防腐、防锈措施。玻璃栏板用于室外时应进行抗风压设计。</w:t>
      </w:r>
    </w:p>
    <w:p w14:paraId="5B9A4D4A">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栏杆、栏板立柱的安装方法有两种：正装</w:t>
      </w:r>
      <w:r>
        <w:rPr>
          <w:rFonts w:ascii="黑体" w:hAnsi="黑体"/>
          <w:szCs w:val="18"/>
        </w:rPr>
        <w:t>式（</w:t>
      </w:r>
      <w:r>
        <w:rPr>
          <w:rFonts w:hint="eastAsia" w:ascii="黑体" w:hAnsi="黑体"/>
          <w:szCs w:val="18"/>
        </w:rPr>
        <w:t>立柱安装在梯板或</w:t>
      </w:r>
      <w:r>
        <w:rPr>
          <w:rFonts w:ascii="黑体" w:hAnsi="黑体"/>
          <w:szCs w:val="18"/>
        </w:rPr>
        <w:t>梯板反梁</w:t>
      </w:r>
      <w:r>
        <w:rPr>
          <w:rFonts w:hint="eastAsia" w:ascii="黑体" w:hAnsi="黑体"/>
          <w:szCs w:val="18"/>
        </w:rPr>
        <w:t>上</w:t>
      </w:r>
      <w:r>
        <w:rPr>
          <w:rFonts w:ascii="黑体" w:hAnsi="黑体"/>
          <w:szCs w:val="18"/>
        </w:rPr>
        <w:t>）</w:t>
      </w:r>
      <w:r>
        <w:rPr>
          <w:rFonts w:hint="eastAsia" w:ascii="黑体" w:hAnsi="黑体"/>
          <w:szCs w:val="18"/>
        </w:rPr>
        <w:t>和侧装式（立柱安装在梯板侧面），由</w:t>
      </w:r>
      <w:r>
        <w:rPr>
          <w:rFonts w:ascii="黑体" w:hAnsi="黑体"/>
          <w:szCs w:val="18"/>
        </w:rPr>
        <w:t>设计师合理选用并报认可。</w:t>
      </w:r>
    </w:p>
    <w:p w14:paraId="0BD1B599">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楼梯</w:t>
      </w:r>
      <w:r>
        <w:rPr>
          <w:rFonts w:ascii="黑体" w:hAnsi="黑体"/>
          <w:szCs w:val="18"/>
        </w:rPr>
        <w:t>应至少一侧设</w:t>
      </w:r>
      <w:r>
        <w:rPr>
          <w:rFonts w:hint="eastAsia" w:ascii="黑体" w:hAnsi="黑体"/>
          <w:szCs w:val="18"/>
        </w:rPr>
        <w:t>栏杆</w:t>
      </w:r>
      <w:r>
        <w:rPr>
          <w:rFonts w:ascii="黑体" w:hAnsi="黑体"/>
          <w:szCs w:val="18"/>
        </w:rPr>
        <w:t>扶手（</w:t>
      </w:r>
      <w:r>
        <w:rPr>
          <w:rFonts w:hint="eastAsia" w:ascii="黑体" w:hAnsi="黑体"/>
          <w:szCs w:val="18"/>
        </w:rPr>
        <w:t>如贴</w:t>
      </w:r>
      <w:r>
        <w:rPr>
          <w:rFonts w:ascii="黑体" w:hAnsi="黑体"/>
          <w:szCs w:val="18"/>
        </w:rPr>
        <w:t>墙体，可</w:t>
      </w:r>
      <w:r>
        <w:rPr>
          <w:rFonts w:hint="eastAsia" w:ascii="黑体" w:hAnsi="黑体"/>
          <w:szCs w:val="18"/>
        </w:rPr>
        <w:t>两端</w:t>
      </w:r>
      <w:r>
        <w:rPr>
          <w:rFonts w:ascii="黑体" w:hAnsi="黑体"/>
          <w:szCs w:val="18"/>
        </w:rPr>
        <w:t>直接</w:t>
      </w:r>
      <w:r>
        <w:rPr>
          <w:rFonts w:hint="eastAsia" w:ascii="黑体" w:hAnsi="黑体"/>
          <w:szCs w:val="18"/>
        </w:rPr>
        <w:t>固定</w:t>
      </w:r>
      <w:r>
        <w:rPr>
          <w:rFonts w:ascii="黑体" w:hAnsi="黑体"/>
          <w:szCs w:val="18"/>
        </w:rPr>
        <w:t>在</w:t>
      </w:r>
      <w:r>
        <w:rPr>
          <w:rFonts w:hint="eastAsia" w:ascii="黑体" w:hAnsi="黑体"/>
          <w:szCs w:val="18"/>
        </w:rPr>
        <w:t>墙体</w:t>
      </w:r>
      <w:r>
        <w:rPr>
          <w:rFonts w:ascii="黑体" w:hAnsi="黑体"/>
          <w:szCs w:val="18"/>
        </w:rPr>
        <w:t>上</w:t>
      </w:r>
      <w:r>
        <w:rPr>
          <w:rFonts w:hint="eastAsia" w:ascii="黑体" w:hAnsi="黑体"/>
          <w:szCs w:val="18"/>
        </w:rPr>
        <w:t>，</w:t>
      </w:r>
      <w:r>
        <w:rPr>
          <w:rFonts w:ascii="黑体" w:hAnsi="黑体"/>
          <w:szCs w:val="18"/>
        </w:rPr>
        <w:t>不另设落地立柱）</w:t>
      </w:r>
      <w:r>
        <w:rPr>
          <w:rFonts w:hint="eastAsia" w:ascii="黑体" w:hAnsi="黑体"/>
          <w:szCs w:val="18"/>
        </w:rPr>
        <w:t>，楼梯</w:t>
      </w:r>
      <w:r>
        <w:rPr>
          <w:rFonts w:ascii="黑体" w:hAnsi="黑体"/>
          <w:szCs w:val="18"/>
        </w:rPr>
        <w:t>净宽</w:t>
      </w:r>
      <w:r>
        <w:rPr>
          <w:rFonts w:hint="eastAsia" w:ascii="黑体" w:hAnsi="黑体"/>
          <w:szCs w:val="18"/>
        </w:rPr>
        <w:t>达</w:t>
      </w:r>
      <w:r>
        <w:rPr>
          <w:rFonts w:ascii="黑体" w:hAnsi="黑体"/>
          <w:szCs w:val="18"/>
        </w:rPr>
        <w:t>三股人流</w:t>
      </w:r>
      <w:r>
        <w:rPr>
          <w:rFonts w:hint="eastAsia" w:ascii="黑体" w:hAnsi="黑体"/>
          <w:szCs w:val="18"/>
        </w:rPr>
        <w:t>（1.8</w:t>
      </w:r>
      <w:r>
        <w:rPr>
          <w:rFonts w:ascii="黑体" w:hAnsi="黑体"/>
          <w:szCs w:val="18"/>
        </w:rPr>
        <w:t>m~2.1m</w:t>
      </w:r>
      <w:r>
        <w:rPr>
          <w:rFonts w:hint="eastAsia" w:ascii="黑体" w:hAnsi="黑体"/>
          <w:szCs w:val="18"/>
        </w:rPr>
        <w:t>）</w:t>
      </w:r>
      <w:r>
        <w:rPr>
          <w:rFonts w:ascii="黑体" w:hAnsi="黑体"/>
          <w:szCs w:val="18"/>
        </w:rPr>
        <w:t>时</w:t>
      </w:r>
      <w:r>
        <w:rPr>
          <w:rFonts w:hint="eastAsia" w:ascii="黑体" w:hAnsi="黑体"/>
          <w:szCs w:val="18"/>
        </w:rPr>
        <w:t>应</w:t>
      </w:r>
      <w:r>
        <w:rPr>
          <w:rFonts w:ascii="黑体" w:hAnsi="黑体"/>
          <w:szCs w:val="18"/>
        </w:rPr>
        <w:t>两侧设扶手</w:t>
      </w:r>
      <w:r>
        <w:rPr>
          <w:rFonts w:hint="eastAsia" w:ascii="黑体" w:hAnsi="黑体"/>
          <w:szCs w:val="18"/>
        </w:rPr>
        <w:t>，达四</w:t>
      </w:r>
      <w:r>
        <w:rPr>
          <w:rFonts w:ascii="黑体" w:hAnsi="黑体"/>
          <w:szCs w:val="18"/>
        </w:rPr>
        <w:t>股人流</w:t>
      </w:r>
      <w:r>
        <w:rPr>
          <w:rFonts w:hint="eastAsia" w:ascii="黑体" w:hAnsi="黑体"/>
          <w:szCs w:val="18"/>
        </w:rPr>
        <w:t>（或</w:t>
      </w:r>
      <w:r>
        <w:rPr>
          <w:rFonts w:ascii="黑体" w:hAnsi="黑体"/>
          <w:szCs w:val="18"/>
        </w:rPr>
        <w:t>超过</w:t>
      </w:r>
      <w:r>
        <w:rPr>
          <w:rFonts w:hint="eastAsia" w:ascii="黑体" w:hAnsi="黑体"/>
          <w:szCs w:val="18"/>
        </w:rPr>
        <w:t>2.2</w:t>
      </w:r>
      <w:r>
        <w:rPr>
          <w:rFonts w:ascii="黑体" w:hAnsi="黑体"/>
          <w:szCs w:val="18"/>
        </w:rPr>
        <w:t>m</w:t>
      </w:r>
      <w:r>
        <w:rPr>
          <w:rFonts w:hint="eastAsia" w:ascii="黑体" w:hAnsi="黑体"/>
          <w:szCs w:val="18"/>
        </w:rPr>
        <w:t>）宜加</w:t>
      </w:r>
      <w:r>
        <w:rPr>
          <w:rFonts w:ascii="黑体" w:hAnsi="黑体"/>
          <w:szCs w:val="18"/>
        </w:rPr>
        <w:t>设</w:t>
      </w:r>
      <w:r>
        <w:rPr>
          <w:rFonts w:hint="eastAsia" w:ascii="黑体" w:hAnsi="黑体"/>
          <w:szCs w:val="18"/>
        </w:rPr>
        <w:t>中间</w:t>
      </w:r>
      <w:r>
        <w:rPr>
          <w:rFonts w:ascii="黑体" w:hAnsi="黑体"/>
          <w:szCs w:val="18"/>
        </w:rPr>
        <w:t>扶手</w:t>
      </w:r>
      <w:r>
        <w:rPr>
          <w:rFonts w:hint="eastAsia" w:ascii="黑体" w:hAnsi="黑体"/>
          <w:szCs w:val="18"/>
        </w:rPr>
        <w:t>（栏杆）。</w:t>
      </w:r>
    </w:p>
    <w:p w14:paraId="4AA175D2">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室外广场景观台阶</w:t>
      </w:r>
      <w:r>
        <w:rPr>
          <w:rFonts w:ascii="黑体" w:hAnsi="黑体"/>
          <w:szCs w:val="18"/>
        </w:rPr>
        <w:t>(</w:t>
      </w:r>
      <w:r>
        <w:rPr>
          <w:rFonts w:hint="eastAsia" w:ascii="黑体" w:hAnsi="黑体"/>
          <w:szCs w:val="18"/>
        </w:rPr>
        <w:t>梯段</w:t>
      </w:r>
      <w:r>
        <w:rPr>
          <w:rFonts w:ascii="黑体" w:hAnsi="黑体"/>
          <w:szCs w:val="18"/>
        </w:rPr>
        <w:t>)</w:t>
      </w:r>
      <w:r>
        <w:rPr>
          <w:rFonts w:hint="eastAsia" w:ascii="黑体" w:hAnsi="黑体"/>
          <w:szCs w:val="18"/>
        </w:rPr>
        <w:t>净宽大于等于</w:t>
      </w:r>
      <w:r>
        <w:rPr>
          <w:rFonts w:ascii="黑体" w:hAnsi="黑体"/>
          <w:szCs w:val="18"/>
        </w:rPr>
        <w:t>3</w:t>
      </w:r>
      <w:r>
        <w:rPr>
          <w:rFonts w:hint="eastAsia" w:ascii="黑体" w:hAnsi="黑体"/>
          <w:szCs w:val="18"/>
        </w:rPr>
        <w:t>.0</w:t>
      </w:r>
      <w:r>
        <w:rPr>
          <w:rFonts w:ascii="黑体" w:hAnsi="黑体"/>
          <w:szCs w:val="18"/>
        </w:rPr>
        <w:t>m</w:t>
      </w:r>
      <w:r>
        <w:rPr>
          <w:rFonts w:hint="eastAsia" w:ascii="黑体" w:hAnsi="黑体"/>
          <w:szCs w:val="18"/>
        </w:rPr>
        <w:t>时，应设置中间拦杆。台阶</w:t>
      </w:r>
      <w:r>
        <w:rPr>
          <w:rFonts w:ascii="黑体" w:hAnsi="黑体"/>
          <w:szCs w:val="18"/>
        </w:rPr>
        <w:t>(</w:t>
      </w:r>
      <w:r>
        <w:rPr>
          <w:rFonts w:hint="eastAsia" w:ascii="黑体" w:hAnsi="黑体"/>
          <w:szCs w:val="18"/>
        </w:rPr>
        <w:t>梯段</w:t>
      </w:r>
      <w:r>
        <w:rPr>
          <w:rFonts w:ascii="黑体" w:hAnsi="黑体"/>
          <w:szCs w:val="18"/>
        </w:rPr>
        <w:t>)</w:t>
      </w:r>
      <w:r>
        <w:rPr>
          <w:rFonts w:hint="eastAsia" w:ascii="黑体" w:hAnsi="黑体"/>
          <w:szCs w:val="18"/>
        </w:rPr>
        <w:t>两侧悬空时</w:t>
      </w:r>
      <w:r>
        <w:rPr>
          <w:rFonts w:ascii="黑体" w:hAnsi="黑体"/>
          <w:szCs w:val="18"/>
        </w:rPr>
        <w:t>(</w:t>
      </w:r>
      <w:r>
        <w:rPr>
          <w:rFonts w:hint="eastAsia" w:ascii="黑体" w:hAnsi="黑体"/>
          <w:szCs w:val="18"/>
        </w:rPr>
        <w:t>无侧墙</w:t>
      </w:r>
      <w:r>
        <w:rPr>
          <w:rFonts w:ascii="黑体" w:hAnsi="黑体"/>
          <w:szCs w:val="18"/>
        </w:rPr>
        <w:t>)</w:t>
      </w:r>
      <w:r>
        <w:rPr>
          <w:rFonts w:hint="eastAsia" w:ascii="黑体" w:hAnsi="黑体"/>
          <w:szCs w:val="18"/>
        </w:rPr>
        <w:t>也应设置栏杆。</w:t>
      </w:r>
    </w:p>
    <w:p w14:paraId="361E57EC">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当临空的窗台低于</w:t>
      </w:r>
      <w:r>
        <w:rPr>
          <w:rFonts w:ascii="黑体" w:hAnsi="黑体"/>
          <w:szCs w:val="18"/>
        </w:rPr>
        <w:t>0.8m (</w:t>
      </w:r>
      <w:r>
        <w:rPr>
          <w:rFonts w:hint="eastAsia" w:ascii="黑体" w:hAnsi="黑体"/>
          <w:szCs w:val="18"/>
        </w:rPr>
        <w:t>住宅</w:t>
      </w:r>
      <w:r>
        <w:rPr>
          <w:rFonts w:ascii="黑体" w:hAnsi="黑体"/>
          <w:szCs w:val="18"/>
        </w:rPr>
        <w:t>0 .9 m)</w:t>
      </w:r>
      <w:r>
        <w:rPr>
          <w:rFonts w:hint="eastAsia" w:ascii="黑体" w:hAnsi="黑体"/>
          <w:szCs w:val="18"/>
        </w:rPr>
        <w:t>时，应采取防护措施，即做护窗栏杆。</w:t>
      </w:r>
    </w:p>
    <w:p w14:paraId="42BE05CB">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楼梯靠墙扶手的形式与选材应与楼梯栏杆栏板扶手的形式与选材相一致。靠墙扶手与墙面之间的净空不应小于</w:t>
      </w:r>
      <w:r>
        <w:rPr>
          <w:rFonts w:ascii="黑体" w:hAnsi="黑体"/>
          <w:szCs w:val="18"/>
        </w:rPr>
        <w:t>40mm</w:t>
      </w:r>
      <w:r>
        <w:rPr>
          <w:rFonts w:hint="eastAsia" w:ascii="黑体" w:hAnsi="黑体"/>
          <w:szCs w:val="18"/>
        </w:rPr>
        <w:t>。</w:t>
      </w:r>
    </w:p>
    <w:p w14:paraId="186FFD88">
      <w:pPr>
        <w:autoSpaceDE w:val="0"/>
        <w:autoSpaceDN w:val="0"/>
        <w:adjustRightInd w:val="0"/>
        <w:spacing w:line="360" w:lineRule="auto"/>
        <w:jc w:val="left"/>
        <w:rPr>
          <w:rFonts w:ascii="黑体" w:hAnsi="黑体" w:cs="宋体"/>
          <w:kern w:val="0"/>
          <w:szCs w:val="18"/>
        </w:rPr>
      </w:pPr>
    </w:p>
    <w:p w14:paraId="5E8C7E97">
      <w:pPr>
        <w:pStyle w:val="49"/>
        <w:numPr>
          <w:ilvl w:val="0"/>
          <w:numId w:val="49"/>
        </w:numPr>
        <w:autoSpaceDE w:val="0"/>
        <w:autoSpaceDN w:val="0"/>
        <w:adjustRightInd w:val="0"/>
        <w:spacing w:line="360" w:lineRule="auto"/>
        <w:ind w:firstLineChars="0"/>
        <w:jc w:val="left"/>
        <w:rPr>
          <w:rFonts w:ascii="黑体" w:hAnsi="黑体" w:cs="宋体"/>
          <w:b/>
          <w:kern w:val="0"/>
          <w:szCs w:val="18"/>
        </w:rPr>
      </w:pPr>
      <w:r>
        <w:rPr>
          <w:rFonts w:hint="eastAsia" w:ascii="黑体" w:hAnsi="黑体" w:cs="宋体"/>
          <w:b/>
          <w:kern w:val="0"/>
          <w:szCs w:val="18"/>
        </w:rPr>
        <w:t>围栏和</w:t>
      </w:r>
      <w:r>
        <w:rPr>
          <w:rFonts w:ascii="黑体" w:hAnsi="黑体" w:cs="宋体"/>
          <w:b/>
          <w:kern w:val="0"/>
          <w:szCs w:val="18"/>
        </w:rPr>
        <w:t>大门设计</w:t>
      </w:r>
      <w:r>
        <w:rPr>
          <w:rFonts w:hint="eastAsia" w:ascii="黑体" w:hAnsi="黑体" w:cs="宋体"/>
          <w:b/>
          <w:kern w:val="0"/>
          <w:szCs w:val="18"/>
        </w:rPr>
        <w:t>及选用</w:t>
      </w:r>
      <w:r>
        <w:rPr>
          <w:rFonts w:ascii="黑体" w:hAnsi="黑体" w:cs="宋体"/>
          <w:b/>
          <w:kern w:val="0"/>
          <w:szCs w:val="18"/>
        </w:rPr>
        <w:t>要求</w:t>
      </w:r>
    </w:p>
    <w:p w14:paraId="2CAF5369">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围栏</w:t>
      </w:r>
      <w:r>
        <w:rPr>
          <w:rFonts w:ascii="黑体" w:hAnsi="黑体"/>
          <w:szCs w:val="18"/>
        </w:rPr>
        <w:t>和大门</w:t>
      </w:r>
      <w:r>
        <w:rPr>
          <w:rFonts w:hint="eastAsia" w:ascii="黑体" w:hAnsi="黑体"/>
          <w:szCs w:val="18"/>
        </w:rPr>
        <w:t>设计应考虑</w:t>
      </w:r>
      <w:r>
        <w:rPr>
          <w:rFonts w:ascii="黑体" w:hAnsi="黑体"/>
          <w:szCs w:val="18"/>
        </w:rPr>
        <w:t>室外环境的影响，使其</w:t>
      </w:r>
      <w:r>
        <w:rPr>
          <w:rFonts w:hint="eastAsia" w:ascii="黑体" w:hAnsi="黑体"/>
          <w:szCs w:val="18"/>
        </w:rPr>
        <w:t>积水</w:t>
      </w:r>
      <w:r>
        <w:rPr>
          <w:rFonts w:ascii="黑体" w:hAnsi="黑体"/>
          <w:szCs w:val="18"/>
        </w:rPr>
        <w:t>和</w:t>
      </w:r>
      <w:r>
        <w:rPr>
          <w:rFonts w:hint="eastAsia" w:ascii="黑体" w:hAnsi="黑体"/>
          <w:szCs w:val="18"/>
        </w:rPr>
        <w:t>湿气</w:t>
      </w:r>
      <w:r>
        <w:rPr>
          <w:rFonts w:ascii="黑体" w:hAnsi="黑体"/>
          <w:szCs w:val="18"/>
        </w:rPr>
        <w:t>最小</w:t>
      </w:r>
      <w:r>
        <w:rPr>
          <w:rFonts w:hint="eastAsia" w:ascii="黑体" w:hAnsi="黑体"/>
          <w:szCs w:val="18"/>
        </w:rPr>
        <w:t>，</w:t>
      </w:r>
      <w:r>
        <w:rPr>
          <w:rFonts w:ascii="黑体" w:hAnsi="黑体"/>
          <w:szCs w:val="18"/>
        </w:rPr>
        <w:t>以减</w:t>
      </w:r>
      <w:r>
        <w:rPr>
          <w:rFonts w:hint="eastAsia" w:ascii="黑体" w:hAnsi="黑体"/>
          <w:szCs w:val="18"/>
        </w:rPr>
        <w:t>少锈蚀，增加</w:t>
      </w:r>
      <w:r>
        <w:rPr>
          <w:rFonts w:ascii="黑体" w:hAnsi="黑体"/>
          <w:szCs w:val="18"/>
        </w:rPr>
        <w:t>耐久性</w:t>
      </w:r>
      <w:r>
        <w:rPr>
          <w:rFonts w:hint="eastAsia" w:ascii="黑体" w:hAnsi="黑体"/>
          <w:szCs w:val="18"/>
        </w:rPr>
        <w:t>。建议优先</w:t>
      </w:r>
      <w:r>
        <w:rPr>
          <w:rFonts w:ascii="黑体" w:hAnsi="黑体"/>
          <w:szCs w:val="18"/>
        </w:rPr>
        <w:t>考虑材质本身耐腐蚀性能较强的，如铝合金</w:t>
      </w:r>
      <w:r>
        <w:rPr>
          <w:rFonts w:hint="eastAsia" w:ascii="黑体" w:hAnsi="黑体"/>
          <w:szCs w:val="18"/>
        </w:rPr>
        <w:t>材质，</w:t>
      </w:r>
      <w:r>
        <w:rPr>
          <w:rFonts w:hint="eastAsia" w:ascii="黑体" w:hAnsi="黑体"/>
          <w:b/>
          <w:szCs w:val="18"/>
        </w:rPr>
        <w:t>不允许采用易生锈难以维护的铁质栏杆</w:t>
      </w:r>
      <w:r>
        <w:rPr>
          <w:rFonts w:ascii="黑体" w:hAnsi="黑体"/>
          <w:szCs w:val="18"/>
        </w:rPr>
        <w:t>。</w:t>
      </w:r>
    </w:p>
    <w:p w14:paraId="0410A825">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围栏防腐做法</w:t>
      </w:r>
      <w:r>
        <w:rPr>
          <w:rFonts w:ascii="黑体" w:hAnsi="黑体"/>
          <w:szCs w:val="18"/>
        </w:rPr>
        <w:t>：</w:t>
      </w:r>
      <w:r>
        <w:rPr>
          <w:rFonts w:hint="eastAsia" w:ascii="黑体" w:hAnsi="黑体"/>
          <w:szCs w:val="18"/>
        </w:rPr>
        <w:t>钢基材</w:t>
      </w:r>
      <w:r>
        <w:rPr>
          <w:rFonts w:ascii="黑体" w:hAnsi="黑体"/>
          <w:szCs w:val="18"/>
        </w:rPr>
        <w:t>处理</w:t>
      </w:r>
      <w:r>
        <w:rPr>
          <w:rFonts w:hint="eastAsia" w:ascii="黑体" w:hAnsi="黑体"/>
          <w:szCs w:val="18"/>
        </w:rPr>
        <w:t>采用热浸\镀锌</w:t>
      </w:r>
      <w:r>
        <w:rPr>
          <w:rFonts w:ascii="黑体" w:hAnsi="黑体"/>
          <w:szCs w:val="18"/>
        </w:rPr>
        <w:t>工</w:t>
      </w:r>
      <w:r>
        <w:rPr>
          <w:rFonts w:hint="eastAsia" w:ascii="黑体" w:hAnsi="黑体"/>
          <w:szCs w:val="18"/>
        </w:rPr>
        <w:t>艺，中间层</w:t>
      </w:r>
      <w:r>
        <w:rPr>
          <w:rFonts w:ascii="黑体" w:hAnsi="黑体"/>
          <w:szCs w:val="18"/>
        </w:rPr>
        <w:t>采用</w:t>
      </w:r>
      <w:r>
        <w:rPr>
          <w:rFonts w:hint="eastAsia" w:ascii="黑体" w:hAnsi="黑体"/>
          <w:szCs w:val="18"/>
        </w:rPr>
        <w:t>纳米</w:t>
      </w:r>
      <w:r>
        <w:rPr>
          <w:rFonts w:ascii="黑体" w:hAnsi="黑体"/>
          <w:szCs w:val="18"/>
        </w:rPr>
        <w:t>陶瓷或富</w:t>
      </w:r>
      <w:r>
        <w:rPr>
          <w:rFonts w:hint="eastAsia" w:ascii="黑体" w:hAnsi="黑体"/>
          <w:szCs w:val="18"/>
        </w:rPr>
        <w:t>锌</w:t>
      </w:r>
      <w:r>
        <w:rPr>
          <w:rFonts w:ascii="黑体" w:hAnsi="黑体"/>
          <w:szCs w:val="18"/>
        </w:rPr>
        <w:t>磷化</w:t>
      </w:r>
      <w:r>
        <w:rPr>
          <w:rFonts w:hint="eastAsia" w:ascii="黑体" w:hAnsi="黑体"/>
          <w:szCs w:val="18"/>
        </w:rPr>
        <w:t>工艺</w:t>
      </w:r>
      <w:r>
        <w:rPr>
          <w:rFonts w:ascii="黑体" w:hAnsi="黑体"/>
          <w:szCs w:val="18"/>
        </w:rPr>
        <w:t>，</w:t>
      </w:r>
      <w:r>
        <w:rPr>
          <w:rFonts w:hint="eastAsia" w:ascii="黑体" w:hAnsi="黑体"/>
          <w:szCs w:val="18"/>
        </w:rPr>
        <w:t>面层采用静电</w:t>
      </w:r>
      <w:r>
        <w:rPr>
          <w:rFonts w:ascii="黑体" w:hAnsi="黑体"/>
          <w:szCs w:val="18"/>
        </w:rPr>
        <w:t>粉末喷涂或</w:t>
      </w:r>
      <w:r>
        <w:rPr>
          <w:rFonts w:hint="eastAsia" w:ascii="黑体" w:hAnsi="黑体"/>
          <w:szCs w:val="18"/>
        </w:rPr>
        <w:t>热固性聚酯粉末喷涂处理，防腐年限不小于</w:t>
      </w:r>
      <w:r>
        <w:rPr>
          <w:rFonts w:ascii="黑体" w:hAnsi="黑体"/>
          <w:szCs w:val="18"/>
        </w:rPr>
        <w:t>10</w:t>
      </w:r>
      <w:r>
        <w:rPr>
          <w:rFonts w:hint="eastAsia" w:ascii="黑体" w:hAnsi="黑体"/>
          <w:szCs w:val="18"/>
        </w:rPr>
        <w:t>年。</w:t>
      </w:r>
    </w:p>
    <w:p w14:paraId="1FCB87D3">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围栏一般高度为</w:t>
      </w:r>
      <w:r>
        <w:rPr>
          <w:rFonts w:ascii="黑体" w:hAnsi="黑体"/>
          <w:szCs w:val="18"/>
        </w:rPr>
        <w:t>18</w:t>
      </w:r>
      <w:r>
        <w:rPr>
          <w:rFonts w:hint="eastAsia" w:ascii="黑体" w:hAnsi="黑体"/>
          <w:szCs w:val="18"/>
        </w:rPr>
        <w:t>00</w:t>
      </w:r>
      <w:r>
        <w:rPr>
          <w:rFonts w:ascii="黑体" w:hAnsi="黑体"/>
          <w:szCs w:val="18"/>
        </w:rPr>
        <w:t>~2500</w:t>
      </w:r>
      <w:r>
        <w:rPr>
          <w:rFonts w:hint="eastAsia" w:ascii="黑体" w:hAnsi="黑体"/>
          <w:szCs w:val="18"/>
        </w:rPr>
        <w:t xml:space="preserve"> mm，标准立柱一般间距为</w:t>
      </w:r>
      <w:r>
        <w:rPr>
          <w:rFonts w:ascii="黑体" w:hAnsi="黑体"/>
          <w:szCs w:val="18"/>
        </w:rPr>
        <w:t>3000</w:t>
      </w:r>
      <w:r>
        <w:rPr>
          <w:rFonts w:hint="eastAsia" w:ascii="黑体" w:hAnsi="黑体"/>
          <w:szCs w:val="18"/>
        </w:rPr>
        <w:t>、6000</w:t>
      </w:r>
      <w:r>
        <w:rPr>
          <w:rFonts w:ascii="黑体" w:hAnsi="黑体"/>
          <w:szCs w:val="18"/>
        </w:rPr>
        <w:t>mm</w:t>
      </w:r>
      <w:r>
        <w:rPr>
          <w:rFonts w:hint="eastAsia" w:ascii="黑体" w:hAnsi="黑体"/>
          <w:szCs w:val="18"/>
        </w:rPr>
        <w:t>。</w:t>
      </w:r>
    </w:p>
    <w:p w14:paraId="2B7EE00C">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围栏下部</w:t>
      </w:r>
      <w:r>
        <w:rPr>
          <w:rFonts w:ascii="黑体" w:hAnsi="黑体"/>
          <w:szCs w:val="18"/>
        </w:rPr>
        <w:t>如采用连续</w:t>
      </w:r>
      <w:r>
        <w:rPr>
          <w:rFonts w:hint="eastAsia" w:ascii="黑体" w:hAnsi="黑体"/>
          <w:szCs w:val="18"/>
        </w:rPr>
        <w:t>砌体作为</w:t>
      </w:r>
      <w:r>
        <w:rPr>
          <w:rFonts w:ascii="黑体" w:hAnsi="黑体"/>
          <w:szCs w:val="18"/>
        </w:rPr>
        <w:t>支座，</w:t>
      </w:r>
      <w:r>
        <w:rPr>
          <w:rFonts w:hint="eastAsia" w:ascii="黑体" w:hAnsi="黑体"/>
          <w:szCs w:val="18"/>
        </w:rPr>
        <w:t>该</w:t>
      </w:r>
      <w:r>
        <w:rPr>
          <w:rFonts w:ascii="黑体" w:hAnsi="黑体"/>
          <w:szCs w:val="18"/>
        </w:rPr>
        <w:t>砌体部分</w:t>
      </w:r>
      <w:r>
        <w:rPr>
          <w:rFonts w:hint="eastAsia" w:ascii="黑体" w:hAnsi="黑体"/>
          <w:szCs w:val="18"/>
        </w:rPr>
        <w:t>宜每</w:t>
      </w:r>
      <w:r>
        <w:rPr>
          <w:rFonts w:ascii="黑体" w:hAnsi="黑体"/>
          <w:szCs w:val="18"/>
        </w:rPr>
        <w:t>30m</w:t>
      </w:r>
      <w:r>
        <w:rPr>
          <w:rFonts w:hint="eastAsia" w:ascii="黑体" w:hAnsi="黑体"/>
          <w:szCs w:val="18"/>
        </w:rPr>
        <w:t>设置一道伸缩缝，每</w:t>
      </w:r>
      <w:r>
        <w:rPr>
          <w:rFonts w:ascii="黑体" w:hAnsi="黑体"/>
          <w:szCs w:val="18"/>
        </w:rPr>
        <w:t>3m</w:t>
      </w:r>
      <w:r>
        <w:rPr>
          <w:rFonts w:hint="eastAsia" w:ascii="黑体" w:hAnsi="黑体"/>
          <w:szCs w:val="18"/>
        </w:rPr>
        <w:t>设置一个排水孔。</w:t>
      </w:r>
    </w:p>
    <w:p w14:paraId="24B58F73">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如采用中空</w:t>
      </w:r>
      <w:r>
        <w:rPr>
          <w:rFonts w:ascii="黑体" w:hAnsi="黑体"/>
          <w:szCs w:val="18"/>
        </w:rPr>
        <w:t>构件，需采取</w:t>
      </w:r>
      <w:r>
        <w:rPr>
          <w:rFonts w:hint="eastAsia" w:ascii="黑体" w:hAnsi="黑体"/>
          <w:szCs w:val="18"/>
        </w:rPr>
        <w:t>封闭</w:t>
      </w:r>
      <w:r>
        <w:rPr>
          <w:rFonts w:ascii="黑体" w:hAnsi="黑体"/>
          <w:szCs w:val="18"/>
        </w:rPr>
        <w:t>措施</w:t>
      </w:r>
      <w:r>
        <w:rPr>
          <w:rFonts w:hint="eastAsia" w:ascii="黑体" w:hAnsi="黑体"/>
          <w:szCs w:val="18"/>
        </w:rPr>
        <w:t>避免</w:t>
      </w:r>
      <w:r>
        <w:rPr>
          <w:rFonts w:ascii="黑体" w:hAnsi="黑体"/>
          <w:szCs w:val="18"/>
        </w:rPr>
        <w:t>雨水进入</w:t>
      </w:r>
      <w:r>
        <w:rPr>
          <w:rFonts w:hint="eastAsia" w:ascii="黑体" w:hAnsi="黑体"/>
          <w:szCs w:val="18"/>
        </w:rPr>
        <w:t>构件</w:t>
      </w:r>
      <w:r>
        <w:rPr>
          <w:rFonts w:ascii="黑体" w:hAnsi="黑体"/>
          <w:szCs w:val="18"/>
        </w:rPr>
        <w:t>内部引起锈蚀。</w:t>
      </w:r>
    </w:p>
    <w:p w14:paraId="2AC6BB43">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连接螺栓</w:t>
      </w:r>
      <w:r>
        <w:rPr>
          <w:rFonts w:ascii="黑体" w:hAnsi="黑体"/>
          <w:szCs w:val="18"/>
        </w:rPr>
        <w:t>均采用</w:t>
      </w:r>
      <w:r>
        <w:rPr>
          <w:rFonts w:hint="eastAsia" w:ascii="黑体" w:hAnsi="黑体"/>
          <w:szCs w:val="18"/>
        </w:rPr>
        <w:t>不锈钢</w:t>
      </w:r>
      <w:r>
        <w:rPr>
          <w:rFonts w:ascii="黑体" w:hAnsi="黑体"/>
          <w:szCs w:val="18"/>
        </w:rPr>
        <w:t>材质的</w:t>
      </w:r>
      <w:r>
        <w:rPr>
          <w:rFonts w:hint="eastAsia" w:ascii="黑体" w:hAnsi="黑体"/>
          <w:szCs w:val="18"/>
        </w:rPr>
        <w:t>防盗</w:t>
      </w:r>
      <w:r>
        <w:rPr>
          <w:rFonts w:ascii="黑体" w:hAnsi="黑体"/>
          <w:szCs w:val="18"/>
        </w:rPr>
        <w:t>螺栓</w:t>
      </w:r>
      <w:r>
        <w:rPr>
          <w:rFonts w:hint="eastAsia" w:ascii="黑体" w:hAnsi="黑体"/>
          <w:szCs w:val="18"/>
        </w:rPr>
        <w:t>。</w:t>
      </w:r>
    </w:p>
    <w:p w14:paraId="71354ADD">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根据需要</w:t>
      </w:r>
      <w:r>
        <w:rPr>
          <w:rFonts w:ascii="黑体" w:hAnsi="黑体"/>
          <w:szCs w:val="18"/>
        </w:rPr>
        <w:t>可在围</w:t>
      </w:r>
      <w:r>
        <w:rPr>
          <w:rFonts w:hint="eastAsia" w:ascii="黑体" w:hAnsi="黑体"/>
          <w:szCs w:val="18"/>
        </w:rPr>
        <w:t>栏</w:t>
      </w:r>
      <w:r>
        <w:rPr>
          <w:rFonts w:ascii="黑体" w:hAnsi="黑体"/>
          <w:szCs w:val="18"/>
        </w:rPr>
        <w:t>顶部</w:t>
      </w:r>
      <w:r>
        <w:rPr>
          <w:rFonts w:hint="eastAsia" w:ascii="黑体" w:hAnsi="黑体"/>
          <w:szCs w:val="18"/>
        </w:rPr>
        <w:t>加装防</w:t>
      </w:r>
      <w:r>
        <w:rPr>
          <w:rFonts w:ascii="黑体" w:hAnsi="黑体"/>
          <w:szCs w:val="18"/>
        </w:rPr>
        <w:t>攀越</w:t>
      </w:r>
      <w:r>
        <w:rPr>
          <w:rFonts w:hint="eastAsia" w:ascii="黑体" w:hAnsi="黑体"/>
          <w:szCs w:val="18"/>
        </w:rPr>
        <w:t>安全设备</w:t>
      </w:r>
      <w:r>
        <w:rPr>
          <w:rFonts w:ascii="黑体" w:hAnsi="黑体"/>
          <w:szCs w:val="18"/>
        </w:rPr>
        <w:t>或做法</w:t>
      </w:r>
      <w:r>
        <w:rPr>
          <w:rFonts w:hint="eastAsia" w:ascii="黑体" w:hAnsi="黑体"/>
          <w:szCs w:val="18"/>
        </w:rPr>
        <w:t>。</w:t>
      </w:r>
    </w:p>
    <w:p w14:paraId="725C0628">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园区大门围栏</w:t>
      </w:r>
      <w:r>
        <w:rPr>
          <w:rFonts w:ascii="黑体" w:hAnsi="黑体"/>
          <w:szCs w:val="18"/>
        </w:rPr>
        <w:t>可采用手动</w:t>
      </w:r>
      <w:r>
        <w:rPr>
          <w:rFonts w:hint="eastAsia" w:ascii="黑体" w:hAnsi="黑体"/>
          <w:szCs w:val="18"/>
        </w:rPr>
        <w:t>或</w:t>
      </w:r>
      <w:r>
        <w:rPr>
          <w:rFonts w:ascii="黑体" w:hAnsi="黑体"/>
          <w:szCs w:val="18"/>
        </w:rPr>
        <w:t>电动</w:t>
      </w:r>
      <w:r>
        <w:rPr>
          <w:rFonts w:hint="eastAsia" w:ascii="黑体" w:hAnsi="黑体"/>
          <w:szCs w:val="18"/>
        </w:rPr>
        <w:t>开启</w:t>
      </w:r>
      <w:r>
        <w:rPr>
          <w:rFonts w:ascii="黑体" w:hAnsi="黑体"/>
          <w:szCs w:val="18"/>
        </w:rPr>
        <w:t>方式</w:t>
      </w:r>
      <w:r>
        <w:rPr>
          <w:rFonts w:hint="eastAsia" w:ascii="黑体" w:hAnsi="黑体"/>
          <w:szCs w:val="18"/>
        </w:rPr>
        <w:t>，</w:t>
      </w:r>
      <w:r>
        <w:rPr>
          <w:rFonts w:ascii="黑体" w:hAnsi="黑体"/>
          <w:szCs w:val="18"/>
        </w:rPr>
        <w:t>大门开启</w:t>
      </w:r>
      <w:r>
        <w:rPr>
          <w:rFonts w:hint="eastAsia" w:ascii="黑体" w:hAnsi="黑体"/>
          <w:szCs w:val="18"/>
        </w:rPr>
        <w:t>范围内</w:t>
      </w:r>
      <w:r>
        <w:rPr>
          <w:rFonts w:ascii="黑体" w:hAnsi="黑体"/>
          <w:szCs w:val="18"/>
        </w:rPr>
        <w:t>应保证</w:t>
      </w:r>
      <w:r>
        <w:rPr>
          <w:rFonts w:hint="eastAsia" w:ascii="黑体" w:hAnsi="黑体"/>
          <w:szCs w:val="18"/>
        </w:rPr>
        <w:t>地坪</w:t>
      </w:r>
      <w:r>
        <w:rPr>
          <w:rFonts w:ascii="黑体" w:hAnsi="黑体"/>
          <w:szCs w:val="18"/>
        </w:rPr>
        <w:t>的</w:t>
      </w:r>
      <w:r>
        <w:rPr>
          <w:rFonts w:hint="eastAsia" w:ascii="黑体" w:hAnsi="黑体"/>
          <w:szCs w:val="18"/>
        </w:rPr>
        <w:t>平整，</w:t>
      </w:r>
      <w:r>
        <w:rPr>
          <w:rFonts w:ascii="黑体" w:hAnsi="黑体"/>
          <w:szCs w:val="18"/>
        </w:rPr>
        <w:t>开启范围外</w:t>
      </w:r>
      <w:r>
        <w:rPr>
          <w:rFonts w:hint="eastAsia" w:ascii="黑体" w:hAnsi="黑体"/>
          <w:szCs w:val="18"/>
        </w:rPr>
        <w:t>做</w:t>
      </w:r>
      <w:r>
        <w:rPr>
          <w:rFonts w:ascii="黑体" w:hAnsi="黑体"/>
          <w:szCs w:val="18"/>
        </w:rPr>
        <w:t>坡道。</w:t>
      </w:r>
    </w:p>
    <w:p w14:paraId="1C5CFF3A">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未尽</w:t>
      </w:r>
      <w:r>
        <w:rPr>
          <w:rFonts w:ascii="黑体" w:hAnsi="黑体"/>
          <w:szCs w:val="18"/>
        </w:rPr>
        <w:t>说明参考国标图集《</w:t>
      </w:r>
      <w:r>
        <w:rPr>
          <w:rFonts w:hint="eastAsia" w:ascii="黑体" w:hAnsi="黑体"/>
          <w:szCs w:val="18"/>
        </w:rPr>
        <w:t>围墙</w:t>
      </w:r>
      <w:r>
        <w:rPr>
          <w:rFonts w:ascii="黑体" w:hAnsi="黑体"/>
          <w:szCs w:val="18"/>
        </w:rPr>
        <w:t>大门》</w:t>
      </w:r>
      <w:r>
        <w:rPr>
          <w:rFonts w:hint="eastAsia" w:ascii="黑体" w:hAnsi="黑体"/>
          <w:szCs w:val="18"/>
        </w:rPr>
        <w:t>15J</w:t>
      </w:r>
      <w:r>
        <w:rPr>
          <w:rFonts w:ascii="黑体" w:hAnsi="黑体"/>
          <w:szCs w:val="18"/>
        </w:rPr>
        <w:t>001</w:t>
      </w:r>
      <w:r>
        <w:rPr>
          <w:rFonts w:hint="eastAsia" w:ascii="黑体" w:hAnsi="黑体"/>
          <w:szCs w:val="18"/>
        </w:rPr>
        <w:t>。</w:t>
      </w:r>
    </w:p>
    <w:p w14:paraId="1AB3F5F0">
      <w:pPr>
        <w:autoSpaceDE w:val="0"/>
        <w:autoSpaceDN w:val="0"/>
        <w:adjustRightInd w:val="0"/>
        <w:spacing w:line="360" w:lineRule="auto"/>
        <w:jc w:val="left"/>
        <w:rPr>
          <w:rFonts w:ascii="黑体" w:hAnsi="黑体" w:cs="宋体"/>
          <w:kern w:val="0"/>
          <w:szCs w:val="18"/>
        </w:rPr>
      </w:pPr>
    </w:p>
    <w:p w14:paraId="307F0B37">
      <w:pPr>
        <w:pStyle w:val="49"/>
        <w:numPr>
          <w:ilvl w:val="0"/>
          <w:numId w:val="49"/>
        </w:numPr>
        <w:autoSpaceDE w:val="0"/>
        <w:autoSpaceDN w:val="0"/>
        <w:adjustRightInd w:val="0"/>
        <w:spacing w:line="360" w:lineRule="auto"/>
        <w:ind w:firstLineChars="0"/>
        <w:jc w:val="left"/>
        <w:rPr>
          <w:rFonts w:ascii="黑体" w:hAnsi="黑体" w:cs="宋体"/>
          <w:b/>
          <w:kern w:val="0"/>
          <w:szCs w:val="18"/>
        </w:rPr>
      </w:pPr>
      <w:r>
        <w:rPr>
          <w:rFonts w:hint="eastAsia" w:ascii="黑体" w:hAnsi="黑体" w:cs="宋体"/>
          <w:b/>
          <w:kern w:val="0"/>
          <w:szCs w:val="18"/>
        </w:rPr>
        <w:t>选用要点</w:t>
      </w:r>
    </w:p>
    <w:p w14:paraId="37D12DD2">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设计师应根据不同使用场所的特点，按照相应的规范标准要求，合理选择适宜的栏杆和</w:t>
      </w:r>
      <w:r>
        <w:rPr>
          <w:rFonts w:ascii="黑体" w:hAnsi="黑体"/>
          <w:szCs w:val="18"/>
        </w:rPr>
        <w:t>围栏、大门</w:t>
      </w:r>
      <w:r>
        <w:rPr>
          <w:rFonts w:hint="eastAsia" w:ascii="黑体" w:hAnsi="黑体"/>
          <w:szCs w:val="18"/>
        </w:rPr>
        <w:t>样式、材质与构造。尤其应注意栏杆栏板的牢固、扶手高度、栏杆间距及防止儿童攀登等有关安全的因素，确保使用的安全可靠。同时</w:t>
      </w:r>
      <w:r>
        <w:rPr>
          <w:rFonts w:ascii="黑体" w:hAnsi="黑体"/>
          <w:szCs w:val="18"/>
        </w:rPr>
        <w:t>兼顾美观适用和经济合理的要求。</w:t>
      </w:r>
    </w:p>
    <w:p w14:paraId="78597366">
      <w:pPr>
        <w:autoSpaceDE w:val="0"/>
        <w:autoSpaceDN w:val="0"/>
        <w:adjustRightInd w:val="0"/>
        <w:spacing w:line="360" w:lineRule="auto"/>
        <w:jc w:val="left"/>
        <w:rPr>
          <w:rFonts w:ascii="黑体" w:hAnsi="黑体" w:cs="宋体"/>
          <w:kern w:val="0"/>
          <w:szCs w:val="18"/>
        </w:rPr>
      </w:pPr>
    </w:p>
    <w:p w14:paraId="58BC31C4">
      <w:pPr>
        <w:pStyle w:val="49"/>
        <w:numPr>
          <w:ilvl w:val="0"/>
          <w:numId w:val="49"/>
        </w:numPr>
        <w:autoSpaceDE w:val="0"/>
        <w:autoSpaceDN w:val="0"/>
        <w:adjustRightInd w:val="0"/>
        <w:spacing w:line="360" w:lineRule="auto"/>
        <w:ind w:firstLineChars="0"/>
        <w:jc w:val="left"/>
        <w:rPr>
          <w:rFonts w:ascii="黑体" w:hAnsi="黑体" w:cs="宋体"/>
          <w:b/>
          <w:kern w:val="0"/>
          <w:szCs w:val="18"/>
        </w:rPr>
      </w:pPr>
      <w:r>
        <w:rPr>
          <w:rFonts w:hint="eastAsia" w:ascii="黑体" w:hAnsi="黑体" w:cs="宋体"/>
          <w:b/>
          <w:kern w:val="0"/>
          <w:szCs w:val="18"/>
        </w:rPr>
        <w:t>参考标准图库（详基建2</w:t>
      </w:r>
      <w:r>
        <w:rPr>
          <w:rFonts w:ascii="黑体" w:hAnsi="黑体" w:cs="宋体"/>
          <w:b/>
          <w:kern w:val="0"/>
          <w:szCs w:val="18"/>
        </w:rPr>
        <w:t>T</w:t>
      </w:r>
      <w:r>
        <w:rPr>
          <w:rFonts w:hint="eastAsia" w:ascii="黑体" w:hAnsi="黑体" w:cs="宋体"/>
          <w:b/>
          <w:kern w:val="0"/>
          <w:szCs w:val="18"/>
        </w:rPr>
        <w:t>公</w:t>
      </w:r>
      <w:r>
        <w:rPr>
          <w:rFonts w:ascii="黑体" w:hAnsi="黑体" w:cs="宋体"/>
          <w:b/>
          <w:kern w:val="0"/>
          <w:szCs w:val="18"/>
        </w:rPr>
        <w:t>盘</w:t>
      </w:r>
      <w:r>
        <w:rPr>
          <w:rFonts w:hint="eastAsia" w:ascii="黑体" w:hAnsi="黑体" w:cs="宋体"/>
          <w:b/>
          <w:kern w:val="0"/>
          <w:szCs w:val="18"/>
        </w:rPr>
        <w:t>）</w:t>
      </w:r>
    </w:p>
    <w:p w14:paraId="7371515C">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消防</w:t>
      </w:r>
      <w:r>
        <w:rPr>
          <w:rFonts w:ascii="黑体" w:hAnsi="黑体"/>
          <w:szCs w:val="18"/>
        </w:rPr>
        <w:t>楼梯栏杆</w:t>
      </w:r>
    </w:p>
    <w:p w14:paraId="3A202BD1">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阳台</w:t>
      </w:r>
      <w:r>
        <w:rPr>
          <w:rFonts w:ascii="黑体" w:hAnsi="黑体"/>
          <w:szCs w:val="18"/>
        </w:rPr>
        <w:t>和护窗栏杆</w:t>
      </w:r>
    </w:p>
    <w:p w14:paraId="37F41077">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VIP项目</w:t>
      </w:r>
      <w:r>
        <w:rPr>
          <w:rFonts w:ascii="黑体" w:hAnsi="黑体"/>
          <w:szCs w:val="18"/>
        </w:rPr>
        <w:t>栏杆</w:t>
      </w:r>
    </w:p>
    <w:p w14:paraId="7F0D5C65">
      <w:pPr>
        <w:numPr>
          <w:ilvl w:val="2"/>
          <w:numId w:val="49"/>
        </w:numPr>
        <w:tabs>
          <w:tab w:val="left" w:pos="709"/>
        </w:tabs>
        <w:autoSpaceDE w:val="0"/>
        <w:autoSpaceDN w:val="0"/>
        <w:adjustRightInd w:val="0"/>
        <w:spacing w:line="360" w:lineRule="auto"/>
        <w:jc w:val="left"/>
        <w:rPr>
          <w:rFonts w:ascii="黑体" w:hAnsi="黑体"/>
          <w:szCs w:val="18"/>
        </w:rPr>
      </w:pPr>
      <w:r>
        <w:rPr>
          <w:rFonts w:hint="eastAsia" w:ascii="黑体" w:hAnsi="黑体"/>
          <w:szCs w:val="18"/>
        </w:rPr>
        <w:t>围墙</w:t>
      </w:r>
      <w:r>
        <w:rPr>
          <w:rFonts w:ascii="黑体" w:hAnsi="黑体"/>
          <w:szCs w:val="18"/>
        </w:rPr>
        <w:t>和</w:t>
      </w:r>
      <w:r>
        <w:rPr>
          <w:rFonts w:hint="eastAsia" w:ascii="黑体" w:hAnsi="黑体"/>
          <w:szCs w:val="18"/>
        </w:rPr>
        <w:t>室外栏杆</w:t>
      </w:r>
    </w:p>
    <w:p w14:paraId="6AA57A44">
      <w:pPr>
        <w:pStyle w:val="49"/>
        <w:spacing w:line="360" w:lineRule="auto"/>
        <w:ind w:firstLine="0" w:firstLineChars="0"/>
        <w:jc w:val="left"/>
        <w:rPr>
          <w:rFonts w:ascii="黑体" w:hAnsi="黑体"/>
          <w:szCs w:val="18"/>
        </w:rPr>
        <w:sectPr>
          <w:footerReference r:id="rId6" w:type="default"/>
          <w:pgSz w:w="11906" w:h="16838"/>
          <w:pgMar w:top="709" w:right="1133" w:bottom="720" w:left="1134" w:header="794" w:footer="490" w:gutter="0"/>
          <w:pgNumType w:fmt="decimal"/>
          <w:cols w:space="425" w:num="1"/>
          <w:docGrid w:type="lines" w:linePitch="312" w:charSpace="0"/>
        </w:sectPr>
      </w:pPr>
    </w:p>
    <w:p w14:paraId="32FDF775">
      <w:pPr>
        <w:pStyle w:val="2"/>
        <w:ind w:left="365" w:hanging="365"/>
        <w:rPr>
          <w:sz w:val="21"/>
        </w:rPr>
      </w:pPr>
      <w:bookmarkStart w:id="70" w:name="_Toc174556799"/>
      <w:bookmarkStart w:id="71" w:name="_Toc399688995"/>
      <w:r>
        <w:rPr>
          <w:sz w:val="21"/>
        </w:rPr>
        <w:t>保温/隔热</w:t>
      </w:r>
      <w:bookmarkEnd w:id="70"/>
      <w:bookmarkEnd w:id="71"/>
    </w:p>
    <w:p w14:paraId="75B94E43">
      <w:pPr>
        <w:pStyle w:val="3"/>
        <w:jc w:val="left"/>
      </w:pPr>
      <w:bookmarkStart w:id="72" w:name="_Toc174556800"/>
      <w:r>
        <w:rPr>
          <w:rFonts w:hint="eastAsia"/>
        </w:rPr>
        <w:t>规范规程</w:t>
      </w:r>
      <w:bookmarkEnd w:id="72"/>
    </w:p>
    <w:p w14:paraId="424D3359">
      <w:pPr>
        <w:pStyle w:val="111"/>
        <w:jc w:val="left"/>
      </w:pPr>
      <w:r>
        <w:rPr>
          <w:rFonts w:hint="eastAsia"/>
        </w:rPr>
        <w:t>《公共建筑节能设计标准》（GB50189）</w:t>
      </w:r>
    </w:p>
    <w:p w14:paraId="6C5CE7C6">
      <w:pPr>
        <w:pStyle w:val="111"/>
        <w:jc w:val="left"/>
      </w:pPr>
      <w:r>
        <w:rPr>
          <w:rFonts w:hint="eastAsia"/>
        </w:rPr>
        <w:t>《倒置式屋面工程技术规程》(JGJ230)</w:t>
      </w:r>
    </w:p>
    <w:p w14:paraId="034CF75F">
      <w:pPr>
        <w:pStyle w:val="111"/>
        <w:jc w:val="left"/>
      </w:pPr>
      <w:r>
        <w:t>《外墙外保温工技术规程》</w:t>
      </w:r>
      <w:r>
        <w:rPr>
          <w:rFonts w:hint="eastAsia"/>
        </w:rPr>
        <w:t>（</w:t>
      </w:r>
      <w:r>
        <w:t>JGJ144</w:t>
      </w:r>
      <w:r>
        <w:rPr>
          <w:rFonts w:hint="eastAsia"/>
        </w:rPr>
        <w:t>）</w:t>
      </w:r>
    </w:p>
    <w:p w14:paraId="4A786D6C">
      <w:pPr>
        <w:pStyle w:val="111"/>
        <w:numPr>
          <w:ilvl w:val="0"/>
          <w:numId w:val="0"/>
        </w:numPr>
        <w:ind w:left="851"/>
        <w:jc w:val="left"/>
      </w:pPr>
    </w:p>
    <w:p w14:paraId="43CCB7D1">
      <w:pPr>
        <w:pStyle w:val="3"/>
        <w:jc w:val="left"/>
      </w:pPr>
      <w:bookmarkStart w:id="73" w:name="_Toc174556801"/>
      <w:bookmarkStart w:id="74" w:name="_Toc399688997"/>
      <w:r>
        <w:rPr>
          <w:rFonts w:hint="eastAsia"/>
        </w:rPr>
        <w:t>绝热用挤塑聚苯板</w:t>
      </w:r>
      <w:bookmarkEnd w:id="73"/>
      <w:bookmarkEnd w:id="74"/>
    </w:p>
    <w:p w14:paraId="1DC3FE0B">
      <w:pPr>
        <w:pStyle w:val="97"/>
      </w:pPr>
      <w:r>
        <w:rPr>
          <w:rFonts w:hint="eastAsia"/>
        </w:rPr>
        <w:t>一般使用部位</w:t>
      </w:r>
    </w:p>
    <w:p w14:paraId="59F164F4">
      <w:pPr>
        <w:pStyle w:val="49"/>
        <w:spacing w:line="360" w:lineRule="auto"/>
        <w:ind w:left="851" w:firstLine="900" w:firstLineChars="500"/>
        <w:jc w:val="left"/>
        <w:rPr>
          <w:rFonts w:ascii="黑体" w:hAnsi="黑体"/>
          <w:bCs/>
          <w:szCs w:val="18"/>
        </w:rPr>
      </w:pPr>
      <w:r>
        <w:rPr>
          <w:rFonts w:hint="eastAsia" w:ascii="黑体" w:hAnsi="黑体"/>
          <w:bCs/>
          <w:szCs w:val="18"/>
        </w:rPr>
        <w:t>按设计</w:t>
      </w:r>
      <w:r>
        <w:rPr>
          <w:rFonts w:ascii="黑体" w:hAnsi="黑体"/>
          <w:bCs/>
          <w:szCs w:val="18"/>
        </w:rPr>
        <w:t>要求</w:t>
      </w:r>
    </w:p>
    <w:p w14:paraId="6E28EA34">
      <w:pPr>
        <w:pStyle w:val="49"/>
        <w:spacing w:line="360" w:lineRule="auto"/>
        <w:ind w:left="284" w:hanging="284" w:firstLineChars="0"/>
        <w:jc w:val="left"/>
        <w:rPr>
          <w:rFonts w:ascii="黑体" w:hAnsi="黑体"/>
          <w:bCs/>
          <w:szCs w:val="18"/>
        </w:rPr>
      </w:pPr>
    </w:p>
    <w:p w14:paraId="1D1D6747">
      <w:pPr>
        <w:pStyle w:val="97"/>
      </w:pPr>
      <w:r>
        <w:t>技术规范</w:t>
      </w:r>
      <w:r>
        <w:rPr>
          <w:rFonts w:hint="eastAsia"/>
        </w:rPr>
        <w:t>、规程</w:t>
      </w:r>
    </w:p>
    <w:p w14:paraId="60870BB5">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《绝热用挤塑聚苯乙烯泡沫塑料》GB/T10801.2</w:t>
      </w:r>
    </w:p>
    <w:p w14:paraId="1E652E2D">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《建筑材料及制品燃烧性能分级》GB8624</w:t>
      </w:r>
    </w:p>
    <w:p w14:paraId="4478F1E1">
      <w:pPr>
        <w:pStyle w:val="49"/>
        <w:spacing w:line="360" w:lineRule="auto"/>
        <w:ind w:left="284" w:hanging="284" w:firstLineChars="0"/>
        <w:jc w:val="left"/>
        <w:rPr>
          <w:rFonts w:ascii="黑体" w:hAnsi="黑体" w:cs="宋体"/>
          <w:kern w:val="0"/>
          <w:szCs w:val="18"/>
        </w:rPr>
      </w:pPr>
    </w:p>
    <w:p w14:paraId="5AEFF89A">
      <w:pPr>
        <w:pStyle w:val="97"/>
      </w:pPr>
      <w:r>
        <w:rPr>
          <w:rFonts w:hint="eastAsia"/>
        </w:rPr>
        <w:t>设计指标（需结合项目具体计算）</w:t>
      </w:r>
    </w:p>
    <w:p w14:paraId="75E155F0">
      <w:pPr>
        <w:pStyle w:val="111"/>
        <w:jc w:val="left"/>
      </w:pPr>
      <w:r>
        <w:t>燃烧性能：</w:t>
      </w:r>
      <w:r>
        <w:rPr>
          <w:rFonts w:hint="eastAsia"/>
        </w:rPr>
        <w:t>根据《建筑材料及制品燃烧性能分级》规定</w:t>
      </w:r>
    </w:p>
    <w:p w14:paraId="5BF112A2">
      <w:pPr>
        <w:pStyle w:val="49"/>
        <w:spacing w:line="360" w:lineRule="auto"/>
        <w:ind w:left="851" w:firstLine="990" w:firstLineChars="550"/>
        <w:jc w:val="left"/>
        <w:rPr>
          <w:rFonts w:ascii="黑体" w:hAnsi="黑体" w:cs="宋体"/>
          <w:kern w:val="0"/>
          <w:szCs w:val="18"/>
        </w:rPr>
      </w:pPr>
      <w:r>
        <w:rPr>
          <w:rFonts w:hint="eastAsia" w:ascii="黑体" w:hAnsi="黑体" w:cs="宋体"/>
          <w:kern w:val="0"/>
          <w:szCs w:val="18"/>
        </w:rPr>
        <w:t>屋面、泛水侧墙</w:t>
      </w:r>
      <w:r>
        <w:rPr>
          <w:rFonts w:ascii="黑体" w:hAnsi="黑体" w:cs="宋体"/>
          <w:kern w:val="0"/>
          <w:szCs w:val="18"/>
        </w:rPr>
        <w:t xml:space="preserve">B1级 </w:t>
      </w:r>
      <w:r>
        <w:rPr>
          <w:rFonts w:hint="eastAsia" w:ascii="黑体" w:hAnsi="黑体" w:cs="宋体"/>
          <w:kern w:val="0"/>
          <w:szCs w:val="18"/>
        </w:rPr>
        <w:t>，其余B2</w:t>
      </w:r>
    </w:p>
    <w:p w14:paraId="5E41AEE5">
      <w:pPr>
        <w:pStyle w:val="111"/>
        <w:jc w:val="left"/>
      </w:pPr>
      <w:r>
        <w:rPr>
          <w:rFonts w:hint="eastAsia"/>
        </w:rPr>
        <w:t>尺寸稳定性≤1.0%</w:t>
      </w:r>
    </w:p>
    <w:p w14:paraId="787FFF0E">
      <w:pPr>
        <w:pStyle w:val="111"/>
        <w:jc w:val="left"/>
      </w:pPr>
      <w:r>
        <w:rPr>
          <w:rFonts w:hint="eastAsia"/>
        </w:rPr>
        <w:t>导热系数≤0.03W/(m.k)</w:t>
      </w:r>
    </w:p>
    <w:p w14:paraId="12479696">
      <w:pPr>
        <w:pStyle w:val="111"/>
        <w:jc w:val="left"/>
      </w:pPr>
      <w:r>
        <w:rPr>
          <w:rFonts w:hint="eastAsia"/>
        </w:rPr>
        <w:t>压缩强度应符合</w:t>
      </w:r>
      <w:r>
        <w:t>设计要求</w:t>
      </w:r>
      <w:r>
        <w:rPr>
          <w:rFonts w:hint="eastAsia"/>
        </w:rPr>
        <w:t>。</w:t>
      </w:r>
      <w:r>
        <w:t>当设计要求不明时，屋面</w:t>
      </w:r>
      <w:r>
        <w:rPr>
          <w:rFonts w:hint="eastAsia"/>
        </w:rPr>
        <w:t>≥</w:t>
      </w:r>
      <w:r>
        <w:t>2</w:t>
      </w:r>
      <w:r>
        <w:rPr>
          <w:rFonts w:hint="eastAsia"/>
        </w:rPr>
        <w:t>50（kPa），</w:t>
      </w:r>
      <w:r>
        <w:t>地库顶板</w:t>
      </w:r>
      <w:r>
        <w:rPr>
          <w:rFonts w:hint="eastAsia"/>
        </w:rPr>
        <w:t>：</w:t>
      </w:r>
      <w:r>
        <w:t>屋面</w:t>
      </w:r>
      <w:r>
        <w:rPr>
          <w:rFonts w:hint="eastAsia"/>
        </w:rPr>
        <w:t>≥</w:t>
      </w:r>
      <w:r>
        <w:t>3</w:t>
      </w:r>
      <w:r>
        <w:rPr>
          <w:rFonts w:hint="eastAsia"/>
        </w:rPr>
        <w:t>50（kPa）</w:t>
      </w:r>
    </w:p>
    <w:p w14:paraId="75659E83">
      <w:pPr>
        <w:pStyle w:val="111"/>
        <w:jc w:val="left"/>
      </w:pPr>
      <w:r>
        <w:rPr>
          <w:rFonts w:hint="eastAsia"/>
        </w:rPr>
        <w:t>体积吸水率≯1.5%</w:t>
      </w:r>
    </w:p>
    <w:p w14:paraId="6617B74C">
      <w:pPr>
        <w:pStyle w:val="111"/>
        <w:jc w:val="left"/>
      </w:pPr>
      <w:r>
        <w:t>外观质量：表面平整，无夹杂物，颜色均匀，无明显影响使用的缺陷，如起泡、裂口、变形等</w:t>
      </w:r>
      <w:r>
        <w:rPr>
          <w:rFonts w:hint="eastAsia"/>
        </w:rPr>
        <w:t>。</w:t>
      </w:r>
    </w:p>
    <w:p w14:paraId="73C41CEF">
      <w:pPr>
        <w:pStyle w:val="111"/>
        <w:jc w:val="left"/>
      </w:pPr>
      <w:r>
        <w:t>原材料：不可采用回收料</w:t>
      </w:r>
    </w:p>
    <w:p w14:paraId="66F5A27E">
      <w:pPr>
        <w:pStyle w:val="111"/>
        <w:jc w:val="left"/>
      </w:pPr>
      <w:r>
        <w:t xml:space="preserve">专用粘结砂浆：粘结强度≥0.25MPa（与保温板） </w:t>
      </w:r>
    </w:p>
    <w:p w14:paraId="312E190C">
      <w:pPr>
        <w:pStyle w:val="111"/>
        <w:jc w:val="left"/>
      </w:pPr>
      <w:r>
        <w:t>材料相容性</w:t>
      </w:r>
      <w:r>
        <w:rPr>
          <w:rFonts w:hint="eastAsia"/>
        </w:rPr>
        <w:t>：</w:t>
      </w:r>
      <w:r>
        <w:t>提供的使用材料的在其涂料系统中和其他组分和指定的底漆的相容，相容性由制造商经过现场试验和检测证明。</w:t>
      </w:r>
    </w:p>
    <w:p w14:paraId="5CF6A1F5">
      <w:pPr>
        <w:pStyle w:val="111"/>
        <w:jc w:val="left"/>
      </w:pPr>
      <w:r>
        <w:rPr>
          <w:rFonts w:hint="eastAsia"/>
        </w:rPr>
        <w:t>导热系数试验应自产品生产之日起在规定环境条件下放置90天后进行，其他性能试验样品应自产品生产之日起在规定环境条件下放置45天后进行，试验方法和检测规则应按GB/T10801.2的规定执行。</w:t>
      </w:r>
    </w:p>
    <w:p w14:paraId="66C01431">
      <w:pPr>
        <w:pStyle w:val="111"/>
        <w:numPr>
          <w:ilvl w:val="0"/>
          <w:numId w:val="0"/>
        </w:numPr>
        <w:ind w:left="851"/>
        <w:jc w:val="left"/>
      </w:pPr>
    </w:p>
    <w:p w14:paraId="3C24AF5D">
      <w:pPr>
        <w:pStyle w:val="97"/>
      </w:pPr>
      <w:r>
        <w:t>提交资料</w:t>
      </w:r>
    </w:p>
    <w:p w14:paraId="7054D53B">
      <w:pPr>
        <w:pStyle w:val="111"/>
        <w:jc w:val="left"/>
      </w:pPr>
      <w:r>
        <w:t xml:space="preserve">产品资料：每种指定产品的资料 </w:t>
      </w:r>
      <w:r>
        <w:rPr>
          <w:rFonts w:hint="eastAsia"/>
        </w:rPr>
        <w:t>：</w:t>
      </w:r>
    </w:p>
    <w:p w14:paraId="6B2CEF48">
      <w:pPr>
        <w:pStyle w:val="49"/>
        <w:spacing w:line="360" w:lineRule="auto"/>
        <w:ind w:left="851" w:firstLine="0" w:firstLineChars="0"/>
        <w:jc w:val="left"/>
        <w:rPr>
          <w:rFonts w:ascii="黑体" w:hAnsi="黑体" w:cs="宋体"/>
          <w:kern w:val="0"/>
          <w:szCs w:val="18"/>
        </w:rPr>
      </w:pPr>
      <w:r>
        <w:rPr>
          <w:rFonts w:ascii="黑体" w:hAnsi="黑体" w:cs="宋体"/>
          <w:kern w:val="0"/>
          <w:szCs w:val="18"/>
        </w:rPr>
        <w:t>供应商的技术规格书和其他能证明产品满足标准和本规格书要求的文件。</w:t>
      </w:r>
    </w:p>
    <w:p w14:paraId="4F908354">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如果制造商的推荐做法的得到设计师的确认，将作为工程中的参考做法。 </w:t>
      </w:r>
    </w:p>
    <w:p w14:paraId="3E5F0660">
      <w:pPr>
        <w:pStyle w:val="111"/>
        <w:jc w:val="left"/>
      </w:pPr>
      <w:r>
        <w:t>供确认样品：提供300mm*300mm大小的样品。</w:t>
      </w:r>
    </w:p>
    <w:p w14:paraId="5127C6A9">
      <w:pPr>
        <w:pStyle w:val="111"/>
        <w:jc w:val="left"/>
      </w:pPr>
      <w:r>
        <w:rPr>
          <w:rFonts w:hint="eastAsia"/>
        </w:rPr>
        <w:t>出厂合格证、中文说明。</w:t>
      </w:r>
    </w:p>
    <w:p w14:paraId="7C6E1ABA">
      <w:pPr>
        <w:pStyle w:val="111"/>
        <w:jc w:val="left"/>
      </w:pPr>
      <w:r>
        <w:t>产品检测报告：提供合格保温材料测试机构对材料进行综合测试的评估文件</w:t>
      </w:r>
    </w:p>
    <w:p w14:paraId="7959389F">
      <w:pPr>
        <w:pStyle w:val="49"/>
        <w:spacing w:line="360" w:lineRule="auto"/>
        <w:ind w:left="426" w:hanging="426" w:firstLineChars="0"/>
        <w:jc w:val="left"/>
        <w:rPr>
          <w:rFonts w:ascii="黑体" w:hAnsi="黑体" w:cs="宋体"/>
          <w:kern w:val="0"/>
          <w:szCs w:val="18"/>
        </w:rPr>
      </w:pPr>
    </w:p>
    <w:p w14:paraId="763CE9A6">
      <w:pPr>
        <w:pStyle w:val="97"/>
      </w:pPr>
      <w:r>
        <w:t xml:space="preserve">质量保证 </w:t>
      </w:r>
    </w:p>
    <w:p w14:paraId="4DC8C750">
      <w:pPr>
        <w:pStyle w:val="111"/>
        <w:jc w:val="left"/>
      </w:pPr>
      <w:r>
        <w:t>材料：从同一制造商提供，保证材料匹配。</w:t>
      </w:r>
    </w:p>
    <w:p w14:paraId="46100EC6">
      <w:pPr>
        <w:pStyle w:val="111"/>
        <w:jc w:val="left"/>
      </w:pPr>
      <w:r>
        <w:t>施工者资质：至少2年的施工本材料的经验，合格的施工方应得到保温材料制造商认可，并能够满足厂商质保要求。</w:t>
      </w:r>
    </w:p>
    <w:p w14:paraId="626A0B1D">
      <w:pPr>
        <w:pStyle w:val="49"/>
        <w:spacing w:line="360" w:lineRule="auto"/>
        <w:ind w:left="1260" w:hanging="426" w:firstLineChars="0"/>
        <w:jc w:val="left"/>
        <w:rPr>
          <w:rFonts w:ascii="黑体" w:hAnsi="黑体" w:cs="宋体"/>
          <w:kern w:val="0"/>
          <w:szCs w:val="18"/>
        </w:rPr>
      </w:pPr>
    </w:p>
    <w:p w14:paraId="4F4885B4">
      <w:pPr>
        <w:pStyle w:val="97"/>
      </w:pPr>
      <w:r>
        <w:rPr>
          <w:rFonts w:hint="eastAsia"/>
        </w:rPr>
        <w:t>施工要求</w:t>
      </w:r>
    </w:p>
    <w:p w14:paraId="28B0C10F">
      <w:pPr>
        <w:pStyle w:val="111"/>
        <w:jc w:val="left"/>
      </w:pPr>
      <w:r>
        <w:t xml:space="preserve">安装总则 </w:t>
      </w:r>
    </w:p>
    <w:p w14:paraId="583A3C01">
      <w:pPr>
        <w:pStyle w:val="49"/>
        <w:numPr>
          <w:ilvl w:val="0"/>
          <w:numId w:val="50"/>
        </w:numPr>
        <w:spacing w:line="360" w:lineRule="auto"/>
        <w:ind w:firstLineChars="0"/>
        <w:jc w:val="left"/>
        <w:rPr>
          <w:rFonts w:ascii="黑体" w:hAnsi="黑体"/>
          <w:szCs w:val="18"/>
        </w:rPr>
      </w:pPr>
      <w:r>
        <w:rPr>
          <w:rFonts w:ascii="黑体" w:hAnsi="黑体"/>
          <w:szCs w:val="18"/>
        </w:rPr>
        <w:t xml:space="preserve">遵循产品供应商书面技术指导说明进行产品施工 </w:t>
      </w:r>
    </w:p>
    <w:p w14:paraId="291A4F0D">
      <w:pPr>
        <w:pStyle w:val="49"/>
        <w:numPr>
          <w:ilvl w:val="0"/>
          <w:numId w:val="50"/>
        </w:numPr>
        <w:spacing w:line="360" w:lineRule="auto"/>
        <w:ind w:firstLineChars="0"/>
        <w:jc w:val="left"/>
        <w:rPr>
          <w:rFonts w:ascii="黑体" w:hAnsi="黑体"/>
          <w:szCs w:val="18"/>
        </w:rPr>
      </w:pPr>
      <w:r>
        <w:rPr>
          <w:rFonts w:ascii="黑体" w:hAnsi="黑体"/>
          <w:szCs w:val="18"/>
        </w:rPr>
        <w:t xml:space="preserve">安装无损、干燥、清洁的保温板，任何时候都不得直接暴露在雨雪环境下 </w:t>
      </w:r>
    </w:p>
    <w:p w14:paraId="6DC822BF">
      <w:pPr>
        <w:pStyle w:val="49"/>
        <w:numPr>
          <w:ilvl w:val="0"/>
          <w:numId w:val="50"/>
        </w:numPr>
        <w:spacing w:line="360" w:lineRule="auto"/>
        <w:ind w:firstLineChars="0"/>
        <w:jc w:val="left"/>
        <w:rPr>
          <w:rFonts w:ascii="黑体" w:hAnsi="黑体"/>
          <w:szCs w:val="18"/>
        </w:rPr>
      </w:pPr>
      <w:r>
        <w:rPr>
          <w:rFonts w:ascii="黑体" w:hAnsi="黑体"/>
          <w:szCs w:val="18"/>
        </w:rPr>
        <w:t xml:space="preserve">保温材料铺设注意包边，确保整个区域都被保温板包裹。切割边缘整齐，铺设紧凑。 </w:t>
      </w:r>
    </w:p>
    <w:p w14:paraId="4557575A">
      <w:pPr>
        <w:pStyle w:val="49"/>
        <w:numPr>
          <w:ilvl w:val="0"/>
          <w:numId w:val="50"/>
        </w:numPr>
        <w:spacing w:line="360" w:lineRule="auto"/>
        <w:ind w:firstLineChars="0"/>
        <w:jc w:val="left"/>
        <w:rPr>
          <w:rFonts w:ascii="黑体" w:hAnsi="黑体"/>
          <w:szCs w:val="18"/>
        </w:rPr>
      </w:pPr>
      <w:r>
        <w:rPr>
          <w:rFonts w:ascii="黑体" w:hAnsi="黑体"/>
          <w:szCs w:val="18"/>
        </w:rPr>
        <w:t xml:space="preserve">如果水管安装在带保温的墙体上，调整水管安装在墙体保温的温暖一侧，并有保温材料保护。 </w:t>
      </w:r>
    </w:p>
    <w:p w14:paraId="193372F6">
      <w:pPr>
        <w:pStyle w:val="111"/>
        <w:jc w:val="left"/>
      </w:pPr>
      <w:r>
        <w:t xml:space="preserve">保温施工 </w:t>
      </w:r>
    </w:p>
    <w:p w14:paraId="32B5F3C0">
      <w:pPr>
        <w:pStyle w:val="49"/>
        <w:numPr>
          <w:ilvl w:val="0"/>
          <w:numId w:val="51"/>
        </w:numPr>
        <w:spacing w:line="360" w:lineRule="auto"/>
        <w:ind w:firstLineChars="0"/>
        <w:jc w:val="left"/>
        <w:rPr>
          <w:rFonts w:ascii="黑体" w:hAnsi="黑体"/>
          <w:szCs w:val="18"/>
        </w:rPr>
      </w:pPr>
      <w:r>
        <w:rPr>
          <w:rFonts w:ascii="黑体" w:hAnsi="黑体"/>
          <w:szCs w:val="18"/>
        </w:rPr>
        <w:t xml:space="preserve">垂直墙面按照供应商指导说明书，使用产品供应商推荐的胶粘剂进行铺贴施工。 除非有特殊说明，地下室保温板施工区域的最上边缘必须低于室外地平面610mm以下。 </w:t>
      </w:r>
    </w:p>
    <w:p w14:paraId="4D704BA0">
      <w:pPr>
        <w:pStyle w:val="49"/>
        <w:numPr>
          <w:ilvl w:val="0"/>
          <w:numId w:val="51"/>
        </w:numPr>
        <w:spacing w:line="360" w:lineRule="auto"/>
        <w:ind w:firstLineChars="0"/>
        <w:jc w:val="left"/>
        <w:rPr>
          <w:rFonts w:ascii="黑体" w:hAnsi="黑体"/>
          <w:szCs w:val="18"/>
        </w:rPr>
      </w:pPr>
      <w:r>
        <w:rPr>
          <w:rFonts w:ascii="黑体" w:hAnsi="黑体"/>
          <w:szCs w:val="18"/>
        </w:rPr>
        <w:t xml:space="preserve">水平施工区域，根据供应商指导说明书进行空铺，错缝拼接，接缝紧凑。 </w:t>
      </w:r>
    </w:p>
    <w:p w14:paraId="2E5B1471">
      <w:pPr>
        <w:pStyle w:val="49"/>
        <w:numPr>
          <w:ilvl w:val="0"/>
          <w:numId w:val="51"/>
        </w:numPr>
        <w:spacing w:line="360" w:lineRule="auto"/>
        <w:ind w:firstLineChars="0"/>
        <w:jc w:val="left"/>
        <w:rPr>
          <w:rFonts w:ascii="黑体" w:hAnsi="黑体"/>
          <w:szCs w:val="18"/>
        </w:rPr>
      </w:pPr>
      <w:r>
        <w:rPr>
          <w:rFonts w:ascii="黑体" w:hAnsi="黑体"/>
          <w:szCs w:val="18"/>
        </w:rPr>
        <w:t xml:space="preserve">进行回填土工程时，必须对地平面以下的地下室墙面保温板进行有效保护以免受损。 </w:t>
      </w:r>
    </w:p>
    <w:p w14:paraId="76184065">
      <w:pPr>
        <w:pStyle w:val="49"/>
        <w:numPr>
          <w:ilvl w:val="0"/>
          <w:numId w:val="51"/>
        </w:numPr>
        <w:spacing w:line="360" w:lineRule="auto"/>
        <w:ind w:firstLineChars="0"/>
        <w:jc w:val="left"/>
        <w:rPr>
          <w:rFonts w:ascii="黑体" w:hAnsi="黑体"/>
          <w:szCs w:val="18"/>
        </w:rPr>
      </w:pPr>
      <w:r>
        <w:rPr>
          <w:rFonts w:ascii="黑体" w:hAnsi="黑体"/>
          <w:szCs w:val="18"/>
        </w:rPr>
        <w:t>基层表面应平整、洁净，对表面泥浆、垃圾浮浆应铲除干净。</w:t>
      </w:r>
    </w:p>
    <w:p w14:paraId="3B15434D">
      <w:pPr>
        <w:pStyle w:val="49"/>
        <w:numPr>
          <w:ilvl w:val="0"/>
          <w:numId w:val="51"/>
        </w:numPr>
        <w:spacing w:line="360" w:lineRule="auto"/>
        <w:ind w:firstLineChars="0"/>
        <w:jc w:val="left"/>
        <w:rPr>
          <w:rFonts w:ascii="黑体" w:hAnsi="黑体"/>
          <w:szCs w:val="18"/>
        </w:rPr>
      </w:pPr>
      <w:r>
        <w:rPr>
          <w:rFonts w:ascii="黑体" w:hAnsi="黑体"/>
          <w:szCs w:val="18"/>
        </w:rPr>
        <w:t xml:space="preserve">封闭式保温层的含水率应相当于该材料在当地风干状态下的平衡含水率，其保温层的含水率应当符合设计要求或产品说明书的相关规定 </w:t>
      </w:r>
    </w:p>
    <w:p w14:paraId="5284A818">
      <w:pPr>
        <w:pStyle w:val="49"/>
        <w:numPr>
          <w:ilvl w:val="0"/>
          <w:numId w:val="51"/>
        </w:numPr>
        <w:spacing w:line="360" w:lineRule="auto"/>
        <w:ind w:firstLineChars="0"/>
        <w:jc w:val="left"/>
        <w:rPr>
          <w:rFonts w:ascii="黑体" w:hAnsi="黑体"/>
          <w:szCs w:val="18"/>
        </w:rPr>
      </w:pPr>
      <w:r>
        <w:rPr>
          <w:rFonts w:ascii="黑体" w:hAnsi="黑体"/>
          <w:szCs w:val="18"/>
        </w:rPr>
        <w:t>穿结构的管根在保温层施工前，应用细石混凝土塞堵密实。</w:t>
      </w:r>
    </w:p>
    <w:p w14:paraId="1520B5D8">
      <w:pPr>
        <w:pStyle w:val="49"/>
        <w:numPr>
          <w:ilvl w:val="0"/>
          <w:numId w:val="51"/>
        </w:numPr>
        <w:spacing w:line="360" w:lineRule="auto"/>
        <w:ind w:firstLineChars="0"/>
        <w:jc w:val="left"/>
        <w:rPr>
          <w:rFonts w:ascii="黑体" w:hAnsi="黑体"/>
          <w:szCs w:val="18"/>
        </w:rPr>
      </w:pPr>
      <w:r>
        <w:rPr>
          <w:rFonts w:ascii="黑体" w:hAnsi="黑体"/>
          <w:szCs w:val="18"/>
        </w:rPr>
        <w:t xml:space="preserve">屋面保温层干燥有困难时，应采用排气措施。屋面的排气出口应埋设排气管，排气管宜设置在结构层上，穿过保温层及排气管的壁管四周应打排气孔，排气管应做防水处理。 </w:t>
      </w:r>
    </w:p>
    <w:p w14:paraId="7F7AAEA6">
      <w:pPr>
        <w:pStyle w:val="49"/>
        <w:numPr>
          <w:ilvl w:val="0"/>
          <w:numId w:val="51"/>
        </w:numPr>
        <w:spacing w:line="360" w:lineRule="auto"/>
        <w:ind w:firstLineChars="0"/>
        <w:jc w:val="left"/>
        <w:rPr>
          <w:rFonts w:ascii="黑体" w:hAnsi="黑体"/>
          <w:szCs w:val="18"/>
        </w:rPr>
      </w:pPr>
      <w:r>
        <w:rPr>
          <w:rFonts w:ascii="黑体" w:hAnsi="黑体"/>
          <w:szCs w:val="18"/>
        </w:rPr>
        <w:t xml:space="preserve">粘结铺设板块状保温层 </w:t>
      </w:r>
    </w:p>
    <w:p w14:paraId="632293E4">
      <w:pPr>
        <w:pStyle w:val="49"/>
        <w:numPr>
          <w:ilvl w:val="0"/>
          <w:numId w:val="51"/>
        </w:numPr>
        <w:spacing w:line="360" w:lineRule="auto"/>
        <w:ind w:firstLineChars="0"/>
        <w:jc w:val="left"/>
        <w:rPr>
          <w:rFonts w:ascii="黑体" w:hAnsi="黑体"/>
          <w:szCs w:val="18"/>
        </w:rPr>
      </w:pPr>
      <w:r>
        <w:rPr>
          <w:rFonts w:ascii="黑体" w:hAnsi="黑体"/>
          <w:szCs w:val="18"/>
        </w:rPr>
        <w:t xml:space="preserve">用专用胶粘剂粘贴的板状保温层、板状保温材料之间和保温材料与基层之间应满涂胶结材料，使其互相贴严、粘牢 </w:t>
      </w:r>
    </w:p>
    <w:p w14:paraId="4BC873F3">
      <w:pPr>
        <w:pStyle w:val="49"/>
        <w:numPr>
          <w:ilvl w:val="0"/>
          <w:numId w:val="51"/>
        </w:numPr>
        <w:spacing w:line="360" w:lineRule="auto"/>
        <w:ind w:firstLineChars="0"/>
        <w:jc w:val="left"/>
        <w:rPr>
          <w:rFonts w:ascii="黑体" w:hAnsi="黑体"/>
          <w:szCs w:val="18"/>
        </w:rPr>
      </w:pPr>
      <w:r>
        <w:rPr>
          <w:rFonts w:ascii="黑体" w:hAnsi="黑体"/>
          <w:szCs w:val="18"/>
        </w:rPr>
        <w:t>用有机胶粘剂粘贴的板状材料保温层，胶粘剂或水泥砂浆施工环境温度不低于5</w:t>
      </w:r>
      <w:r>
        <w:rPr>
          <w:rFonts w:hint="eastAsia" w:ascii="黑体" w:hAnsi="黑体"/>
          <w:szCs w:val="18"/>
        </w:rPr>
        <w:t>℃</w:t>
      </w:r>
      <w:r>
        <w:rPr>
          <w:rFonts w:ascii="黑体" w:hAnsi="黑体"/>
          <w:szCs w:val="18"/>
        </w:rPr>
        <w:t xml:space="preserve">。 </w:t>
      </w:r>
    </w:p>
    <w:p w14:paraId="686F9562">
      <w:pPr>
        <w:pStyle w:val="49"/>
        <w:numPr>
          <w:ilvl w:val="0"/>
          <w:numId w:val="51"/>
        </w:numPr>
        <w:spacing w:line="360" w:lineRule="auto"/>
        <w:ind w:firstLineChars="0"/>
        <w:jc w:val="left"/>
        <w:rPr>
          <w:rFonts w:ascii="黑体" w:hAnsi="黑体"/>
          <w:szCs w:val="18"/>
        </w:rPr>
      </w:pPr>
      <w:r>
        <w:rPr>
          <w:rFonts w:ascii="黑体" w:hAnsi="黑体"/>
          <w:szCs w:val="18"/>
        </w:rPr>
        <w:t xml:space="preserve">采用粘贴法铺贴的块状保温材料在铺设后，在粘接剂凝固前不得上人踩踏。 </w:t>
      </w:r>
    </w:p>
    <w:p w14:paraId="7472242D">
      <w:pPr>
        <w:pStyle w:val="49"/>
        <w:numPr>
          <w:ilvl w:val="0"/>
          <w:numId w:val="51"/>
        </w:numPr>
        <w:spacing w:line="360" w:lineRule="auto"/>
        <w:ind w:firstLineChars="0"/>
        <w:jc w:val="left"/>
        <w:rPr>
          <w:rFonts w:ascii="黑体" w:hAnsi="黑体"/>
          <w:szCs w:val="18"/>
        </w:rPr>
      </w:pPr>
      <w:r>
        <w:rPr>
          <w:rFonts w:ascii="黑体" w:hAnsi="黑体"/>
          <w:szCs w:val="18"/>
        </w:rPr>
        <w:t xml:space="preserve">雨天、雪天和五级风及其以上是不得施工；当施工中途下雨、下雪时，应采取遮盖措施。 </w:t>
      </w:r>
    </w:p>
    <w:p w14:paraId="5F8A479D">
      <w:pPr>
        <w:pStyle w:val="111"/>
        <w:jc w:val="left"/>
      </w:pPr>
      <w:r>
        <w:t xml:space="preserve">保护 </w:t>
      </w:r>
    </w:p>
    <w:p w14:paraId="20ECC318">
      <w:pPr>
        <w:pStyle w:val="49"/>
        <w:numPr>
          <w:ilvl w:val="0"/>
          <w:numId w:val="52"/>
        </w:numPr>
        <w:spacing w:line="360" w:lineRule="auto"/>
        <w:ind w:firstLineChars="0"/>
        <w:jc w:val="left"/>
        <w:rPr>
          <w:rFonts w:ascii="黑体" w:hAnsi="黑体"/>
          <w:szCs w:val="18"/>
        </w:rPr>
      </w:pPr>
      <w:r>
        <w:rPr>
          <w:rFonts w:hint="eastAsia" w:ascii="黑体" w:hAnsi="黑体"/>
          <w:szCs w:val="18"/>
        </w:rPr>
        <w:t>地下室外墙：</w:t>
      </w:r>
      <w:r>
        <w:rPr>
          <w:rFonts w:ascii="黑体" w:hAnsi="黑体"/>
          <w:szCs w:val="18"/>
        </w:rPr>
        <w:t xml:space="preserve">对安装完毕的保温层进行有效保护，以免受到恶劣天气、机械碰撞或者其它情况的损坏。如果保温层铺设完毕后无法及时进行保护层的施工，必须提供暂时性覆盖保护或围栏保护。 </w:t>
      </w:r>
    </w:p>
    <w:p w14:paraId="2BA30C1A">
      <w:pPr>
        <w:pStyle w:val="49"/>
        <w:numPr>
          <w:ilvl w:val="0"/>
          <w:numId w:val="52"/>
        </w:numPr>
        <w:spacing w:line="360" w:lineRule="auto"/>
        <w:ind w:firstLineChars="0"/>
        <w:jc w:val="left"/>
        <w:rPr>
          <w:rFonts w:ascii="黑体" w:hAnsi="黑体"/>
          <w:szCs w:val="18"/>
        </w:rPr>
      </w:pPr>
      <w:r>
        <w:rPr>
          <w:rFonts w:hint="eastAsia" w:ascii="黑体" w:hAnsi="黑体"/>
          <w:szCs w:val="18"/>
        </w:rPr>
        <w:t>屋面：</w:t>
      </w:r>
      <w:r>
        <w:rPr>
          <w:rFonts w:ascii="黑体" w:hAnsi="黑体"/>
          <w:szCs w:val="18"/>
        </w:rPr>
        <w:t>在已铺好的松散、板状或整体保温层上不得施工，应采取必要措施，保证保温层不</w:t>
      </w:r>
      <w:r>
        <w:rPr>
          <w:rFonts w:ascii="黑体" w:hAnsi="黑体" w:cs="宋体"/>
          <w:kern w:val="0"/>
          <w:szCs w:val="18"/>
        </w:rPr>
        <w:t>受损坏。</w:t>
      </w:r>
    </w:p>
    <w:p w14:paraId="43B6A8AE">
      <w:pPr>
        <w:pStyle w:val="49"/>
        <w:numPr>
          <w:ilvl w:val="0"/>
          <w:numId w:val="52"/>
        </w:numPr>
        <w:spacing w:line="360" w:lineRule="auto"/>
        <w:ind w:firstLineChars="0"/>
        <w:jc w:val="left"/>
        <w:rPr>
          <w:rFonts w:ascii="黑体" w:hAnsi="黑体"/>
          <w:szCs w:val="18"/>
        </w:rPr>
      </w:pPr>
      <w:r>
        <w:rPr>
          <w:rFonts w:ascii="黑体" w:hAnsi="黑体"/>
          <w:szCs w:val="18"/>
        </w:rPr>
        <w:t>保温层施工完成后，应及时按照图纸进行保护层的施工。</w:t>
      </w:r>
    </w:p>
    <w:p w14:paraId="3E7EB7BA">
      <w:pPr>
        <w:pStyle w:val="49"/>
        <w:numPr>
          <w:ilvl w:val="0"/>
          <w:numId w:val="52"/>
        </w:numPr>
        <w:spacing w:line="360" w:lineRule="auto"/>
        <w:ind w:firstLineChars="0"/>
        <w:jc w:val="left"/>
        <w:rPr>
          <w:rFonts w:ascii="黑体" w:hAnsi="黑体"/>
          <w:szCs w:val="18"/>
        </w:rPr>
      </w:pPr>
      <w:r>
        <w:rPr>
          <w:rFonts w:ascii="黑体" w:hAnsi="黑体"/>
          <w:szCs w:val="18"/>
        </w:rPr>
        <w:t xml:space="preserve">根据产品供应商说明资料进行养护，保证在施工和养护阶段不受污染和损坏 </w:t>
      </w:r>
      <w:r>
        <w:rPr>
          <w:rFonts w:hint="eastAsia" w:ascii="黑体" w:hAnsi="黑体"/>
          <w:szCs w:val="18"/>
        </w:rPr>
        <w:t>，</w:t>
      </w:r>
      <w:r>
        <w:rPr>
          <w:rFonts w:ascii="黑体" w:hAnsi="黑体"/>
          <w:szCs w:val="18"/>
        </w:rPr>
        <w:t>在今后的其它工种施工过程中，保护保温材料不受损坏和刮擦</w:t>
      </w:r>
      <w:r>
        <w:rPr>
          <w:rFonts w:hint="eastAsia" w:ascii="黑体" w:hAnsi="黑体"/>
          <w:szCs w:val="18"/>
        </w:rPr>
        <w:t>，</w:t>
      </w:r>
      <w:r>
        <w:rPr>
          <w:rFonts w:ascii="黑体" w:hAnsi="黑体"/>
          <w:szCs w:val="18"/>
        </w:rPr>
        <w:t xml:space="preserve">屋面保温工程完工后，承包商应移除所有设备、材料和杂物，堆放设备和材料的区域要求不受损坏，清洁干净。 </w:t>
      </w:r>
    </w:p>
    <w:p w14:paraId="0B2732E8">
      <w:pPr>
        <w:spacing w:line="360" w:lineRule="auto"/>
        <w:ind w:left="420" w:hanging="426"/>
        <w:jc w:val="left"/>
        <w:rPr>
          <w:rFonts w:ascii="黑体" w:hAnsi="黑体"/>
          <w:szCs w:val="18"/>
        </w:rPr>
      </w:pPr>
    </w:p>
    <w:p w14:paraId="09A56834">
      <w:pPr>
        <w:pStyle w:val="3"/>
        <w:jc w:val="left"/>
      </w:pPr>
      <w:bookmarkStart w:id="75" w:name="_Toc399688998"/>
      <w:bookmarkStart w:id="76" w:name="_Toc174556802"/>
      <w:r>
        <w:rPr>
          <w:rFonts w:hint="eastAsia"/>
        </w:rPr>
        <w:t>建筑用岩棉板</w:t>
      </w:r>
      <w:bookmarkEnd w:id="75"/>
      <w:bookmarkEnd w:id="76"/>
    </w:p>
    <w:p w14:paraId="35251DD1">
      <w:pPr>
        <w:pStyle w:val="97"/>
      </w:pPr>
      <w:r>
        <w:rPr>
          <w:rFonts w:hint="eastAsia"/>
        </w:rPr>
        <w:t>一般使用部位</w:t>
      </w:r>
    </w:p>
    <w:p w14:paraId="55357D00">
      <w:pPr>
        <w:pStyle w:val="49"/>
        <w:spacing w:line="360" w:lineRule="auto"/>
        <w:ind w:left="840" w:firstLine="11" w:firstLineChars="0"/>
        <w:jc w:val="left"/>
        <w:rPr>
          <w:rFonts w:ascii="黑体" w:hAnsi="黑体"/>
          <w:bCs/>
          <w:szCs w:val="18"/>
        </w:rPr>
      </w:pPr>
      <w:r>
        <w:rPr>
          <w:rFonts w:hint="eastAsia" w:ascii="黑体" w:hAnsi="黑体"/>
          <w:bCs/>
          <w:szCs w:val="18"/>
        </w:rPr>
        <w:t>建筑外墙、玻璃幕墙封堵、底部接触室外空气的楼板底</w:t>
      </w:r>
    </w:p>
    <w:p w14:paraId="7499A92A">
      <w:pPr>
        <w:pStyle w:val="49"/>
        <w:spacing w:line="360" w:lineRule="auto"/>
        <w:ind w:left="426" w:hanging="426" w:firstLineChars="0"/>
        <w:jc w:val="left"/>
        <w:rPr>
          <w:rFonts w:ascii="黑体" w:hAnsi="黑体"/>
          <w:bCs/>
          <w:szCs w:val="18"/>
        </w:rPr>
      </w:pPr>
    </w:p>
    <w:p w14:paraId="6E8AB16B">
      <w:pPr>
        <w:pStyle w:val="97"/>
      </w:pPr>
      <w:r>
        <w:t>技术规范</w:t>
      </w:r>
      <w:r>
        <w:rPr>
          <w:rFonts w:hint="eastAsia"/>
        </w:rPr>
        <w:t>、规程</w:t>
      </w:r>
    </w:p>
    <w:p w14:paraId="59F143EA">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《建筑外墙外保温用岩棉制品》GB/T25975</w:t>
      </w:r>
    </w:p>
    <w:p w14:paraId="62E0D2D1">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《建筑用岩棉、矿渣棉绝热制品》GB/T19686</w:t>
      </w:r>
    </w:p>
    <w:p w14:paraId="3C6FF9CD">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《建筑材料及制品燃烧性能分级》GB8624</w:t>
      </w:r>
    </w:p>
    <w:p w14:paraId="79F4942C">
      <w:pPr>
        <w:pStyle w:val="49"/>
        <w:spacing w:line="360" w:lineRule="auto"/>
        <w:ind w:left="840" w:hanging="426" w:firstLineChars="0"/>
        <w:jc w:val="left"/>
        <w:rPr>
          <w:rFonts w:ascii="黑体" w:hAnsi="黑体" w:cs="宋体"/>
          <w:kern w:val="0"/>
          <w:szCs w:val="18"/>
        </w:rPr>
      </w:pPr>
    </w:p>
    <w:p w14:paraId="2703C603">
      <w:pPr>
        <w:pStyle w:val="97"/>
      </w:pPr>
      <w:r>
        <w:rPr>
          <w:rFonts w:hint="eastAsia"/>
        </w:rPr>
        <w:t>设计指标（需结合项目具体计算）</w:t>
      </w:r>
    </w:p>
    <w:p w14:paraId="5DED10CA">
      <w:pPr>
        <w:pStyle w:val="111"/>
        <w:jc w:val="left"/>
      </w:pPr>
      <w:r>
        <w:t>燃烧性能：</w:t>
      </w:r>
      <w:r>
        <w:rPr>
          <w:rFonts w:hint="eastAsia"/>
        </w:rPr>
        <w:t>根据《建筑材料及制品燃烧性能分级》规定A</w:t>
      </w:r>
      <w:r>
        <w:t xml:space="preserve">级 </w:t>
      </w:r>
      <w:r>
        <w:rPr>
          <w:rFonts w:hint="eastAsia"/>
        </w:rPr>
        <w:t>，</w:t>
      </w:r>
    </w:p>
    <w:p w14:paraId="0091A6B6">
      <w:pPr>
        <w:pStyle w:val="111"/>
        <w:jc w:val="left"/>
      </w:pPr>
      <w:r>
        <w:rPr>
          <w:rFonts w:hint="eastAsia"/>
        </w:rPr>
        <w:t>尺寸稳定性≤1.0%，憎水防霉型</w:t>
      </w:r>
    </w:p>
    <w:p w14:paraId="3C7D8DB3">
      <w:pPr>
        <w:pStyle w:val="111"/>
        <w:jc w:val="left"/>
      </w:pPr>
      <w:r>
        <w:rPr>
          <w:rFonts w:hint="eastAsia"/>
        </w:rPr>
        <w:t>导热系数≤0.04W/(m.k)</w:t>
      </w:r>
    </w:p>
    <w:p w14:paraId="7287D8DB">
      <w:pPr>
        <w:pStyle w:val="111"/>
        <w:jc w:val="left"/>
      </w:pPr>
      <w:r>
        <w:rPr>
          <w:rFonts w:hint="eastAsia"/>
        </w:rPr>
        <w:t>压缩强度≥40（kPa）</w:t>
      </w:r>
    </w:p>
    <w:p w14:paraId="55E1A8EC">
      <w:pPr>
        <w:pStyle w:val="111"/>
        <w:jc w:val="left"/>
      </w:pPr>
      <w:r>
        <w:rPr>
          <w:rFonts w:hint="eastAsia"/>
        </w:rPr>
        <w:t>质量吸湿率≯1%、憎水率≥99</w:t>
      </w:r>
    </w:p>
    <w:p w14:paraId="62774988">
      <w:pPr>
        <w:pStyle w:val="111"/>
        <w:jc w:val="left"/>
      </w:pPr>
      <w:r>
        <w:rPr>
          <w:rFonts w:hint="eastAsia"/>
        </w:rPr>
        <w:t>胶粘剂与水泥砂浆的拉伸粘接强度在干燥状态下不得小于0.6MPa，浸水48h厚不得小于0.4MPa。</w:t>
      </w:r>
    </w:p>
    <w:p w14:paraId="35C0B52E">
      <w:pPr>
        <w:pStyle w:val="111"/>
        <w:jc w:val="left"/>
      </w:pPr>
      <w:r>
        <w:rPr>
          <w:rFonts w:hint="eastAsia"/>
        </w:rPr>
        <w:t>玻纤网经向和纬向耐碱拉伸断裂强力均不得小于750N/50mm，耐碱拉伸断裂强力保留率不得小于50%。</w:t>
      </w:r>
    </w:p>
    <w:p w14:paraId="4A193939">
      <w:pPr>
        <w:pStyle w:val="111"/>
        <w:jc w:val="left"/>
      </w:pPr>
      <w:r>
        <w:t>单个锚栓抗拉承载力标准值：≥0.60KN</w:t>
      </w:r>
      <w:r>
        <w:rPr>
          <w:rFonts w:hint="eastAsia"/>
        </w:rPr>
        <w:t>，</w:t>
      </w:r>
      <w:r>
        <w:t>单个锚栓对系统传热增加值：≤0.004W/(m·K)</w:t>
      </w:r>
    </w:p>
    <w:p w14:paraId="5E502FC0">
      <w:pPr>
        <w:pStyle w:val="49"/>
        <w:spacing w:line="360" w:lineRule="auto"/>
        <w:ind w:firstLine="0" w:firstLineChars="0"/>
        <w:jc w:val="left"/>
        <w:rPr>
          <w:rFonts w:ascii="黑体" w:hAnsi="黑体" w:cs="宋体"/>
          <w:b/>
          <w:kern w:val="0"/>
          <w:szCs w:val="18"/>
        </w:rPr>
      </w:pPr>
    </w:p>
    <w:p w14:paraId="3675384D">
      <w:pPr>
        <w:pStyle w:val="97"/>
      </w:pPr>
      <w:r>
        <w:t>提交资料</w:t>
      </w:r>
    </w:p>
    <w:p w14:paraId="18E08024">
      <w:pPr>
        <w:pStyle w:val="111"/>
        <w:jc w:val="left"/>
      </w:pPr>
      <w:r>
        <w:t xml:space="preserve">产品资料：每种指定产品的资料 </w:t>
      </w:r>
      <w:r>
        <w:rPr>
          <w:rFonts w:hint="eastAsia"/>
        </w:rPr>
        <w:t>：</w:t>
      </w:r>
    </w:p>
    <w:p w14:paraId="475DA416">
      <w:pPr>
        <w:pStyle w:val="49"/>
        <w:numPr>
          <w:ilvl w:val="0"/>
          <w:numId w:val="53"/>
        </w:numPr>
        <w:spacing w:line="360" w:lineRule="auto"/>
        <w:ind w:firstLineChars="0"/>
        <w:jc w:val="left"/>
        <w:rPr>
          <w:rFonts w:ascii="黑体" w:hAnsi="黑体" w:cs="宋体"/>
          <w:kern w:val="0"/>
          <w:szCs w:val="18"/>
        </w:rPr>
      </w:pPr>
      <w:r>
        <w:rPr>
          <w:rFonts w:ascii="黑体" w:hAnsi="黑体" w:cs="宋体"/>
          <w:kern w:val="0"/>
          <w:szCs w:val="18"/>
        </w:rPr>
        <w:t>供应商的技术规格书和其他能证明产品满足标准和本规格书要求的文件。</w:t>
      </w:r>
    </w:p>
    <w:p w14:paraId="0B06074C">
      <w:pPr>
        <w:pStyle w:val="49"/>
        <w:numPr>
          <w:ilvl w:val="0"/>
          <w:numId w:val="53"/>
        </w:numPr>
        <w:spacing w:line="360" w:lineRule="auto"/>
        <w:ind w:firstLineChars="0"/>
        <w:jc w:val="left"/>
        <w:rPr>
          <w:rFonts w:ascii="黑体" w:hAnsi="黑体" w:cs="宋体"/>
          <w:kern w:val="0"/>
          <w:szCs w:val="18"/>
        </w:rPr>
      </w:pPr>
      <w:r>
        <w:rPr>
          <w:rFonts w:ascii="黑体" w:hAnsi="黑体" w:cs="宋体"/>
          <w:kern w:val="0"/>
          <w:szCs w:val="18"/>
        </w:rPr>
        <w:t xml:space="preserve">如果制造商的推荐做法的得到设计师的确认，将作为工程中的参考做法。 </w:t>
      </w:r>
    </w:p>
    <w:p w14:paraId="757E9ABC">
      <w:pPr>
        <w:pStyle w:val="111"/>
        <w:jc w:val="left"/>
      </w:pPr>
      <w:r>
        <w:t>施工方案和施工工艺；</w:t>
      </w:r>
    </w:p>
    <w:p w14:paraId="6ED63D07">
      <w:pPr>
        <w:pStyle w:val="111"/>
        <w:jc w:val="left"/>
      </w:pPr>
      <w:r>
        <w:t>供确认样品：提供300mm*300mm大小的样品。</w:t>
      </w:r>
    </w:p>
    <w:p w14:paraId="3E9AD8CA">
      <w:pPr>
        <w:pStyle w:val="111"/>
        <w:jc w:val="left"/>
      </w:pPr>
      <w:r>
        <w:rPr>
          <w:rFonts w:hint="eastAsia"/>
        </w:rPr>
        <w:t>出厂合格证、中文说明。</w:t>
      </w:r>
    </w:p>
    <w:p w14:paraId="52279003">
      <w:pPr>
        <w:pStyle w:val="111"/>
        <w:jc w:val="left"/>
      </w:pPr>
      <w:r>
        <w:t>产品检测报告：提供合格保温材料测试机构对材料进行综合测试的评估文件</w:t>
      </w:r>
    </w:p>
    <w:p w14:paraId="56D0A5E1">
      <w:pPr>
        <w:pStyle w:val="49"/>
        <w:spacing w:line="360" w:lineRule="auto"/>
        <w:ind w:left="426" w:hanging="426" w:firstLineChars="0"/>
        <w:jc w:val="left"/>
        <w:rPr>
          <w:rFonts w:ascii="黑体" w:hAnsi="黑体" w:cs="宋体"/>
          <w:kern w:val="0"/>
          <w:szCs w:val="18"/>
        </w:rPr>
      </w:pPr>
    </w:p>
    <w:p w14:paraId="13E79670">
      <w:pPr>
        <w:pStyle w:val="97"/>
      </w:pPr>
      <w:r>
        <w:t xml:space="preserve">质量保证 </w:t>
      </w:r>
    </w:p>
    <w:p w14:paraId="0C356D09">
      <w:pPr>
        <w:pStyle w:val="111"/>
        <w:jc w:val="left"/>
      </w:pPr>
      <w:r>
        <w:t>材料：从同一制造商提供，保证材料匹配。</w:t>
      </w:r>
    </w:p>
    <w:p w14:paraId="0B98C0A2">
      <w:pPr>
        <w:pStyle w:val="111"/>
        <w:jc w:val="left"/>
      </w:pPr>
      <w:r>
        <w:t>施工者资质：至少2年的施工本材料的经验，合格的施工方应得到保温材料制造商认可，并能够满足厂商质保要求。</w:t>
      </w:r>
    </w:p>
    <w:p w14:paraId="578DE775">
      <w:pPr>
        <w:pStyle w:val="49"/>
        <w:spacing w:line="360" w:lineRule="auto"/>
        <w:ind w:left="426" w:hanging="426" w:firstLineChars="0"/>
        <w:jc w:val="left"/>
        <w:rPr>
          <w:rFonts w:ascii="黑体" w:hAnsi="黑体" w:cs="宋体"/>
          <w:kern w:val="0"/>
          <w:szCs w:val="18"/>
        </w:rPr>
      </w:pPr>
    </w:p>
    <w:p w14:paraId="1E39C4F1">
      <w:pPr>
        <w:pStyle w:val="97"/>
      </w:pPr>
      <w:r>
        <w:rPr>
          <w:rFonts w:hint="eastAsia"/>
        </w:rPr>
        <w:t>施工要求</w:t>
      </w:r>
    </w:p>
    <w:p w14:paraId="2DB3BA3B">
      <w:pPr>
        <w:pStyle w:val="111"/>
        <w:jc w:val="left"/>
      </w:pPr>
      <w:r>
        <w:rPr>
          <w:rFonts w:hint="eastAsia"/>
        </w:rPr>
        <w:t>基层墙体应坚实、平整，砌筑墙体的灰缝应刮平，突出物应剔除并找平。</w:t>
      </w:r>
    </w:p>
    <w:p w14:paraId="7E9F4AEE">
      <w:pPr>
        <w:pStyle w:val="111"/>
        <w:jc w:val="left"/>
      </w:pPr>
      <w:r>
        <w:rPr>
          <w:rFonts w:hint="eastAsia"/>
        </w:rPr>
        <w:t>岩棉板铺设时，先用锚固件将岩棉板临时固定就位，每块岩棉板至少应有两个锚固点，板缝应挤紧，不得留缝隙，嵌缝用的窄条岩棉板宽度不得少于150mm，并至少应有一个锚固点，沿窗洞口四周每边至少设置三个锚固点。</w:t>
      </w:r>
    </w:p>
    <w:p w14:paraId="3D6AC4CD">
      <w:pPr>
        <w:pStyle w:val="111"/>
        <w:jc w:val="left"/>
      </w:pPr>
      <w:r>
        <w:rPr>
          <w:rFonts w:hint="eastAsia"/>
        </w:rPr>
        <w:t>岩棉板凡为进行旨在提高表面强度、防水和粘接性能的表面处理时，应在岩棉板和钢丝网安装固定后，对板面喷涂砂界面剂。</w:t>
      </w:r>
    </w:p>
    <w:p w14:paraId="243126B0">
      <w:pPr>
        <w:pStyle w:val="111"/>
        <w:jc w:val="left"/>
      </w:pPr>
      <w:r>
        <w:rPr>
          <w:rFonts w:hint="eastAsia"/>
        </w:rPr>
        <w:t>固定件</w:t>
      </w:r>
    </w:p>
    <w:p w14:paraId="0252343F">
      <w:pPr>
        <w:pStyle w:val="49"/>
        <w:numPr>
          <w:ilvl w:val="0"/>
          <w:numId w:val="54"/>
        </w:numPr>
        <w:spacing w:line="360" w:lineRule="auto"/>
        <w:ind w:firstLineChars="0"/>
        <w:jc w:val="left"/>
        <w:rPr>
          <w:rFonts w:ascii="黑体" w:hAnsi="黑体" w:cs="宋体"/>
          <w:kern w:val="0"/>
          <w:szCs w:val="18"/>
        </w:rPr>
      </w:pPr>
      <w:r>
        <w:rPr>
          <w:rFonts w:hint="eastAsia" w:ascii="黑体" w:hAnsi="黑体" w:cs="宋体"/>
          <w:kern w:val="0"/>
          <w:szCs w:val="18"/>
        </w:rPr>
        <w:t>采用金属锚栓固定在基层墙体上，双向@600。</w:t>
      </w:r>
    </w:p>
    <w:p w14:paraId="2AD8C919">
      <w:pPr>
        <w:pStyle w:val="49"/>
        <w:numPr>
          <w:ilvl w:val="0"/>
          <w:numId w:val="54"/>
        </w:numPr>
        <w:spacing w:line="360" w:lineRule="auto"/>
        <w:ind w:firstLineChars="0"/>
        <w:jc w:val="left"/>
        <w:rPr>
          <w:rFonts w:ascii="黑体" w:hAnsi="黑体" w:cs="宋体"/>
          <w:kern w:val="0"/>
          <w:szCs w:val="18"/>
        </w:rPr>
      </w:pPr>
      <w:r>
        <w:rPr>
          <w:rFonts w:hint="eastAsia" w:ascii="黑体" w:hAnsi="黑体" w:cs="宋体"/>
          <w:kern w:val="0"/>
          <w:szCs w:val="18"/>
        </w:rPr>
        <w:t>锚栓、预埋金属固定件数量应通过实验确定，并且每平方米不应小于7个。单个锚栓拔出力和基层力学性能应符合要求。</w:t>
      </w:r>
    </w:p>
    <w:p w14:paraId="6232B030">
      <w:pPr>
        <w:pStyle w:val="49"/>
        <w:numPr>
          <w:ilvl w:val="0"/>
          <w:numId w:val="54"/>
        </w:numPr>
        <w:spacing w:line="360" w:lineRule="auto"/>
        <w:ind w:firstLineChars="0"/>
        <w:jc w:val="left"/>
        <w:rPr>
          <w:rFonts w:ascii="黑体" w:hAnsi="黑体" w:cs="宋体"/>
          <w:kern w:val="0"/>
          <w:szCs w:val="18"/>
        </w:rPr>
      </w:pPr>
      <w:r>
        <w:rPr>
          <w:rFonts w:hint="eastAsia" w:ascii="黑体" w:hAnsi="黑体" w:cs="宋体"/>
          <w:kern w:val="0"/>
          <w:szCs w:val="18"/>
        </w:rPr>
        <w:t>锚栓、固定件应做防锈处理。</w:t>
      </w:r>
    </w:p>
    <w:p w14:paraId="40A6C0D1">
      <w:pPr>
        <w:pStyle w:val="111"/>
        <w:jc w:val="left"/>
      </w:pPr>
      <w:r>
        <w:rPr>
          <w:rFonts w:hint="eastAsia"/>
        </w:rPr>
        <w:t>耐碱玻纤网格布，采用标准网时，搭接长度不小于100mm，采用加强网格布时只对接，不搭接。（包括阴阳墙角），网格布应铺贴平整、无褶皱，砂浆饱满度100%，严禁干搭接。</w:t>
      </w:r>
    </w:p>
    <w:p w14:paraId="32CE66D1">
      <w:pPr>
        <w:spacing w:line="360" w:lineRule="auto"/>
        <w:ind w:left="851"/>
        <w:jc w:val="left"/>
        <w:rPr>
          <w:rFonts w:ascii="黑体" w:hAnsi="黑体"/>
          <w:szCs w:val="18"/>
        </w:rPr>
      </w:pPr>
      <w:r>
        <w:rPr>
          <w:rFonts w:hint="eastAsia" w:ascii="黑体" w:hAnsi="黑体"/>
          <w:szCs w:val="18"/>
        </w:rPr>
        <w:t>抗裂砂浆抹面前，应在洞口四角部位铺贴附加耐碱玻纤网格布。详下图。</w:t>
      </w:r>
    </w:p>
    <w:p w14:paraId="70365DA0">
      <w:pPr>
        <w:ind w:left="426" w:hanging="426"/>
        <w:jc w:val="left"/>
        <w:rPr>
          <w:rFonts w:ascii="黑体" w:hAnsi="黑体"/>
          <w:szCs w:val="18"/>
        </w:rPr>
      </w:pPr>
    </w:p>
    <w:p w14:paraId="4E6BDF8E">
      <w:pPr>
        <w:ind w:left="426" w:hanging="426"/>
        <w:jc w:val="left"/>
        <w:rPr>
          <w:rFonts w:ascii="黑体" w:hAnsi="黑体"/>
          <w:szCs w:val="18"/>
        </w:rPr>
      </w:pPr>
      <w:r>
        <w:rPr>
          <w:rFonts w:hint="eastAsia" w:ascii="黑体" w:hAnsi="黑体"/>
          <w:szCs w:val="18"/>
        </w:rPr>
        <w:drawing>
          <wp:inline distT="0" distB="0" distL="0" distR="0">
            <wp:extent cx="4229100" cy="3781425"/>
            <wp:effectExtent l="19050" t="0" r="0" b="0"/>
            <wp:docPr id="2" name="图片 1" descr="00000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00001副本"/>
                    <pic:cNvPicPr>
                      <a:picLocks noChangeAspect="1" noChangeArrowheads="1"/>
                    </pic:cNvPicPr>
                  </pic:nvPicPr>
                  <pic:blipFill>
                    <a:blip r:embed="rId42" cstate="print"/>
                    <a:srcRect/>
                    <a:stretch>
                      <a:fillRect/>
                    </a:stretch>
                  </pic:blipFill>
                  <pic:spPr>
                    <a:xfrm>
                      <a:off x="0" y="0"/>
                      <a:ext cx="4229100" cy="3781425"/>
                    </a:xfrm>
                    <a:prstGeom prst="rect">
                      <a:avLst/>
                    </a:prstGeom>
                    <a:noFill/>
                    <a:ln w="9525">
                      <a:noFill/>
                      <a:miter lim="800000"/>
                      <a:headEnd/>
                      <a:tailEnd/>
                    </a:ln>
                  </pic:spPr>
                </pic:pic>
              </a:graphicData>
            </a:graphic>
          </wp:inline>
        </w:drawing>
      </w:r>
    </w:p>
    <w:p w14:paraId="5BA7A79B">
      <w:pPr>
        <w:spacing w:line="360" w:lineRule="auto"/>
        <w:ind w:left="851"/>
        <w:jc w:val="left"/>
        <w:rPr>
          <w:rFonts w:ascii="黑体" w:hAnsi="黑体"/>
          <w:szCs w:val="18"/>
        </w:rPr>
      </w:pPr>
      <w:r>
        <w:rPr>
          <w:rFonts w:hint="eastAsia" w:ascii="黑体" w:hAnsi="黑体"/>
          <w:szCs w:val="18"/>
        </w:rPr>
        <w:t>抗裂砂浆保护层的施工，应在保温砂浆找平层充分固化后进行。</w:t>
      </w:r>
    </w:p>
    <w:p w14:paraId="5E3BF435">
      <w:pPr>
        <w:pStyle w:val="111"/>
        <w:jc w:val="left"/>
      </w:pPr>
      <w:r>
        <w:t xml:space="preserve">保温板粘贴应从外墙的下部（宜为散水线以上200mm处）或坚固的支撑处开始，自下而上逐排沿水平方向依次进行。每排板各错缝1/2板长，最小错缝不应小于100mm；在墙面转角处，垂直缝应交错咬合。 </w:t>
      </w:r>
    </w:p>
    <w:p w14:paraId="16CB33AF">
      <w:pPr>
        <w:pStyle w:val="111"/>
        <w:jc w:val="left"/>
      </w:pPr>
      <w:r>
        <w:t xml:space="preserve">保温板粘贴可采用点粘、条粘或满贴法，胶粘剂应涂抹在保温板粘贴面上。点粘时周边应满涂，条粘时胶贴剂宜呈条状垂直均布。粘贴面积应符合设计要求。 </w:t>
      </w:r>
    </w:p>
    <w:p w14:paraId="4A91EE4B">
      <w:pPr>
        <w:pStyle w:val="111"/>
        <w:jc w:val="left"/>
      </w:pPr>
      <w:r>
        <w:t>门窗洞口角部的保温板应采用整板裁出。</w:t>
      </w:r>
    </w:p>
    <w:p w14:paraId="0E73B910">
      <w:pPr>
        <w:pStyle w:val="111"/>
        <w:jc w:val="left"/>
      </w:pPr>
      <w:r>
        <w:t xml:space="preserve">对保温板各终端部位（侧边外露处）均应在贴板前先行粘贴翻包用的窄幅网布。 </w:t>
      </w:r>
    </w:p>
    <w:p w14:paraId="66783930">
      <w:pPr>
        <w:autoSpaceDE w:val="0"/>
        <w:autoSpaceDN w:val="0"/>
        <w:adjustRightInd w:val="0"/>
        <w:spacing w:line="360" w:lineRule="auto"/>
        <w:ind w:left="426" w:hanging="426"/>
        <w:jc w:val="left"/>
        <w:rPr>
          <w:rFonts w:ascii="黑体" w:hAnsi="黑体"/>
          <w:kern w:val="0"/>
          <w:szCs w:val="18"/>
        </w:rPr>
      </w:pPr>
    </w:p>
    <w:p w14:paraId="4F469103">
      <w:pPr>
        <w:pStyle w:val="97"/>
      </w:pPr>
      <w:r>
        <w:t>保护和清洁</w:t>
      </w:r>
    </w:p>
    <w:p w14:paraId="7E8D9BFE">
      <w:pPr>
        <w:pStyle w:val="111"/>
        <w:jc w:val="left"/>
      </w:pPr>
      <w:r>
        <w:rPr>
          <w:rFonts w:hint="eastAsia"/>
        </w:rPr>
        <w:t>保温</w:t>
      </w:r>
      <w:r>
        <w:t xml:space="preserve">板表面不得长期裸露，安装上墙后应及时安装外层保护装饰材料。 </w:t>
      </w:r>
    </w:p>
    <w:p w14:paraId="507CE852">
      <w:pPr>
        <w:pStyle w:val="111"/>
        <w:jc w:val="left"/>
      </w:pPr>
      <w:r>
        <w:t>在今后的其它工种施工过程中，保护保温材料不受损坏和刮擦</w:t>
      </w:r>
      <w:r>
        <w:rPr>
          <w:rFonts w:hint="eastAsia"/>
        </w:rPr>
        <w:t>。</w:t>
      </w:r>
    </w:p>
    <w:p w14:paraId="54FB9966">
      <w:pPr>
        <w:pStyle w:val="111"/>
        <w:jc w:val="left"/>
      </w:pPr>
      <w:r>
        <w:t>屋面保温工程完工后，承包商应移除所有设备、材料和杂物，堆放设备和材料的区域要求不受损坏，清洁干净。</w:t>
      </w:r>
    </w:p>
    <w:p w14:paraId="50937E2F">
      <w:pPr>
        <w:jc w:val="left"/>
        <w:rPr>
          <w:rFonts w:ascii="黑体" w:hAnsi="黑体"/>
          <w:szCs w:val="18"/>
        </w:rPr>
        <w:sectPr>
          <w:footerReference r:id="rId7" w:type="default"/>
          <w:pgSz w:w="11906" w:h="16838"/>
          <w:pgMar w:top="709" w:right="1133" w:bottom="720" w:left="1134" w:header="794" w:footer="490" w:gutter="0"/>
          <w:pgNumType w:fmt="decimal"/>
          <w:cols w:space="425" w:num="1"/>
          <w:docGrid w:type="lines" w:linePitch="312" w:charSpace="0"/>
        </w:sectPr>
      </w:pPr>
    </w:p>
    <w:p w14:paraId="0EE270FF">
      <w:pPr>
        <w:pStyle w:val="2"/>
        <w:ind w:left="365" w:hanging="365"/>
        <w:rPr>
          <w:sz w:val="21"/>
        </w:rPr>
      </w:pPr>
      <w:bookmarkStart w:id="77" w:name="_Toc174556803"/>
      <w:r>
        <w:rPr>
          <w:rFonts w:hint="eastAsia"/>
          <w:sz w:val="21"/>
        </w:rPr>
        <w:t>墙面抹灰</w:t>
      </w:r>
      <w:bookmarkEnd w:id="77"/>
    </w:p>
    <w:p w14:paraId="09949561">
      <w:pPr>
        <w:pStyle w:val="3"/>
        <w:jc w:val="left"/>
      </w:pPr>
      <w:bookmarkStart w:id="78" w:name="_Toc174556804"/>
      <w:r>
        <w:rPr>
          <w:rFonts w:hint="eastAsia"/>
        </w:rPr>
        <w:t>概述</w:t>
      </w:r>
      <w:bookmarkEnd w:id="78"/>
    </w:p>
    <w:p w14:paraId="03E21479">
      <w:pPr>
        <w:ind w:firstLine="567" w:firstLineChars="315"/>
        <w:jc w:val="left"/>
        <w:rPr>
          <w:rFonts w:ascii="黑体" w:hAnsi="黑体"/>
          <w:szCs w:val="18"/>
        </w:rPr>
      </w:pPr>
      <w:bookmarkStart w:id="79" w:name="_Toc498529497"/>
      <w:r>
        <w:rPr>
          <w:rFonts w:hint="eastAsia" w:ascii="黑体" w:hAnsi="黑体"/>
          <w:szCs w:val="18"/>
        </w:rPr>
        <w:t>本篇适合</w:t>
      </w:r>
      <w:r>
        <w:rPr>
          <w:rFonts w:ascii="黑体" w:hAnsi="黑体"/>
          <w:szCs w:val="18"/>
        </w:rPr>
        <w:t>于所有内外墙</w:t>
      </w:r>
      <w:r>
        <w:rPr>
          <w:rFonts w:hint="eastAsia" w:ascii="黑体" w:hAnsi="黑体"/>
          <w:szCs w:val="18"/>
        </w:rPr>
        <w:t>面包括</w:t>
      </w:r>
      <w:r>
        <w:rPr>
          <w:rFonts w:ascii="黑体" w:hAnsi="黑体"/>
          <w:szCs w:val="18"/>
        </w:rPr>
        <w:t>砌体</w:t>
      </w:r>
      <w:r>
        <w:rPr>
          <w:rFonts w:hint="eastAsia" w:ascii="黑体" w:hAnsi="黑体"/>
          <w:szCs w:val="18"/>
        </w:rPr>
        <w:t>墙面</w:t>
      </w:r>
      <w:r>
        <w:rPr>
          <w:rFonts w:ascii="黑体" w:hAnsi="黑体"/>
          <w:szCs w:val="18"/>
        </w:rPr>
        <w:t>及混凝土墙柱面的</w:t>
      </w:r>
      <w:r>
        <w:rPr>
          <w:rFonts w:hint="eastAsia" w:ascii="黑体" w:hAnsi="黑体"/>
          <w:szCs w:val="18"/>
        </w:rPr>
        <w:t>基层</w:t>
      </w:r>
      <w:r>
        <w:rPr>
          <w:rFonts w:ascii="黑体" w:hAnsi="黑体"/>
          <w:szCs w:val="18"/>
        </w:rPr>
        <w:t>抹灰</w:t>
      </w:r>
      <w:r>
        <w:rPr>
          <w:rFonts w:hint="eastAsia" w:ascii="黑体" w:hAnsi="黑体"/>
          <w:szCs w:val="18"/>
        </w:rPr>
        <w:t>。</w:t>
      </w:r>
      <w:bookmarkEnd w:id="79"/>
    </w:p>
    <w:p w14:paraId="2D179751">
      <w:pPr>
        <w:pStyle w:val="3"/>
        <w:jc w:val="left"/>
      </w:pPr>
      <w:bookmarkStart w:id="80" w:name="_Toc174556805"/>
      <w:r>
        <w:rPr>
          <w:rFonts w:hint="eastAsia"/>
        </w:rPr>
        <w:t>技术</w:t>
      </w:r>
      <w:r>
        <w:t>要求</w:t>
      </w:r>
      <w:bookmarkEnd w:id="80"/>
    </w:p>
    <w:p w14:paraId="1FB9E8ED">
      <w:pPr>
        <w:pStyle w:val="97"/>
      </w:pPr>
      <w:r>
        <w:rPr>
          <w:rFonts w:hint="eastAsia"/>
        </w:rPr>
        <w:t>规范</w:t>
      </w:r>
      <w:r>
        <w:t>规程</w:t>
      </w:r>
    </w:p>
    <w:p w14:paraId="3E7D68EF">
      <w:pPr>
        <w:ind w:firstLine="1287" w:firstLineChars="715"/>
        <w:jc w:val="left"/>
        <w:rPr>
          <w:rFonts w:ascii="黑体" w:hAnsi="黑体"/>
          <w:szCs w:val="18"/>
        </w:rPr>
      </w:pPr>
      <w:bookmarkStart w:id="81" w:name="_Toc498529499"/>
      <w:r>
        <w:rPr>
          <w:rFonts w:hint="eastAsia" w:ascii="黑体" w:hAnsi="黑体"/>
          <w:szCs w:val="18"/>
        </w:rPr>
        <w:t>墙面</w:t>
      </w:r>
      <w:r>
        <w:rPr>
          <w:rFonts w:ascii="黑体" w:hAnsi="黑体"/>
          <w:szCs w:val="18"/>
        </w:rPr>
        <w:t>抹灰</w:t>
      </w:r>
      <w:r>
        <w:rPr>
          <w:rFonts w:hint="eastAsia" w:ascii="黑体" w:hAnsi="黑体"/>
          <w:szCs w:val="18"/>
        </w:rPr>
        <w:t>需要满足</w:t>
      </w:r>
      <w:r>
        <w:rPr>
          <w:rFonts w:ascii="黑体" w:hAnsi="黑体"/>
          <w:szCs w:val="18"/>
        </w:rPr>
        <w:t>设计要求及本规范要求</w:t>
      </w:r>
      <w:r>
        <w:rPr>
          <w:rFonts w:hint="eastAsia" w:ascii="黑体" w:hAnsi="黑体"/>
          <w:szCs w:val="18"/>
        </w:rPr>
        <w:t>外</w:t>
      </w:r>
      <w:r>
        <w:rPr>
          <w:rFonts w:ascii="黑体" w:hAnsi="黑体"/>
          <w:szCs w:val="18"/>
        </w:rPr>
        <w:t>，</w:t>
      </w:r>
      <w:r>
        <w:rPr>
          <w:rFonts w:hint="eastAsia" w:ascii="黑体" w:hAnsi="黑体"/>
          <w:szCs w:val="18"/>
        </w:rPr>
        <w:t>尚</w:t>
      </w:r>
      <w:r>
        <w:rPr>
          <w:rFonts w:ascii="黑体" w:hAnsi="黑体"/>
          <w:szCs w:val="18"/>
        </w:rPr>
        <w:t>应遵循以下</w:t>
      </w:r>
      <w:r>
        <w:rPr>
          <w:rFonts w:hint="eastAsia" w:ascii="黑体" w:hAnsi="黑体"/>
          <w:szCs w:val="18"/>
        </w:rPr>
        <w:t>（但</w:t>
      </w:r>
      <w:r>
        <w:rPr>
          <w:rFonts w:ascii="黑体" w:hAnsi="黑体"/>
          <w:szCs w:val="18"/>
        </w:rPr>
        <w:t>不限于</w:t>
      </w:r>
      <w:r>
        <w:rPr>
          <w:rFonts w:hint="eastAsia" w:ascii="黑体" w:hAnsi="黑体"/>
          <w:szCs w:val="18"/>
        </w:rPr>
        <w:t>）</w:t>
      </w:r>
      <w:r>
        <w:rPr>
          <w:rFonts w:ascii="黑体" w:hAnsi="黑体"/>
          <w:szCs w:val="18"/>
        </w:rPr>
        <w:t>所列规范规程及标准的要求</w:t>
      </w:r>
      <w:r>
        <w:rPr>
          <w:rFonts w:hint="eastAsia" w:ascii="黑体" w:hAnsi="黑体"/>
          <w:szCs w:val="18"/>
        </w:rPr>
        <w:t>：</w:t>
      </w:r>
      <w:bookmarkEnd w:id="81"/>
    </w:p>
    <w:p w14:paraId="42E702CE">
      <w:pPr>
        <w:pStyle w:val="111"/>
        <w:numPr>
          <w:ilvl w:val="0"/>
          <w:numId w:val="55"/>
        </w:numPr>
        <w:ind w:left="1633" w:hanging="357"/>
        <w:jc w:val="left"/>
      </w:pPr>
      <w:r>
        <w:rPr>
          <w:rFonts w:hint="eastAsia"/>
        </w:rPr>
        <w:t>《建筑工程施工质量验收统一标准》（GB50300</w:t>
      </w:r>
      <w:r>
        <w:t>）</w:t>
      </w:r>
    </w:p>
    <w:p w14:paraId="4E19E012">
      <w:pPr>
        <w:pStyle w:val="111"/>
        <w:numPr>
          <w:ilvl w:val="0"/>
          <w:numId w:val="55"/>
        </w:numPr>
        <w:ind w:left="1633" w:hanging="357"/>
        <w:jc w:val="left"/>
      </w:pPr>
      <w:r>
        <w:rPr>
          <w:rFonts w:hint="eastAsia"/>
        </w:rPr>
        <w:t>《建筑装饰装修工程施工及验收规范》（GB50210</w:t>
      </w:r>
      <w:r>
        <w:t>）</w:t>
      </w:r>
    </w:p>
    <w:p w14:paraId="111F99A9">
      <w:pPr>
        <w:pStyle w:val="49"/>
        <w:numPr>
          <w:ilvl w:val="0"/>
          <w:numId w:val="55"/>
        </w:numPr>
        <w:ind w:left="1633" w:hanging="357" w:firstLineChars="0"/>
        <w:jc w:val="left"/>
        <w:rPr>
          <w:rFonts w:ascii="黑体" w:hAnsi="黑体"/>
          <w:kern w:val="0"/>
          <w:szCs w:val="18"/>
        </w:rPr>
      </w:pPr>
      <w:r>
        <w:rPr>
          <w:rFonts w:hint="eastAsia" w:ascii="黑体" w:hAnsi="黑体"/>
          <w:kern w:val="0"/>
          <w:szCs w:val="18"/>
        </w:rPr>
        <w:t>《抹灰砂浆技术规程》（JGJ/T220</w:t>
      </w:r>
      <w:r>
        <w:rPr>
          <w:rFonts w:ascii="黑体" w:hAnsi="黑体"/>
          <w:kern w:val="0"/>
          <w:szCs w:val="18"/>
        </w:rPr>
        <w:t>-2010</w:t>
      </w:r>
      <w:r>
        <w:rPr>
          <w:rFonts w:hint="eastAsia" w:ascii="黑体" w:hAnsi="黑体"/>
          <w:kern w:val="0"/>
          <w:szCs w:val="18"/>
        </w:rPr>
        <w:t>）</w:t>
      </w:r>
    </w:p>
    <w:p w14:paraId="1202A114">
      <w:pPr>
        <w:pStyle w:val="111"/>
        <w:numPr>
          <w:ilvl w:val="0"/>
          <w:numId w:val="55"/>
        </w:numPr>
        <w:ind w:left="1633" w:hanging="357"/>
        <w:jc w:val="left"/>
      </w:pPr>
      <w:r>
        <w:rPr>
          <w:rFonts w:hint="eastAsia"/>
        </w:rPr>
        <w:t>《建筑外墙防水工程技术规程》JGJ／T235-2011</w:t>
      </w:r>
    </w:p>
    <w:p w14:paraId="4DC04058">
      <w:pPr>
        <w:pStyle w:val="111"/>
        <w:numPr>
          <w:ilvl w:val="0"/>
          <w:numId w:val="55"/>
        </w:numPr>
        <w:ind w:left="1633" w:hanging="357"/>
        <w:jc w:val="left"/>
      </w:pPr>
      <w:r>
        <w:rPr>
          <w:rFonts w:hint="eastAsia"/>
        </w:rPr>
        <w:t>《蒸压加气混凝土用砌筑砂浆与抹面砂浆》JC890-2001</w:t>
      </w:r>
    </w:p>
    <w:p w14:paraId="66C75931">
      <w:pPr>
        <w:pStyle w:val="111"/>
        <w:numPr>
          <w:ilvl w:val="0"/>
          <w:numId w:val="55"/>
        </w:numPr>
        <w:ind w:left="1633" w:hanging="357"/>
        <w:jc w:val="left"/>
      </w:pPr>
      <w:r>
        <w:rPr>
          <w:rFonts w:hint="eastAsia"/>
        </w:rPr>
        <w:t>《</w:t>
      </w:r>
      <w:r>
        <w:t>预拌砂浆</w:t>
      </w:r>
      <w:r>
        <w:rPr>
          <w:rFonts w:hint="eastAsia"/>
        </w:rPr>
        <w:t>》JGJ/</w:t>
      </w:r>
      <w:r>
        <w:t>T230</w:t>
      </w:r>
    </w:p>
    <w:p w14:paraId="1D8AB1F5">
      <w:pPr>
        <w:pStyle w:val="111"/>
        <w:numPr>
          <w:ilvl w:val="0"/>
          <w:numId w:val="55"/>
        </w:numPr>
        <w:ind w:left="1633" w:hanging="357"/>
        <w:jc w:val="left"/>
      </w:pPr>
      <w:r>
        <w:rPr>
          <w:rFonts w:hint="eastAsia"/>
        </w:rPr>
        <w:t>《</w:t>
      </w:r>
      <w:r>
        <w:t>预拌砂浆应用技术规程</w:t>
      </w:r>
      <w:r>
        <w:rPr>
          <w:rFonts w:hint="eastAsia"/>
        </w:rPr>
        <w:t>》</w:t>
      </w:r>
      <w:r>
        <w:t>JGJ/T223</w:t>
      </w:r>
    </w:p>
    <w:p w14:paraId="738DDD18">
      <w:pPr>
        <w:pStyle w:val="111"/>
        <w:numPr>
          <w:ilvl w:val="0"/>
          <w:numId w:val="55"/>
        </w:numPr>
        <w:ind w:left="1633" w:hanging="357"/>
        <w:jc w:val="left"/>
      </w:pPr>
      <w:r>
        <w:rPr>
          <w:rFonts w:hint="eastAsia"/>
        </w:rPr>
        <w:t>《</w:t>
      </w:r>
      <w:r>
        <w:t>建筑砂浆基本性能试验方法标准</w:t>
      </w:r>
      <w:r>
        <w:rPr>
          <w:rFonts w:hint="eastAsia"/>
        </w:rPr>
        <w:t>》JGJ/T</w:t>
      </w:r>
      <w:r>
        <w:t>70</w:t>
      </w:r>
    </w:p>
    <w:p w14:paraId="76E40D40">
      <w:pPr>
        <w:pStyle w:val="97"/>
      </w:pPr>
      <w:r>
        <w:rPr>
          <w:rFonts w:hint="eastAsia"/>
        </w:rPr>
        <w:t>技术</w:t>
      </w:r>
      <w:r>
        <w:t>要点</w:t>
      </w:r>
    </w:p>
    <w:p w14:paraId="3DDB8087">
      <w:pPr>
        <w:pStyle w:val="96"/>
        <w:numPr>
          <w:ilvl w:val="0"/>
          <w:numId w:val="56"/>
        </w:numPr>
        <w:jc w:val="left"/>
        <w:rPr>
          <w:b w:val="0"/>
          <w:sz w:val="18"/>
        </w:rPr>
      </w:pPr>
      <w:r>
        <w:rPr>
          <w:rFonts w:hint="eastAsia"/>
          <w:b w:val="0"/>
          <w:sz w:val="18"/>
        </w:rPr>
        <w:t>建筑内</w:t>
      </w:r>
      <w:r>
        <w:rPr>
          <w:b w:val="0"/>
          <w:sz w:val="18"/>
        </w:rPr>
        <w:t>外墙（柱）面</w:t>
      </w:r>
      <w:r>
        <w:rPr>
          <w:rFonts w:hint="eastAsia"/>
          <w:b w:val="0"/>
          <w:sz w:val="18"/>
        </w:rPr>
        <w:t>以下</w:t>
      </w:r>
      <w:r>
        <w:rPr>
          <w:b w:val="0"/>
          <w:sz w:val="18"/>
        </w:rPr>
        <w:t>情况下均</w:t>
      </w:r>
      <w:r>
        <w:rPr>
          <w:rFonts w:hint="eastAsia"/>
          <w:b w:val="0"/>
          <w:sz w:val="18"/>
        </w:rPr>
        <w:t>需要设置</w:t>
      </w:r>
      <w:r>
        <w:rPr>
          <w:b w:val="0"/>
          <w:sz w:val="18"/>
        </w:rPr>
        <w:t>抹灰层：</w:t>
      </w:r>
    </w:p>
    <w:p w14:paraId="6E2BECFB">
      <w:pPr>
        <w:pStyle w:val="96"/>
        <w:numPr>
          <w:ilvl w:val="0"/>
          <w:numId w:val="57"/>
        </w:numPr>
        <w:jc w:val="left"/>
        <w:rPr>
          <w:b w:val="0"/>
          <w:sz w:val="18"/>
        </w:rPr>
      </w:pPr>
      <w:r>
        <w:rPr>
          <w:rFonts w:hint="eastAsia"/>
          <w:b w:val="0"/>
          <w:sz w:val="18"/>
        </w:rPr>
        <w:t>内墙所有涂料</w:t>
      </w:r>
      <w:r>
        <w:rPr>
          <w:b w:val="0"/>
          <w:sz w:val="18"/>
        </w:rPr>
        <w:t>类的砌体墙墙面</w:t>
      </w:r>
      <w:r>
        <w:rPr>
          <w:rFonts w:hint="eastAsia"/>
          <w:b w:val="0"/>
          <w:sz w:val="18"/>
        </w:rPr>
        <w:t>，</w:t>
      </w:r>
      <w:r>
        <w:rPr>
          <w:b w:val="0"/>
          <w:sz w:val="18"/>
        </w:rPr>
        <w:t>无论</w:t>
      </w:r>
      <w:r>
        <w:rPr>
          <w:rFonts w:hint="eastAsia"/>
          <w:b w:val="0"/>
          <w:sz w:val="18"/>
        </w:rPr>
        <w:t>有无吊顶，无论</w:t>
      </w:r>
      <w:r>
        <w:rPr>
          <w:b w:val="0"/>
          <w:sz w:val="18"/>
        </w:rPr>
        <w:t>何种建筑面层，均需全高设置</w:t>
      </w:r>
      <w:r>
        <w:rPr>
          <w:rFonts w:hint="eastAsia"/>
          <w:b w:val="0"/>
          <w:sz w:val="18"/>
        </w:rPr>
        <w:t>；</w:t>
      </w:r>
    </w:p>
    <w:p w14:paraId="7809BFC8">
      <w:pPr>
        <w:pStyle w:val="96"/>
        <w:numPr>
          <w:ilvl w:val="0"/>
          <w:numId w:val="57"/>
        </w:numPr>
        <w:jc w:val="left"/>
        <w:rPr>
          <w:b w:val="0"/>
          <w:sz w:val="18"/>
        </w:rPr>
      </w:pPr>
      <w:r>
        <w:rPr>
          <w:rFonts w:hint="eastAsia"/>
          <w:b w:val="0"/>
          <w:sz w:val="18"/>
        </w:rPr>
        <w:t>内墙干挂</w:t>
      </w:r>
      <w:r>
        <w:rPr>
          <w:b w:val="0"/>
          <w:sz w:val="18"/>
        </w:rPr>
        <w:t>类</w:t>
      </w:r>
      <w:r>
        <w:rPr>
          <w:rFonts w:hint="eastAsia"/>
          <w:b w:val="0"/>
          <w:sz w:val="18"/>
        </w:rPr>
        <w:t>饰面、</w:t>
      </w:r>
      <w:r>
        <w:rPr>
          <w:b w:val="0"/>
          <w:sz w:val="18"/>
        </w:rPr>
        <w:t>木饰面</w:t>
      </w:r>
      <w:r>
        <w:rPr>
          <w:rFonts w:hint="eastAsia"/>
          <w:b w:val="0"/>
          <w:sz w:val="18"/>
        </w:rPr>
        <w:t>及</w:t>
      </w:r>
      <w:r>
        <w:rPr>
          <w:b w:val="0"/>
          <w:sz w:val="18"/>
        </w:rPr>
        <w:t>其他板材类饰面的砌体墙基层，</w:t>
      </w:r>
      <w:r>
        <w:rPr>
          <w:rFonts w:hint="eastAsia"/>
          <w:b w:val="0"/>
          <w:sz w:val="18"/>
        </w:rPr>
        <w:t>如</w:t>
      </w:r>
      <w:r>
        <w:rPr>
          <w:b w:val="0"/>
          <w:sz w:val="18"/>
        </w:rPr>
        <w:t>无隔声、</w:t>
      </w:r>
      <w:r>
        <w:rPr>
          <w:rFonts w:hint="eastAsia"/>
          <w:b w:val="0"/>
          <w:sz w:val="18"/>
        </w:rPr>
        <w:t>防潮</w:t>
      </w:r>
      <w:r>
        <w:rPr>
          <w:b w:val="0"/>
          <w:sz w:val="18"/>
        </w:rPr>
        <w:t>、防火等功能要求，可</w:t>
      </w:r>
      <w:r>
        <w:rPr>
          <w:rFonts w:hint="eastAsia"/>
          <w:b w:val="0"/>
          <w:sz w:val="18"/>
        </w:rPr>
        <w:t>设</w:t>
      </w:r>
      <w:r>
        <w:rPr>
          <w:b w:val="0"/>
          <w:sz w:val="18"/>
        </w:rPr>
        <w:t>不抹灰</w:t>
      </w:r>
      <w:r>
        <w:rPr>
          <w:rFonts w:hint="eastAsia"/>
          <w:b w:val="0"/>
          <w:sz w:val="18"/>
        </w:rPr>
        <w:t>，</w:t>
      </w:r>
      <w:r>
        <w:rPr>
          <w:b w:val="0"/>
          <w:sz w:val="18"/>
        </w:rPr>
        <w:t>但需要</w:t>
      </w:r>
      <w:r>
        <w:rPr>
          <w:rFonts w:hint="eastAsia"/>
          <w:b w:val="0"/>
          <w:sz w:val="18"/>
        </w:rPr>
        <w:t>涂2</w:t>
      </w:r>
      <w:r>
        <w:rPr>
          <w:b w:val="0"/>
          <w:sz w:val="18"/>
        </w:rPr>
        <w:t>-3</w:t>
      </w:r>
      <w:r>
        <w:rPr>
          <w:rFonts w:hint="eastAsia"/>
          <w:b w:val="0"/>
          <w:sz w:val="18"/>
        </w:rPr>
        <w:t>厚</w:t>
      </w:r>
      <w:r>
        <w:rPr>
          <w:b w:val="0"/>
          <w:sz w:val="18"/>
        </w:rPr>
        <w:t>界面砂浆封闭墙面；</w:t>
      </w:r>
    </w:p>
    <w:p w14:paraId="4218B511">
      <w:pPr>
        <w:pStyle w:val="96"/>
        <w:numPr>
          <w:ilvl w:val="0"/>
          <w:numId w:val="57"/>
        </w:numPr>
        <w:jc w:val="left"/>
        <w:rPr>
          <w:b w:val="0"/>
          <w:sz w:val="18"/>
        </w:rPr>
      </w:pPr>
      <w:r>
        <w:rPr>
          <w:b w:val="0"/>
          <w:sz w:val="18"/>
        </w:rPr>
        <w:t>混凝土</w:t>
      </w:r>
      <w:r>
        <w:rPr>
          <w:rFonts w:hint="eastAsia"/>
          <w:b w:val="0"/>
          <w:sz w:val="18"/>
        </w:rPr>
        <w:t>内</w:t>
      </w:r>
      <w:r>
        <w:rPr>
          <w:b w:val="0"/>
          <w:sz w:val="18"/>
        </w:rPr>
        <w:t>墙柱面，与抹灰墙面</w:t>
      </w:r>
      <w:r>
        <w:rPr>
          <w:rFonts w:hint="eastAsia"/>
          <w:b w:val="0"/>
          <w:sz w:val="18"/>
        </w:rPr>
        <w:t>相间</w:t>
      </w:r>
      <w:r>
        <w:rPr>
          <w:b w:val="0"/>
          <w:sz w:val="18"/>
        </w:rPr>
        <w:t>或相邻时，应</w:t>
      </w:r>
      <w:r>
        <w:rPr>
          <w:rFonts w:hint="eastAsia"/>
          <w:b w:val="0"/>
          <w:sz w:val="18"/>
        </w:rPr>
        <w:t>一道</w:t>
      </w:r>
      <w:r>
        <w:rPr>
          <w:b w:val="0"/>
          <w:sz w:val="18"/>
        </w:rPr>
        <w:t>抹灰；</w:t>
      </w:r>
    </w:p>
    <w:p w14:paraId="21B7A001">
      <w:pPr>
        <w:pStyle w:val="96"/>
        <w:numPr>
          <w:ilvl w:val="0"/>
          <w:numId w:val="57"/>
        </w:numPr>
        <w:jc w:val="left"/>
        <w:rPr>
          <w:b w:val="0"/>
          <w:sz w:val="18"/>
        </w:rPr>
      </w:pPr>
      <w:r>
        <w:rPr>
          <w:rFonts w:hint="eastAsia"/>
          <w:b w:val="0"/>
          <w:sz w:val="18"/>
        </w:rPr>
        <w:t>室内独立的</w:t>
      </w:r>
      <w:r>
        <w:rPr>
          <w:b w:val="0"/>
          <w:sz w:val="18"/>
        </w:rPr>
        <w:t>混凝土柱面，及大面积可相对独立的混凝土墙面，当面层为干挂石材时，如设计</w:t>
      </w:r>
      <w:r>
        <w:rPr>
          <w:rFonts w:hint="eastAsia"/>
          <w:b w:val="0"/>
          <w:sz w:val="18"/>
        </w:rPr>
        <w:t>没</w:t>
      </w:r>
      <w:r>
        <w:rPr>
          <w:b w:val="0"/>
          <w:sz w:val="18"/>
        </w:rPr>
        <w:t>有特别要求，可不抹灰；</w:t>
      </w:r>
    </w:p>
    <w:p w14:paraId="68A16E56">
      <w:pPr>
        <w:pStyle w:val="96"/>
        <w:numPr>
          <w:ilvl w:val="0"/>
          <w:numId w:val="57"/>
        </w:numPr>
        <w:jc w:val="left"/>
        <w:rPr>
          <w:b w:val="0"/>
          <w:sz w:val="18"/>
        </w:rPr>
      </w:pPr>
      <w:r>
        <w:rPr>
          <w:rFonts w:hint="eastAsia"/>
          <w:b w:val="0"/>
          <w:sz w:val="18"/>
        </w:rPr>
        <w:t>独立</w:t>
      </w:r>
      <w:r>
        <w:rPr>
          <w:b w:val="0"/>
          <w:sz w:val="18"/>
        </w:rPr>
        <w:t>的混凝土柱面，</w:t>
      </w:r>
      <w:r>
        <w:rPr>
          <w:rFonts w:hint="eastAsia"/>
          <w:b w:val="0"/>
          <w:sz w:val="18"/>
        </w:rPr>
        <w:t>大面积</w:t>
      </w:r>
      <w:r>
        <w:rPr>
          <w:b w:val="0"/>
          <w:sz w:val="18"/>
        </w:rPr>
        <w:t>可相对独立的混凝土柱面、地库混凝土</w:t>
      </w:r>
      <w:r>
        <w:rPr>
          <w:rFonts w:hint="eastAsia"/>
          <w:b w:val="0"/>
          <w:sz w:val="18"/>
        </w:rPr>
        <w:t>墙</w:t>
      </w:r>
      <w:r>
        <w:rPr>
          <w:b w:val="0"/>
          <w:sz w:val="18"/>
        </w:rPr>
        <w:t>、柱面，如</w:t>
      </w:r>
      <w:r>
        <w:rPr>
          <w:rFonts w:hint="eastAsia"/>
          <w:b w:val="0"/>
          <w:sz w:val="18"/>
        </w:rPr>
        <w:t>混凝土</w:t>
      </w:r>
      <w:r>
        <w:rPr>
          <w:b w:val="0"/>
          <w:sz w:val="18"/>
        </w:rPr>
        <w:t>模板质量较好，表面经过打磨修补即可达到</w:t>
      </w:r>
      <w:r>
        <w:rPr>
          <w:rFonts w:hint="eastAsia"/>
          <w:b w:val="0"/>
          <w:sz w:val="18"/>
        </w:rPr>
        <w:t>基层</w:t>
      </w:r>
      <w:r>
        <w:rPr>
          <w:b w:val="0"/>
          <w:sz w:val="18"/>
        </w:rPr>
        <w:t>平整度的要求</w:t>
      </w:r>
      <w:r>
        <w:rPr>
          <w:rFonts w:hint="eastAsia"/>
          <w:b w:val="0"/>
          <w:sz w:val="18"/>
        </w:rPr>
        <w:t>，</w:t>
      </w:r>
      <w:r>
        <w:rPr>
          <w:b w:val="0"/>
          <w:sz w:val="18"/>
        </w:rPr>
        <w:t>且建筑面层为涂料</w:t>
      </w:r>
      <w:r>
        <w:rPr>
          <w:rFonts w:hint="eastAsia"/>
          <w:b w:val="0"/>
          <w:sz w:val="18"/>
        </w:rPr>
        <w:t>者</w:t>
      </w:r>
      <w:r>
        <w:rPr>
          <w:b w:val="0"/>
          <w:sz w:val="18"/>
        </w:rPr>
        <w:t>，可不设抹灰</w:t>
      </w:r>
      <w:r>
        <w:rPr>
          <w:rFonts w:hint="eastAsia"/>
          <w:b w:val="0"/>
          <w:sz w:val="18"/>
        </w:rPr>
        <w:t>，</w:t>
      </w:r>
      <w:r>
        <w:rPr>
          <w:b w:val="0"/>
          <w:sz w:val="18"/>
        </w:rPr>
        <w:t>可在基层打磨修补完成后，直接挂腻子；</w:t>
      </w:r>
    </w:p>
    <w:p w14:paraId="25B61E7C">
      <w:pPr>
        <w:pStyle w:val="96"/>
        <w:numPr>
          <w:ilvl w:val="0"/>
          <w:numId w:val="57"/>
        </w:numPr>
        <w:jc w:val="left"/>
        <w:rPr>
          <w:b w:val="0"/>
          <w:sz w:val="18"/>
        </w:rPr>
      </w:pPr>
      <w:r>
        <w:rPr>
          <w:rFonts w:hint="eastAsia"/>
          <w:b w:val="0"/>
          <w:sz w:val="18"/>
        </w:rPr>
        <w:t>外墙</w:t>
      </w:r>
      <w:r>
        <w:rPr>
          <w:b w:val="0"/>
          <w:sz w:val="18"/>
        </w:rPr>
        <w:t>的柱、墙面，</w:t>
      </w:r>
      <w:r>
        <w:rPr>
          <w:rFonts w:hint="eastAsia"/>
          <w:b w:val="0"/>
          <w:sz w:val="18"/>
        </w:rPr>
        <w:t>除了独立</w:t>
      </w:r>
      <w:r>
        <w:rPr>
          <w:b w:val="0"/>
          <w:sz w:val="18"/>
        </w:rPr>
        <w:t>的幕墙</w:t>
      </w:r>
      <w:r>
        <w:rPr>
          <w:rFonts w:hint="eastAsia"/>
          <w:b w:val="0"/>
          <w:sz w:val="18"/>
        </w:rPr>
        <w:t>内</w:t>
      </w:r>
      <w:r>
        <w:rPr>
          <w:b w:val="0"/>
          <w:sz w:val="18"/>
        </w:rPr>
        <w:t>柱面</w:t>
      </w:r>
      <w:r>
        <w:rPr>
          <w:rFonts w:hint="eastAsia"/>
          <w:b w:val="0"/>
          <w:sz w:val="18"/>
        </w:rPr>
        <w:t>及底层</w:t>
      </w:r>
      <w:r>
        <w:rPr>
          <w:b w:val="0"/>
          <w:sz w:val="18"/>
        </w:rPr>
        <w:t>架空层</w:t>
      </w:r>
      <w:r>
        <w:rPr>
          <w:rFonts w:hint="eastAsia"/>
          <w:b w:val="0"/>
          <w:sz w:val="18"/>
        </w:rPr>
        <w:t>无</w:t>
      </w:r>
      <w:r>
        <w:rPr>
          <w:b w:val="0"/>
          <w:sz w:val="18"/>
        </w:rPr>
        <w:t>围合作用的幕墙内柱墙面外，均需抹灰；</w:t>
      </w:r>
    </w:p>
    <w:p w14:paraId="0FABB914">
      <w:pPr>
        <w:pStyle w:val="96"/>
        <w:numPr>
          <w:ilvl w:val="0"/>
          <w:numId w:val="56"/>
        </w:numPr>
        <w:jc w:val="left"/>
        <w:rPr>
          <w:b w:val="0"/>
          <w:sz w:val="18"/>
        </w:rPr>
      </w:pPr>
      <w:r>
        <w:rPr>
          <w:rFonts w:hint="eastAsia"/>
          <w:b w:val="0"/>
          <w:sz w:val="18"/>
        </w:rPr>
        <w:t>抹灰</w:t>
      </w:r>
      <w:r>
        <w:rPr>
          <w:b w:val="0"/>
          <w:sz w:val="18"/>
        </w:rPr>
        <w:t>砂浆</w:t>
      </w:r>
      <w:r>
        <w:rPr>
          <w:rFonts w:hint="eastAsia"/>
          <w:b w:val="0"/>
          <w:sz w:val="18"/>
        </w:rPr>
        <w:t>在</w:t>
      </w:r>
      <w:r>
        <w:rPr>
          <w:b w:val="0"/>
          <w:sz w:val="18"/>
        </w:rPr>
        <w:t>当地条件许可时，优先考虑</w:t>
      </w:r>
      <w:r>
        <w:rPr>
          <w:rFonts w:hint="eastAsia"/>
          <w:b w:val="0"/>
          <w:sz w:val="18"/>
        </w:rPr>
        <w:t>采用</w:t>
      </w:r>
      <w:r>
        <w:rPr>
          <w:b w:val="0"/>
          <w:sz w:val="18"/>
        </w:rPr>
        <w:t>预拌砂浆。</w:t>
      </w:r>
    </w:p>
    <w:p w14:paraId="0FAA7284">
      <w:pPr>
        <w:pStyle w:val="96"/>
        <w:numPr>
          <w:ilvl w:val="0"/>
          <w:numId w:val="56"/>
        </w:numPr>
        <w:jc w:val="left"/>
        <w:rPr>
          <w:b w:val="0"/>
          <w:sz w:val="18"/>
        </w:rPr>
      </w:pPr>
      <w:r>
        <w:rPr>
          <w:rFonts w:hint="eastAsia"/>
          <w:b w:val="0"/>
          <w:sz w:val="18"/>
        </w:rPr>
        <w:t>抹灰砂浆</w:t>
      </w:r>
      <w:r>
        <w:rPr>
          <w:b w:val="0"/>
          <w:sz w:val="18"/>
        </w:rPr>
        <w:t>的选择</w:t>
      </w:r>
      <w:r>
        <w:rPr>
          <w:rFonts w:hint="eastAsia"/>
          <w:b w:val="0"/>
          <w:sz w:val="18"/>
        </w:rPr>
        <w:t>：内</w:t>
      </w:r>
      <w:r>
        <w:rPr>
          <w:b w:val="0"/>
          <w:sz w:val="18"/>
        </w:rPr>
        <w:t>墙面均选用水泥砂浆</w:t>
      </w:r>
      <w:r>
        <w:rPr>
          <w:rFonts w:hint="eastAsia"/>
          <w:b w:val="0"/>
          <w:sz w:val="18"/>
        </w:rPr>
        <w:t>配比</w:t>
      </w:r>
      <w:r>
        <w:rPr>
          <w:b w:val="0"/>
          <w:sz w:val="18"/>
        </w:rPr>
        <w:t>或强度规格见设计，外墙面选用聚合物水泥砂浆；</w:t>
      </w:r>
      <w:r>
        <w:rPr>
          <w:rFonts w:hint="eastAsia"/>
          <w:b w:val="0"/>
          <w:sz w:val="18"/>
        </w:rPr>
        <w:t>内墙</w:t>
      </w:r>
      <w:r>
        <w:rPr>
          <w:b w:val="0"/>
          <w:sz w:val="18"/>
        </w:rPr>
        <w:t>操作面狭小的井道</w:t>
      </w:r>
      <w:r>
        <w:rPr>
          <w:rFonts w:hint="eastAsia"/>
          <w:b w:val="0"/>
          <w:sz w:val="18"/>
        </w:rPr>
        <w:t>，</w:t>
      </w:r>
      <w:r>
        <w:rPr>
          <w:b w:val="0"/>
          <w:sz w:val="18"/>
        </w:rPr>
        <w:t>夹墙内等</w:t>
      </w:r>
      <w:r>
        <w:rPr>
          <w:rFonts w:hint="eastAsia"/>
          <w:b w:val="0"/>
          <w:sz w:val="18"/>
        </w:rPr>
        <w:t>部位</w:t>
      </w:r>
      <w:r>
        <w:rPr>
          <w:b w:val="0"/>
          <w:sz w:val="18"/>
        </w:rPr>
        <w:t>的抹灰可用砌筑砂浆随砌随摸</w:t>
      </w:r>
      <w:r>
        <w:rPr>
          <w:rFonts w:hint="eastAsia"/>
          <w:b w:val="0"/>
          <w:sz w:val="18"/>
        </w:rPr>
        <w:t>，</w:t>
      </w:r>
      <w:r>
        <w:rPr>
          <w:b w:val="0"/>
          <w:sz w:val="18"/>
        </w:rPr>
        <w:t>管井内混凝土墙面如设计无特别要求，不作抹灰。</w:t>
      </w:r>
    </w:p>
    <w:p w14:paraId="4EAC50D9">
      <w:pPr>
        <w:pStyle w:val="96"/>
        <w:numPr>
          <w:ilvl w:val="0"/>
          <w:numId w:val="56"/>
        </w:numPr>
        <w:jc w:val="left"/>
        <w:rPr>
          <w:b w:val="0"/>
          <w:sz w:val="18"/>
        </w:rPr>
      </w:pPr>
      <w:r>
        <w:rPr>
          <w:rFonts w:hint="eastAsia"/>
          <w:b w:val="0"/>
          <w:sz w:val="18"/>
        </w:rPr>
        <w:t>关于</w:t>
      </w:r>
      <w:r>
        <w:rPr>
          <w:b w:val="0"/>
          <w:sz w:val="18"/>
        </w:rPr>
        <w:t>抹灰厚度的控制，按以下原则处理：</w:t>
      </w:r>
    </w:p>
    <w:p w14:paraId="59326E6A">
      <w:pPr>
        <w:pStyle w:val="96"/>
        <w:ind w:left="1701" w:firstLine="0"/>
        <w:jc w:val="left"/>
        <w:rPr>
          <w:b w:val="0"/>
          <w:sz w:val="18"/>
        </w:rPr>
      </w:pPr>
      <w:r>
        <w:rPr>
          <w:rFonts w:hint="eastAsia"/>
          <w:b w:val="0"/>
          <w:sz w:val="18"/>
        </w:rPr>
        <w:t>如</w:t>
      </w:r>
      <w:r>
        <w:rPr>
          <w:b w:val="0"/>
          <w:sz w:val="18"/>
        </w:rPr>
        <w:t>设计未规定，</w:t>
      </w:r>
      <w:r>
        <w:rPr>
          <w:rFonts w:hint="eastAsia"/>
          <w:b w:val="0"/>
          <w:sz w:val="18"/>
        </w:rPr>
        <w:t>内墙</w:t>
      </w:r>
      <w:r>
        <w:rPr>
          <w:b w:val="0"/>
          <w:sz w:val="18"/>
        </w:rPr>
        <w:t>抹灰厚度</w:t>
      </w:r>
      <w:r>
        <w:rPr>
          <w:rFonts w:hint="eastAsia"/>
          <w:b w:val="0"/>
          <w:sz w:val="18"/>
        </w:rPr>
        <w:t>1</w:t>
      </w:r>
      <w:r>
        <w:rPr>
          <w:b w:val="0"/>
          <w:sz w:val="18"/>
        </w:rPr>
        <w:t>0-15mm</w:t>
      </w:r>
      <w:r>
        <w:rPr>
          <w:rFonts w:hint="eastAsia"/>
          <w:b w:val="0"/>
          <w:sz w:val="18"/>
        </w:rPr>
        <w:t>（</w:t>
      </w:r>
      <w:r>
        <w:rPr>
          <w:b w:val="0"/>
          <w:sz w:val="18"/>
        </w:rPr>
        <w:t>用优等品砌块砌筑时，选小值）；</w:t>
      </w:r>
      <w:r>
        <w:rPr>
          <w:rFonts w:hint="eastAsia"/>
          <w:b w:val="0"/>
          <w:sz w:val="18"/>
        </w:rPr>
        <w:t>外墙</w:t>
      </w:r>
      <w:r>
        <w:rPr>
          <w:b w:val="0"/>
          <w:sz w:val="18"/>
        </w:rPr>
        <w:t>抹灰厚度</w:t>
      </w:r>
      <w:r>
        <w:rPr>
          <w:rFonts w:hint="eastAsia"/>
          <w:b w:val="0"/>
          <w:sz w:val="18"/>
        </w:rPr>
        <w:t>1</w:t>
      </w:r>
      <w:r>
        <w:rPr>
          <w:b w:val="0"/>
          <w:sz w:val="18"/>
        </w:rPr>
        <w:t>5mm；</w:t>
      </w:r>
      <w:r>
        <w:rPr>
          <w:rFonts w:hint="eastAsia"/>
          <w:b w:val="0"/>
          <w:sz w:val="18"/>
        </w:rPr>
        <w:t>界面</w:t>
      </w:r>
      <w:r>
        <w:rPr>
          <w:b w:val="0"/>
          <w:sz w:val="18"/>
        </w:rPr>
        <w:t>砂浆</w:t>
      </w:r>
      <w:r>
        <w:rPr>
          <w:rFonts w:hint="eastAsia"/>
          <w:b w:val="0"/>
          <w:sz w:val="18"/>
        </w:rPr>
        <w:t>一般2</w:t>
      </w:r>
      <w:r>
        <w:rPr>
          <w:b w:val="0"/>
          <w:sz w:val="18"/>
        </w:rPr>
        <w:t>mm以内不计入抹灰厚度。</w:t>
      </w:r>
    </w:p>
    <w:p w14:paraId="06EB25E6">
      <w:pPr>
        <w:pStyle w:val="96"/>
        <w:ind w:left="1701" w:firstLine="0"/>
        <w:jc w:val="left"/>
        <w:rPr>
          <w:b w:val="0"/>
          <w:sz w:val="18"/>
        </w:rPr>
      </w:pPr>
      <w:r>
        <w:rPr>
          <w:rFonts w:hint="eastAsia"/>
          <w:b w:val="0"/>
          <w:sz w:val="18"/>
        </w:rPr>
        <w:t>干挂幕墙、带</w:t>
      </w:r>
      <w:r>
        <w:rPr>
          <w:b w:val="0"/>
          <w:sz w:val="18"/>
        </w:rPr>
        <w:t>龙骨构造的其他面层的基层墙抹灰</w:t>
      </w:r>
      <w:r>
        <w:rPr>
          <w:rFonts w:hint="eastAsia"/>
          <w:b w:val="0"/>
          <w:sz w:val="18"/>
        </w:rPr>
        <w:t>如</w:t>
      </w:r>
      <w:r>
        <w:rPr>
          <w:b w:val="0"/>
          <w:sz w:val="18"/>
        </w:rPr>
        <w:t>设计没有规定，对整体平整度一般不作</w:t>
      </w:r>
      <w:r>
        <w:rPr>
          <w:rFonts w:hint="eastAsia"/>
          <w:b w:val="0"/>
          <w:sz w:val="18"/>
        </w:rPr>
        <w:t>严格</w:t>
      </w:r>
      <w:r>
        <w:rPr>
          <w:b w:val="0"/>
          <w:sz w:val="18"/>
        </w:rPr>
        <w:t>要求，只控制抹灰砂浆的平均厚度，表面顺平，满足后续防水层（如果有）</w:t>
      </w:r>
      <w:r>
        <w:rPr>
          <w:rFonts w:hint="eastAsia"/>
          <w:b w:val="0"/>
          <w:sz w:val="18"/>
        </w:rPr>
        <w:t>等</w:t>
      </w:r>
      <w:r>
        <w:rPr>
          <w:b w:val="0"/>
          <w:sz w:val="18"/>
        </w:rPr>
        <w:t>后续工序的要求。</w:t>
      </w:r>
    </w:p>
    <w:p w14:paraId="17BC32F9">
      <w:pPr>
        <w:pStyle w:val="96"/>
        <w:ind w:left="1701" w:firstLine="0"/>
        <w:jc w:val="left"/>
        <w:rPr>
          <w:b w:val="0"/>
          <w:sz w:val="18"/>
        </w:rPr>
      </w:pPr>
      <w:r>
        <w:rPr>
          <w:rFonts w:hint="eastAsia"/>
          <w:b w:val="0"/>
          <w:sz w:val="18"/>
        </w:rPr>
        <w:t>除</w:t>
      </w:r>
      <w:r>
        <w:rPr>
          <w:b w:val="0"/>
          <w:sz w:val="18"/>
        </w:rPr>
        <w:t>上述规定之外的抹灰，墙面平整度是重要要求，</w:t>
      </w:r>
      <w:r>
        <w:rPr>
          <w:rFonts w:hint="eastAsia"/>
          <w:b w:val="0"/>
          <w:sz w:val="18"/>
        </w:rPr>
        <w:t>在</w:t>
      </w:r>
      <w:r>
        <w:rPr>
          <w:b w:val="0"/>
          <w:sz w:val="18"/>
        </w:rPr>
        <w:t>满足墙面抹灰增强构造的情况下，平整度良好的</w:t>
      </w:r>
      <w:r>
        <w:rPr>
          <w:rFonts w:hint="eastAsia"/>
          <w:b w:val="0"/>
          <w:sz w:val="18"/>
        </w:rPr>
        <w:t>基层</w:t>
      </w:r>
      <w:r>
        <w:rPr>
          <w:b w:val="0"/>
          <w:sz w:val="18"/>
        </w:rPr>
        <w:t>墙面</w:t>
      </w:r>
      <w:r>
        <w:rPr>
          <w:rFonts w:hint="eastAsia"/>
          <w:b w:val="0"/>
          <w:sz w:val="18"/>
        </w:rPr>
        <w:t>，</w:t>
      </w:r>
      <w:r>
        <w:rPr>
          <w:b w:val="0"/>
          <w:sz w:val="18"/>
        </w:rPr>
        <w:t>其抹灰层</w:t>
      </w:r>
      <w:r>
        <w:rPr>
          <w:rFonts w:hint="eastAsia"/>
          <w:b w:val="0"/>
          <w:sz w:val="18"/>
        </w:rPr>
        <w:t>只要</w:t>
      </w:r>
      <w:r>
        <w:rPr>
          <w:b w:val="0"/>
          <w:sz w:val="18"/>
        </w:rPr>
        <w:t>达到平整度要求，平均厚度可减薄</w:t>
      </w:r>
      <w:r>
        <w:rPr>
          <w:rFonts w:hint="eastAsia"/>
          <w:b w:val="0"/>
          <w:sz w:val="18"/>
        </w:rPr>
        <w:t>；</w:t>
      </w:r>
      <w:r>
        <w:rPr>
          <w:b w:val="0"/>
          <w:sz w:val="18"/>
        </w:rPr>
        <w:t>反之，</w:t>
      </w:r>
      <w:r>
        <w:rPr>
          <w:rFonts w:hint="eastAsia"/>
          <w:b w:val="0"/>
          <w:sz w:val="18"/>
        </w:rPr>
        <w:t>抹灰</w:t>
      </w:r>
      <w:r>
        <w:rPr>
          <w:b w:val="0"/>
          <w:sz w:val="18"/>
        </w:rPr>
        <w:t>厚度可能增加。</w:t>
      </w:r>
    </w:p>
    <w:p w14:paraId="405DB94F">
      <w:pPr>
        <w:pStyle w:val="96"/>
        <w:ind w:left="1701" w:firstLine="0"/>
        <w:jc w:val="left"/>
        <w:rPr>
          <w:b w:val="0"/>
          <w:sz w:val="18"/>
        </w:rPr>
      </w:pPr>
      <w:r>
        <w:rPr>
          <w:b w:val="0"/>
          <w:sz w:val="18"/>
        </w:rPr>
        <w:t>抹灰</w:t>
      </w:r>
      <w:r>
        <w:rPr>
          <w:rFonts w:hint="eastAsia"/>
          <w:b w:val="0"/>
          <w:sz w:val="18"/>
        </w:rPr>
        <w:t>应</w:t>
      </w:r>
      <w:r>
        <w:rPr>
          <w:b w:val="0"/>
          <w:sz w:val="18"/>
        </w:rPr>
        <w:t>分层</w:t>
      </w:r>
      <w:r>
        <w:rPr>
          <w:rFonts w:hint="eastAsia"/>
          <w:b w:val="0"/>
          <w:sz w:val="18"/>
        </w:rPr>
        <w:t>进行</w:t>
      </w:r>
      <w:r>
        <w:rPr>
          <w:b w:val="0"/>
          <w:sz w:val="18"/>
        </w:rPr>
        <w:t>，</w:t>
      </w:r>
      <w:r>
        <w:rPr>
          <w:rFonts w:hint="eastAsia"/>
          <w:b w:val="0"/>
          <w:sz w:val="18"/>
        </w:rPr>
        <w:t>每层</w:t>
      </w:r>
      <w:r>
        <w:rPr>
          <w:b w:val="0"/>
          <w:sz w:val="18"/>
        </w:rPr>
        <w:t>抹灰厚度一般为</w:t>
      </w:r>
      <w:r>
        <w:rPr>
          <w:rFonts w:hint="eastAsia"/>
          <w:b w:val="0"/>
          <w:sz w:val="18"/>
        </w:rPr>
        <w:t>5</w:t>
      </w:r>
      <w:r>
        <w:rPr>
          <w:b w:val="0"/>
          <w:sz w:val="18"/>
        </w:rPr>
        <w:t>-7mm</w:t>
      </w:r>
      <w:r>
        <w:rPr>
          <w:rFonts w:hint="eastAsia"/>
          <w:b w:val="0"/>
          <w:sz w:val="18"/>
        </w:rPr>
        <w:t>，不</w:t>
      </w:r>
      <w:r>
        <w:rPr>
          <w:b w:val="0"/>
          <w:sz w:val="18"/>
        </w:rPr>
        <w:t>超过</w:t>
      </w:r>
      <w:r>
        <w:rPr>
          <w:rFonts w:hint="eastAsia"/>
          <w:b w:val="0"/>
          <w:sz w:val="18"/>
        </w:rPr>
        <w:t>10</w:t>
      </w:r>
      <w:r>
        <w:rPr>
          <w:b w:val="0"/>
          <w:sz w:val="18"/>
        </w:rPr>
        <w:t>mm，并应在前一层达到六、七成干</w:t>
      </w:r>
      <w:r>
        <w:rPr>
          <w:rFonts w:hint="eastAsia"/>
          <w:b w:val="0"/>
          <w:sz w:val="18"/>
        </w:rPr>
        <w:t>时再涂</w:t>
      </w:r>
      <w:r>
        <w:rPr>
          <w:b w:val="0"/>
          <w:sz w:val="18"/>
        </w:rPr>
        <w:t>摸后一层。</w:t>
      </w:r>
    </w:p>
    <w:p w14:paraId="027FAC17">
      <w:pPr>
        <w:pStyle w:val="96"/>
        <w:numPr>
          <w:ilvl w:val="0"/>
          <w:numId w:val="56"/>
        </w:numPr>
        <w:jc w:val="left"/>
        <w:rPr>
          <w:b w:val="0"/>
          <w:sz w:val="18"/>
        </w:rPr>
      </w:pPr>
      <w:r>
        <w:rPr>
          <w:b w:val="0"/>
          <w:sz w:val="18"/>
        </w:rPr>
        <w:t>内墙面材料交接处</w:t>
      </w:r>
      <w:r>
        <w:rPr>
          <w:rFonts w:hint="eastAsia"/>
          <w:b w:val="0"/>
          <w:sz w:val="18"/>
        </w:rPr>
        <w:t>设</w:t>
      </w:r>
      <w:r>
        <w:rPr>
          <w:b w:val="0"/>
          <w:sz w:val="18"/>
        </w:rPr>
        <w:t>钢丝网加强</w:t>
      </w:r>
      <w:r>
        <w:rPr>
          <w:rFonts w:hint="eastAsia"/>
          <w:b w:val="0"/>
          <w:sz w:val="18"/>
        </w:rPr>
        <w:t>，</w:t>
      </w:r>
      <w:r>
        <w:rPr>
          <w:b w:val="0"/>
          <w:sz w:val="18"/>
        </w:rPr>
        <w:t>每边宽度不小于</w:t>
      </w:r>
      <w:r>
        <w:rPr>
          <w:rFonts w:hint="eastAsia"/>
          <w:b w:val="0"/>
          <w:sz w:val="18"/>
        </w:rPr>
        <w:t>150</w:t>
      </w:r>
      <w:r>
        <w:rPr>
          <w:b w:val="0"/>
          <w:sz w:val="18"/>
        </w:rPr>
        <w:t>mm</w:t>
      </w:r>
      <w:r>
        <w:rPr>
          <w:rFonts w:hint="eastAsia"/>
          <w:b w:val="0"/>
          <w:sz w:val="18"/>
        </w:rPr>
        <w:t>；</w:t>
      </w:r>
      <w:r>
        <w:rPr>
          <w:b w:val="0"/>
          <w:sz w:val="18"/>
        </w:rPr>
        <w:t>外墙</w:t>
      </w:r>
      <w:r>
        <w:rPr>
          <w:rFonts w:hint="eastAsia"/>
          <w:b w:val="0"/>
          <w:sz w:val="18"/>
        </w:rPr>
        <w:t>涂料、</w:t>
      </w:r>
      <w:r>
        <w:rPr>
          <w:b w:val="0"/>
          <w:sz w:val="18"/>
        </w:rPr>
        <w:t>灰泥、</w:t>
      </w:r>
      <w:r>
        <w:rPr>
          <w:rFonts w:hint="eastAsia"/>
          <w:b w:val="0"/>
          <w:sz w:val="18"/>
        </w:rPr>
        <w:t>湿贴</w:t>
      </w:r>
      <w:r>
        <w:rPr>
          <w:b w:val="0"/>
          <w:sz w:val="18"/>
        </w:rPr>
        <w:t>墙面</w:t>
      </w:r>
      <w:r>
        <w:rPr>
          <w:rFonts w:hint="eastAsia"/>
          <w:b w:val="0"/>
          <w:sz w:val="18"/>
        </w:rPr>
        <w:t>的</w:t>
      </w:r>
      <w:r>
        <w:rPr>
          <w:b w:val="0"/>
          <w:sz w:val="18"/>
        </w:rPr>
        <w:t>抹灰</w:t>
      </w:r>
      <w:r>
        <w:rPr>
          <w:rFonts w:hint="eastAsia"/>
          <w:b w:val="0"/>
          <w:sz w:val="18"/>
        </w:rPr>
        <w:t>基层全面</w:t>
      </w:r>
      <w:r>
        <w:rPr>
          <w:b w:val="0"/>
          <w:sz w:val="18"/>
        </w:rPr>
        <w:t>设钢丝网加强</w:t>
      </w:r>
      <w:r>
        <w:rPr>
          <w:rFonts w:hint="eastAsia"/>
          <w:b w:val="0"/>
          <w:sz w:val="18"/>
        </w:rPr>
        <w:t>；上述加强</w:t>
      </w:r>
      <w:r>
        <w:rPr>
          <w:b w:val="0"/>
          <w:sz w:val="18"/>
        </w:rPr>
        <w:t>网选用20X20X0.9</w:t>
      </w:r>
      <w:r>
        <w:rPr>
          <w:rFonts w:hint="eastAsia"/>
          <w:b w:val="0"/>
          <w:sz w:val="18"/>
        </w:rPr>
        <w:t>的</w:t>
      </w:r>
      <w:r>
        <w:rPr>
          <w:b w:val="0"/>
          <w:sz w:val="18"/>
        </w:rPr>
        <w:t>热镀锌</w:t>
      </w:r>
      <w:r>
        <w:rPr>
          <w:rFonts w:hint="eastAsia"/>
          <w:b w:val="0"/>
          <w:sz w:val="18"/>
        </w:rPr>
        <w:t>电焊网或</w:t>
      </w:r>
      <w:r>
        <w:rPr>
          <w:b w:val="0"/>
          <w:sz w:val="18"/>
        </w:rPr>
        <w:t>按设计要求</w:t>
      </w:r>
      <w:r>
        <w:rPr>
          <w:rFonts w:hint="eastAsia"/>
          <w:b w:val="0"/>
          <w:sz w:val="18"/>
        </w:rPr>
        <w:t>，</w:t>
      </w:r>
      <w:r>
        <w:rPr>
          <w:b w:val="0"/>
          <w:sz w:val="18"/>
        </w:rPr>
        <w:t>加强网需用</w:t>
      </w:r>
      <w:r>
        <w:rPr>
          <w:rFonts w:hint="eastAsia"/>
          <w:b w:val="0"/>
          <w:sz w:val="18"/>
        </w:rPr>
        <w:t>铁</w:t>
      </w:r>
      <w:r>
        <w:rPr>
          <w:b w:val="0"/>
          <w:sz w:val="18"/>
        </w:rPr>
        <w:t>钉</w:t>
      </w:r>
      <w:r>
        <w:rPr>
          <w:rFonts w:hint="eastAsia"/>
          <w:b w:val="0"/>
          <w:sz w:val="18"/>
        </w:rPr>
        <w:t>和</w:t>
      </w:r>
      <w:r>
        <w:rPr>
          <w:b w:val="0"/>
          <w:sz w:val="18"/>
        </w:rPr>
        <w:t>锚栓与基层墙面固定。楼梯间的内外墙面设</w:t>
      </w:r>
      <w:r>
        <w:rPr>
          <w:rFonts w:hint="eastAsia"/>
          <w:b w:val="0"/>
          <w:sz w:val="18"/>
        </w:rPr>
        <w:t>钢丝网</w:t>
      </w:r>
      <w:r>
        <w:rPr>
          <w:b w:val="0"/>
          <w:sz w:val="18"/>
        </w:rPr>
        <w:t>加强</w:t>
      </w:r>
      <w:r>
        <w:rPr>
          <w:rFonts w:hint="eastAsia"/>
          <w:b w:val="0"/>
          <w:sz w:val="18"/>
        </w:rPr>
        <w:t>，</w:t>
      </w:r>
      <w:r>
        <w:rPr>
          <w:b w:val="0"/>
          <w:sz w:val="18"/>
        </w:rPr>
        <w:t>选用</w:t>
      </w:r>
      <w:r>
        <w:rPr>
          <w:rFonts w:hint="eastAsia"/>
          <w:b w:val="0"/>
          <w:sz w:val="18"/>
        </w:rPr>
        <w:t>20</w:t>
      </w:r>
      <w:r>
        <w:rPr>
          <w:b w:val="0"/>
          <w:sz w:val="18"/>
        </w:rPr>
        <w:t>X20X1.2热镀锌电焊网，用</w:t>
      </w:r>
      <w:r>
        <w:rPr>
          <w:rFonts w:hint="eastAsia"/>
          <w:b w:val="0"/>
          <w:sz w:val="18"/>
        </w:rPr>
        <w:t>Φ8</w:t>
      </w:r>
      <w:r>
        <w:rPr>
          <w:b w:val="0"/>
          <w:sz w:val="18"/>
        </w:rPr>
        <w:t>L60@400X400</w:t>
      </w:r>
      <w:r>
        <w:rPr>
          <w:rFonts w:hint="eastAsia"/>
          <w:b w:val="0"/>
          <w:sz w:val="18"/>
        </w:rPr>
        <w:t>尼龙</w:t>
      </w:r>
      <w:r>
        <w:rPr>
          <w:b w:val="0"/>
          <w:sz w:val="18"/>
        </w:rPr>
        <w:t>锚栓</w:t>
      </w:r>
      <w:r>
        <w:rPr>
          <w:rFonts w:hint="eastAsia"/>
          <w:b w:val="0"/>
          <w:sz w:val="18"/>
        </w:rPr>
        <w:t>固定</w:t>
      </w:r>
      <w:r>
        <w:rPr>
          <w:b w:val="0"/>
          <w:sz w:val="18"/>
        </w:rPr>
        <w:t>。</w:t>
      </w:r>
    </w:p>
    <w:p w14:paraId="0820313E">
      <w:pPr>
        <w:pStyle w:val="96"/>
        <w:numPr>
          <w:ilvl w:val="0"/>
          <w:numId w:val="56"/>
        </w:numPr>
        <w:jc w:val="left"/>
        <w:rPr>
          <w:b w:val="0"/>
          <w:sz w:val="18"/>
        </w:rPr>
      </w:pPr>
      <w:r>
        <w:rPr>
          <w:rFonts w:hint="eastAsia"/>
          <w:b w:val="0"/>
          <w:sz w:val="18"/>
        </w:rPr>
        <w:t>由于</w:t>
      </w:r>
      <w:r>
        <w:rPr>
          <w:b w:val="0"/>
          <w:sz w:val="18"/>
        </w:rPr>
        <w:t>找平的需要，抹灰</w:t>
      </w:r>
      <w:r>
        <w:rPr>
          <w:rFonts w:hint="eastAsia"/>
          <w:b w:val="0"/>
          <w:sz w:val="18"/>
        </w:rPr>
        <w:t>平均</w:t>
      </w:r>
      <w:r>
        <w:rPr>
          <w:b w:val="0"/>
          <w:sz w:val="18"/>
        </w:rPr>
        <w:t>厚度超过</w:t>
      </w:r>
      <w:r>
        <w:rPr>
          <w:rFonts w:hint="eastAsia"/>
          <w:b w:val="0"/>
          <w:sz w:val="18"/>
        </w:rPr>
        <w:t>3</w:t>
      </w:r>
      <w:r>
        <w:rPr>
          <w:b w:val="0"/>
          <w:sz w:val="18"/>
        </w:rPr>
        <w:t>5mm</w:t>
      </w:r>
      <w:r>
        <w:rPr>
          <w:rFonts w:hint="eastAsia"/>
          <w:b w:val="0"/>
          <w:sz w:val="18"/>
        </w:rPr>
        <w:t>的区域</w:t>
      </w:r>
      <w:r>
        <w:rPr>
          <w:b w:val="0"/>
          <w:sz w:val="18"/>
        </w:rPr>
        <w:t>，需设</w:t>
      </w:r>
      <w:r>
        <w:rPr>
          <w:rFonts w:hint="eastAsia"/>
          <w:b w:val="0"/>
          <w:sz w:val="18"/>
        </w:rPr>
        <w:t>钢丝网</w:t>
      </w:r>
      <w:r>
        <w:rPr>
          <w:b w:val="0"/>
          <w:sz w:val="18"/>
        </w:rPr>
        <w:t>加强。</w:t>
      </w:r>
      <w:r>
        <w:rPr>
          <w:rFonts w:hint="eastAsia"/>
          <w:b w:val="0"/>
          <w:sz w:val="18"/>
        </w:rPr>
        <w:t>厚度3</w:t>
      </w:r>
      <w:r>
        <w:rPr>
          <w:b w:val="0"/>
          <w:sz w:val="18"/>
        </w:rPr>
        <w:t>5-60mm</w:t>
      </w:r>
      <w:r>
        <w:rPr>
          <w:rFonts w:hint="eastAsia"/>
          <w:b w:val="0"/>
          <w:sz w:val="18"/>
        </w:rPr>
        <w:t>范围，20</w:t>
      </w:r>
      <w:r>
        <w:rPr>
          <w:b w:val="0"/>
          <w:sz w:val="18"/>
        </w:rPr>
        <w:t>X20X1.5钢丝网加强，厚度6</w:t>
      </w:r>
      <w:r>
        <w:rPr>
          <w:rFonts w:hint="eastAsia"/>
          <w:b w:val="0"/>
          <w:sz w:val="18"/>
        </w:rPr>
        <w:t>0</w:t>
      </w:r>
      <w:r>
        <w:rPr>
          <w:b w:val="0"/>
          <w:sz w:val="18"/>
        </w:rPr>
        <w:t>-100mm，</w:t>
      </w:r>
      <w:r>
        <w:rPr>
          <w:rFonts w:hint="eastAsia"/>
          <w:b w:val="0"/>
          <w:sz w:val="18"/>
        </w:rPr>
        <w:t>25</w:t>
      </w:r>
      <w:r>
        <w:rPr>
          <w:b w:val="0"/>
          <w:sz w:val="18"/>
        </w:rPr>
        <w:t>X25X2.5钢丝网加强，钢丝网</w:t>
      </w:r>
      <w:r>
        <w:rPr>
          <w:rFonts w:hint="eastAsia"/>
          <w:b w:val="0"/>
          <w:sz w:val="18"/>
        </w:rPr>
        <w:t>位置</w:t>
      </w:r>
      <w:r>
        <w:rPr>
          <w:b w:val="0"/>
          <w:sz w:val="18"/>
        </w:rPr>
        <w:t>在距抹灰表面</w:t>
      </w:r>
      <w:r>
        <w:rPr>
          <w:rFonts w:hint="eastAsia"/>
          <w:b w:val="0"/>
          <w:sz w:val="18"/>
        </w:rPr>
        <w:t>10</w:t>
      </w:r>
      <w:r>
        <w:rPr>
          <w:b w:val="0"/>
          <w:sz w:val="18"/>
        </w:rPr>
        <w:t>-15mm的位置，用植筋</w:t>
      </w:r>
      <w:r>
        <w:rPr>
          <w:rFonts w:hint="eastAsia"/>
          <w:b w:val="0"/>
          <w:sz w:val="18"/>
        </w:rPr>
        <w:t>或</w:t>
      </w:r>
      <w:r>
        <w:rPr>
          <w:b w:val="0"/>
          <w:sz w:val="18"/>
        </w:rPr>
        <w:t>锚栓固定</w:t>
      </w:r>
      <w:r>
        <w:rPr>
          <w:rFonts w:hint="eastAsia"/>
          <w:b w:val="0"/>
          <w:sz w:val="18"/>
        </w:rPr>
        <w:t>。</w:t>
      </w:r>
      <w:r>
        <w:rPr>
          <w:b w:val="0"/>
          <w:sz w:val="18"/>
        </w:rPr>
        <w:t>超过</w:t>
      </w:r>
      <w:r>
        <w:rPr>
          <w:rFonts w:hint="eastAsia"/>
          <w:b w:val="0"/>
          <w:sz w:val="18"/>
        </w:rPr>
        <w:t>100</w:t>
      </w:r>
      <w:r>
        <w:rPr>
          <w:b w:val="0"/>
          <w:sz w:val="18"/>
        </w:rPr>
        <w:t>mm厚度</w:t>
      </w:r>
      <w:r>
        <w:rPr>
          <w:rFonts w:hint="eastAsia"/>
          <w:b w:val="0"/>
          <w:sz w:val="18"/>
        </w:rPr>
        <w:t>应</w:t>
      </w:r>
      <w:r>
        <w:rPr>
          <w:b w:val="0"/>
          <w:sz w:val="18"/>
        </w:rPr>
        <w:t>另行研究处理。</w:t>
      </w:r>
    </w:p>
    <w:p w14:paraId="3AD1E04D">
      <w:pPr>
        <w:pStyle w:val="3"/>
        <w:jc w:val="left"/>
      </w:pPr>
      <w:bookmarkStart w:id="82" w:name="_Toc174556806"/>
      <w:r>
        <w:rPr>
          <w:rFonts w:hint="eastAsia"/>
        </w:rPr>
        <w:t>抹灰</w:t>
      </w:r>
      <w:r>
        <w:t>砂浆</w:t>
      </w:r>
      <w:r>
        <w:rPr>
          <w:rFonts w:hint="eastAsia"/>
        </w:rPr>
        <w:t>及</w:t>
      </w:r>
      <w:r>
        <w:t>辅助材料</w:t>
      </w:r>
      <w:bookmarkEnd w:id="82"/>
    </w:p>
    <w:p w14:paraId="7D4F0AC1">
      <w:pPr>
        <w:pStyle w:val="97"/>
      </w:pPr>
      <w:r>
        <w:rPr>
          <w:rFonts w:hint="eastAsia"/>
        </w:rPr>
        <w:t>水泥</w:t>
      </w:r>
      <w:r>
        <w:t>砂浆</w:t>
      </w:r>
    </w:p>
    <w:p w14:paraId="5D918305">
      <w:pPr>
        <w:pStyle w:val="96"/>
        <w:numPr>
          <w:ilvl w:val="0"/>
          <w:numId w:val="58"/>
        </w:numPr>
        <w:jc w:val="left"/>
        <w:rPr>
          <w:b w:val="0"/>
          <w:sz w:val="18"/>
        </w:rPr>
      </w:pPr>
      <w:r>
        <w:rPr>
          <w:rFonts w:hint="eastAsia"/>
          <w:b w:val="0"/>
          <w:sz w:val="18"/>
        </w:rPr>
        <w:t>主要</w:t>
      </w:r>
      <w:r>
        <w:rPr>
          <w:b w:val="0"/>
          <w:sz w:val="18"/>
        </w:rPr>
        <w:t>用于</w:t>
      </w:r>
      <w:r>
        <w:rPr>
          <w:rFonts w:hint="eastAsia"/>
          <w:b w:val="0"/>
          <w:sz w:val="18"/>
        </w:rPr>
        <w:t>内</w:t>
      </w:r>
      <w:r>
        <w:rPr>
          <w:b w:val="0"/>
          <w:sz w:val="18"/>
        </w:rPr>
        <w:t>外墙面的抹灰；</w:t>
      </w:r>
    </w:p>
    <w:p w14:paraId="26ADD473">
      <w:pPr>
        <w:pStyle w:val="96"/>
        <w:numPr>
          <w:ilvl w:val="0"/>
          <w:numId w:val="58"/>
        </w:numPr>
        <w:jc w:val="left"/>
        <w:rPr>
          <w:b w:val="0"/>
          <w:sz w:val="18"/>
        </w:rPr>
      </w:pPr>
      <w:r>
        <w:rPr>
          <w:rFonts w:hint="eastAsia"/>
          <w:b w:val="0"/>
          <w:sz w:val="18"/>
        </w:rPr>
        <w:t>砂浆</w:t>
      </w:r>
      <w:r>
        <w:rPr>
          <w:b w:val="0"/>
          <w:sz w:val="18"/>
        </w:rPr>
        <w:t>抗压强度：</w:t>
      </w:r>
      <w:r>
        <w:rPr>
          <w:rFonts w:hint="eastAsia"/>
          <w:b w:val="0"/>
          <w:sz w:val="18"/>
        </w:rPr>
        <w:t>M15</w:t>
      </w:r>
      <w:r>
        <w:rPr>
          <w:b w:val="0"/>
          <w:sz w:val="18"/>
        </w:rPr>
        <w:t>、M20（</w:t>
      </w:r>
      <w:r>
        <w:rPr>
          <w:rFonts w:hint="eastAsia"/>
          <w:b w:val="0"/>
          <w:sz w:val="18"/>
        </w:rPr>
        <w:t>用于阳台</w:t>
      </w:r>
      <w:r>
        <w:rPr>
          <w:b w:val="0"/>
          <w:sz w:val="18"/>
        </w:rPr>
        <w:t>、窗台、檐口、护角等部位）</w:t>
      </w:r>
      <w:r>
        <w:rPr>
          <w:rFonts w:hint="eastAsia"/>
          <w:b w:val="0"/>
          <w:sz w:val="18"/>
        </w:rPr>
        <w:t>；</w:t>
      </w:r>
    </w:p>
    <w:p w14:paraId="3C50BE89">
      <w:pPr>
        <w:pStyle w:val="96"/>
        <w:numPr>
          <w:ilvl w:val="0"/>
          <w:numId w:val="58"/>
        </w:numPr>
        <w:jc w:val="left"/>
        <w:rPr>
          <w:b w:val="0"/>
          <w:sz w:val="18"/>
        </w:rPr>
      </w:pPr>
      <w:r>
        <w:rPr>
          <w:rFonts w:hint="eastAsia"/>
          <w:b w:val="0"/>
          <w:sz w:val="18"/>
        </w:rPr>
        <w:t>拌合物</w:t>
      </w:r>
      <w:r>
        <w:rPr>
          <w:b w:val="0"/>
          <w:sz w:val="18"/>
        </w:rPr>
        <w:t>的表观密度</w:t>
      </w:r>
      <w:r>
        <w:rPr>
          <w:rFonts w:hint="eastAsia"/>
          <w:b w:val="0"/>
          <w:sz w:val="18"/>
        </w:rPr>
        <w:t>不</w:t>
      </w:r>
      <w:r>
        <w:rPr>
          <w:b w:val="0"/>
          <w:sz w:val="18"/>
        </w:rPr>
        <w:t>小于</w:t>
      </w:r>
      <w:r>
        <w:rPr>
          <w:rFonts w:hint="eastAsia"/>
          <w:b w:val="0"/>
          <w:sz w:val="18"/>
        </w:rPr>
        <w:t>1900</w:t>
      </w:r>
      <w:r>
        <w:rPr>
          <w:b w:val="0"/>
          <w:sz w:val="18"/>
        </w:rPr>
        <w:t>kg/m3</w:t>
      </w:r>
      <w:r>
        <w:rPr>
          <w:rFonts w:hint="eastAsia"/>
          <w:b w:val="0"/>
          <w:sz w:val="18"/>
        </w:rPr>
        <w:t>；</w:t>
      </w:r>
    </w:p>
    <w:p w14:paraId="628006B1">
      <w:pPr>
        <w:pStyle w:val="96"/>
        <w:numPr>
          <w:ilvl w:val="0"/>
          <w:numId w:val="58"/>
        </w:numPr>
        <w:jc w:val="left"/>
        <w:rPr>
          <w:b w:val="0"/>
          <w:sz w:val="18"/>
        </w:rPr>
      </w:pPr>
      <w:r>
        <w:rPr>
          <w:rFonts w:hint="eastAsia"/>
          <w:b w:val="0"/>
          <w:sz w:val="18"/>
        </w:rPr>
        <w:t>保水</w:t>
      </w:r>
      <w:r>
        <w:rPr>
          <w:b w:val="0"/>
          <w:sz w:val="18"/>
        </w:rPr>
        <w:t>率不宜小于</w:t>
      </w:r>
      <w:r>
        <w:rPr>
          <w:rFonts w:hint="eastAsia"/>
          <w:b w:val="0"/>
          <w:sz w:val="18"/>
        </w:rPr>
        <w:t>82</w:t>
      </w:r>
      <w:r>
        <w:rPr>
          <w:b w:val="0"/>
          <w:sz w:val="18"/>
        </w:rPr>
        <w:t>%；</w:t>
      </w:r>
    </w:p>
    <w:p w14:paraId="3E328BA2">
      <w:pPr>
        <w:pStyle w:val="96"/>
        <w:numPr>
          <w:ilvl w:val="0"/>
          <w:numId w:val="58"/>
        </w:numPr>
        <w:jc w:val="left"/>
        <w:rPr>
          <w:b w:val="0"/>
          <w:sz w:val="18"/>
        </w:rPr>
      </w:pPr>
      <w:r>
        <w:rPr>
          <w:rFonts w:hint="eastAsia"/>
          <w:b w:val="0"/>
          <w:sz w:val="18"/>
        </w:rPr>
        <w:t>拉伸</w:t>
      </w:r>
      <w:r>
        <w:rPr>
          <w:b w:val="0"/>
          <w:sz w:val="18"/>
        </w:rPr>
        <w:t>粘结强度不应小于</w:t>
      </w:r>
      <w:r>
        <w:rPr>
          <w:rFonts w:hint="eastAsia"/>
          <w:b w:val="0"/>
          <w:sz w:val="18"/>
        </w:rPr>
        <w:t>0.</w:t>
      </w:r>
      <w:r>
        <w:rPr>
          <w:b w:val="0"/>
          <w:sz w:val="18"/>
        </w:rPr>
        <w:t>2MPa；</w:t>
      </w:r>
    </w:p>
    <w:p w14:paraId="09A2E1CA">
      <w:pPr>
        <w:pStyle w:val="97"/>
      </w:pPr>
      <w:r>
        <w:rPr>
          <w:rFonts w:hint="eastAsia"/>
        </w:rPr>
        <w:t>聚合物</w:t>
      </w:r>
      <w:r>
        <w:t>水泥砂浆</w:t>
      </w:r>
    </w:p>
    <w:p w14:paraId="161058B5">
      <w:pPr>
        <w:pStyle w:val="96"/>
        <w:numPr>
          <w:ilvl w:val="0"/>
          <w:numId w:val="59"/>
        </w:numPr>
        <w:jc w:val="left"/>
        <w:rPr>
          <w:b w:val="0"/>
          <w:sz w:val="18"/>
        </w:rPr>
      </w:pPr>
      <w:r>
        <w:rPr>
          <w:b w:val="0"/>
          <w:sz w:val="18"/>
        </w:rPr>
        <w:t>聚合物水泥</w:t>
      </w:r>
      <w:r>
        <w:rPr>
          <w:rFonts w:hint="eastAsia"/>
          <w:b w:val="0"/>
          <w:sz w:val="18"/>
        </w:rPr>
        <w:t>抹灰</w:t>
      </w:r>
      <w:r>
        <w:rPr>
          <w:b w:val="0"/>
          <w:sz w:val="18"/>
        </w:rPr>
        <w:t>砂浆</w:t>
      </w:r>
      <w:r>
        <w:rPr>
          <w:rFonts w:hint="eastAsia"/>
          <w:b w:val="0"/>
          <w:sz w:val="18"/>
        </w:rPr>
        <w:t>主要</w:t>
      </w:r>
      <w:r>
        <w:rPr>
          <w:b w:val="0"/>
          <w:sz w:val="18"/>
        </w:rPr>
        <w:t>用于内</w:t>
      </w:r>
      <w:r>
        <w:rPr>
          <w:rFonts w:hint="eastAsia"/>
          <w:b w:val="0"/>
          <w:sz w:val="18"/>
        </w:rPr>
        <w:t>外</w:t>
      </w:r>
      <w:r>
        <w:rPr>
          <w:b w:val="0"/>
          <w:sz w:val="18"/>
        </w:rPr>
        <w:t>墙面</w:t>
      </w:r>
      <w:r>
        <w:rPr>
          <w:rFonts w:hint="eastAsia"/>
          <w:b w:val="0"/>
          <w:sz w:val="18"/>
        </w:rPr>
        <w:t>设计</w:t>
      </w:r>
      <w:r>
        <w:rPr>
          <w:b w:val="0"/>
          <w:sz w:val="18"/>
        </w:rPr>
        <w:t>规定的位置的抹灰；</w:t>
      </w:r>
    </w:p>
    <w:p w14:paraId="0FDC109A">
      <w:pPr>
        <w:pStyle w:val="96"/>
        <w:numPr>
          <w:ilvl w:val="0"/>
          <w:numId w:val="59"/>
        </w:numPr>
        <w:jc w:val="left"/>
        <w:rPr>
          <w:b w:val="0"/>
          <w:sz w:val="18"/>
        </w:rPr>
      </w:pPr>
      <w:r>
        <w:rPr>
          <w:rFonts w:hint="eastAsia"/>
          <w:b w:val="0"/>
          <w:sz w:val="18"/>
        </w:rPr>
        <w:t>砂浆</w:t>
      </w:r>
      <w:r>
        <w:rPr>
          <w:b w:val="0"/>
          <w:sz w:val="18"/>
        </w:rPr>
        <w:t>的抗压强度不小于M5.0</w:t>
      </w:r>
      <w:r>
        <w:rPr>
          <w:rFonts w:hint="eastAsia"/>
          <w:b w:val="0"/>
          <w:sz w:val="18"/>
        </w:rPr>
        <w:t>；</w:t>
      </w:r>
    </w:p>
    <w:p w14:paraId="490AC507">
      <w:pPr>
        <w:pStyle w:val="96"/>
        <w:numPr>
          <w:ilvl w:val="0"/>
          <w:numId w:val="59"/>
        </w:numPr>
        <w:jc w:val="left"/>
        <w:rPr>
          <w:b w:val="0"/>
          <w:sz w:val="18"/>
        </w:rPr>
      </w:pPr>
      <w:r>
        <w:rPr>
          <w:rFonts w:hint="eastAsia"/>
          <w:b w:val="0"/>
          <w:sz w:val="18"/>
        </w:rPr>
        <w:t>拉伸</w:t>
      </w:r>
      <w:r>
        <w:rPr>
          <w:b w:val="0"/>
          <w:sz w:val="18"/>
        </w:rPr>
        <w:t>粘结强度不小于</w:t>
      </w:r>
      <w:r>
        <w:rPr>
          <w:rFonts w:hint="eastAsia"/>
          <w:b w:val="0"/>
          <w:sz w:val="18"/>
        </w:rPr>
        <w:t>0.3</w:t>
      </w:r>
      <w:r>
        <w:rPr>
          <w:b w:val="0"/>
          <w:sz w:val="18"/>
        </w:rPr>
        <w:t>MPa</w:t>
      </w:r>
      <w:r>
        <w:rPr>
          <w:rFonts w:hint="eastAsia"/>
          <w:b w:val="0"/>
          <w:sz w:val="18"/>
        </w:rPr>
        <w:t>。</w:t>
      </w:r>
    </w:p>
    <w:p w14:paraId="69AB4D84">
      <w:pPr>
        <w:pStyle w:val="97"/>
      </w:pPr>
      <w:r>
        <w:rPr>
          <w:rFonts w:hint="eastAsia"/>
        </w:rPr>
        <w:t>界面</w:t>
      </w:r>
      <w:r>
        <w:t>砂浆</w:t>
      </w:r>
    </w:p>
    <w:p w14:paraId="58C55345">
      <w:pPr>
        <w:pStyle w:val="96"/>
        <w:numPr>
          <w:ilvl w:val="0"/>
          <w:numId w:val="60"/>
        </w:numPr>
        <w:jc w:val="left"/>
        <w:rPr>
          <w:b w:val="0"/>
          <w:sz w:val="18"/>
        </w:rPr>
      </w:pPr>
      <w:r>
        <w:rPr>
          <w:rFonts w:hint="eastAsia"/>
          <w:b w:val="0"/>
          <w:sz w:val="18"/>
        </w:rPr>
        <w:t>界面处理</w:t>
      </w:r>
      <w:r>
        <w:rPr>
          <w:b w:val="0"/>
          <w:sz w:val="18"/>
        </w:rPr>
        <w:t>剂的性能要求如下</w:t>
      </w:r>
      <w:r>
        <w:rPr>
          <w:rFonts w:hint="eastAsia"/>
          <w:b w:val="0"/>
          <w:sz w:val="18"/>
        </w:rPr>
        <w:t>表：</w:t>
      </w:r>
    </w:p>
    <w:p w14:paraId="234F88BE">
      <w:pPr>
        <w:pStyle w:val="96"/>
        <w:ind w:left="90" w:leftChars="50" w:firstLine="3510" w:firstLineChars="1950"/>
        <w:jc w:val="left"/>
        <w:rPr>
          <w:b w:val="0"/>
          <w:sz w:val="18"/>
        </w:rPr>
      </w:pPr>
      <w:r>
        <w:rPr>
          <w:rFonts w:hint="eastAsia"/>
          <w:b w:val="0"/>
          <w:sz w:val="18"/>
        </w:rPr>
        <w:t>界面剂</w:t>
      </w:r>
      <w:r>
        <w:rPr>
          <w:b w:val="0"/>
          <w:sz w:val="18"/>
        </w:rPr>
        <w:t>的物理力学性能</w:t>
      </w:r>
    </w:p>
    <w:tbl>
      <w:tblPr>
        <w:tblStyle w:val="37"/>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3"/>
        <w:gridCol w:w="1045"/>
        <w:gridCol w:w="1418"/>
        <w:gridCol w:w="2126"/>
        <w:gridCol w:w="1979"/>
      </w:tblGrid>
      <w:tr w14:paraId="671D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gridSpan w:val="3"/>
            <w:vMerge w:val="restart"/>
          </w:tcPr>
          <w:p w14:paraId="08D2892C">
            <w:pPr>
              <w:pStyle w:val="96"/>
              <w:ind w:left="0" w:firstLine="0"/>
              <w:jc w:val="left"/>
              <w:rPr>
                <w:b w:val="0"/>
                <w:sz w:val="18"/>
              </w:rPr>
            </w:pPr>
            <w:r>
              <w:rPr>
                <w:rFonts w:hint="eastAsia"/>
                <w:b w:val="0"/>
                <w:sz w:val="18"/>
              </w:rPr>
              <w:t>项      目</w:t>
            </w:r>
          </w:p>
        </w:tc>
        <w:tc>
          <w:tcPr>
            <w:tcW w:w="4105" w:type="dxa"/>
            <w:gridSpan w:val="2"/>
          </w:tcPr>
          <w:p w14:paraId="23FBEC0F">
            <w:pPr>
              <w:pStyle w:val="96"/>
              <w:ind w:left="0" w:firstLine="0"/>
              <w:jc w:val="left"/>
              <w:rPr>
                <w:b w:val="0"/>
                <w:sz w:val="18"/>
              </w:rPr>
            </w:pPr>
            <w:r>
              <w:rPr>
                <w:rFonts w:hint="eastAsia"/>
                <w:b w:val="0"/>
                <w:sz w:val="18"/>
              </w:rPr>
              <w:t>指      标</w:t>
            </w:r>
          </w:p>
        </w:tc>
      </w:tr>
      <w:tr w14:paraId="3A08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gridSpan w:val="3"/>
            <w:vMerge w:val="continue"/>
          </w:tcPr>
          <w:p w14:paraId="5D1E6420">
            <w:pPr>
              <w:pStyle w:val="96"/>
              <w:ind w:left="0" w:firstLine="0"/>
              <w:jc w:val="left"/>
              <w:rPr>
                <w:b w:val="0"/>
                <w:sz w:val="18"/>
              </w:rPr>
            </w:pPr>
          </w:p>
        </w:tc>
        <w:tc>
          <w:tcPr>
            <w:tcW w:w="2126" w:type="dxa"/>
          </w:tcPr>
          <w:p w14:paraId="337B6EF0">
            <w:pPr>
              <w:pStyle w:val="96"/>
              <w:ind w:left="0" w:firstLine="0"/>
              <w:jc w:val="left"/>
              <w:rPr>
                <w:b w:val="0"/>
                <w:sz w:val="18"/>
              </w:rPr>
            </w:pPr>
            <w:r>
              <w:rPr>
                <w:b w:val="0"/>
                <w:sz w:val="18"/>
              </w:rPr>
              <w:fldChar w:fldCharType="begin"/>
            </w:r>
            <w:r>
              <w:rPr>
                <w:b w:val="0"/>
                <w:sz w:val="18"/>
              </w:rPr>
              <w:instrText xml:space="preserve"> </w:instrText>
            </w:r>
            <w:r>
              <w:rPr>
                <w:rFonts w:hint="eastAsia"/>
                <w:b w:val="0"/>
                <w:sz w:val="18"/>
              </w:rPr>
              <w:instrText xml:space="preserve">= 1 \* ROMAN</w:instrText>
            </w:r>
            <w:r>
              <w:rPr>
                <w:b w:val="0"/>
                <w:sz w:val="18"/>
              </w:rPr>
              <w:instrText xml:space="preserve"> </w:instrText>
            </w:r>
            <w:r>
              <w:rPr>
                <w:b w:val="0"/>
                <w:sz w:val="18"/>
              </w:rPr>
              <w:fldChar w:fldCharType="separate"/>
            </w:r>
            <w:r>
              <w:rPr>
                <w:b w:val="0"/>
                <w:sz w:val="18"/>
              </w:rPr>
              <w:t>I</w:t>
            </w:r>
            <w:r>
              <w:rPr>
                <w:b w:val="0"/>
                <w:sz w:val="18"/>
              </w:rPr>
              <w:fldChar w:fldCharType="end"/>
            </w:r>
            <w:r>
              <w:rPr>
                <w:rFonts w:hint="eastAsia"/>
                <w:b w:val="0"/>
                <w:sz w:val="18"/>
              </w:rPr>
              <w:t>型</w:t>
            </w:r>
          </w:p>
        </w:tc>
        <w:tc>
          <w:tcPr>
            <w:tcW w:w="1979" w:type="dxa"/>
          </w:tcPr>
          <w:p w14:paraId="1F971134">
            <w:pPr>
              <w:pStyle w:val="96"/>
              <w:ind w:left="0" w:firstLine="0"/>
              <w:jc w:val="left"/>
              <w:rPr>
                <w:b w:val="0"/>
                <w:sz w:val="18"/>
              </w:rPr>
            </w:pPr>
            <w:r>
              <w:rPr>
                <w:b w:val="0"/>
                <w:sz w:val="18"/>
              </w:rPr>
              <w:fldChar w:fldCharType="begin"/>
            </w:r>
            <w:r>
              <w:rPr>
                <w:b w:val="0"/>
                <w:sz w:val="18"/>
              </w:rPr>
              <w:instrText xml:space="preserve"> </w:instrText>
            </w:r>
            <w:r>
              <w:rPr>
                <w:rFonts w:hint="eastAsia"/>
                <w:b w:val="0"/>
                <w:sz w:val="18"/>
              </w:rPr>
              <w:instrText xml:space="preserve">= 2 \* ROMAN</w:instrText>
            </w:r>
            <w:r>
              <w:rPr>
                <w:b w:val="0"/>
                <w:sz w:val="18"/>
              </w:rPr>
              <w:instrText xml:space="preserve"> </w:instrText>
            </w:r>
            <w:r>
              <w:rPr>
                <w:b w:val="0"/>
                <w:sz w:val="18"/>
              </w:rPr>
              <w:fldChar w:fldCharType="separate"/>
            </w:r>
            <w:r>
              <w:rPr>
                <w:b w:val="0"/>
                <w:sz w:val="18"/>
              </w:rPr>
              <w:t>II</w:t>
            </w:r>
            <w:r>
              <w:rPr>
                <w:b w:val="0"/>
                <w:sz w:val="18"/>
              </w:rPr>
              <w:fldChar w:fldCharType="end"/>
            </w:r>
            <w:r>
              <w:rPr>
                <w:rFonts w:hint="eastAsia"/>
                <w:b w:val="0"/>
                <w:sz w:val="18"/>
              </w:rPr>
              <w:t>型</w:t>
            </w:r>
          </w:p>
        </w:tc>
      </w:tr>
      <w:tr w14:paraId="329F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tcPr>
          <w:p w14:paraId="549A3ACD">
            <w:pPr>
              <w:pStyle w:val="96"/>
              <w:ind w:left="0" w:firstLine="0"/>
              <w:jc w:val="left"/>
              <w:rPr>
                <w:b w:val="0"/>
                <w:sz w:val="18"/>
              </w:rPr>
            </w:pPr>
            <w:r>
              <w:rPr>
                <w:rFonts w:hint="eastAsia"/>
                <w:b w:val="0"/>
                <w:sz w:val="18"/>
              </w:rPr>
              <w:t>剪切</w:t>
            </w:r>
            <w:r>
              <w:rPr>
                <w:b w:val="0"/>
                <w:sz w:val="18"/>
              </w:rPr>
              <w:t>粘结强度</w:t>
            </w:r>
          </w:p>
          <w:p w14:paraId="2898EC58">
            <w:pPr>
              <w:pStyle w:val="96"/>
              <w:ind w:left="0" w:firstLine="0"/>
              <w:jc w:val="left"/>
              <w:rPr>
                <w:b w:val="0"/>
                <w:sz w:val="18"/>
              </w:rPr>
            </w:pPr>
            <w:r>
              <w:rPr>
                <w:b w:val="0"/>
                <w:sz w:val="18"/>
              </w:rPr>
              <w:t>MPa</w:t>
            </w:r>
          </w:p>
        </w:tc>
        <w:tc>
          <w:tcPr>
            <w:tcW w:w="2463" w:type="dxa"/>
            <w:gridSpan w:val="2"/>
          </w:tcPr>
          <w:p w14:paraId="6B32166E">
            <w:pPr>
              <w:pStyle w:val="96"/>
              <w:ind w:left="0" w:firstLine="0"/>
              <w:jc w:val="left"/>
              <w:rPr>
                <w:b w:val="0"/>
                <w:sz w:val="18"/>
              </w:rPr>
            </w:pPr>
            <w:r>
              <w:rPr>
                <w:b w:val="0"/>
                <w:sz w:val="18"/>
              </w:rPr>
              <w:t>7d</w:t>
            </w:r>
          </w:p>
        </w:tc>
        <w:tc>
          <w:tcPr>
            <w:tcW w:w="2126" w:type="dxa"/>
          </w:tcPr>
          <w:p w14:paraId="028F157C">
            <w:pPr>
              <w:pStyle w:val="96"/>
              <w:ind w:left="0" w:firstLine="0"/>
              <w:jc w:val="left"/>
              <w:rPr>
                <w:b w:val="0"/>
                <w:sz w:val="18"/>
              </w:rPr>
            </w:pPr>
            <w:r>
              <w:rPr>
                <w:rFonts w:hint="eastAsia"/>
                <w:b w:val="0"/>
                <w:sz w:val="18"/>
              </w:rPr>
              <w:t>≥1.0</w:t>
            </w:r>
          </w:p>
        </w:tc>
        <w:tc>
          <w:tcPr>
            <w:tcW w:w="1979" w:type="dxa"/>
          </w:tcPr>
          <w:p w14:paraId="0989F735">
            <w:pPr>
              <w:pStyle w:val="96"/>
              <w:ind w:left="0" w:firstLine="0"/>
              <w:jc w:val="left"/>
              <w:rPr>
                <w:b w:val="0"/>
                <w:sz w:val="18"/>
              </w:rPr>
            </w:pPr>
            <w:r>
              <w:rPr>
                <w:rFonts w:hint="eastAsia"/>
                <w:b w:val="0"/>
                <w:sz w:val="18"/>
              </w:rPr>
              <w:t>≥0.7</w:t>
            </w:r>
          </w:p>
        </w:tc>
      </w:tr>
      <w:tr w14:paraId="7F48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tcPr>
          <w:p w14:paraId="180E6957">
            <w:pPr>
              <w:pStyle w:val="96"/>
              <w:ind w:left="0" w:firstLine="0"/>
              <w:jc w:val="left"/>
              <w:rPr>
                <w:b w:val="0"/>
                <w:sz w:val="18"/>
              </w:rPr>
            </w:pPr>
          </w:p>
        </w:tc>
        <w:tc>
          <w:tcPr>
            <w:tcW w:w="2463" w:type="dxa"/>
            <w:gridSpan w:val="2"/>
          </w:tcPr>
          <w:p w14:paraId="3AB984B3">
            <w:pPr>
              <w:pStyle w:val="96"/>
              <w:ind w:left="0" w:firstLine="0"/>
              <w:jc w:val="left"/>
              <w:rPr>
                <w:b w:val="0"/>
                <w:sz w:val="18"/>
              </w:rPr>
            </w:pPr>
            <w:r>
              <w:rPr>
                <w:b w:val="0"/>
                <w:sz w:val="18"/>
              </w:rPr>
              <w:t>14d</w:t>
            </w:r>
          </w:p>
        </w:tc>
        <w:tc>
          <w:tcPr>
            <w:tcW w:w="2126" w:type="dxa"/>
          </w:tcPr>
          <w:p w14:paraId="1DD77949">
            <w:pPr>
              <w:pStyle w:val="96"/>
              <w:ind w:left="0" w:firstLine="0"/>
              <w:jc w:val="left"/>
              <w:rPr>
                <w:b w:val="0"/>
                <w:sz w:val="18"/>
              </w:rPr>
            </w:pPr>
            <w:r>
              <w:rPr>
                <w:rFonts w:hint="eastAsia"/>
                <w:b w:val="0"/>
                <w:sz w:val="18"/>
              </w:rPr>
              <w:t>≥1.5</w:t>
            </w:r>
          </w:p>
        </w:tc>
        <w:tc>
          <w:tcPr>
            <w:tcW w:w="1979" w:type="dxa"/>
          </w:tcPr>
          <w:p w14:paraId="7279D4B9">
            <w:pPr>
              <w:pStyle w:val="96"/>
              <w:ind w:left="0" w:firstLine="0"/>
              <w:jc w:val="left"/>
              <w:rPr>
                <w:b w:val="0"/>
                <w:sz w:val="18"/>
              </w:rPr>
            </w:pPr>
            <w:r>
              <w:rPr>
                <w:rFonts w:hint="eastAsia"/>
                <w:b w:val="0"/>
                <w:sz w:val="18"/>
              </w:rPr>
              <w:t>≥1.0</w:t>
            </w:r>
          </w:p>
        </w:tc>
      </w:tr>
      <w:tr w14:paraId="5CFA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restart"/>
          </w:tcPr>
          <w:p w14:paraId="04F88C2B">
            <w:pPr>
              <w:pStyle w:val="96"/>
              <w:ind w:left="0" w:firstLine="0"/>
              <w:jc w:val="left"/>
              <w:rPr>
                <w:b w:val="0"/>
                <w:sz w:val="18"/>
              </w:rPr>
            </w:pPr>
            <w:r>
              <w:rPr>
                <w:rFonts w:hint="eastAsia"/>
                <w:b w:val="0"/>
                <w:sz w:val="18"/>
              </w:rPr>
              <w:t>拉伸</w:t>
            </w:r>
            <w:r>
              <w:rPr>
                <w:b w:val="0"/>
                <w:sz w:val="18"/>
              </w:rPr>
              <w:t>粘结强度</w:t>
            </w:r>
          </w:p>
          <w:p w14:paraId="1A468701">
            <w:pPr>
              <w:pStyle w:val="96"/>
              <w:ind w:left="0" w:firstLine="0"/>
              <w:jc w:val="left"/>
              <w:rPr>
                <w:b w:val="0"/>
                <w:sz w:val="18"/>
              </w:rPr>
            </w:pPr>
            <w:r>
              <w:rPr>
                <w:rFonts w:hint="eastAsia"/>
                <w:b w:val="0"/>
                <w:sz w:val="18"/>
              </w:rPr>
              <w:t>MPa</w:t>
            </w:r>
          </w:p>
        </w:tc>
        <w:tc>
          <w:tcPr>
            <w:tcW w:w="1045" w:type="dxa"/>
            <w:vMerge w:val="restart"/>
          </w:tcPr>
          <w:p w14:paraId="56101A98">
            <w:pPr>
              <w:pStyle w:val="96"/>
              <w:ind w:left="0" w:firstLine="0"/>
              <w:jc w:val="left"/>
              <w:rPr>
                <w:b w:val="0"/>
                <w:sz w:val="18"/>
              </w:rPr>
            </w:pPr>
            <w:r>
              <w:rPr>
                <w:rFonts w:hint="eastAsia"/>
                <w:b w:val="0"/>
                <w:sz w:val="18"/>
              </w:rPr>
              <w:t>未处理</w:t>
            </w:r>
          </w:p>
        </w:tc>
        <w:tc>
          <w:tcPr>
            <w:tcW w:w="1418" w:type="dxa"/>
          </w:tcPr>
          <w:p w14:paraId="744FDCDB">
            <w:pPr>
              <w:pStyle w:val="96"/>
              <w:ind w:left="0" w:firstLine="0"/>
              <w:jc w:val="left"/>
              <w:rPr>
                <w:b w:val="0"/>
                <w:sz w:val="18"/>
              </w:rPr>
            </w:pPr>
            <w:r>
              <w:rPr>
                <w:b w:val="0"/>
                <w:sz w:val="18"/>
              </w:rPr>
              <w:t>7d</w:t>
            </w:r>
          </w:p>
        </w:tc>
        <w:tc>
          <w:tcPr>
            <w:tcW w:w="2126" w:type="dxa"/>
          </w:tcPr>
          <w:p w14:paraId="56CDD872">
            <w:pPr>
              <w:pStyle w:val="96"/>
              <w:ind w:left="0" w:firstLine="0"/>
              <w:jc w:val="left"/>
              <w:rPr>
                <w:b w:val="0"/>
                <w:sz w:val="18"/>
              </w:rPr>
            </w:pPr>
            <w:r>
              <w:rPr>
                <w:rFonts w:hint="eastAsia"/>
                <w:b w:val="0"/>
                <w:sz w:val="18"/>
              </w:rPr>
              <w:t>≥0.4</w:t>
            </w:r>
          </w:p>
        </w:tc>
        <w:tc>
          <w:tcPr>
            <w:tcW w:w="1979" w:type="dxa"/>
          </w:tcPr>
          <w:p w14:paraId="4A43EAC2">
            <w:pPr>
              <w:pStyle w:val="96"/>
              <w:ind w:left="0" w:firstLine="0"/>
              <w:jc w:val="left"/>
              <w:rPr>
                <w:b w:val="0"/>
                <w:sz w:val="18"/>
              </w:rPr>
            </w:pPr>
            <w:r>
              <w:rPr>
                <w:rFonts w:hint="eastAsia"/>
                <w:b w:val="0"/>
                <w:sz w:val="18"/>
              </w:rPr>
              <w:t>≥0.3</w:t>
            </w:r>
          </w:p>
        </w:tc>
      </w:tr>
      <w:tr w14:paraId="07A2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tcPr>
          <w:p w14:paraId="0B891588">
            <w:pPr>
              <w:pStyle w:val="96"/>
              <w:ind w:left="0" w:firstLine="0"/>
              <w:jc w:val="left"/>
              <w:rPr>
                <w:b w:val="0"/>
                <w:sz w:val="18"/>
              </w:rPr>
            </w:pPr>
          </w:p>
        </w:tc>
        <w:tc>
          <w:tcPr>
            <w:tcW w:w="1045" w:type="dxa"/>
            <w:vMerge w:val="continue"/>
          </w:tcPr>
          <w:p w14:paraId="7A5AAA0C">
            <w:pPr>
              <w:pStyle w:val="96"/>
              <w:ind w:left="0" w:firstLine="0"/>
              <w:jc w:val="left"/>
              <w:rPr>
                <w:b w:val="0"/>
                <w:sz w:val="18"/>
              </w:rPr>
            </w:pPr>
          </w:p>
        </w:tc>
        <w:tc>
          <w:tcPr>
            <w:tcW w:w="1418" w:type="dxa"/>
          </w:tcPr>
          <w:p w14:paraId="50B640BA">
            <w:pPr>
              <w:pStyle w:val="96"/>
              <w:ind w:left="0" w:firstLine="0"/>
              <w:jc w:val="left"/>
              <w:rPr>
                <w:b w:val="0"/>
                <w:sz w:val="18"/>
              </w:rPr>
            </w:pPr>
            <w:r>
              <w:rPr>
                <w:b w:val="0"/>
                <w:sz w:val="18"/>
              </w:rPr>
              <w:t>14d</w:t>
            </w:r>
          </w:p>
        </w:tc>
        <w:tc>
          <w:tcPr>
            <w:tcW w:w="2126" w:type="dxa"/>
          </w:tcPr>
          <w:p w14:paraId="16789DE0">
            <w:pPr>
              <w:pStyle w:val="96"/>
              <w:ind w:left="0" w:firstLine="0"/>
              <w:jc w:val="left"/>
              <w:rPr>
                <w:b w:val="0"/>
                <w:sz w:val="18"/>
              </w:rPr>
            </w:pPr>
            <w:r>
              <w:rPr>
                <w:rFonts w:hint="eastAsia"/>
                <w:b w:val="0"/>
                <w:sz w:val="18"/>
              </w:rPr>
              <w:t>≥0.6</w:t>
            </w:r>
          </w:p>
        </w:tc>
        <w:tc>
          <w:tcPr>
            <w:tcW w:w="1979" w:type="dxa"/>
          </w:tcPr>
          <w:p w14:paraId="055A7CCC">
            <w:pPr>
              <w:pStyle w:val="96"/>
              <w:ind w:left="0" w:firstLine="0"/>
              <w:jc w:val="left"/>
              <w:rPr>
                <w:b w:val="0"/>
                <w:sz w:val="18"/>
              </w:rPr>
            </w:pPr>
            <w:r>
              <w:rPr>
                <w:rFonts w:hint="eastAsia"/>
                <w:b w:val="0"/>
                <w:sz w:val="18"/>
              </w:rPr>
              <w:t>≥0.5</w:t>
            </w:r>
          </w:p>
        </w:tc>
      </w:tr>
      <w:tr w14:paraId="7031B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tcPr>
          <w:p w14:paraId="271E024D">
            <w:pPr>
              <w:pStyle w:val="96"/>
              <w:ind w:left="0" w:firstLine="0"/>
              <w:jc w:val="left"/>
              <w:rPr>
                <w:b w:val="0"/>
                <w:sz w:val="18"/>
              </w:rPr>
            </w:pPr>
          </w:p>
        </w:tc>
        <w:tc>
          <w:tcPr>
            <w:tcW w:w="2463" w:type="dxa"/>
            <w:gridSpan w:val="2"/>
          </w:tcPr>
          <w:p w14:paraId="27C6EB03">
            <w:pPr>
              <w:pStyle w:val="96"/>
              <w:ind w:left="0" w:firstLine="0"/>
              <w:jc w:val="left"/>
              <w:rPr>
                <w:b w:val="0"/>
                <w:sz w:val="18"/>
              </w:rPr>
            </w:pPr>
            <w:r>
              <w:rPr>
                <w:rFonts w:hint="eastAsia"/>
                <w:b w:val="0"/>
                <w:sz w:val="18"/>
              </w:rPr>
              <w:t>浸水</w:t>
            </w:r>
            <w:r>
              <w:rPr>
                <w:b w:val="0"/>
                <w:sz w:val="18"/>
              </w:rPr>
              <w:t>处理</w:t>
            </w:r>
          </w:p>
        </w:tc>
        <w:tc>
          <w:tcPr>
            <w:tcW w:w="2126" w:type="dxa"/>
            <w:vMerge w:val="restart"/>
          </w:tcPr>
          <w:p w14:paraId="3CD3E3F5">
            <w:pPr>
              <w:pStyle w:val="96"/>
              <w:ind w:left="0" w:firstLine="0"/>
              <w:jc w:val="left"/>
              <w:rPr>
                <w:b w:val="0"/>
                <w:sz w:val="18"/>
              </w:rPr>
            </w:pPr>
            <w:r>
              <w:rPr>
                <w:rFonts w:hint="eastAsia"/>
                <w:b w:val="0"/>
                <w:sz w:val="18"/>
              </w:rPr>
              <w:t>≥0.5</w:t>
            </w:r>
          </w:p>
        </w:tc>
        <w:tc>
          <w:tcPr>
            <w:tcW w:w="1979" w:type="dxa"/>
            <w:vMerge w:val="restart"/>
          </w:tcPr>
          <w:p w14:paraId="1B5294DD">
            <w:pPr>
              <w:pStyle w:val="96"/>
              <w:ind w:left="0" w:firstLine="0"/>
              <w:jc w:val="left"/>
              <w:rPr>
                <w:b w:val="0"/>
                <w:sz w:val="18"/>
              </w:rPr>
            </w:pPr>
            <w:r>
              <w:rPr>
                <w:rFonts w:hint="eastAsia"/>
                <w:b w:val="0"/>
                <w:sz w:val="18"/>
              </w:rPr>
              <w:t>≥0.3</w:t>
            </w:r>
          </w:p>
        </w:tc>
      </w:tr>
      <w:tr w14:paraId="2782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tcPr>
          <w:p w14:paraId="26EADF77">
            <w:pPr>
              <w:pStyle w:val="96"/>
              <w:ind w:left="0" w:firstLine="0"/>
              <w:jc w:val="left"/>
              <w:rPr>
                <w:b w:val="0"/>
                <w:sz w:val="18"/>
              </w:rPr>
            </w:pPr>
          </w:p>
        </w:tc>
        <w:tc>
          <w:tcPr>
            <w:tcW w:w="2463" w:type="dxa"/>
            <w:gridSpan w:val="2"/>
          </w:tcPr>
          <w:p w14:paraId="447DCE29">
            <w:pPr>
              <w:pStyle w:val="96"/>
              <w:ind w:left="0" w:firstLine="0"/>
              <w:jc w:val="left"/>
              <w:rPr>
                <w:b w:val="0"/>
                <w:sz w:val="18"/>
              </w:rPr>
            </w:pPr>
            <w:r>
              <w:rPr>
                <w:rFonts w:hint="eastAsia"/>
                <w:b w:val="0"/>
                <w:sz w:val="18"/>
              </w:rPr>
              <w:t>热处理</w:t>
            </w:r>
          </w:p>
        </w:tc>
        <w:tc>
          <w:tcPr>
            <w:tcW w:w="2126" w:type="dxa"/>
            <w:vMerge w:val="continue"/>
          </w:tcPr>
          <w:p w14:paraId="4CB95FCB">
            <w:pPr>
              <w:pStyle w:val="96"/>
              <w:ind w:left="0" w:firstLine="0"/>
              <w:jc w:val="left"/>
              <w:rPr>
                <w:b w:val="0"/>
                <w:sz w:val="18"/>
              </w:rPr>
            </w:pPr>
          </w:p>
        </w:tc>
        <w:tc>
          <w:tcPr>
            <w:tcW w:w="1979" w:type="dxa"/>
            <w:vMerge w:val="continue"/>
          </w:tcPr>
          <w:p w14:paraId="0F6C13E9">
            <w:pPr>
              <w:pStyle w:val="96"/>
              <w:ind w:left="0" w:firstLine="0"/>
              <w:jc w:val="left"/>
              <w:rPr>
                <w:b w:val="0"/>
                <w:sz w:val="18"/>
              </w:rPr>
            </w:pPr>
          </w:p>
        </w:tc>
      </w:tr>
      <w:tr w14:paraId="283E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tcPr>
          <w:p w14:paraId="44DE7D3A">
            <w:pPr>
              <w:pStyle w:val="96"/>
              <w:ind w:left="0" w:firstLine="0"/>
              <w:jc w:val="left"/>
              <w:rPr>
                <w:b w:val="0"/>
                <w:sz w:val="18"/>
              </w:rPr>
            </w:pPr>
          </w:p>
        </w:tc>
        <w:tc>
          <w:tcPr>
            <w:tcW w:w="2463" w:type="dxa"/>
            <w:gridSpan w:val="2"/>
          </w:tcPr>
          <w:p w14:paraId="52D64B2C">
            <w:pPr>
              <w:pStyle w:val="96"/>
              <w:ind w:left="0" w:firstLine="0"/>
              <w:jc w:val="left"/>
              <w:rPr>
                <w:b w:val="0"/>
                <w:sz w:val="18"/>
              </w:rPr>
            </w:pPr>
            <w:r>
              <w:rPr>
                <w:rFonts w:hint="eastAsia"/>
                <w:b w:val="0"/>
                <w:sz w:val="18"/>
              </w:rPr>
              <w:t>冻融</w:t>
            </w:r>
            <w:r>
              <w:rPr>
                <w:b w:val="0"/>
                <w:sz w:val="18"/>
              </w:rPr>
              <w:t>循环处理</w:t>
            </w:r>
          </w:p>
        </w:tc>
        <w:tc>
          <w:tcPr>
            <w:tcW w:w="2126" w:type="dxa"/>
            <w:vMerge w:val="continue"/>
          </w:tcPr>
          <w:p w14:paraId="46776F43">
            <w:pPr>
              <w:pStyle w:val="96"/>
              <w:ind w:left="0" w:firstLine="0"/>
              <w:jc w:val="left"/>
              <w:rPr>
                <w:b w:val="0"/>
                <w:sz w:val="18"/>
              </w:rPr>
            </w:pPr>
          </w:p>
        </w:tc>
        <w:tc>
          <w:tcPr>
            <w:tcW w:w="1979" w:type="dxa"/>
            <w:vMerge w:val="continue"/>
          </w:tcPr>
          <w:p w14:paraId="5204BE07">
            <w:pPr>
              <w:pStyle w:val="96"/>
              <w:ind w:left="0" w:firstLine="0"/>
              <w:jc w:val="left"/>
              <w:rPr>
                <w:b w:val="0"/>
                <w:sz w:val="18"/>
              </w:rPr>
            </w:pPr>
          </w:p>
        </w:tc>
      </w:tr>
      <w:tr w14:paraId="41BC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dxa"/>
            <w:vMerge w:val="continue"/>
          </w:tcPr>
          <w:p w14:paraId="642980C6">
            <w:pPr>
              <w:pStyle w:val="96"/>
              <w:ind w:left="0" w:firstLine="0"/>
              <w:jc w:val="left"/>
              <w:rPr>
                <w:b w:val="0"/>
                <w:sz w:val="18"/>
              </w:rPr>
            </w:pPr>
          </w:p>
        </w:tc>
        <w:tc>
          <w:tcPr>
            <w:tcW w:w="2463" w:type="dxa"/>
            <w:gridSpan w:val="2"/>
          </w:tcPr>
          <w:p w14:paraId="7A0AEBC7">
            <w:pPr>
              <w:pStyle w:val="96"/>
              <w:ind w:left="0" w:firstLine="0"/>
              <w:jc w:val="left"/>
              <w:rPr>
                <w:b w:val="0"/>
                <w:sz w:val="18"/>
              </w:rPr>
            </w:pPr>
            <w:r>
              <w:rPr>
                <w:rFonts w:hint="eastAsia"/>
                <w:b w:val="0"/>
                <w:sz w:val="18"/>
              </w:rPr>
              <w:t>碱</w:t>
            </w:r>
            <w:r>
              <w:rPr>
                <w:b w:val="0"/>
                <w:sz w:val="18"/>
              </w:rPr>
              <w:t>处理</w:t>
            </w:r>
          </w:p>
        </w:tc>
        <w:tc>
          <w:tcPr>
            <w:tcW w:w="2126" w:type="dxa"/>
            <w:vMerge w:val="continue"/>
          </w:tcPr>
          <w:p w14:paraId="628C4272">
            <w:pPr>
              <w:pStyle w:val="96"/>
              <w:ind w:left="0" w:firstLine="0"/>
              <w:jc w:val="left"/>
              <w:rPr>
                <w:b w:val="0"/>
                <w:sz w:val="18"/>
              </w:rPr>
            </w:pPr>
          </w:p>
        </w:tc>
        <w:tc>
          <w:tcPr>
            <w:tcW w:w="1979" w:type="dxa"/>
            <w:vMerge w:val="continue"/>
          </w:tcPr>
          <w:p w14:paraId="6D2E2031">
            <w:pPr>
              <w:pStyle w:val="96"/>
              <w:ind w:left="0" w:firstLine="0"/>
              <w:jc w:val="left"/>
              <w:rPr>
                <w:b w:val="0"/>
                <w:sz w:val="18"/>
              </w:rPr>
            </w:pPr>
          </w:p>
        </w:tc>
      </w:tr>
      <w:tr w14:paraId="5B7C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6" w:type="dxa"/>
            <w:gridSpan w:val="3"/>
          </w:tcPr>
          <w:p w14:paraId="1275135E">
            <w:pPr>
              <w:pStyle w:val="96"/>
              <w:ind w:left="0" w:firstLine="0"/>
              <w:jc w:val="left"/>
              <w:rPr>
                <w:b w:val="0"/>
                <w:sz w:val="18"/>
              </w:rPr>
            </w:pPr>
            <w:r>
              <w:rPr>
                <w:rFonts w:hint="eastAsia"/>
                <w:b w:val="0"/>
                <w:sz w:val="18"/>
              </w:rPr>
              <w:t>晾置</w:t>
            </w:r>
            <w:r>
              <w:rPr>
                <w:b w:val="0"/>
                <w:sz w:val="18"/>
              </w:rPr>
              <w:t>时间</w:t>
            </w:r>
            <w:r>
              <w:rPr>
                <w:rFonts w:hint="eastAsia"/>
                <w:b w:val="0"/>
                <w:sz w:val="18"/>
              </w:rPr>
              <w:t xml:space="preserve">   </w:t>
            </w:r>
            <w:r>
              <w:rPr>
                <w:b w:val="0"/>
                <w:sz w:val="18"/>
              </w:rPr>
              <w:t>min</w:t>
            </w:r>
          </w:p>
        </w:tc>
        <w:tc>
          <w:tcPr>
            <w:tcW w:w="2126" w:type="dxa"/>
          </w:tcPr>
          <w:p w14:paraId="37D6041A">
            <w:pPr>
              <w:pStyle w:val="96"/>
              <w:ind w:left="0" w:firstLine="0"/>
              <w:jc w:val="left"/>
              <w:rPr>
                <w:b w:val="0"/>
                <w:sz w:val="18"/>
              </w:rPr>
            </w:pPr>
            <w:r>
              <w:rPr>
                <w:b w:val="0"/>
                <w:sz w:val="18"/>
              </w:rPr>
              <w:t>-</w:t>
            </w:r>
          </w:p>
        </w:tc>
        <w:tc>
          <w:tcPr>
            <w:tcW w:w="1979" w:type="dxa"/>
          </w:tcPr>
          <w:p w14:paraId="203742D5">
            <w:pPr>
              <w:pStyle w:val="96"/>
              <w:ind w:left="0" w:firstLine="0"/>
              <w:jc w:val="left"/>
              <w:rPr>
                <w:b w:val="0"/>
                <w:sz w:val="18"/>
              </w:rPr>
            </w:pPr>
            <w:r>
              <w:rPr>
                <w:rFonts w:hint="eastAsia"/>
                <w:b w:val="0"/>
                <w:sz w:val="18"/>
              </w:rPr>
              <w:t>≥1.</w:t>
            </w:r>
          </w:p>
        </w:tc>
      </w:tr>
      <w:tr w14:paraId="0031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1" w:type="dxa"/>
            <w:gridSpan w:val="5"/>
          </w:tcPr>
          <w:p w14:paraId="79D14AA3">
            <w:pPr>
              <w:pStyle w:val="96"/>
              <w:ind w:left="0" w:firstLine="0"/>
              <w:jc w:val="left"/>
              <w:rPr>
                <w:b w:val="0"/>
                <w:sz w:val="18"/>
              </w:rPr>
            </w:pPr>
            <w:r>
              <w:rPr>
                <w:rFonts w:hint="eastAsia"/>
                <w:b w:val="0"/>
                <w:sz w:val="18"/>
              </w:rPr>
              <w:t>注</w:t>
            </w:r>
            <w:r>
              <w:rPr>
                <w:b w:val="0"/>
                <w:sz w:val="18"/>
              </w:rPr>
              <w:t>：</w:t>
            </w:r>
            <w:r>
              <w:rPr>
                <w:b w:val="0"/>
                <w:sz w:val="18"/>
              </w:rPr>
              <w:fldChar w:fldCharType="begin"/>
            </w:r>
            <w:r>
              <w:rPr>
                <w:b w:val="0"/>
                <w:sz w:val="18"/>
              </w:rPr>
              <w:instrText xml:space="preserve"> </w:instrText>
            </w:r>
            <w:r>
              <w:rPr>
                <w:rFonts w:hint="eastAsia"/>
                <w:b w:val="0"/>
                <w:sz w:val="18"/>
              </w:rPr>
              <w:instrText xml:space="preserve">= 1 \* ROMAN</w:instrText>
            </w:r>
            <w:r>
              <w:rPr>
                <w:b w:val="0"/>
                <w:sz w:val="18"/>
              </w:rPr>
              <w:instrText xml:space="preserve"> </w:instrText>
            </w:r>
            <w:r>
              <w:rPr>
                <w:b w:val="0"/>
                <w:sz w:val="18"/>
              </w:rPr>
              <w:fldChar w:fldCharType="separate"/>
            </w:r>
            <w:r>
              <w:rPr>
                <w:b w:val="0"/>
                <w:sz w:val="18"/>
              </w:rPr>
              <w:t>I</w:t>
            </w:r>
            <w:r>
              <w:rPr>
                <w:b w:val="0"/>
                <w:sz w:val="18"/>
              </w:rPr>
              <w:fldChar w:fldCharType="end"/>
            </w:r>
            <w:r>
              <w:rPr>
                <w:rFonts w:hint="eastAsia"/>
                <w:b w:val="0"/>
                <w:sz w:val="18"/>
              </w:rPr>
              <w:t>型</w:t>
            </w:r>
            <w:r>
              <w:rPr>
                <w:b w:val="0"/>
                <w:sz w:val="18"/>
              </w:rPr>
              <w:t>产品的晾置时间，根据工程需要由供需双方确定。</w:t>
            </w:r>
          </w:p>
        </w:tc>
      </w:tr>
    </w:tbl>
    <w:p w14:paraId="551A1B40">
      <w:pPr>
        <w:pStyle w:val="96"/>
        <w:ind w:left="1418" w:hanging="567"/>
        <w:jc w:val="left"/>
        <w:rPr>
          <w:b w:val="0"/>
          <w:sz w:val="18"/>
        </w:rPr>
      </w:pPr>
    </w:p>
    <w:p w14:paraId="6CA10101">
      <w:pPr>
        <w:pStyle w:val="96"/>
        <w:numPr>
          <w:ilvl w:val="0"/>
          <w:numId w:val="60"/>
        </w:numPr>
        <w:jc w:val="left"/>
        <w:rPr>
          <w:b w:val="0"/>
          <w:sz w:val="18"/>
        </w:rPr>
      </w:pPr>
      <w:r>
        <w:rPr>
          <w:rFonts w:hint="eastAsia"/>
          <w:b w:val="0"/>
          <w:sz w:val="18"/>
        </w:rPr>
        <w:t>混凝土的</w:t>
      </w:r>
      <w:r>
        <w:rPr>
          <w:b w:val="0"/>
          <w:sz w:val="18"/>
        </w:rPr>
        <w:t>界面处理剂选用</w:t>
      </w:r>
      <w:r>
        <w:rPr>
          <w:b w:val="0"/>
          <w:sz w:val="18"/>
        </w:rPr>
        <w:fldChar w:fldCharType="begin"/>
      </w:r>
      <w:r>
        <w:rPr>
          <w:b w:val="0"/>
          <w:sz w:val="18"/>
        </w:rPr>
        <w:instrText xml:space="preserve"> </w:instrText>
      </w:r>
      <w:r>
        <w:rPr>
          <w:rFonts w:hint="eastAsia"/>
          <w:b w:val="0"/>
          <w:sz w:val="18"/>
        </w:rPr>
        <w:instrText xml:space="preserve">= 1 \* ROMAN</w:instrText>
      </w:r>
      <w:r>
        <w:rPr>
          <w:b w:val="0"/>
          <w:sz w:val="18"/>
        </w:rPr>
        <w:instrText xml:space="preserve"> </w:instrText>
      </w:r>
      <w:r>
        <w:rPr>
          <w:b w:val="0"/>
          <w:sz w:val="18"/>
        </w:rPr>
        <w:fldChar w:fldCharType="separate"/>
      </w:r>
      <w:r>
        <w:rPr>
          <w:b w:val="0"/>
          <w:sz w:val="18"/>
        </w:rPr>
        <w:t>I</w:t>
      </w:r>
      <w:r>
        <w:rPr>
          <w:b w:val="0"/>
          <w:sz w:val="18"/>
        </w:rPr>
        <w:fldChar w:fldCharType="end"/>
      </w:r>
      <w:r>
        <w:rPr>
          <w:rFonts w:hint="eastAsia"/>
          <w:b w:val="0"/>
          <w:sz w:val="18"/>
        </w:rPr>
        <w:t>型</w:t>
      </w:r>
      <w:r>
        <w:rPr>
          <w:b w:val="0"/>
          <w:sz w:val="18"/>
        </w:rPr>
        <w:t>；加气混凝土的界面处理剂选用</w:t>
      </w:r>
      <w:r>
        <w:rPr>
          <w:b w:val="0"/>
          <w:sz w:val="18"/>
        </w:rPr>
        <w:fldChar w:fldCharType="begin"/>
      </w:r>
      <w:r>
        <w:rPr>
          <w:b w:val="0"/>
          <w:sz w:val="18"/>
        </w:rPr>
        <w:instrText xml:space="preserve"> </w:instrText>
      </w:r>
      <w:r>
        <w:rPr>
          <w:rFonts w:hint="eastAsia"/>
          <w:b w:val="0"/>
          <w:sz w:val="18"/>
        </w:rPr>
        <w:instrText xml:space="preserve">= 2 \* ROMAN</w:instrText>
      </w:r>
      <w:r>
        <w:rPr>
          <w:b w:val="0"/>
          <w:sz w:val="18"/>
        </w:rPr>
        <w:instrText xml:space="preserve"> </w:instrText>
      </w:r>
      <w:r>
        <w:rPr>
          <w:b w:val="0"/>
          <w:sz w:val="18"/>
        </w:rPr>
        <w:fldChar w:fldCharType="separate"/>
      </w:r>
      <w:r>
        <w:rPr>
          <w:b w:val="0"/>
          <w:sz w:val="18"/>
        </w:rPr>
        <w:t>II</w:t>
      </w:r>
      <w:r>
        <w:rPr>
          <w:b w:val="0"/>
          <w:sz w:val="18"/>
        </w:rPr>
        <w:fldChar w:fldCharType="end"/>
      </w:r>
      <w:r>
        <w:rPr>
          <w:rFonts w:hint="eastAsia"/>
          <w:b w:val="0"/>
          <w:sz w:val="18"/>
        </w:rPr>
        <w:t>型</w:t>
      </w:r>
      <w:r>
        <w:rPr>
          <w:b w:val="0"/>
          <w:sz w:val="18"/>
        </w:rPr>
        <w:t>。</w:t>
      </w:r>
    </w:p>
    <w:p w14:paraId="48A2CFC0">
      <w:pPr>
        <w:pStyle w:val="97"/>
      </w:pPr>
      <w:r>
        <w:rPr>
          <w:rFonts w:hint="eastAsia"/>
        </w:rPr>
        <w:t>镀锌电焊网</w:t>
      </w:r>
    </w:p>
    <w:p w14:paraId="3067BF76">
      <w:pPr>
        <w:pStyle w:val="96"/>
        <w:numPr>
          <w:ilvl w:val="0"/>
          <w:numId w:val="61"/>
        </w:numPr>
        <w:jc w:val="left"/>
        <w:rPr>
          <w:b w:val="0"/>
          <w:sz w:val="18"/>
        </w:rPr>
      </w:pPr>
      <w:bookmarkStart w:id="83" w:name="_Toc498529501"/>
      <w:r>
        <w:rPr>
          <w:rFonts w:hint="eastAsia"/>
          <w:b w:val="0"/>
          <w:sz w:val="18"/>
        </w:rPr>
        <w:t>镀锌电焊</w:t>
      </w:r>
      <w:r>
        <w:rPr>
          <w:b w:val="0"/>
          <w:sz w:val="18"/>
        </w:rPr>
        <w:t>网</w:t>
      </w:r>
      <w:r>
        <w:rPr>
          <w:rFonts w:hint="eastAsia"/>
          <w:b w:val="0"/>
          <w:sz w:val="18"/>
        </w:rPr>
        <w:t>按照QBT</w:t>
      </w:r>
      <w:r>
        <w:rPr>
          <w:b w:val="0"/>
          <w:sz w:val="18"/>
        </w:rPr>
        <w:t>3897-1999</w:t>
      </w:r>
      <w:r>
        <w:rPr>
          <w:rFonts w:hint="eastAsia"/>
          <w:b w:val="0"/>
          <w:sz w:val="18"/>
        </w:rPr>
        <w:t>《</w:t>
      </w:r>
      <w:r>
        <w:rPr>
          <w:b w:val="0"/>
          <w:sz w:val="18"/>
        </w:rPr>
        <w:t>镀锌电焊网》的性能要求进行。</w:t>
      </w:r>
      <w:bookmarkEnd w:id="83"/>
    </w:p>
    <w:p w14:paraId="7CA83EE0">
      <w:pPr>
        <w:pStyle w:val="96"/>
        <w:numPr>
          <w:ilvl w:val="0"/>
          <w:numId w:val="61"/>
        </w:numPr>
        <w:jc w:val="left"/>
        <w:rPr>
          <w:b w:val="0"/>
          <w:sz w:val="18"/>
        </w:rPr>
      </w:pPr>
      <w:bookmarkStart w:id="84" w:name="_Toc498529502"/>
      <w:r>
        <w:rPr>
          <w:rFonts w:hint="eastAsia"/>
          <w:b w:val="0"/>
          <w:sz w:val="18"/>
        </w:rPr>
        <w:t>镀锌</w:t>
      </w:r>
      <w:r>
        <w:rPr>
          <w:b w:val="0"/>
          <w:sz w:val="18"/>
        </w:rPr>
        <w:t>层的重量应大于</w:t>
      </w:r>
      <w:r>
        <w:rPr>
          <w:rFonts w:hint="eastAsia"/>
          <w:b w:val="0"/>
          <w:sz w:val="18"/>
        </w:rPr>
        <w:t>122</w:t>
      </w:r>
      <w:r>
        <w:rPr>
          <w:b w:val="0"/>
          <w:sz w:val="18"/>
        </w:rPr>
        <w:t>g/m2</w:t>
      </w:r>
      <w:bookmarkEnd w:id="84"/>
    </w:p>
    <w:p w14:paraId="5E090544">
      <w:pPr>
        <w:pStyle w:val="97"/>
      </w:pPr>
      <w:r>
        <w:rPr>
          <w:rFonts w:hint="eastAsia"/>
        </w:rPr>
        <w:t>耐碱</w:t>
      </w:r>
      <w:r>
        <w:t>玻璃纤维布</w:t>
      </w:r>
      <w:r>
        <w:rPr>
          <w:rFonts w:hint="eastAsia"/>
        </w:rPr>
        <w:t>主要</w:t>
      </w:r>
      <w:r>
        <w:t>技术性能如下：</w:t>
      </w:r>
    </w:p>
    <w:p w14:paraId="61FB37B6">
      <w:pPr>
        <w:pStyle w:val="96"/>
        <w:numPr>
          <w:ilvl w:val="0"/>
          <w:numId w:val="62"/>
        </w:numPr>
        <w:jc w:val="left"/>
        <w:rPr>
          <w:b w:val="0"/>
          <w:sz w:val="18"/>
        </w:rPr>
      </w:pPr>
      <w:r>
        <w:rPr>
          <w:rFonts w:hint="eastAsia"/>
          <w:b w:val="0"/>
          <w:sz w:val="18"/>
        </w:rPr>
        <w:t>单位</w:t>
      </w:r>
      <w:r>
        <w:rPr>
          <w:b w:val="0"/>
          <w:sz w:val="18"/>
        </w:rPr>
        <w:t>面积质量（g/M</w:t>
      </w:r>
      <w:r>
        <w:rPr>
          <w:b w:val="0"/>
          <w:sz w:val="18"/>
          <w:vertAlign w:val="superscript"/>
        </w:rPr>
        <w:t>2</w:t>
      </w:r>
      <w:r>
        <w:rPr>
          <w:b w:val="0"/>
          <w:sz w:val="18"/>
        </w:rPr>
        <w:t>）</w:t>
      </w:r>
      <w:r>
        <w:rPr>
          <w:rFonts w:hint="eastAsia"/>
          <w:b w:val="0"/>
          <w:sz w:val="18"/>
        </w:rPr>
        <w:t>：≥130</w:t>
      </w:r>
    </w:p>
    <w:p w14:paraId="2D7B6A7E">
      <w:pPr>
        <w:pStyle w:val="96"/>
        <w:numPr>
          <w:ilvl w:val="0"/>
          <w:numId w:val="62"/>
        </w:numPr>
        <w:jc w:val="left"/>
        <w:rPr>
          <w:b w:val="0"/>
          <w:sz w:val="18"/>
        </w:rPr>
      </w:pPr>
      <w:r>
        <w:rPr>
          <w:rFonts w:hint="eastAsia"/>
          <w:b w:val="0"/>
          <w:sz w:val="18"/>
        </w:rPr>
        <w:t>耐碱</w:t>
      </w:r>
      <w:r>
        <w:rPr>
          <w:b w:val="0"/>
          <w:sz w:val="18"/>
        </w:rPr>
        <w:t>断裂强</w:t>
      </w:r>
      <w:r>
        <w:rPr>
          <w:rFonts w:hint="eastAsia"/>
          <w:b w:val="0"/>
          <w:sz w:val="18"/>
        </w:rPr>
        <w:t>力</w:t>
      </w:r>
      <w:r>
        <w:rPr>
          <w:b w:val="0"/>
          <w:sz w:val="18"/>
        </w:rPr>
        <w:t>（经、纬向）</w:t>
      </w:r>
      <w:r>
        <w:rPr>
          <w:rFonts w:hint="eastAsia"/>
          <w:b w:val="0"/>
          <w:sz w:val="18"/>
        </w:rPr>
        <w:t>（</w:t>
      </w:r>
      <w:r>
        <w:rPr>
          <w:b w:val="0"/>
          <w:sz w:val="18"/>
        </w:rPr>
        <w:t>N/50MM）</w:t>
      </w:r>
      <w:r>
        <w:rPr>
          <w:rFonts w:hint="eastAsia"/>
          <w:b w:val="0"/>
          <w:sz w:val="18"/>
        </w:rPr>
        <w:t>≥</w:t>
      </w:r>
      <w:r>
        <w:rPr>
          <w:b w:val="0"/>
          <w:sz w:val="18"/>
        </w:rPr>
        <w:t>900</w:t>
      </w:r>
    </w:p>
    <w:p w14:paraId="4C736F24">
      <w:pPr>
        <w:pStyle w:val="96"/>
        <w:numPr>
          <w:ilvl w:val="0"/>
          <w:numId w:val="62"/>
        </w:numPr>
        <w:jc w:val="left"/>
        <w:rPr>
          <w:b w:val="0"/>
          <w:sz w:val="18"/>
        </w:rPr>
      </w:pPr>
      <w:r>
        <w:rPr>
          <w:rFonts w:hint="eastAsia"/>
          <w:b w:val="0"/>
          <w:sz w:val="18"/>
        </w:rPr>
        <w:t>耐碱</w:t>
      </w:r>
      <w:r>
        <w:rPr>
          <w:b w:val="0"/>
          <w:sz w:val="18"/>
        </w:rPr>
        <w:t>断裂强力</w:t>
      </w:r>
      <w:r>
        <w:rPr>
          <w:rFonts w:hint="eastAsia"/>
          <w:b w:val="0"/>
          <w:sz w:val="18"/>
        </w:rPr>
        <w:t>保留</w:t>
      </w:r>
      <w:r>
        <w:rPr>
          <w:b w:val="0"/>
          <w:sz w:val="18"/>
        </w:rPr>
        <w:t>率（经、纬向）</w:t>
      </w:r>
      <w:r>
        <w:rPr>
          <w:rFonts w:hint="eastAsia"/>
          <w:b w:val="0"/>
          <w:sz w:val="18"/>
        </w:rPr>
        <w:t>（</w:t>
      </w:r>
      <w:r>
        <w:rPr>
          <w:b w:val="0"/>
          <w:sz w:val="18"/>
        </w:rPr>
        <w:t>%</w:t>
      </w:r>
      <w:r>
        <w:rPr>
          <w:rFonts w:hint="eastAsia"/>
          <w:b w:val="0"/>
          <w:sz w:val="18"/>
        </w:rPr>
        <w:t>）：75</w:t>
      </w:r>
    </w:p>
    <w:p w14:paraId="52219C59">
      <w:pPr>
        <w:pStyle w:val="96"/>
        <w:numPr>
          <w:ilvl w:val="0"/>
          <w:numId w:val="62"/>
        </w:numPr>
        <w:jc w:val="left"/>
        <w:rPr>
          <w:b w:val="0"/>
          <w:sz w:val="18"/>
        </w:rPr>
      </w:pPr>
      <w:r>
        <w:rPr>
          <w:rFonts w:hint="eastAsia"/>
          <w:b w:val="0"/>
          <w:sz w:val="18"/>
        </w:rPr>
        <w:t>断裂</w:t>
      </w:r>
      <w:r>
        <w:rPr>
          <w:b w:val="0"/>
          <w:sz w:val="18"/>
        </w:rPr>
        <w:t>伸长率</w:t>
      </w:r>
      <w:r>
        <w:rPr>
          <w:rFonts w:hint="eastAsia"/>
          <w:b w:val="0"/>
          <w:sz w:val="18"/>
        </w:rPr>
        <w:t>（</w:t>
      </w:r>
      <w:r>
        <w:rPr>
          <w:b w:val="0"/>
          <w:sz w:val="18"/>
        </w:rPr>
        <w:t>经、纬向）（%）：</w:t>
      </w:r>
      <w:r>
        <w:rPr>
          <w:rFonts w:hint="eastAsia"/>
          <w:b w:val="0"/>
          <w:sz w:val="18"/>
        </w:rPr>
        <w:t>≤4.0</w:t>
      </w:r>
    </w:p>
    <w:p w14:paraId="73EB7365">
      <w:pPr>
        <w:pStyle w:val="97"/>
        <w:numPr>
          <w:ilvl w:val="0"/>
          <w:numId w:val="0"/>
        </w:numPr>
        <w:ind w:left="1418" w:hanging="567"/>
        <w:jc w:val="left"/>
      </w:pPr>
    </w:p>
    <w:p w14:paraId="7169ECB0">
      <w:pPr>
        <w:pStyle w:val="3"/>
        <w:jc w:val="left"/>
      </w:pPr>
      <w:bookmarkStart w:id="85" w:name="_Toc174556807"/>
      <w:r>
        <w:rPr>
          <w:rFonts w:hint="eastAsia"/>
        </w:rPr>
        <w:t>施工</w:t>
      </w:r>
      <w:r>
        <w:t>及验收</w:t>
      </w:r>
      <w:bookmarkEnd w:id="85"/>
    </w:p>
    <w:p w14:paraId="4E211F84">
      <w:pPr>
        <w:pStyle w:val="97"/>
      </w:pPr>
      <w:r>
        <w:rPr>
          <w:rFonts w:hint="eastAsia"/>
        </w:rPr>
        <w:t>施工要点</w:t>
      </w:r>
    </w:p>
    <w:p w14:paraId="263E38CC">
      <w:pPr>
        <w:pStyle w:val="96"/>
        <w:ind w:left="846" w:firstLine="0"/>
        <w:jc w:val="left"/>
        <w:rPr>
          <w:b w:val="0"/>
          <w:sz w:val="18"/>
        </w:rPr>
      </w:pPr>
      <w:r>
        <w:rPr>
          <w:rFonts w:hint="eastAsia"/>
          <w:b w:val="0"/>
          <w:sz w:val="18"/>
        </w:rPr>
        <w:t>按《抹灰砂浆技术规程》（JGJ/T220</w:t>
      </w:r>
      <w:r>
        <w:rPr>
          <w:b w:val="0"/>
          <w:sz w:val="18"/>
        </w:rPr>
        <w:t>-2010</w:t>
      </w:r>
      <w:r>
        <w:rPr>
          <w:rFonts w:hint="eastAsia"/>
          <w:b w:val="0"/>
          <w:sz w:val="18"/>
        </w:rPr>
        <w:t>）第</w:t>
      </w:r>
      <w:r>
        <w:rPr>
          <w:b w:val="0"/>
          <w:sz w:val="18"/>
        </w:rPr>
        <w:t>六章有关要求进行。</w:t>
      </w:r>
    </w:p>
    <w:p w14:paraId="4B28AAC2">
      <w:pPr>
        <w:pStyle w:val="97"/>
      </w:pPr>
      <w:r>
        <w:rPr>
          <w:rFonts w:hint="eastAsia"/>
        </w:rPr>
        <w:t>验收</w:t>
      </w:r>
      <w:r>
        <w:t>要求</w:t>
      </w:r>
    </w:p>
    <w:p w14:paraId="1715CC14">
      <w:pPr>
        <w:pStyle w:val="96"/>
        <w:ind w:left="846" w:firstLine="0"/>
        <w:jc w:val="left"/>
        <w:rPr>
          <w:b w:val="0"/>
          <w:sz w:val="18"/>
        </w:rPr>
      </w:pPr>
      <w:r>
        <w:rPr>
          <w:rFonts w:hint="eastAsia"/>
          <w:b w:val="0"/>
          <w:sz w:val="18"/>
        </w:rPr>
        <w:t>按《抹灰砂浆技术规程》（JGJ/T220</w:t>
      </w:r>
      <w:r>
        <w:rPr>
          <w:b w:val="0"/>
          <w:sz w:val="18"/>
        </w:rPr>
        <w:t>-2010</w:t>
      </w:r>
      <w:r>
        <w:rPr>
          <w:rFonts w:hint="eastAsia"/>
          <w:b w:val="0"/>
          <w:sz w:val="18"/>
        </w:rPr>
        <w:t>）第</w:t>
      </w:r>
      <w:r>
        <w:rPr>
          <w:b w:val="0"/>
          <w:sz w:val="18"/>
        </w:rPr>
        <w:t>七章有关要求进行。</w:t>
      </w:r>
    </w:p>
    <w:p w14:paraId="54C301ED">
      <w:pPr>
        <w:pStyle w:val="96"/>
        <w:ind w:left="846" w:firstLine="0"/>
        <w:jc w:val="left"/>
        <w:rPr>
          <w:b w:val="0"/>
          <w:sz w:val="18"/>
        </w:rPr>
      </w:pPr>
    </w:p>
    <w:p w14:paraId="07806320">
      <w:pPr>
        <w:widowControl/>
        <w:jc w:val="left"/>
        <w:rPr>
          <w:rFonts w:ascii="黑体" w:hAnsi="黑体"/>
          <w:b/>
          <w:kern w:val="0"/>
          <w:szCs w:val="18"/>
        </w:rPr>
      </w:pPr>
      <w:r>
        <w:rPr>
          <w:szCs w:val="18"/>
        </w:rPr>
        <w:br w:type="page"/>
      </w:r>
    </w:p>
    <w:p w14:paraId="384D335C">
      <w:pPr>
        <w:pStyle w:val="2"/>
        <w:ind w:left="365" w:hanging="365"/>
        <w:rPr>
          <w:sz w:val="21"/>
        </w:rPr>
      </w:pPr>
      <w:bookmarkStart w:id="86" w:name="_Toc174556808"/>
      <w:r>
        <w:rPr>
          <w:rFonts w:hint="eastAsia"/>
          <w:sz w:val="21"/>
        </w:rPr>
        <w:t>防水</w:t>
      </w:r>
      <w:r>
        <w:rPr>
          <w:sz w:val="21"/>
        </w:rPr>
        <w:t>/</w:t>
      </w:r>
      <w:r>
        <w:rPr>
          <w:rFonts w:hint="eastAsia"/>
          <w:sz w:val="21"/>
        </w:rPr>
        <w:t>防潮</w:t>
      </w:r>
      <w:bookmarkEnd w:id="86"/>
    </w:p>
    <w:p w14:paraId="7730A9D8">
      <w:pPr>
        <w:pStyle w:val="3"/>
        <w:jc w:val="left"/>
      </w:pPr>
      <w:bookmarkStart w:id="87" w:name="_Toc174556809"/>
      <w:r>
        <w:rPr>
          <w:rFonts w:hint="eastAsia"/>
        </w:rPr>
        <w:t>编制依据</w:t>
      </w:r>
      <w:bookmarkEnd w:id="87"/>
    </w:p>
    <w:p w14:paraId="611320A6">
      <w:pPr>
        <w:pStyle w:val="97"/>
        <w:numPr>
          <w:ilvl w:val="2"/>
          <w:numId w:val="63"/>
        </w:numPr>
        <w:jc w:val="left"/>
        <w:rPr>
          <w:color w:val="auto"/>
        </w:rPr>
      </w:pPr>
      <w:r>
        <w:rPr>
          <w:rFonts w:hint="eastAsia"/>
          <w:color w:val="auto"/>
        </w:rPr>
        <w:t>《建筑与市政工程防水通用规范》（GB55030-2022）</w:t>
      </w:r>
    </w:p>
    <w:p w14:paraId="234FEE07">
      <w:pPr>
        <w:pStyle w:val="97"/>
        <w:numPr>
          <w:ilvl w:val="2"/>
          <w:numId w:val="63"/>
        </w:numPr>
        <w:jc w:val="left"/>
      </w:pPr>
      <w:r>
        <w:rPr>
          <w:rFonts w:hint="eastAsia"/>
        </w:rPr>
        <w:t>《地下工程防水技术规范》（GB50108）</w:t>
      </w:r>
    </w:p>
    <w:p w14:paraId="2AD0BE9D">
      <w:pPr>
        <w:pStyle w:val="97"/>
        <w:numPr>
          <w:ilvl w:val="2"/>
          <w:numId w:val="63"/>
        </w:numPr>
        <w:jc w:val="left"/>
      </w:pPr>
      <w:r>
        <w:t>《</w:t>
      </w:r>
      <w:r>
        <w:rPr>
          <w:rFonts w:hint="eastAsia"/>
        </w:rPr>
        <w:t>地下防水工程质量验收规范</w:t>
      </w:r>
      <w:r>
        <w:t>》</w:t>
      </w:r>
      <w:r>
        <w:rPr>
          <w:rFonts w:hint="eastAsia"/>
        </w:rPr>
        <w:t>（GB50208）</w:t>
      </w:r>
    </w:p>
    <w:p w14:paraId="7FA0CF76">
      <w:pPr>
        <w:pStyle w:val="97"/>
        <w:numPr>
          <w:ilvl w:val="2"/>
          <w:numId w:val="63"/>
        </w:numPr>
        <w:jc w:val="left"/>
      </w:pPr>
      <w:r>
        <w:t>《</w:t>
      </w:r>
      <w:r>
        <w:rPr>
          <w:rFonts w:hint="eastAsia"/>
        </w:rPr>
        <w:t>地下工程渗漏治理规程》（JGJ／T 212）</w:t>
      </w:r>
    </w:p>
    <w:p w14:paraId="34849A9C">
      <w:pPr>
        <w:pStyle w:val="97"/>
        <w:numPr>
          <w:ilvl w:val="2"/>
          <w:numId w:val="63"/>
        </w:numPr>
        <w:jc w:val="left"/>
      </w:pPr>
      <w:r>
        <w:rPr>
          <w:rFonts w:hint="eastAsia"/>
        </w:rPr>
        <w:t>《屋面工程技术规范》（GB50345）</w:t>
      </w:r>
    </w:p>
    <w:p w14:paraId="7E032E6A">
      <w:pPr>
        <w:pStyle w:val="97"/>
        <w:numPr>
          <w:ilvl w:val="2"/>
          <w:numId w:val="63"/>
        </w:numPr>
        <w:jc w:val="left"/>
      </w:pPr>
      <w:r>
        <w:rPr>
          <w:rFonts w:hint="eastAsia"/>
        </w:rPr>
        <w:t>《倒置式屋面工程技术规程》(JGJ230)</w:t>
      </w:r>
    </w:p>
    <w:p w14:paraId="7B969E88">
      <w:pPr>
        <w:pStyle w:val="97"/>
        <w:numPr>
          <w:ilvl w:val="2"/>
          <w:numId w:val="63"/>
        </w:numPr>
        <w:jc w:val="left"/>
      </w:pPr>
      <w:r>
        <w:rPr>
          <w:rFonts w:hint="eastAsia"/>
        </w:rPr>
        <w:t>《屋面工程质量验收规范》（GB50207</w:t>
      </w:r>
      <w:r>
        <w:t>）</w:t>
      </w:r>
    </w:p>
    <w:p w14:paraId="6599A165">
      <w:pPr>
        <w:pStyle w:val="97"/>
        <w:numPr>
          <w:ilvl w:val="2"/>
          <w:numId w:val="63"/>
        </w:numPr>
        <w:jc w:val="left"/>
      </w:pPr>
      <w:r>
        <w:rPr>
          <w:rFonts w:hint="eastAsia"/>
        </w:rPr>
        <w:t>《种植屋面工程技术规程》（JGJ155</w:t>
      </w:r>
      <w:r>
        <w:t>）</w:t>
      </w:r>
    </w:p>
    <w:p w14:paraId="16227D06">
      <w:pPr>
        <w:pStyle w:val="97"/>
        <w:numPr>
          <w:ilvl w:val="2"/>
          <w:numId w:val="63"/>
        </w:numPr>
        <w:jc w:val="left"/>
      </w:pPr>
      <w:r>
        <w:rPr>
          <w:rFonts w:hint="eastAsia"/>
        </w:rPr>
        <w:t>《建筑外墙防水工程技术规程》(JGJ/T235)</w:t>
      </w:r>
    </w:p>
    <w:p w14:paraId="6F8DBCA8">
      <w:pPr>
        <w:pStyle w:val="97"/>
        <w:numPr>
          <w:ilvl w:val="2"/>
          <w:numId w:val="63"/>
        </w:numPr>
        <w:jc w:val="left"/>
      </w:pPr>
      <w:r>
        <w:t>《</w:t>
      </w:r>
      <w:r>
        <w:rPr>
          <w:rFonts w:hint="eastAsia"/>
        </w:rPr>
        <w:t>建筑工程施工质量验收统一标准</w:t>
      </w:r>
      <w:r>
        <w:t>》（</w:t>
      </w:r>
      <w:r>
        <w:rPr>
          <w:rFonts w:hint="eastAsia"/>
        </w:rPr>
        <w:t>G</w:t>
      </w:r>
      <w:r>
        <w:t>B50300）</w:t>
      </w:r>
    </w:p>
    <w:p w14:paraId="3F9B048F">
      <w:pPr>
        <w:pStyle w:val="97"/>
        <w:numPr>
          <w:ilvl w:val="2"/>
          <w:numId w:val="63"/>
        </w:numPr>
        <w:jc w:val="left"/>
      </w:pPr>
      <w:r>
        <w:rPr>
          <w:rFonts w:hint="eastAsia"/>
        </w:rPr>
        <w:t>《建筑防水涂料中有害物质限量》JC1066</w:t>
      </w:r>
    </w:p>
    <w:p w14:paraId="172CBE2F">
      <w:pPr>
        <w:pStyle w:val="97"/>
        <w:numPr>
          <w:ilvl w:val="2"/>
          <w:numId w:val="63"/>
        </w:numPr>
        <w:jc w:val="left"/>
      </w:pPr>
      <w:r>
        <w:rPr>
          <w:rFonts w:hint="eastAsia"/>
        </w:rPr>
        <w:t>《聚氨酯防水涂料》</w:t>
      </w:r>
      <w:r>
        <w:t>GB</w:t>
      </w:r>
      <w:r>
        <w:rPr>
          <w:rFonts w:hint="eastAsia"/>
        </w:rPr>
        <w:t>/</w:t>
      </w:r>
      <w:r>
        <w:t>T19250</w:t>
      </w:r>
    </w:p>
    <w:p w14:paraId="15FCE413">
      <w:pPr>
        <w:pStyle w:val="97"/>
        <w:numPr>
          <w:ilvl w:val="2"/>
          <w:numId w:val="63"/>
        </w:numPr>
        <w:jc w:val="left"/>
      </w:pPr>
      <w:r>
        <w:rPr>
          <w:rFonts w:hint="eastAsia"/>
        </w:rPr>
        <w:t>《聚合物水泥防水涂料》</w:t>
      </w:r>
      <w:r>
        <w:t>GB</w:t>
      </w:r>
      <w:r>
        <w:rPr>
          <w:rFonts w:hint="eastAsia"/>
        </w:rPr>
        <w:t>/</w:t>
      </w:r>
      <w:r>
        <w:t>T</w:t>
      </w:r>
      <w:r>
        <w:rPr>
          <w:rFonts w:hint="eastAsia"/>
        </w:rPr>
        <w:t>23445</w:t>
      </w:r>
    </w:p>
    <w:p w14:paraId="1F28A97E">
      <w:pPr>
        <w:pStyle w:val="97"/>
        <w:numPr>
          <w:ilvl w:val="2"/>
          <w:numId w:val="63"/>
        </w:numPr>
        <w:jc w:val="left"/>
      </w:pPr>
      <w:r>
        <w:rPr>
          <w:rFonts w:hint="eastAsia"/>
        </w:rPr>
        <w:t>《水泥基渗透结晶型防水涂料》</w:t>
      </w:r>
      <w:r>
        <w:t>GB1</w:t>
      </w:r>
      <w:r>
        <w:rPr>
          <w:rFonts w:hint="eastAsia"/>
        </w:rPr>
        <w:t>8445</w:t>
      </w:r>
    </w:p>
    <w:p w14:paraId="60503C50">
      <w:pPr>
        <w:pStyle w:val="97"/>
        <w:numPr>
          <w:ilvl w:val="2"/>
          <w:numId w:val="63"/>
        </w:numPr>
        <w:jc w:val="left"/>
      </w:pPr>
      <w:r>
        <w:rPr>
          <w:rFonts w:hint="eastAsia"/>
        </w:rPr>
        <w:t>《弹性体改性沥青防水卷材》</w:t>
      </w:r>
      <w:r>
        <w:t>GB1</w:t>
      </w:r>
      <w:r>
        <w:rPr>
          <w:rFonts w:hint="eastAsia"/>
        </w:rPr>
        <w:t>8242</w:t>
      </w:r>
    </w:p>
    <w:p w14:paraId="1079F660">
      <w:pPr>
        <w:pStyle w:val="97"/>
        <w:numPr>
          <w:ilvl w:val="2"/>
          <w:numId w:val="63"/>
        </w:numPr>
        <w:jc w:val="left"/>
      </w:pPr>
      <w:r>
        <w:rPr>
          <w:rFonts w:hint="eastAsia"/>
        </w:rPr>
        <w:t>《聚合物水泥防水砂浆》JC/T984</w:t>
      </w:r>
    </w:p>
    <w:p w14:paraId="155D7FD6">
      <w:pPr>
        <w:pStyle w:val="97"/>
        <w:numPr>
          <w:ilvl w:val="2"/>
          <w:numId w:val="63"/>
        </w:numPr>
        <w:jc w:val="left"/>
      </w:pPr>
      <w:r>
        <w:rPr>
          <w:rFonts w:hint="eastAsia"/>
        </w:rPr>
        <w:t>《砂浆、混凝土防水剂》JC474</w:t>
      </w:r>
    </w:p>
    <w:p w14:paraId="2BC9A051">
      <w:pPr>
        <w:pStyle w:val="97"/>
        <w:numPr>
          <w:ilvl w:val="2"/>
          <w:numId w:val="63"/>
        </w:numPr>
        <w:jc w:val="left"/>
      </w:pPr>
      <w:r>
        <w:rPr>
          <w:rFonts w:hint="eastAsia"/>
        </w:rPr>
        <w:t>《地下建筑防水构造》（10J301</w:t>
      </w:r>
      <w:r>
        <w:t>）</w:t>
      </w:r>
    </w:p>
    <w:p w14:paraId="3B3AB5AB">
      <w:pPr>
        <w:pStyle w:val="3"/>
        <w:jc w:val="left"/>
      </w:pPr>
      <w:bookmarkStart w:id="88" w:name="_Toc174556810"/>
      <w:r>
        <w:rPr>
          <w:rFonts w:hint="eastAsia"/>
        </w:rPr>
        <w:t>防水材料</w:t>
      </w:r>
      <w:bookmarkEnd w:id="88"/>
    </w:p>
    <w:p w14:paraId="4AA889D7">
      <w:pPr>
        <w:pStyle w:val="97"/>
      </w:pPr>
      <w:r>
        <w:rPr>
          <w:rFonts w:hint="eastAsia"/>
        </w:rPr>
        <w:t>防水主材参考一览表</w:t>
      </w:r>
    </w:p>
    <w:p w14:paraId="6C923A55">
      <w:pPr>
        <w:jc w:val="left"/>
        <w:rPr>
          <w:rFonts w:ascii="黑体" w:hAnsi="黑体"/>
          <w:szCs w:val="18"/>
        </w:rPr>
      </w:pPr>
      <w:r>
        <w:rPr>
          <w:rFonts w:ascii="黑体" w:hAnsi="黑体"/>
          <w:szCs w:val="18"/>
        </w:rPr>
        <w:drawing>
          <wp:inline distT="0" distB="0" distL="0" distR="0">
            <wp:extent cx="5683250" cy="6004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3"/>
                    <a:stretch>
                      <a:fillRect/>
                    </a:stretch>
                  </pic:blipFill>
                  <pic:spPr>
                    <a:xfrm>
                      <a:off x="0" y="0"/>
                      <a:ext cx="5697466" cy="6019608"/>
                    </a:xfrm>
                    <a:prstGeom prst="rect">
                      <a:avLst/>
                    </a:prstGeom>
                  </pic:spPr>
                </pic:pic>
              </a:graphicData>
            </a:graphic>
          </wp:inline>
        </w:drawing>
      </w:r>
    </w:p>
    <w:p w14:paraId="563F0029">
      <w:pPr>
        <w:pStyle w:val="97"/>
      </w:pPr>
      <w:r>
        <w:rPr>
          <w:rFonts w:hint="eastAsia"/>
        </w:rPr>
        <w:t>防水辅助用材一览表</w:t>
      </w:r>
    </w:p>
    <w:p w14:paraId="13B5908E">
      <w:pPr>
        <w:jc w:val="left"/>
        <w:rPr>
          <w:rFonts w:ascii="黑体" w:hAnsi="黑体"/>
          <w:szCs w:val="18"/>
        </w:rPr>
      </w:pPr>
      <w:r>
        <w:rPr>
          <w:rFonts w:ascii="黑体" w:hAnsi="黑体"/>
          <w:szCs w:val="18"/>
        </w:rPr>
        <w:drawing>
          <wp:inline distT="0" distB="0" distL="0" distR="0">
            <wp:extent cx="5659755" cy="24428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a:stretch>
                      <a:fillRect/>
                    </a:stretch>
                  </pic:blipFill>
                  <pic:spPr>
                    <a:xfrm>
                      <a:off x="0" y="0"/>
                      <a:ext cx="5665295" cy="2445615"/>
                    </a:xfrm>
                    <a:prstGeom prst="rect">
                      <a:avLst/>
                    </a:prstGeom>
                  </pic:spPr>
                </pic:pic>
              </a:graphicData>
            </a:graphic>
          </wp:inline>
        </w:drawing>
      </w:r>
    </w:p>
    <w:p w14:paraId="38389E58">
      <w:pPr>
        <w:pStyle w:val="3"/>
        <w:jc w:val="left"/>
      </w:pPr>
      <w:bookmarkStart w:id="89" w:name="_Toc174556811"/>
      <w:r>
        <w:rPr>
          <w:rFonts w:hint="eastAsia"/>
        </w:rPr>
        <w:t>地下室防水工程</w:t>
      </w:r>
      <w:bookmarkEnd w:id="89"/>
    </w:p>
    <w:p w14:paraId="14301FF5">
      <w:pPr>
        <w:pStyle w:val="97"/>
      </w:pPr>
      <w:r>
        <w:rPr>
          <w:rFonts w:hint="eastAsia"/>
        </w:rPr>
        <w:t>设计原则</w:t>
      </w:r>
    </w:p>
    <w:p w14:paraId="1A5EC12E">
      <w:pPr>
        <w:pStyle w:val="96"/>
        <w:ind w:left="846" w:firstLine="360" w:firstLineChars="200"/>
        <w:jc w:val="left"/>
        <w:rPr>
          <w:b w:val="0"/>
          <w:sz w:val="18"/>
        </w:rPr>
      </w:pPr>
      <w:r>
        <w:rPr>
          <w:rFonts w:hint="eastAsia"/>
          <w:b w:val="0"/>
          <w:sz w:val="18"/>
        </w:rPr>
        <w:t>地下室防水系统的作用除人们最为直观感受到的“不渗漏”使用功能要求之外，对结构的耐久性及工程的安全性也发挥着重要的作用。地下工程由于埋在地表以下，时刻受地下水的渗透作用，若防水问题处理不好，致使地下水渗漏到建（构）筑物内部，将会带来一系列问题：影响人员的正常工作和生活，使内部装修和设备加快锈蚀，严重时会造成建筑物丧失使用功能。若长期使用机械排除内部渗漏水，不但需要耗费大量经费和能源，而且还可能引起地面及地面建筑物不均匀沉降和破坏。</w:t>
      </w:r>
    </w:p>
    <w:p w14:paraId="2FE73406">
      <w:pPr>
        <w:pStyle w:val="96"/>
        <w:ind w:left="846" w:firstLine="0"/>
        <w:jc w:val="left"/>
        <w:rPr>
          <w:b w:val="0"/>
          <w:sz w:val="18"/>
        </w:rPr>
      </w:pPr>
      <w:r>
        <w:rPr>
          <w:b w:val="0"/>
          <w:sz w:val="18"/>
        </w:rPr>
        <w:t xml:space="preserve">    </w:t>
      </w:r>
      <w:r>
        <w:rPr>
          <w:rFonts w:hint="eastAsia"/>
          <w:b w:val="0"/>
          <w:sz w:val="18"/>
        </w:rPr>
        <w:t>与工程其他部位所处环境不同，地下室所处环境随周围水文、地质、地理、使用条件的不同而不同。地下水水位变化规律、腐蚀性介质含量、地基基础形式、围护结构施工工艺等都是影响防水系统选择的因素。屋面、外墙与室内防水系统功能的直观表现是“不渗不漏”，对于重要地下室防水工程来讲，主要的方针是“防、排、截、堵相结合，刚柔相济，因地制宜，综合治理”。</w:t>
      </w:r>
    </w:p>
    <w:p w14:paraId="2CCA0672">
      <w:pPr>
        <w:pStyle w:val="96"/>
        <w:ind w:left="846" w:firstLine="360" w:firstLineChars="200"/>
        <w:jc w:val="left"/>
        <w:rPr>
          <w:b w:val="0"/>
          <w:sz w:val="18"/>
        </w:rPr>
      </w:pPr>
      <w:r>
        <w:rPr>
          <w:rFonts w:hint="eastAsia"/>
          <w:b w:val="0"/>
          <w:sz w:val="18"/>
        </w:rPr>
        <w:t>鉴于地下工程处于长期有水的外部环境条件，其防水措施也应有别与其他部位。从功能主次上来说，地下防水工程必须坚持以混凝土结构自防水为主，刚柔结合。柔性防水系统不但是阻隔水流与结构接触的第一道防线，也是提高混凝土结构耐久性的必要措施。从防水系统组成上来分，可将防水系统分解为大面防水和细部节点防水，后者往往是最容易出现渗漏水的地方。而由于细部节点的特殊性，其防水措施亦比较丰富和复杂，是设计和施工的重中之重。</w:t>
      </w:r>
    </w:p>
    <w:p w14:paraId="1FF4DD8C">
      <w:pPr>
        <w:pStyle w:val="96"/>
        <w:ind w:left="846" w:firstLine="360" w:firstLineChars="200"/>
        <w:jc w:val="left"/>
        <w:rPr>
          <w:b w:val="0"/>
          <w:sz w:val="18"/>
        </w:rPr>
      </w:pPr>
    </w:p>
    <w:p w14:paraId="5164A9BA">
      <w:pPr>
        <w:pStyle w:val="96"/>
        <w:ind w:left="846" w:firstLine="361" w:firstLineChars="200"/>
        <w:jc w:val="left"/>
        <w:rPr>
          <w:b w:val="0"/>
          <w:sz w:val="18"/>
        </w:rPr>
      </w:pPr>
      <w:r>
        <w:rPr>
          <w:sz w:val="18"/>
        </w:rPr>
        <w:drawing>
          <wp:inline distT="0" distB="0" distL="0" distR="0">
            <wp:extent cx="4891405" cy="895350"/>
            <wp:effectExtent l="0" t="0" r="444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5"/>
                    <a:stretch>
                      <a:fillRect/>
                    </a:stretch>
                  </pic:blipFill>
                  <pic:spPr>
                    <a:xfrm>
                      <a:off x="0" y="0"/>
                      <a:ext cx="4928407" cy="902443"/>
                    </a:xfrm>
                    <a:prstGeom prst="rect">
                      <a:avLst/>
                    </a:prstGeom>
                  </pic:spPr>
                </pic:pic>
              </a:graphicData>
            </a:graphic>
          </wp:inline>
        </w:drawing>
      </w:r>
    </w:p>
    <w:p w14:paraId="2A81FA2D">
      <w:pPr>
        <w:pStyle w:val="97"/>
      </w:pPr>
      <w:r>
        <w:rPr>
          <w:rFonts w:hint="eastAsia"/>
        </w:rPr>
        <w:t>地下室防水设计注意事项</w:t>
      </w:r>
    </w:p>
    <w:p w14:paraId="601AE4F5">
      <w:pPr>
        <w:pStyle w:val="96"/>
        <w:numPr>
          <w:ilvl w:val="0"/>
          <w:numId w:val="64"/>
        </w:numPr>
        <w:jc w:val="left"/>
        <w:rPr>
          <w:b w:val="0"/>
          <w:sz w:val="18"/>
        </w:rPr>
      </w:pPr>
      <w:r>
        <w:rPr>
          <w:rFonts w:hint="eastAsia"/>
          <w:b w:val="0"/>
          <w:sz w:val="18"/>
        </w:rPr>
        <w:t>防水混凝土抗渗等级，在工程埋置深度</w:t>
      </w:r>
      <w:r>
        <w:rPr>
          <w:b w:val="0"/>
          <w:sz w:val="18"/>
        </w:rPr>
        <w:t>H</w:t>
      </w:r>
      <w:r>
        <w:rPr>
          <w:rFonts w:hint="eastAsia"/>
          <w:b w:val="0"/>
          <w:sz w:val="18"/>
        </w:rPr>
        <w:t>＜</w:t>
      </w:r>
      <w:r>
        <w:rPr>
          <w:b w:val="0"/>
          <w:sz w:val="18"/>
        </w:rPr>
        <w:t>10m</w:t>
      </w:r>
      <w:r>
        <w:rPr>
          <w:rFonts w:hint="eastAsia"/>
          <w:b w:val="0"/>
          <w:sz w:val="18"/>
        </w:rPr>
        <w:t>时，抗渗等级不得小于</w:t>
      </w:r>
      <w:r>
        <w:rPr>
          <w:b w:val="0"/>
          <w:sz w:val="18"/>
        </w:rPr>
        <w:t>P8</w:t>
      </w:r>
      <w:r>
        <w:rPr>
          <w:rFonts w:hint="eastAsia"/>
          <w:b w:val="0"/>
          <w:sz w:val="18"/>
        </w:rPr>
        <w:t>；</w:t>
      </w:r>
      <w:r>
        <w:rPr>
          <w:b w:val="0"/>
          <w:sz w:val="18"/>
        </w:rPr>
        <w:t>10m</w:t>
      </w:r>
      <w:r>
        <w:rPr>
          <w:rFonts w:hint="eastAsia"/>
          <w:b w:val="0"/>
          <w:sz w:val="18"/>
        </w:rPr>
        <w:t>≤</w:t>
      </w:r>
      <w:r>
        <w:rPr>
          <w:b w:val="0"/>
          <w:sz w:val="18"/>
        </w:rPr>
        <w:t>H</w:t>
      </w:r>
      <w:r>
        <w:rPr>
          <w:rFonts w:hint="eastAsia"/>
          <w:b w:val="0"/>
          <w:sz w:val="18"/>
        </w:rPr>
        <w:t>＜</w:t>
      </w:r>
      <w:r>
        <w:rPr>
          <w:b w:val="0"/>
          <w:sz w:val="18"/>
        </w:rPr>
        <w:t>20m</w:t>
      </w:r>
      <w:r>
        <w:rPr>
          <w:rFonts w:hint="eastAsia"/>
          <w:b w:val="0"/>
          <w:sz w:val="18"/>
        </w:rPr>
        <w:t>，不</w:t>
      </w:r>
      <w:r>
        <w:rPr>
          <w:b w:val="0"/>
          <w:sz w:val="18"/>
        </w:rPr>
        <w:t xml:space="preserve"> </w:t>
      </w:r>
      <w:r>
        <w:rPr>
          <w:rFonts w:hint="eastAsia"/>
          <w:b w:val="0"/>
          <w:sz w:val="18"/>
        </w:rPr>
        <w:t>得低于</w:t>
      </w:r>
      <w:r>
        <w:rPr>
          <w:b w:val="0"/>
          <w:sz w:val="18"/>
        </w:rPr>
        <w:t>P10</w:t>
      </w:r>
      <w:r>
        <w:rPr>
          <w:rFonts w:hint="eastAsia"/>
          <w:b w:val="0"/>
          <w:sz w:val="18"/>
        </w:rPr>
        <w:t>；</w:t>
      </w:r>
      <w:r>
        <w:rPr>
          <w:b w:val="0"/>
          <w:sz w:val="18"/>
        </w:rPr>
        <w:t>20m</w:t>
      </w:r>
      <w:r>
        <w:rPr>
          <w:rFonts w:hint="eastAsia"/>
          <w:b w:val="0"/>
          <w:sz w:val="18"/>
        </w:rPr>
        <w:t>≤</w:t>
      </w:r>
      <w:r>
        <w:rPr>
          <w:b w:val="0"/>
          <w:sz w:val="18"/>
        </w:rPr>
        <w:t>H</w:t>
      </w:r>
      <w:r>
        <w:rPr>
          <w:rFonts w:hint="eastAsia"/>
          <w:b w:val="0"/>
          <w:sz w:val="18"/>
        </w:rPr>
        <w:t>＜</w:t>
      </w:r>
      <w:r>
        <w:rPr>
          <w:b w:val="0"/>
          <w:sz w:val="18"/>
        </w:rPr>
        <w:t>30m</w:t>
      </w:r>
      <w:r>
        <w:rPr>
          <w:rFonts w:hint="eastAsia"/>
          <w:b w:val="0"/>
          <w:sz w:val="18"/>
        </w:rPr>
        <w:t>。</w:t>
      </w:r>
    </w:p>
    <w:p w14:paraId="52B30E37">
      <w:pPr>
        <w:pStyle w:val="96"/>
        <w:numPr>
          <w:ilvl w:val="0"/>
          <w:numId w:val="64"/>
        </w:numPr>
        <w:jc w:val="left"/>
        <w:rPr>
          <w:b w:val="0"/>
          <w:sz w:val="18"/>
        </w:rPr>
      </w:pPr>
      <w:r>
        <w:rPr>
          <w:rFonts w:hint="eastAsia"/>
          <w:b w:val="0"/>
          <w:sz w:val="18"/>
        </w:rPr>
        <w:t>防水混凝土的施工配合比应通过试验确定，试配混凝土的抗渗等级应比设计要求提高</w:t>
      </w:r>
      <w:r>
        <w:rPr>
          <w:b w:val="0"/>
          <w:sz w:val="18"/>
        </w:rPr>
        <w:t>0.2P</w:t>
      </w:r>
      <w:r>
        <w:rPr>
          <w:rFonts w:hint="eastAsia"/>
          <w:b w:val="0"/>
          <w:sz w:val="18"/>
        </w:rPr>
        <w:t>。</w:t>
      </w:r>
      <w:r>
        <w:rPr>
          <w:b w:val="0"/>
          <w:sz w:val="18"/>
        </w:rPr>
        <w:t xml:space="preserve"> </w:t>
      </w:r>
    </w:p>
    <w:p w14:paraId="41E2AD2E">
      <w:pPr>
        <w:pStyle w:val="96"/>
        <w:numPr>
          <w:ilvl w:val="0"/>
          <w:numId w:val="64"/>
        </w:numPr>
        <w:jc w:val="left"/>
        <w:rPr>
          <w:b w:val="0"/>
          <w:sz w:val="18"/>
        </w:rPr>
      </w:pPr>
      <w:r>
        <w:rPr>
          <w:rFonts w:hint="eastAsia"/>
          <w:b w:val="0"/>
          <w:sz w:val="18"/>
        </w:rPr>
        <w:t>防水混凝土应满足抗渗等级要求，并应根据地下工程所处的环境和工作条件，满足抗压、抗</w:t>
      </w:r>
      <w:r>
        <w:rPr>
          <w:b w:val="0"/>
          <w:sz w:val="18"/>
        </w:rPr>
        <w:t xml:space="preserve"> </w:t>
      </w:r>
      <w:r>
        <w:rPr>
          <w:rFonts w:hint="eastAsia"/>
          <w:b w:val="0"/>
          <w:sz w:val="18"/>
        </w:rPr>
        <w:t>冻和抗侵蚀性等耐久性要求。</w:t>
      </w:r>
      <w:r>
        <w:rPr>
          <w:b w:val="0"/>
          <w:sz w:val="18"/>
        </w:rPr>
        <w:t xml:space="preserve"> </w:t>
      </w:r>
    </w:p>
    <w:p w14:paraId="71FD6F23">
      <w:pPr>
        <w:pStyle w:val="96"/>
        <w:numPr>
          <w:ilvl w:val="0"/>
          <w:numId w:val="64"/>
        </w:numPr>
        <w:jc w:val="left"/>
        <w:rPr>
          <w:b w:val="0"/>
          <w:sz w:val="18"/>
        </w:rPr>
      </w:pPr>
      <w:r>
        <w:rPr>
          <w:rFonts w:hint="eastAsia"/>
          <w:b w:val="0"/>
          <w:sz w:val="18"/>
        </w:rPr>
        <w:t>防水混凝土结构，应符合下列规定：结构厚度不应小于</w:t>
      </w:r>
      <w:r>
        <w:rPr>
          <w:b w:val="0"/>
          <w:sz w:val="18"/>
        </w:rPr>
        <w:t>250mm</w:t>
      </w:r>
      <w:r>
        <w:rPr>
          <w:rFonts w:hint="eastAsia"/>
          <w:b w:val="0"/>
          <w:sz w:val="18"/>
        </w:rPr>
        <w:t>；裂缝宽度不得大于</w:t>
      </w:r>
      <w:r>
        <w:rPr>
          <w:b w:val="0"/>
          <w:sz w:val="18"/>
        </w:rPr>
        <w:t>0. 2mm</w:t>
      </w:r>
      <w:r>
        <w:rPr>
          <w:rFonts w:hint="eastAsia"/>
          <w:b w:val="0"/>
          <w:sz w:val="18"/>
        </w:rPr>
        <w:t>，</w:t>
      </w:r>
      <w:r>
        <w:rPr>
          <w:b w:val="0"/>
          <w:sz w:val="18"/>
        </w:rPr>
        <w:t xml:space="preserve"> </w:t>
      </w:r>
      <w:r>
        <w:rPr>
          <w:rFonts w:hint="eastAsia"/>
          <w:b w:val="0"/>
          <w:sz w:val="18"/>
        </w:rPr>
        <w:t>并不得贯通；钢筋保护层厚度应根据结构的耐久性和工程环境选用，迎水面钢筋保护层厚度不应小于</w:t>
      </w:r>
      <w:r>
        <w:rPr>
          <w:b w:val="0"/>
          <w:sz w:val="18"/>
        </w:rPr>
        <w:t>50mm</w:t>
      </w:r>
      <w:r>
        <w:rPr>
          <w:rFonts w:hint="eastAsia"/>
          <w:b w:val="0"/>
          <w:sz w:val="18"/>
        </w:rPr>
        <w:t>。</w:t>
      </w:r>
      <w:r>
        <w:rPr>
          <w:b w:val="0"/>
          <w:sz w:val="18"/>
        </w:rPr>
        <w:t xml:space="preserve"> </w:t>
      </w:r>
    </w:p>
    <w:p w14:paraId="06ABF696">
      <w:pPr>
        <w:pStyle w:val="97"/>
        <w:rPr>
          <w:b/>
        </w:rPr>
      </w:pPr>
      <w:r>
        <w:rPr>
          <w:rFonts w:hint="eastAsia"/>
          <w:b/>
        </w:rPr>
        <w:t>变形缝设计注意事项</w:t>
      </w:r>
      <w:r>
        <w:rPr>
          <w:b/>
        </w:rPr>
        <w:t xml:space="preserve"> </w:t>
      </w:r>
    </w:p>
    <w:p w14:paraId="0347C833">
      <w:pPr>
        <w:pStyle w:val="96"/>
        <w:numPr>
          <w:ilvl w:val="0"/>
          <w:numId w:val="65"/>
        </w:numPr>
        <w:jc w:val="left"/>
        <w:rPr>
          <w:b w:val="0"/>
          <w:sz w:val="18"/>
        </w:rPr>
      </w:pPr>
      <w:r>
        <w:rPr>
          <w:rFonts w:hint="eastAsia"/>
          <w:b w:val="0"/>
          <w:sz w:val="18"/>
        </w:rPr>
        <w:t>变形缝一般是伸缩缝、沉降缝、防震缝三缝合一。</w:t>
      </w:r>
      <w:r>
        <w:rPr>
          <w:b w:val="0"/>
          <w:sz w:val="18"/>
        </w:rPr>
        <w:t xml:space="preserve"> </w:t>
      </w:r>
    </w:p>
    <w:p w14:paraId="3E6AC640">
      <w:pPr>
        <w:pStyle w:val="96"/>
        <w:numPr>
          <w:ilvl w:val="0"/>
          <w:numId w:val="65"/>
        </w:numPr>
        <w:jc w:val="left"/>
        <w:rPr>
          <w:b w:val="0"/>
          <w:sz w:val="18"/>
        </w:rPr>
      </w:pPr>
      <w:r>
        <w:rPr>
          <w:rFonts w:hint="eastAsia"/>
          <w:b w:val="0"/>
          <w:sz w:val="18"/>
        </w:rPr>
        <w:t>用于伸缩的变形缝宜少设或不设，可根据不同的工程结构类别、工程地质情况采用后浇带、</w:t>
      </w:r>
      <w:r>
        <w:rPr>
          <w:b w:val="0"/>
          <w:sz w:val="18"/>
        </w:rPr>
        <w:t xml:space="preserve"> </w:t>
      </w:r>
      <w:r>
        <w:rPr>
          <w:rFonts w:hint="eastAsia"/>
          <w:b w:val="0"/>
          <w:sz w:val="18"/>
        </w:rPr>
        <w:t>加强带、诱导缝等替代措施。</w:t>
      </w:r>
      <w:r>
        <w:rPr>
          <w:b w:val="0"/>
          <w:sz w:val="18"/>
        </w:rPr>
        <w:t xml:space="preserve"> </w:t>
      </w:r>
    </w:p>
    <w:p w14:paraId="4B410514">
      <w:pPr>
        <w:pStyle w:val="96"/>
        <w:numPr>
          <w:ilvl w:val="0"/>
          <w:numId w:val="65"/>
        </w:numPr>
        <w:jc w:val="left"/>
        <w:rPr>
          <w:b w:val="0"/>
          <w:sz w:val="18"/>
        </w:rPr>
      </w:pPr>
      <w:r>
        <w:rPr>
          <w:rFonts w:hint="eastAsia"/>
          <w:b w:val="0"/>
          <w:sz w:val="18"/>
        </w:rPr>
        <w:t>变形缝处混凝土结构的厚度不应小于</w:t>
      </w:r>
      <w:r>
        <w:rPr>
          <w:b w:val="0"/>
          <w:sz w:val="18"/>
        </w:rPr>
        <w:t>300mm</w:t>
      </w:r>
      <w:r>
        <w:rPr>
          <w:rFonts w:hint="eastAsia"/>
          <w:b w:val="0"/>
          <w:sz w:val="18"/>
        </w:rPr>
        <w:t>。</w:t>
      </w:r>
      <w:r>
        <w:rPr>
          <w:b w:val="0"/>
          <w:sz w:val="18"/>
        </w:rPr>
        <w:t xml:space="preserve"> </w:t>
      </w:r>
    </w:p>
    <w:p w14:paraId="3F678592">
      <w:pPr>
        <w:pStyle w:val="96"/>
        <w:numPr>
          <w:ilvl w:val="0"/>
          <w:numId w:val="65"/>
        </w:numPr>
        <w:jc w:val="left"/>
        <w:rPr>
          <w:b w:val="0"/>
          <w:sz w:val="18"/>
        </w:rPr>
      </w:pPr>
      <w:r>
        <w:rPr>
          <w:rFonts w:hint="eastAsia"/>
          <w:b w:val="0"/>
          <w:sz w:val="18"/>
        </w:rPr>
        <w:t>用于沉降的变形缝最大允许沉降差值不应大于</w:t>
      </w:r>
      <w:r>
        <w:rPr>
          <w:b w:val="0"/>
          <w:sz w:val="18"/>
        </w:rPr>
        <w:t>30mm</w:t>
      </w:r>
      <w:r>
        <w:rPr>
          <w:rFonts w:hint="eastAsia"/>
          <w:b w:val="0"/>
          <w:sz w:val="18"/>
        </w:rPr>
        <w:t>。当计算沉降差值大于</w:t>
      </w:r>
      <w:r>
        <w:rPr>
          <w:b w:val="0"/>
          <w:sz w:val="18"/>
        </w:rPr>
        <w:t>30mm</w:t>
      </w:r>
      <w:r>
        <w:rPr>
          <w:rFonts w:hint="eastAsia"/>
          <w:b w:val="0"/>
          <w:sz w:val="18"/>
        </w:rPr>
        <w:t>时，应从设</w:t>
      </w:r>
      <w:r>
        <w:rPr>
          <w:b w:val="0"/>
          <w:sz w:val="18"/>
        </w:rPr>
        <w:t xml:space="preserve"> </w:t>
      </w:r>
      <w:r>
        <w:rPr>
          <w:rFonts w:hint="eastAsia"/>
          <w:b w:val="0"/>
          <w:sz w:val="18"/>
        </w:rPr>
        <w:t>计上采取措施，不可用增加缝宽的方法来解决沉降差较大的问题。</w:t>
      </w:r>
      <w:r>
        <w:rPr>
          <w:b w:val="0"/>
          <w:sz w:val="18"/>
        </w:rPr>
        <w:t xml:space="preserve"> </w:t>
      </w:r>
    </w:p>
    <w:p w14:paraId="55BF312F">
      <w:pPr>
        <w:pStyle w:val="96"/>
        <w:numPr>
          <w:ilvl w:val="0"/>
          <w:numId w:val="65"/>
        </w:numPr>
        <w:jc w:val="left"/>
        <w:rPr>
          <w:b w:val="0"/>
          <w:sz w:val="18"/>
        </w:rPr>
      </w:pPr>
      <w:r>
        <w:rPr>
          <w:rFonts w:hint="eastAsia"/>
          <w:b w:val="0"/>
          <w:sz w:val="18"/>
        </w:rPr>
        <w:t>变形缝的宽度宜为</w:t>
      </w:r>
      <w:r>
        <w:rPr>
          <w:b w:val="0"/>
          <w:sz w:val="18"/>
        </w:rPr>
        <w:t>20</w:t>
      </w:r>
      <w:r>
        <w:rPr>
          <w:rFonts w:hint="eastAsia"/>
          <w:b w:val="0"/>
          <w:sz w:val="18"/>
        </w:rPr>
        <w:t>～</w:t>
      </w:r>
      <w:r>
        <w:rPr>
          <w:b w:val="0"/>
          <w:sz w:val="18"/>
        </w:rPr>
        <w:t>30rnm</w:t>
      </w:r>
      <w:r>
        <w:rPr>
          <w:rFonts w:hint="eastAsia"/>
          <w:b w:val="0"/>
          <w:sz w:val="18"/>
        </w:rPr>
        <w:t>。从防水的角度来看，变形缝的宽度宜小不宜大，超过</w:t>
      </w:r>
      <w:r>
        <w:rPr>
          <w:b w:val="0"/>
          <w:sz w:val="18"/>
        </w:rPr>
        <w:t>40mm</w:t>
      </w:r>
      <w:r>
        <w:rPr>
          <w:rFonts w:hint="eastAsia"/>
          <w:b w:val="0"/>
          <w:sz w:val="18"/>
        </w:rPr>
        <w:t>就</w:t>
      </w:r>
      <w:r>
        <w:rPr>
          <w:b w:val="0"/>
          <w:sz w:val="18"/>
        </w:rPr>
        <w:t xml:space="preserve"> </w:t>
      </w:r>
      <w:r>
        <w:rPr>
          <w:rFonts w:hint="eastAsia"/>
          <w:b w:val="0"/>
          <w:sz w:val="18"/>
        </w:rPr>
        <w:t>应该慎用。</w:t>
      </w:r>
      <w:r>
        <w:rPr>
          <w:b w:val="0"/>
          <w:sz w:val="18"/>
        </w:rPr>
        <w:t xml:space="preserve"> </w:t>
      </w:r>
    </w:p>
    <w:p w14:paraId="78472324">
      <w:pPr>
        <w:pStyle w:val="96"/>
        <w:numPr>
          <w:ilvl w:val="0"/>
          <w:numId w:val="65"/>
        </w:numPr>
        <w:jc w:val="left"/>
        <w:rPr>
          <w:b w:val="0"/>
          <w:sz w:val="18"/>
        </w:rPr>
      </w:pPr>
      <w:r>
        <w:rPr>
          <w:rFonts w:hint="eastAsia"/>
          <w:b w:val="0"/>
          <w:sz w:val="18"/>
        </w:rPr>
        <w:t>优先选用中埋式橡胶止水带</w:t>
      </w:r>
      <w:r>
        <w:rPr>
          <w:b w:val="0"/>
          <w:sz w:val="18"/>
        </w:rPr>
        <w:t>+</w:t>
      </w:r>
      <w:r>
        <w:rPr>
          <w:rFonts w:hint="eastAsia"/>
          <w:b w:val="0"/>
          <w:sz w:val="18"/>
        </w:rPr>
        <w:t>外贴式橡胶止水带复合防水做法，中埋式止水带与可卸式止水</w:t>
      </w:r>
      <w:r>
        <w:rPr>
          <w:b w:val="0"/>
          <w:sz w:val="18"/>
        </w:rPr>
        <w:t xml:space="preserve"> </w:t>
      </w:r>
      <w:r>
        <w:rPr>
          <w:rFonts w:hint="eastAsia"/>
          <w:b w:val="0"/>
          <w:sz w:val="18"/>
        </w:rPr>
        <w:t>带复合使用的方式则受可卸式止水带固定件、阴角配件等加工、安装精度的影响，不容易取</w:t>
      </w:r>
      <w:r>
        <w:rPr>
          <w:b w:val="0"/>
          <w:sz w:val="18"/>
        </w:rPr>
        <w:t xml:space="preserve"> </w:t>
      </w:r>
      <w:r>
        <w:rPr>
          <w:rFonts w:hint="eastAsia"/>
          <w:b w:val="0"/>
          <w:sz w:val="18"/>
        </w:rPr>
        <w:t>得预期防水，在无可靠的保证措施的前提下应谨慎选用。</w:t>
      </w:r>
      <w:r>
        <w:rPr>
          <w:b w:val="0"/>
          <w:sz w:val="18"/>
        </w:rPr>
        <w:t xml:space="preserve"> </w:t>
      </w:r>
    </w:p>
    <w:p w14:paraId="16B2BC68">
      <w:pPr>
        <w:pStyle w:val="96"/>
        <w:numPr>
          <w:ilvl w:val="0"/>
          <w:numId w:val="65"/>
        </w:numPr>
        <w:jc w:val="left"/>
        <w:rPr>
          <w:b w:val="0"/>
          <w:sz w:val="18"/>
        </w:rPr>
      </w:pPr>
      <w:r>
        <w:rPr>
          <w:rFonts w:hint="eastAsia"/>
          <w:b w:val="0"/>
          <w:sz w:val="18"/>
        </w:rPr>
        <w:t>中置式橡胶止水带可选用钢边橡胶止水带，适用于防水难度大，质量要求高的项目中。</w:t>
      </w:r>
      <w:r>
        <w:rPr>
          <w:b w:val="0"/>
          <w:sz w:val="18"/>
        </w:rPr>
        <w:t xml:space="preserve"> </w:t>
      </w:r>
    </w:p>
    <w:p w14:paraId="1BC8A6DF">
      <w:pPr>
        <w:pStyle w:val="96"/>
        <w:numPr>
          <w:ilvl w:val="0"/>
          <w:numId w:val="65"/>
        </w:numPr>
        <w:jc w:val="left"/>
        <w:rPr>
          <w:b w:val="0"/>
          <w:sz w:val="18"/>
        </w:rPr>
      </w:pPr>
      <w:r>
        <w:rPr>
          <w:rFonts w:hint="eastAsia"/>
          <w:b w:val="0"/>
          <w:sz w:val="18"/>
        </w:rPr>
        <w:t>中埋式止水带安装质量控制要点如下：</w:t>
      </w:r>
      <w:r>
        <w:rPr>
          <w:b w:val="0"/>
          <w:sz w:val="18"/>
        </w:rPr>
        <w:t>(a)</w:t>
      </w:r>
      <w:r>
        <w:rPr>
          <w:rFonts w:hint="eastAsia"/>
          <w:b w:val="0"/>
          <w:sz w:val="18"/>
        </w:rPr>
        <w:t>止水带埋设位置应准确，其中间空心圆环应与变形缝的中心线重合。</w:t>
      </w:r>
      <w:r>
        <w:rPr>
          <w:b w:val="0"/>
          <w:sz w:val="18"/>
        </w:rPr>
        <w:t>(b)</w:t>
      </w:r>
      <w:r>
        <w:rPr>
          <w:rFonts w:hint="eastAsia"/>
          <w:b w:val="0"/>
          <w:sz w:val="18"/>
        </w:rPr>
        <w:t>止水带应固定，顶、底板宜采用盆形中埋式止水带。</w:t>
      </w:r>
      <w:r>
        <w:rPr>
          <w:b w:val="0"/>
          <w:sz w:val="18"/>
        </w:rPr>
        <w:t>(c)</w:t>
      </w:r>
      <w:r>
        <w:rPr>
          <w:rFonts w:hint="eastAsia"/>
          <w:b w:val="0"/>
          <w:sz w:val="18"/>
        </w:rPr>
        <w:t>中埋式止水带先施工一侧混凝士时，其端模应支撑牢固，并应严防漏浆。</w:t>
      </w:r>
      <w:r>
        <w:rPr>
          <w:b w:val="0"/>
          <w:sz w:val="18"/>
        </w:rPr>
        <w:t>(d)</w:t>
      </w:r>
      <w:r>
        <w:rPr>
          <w:rFonts w:hint="eastAsia"/>
          <w:b w:val="0"/>
          <w:sz w:val="18"/>
        </w:rPr>
        <w:t>止水带的接缝宜为一处，应设在边墙较高位置上，不得设在结构转角处，接头宜采用热压焊接。</w:t>
      </w:r>
      <w:r>
        <w:rPr>
          <w:b w:val="0"/>
          <w:sz w:val="18"/>
        </w:rPr>
        <w:t>(e)</w:t>
      </w:r>
      <w:r>
        <w:rPr>
          <w:rFonts w:hint="eastAsia"/>
          <w:b w:val="0"/>
          <w:sz w:val="18"/>
        </w:rPr>
        <w:t>埋式止水带在转</w:t>
      </w:r>
      <w:r>
        <w:rPr>
          <w:b w:val="0"/>
          <w:sz w:val="18"/>
        </w:rPr>
        <w:t xml:space="preserve"> </w:t>
      </w:r>
      <w:r>
        <w:rPr>
          <w:rFonts w:hint="eastAsia"/>
          <w:b w:val="0"/>
          <w:sz w:val="18"/>
        </w:rPr>
        <w:t>弯处应做成圆弧形，橡胶、钢边橡胶止水带的转角半径不应小于</w:t>
      </w:r>
      <w:r>
        <w:rPr>
          <w:b w:val="0"/>
          <w:sz w:val="18"/>
        </w:rPr>
        <w:t>200mm</w:t>
      </w:r>
      <w:r>
        <w:rPr>
          <w:rFonts w:hint="eastAsia"/>
          <w:b w:val="0"/>
          <w:sz w:val="18"/>
        </w:rPr>
        <w:t>，转角半径应随止水带的</w:t>
      </w:r>
      <w:r>
        <w:rPr>
          <w:b w:val="0"/>
          <w:sz w:val="18"/>
        </w:rPr>
        <w:t xml:space="preserve"> </w:t>
      </w:r>
      <w:r>
        <w:rPr>
          <w:rFonts w:hint="eastAsia"/>
          <w:b w:val="0"/>
          <w:sz w:val="18"/>
        </w:rPr>
        <w:t>宽度增大而相应加大。</w:t>
      </w:r>
      <w:r>
        <w:rPr>
          <w:b w:val="0"/>
          <w:sz w:val="18"/>
        </w:rPr>
        <w:t xml:space="preserve"> </w:t>
      </w:r>
    </w:p>
    <w:p w14:paraId="2F1360DD">
      <w:pPr>
        <w:pStyle w:val="96"/>
        <w:numPr>
          <w:ilvl w:val="0"/>
          <w:numId w:val="65"/>
        </w:numPr>
        <w:jc w:val="left"/>
        <w:rPr>
          <w:b w:val="0"/>
          <w:sz w:val="18"/>
        </w:rPr>
      </w:pPr>
      <w:r>
        <w:rPr>
          <w:rFonts w:hint="eastAsia"/>
          <w:b w:val="0"/>
          <w:sz w:val="18"/>
        </w:rPr>
        <w:t>中埋式止水带安装常见问题包括：</w:t>
      </w:r>
      <w:r>
        <w:rPr>
          <w:b w:val="0"/>
          <w:sz w:val="18"/>
        </w:rPr>
        <w:t>(a)</w:t>
      </w:r>
      <w:r>
        <w:rPr>
          <w:rFonts w:hint="eastAsia"/>
          <w:b w:val="0"/>
          <w:sz w:val="18"/>
        </w:rPr>
        <w:t>先浇混凝土一侧止水带甩头预埋时，容易造成接缝处模</w:t>
      </w:r>
      <w:r>
        <w:rPr>
          <w:b w:val="0"/>
          <w:sz w:val="18"/>
        </w:rPr>
        <w:t xml:space="preserve"> </w:t>
      </w:r>
      <w:r>
        <w:rPr>
          <w:rFonts w:hint="eastAsia"/>
          <w:b w:val="0"/>
          <w:sz w:val="18"/>
        </w:rPr>
        <w:t>板不完整，易跑模、走位，使接缝处混凝土浇筑质量较差，缝的宽窄不一。</w:t>
      </w:r>
      <w:r>
        <w:rPr>
          <w:b w:val="0"/>
          <w:sz w:val="18"/>
        </w:rPr>
        <w:t>(b)</w:t>
      </w:r>
      <w:r>
        <w:rPr>
          <w:rFonts w:hint="eastAsia"/>
          <w:b w:val="0"/>
          <w:sz w:val="18"/>
        </w:rPr>
        <w:t>止水带进入二次浇</w:t>
      </w:r>
      <w:r>
        <w:rPr>
          <w:b w:val="0"/>
          <w:sz w:val="18"/>
        </w:rPr>
        <w:t xml:space="preserve"> </w:t>
      </w:r>
      <w:r>
        <w:rPr>
          <w:rFonts w:hint="eastAsia"/>
          <w:b w:val="0"/>
          <w:sz w:val="18"/>
        </w:rPr>
        <w:t>筑前，须经拆模、支模、绑扎钢筋等多道施工工序后，才能被固定。长时间的现场交叉作业，难</w:t>
      </w:r>
      <w:r>
        <w:rPr>
          <w:b w:val="0"/>
          <w:sz w:val="18"/>
        </w:rPr>
        <w:t xml:space="preserve"> </w:t>
      </w:r>
      <w:r>
        <w:rPr>
          <w:rFonts w:hint="eastAsia"/>
          <w:b w:val="0"/>
          <w:sz w:val="18"/>
        </w:rPr>
        <w:t>以对止水带进行有效的保护。</w:t>
      </w:r>
      <w:r>
        <w:rPr>
          <w:b w:val="0"/>
          <w:sz w:val="18"/>
        </w:rPr>
        <w:t xml:space="preserve"> </w:t>
      </w:r>
    </w:p>
    <w:p w14:paraId="22928949">
      <w:pPr>
        <w:pStyle w:val="96"/>
        <w:numPr>
          <w:ilvl w:val="0"/>
          <w:numId w:val="65"/>
        </w:numPr>
        <w:jc w:val="left"/>
        <w:rPr>
          <w:b w:val="0"/>
          <w:sz w:val="18"/>
        </w:rPr>
      </w:pPr>
      <w:r>
        <w:rPr>
          <w:rFonts w:hint="eastAsia"/>
          <w:b w:val="0"/>
          <w:sz w:val="18"/>
        </w:rPr>
        <w:t>外贴式止水带中部变形方孔的下连接橡胶应适当减薄，预设为破坏部位，否则可能因为该部</w:t>
      </w:r>
      <w:r>
        <w:rPr>
          <w:b w:val="0"/>
          <w:sz w:val="18"/>
        </w:rPr>
        <w:t xml:space="preserve"> </w:t>
      </w:r>
      <w:r>
        <w:rPr>
          <w:rFonts w:hint="eastAsia"/>
          <w:b w:val="0"/>
          <w:sz w:val="18"/>
        </w:rPr>
        <w:t>位强度太大而在变形时将止水带拉破。外贴式止水带在其相交部位应采用十字配件进行搭接，搭</w:t>
      </w:r>
      <w:r>
        <w:rPr>
          <w:b w:val="0"/>
          <w:sz w:val="18"/>
        </w:rPr>
        <w:t xml:space="preserve"> </w:t>
      </w:r>
      <w:r>
        <w:rPr>
          <w:rFonts w:hint="eastAsia"/>
          <w:b w:val="0"/>
          <w:sz w:val="18"/>
        </w:rPr>
        <w:t>接部位宜采用专用粘合剂粘接或专用设备热焊接。变形缝用外贴式止水带的转角部位宜采用直角</w:t>
      </w:r>
      <w:r>
        <w:rPr>
          <w:b w:val="0"/>
          <w:sz w:val="18"/>
        </w:rPr>
        <w:t xml:space="preserve"> </w:t>
      </w:r>
      <w:r>
        <w:rPr>
          <w:rFonts w:hint="eastAsia"/>
          <w:b w:val="0"/>
          <w:sz w:val="18"/>
        </w:rPr>
        <w:t>配件。</w:t>
      </w:r>
      <w:r>
        <w:rPr>
          <w:b w:val="0"/>
          <w:sz w:val="18"/>
        </w:rPr>
        <w:t xml:space="preserve"> </w:t>
      </w:r>
    </w:p>
    <w:p w14:paraId="197596E9">
      <w:pPr>
        <w:pStyle w:val="97"/>
        <w:rPr>
          <w:b/>
        </w:rPr>
      </w:pPr>
      <w:r>
        <w:rPr>
          <w:rFonts w:hint="eastAsia"/>
          <w:b/>
        </w:rPr>
        <w:t>施工缝设计注意事项</w:t>
      </w:r>
      <w:r>
        <w:rPr>
          <w:b/>
        </w:rPr>
        <w:t xml:space="preserve"> </w:t>
      </w:r>
    </w:p>
    <w:p w14:paraId="3E75B66C">
      <w:pPr>
        <w:pStyle w:val="96"/>
        <w:numPr>
          <w:ilvl w:val="0"/>
          <w:numId w:val="66"/>
        </w:numPr>
        <w:jc w:val="left"/>
        <w:rPr>
          <w:b w:val="0"/>
          <w:sz w:val="18"/>
        </w:rPr>
      </w:pPr>
      <w:r>
        <w:rPr>
          <w:rFonts w:hint="eastAsia"/>
          <w:b w:val="0"/>
          <w:sz w:val="18"/>
        </w:rPr>
        <w:t>水平施工缝不应留在底板与侧墙的交接处，而应留在高出底板上表面</w:t>
      </w:r>
      <w:r>
        <w:rPr>
          <w:b w:val="0"/>
          <w:sz w:val="18"/>
        </w:rPr>
        <w:t>300mm</w:t>
      </w:r>
      <w:r>
        <w:rPr>
          <w:rFonts w:hint="eastAsia"/>
          <w:b w:val="0"/>
          <w:sz w:val="18"/>
        </w:rPr>
        <w:t>以上的侧墙上；</w:t>
      </w:r>
      <w:r>
        <w:rPr>
          <w:b w:val="0"/>
          <w:sz w:val="18"/>
        </w:rPr>
        <w:t xml:space="preserve"> </w:t>
      </w:r>
      <w:r>
        <w:rPr>
          <w:rFonts w:hint="eastAsia"/>
          <w:b w:val="0"/>
          <w:sz w:val="18"/>
        </w:rPr>
        <w:t>板墙结合处的，宜留在板墙接缝以下</w:t>
      </w:r>
      <w:r>
        <w:rPr>
          <w:b w:val="0"/>
          <w:sz w:val="18"/>
        </w:rPr>
        <w:t>150</w:t>
      </w:r>
      <w:r>
        <w:rPr>
          <w:rFonts w:hint="eastAsia"/>
          <w:b w:val="0"/>
          <w:sz w:val="18"/>
        </w:rPr>
        <w:t>～</w:t>
      </w:r>
      <w:r>
        <w:rPr>
          <w:b w:val="0"/>
          <w:sz w:val="18"/>
        </w:rPr>
        <w:t>300mm</w:t>
      </w:r>
      <w:r>
        <w:rPr>
          <w:rFonts w:hint="eastAsia"/>
          <w:b w:val="0"/>
          <w:sz w:val="18"/>
        </w:rPr>
        <w:t>处；墙体有预留孔洞时，施工缝距孔洞边缘不应</w:t>
      </w:r>
      <w:r>
        <w:rPr>
          <w:b w:val="0"/>
          <w:sz w:val="18"/>
        </w:rPr>
        <w:t xml:space="preserve"> </w:t>
      </w:r>
      <w:r>
        <w:rPr>
          <w:rFonts w:hint="eastAsia"/>
          <w:b w:val="0"/>
          <w:sz w:val="18"/>
        </w:rPr>
        <w:t>小于</w:t>
      </w:r>
      <w:r>
        <w:rPr>
          <w:b w:val="0"/>
          <w:sz w:val="18"/>
        </w:rPr>
        <w:t>300mm</w:t>
      </w:r>
      <w:r>
        <w:rPr>
          <w:rFonts w:hint="eastAsia"/>
          <w:b w:val="0"/>
          <w:sz w:val="18"/>
        </w:rPr>
        <w:t>。</w:t>
      </w:r>
      <w:r>
        <w:rPr>
          <w:b w:val="0"/>
          <w:sz w:val="18"/>
        </w:rPr>
        <w:t xml:space="preserve"> </w:t>
      </w:r>
    </w:p>
    <w:p w14:paraId="61D61AB5">
      <w:pPr>
        <w:pStyle w:val="96"/>
        <w:numPr>
          <w:ilvl w:val="0"/>
          <w:numId w:val="66"/>
        </w:numPr>
        <w:jc w:val="left"/>
        <w:rPr>
          <w:b w:val="0"/>
          <w:sz w:val="18"/>
        </w:rPr>
      </w:pPr>
      <w:r>
        <w:rPr>
          <w:rFonts w:hint="eastAsia"/>
          <w:b w:val="0"/>
          <w:sz w:val="18"/>
        </w:rPr>
        <w:t>垂直施工缝应避开地下水和裂隙水较多的地段，并宜与变形缝相结合。</w:t>
      </w:r>
      <w:r>
        <w:rPr>
          <w:b w:val="0"/>
          <w:sz w:val="18"/>
        </w:rPr>
        <w:t xml:space="preserve"> </w:t>
      </w:r>
    </w:p>
    <w:p w14:paraId="30D593B2">
      <w:pPr>
        <w:pStyle w:val="97"/>
        <w:rPr>
          <w:b/>
        </w:rPr>
      </w:pPr>
      <w:r>
        <w:rPr>
          <w:rFonts w:hint="eastAsia"/>
          <w:b/>
        </w:rPr>
        <w:t>后浇带设计注意事项</w:t>
      </w:r>
      <w:r>
        <w:rPr>
          <w:b/>
        </w:rPr>
        <w:t xml:space="preserve"> </w:t>
      </w:r>
    </w:p>
    <w:p w14:paraId="37BD7AA2">
      <w:pPr>
        <w:pStyle w:val="96"/>
        <w:numPr>
          <w:ilvl w:val="3"/>
          <w:numId w:val="67"/>
        </w:numPr>
        <w:jc w:val="left"/>
        <w:rPr>
          <w:b w:val="0"/>
          <w:sz w:val="18"/>
        </w:rPr>
      </w:pPr>
      <w:r>
        <w:rPr>
          <w:rFonts w:hint="eastAsia"/>
          <w:b w:val="0"/>
          <w:sz w:val="18"/>
        </w:rPr>
        <w:t>后浇带应在其两侧混凝土龄期达到</w:t>
      </w:r>
      <w:r>
        <w:rPr>
          <w:b w:val="0"/>
          <w:sz w:val="18"/>
        </w:rPr>
        <w:t>45d</w:t>
      </w:r>
      <w:r>
        <w:rPr>
          <w:rFonts w:hint="eastAsia"/>
          <w:b w:val="0"/>
          <w:sz w:val="18"/>
        </w:rPr>
        <w:t>后再施工。</w:t>
      </w:r>
      <w:r>
        <w:rPr>
          <w:b w:val="0"/>
          <w:sz w:val="18"/>
        </w:rPr>
        <w:t xml:space="preserve"> </w:t>
      </w:r>
    </w:p>
    <w:p w14:paraId="5D4308EB">
      <w:pPr>
        <w:pStyle w:val="96"/>
        <w:numPr>
          <w:ilvl w:val="3"/>
          <w:numId w:val="67"/>
        </w:numPr>
        <w:jc w:val="left"/>
        <w:rPr>
          <w:b w:val="0"/>
          <w:sz w:val="18"/>
        </w:rPr>
      </w:pPr>
      <w:r>
        <w:rPr>
          <w:rFonts w:hint="eastAsia"/>
          <w:b w:val="0"/>
          <w:sz w:val="18"/>
        </w:rPr>
        <w:t>后浇带应采用补偿收缩混凝土浇筑，其抗渗和抗压强度等级不应低于两侧混凝土。</w:t>
      </w:r>
      <w:r>
        <w:rPr>
          <w:b w:val="0"/>
          <w:sz w:val="18"/>
        </w:rPr>
        <w:t xml:space="preserve"> </w:t>
      </w:r>
    </w:p>
    <w:p w14:paraId="55A589B5">
      <w:pPr>
        <w:pStyle w:val="96"/>
        <w:ind w:left="1979" w:firstLine="0"/>
        <w:jc w:val="left"/>
        <w:rPr>
          <w:b w:val="0"/>
          <w:sz w:val="18"/>
        </w:rPr>
      </w:pPr>
      <w:r>
        <w:rPr>
          <w:rFonts w:hint="eastAsia"/>
          <w:b w:val="0"/>
          <w:sz w:val="18"/>
        </w:rPr>
        <w:t>补偿收缩混凝土是在混凝土中加入一定量的膨胀剂，使混凝土产生微膨胀，在有配筋情况下，</w:t>
      </w:r>
      <w:r>
        <w:rPr>
          <w:b w:val="0"/>
          <w:sz w:val="18"/>
        </w:rPr>
        <w:t xml:space="preserve"> </w:t>
      </w:r>
      <w:r>
        <w:rPr>
          <w:rFonts w:hint="eastAsia"/>
          <w:b w:val="0"/>
          <w:sz w:val="18"/>
        </w:rPr>
        <w:t>能够补偿混凝土的收缩，提高混凝土抗裂性和抗渗性。后浇带采用补偿收缩混土，是为了使新旧</w:t>
      </w:r>
      <w:r>
        <w:rPr>
          <w:b w:val="0"/>
          <w:sz w:val="18"/>
        </w:rPr>
        <w:t xml:space="preserve"> </w:t>
      </w:r>
      <w:r>
        <w:rPr>
          <w:rFonts w:hint="eastAsia"/>
          <w:b w:val="0"/>
          <w:sz w:val="18"/>
        </w:rPr>
        <w:t>混凝土粘结牢固，避免两者间界面出现新的收缩裂缝造成工程渗漏水隐患。补偿收缩混凝土配合</w:t>
      </w:r>
      <w:r>
        <w:rPr>
          <w:b w:val="0"/>
          <w:sz w:val="18"/>
        </w:rPr>
        <w:t xml:space="preserve"> </w:t>
      </w:r>
      <w:r>
        <w:rPr>
          <w:rFonts w:hint="eastAsia"/>
          <w:b w:val="0"/>
          <w:sz w:val="18"/>
        </w:rPr>
        <w:t>比设计，尚应满足防水混凝土的抗渗和强度等级要求，且抗和强度等级应高于两侧混凝土一个等级。</w:t>
      </w:r>
      <w:r>
        <w:rPr>
          <w:b w:val="0"/>
          <w:sz w:val="18"/>
        </w:rPr>
        <w:t xml:space="preserve"> </w:t>
      </w:r>
    </w:p>
    <w:p w14:paraId="3DA9240A">
      <w:pPr>
        <w:pStyle w:val="96"/>
        <w:numPr>
          <w:ilvl w:val="3"/>
          <w:numId w:val="67"/>
        </w:numPr>
        <w:jc w:val="left"/>
        <w:rPr>
          <w:b w:val="0"/>
          <w:sz w:val="18"/>
        </w:rPr>
      </w:pPr>
      <w:r>
        <w:rPr>
          <w:rFonts w:hint="eastAsia"/>
          <w:b w:val="0"/>
          <w:sz w:val="18"/>
        </w:rPr>
        <w:t>后浇带应设在受力和变形较小的部位，其间距一般不超过</w:t>
      </w:r>
      <w:r>
        <w:rPr>
          <w:b w:val="0"/>
          <w:sz w:val="18"/>
        </w:rPr>
        <w:t>40m</w:t>
      </w:r>
      <w:r>
        <w:rPr>
          <w:rFonts w:hint="eastAsia"/>
          <w:b w:val="0"/>
          <w:sz w:val="18"/>
        </w:rPr>
        <w:t>，宽度宜为</w:t>
      </w:r>
      <w:r>
        <w:rPr>
          <w:b w:val="0"/>
          <w:sz w:val="18"/>
        </w:rPr>
        <w:t>700</w:t>
      </w:r>
      <w:r>
        <w:rPr>
          <w:rFonts w:hint="eastAsia"/>
          <w:b w:val="0"/>
          <w:sz w:val="18"/>
        </w:rPr>
        <w:t>～</w:t>
      </w:r>
      <w:r>
        <w:rPr>
          <w:b w:val="0"/>
          <w:sz w:val="18"/>
        </w:rPr>
        <w:t>1000mm</w:t>
      </w:r>
      <w:r>
        <w:rPr>
          <w:rFonts w:hint="eastAsia"/>
          <w:b w:val="0"/>
          <w:sz w:val="18"/>
        </w:rPr>
        <w:t>。后浇带的宽度设计时主要考虑如下因素：一是便于对后浇带部位和外贴式止水带的保护，二是便</w:t>
      </w:r>
      <w:r>
        <w:rPr>
          <w:b w:val="0"/>
          <w:sz w:val="18"/>
        </w:rPr>
        <w:t xml:space="preserve"> </w:t>
      </w:r>
      <w:r>
        <w:rPr>
          <w:rFonts w:hint="eastAsia"/>
          <w:b w:val="0"/>
          <w:sz w:val="18"/>
        </w:rPr>
        <w:t>于清理落入后浇带内的杂物，三是便于施工缝清理和嵌填遇水膨胀止水条。</w:t>
      </w:r>
      <w:r>
        <w:rPr>
          <w:b w:val="0"/>
          <w:sz w:val="18"/>
        </w:rPr>
        <w:t xml:space="preserve"> </w:t>
      </w:r>
    </w:p>
    <w:p w14:paraId="2DC5EE93">
      <w:pPr>
        <w:pStyle w:val="96"/>
        <w:numPr>
          <w:ilvl w:val="3"/>
          <w:numId w:val="67"/>
        </w:numPr>
        <w:jc w:val="left"/>
        <w:rPr>
          <w:b w:val="0"/>
          <w:sz w:val="18"/>
        </w:rPr>
      </w:pPr>
      <w:r>
        <w:rPr>
          <w:rFonts w:hint="eastAsia"/>
          <w:b w:val="0"/>
          <w:sz w:val="18"/>
        </w:rPr>
        <w:t>采用掺膨胀剂的补偿收缩混凝土，水中养护</w:t>
      </w:r>
      <w:r>
        <w:rPr>
          <w:b w:val="0"/>
          <w:sz w:val="18"/>
        </w:rPr>
        <w:t>14d</w:t>
      </w:r>
      <w:r>
        <w:rPr>
          <w:rFonts w:hint="eastAsia"/>
          <w:b w:val="0"/>
          <w:sz w:val="18"/>
        </w:rPr>
        <w:t>后的限制膨胀率不应小于</w:t>
      </w:r>
      <w:r>
        <w:rPr>
          <w:b w:val="0"/>
          <w:sz w:val="18"/>
        </w:rPr>
        <w:t>0. 015%</w:t>
      </w:r>
      <w:r>
        <w:rPr>
          <w:rFonts w:hint="eastAsia"/>
          <w:b w:val="0"/>
          <w:sz w:val="18"/>
        </w:rPr>
        <w:t>。</w:t>
      </w:r>
      <w:r>
        <w:rPr>
          <w:b w:val="0"/>
          <w:sz w:val="18"/>
        </w:rPr>
        <w:t xml:space="preserve"> </w:t>
      </w:r>
    </w:p>
    <w:p w14:paraId="2722A691">
      <w:pPr>
        <w:pStyle w:val="96"/>
        <w:numPr>
          <w:ilvl w:val="3"/>
          <w:numId w:val="67"/>
        </w:numPr>
        <w:jc w:val="left"/>
        <w:rPr>
          <w:b w:val="0"/>
          <w:sz w:val="18"/>
        </w:rPr>
      </w:pPr>
      <w:r>
        <w:rPr>
          <w:rFonts w:hint="eastAsia"/>
          <w:b w:val="0"/>
          <w:sz w:val="18"/>
        </w:rPr>
        <w:t>膨胀剂掺量不宜大于胶凝材料总量的</w:t>
      </w:r>
      <w:r>
        <w:rPr>
          <w:b w:val="0"/>
          <w:sz w:val="18"/>
        </w:rPr>
        <w:t>12%</w:t>
      </w:r>
      <w:r>
        <w:rPr>
          <w:rFonts w:hint="eastAsia"/>
          <w:b w:val="0"/>
          <w:sz w:val="18"/>
        </w:rPr>
        <w:t>。</w:t>
      </w:r>
      <w:r>
        <w:rPr>
          <w:b w:val="0"/>
          <w:sz w:val="18"/>
        </w:rPr>
        <w:t xml:space="preserve"> </w:t>
      </w:r>
    </w:p>
    <w:p w14:paraId="7991E2AB">
      <w:pPr>
        <w:pStyle w:val="96"/>
        <w:numPr>
          <w:ilvl w:val="3"/>
          <w:numId w:val="67"/>
        </w:numPr>
        <w:jc w:val="left"/>
        <w:rPr>
          <w:b w:val="0"/>
          <w:sz w:val="18"/>
        </w:rPr>
      </w:pPr>
      <w:r>
        <w:rPr>
          <w:rFonts w:hint="eastAsia"/>
          <w:b w:val="0"/>
          <w:sz w:val="18"/>
        </w:rPr>
        <w:t>后浇带混凝土应一次浇筑，不得留设施工缝；混凝土浇筑后应及时养护，养护时间不得少于</w:t>
      </w:r>
      <w:r>
        <w:rPr>
          <w:b w:val="0"/>
          <w:sz w:val="18"/>
        </w:rPr>
        <w:t xml:space="preserve"> 28d</w:t>
      </w:r>
      <w:r>
        <w:rPr>
          <w:rFonts w:hint="eastAsia"/>
          <w:b w:val="0"/>
          <w:sz w:val="18"/>
        </w:rPr>
        <w:t>。</w:t>
      </w:r>
      <w:r>
        <w:rPr>
          <w:b w:val="0"/>
          <w:sz w:val="18"/>
        </w:rPr>
        <w:t xml:space="preserve"> </w:t>
      </w:r>
    </w:p>
    <w:p w14:paraId="648F4E94">
      <w:pPr>
        <w:pStyle w:val="96"/>
        <w:numPr>
          <w:ilvl w:val="3"/>
          <w:numId w:val="67"/>
        </w:numPr>
        <w:jc w:val="left"/>
        <w:rPr>
          <w:b w:val="0"/>
          <w:sz w:val="18"/>
        </w:rPr>
      </w:pPr>
      <w:r>
        <w:rPr>
          <w:rFonts w:hint="eastAsia"/>
          <w:b w:val="0"/>
          <w:sz w:val="18"/>
        </w:rPr>
        <w:t>后浇带采用补偿收缩混凝土，可以避免出现新的收缩裂缝造成工程渗漏水的隐患，如果后浇</w:t>
      </w:r>
      <w:r>
        <w:rPr>
          <w:b w:val="0"/>
          <w:sz w:val="18"/>
        </w:rPr>
        <w:t xml:space="preserve"> </w:t>
      </w:r>
      <w:r>
        <w:rPr>
          <w:rFonts w:hint="eastAsia"/>
          <w:b w:val="0"/>
          <w:sz w:val="18"/>
        </w:rPr>
        <w:t>带施工留设施工缝，就会大大降低后浇带的抗渗性，因此强调后浇带混凝土应一次浇筑。传统施</w:t>
      </w:r>
      <w:r>
        <w:rPr>
          <w:b w:val="0"/>
          <w:sz w:val="18"/>
        </w:rPr>
        <w:t xml:space="preserve"> </w:t>
      </w:r>
      <w:r>
        <w:rPr>
          <w:rFonts w:hint="eastAsia"/>
          <w:b w:val="0"/>
          <w:sz w:val="18"/>
        </w:rPr>
        <w:t>工时，通常采用木模作为后浇带接缝模板，但模板中要穿钢筋，而支模、拆模又十分不便。目前</w:t>
      </w:r>
      <w:r>
        <w:rPr>
          <w:b w:val="0"/>
          <w:sz w:val="18"/>
        </w:rPr>
        <w:t xml:space="preserve"> </w:t>
      </w:r>
      <w:r>
        <w:rPr>
          <w:rFonts w:hint="eastAsia"/>
          <w:b w:val="0"/>
          <w:sz w:val="18"/>
        </w:rPr>
        <w:t>常用钢板网做模板，近年又被快易收口网替代。后者不仅不必拆除，而且因为网孔间充满凹凸不</w:t>
      </w:r>
      <w:r>
        <w:rPr>
          <w:b w:val="0"/>
          <w:sz w:val="18"/>
        </w:rPr>
        <w:t xml:space="preserve"> </w:t>
      </w:r>
      <w:r>
        <w:rPr>
          <w:rFonts w:hint="eastAsia"/>
          <w:b w:val="0"/>
          <w:sz w:val="18"/>
        </w:rPr>
        <w:t>平的硬化混凝土，客观上可以替代凿毛等工艺，缝间防水效果良好。除此之外，后浇带施工中应</w:t>
      </w:r>
      <w:r>
        <w:rPr>
          <w:b w:val="0"/>
          <w:sz w:val="18"/>
        </w:rPr>
        <w:t xml:space="preserve"> </w:t>
      </w:r>
      <w:r>
        <w:rPr>
          <w:rFonts w:hint="eastAsia"/>
          <w:b w:val="0"/>
          <w:sz w:val="18"/>
        </w:rPr>
        <w:t>加强后浇带部位浇筑前的防护及缝中建筑垃圾的清理，避免因浇筑不密实导致发生渗漏。</w:t>
      </w:r>
      <w:r>
        <w:rPr>
          <w:b w:val="0"/>
          <w:sz w:val="18"/>
        </w:rPr>
        <w:t xml:space="preserve"> </w:t>
      </w:r>
    </w:p>
    <w:p w14:paraId="1ACEBDDD">
      <w:pPr>
        <w:pStyle w:val="96"/>
        <w:numPr>
          <w:ilvl w:val="3"/>
          <w:numId w:val="67"/>
        </w:numPr>
        <w:jc w:val="left"/>
        <w:rPr>
          <w:b w:val="0"/>
          <w:sz w:val="18"/>
        </w:rPr>
      </w:pPr>
      <w:r>
        <w:rPr>
          <w:rFonts w:hint="eastAsia"/>
          <w:b w:val="0"/>
          <w:sz w:val="18"/>
        </w:rPr>
        <w:t>掺膨胀剂的补偿收缩混凝土，大多用于控制有害裂缝的钢筋混凝土结构工程，以往绝大多数</w:t>
      </w:r>
      <w:r>
        <w:rPr>
          <w:b w:val="0"/>
          <w:sz w:val="18"/>
        </w:rPr>
        <w:t xml:space="preserve"> </w:t>
      </w:r>
      <w:r>
        <w:rPr>
          <w:rFonts w:hint="eastAsia"/>
          <w:b w:val="0"/>
          <w:sz w:val="18"/>
        </w:rPr>
        <w:t>设计图纸只写混凝土掺人膨胀剂、强度等级和抗渗等级，而对混凝土的限制膨胀率没有提出具体</w:t>
      </w:r>
      <w:r>
        <w:rPr>
          <w:b w:val="0"/>
          <w:sz w:val="18"/>
        </w:rPr>
        <w:t xml:space="preserve"> </w:t>
      </w:r>
      <w:r>
        <w:rPr>
          <w:rFonts w:hint="eastAsia"/>
          <w:b w:val="0"/>
          <w:sz w:val="18"/>
        </w:rPr>
        <w:t>要求，造成膨胀剂少掺或误掺，起不到补偿收缩的作用，从而出现有害裂缝。施工单位或混凝土</w:t>
      </w:r>
      <w:r>
        <w:rPr>
          <w:b w:val="0"/>
          <w:sz w:val="18"/>
        </w:rPr>
        <w:t xml:space="preserve"> </w:t>
      </w:r>
      <w:r>
        <w:rPr>
          <w:rFonts w:hint="eastAsia"/>
          <w:b w:val="0"/>
          <w:sz w:val="18"/>
        </w:rPr>
        <w:t>搅拌站，应根据设计要求确定膨胀剂的最佳掺量。</w:t>
      </w:r>
    </w:p>
    <w:p w14:paraId="430FD0CF">
      <w:pPr>
        <w:pStyle w:val="96"/>
        <w:numPr>
          <w:ilvl w:val="3"/>
          <w:numId w:val="67"/>
        </w:numPr>
        <w:jc w:val="left"/>
        <w:rPr>
          <w:b w:val="0"/>
          <w:sz w:val="18"/>
        </w:rPr>
      </w:pPr>
      <w:r>
        <w:rPr>
          <w:rFonts w:hint="eastAsia"/>
          <w:b w:val="0"/>
          <w:sz w:val="18"/>
        </w:rPr>
        <w:t>在满足混凝土强度和抗渗要求的同时，</w:t>
      </w:r>
      <w:r>
        <w:rPr>
          <w:b w:val="0"/>
          <w:sz w:val="18"/>
        </w:rPr>
        <w:t xml:space="preserve"> </w:t>
      </w:r>
      <w:r>
        <w:rPr>
          <w:rFonts w:hint="eastAsia"/>
          <w:b w:val="0"/>
          <w:sz w:val="18"/>
        </w:rPr>
        <w:t>达到补偿收缩混凝土的限制膨胀率。只有这样，才能达到控制结构出现裂缝的效果。在选择膨胀</w:t>
      </w:r>
      <w:r>
        <w:rPr>
          <w:b w:val="0"/>
          <w:sz w:val="18"/>
        </w:rPr>
        <w:t xml:space="preserve"> </w:t>
      </w:r>
      <w:r>
        <w:rPr>
          <w:rFonts w:hint="eastAsia"/>
          <w:b w:val="0"/>
          <w:sz w:val="18"/>
        </w:rPr>
        <w:t>剂时，应根据规范要求选择合适膨胀率的膨胀剂，并加强搅拌、浇筑及后期养护等各阶段的管理。</w:t>
      </w:r>
      <w:r>
        <w:rPr>
          <w:b w:val="0"/>
          <w:sz w:val="18"/>
        </w:rPr>
        <w:t xml:space="preserve"> </w:t>
      </w:r>
    </w:p>
    <w:p w14:paraId="2D4530EC">
      <w:pPr>
        <w:pStyle w:val="97"/>
        <w:rPr>
          <w:b/>
        </w:rPr>
      </w:pPr>
      <w:r>
        <w:rPr>
          <w:rFonts w:hint="eastAsia"/>
          <w:b/>
        </w:rPr>
        <w:t>桩头设计注意事项：</w:t>
      </w:r>
      <w:r>
        <w:rPr>
          <w:b/>
        </w:rPr>
        <w:t xml:space="preserve"> </w:t>
      </w:r>
    </w:p>
    <w:p w14:paraId="2029EA16">
      <w:pPr>
        <w:pStyle w:val="96"/>
        <w:numPr>
          <w:ilvl w:val="0"/>
          <w:numId w:val="68"/>
        </w:numPr>
        <w:jc w:val="left"/>
        <w:rPr>
          <w:b w:val="0"/>
          <w:sz w:val="18"/>
        </w:rPr>
      </w:pPr>
      <w:r>
        <w:rPr>
          <w:rFonts w:hint="eastAsia"/>
          <w:b w:val="0"/>
          <w:sz w:val="18"/>
        </w:rPr>
        <w:t>因桩头处理不好引起工程渗漏水的情况时有发生，分析其原因，主要是在以下几个部位形成</w:t>
      </w:r>
      <w:r>
        <w:rPr>
          <w:b w:val="0"/>
          <w:sz w:val="18"/>
        </w:rPr>
        <w:t xml:space="preserve"> </w:t>
      </w:r>
      <w:r>
        <w:rPr>
          <w:rFonts w:hint="eastAsia"/>
          <w:b w:val="0"/>
          <w:sz w:val="18"/>
        </w:rPr>
        <w:t>的</w:t>
      </w:r>
      <w:r>
        <w:rPr>
          <w:b w:val="0"/>
          <w:sz w:val="18"/>
        </w:rPr>
        <w:t xml:space="preserve"> </w:t>
      </w:r>
    </w:p>
    <w:p w14:paraId="62F5B62E">
      <w:pPr>
        <w:pStyle w:val="113"/>
        <w:numPr>
          <w:ilvl w:val="4"/>
          <w:numId w:val="68"/>
        </w:numPr>
      </w:pPr>
      <w:r>
        <w:rPr>
          <w:rFonts w:hint="eastAsia"/>
        </w:rPr>
        <w:t>桩头钢筋与混凝土间。</w:t>
      </w:r>
      <w:r>
        <w:t xml:space="preserve"> </w:t>
      </w:r>
    </w:p>
    <w:p w14:paraId="4D6F856F">
      <w:pPr>
        <w:pStyle w:val="113"/>
        <w:numPr>
          <w:ilvl w:val="4"/>
          <w:numId w:val="68"/>
        </w:numPr>
      </w:pPr>
      <w:r>
        <w:rPr>
          <w:rFonts w:hint="eastAsia"/>
        </w:rPr>
        <w:t>底板与桩头间的施工缝。</w:t>
      </w:r>
      <w:r>
        <w:t xml:space="preserve"> </w:t>
      </w:r>
    </w:p>
    <w:p w14:paraId="72B268FF">
      <w:pPr>
        <w:pStyle w:val="113"/>
        <w:numPr>
          <w:ilvl w:val="4"/>
          <w:numId w:val="68"/>
        </w:numPr>
      </w:pPr>
      <w:r>
        <w:rPr>
          <w:rFonts w:hint="eastAsia"/>
        </w:rPr>
        <w:t>混凝土桩身与垫层混凝土之间的施工缝。</w:t>
      </w:r>
      <w:r>
        <w:t xml:space="preserve"> </w:t>
      </w:r>
    </w:p>
    <w:p w14:paraId="35F36DCB">
      <w:pPr>
        <w:pStyle w:val="96"/>
        <w:numPr>
          <w:ilvl w:val="0"/>
          <w:numId w:val="68"/>
        </w:numPr>
        <w:jc w:val="left"/>
        <w:rPr>
          <w:b w:val="0"/>
          <w:sz w:val="18"/>
        </w:rPr>
      </w:pPr>
      <w:r>
        <w:rPr>
          <w:rFonts w:hint="eastAsia"/>
          <w:b w:val="0"/>
          <w:sz w:val="18"/>
        </w:rPr>
        <w:t>设计要点</w:t>
      </w:r>
    </w:p>
    <w:p w14:paraId="50238C1A">
      <w:pPr>
        <w:pStyle w:val="96"/>
        <w:numPr>
          <w:ilvl w:val="0"/>
          <w:numId w:val="69"/>
        </w:numPr>
        <w:jc w:val="left"/>
        <w:rPr>
          <w:b w:val="0"/>
          <w:sz w:val="18"/>
        </w:rPr>
      </w:pPr>
      <w:r>
        <w:rPr>
          <w:rFonts w:hint="eastAsia"/>
          <w:b w:val="0"/>
          <w:sz w:val="18"/>
        </w:rPr>
        <w:t>桩头宜涂刷水泥基渗透结晶型防水涂料（桩面），钢筋根部宜嵌填遇水膨胀止水胶。</w:t>
      </w:r>
      <w:r>
        <w:rPr>
          <w:b w:val="0"/>
          <w:sz w:val="18"/>
        </w:rPr>
        <w:t xml:space="preserve"> </w:t>
      </w:r>
    </w:p>
    <w:p w14:paraId="3BA888A6">
      <w:pPr>
        <w:pStyle w:val="96"/>
        <w:numPr>
          <w:ilvl w:val="0"/>
          <w:numId w:val="69"/>
        </w:numPr>
        <w:jc w:val="left"/>
        <w:rPr>
          <w:b w:val="0"/>
          <w:sz w:val="18"/>
        </w:rPr>
      </w:pPr>
      <w:r>
        <w:rPr>
          <w:rFonts w:hint="eastAsia"/>
          <w:b w:val="0"/>
          <w:sz w:val="18"/>
        </w:rPr>
        <w:t>桩头防水材料应与垫层防水层连为一体。</w:t>
      </w:r>
      <w:r>
        <w:rPr>
          <w:b w:val="0"/>
          <w:sz w:val="18"/>
        </w:rPr>
        <w:t xml:space="preserve"> </w:t>
      </w:r>
    </w:p>
    <w:p w14:paraId="6A7868E0">
      <w:pPr>
        <w:pStyle w:val="96"/>
        <w:numPr>
          <w:ilvl w:val="0"/>
          <w:numId w:val="68"/>
        </w:numPr>
        <w:jc w:val="left"/>
        <w:rPr>
          <w:b w:val="0"/>
          <w:sz w:val="18"/>
        </w:rPr>
      </w:pPr>
      <w:r>
        <w:rPr>
          <w:rFonts w:hint="eastAsia"/>
          <w:b w:val="0"/>
          <w:sz w:val="18"/>
        </w:rPr>
        <w:t>桩头防水施工</w:t>
      </w:r>
      <w:r>
        <w:rPr>
          <w:b w:val="0"/>
          <w:sz w:val="18"/>
        </w:rPr>
        <w:t xml:space="preserve"> </w:t>
      </w:r>
    </w:p>
    <w:p w14:paraId="3E89C4BB">
      <w:pPr>
        <w:pStyle w:val="96"/>
        <w:numPr>
          <w:ilvl w:val="0"/>
          <w:numId w:val="70"/>
        </w:numPr>
        <w:jc w:val="left"/>
        <w:rPr>
          <w:b w:val="0"/>
          <w:sz w:val="18"/>
        </w:rPr>
      </w:pPr>
      <w:r>
        <w:rPr>
          <w:rFonts w:hint="eastAsia"/>
          <w:b w:val="0"/>
          <w:sz w:val="18"/>
        </w:rPr>
        <w:t>应按设计要求将桩顶剔凿至混凝土密实处，并应清洗干净。</w:t>
      </w:r>
      <w:r>
        <w:rPr>
          <w:b w:val="0"/>
          <w:sz w:val="18"/>
        </w:rPr>
        <w:t xml:space="preserve"> </w:t>
      </w:r>
    </w:p>
    <w:p w14:paraId="18467ACA">
      <w:pPr>
        <w:pStyle w:val="96"/>
        <w:numPr>
          <w:ilvl w:val="0"/>
          <w:numId w:val="70"/>
        </w:numPr>
        <w:jc w:val="left"/>
        <w:rPr>
          <w:b w:val="0"/>
          <w:sz w:val="18"/>
        </w:rPr>
      </w:pPr>
      <w:r>
        <w:rPr>
          <w:rFonts w:hint="eastAsia"/>
          <w:b w:val="0"/>
          <w:sz w:val="18"/>
        </w:rPr>
        <w:t>破桩后如发现渗漏水，应采取堵漏措施。</w:t>
      </w:r>
      <w:r>
        <w:rPr>
          <w:b w:val="0"/>
          <w:sz w:val="18"/>
        </w:rPr>
        <w:t xml:space="preserve"> </w:t>
      </w:r>
    </w:p>
    <w:p w14:paraId="1D7E9F76">
      <w:pPr>
        <w:pStyle w:val="96"/>
        <w:numPr>
          <w:ilvl w:val="0"/>
          <w:numId w:val="70"/>
        </w:numPr>
        <w:jc w:val="left"/>
        <w:rPr>
          <w:b w:val="0"/>
          <w:sz w:val="18"/>
        </w:rPr>
      </w:pPr>
      <w:r>
        <w:rPr>
          <w:rFonts w:hint="eastAsia"/>
          <w:b w:val="0"/>
          <w:sz w:val="18"/>
        </w:rPr>
        <w:t>涂刷水泥基渗透结晶型防水涂料时，应连续、均匀，不得少涂或漏涂，并应及时进行养护。</w:t>
      </w:r>
      <w:r>
        <w:rPr>
          <w:b w:val="0"/>
          <w:sz w:val="18"/>
        </w:rPr>
        <w:t xml:space="preserve"> </w:t>
      </w:r>
    </w:p>
    <w:p w14:paraId="6C57461A">
      <w:pPr>
        <w:pStyle w:val="96"/>
        <w:numPr>
          <w:ilvl w:val="0"/>
          <w:numId w:val="70"/>
        </w:numPr>
        <w:jc w:val="left"/>
        <w:rPr>
          <w:b w:val="0"/>
          <w:sz w:val="18"/>
        </w:rPr>
      </w:pPr>
      <w:r>
        <w:rPr>
          <w:rFonts w:hint="eastAsia"/>
          <w:b w:val="0"/>
          <w:sz w:val="18"/>
        </w:rPr>
        <w:t>应对遇水膨胀止水胶进行保护，防止提前遇水膨胀。</w:t>
      </w:r>
      <w:r>
        <w:rPr>
          <w:b w:val="0"/>
          <w:sz w:val="18"/>
        </w:rPr>
        <w:t xml:space="preserve"> </w:t>
      </w:r>
    </w:p>
    <w:p w14:paraId="3525B3EB">
      <w:pPr>
        <w:pStyle w:val="97"/>
      </w:pPr>
      <w:r>
        <w:rPr>
          <w:rFonts w:hint="eastAsia"/>
          <w:kern w:val="2"/>
        </w:rPr>
        <w:t>地下工程</w:t>
      </w:r>
      <w:r>
        <w:rPr>
          <w:rFonts w:hint="eastAsia"/>
        </w:rPr>
        <w:t>防水施工注意事项</w:t>
      </w:r>
      <w:r>
        <w:t xml:space="preserve"> </w:t>
      </w:r>
    </w:p>
    <w:p w14:paraId="50C5DFD5">
      <w:pPr>
        <w:pStyle w:val="96"/>
        <w:ind w:left="846" w:firstLine="360" w:firstLineChars="200"/>
        <w:jc w:val="left"/>
        <w:rPr>
          <w:b w:val="0"/>
          <w:sz w:val="18"/>
        </w:rPr>
      </w:pPr>
      <w:r>
        <w:rPr>
          <w:b w:val="0"/>
          <w:sz w:val="18"/>
        </w:rPr>
        <w:t xml:space="preserve">8.3.7.1 </w:t>
      </w:r>
      <w:r>
        <w:rPr>
          <w:rFonts w:hint="eastAsia"/>
          <w:b w:val="0"/>
          <w:sz w:val="18"/>
        </w:rPr>
        <w:t>底板施工注意事项</w:t>
      </w:r>
      <w:r>
        <w:rPr>
          <w:b w:val="0"/>
          <w:sz w:val="18"/>
        </w:rPr>
        <w:t xml:space="preserve"> </w:t>
      </w:r>
    </w:p>
    <w:p w14:paraId="5BE3573E">
      <w:pPr>
        <w:pStyle w:val="96"/>
        <w:numPr>
          <w:ilvl w:val="0"/>
          <w:numId w:val="71"/>
        </w:numPr>
        <w:jc w:val="left"/>
        <w:rPr>
          <w:b w:val="0"/>
          <w:sz w:val="18"/>
        </w:rPr>
      </w:pPr>
      <w:r>
        <w:rPr>
          <w:rFonts w:hint="eastAsia"/>
          <w:b w:val="0"/>
          <w:sz w:val="18"/>
        </w:rPr>
        <w:t>防水层施工的基层表面应基本干燥、坚实，无明水，不应有气孔、凹凸不平。基层阴阳角应做成圆弧形，</w:t>
      </w:r>
      <w:r>
        <w:rPr>
          <w:b w:val="0"/>
          <w:sz w:val="18"/>
        </w:rPr>
        <w:t xml:space="preserve"> </w:t>
      </w:r>
      <w:r>
        <w:rPr>
          <w:rFonts w:hint="eastAsia"/>
          <w:b w:val="0"/>
          <w:sz w:val="18"/>
        </w:rPr>
        <w:t>阴角圆弧半径≥</w:t>
      </w:r>
      <w:r>
        <w:rPr>
          <w:b w:val="0"/>
          <w:sz w:val="18"/>
        </w:rPr>
        <w:t>50mm</w:t>
      </w:r>
      <w:r>
        <w:rPr>
          <w:rFonts w:hint="eastAsia"/>
          <w:b w:val="0"/>
          <w:sz w:val="18"/>
        </w:rPr>
        <w:t>，阳角圆弧半径≥</w:t>
      </w:r>
      <w:r>
        <w:rPr>
          <w:b w:val="0"/>
          <w:sz w:val="18"/>
        </w:rPr>
        <w:t>10mm</w:t>
      </w:r>
      <w:r>
        <w:rPr>
          <w:rFonts w:hint="eastAsia"/>
          <w:b w:val="0"/>
          <w:sz w:val="18"/>
        </w:rPr>
        <w:t>。</w:t>
      </w:r>
      <w:r>
        <w:rPr>
          <w:b w:val="0"/>
          <w:sz w:val="18"/>
        </w:rPr>
        <w:t xml:space="preserve"> </w:t>
      </w:r>
    </w:p>
    <w:p w14:paraId="640F2CE1">
      <w:pPr>
        <w:pStyle w:val="96"/>
        <w:numPr>
          <w:ilvl w:val="0"/>
          <w:numId w:val="71"/>
        </w:numPr>
        <w:jc w:val="left"/>
        <w:rPr>
          <w:b w:val="0"/>
          <w:sz w:val="18"/>
        </w:rPr>
      </w:pPr>
      <w:r>
        <w:rPr>
          <w:rFonts w:hint="eastAsia"/>
          <w:b w:val="0"/>
          <w:sz w:val="18"/>
        </w:rPr>
        <w:t>防水卷材采用空铺法施工，大面卷材铺贴前，应防水附加层处理，附加层宽度≥</w:t>
      </w:r>
      <w:r>
        <w:rPr>
          <w:b w:val="0"/>
          <w:sz w:val="18"/>
        </w:rPr>
        <w:t>500mm</w:t>
      </w:r>
      <w:r>
        <w:rPr>
          <w:rFonts w:hint="eastAsia"/>
          <w:b w:val="0"/>
          <w:sz w:val="18"/>
        </w:rPr>
        <w:t>。</w:t>
      </w:r>
      <w:r>
        <w:rPr>
          <w:b w:val="0"/>
          <w:sz w:val="18"/>
        </w:rPr>
        <w:t xml:space="preserve"> </w:t>
      </w:r>
    </w:p>
    <w:p w14:paraId="4384A009">
      <w:pPr>
        <w:pStyle w:val="96"/>
        <w:numPr>
          <w:ilvl w:val="0"/>
          <w:numId w:val="71"/>
        </w:numPr>
        <w:jc w:val="left"/>
        <w:rPr>
          <w:b w:val="0"/>
          <w:sz w:val="18"/>
        </w:rPr>
      </w:pPr>
      <w:r>
        <w:rPr>
          <w:rFonts w:hint="eastAsia"/>
          <w:b w:val="0"/>
          <w:sz w:val="18"/>
        </w:rPr>
        <w:t>铺贴完成的卷材应平整顺直，搭接尺寸（搭接</w:t>
      </w:r>
      <w:r>
        <w:rPr>
          <w:b w:val="0"/>
          <w:sz w:val="18"/>
        </w:rPr>
        <w:t>100mm</w:t>
      </w:r>
      <w:r>
        <w:rPr>
          <w:rFonts w:hint="eastAsia"/>
          <w:b w:val="0"/>
          <w:sz w:val="18"/>
        </w:rPr>
        <w:t>，偏差</w:t>
      </w:r>
      <w:r>
        <w:rPr>
          <w:b w:val="0"/>
          <w:sz w:val="18"/>
        </w:rPr>
        <w:t>-10mm</w:t>
      </w:r>
      <w:r>
        <w:rPr>
          <w:rFonts w:hint="eastAsia"/>
          <w:b w:val="0"/>
          <w:sz w:val="18"/>
        </w:rPr>
        <w:t>以内）应准确，不得产生扭</w:t>
      </w:r>
      <w:r>
        <w:rPr>
          <w:b w:val="0"/>
          <w:sz w:val="18"/>
        </w:rPr>
        <w:t xml:space="preserve"> </w:t>
      </w:r>
      <w:r>
        <w:rPr>
          <w:rFonts w:hint="eastAsia"/>
          <w:b w:val="0"/>
          <w:sz w:val="18"/>
        </w:rPr>
        <w:t>曲和皱折。</w:t>
      </w:r>
      <w:r>
        <w:rPr>
          <w:b w:val="0"/>
          <w:sz w:val="18"/>
        </w:rPr>
        <w:t xml:space="preserve"> </w:t>
      </w:r>
    </w:p>
    <w:p w14:paraId="06BB3C5E">
      <w:pPr>
        <w:pStyle w:val="96"/>
        <w:ind w:left="846" w:firstLine="360" w:firstLineChars="200"/>
        <w:jc w:val="left"/>
        <w:rPr>
          <w:b w:val="0"/>
          <w:sz w:val="18"/>
        </w:rPr>
      </w:pPr>
      <w:r>
        <w:rPr>
          <w:b w:val="0"/>
          <w:sz w:val="18"/>
        </w:rPr>
        <w:t xml:space="preserve">8.3.7.2 </w:t>
      </w:r>
      <w:r>
        <w:rPr>
          <w:rFonts w:hint="eastAsia"/>
          <w:b w:val="0"/>
          <w:sz w:val="18"/>
        </w:rPr>
        <w:t>侧墙施工注意事项</w:t>
      </w:r>
      <w:r>
        <w:rPr>
          <w:b w:val="0"/>
          <w:sz w:val="18"/>
        </w:rPr>
        <w:t xml:space="preserve"> </w:t>
      </w:r>
    </w:p>
    <w:p w14:paraId="3A7DD27D">
      <w:pPr>
        <w:pStyle w:val="96"/>
        <w:numPr>
          <w:ilvl w:val="0"/>
          <w:numId w:val="72"/>
        </w:numPr>
        <w:jc w:val="left"/>
        <w:rPr>
          <w:b w:val="0"/>
          <w:sz w:val="18"/>
        </w:rPr>
      </w:pPr>
      <w:r>
        <w:rPr>
          <w:rFonts w:hint="eastAsia"/>
          <w:b w:val="0"/>
          <w:sz w:val="18"/>
        </w:rPr>
        <w:t>防水层施工的基层表面应干燥、坚实，不应有气孔、凹凸不平。基层阴阳角应做成圆弧形，</w:t>
      </w:r>
      <w:r>
        <w:rPr>
          <w:b w:val="0"/>
          <w:sz w:val="18"/>
        </w:rPr>
        <w:t xml:space="preserve"> </w:t>
      </w:r>
      <w:r>
        <w:rPr>
          <w:rFonts w:hint="eastAsia"/>
          <w:b w:val="0"/>
          <w:sz w:val="18"/>
        </w:rPr>
        <w:t>阴角圆弧半径≥</w:t>
      </w:r>
      <w:r>
        <w:rPr>
          <w:b w:val="0"/>
          <w:sz w:val="18"/>
        </w:rPr>
        <w:t>50mm</w:t>
      </w:r>
      <w:r>
        <w:rPr>
          <w:rFonts w:hint="eastAsia"/>
          <w:b w:val="0"/>
          <w:sz w:val="18"/>
        </w:rPr>
        <w:t>，阳角圆弧半径≥</w:t>
      </w:r>
      <w:r>
        <w:rPr>
          <w:b w:val="0"/>
          <w:sz w:val="18"/>
        </w:rPr>
        <w:t>10mm</w:t>
      </w:r>
      <w:r>
        <w:rPr>
          <w:rFonts w:hint="eastAsia"/>
          <w:b w:val="0"/>
          <w:sz w:val="18"/>
        </w:rPr>
        <w:t>。</w:t>
      </w:r>
      <w:r>
        <w:rPr>
          <w:b w:val="0"/>
          <w:sz w:val="18"/>
        </w:rPr>
        <w:t xml:space="preserve"> </w:t>
      </w:r>
    </w:p>
    <w:p w14:paraId="49E545DD">
      <w:pPr>
        <w:pStyle w:val="96"/>
        <w:numPr>
          <w:ilvl w:val="0"/>
          <w:numId w:val="72"/>
        </w:numPr>
        <w:jc w:val="left"/>
        <w:rPr>
          <w:b w:val="0"/>
          <w:sz w:val="18"/>
        </w:rPr>
      </w:pPr>
      <w:r>
        <w:rPr>
          <w:rFonts w:hint="eastAsia"/>
          <w:b w:val="0"/>
          <w:sz w:val="18"/>
        </w:rPr>
        <w:t>每个工作面施工必须是一道工序施工完毕，验收后进入下道工序，不能交叉作业</w:t>
      </w:r>
      <w:r>
        <w:rPr>
          <w:b w:val="0"/>
          <w:sz w:val="18"/>
        </w:rPr>
        <w:t xml:space="preserve"> </w:t>
      </w:r>
    </w:p>
    <w:p w14:paraId="623FCD09">
      <w:pPr>
        <w:pStyle w:val="96"/>
        <w:numPr>
          <w:ilvl w:val="0"/>
          <w:numId w:val="72"/>
        </w:numPr>
        <w:jc w:val="left"/>
        <w:rPr>
          <w:b w:val="0"/>
          <w:sz w:val="18"/>
        </w:rPr>
      </w:pPr>
      <w:r>
        <w:rPr>
          <w:rFonts w:hint="eastAsia"/>
          <w:b w:val="0"/>
          <w:sz w:val="18"/>
        </w:rPr>
        <w:t>涂膜搭接必须按要求搭接，即同层涂膜先后搭接宽度为</w:t>
      </w:r>
      <w:r>
        <w:rPr>
          <w:b w:val="0"/>
          <w:sz w:val="18"/>
        </w:rPr>
        <w:t>50</w:t>
      </w:r>
      <w:r>
        <w:rPr>
          <w:rFonts w:hint="eastAsia"/>
          <w:b w:val="0"/>
          <w:sz w:val="18"/>
        </w:rPr>
        <w:t>㎜，施工缝搭接宽度大于</w:t>
      </w:r>
      <w:r>
        <w:rPr>
          <w:b w:val="0"/>
          <w:sz w:val="18"/>
        </w:rPr>
        <w:t>100</w:t>
      </w:r>
      <w:r>
        <w:rPr>
          <w:rFonts w:hint="eastAsia"/>
          <w:b w:val="0"/>
          <w:sz w:val="18"/>
        </w:rPr>
        <w:t>㎜，</w:t>
      </w:r>
    </w:p>
    <w:p w14:paraId="3C25932C">
      <w:pPr>
        <w:pStyle w:val="96"/>
        <w:numPr>
          <w:ilvl w:val="0"/>
          <w:numId w:val="72"/>
        </w:numPr>
        <w:jc w:val="left"/>
        <w:rPr>
          <w:b w:val="0"/>
          <w:sz w:val="18"/>
        </w:rPr>
      </w:pPr>
      <w:r>
        <w:rPr>
          <w:rFonts w:hint="eastAsia"/>
          <w:b w:val="0"/>
          <w:sz w:val="18"/>
        </w:rPr>
        <w:t>上下层操作工人必须注意相互配合。</w:t>
      </w:r>
    </w:p>
    <w:p w14:paraId="0EA05F1A">
      <w:pPr>
        <w:pStyle w:val="96"/>
        <w:numPr>
          <w:ilvl w:val="0"/>
          <w:numId w:val="72"/>
        </w:numPr>
        <w:jc w:val="left"/>
        <w:rPr>
          <w:b w:val="0"/>
          <w:sz w:val="18"/>
        </w:rPr>
      </w:pPr>
      <w:r>
        <w:rPr>
          <w:rFonts w:hint="eastAsia"/>
          <w:b w:val="0"/>
          <w:sz w:val="18"/>
        </w:rPr>
        <w:t>涂膜应完全干燥</w:t>
      </w:r>
      <w:r>
        <w:rPr>
          <w:b w:val="0"/>
          <w:sz w:val="18"/>
        </w:rPr>
        <w:t>2</w:t>
      </w:r>
      <w:r>
        <w:rPr>
          <w:rFonts w:hint="eastAsia"/>
          <w:b w:val="0"/>
          <w:sz w:val="18"/>
        </w:rPr>
        <w:t>天后方可进行保护层的施工。</w:t>
      </w:r>
    </w:p>
    <w:p w14:paraId="35233DFD">
      <w:pPr>
        <w:pStyle w:val="96"/>
        <w:numPr>
          <w:ilvl w:val="0"/>
          <w:numId w:val="72"/>
        </w:numPr>
        <w:jc w:val="left"/>
        <w:rPr>
          <w:b w:val="0"/>
          <w:sz w:val="18"/>
        </w:rPr>
      </w:pPr>
      <w:r>
        <w:rPr>
          <w:rFonts w:hint="eastAsia"/>
          <w:b w:val="0"/>
          <w:sz w:val="18"/>
        </w:rPr>
        <w:t>雨、雪天及五级以上大风天不得施工。</w:t>
      </w:r>
      <w:r>
        <w:rPr>
          <w:b w:val="0"/>
          <w:sz w:val="18"/>
        </w:rPr>
        <w:t xml:space="preserve"> </w:t>
      </w:r>
    </w:p>
    <w:p w14:paraId="42E86E64">
      <w:pPr>
        <w:pStyle w:val="96"/>
        <w:numPr>
          <w:ilvl w:val="0"/>
          <w:numId w:val="72"/>
        </w:numPr>
        <w:jc w:val="left"/>
        <w:rPr>
          <w:b w:val="0"/>
          <w:sz w:val="18"/>
        </w:rPr>
      </w:pPr>
      <w:r>
        <w:rPr>
          <w:rFonts w:hint="eastAsia"/>
          <w:b w:val="0"/>
          <w:sz w:val="18"/>
        </w:rPr>
        <w:t>施工现场安全防护设施齐全，并按规定放置消防器材。</w:t>
      </w:r>
      <w:r>
        <w:rPr>
          <w:b w:val="0"/>
          <w:sz w:val="18"/>
        </w:rPr>
        <w:t xml:space="preserve"> </w:t>
      </w:r>
    </w:p>
    <w:p w14:paraId="18A6F2D9">
      <w:pPr>
        <w:pStyle w:val="96"/>
        <w:ind w:left="846" w:firstLine="360" w:firstLineChars="200"/>
        <w:jc w:val="left"/>
        <w:rPr>
          <w:b w:val="0"/>
          <w:sz w:val="18"/>
        </w:rPr>
      </w:pPr>
      <w:r>
        <w:rPr>
          <w:b w:val="0"/>
          <w:sz w:val="18"/>
        </w:rPr>
        <w:t xml:space="preserve">8.3.7.3 </w:t>
      </w:r>
      <w:r>
        <w:rPr>
          <w:rFonts w:hint="eastAsia"/>
          <w:b w:val="0"/>
          <w:sz w:val="18"/>
        </w:rPr>
        <w:t>顶板施工注意事项</w:t>
      </w:r>
    </w:p>
    <w:p w14:paraId="713E5CCA">
      <w:pPr>
        <w:pStyle w:val="96"/>
        <w:numPr>
          <w:ilvl w:val="0"/>
          <w:numId w:val="73"/>
        </w:numPr>
        <w:jc w:val="left"/>
        <w:rPr>
          <w:b w:val="0"/>
          <w:sz w:val="18"/>
        </w:rPr>
      </w:pPr>
      <w:r>
        <w:rPr>
          <w:rFonts w:hint="eastAsia"/>
          <w:b w:val="0"/>
          <w:sz w:val="18"/>
        </w:rPr>
        <w:t>防水层施工的基层表面应干燥、坚实，不应有气孔、凹凸不平。基层阴阳角应做成圆弧形，</w:t>
      </w:r>
      <w:r>
        <w:rPr>
          <w:b w:val="0"/>
          <w:sz w:val="18"/>
        </w:rPr>
        <w:t xml:space="preserve"> </w:t>
      </w:r>
      <w:r>
        <w:rPr>
          <w:rFonts w:hint="eastAsia"/>
          <w:b w:val="0"/>
          <w:sz w:val="18"/>
        </w:rPr>
        <w:t>阴角圆弧半径≥</w:t>
      </w:r>
      <w:r>
        <w:rPr>
          <w:b w:val="0"/>
          <w:sz w:val="18"/>
        </w:rPr>
        <w:t>50mm</w:t>
      </w:r>
      <w:r>
        <w:rPr>
          <w:rFonts w:hint="eastAsia"/>
          <w:b w:val="0"/>
          <w:sz w:val="18"/>
        </w:rPr>
        <w:t>，阳角圆弧半径≥</w:t>
      </w:r>
      <w:r>
        <w:rPr>
          <w:b w:val="0"/>
          <w:sz w:val="18"/>
        </w:rPr>
        <w:t>10mm</w:t>
      </w:r>
      <w:r>
        <w:rPr>
          <w:rFonts w:hint="eastAsia"/>
          <w:b w:val="0"/>
          <w:sz w:val="18"/>
        </w:rPr>
        <w:t>。</w:t>
      </w:r>
      <w:r>
        <w:rPr>
          <w:b w:val="0"/>
          <w:sz w:val="18"/>
        </w:rPr>
        <w:t xml:space="preserve"> </w:t>
      </w:r>
    </w:p>
    <w:p w14:paraId="66DF1F73">
      <w:pPr>
        <w:pStyle w:val="96"/>
        <w:numPr>
          <w:ilvl w:val="0"/>
          <w:numId w:val="73"/>
        </w:numPr>
        <w:jc w:val="left"/>
        <w:rPr>
          <w:b w:val="0"/>
          <w:sz w:val="18"/>
        </w:rPr>
      </w:pPr>
      <w:r>
        <w:rPr>
          <w:rFonts w:hint="eastAsia"/>
          <w:b w:val="0"/>
          <w:sz w:val="18"/>
        </w:rPr>
        <w:t>非固化改性沥青防水涂料施工前，需弹线试铺防水卷材，涂刷基层处理剂，当采用机械喷涂施工时，</w:t>
      </w:r>
      <w:r>
        <w:rPr>
          <w:b w:val="0"/>
          <w:sz w:val="18"/>
        </w:rPr>
        <w:t xml:space="preserve"> </w:t>
      </w:r>
      <w:r>
        <w:rPr>
          <w:rFonts w:hint="eastAsia"/>
          <w:b w:val="0"/>
          <w:sz w:val="18"/>
        </w:rPr>
        <w:t>应选用专业喷涂枪手喷涂施工，喷涂前须进行喷涂机压力调整，进行材料的试喷。喷涂时保持固</w:t>
      </w:r>
      <w:r>
        <w:rPr>
          <w:b w:val="0"/>
          <w:sz w:val="18"/>
        </w:rPr>
        <w:t xml:space="preserve"> </w:t>
      </w:r>
      <w:r>
        <w:rPr>
          <w:rFonts w:hint="eastAsia"/>
          <w:b w:val="0"/>
          <w:sz w:val="18"/>
        </w:rPr>
        <w:t>定速度喷涂，且垂直于基面，与基面间隔</w:t>
      </w:r>
      <w:r>
        <w:rPr>
          <w:b w:val="0"/>
          <w:sz w:val="18"/>
        </w:rPr>
        <w:t>500</w:t>
      </w:r>
      <w:r>
        <w:rPr>
          <w:rFonts w:hint="eastAsia"/>
          <w:b w:val="0"/>
          <w:sz w:val="18"/>
        </w:rPr>
        <w:t>～</w:t>
      </w:r>
      <w:r>
        <w:rPr>
          <w:b w:val="0"/>
          <w:sz w:val="18"/>
        </w:rPr>
        <w:t>600mm</w:t>
      </w:r>
      <w:r>
        <w:rPr>
          <w:rFonts w:hint="eastAsia"/>
          <w:b w:val="0"/>
          <w:sz w:val="18"/>
        </w:rPr>
        <w:t>。沥青防水涂料采用刮板分层刮涂，不得</w:t>
      </w:r>
      <w:r>
        <w:rPr>
          <w:b w:val="0"/>
          <w:sz w:val="18"/>
        </w:rPr>
        <w:t xml:space="preserve"> </w:t>
      </w:r>
      <w:r>
        <w:rPr>
          <w:rFonts w:hint="eastAsia"/>
          <w:b w:val="0"/>
          <w:sz w:val="18"/>
        </w:rPr>
        <w:t>漏刮漏涂，接槎宽度不应小于</w:t>
      </w:r>
      <w:r>
        <w:rPr>
          <w:b w:val="0"/>
          <w:sz w:val="18"/>
        </w:rPr>
        <w:t>100mm</w:t>
      </w:r>
      <w:r>
        <w:rPr>
          <w:rFonts w:hint="eastAsia"/>
          <w:b w:val="0"/>
          <w:sz w:val="18"/>
        </w:rPr>
        <w:t>。涂膜收头应高出室外地坪交付完成面以上</w:t>
      </w:r>
      <w:r>
        <w:rPr>
          <w:b w:val="0"/>
          <w:sz w:val="18"/>
        </w:rPr>
        <w:t>500mm</w:t>
      </w:r>
      <w:r>
        <w:rPr>
          <w:rFonts w:hint="eastAsia"/>
          <w:b w:val="0"/>
          <w:sz w:val="18"/>
        </w:rPr>
        <w:t>。</w:t>
      </w:r>
      <w:r>
        <w:rPr>
          <w:b w:val="0"/>
          <w:sz w:val="18"/>
        </w:rPr>
        <w:t xml:space="preserve"> </w:t>
      </w:r>
    </w:p>
    <w:p w14:paraId="3DEE00B0">
      <w:pPr>
        <w:pStyle w:val="96"/>
        <w:numPr>
          <w:ilvl w:val="0"/>
          <w:numId w:val="73"/>
        </w:numPr>
        <w:jc w:val="left"/>
        <w:rPr>
          <w:b w:val="0"/>
          <w:sz w:val="18"/>
        </w:rPr>
      </w:pPr>
      <w:r>
        <w:rPr>
          <w:rFonts w:hint="eastAsia"/>
          <w:b w:val="0"/>
          <w:sz w:val="18"/>
        </w:rPr>
        <w:t>防水卷材采用满粘法施工，管根阴角等细部节点铺设卷材加强层，加强层宽度</w:t>
      </w:r>
      <w:r>
        <w:rPr>
          <w:b w:val="0"/>
          <w:sz w:val="18"/>
        </w:rPr>
        <w:t>≥500mm</w:t>
      </w:r>
      <w:r>
        <w:rPr>
          <w:rFonts w:hint="eastAsia"/>
          <w:b w:val="0"/>
          <w:sz w:val="18"/>
        </w:rPr>
        <w:t>。铺</w:t>
      </w:r>
      <w:r>
        <w:rPr>
          <w:b w:val="0"/>
          <w:sz w:val="18"/>
        </w:rPr>
        <w:t xml:space="preserve"> </w:t>
      </w:r>
      <w:r>
        <w:rPr>
          <w:rFonts w:hint="eastAsia"/>
          <w:b w:val="0"/>
          <w:sz w:val="18"/>
        </w:rPr>
        <w:t>贴完成的卷材应平整顺直，搭接尺寸（搭接</w:t>
      </w:r>
      <w:r>
        <w:rPr>
          <w:b w:val="0"/>
          <w:sz w:val="18"/>
        </w:rPr>
        <w:t>100mm</w:t>
      </w:r>
      <w:r>
        <w:rPr>
          <w:rFonts w:hint="eastAsia"/>
          <w:b w:val="0"/>
          <w:sz w:val="18"/>
        </w:rPr>
        <w:t>，偏差</w:t>
      </w:r>
      <w:r>
        <w:rPr>
          <w:b w:val="0"/>
          <w:sz w:val="18"/>
        </w:rPr>
        <w:t>-10mm</w:t>
      </w:r>
      <w:r>
        <w:rPr>
          <w:rFonts w:hint="eastAsia"/>
          <w:b w:val="0"/>
          <w:sz w:val="18"/>
        </w:rPr>
        <w:t>以内）应准确，不得产生扭曲和</w:t>
      </w:r>
      <w:r>
        <w:rPr>
          <w:b w:val="0"/>
          <w:sz w:val="18"/>
        </w:rPr>
        <w:t xml:space="preserve"> </w:t>
      </w:r>
      <w:r>
        <w:rPr>
          <w:rFonts w:hint="eastAsia"/>
          <w:b w:val="0"/>
          <w:sz w:val="18"/>
        </w:rPr>
        <w:t>皱折。粘结热熔施工时，应先平面后立面铺贴，且不得加热不足或烧穿卷材，粘浦卷材应从中间</w:t>
      </w:r>
      <w:r>
        <w:rPr>
          <w:b w:val="0"/>
          <w:sz w:val="18"/>
        </w:rPr>
        <w:t xml:space="preserve"> </w:t>
      </w:r>
      <w:r>
        <w:rPr>
          <w:rFonts w:hint="eastAsia"/>
          <w:b w:val="0"/>
          <w:sz w:val="18"/>
        </w:rPr>
        <w:t>往两边排气压铺。卷材搭接边粘结热熔施工时，不得加热不足或烧穿卷材，搭接边部位应手轧辊</w:t>
      </w:r>
      <w:r>
        <w:rPr>
          <w:b w:val="0"/>
          <w:sz w:val="18"/>
        </w:rPr>
        <w:t xml:space="preserve"> </w:t>
      </w:r>
      <w:r>
        <w:rPr>
          <w:rFonts w:hint="eastAsia"/>
          <w:b w:val="0"/>
          <w:sz w:val="18"/>
        </w:rPr>
        <w:t>辊压，搭接缝应挤出热熔的改性沥青条，不得用喷枪或刮刀进行封口处理。</w:t>
      </w:r>
      <w:r>
        <w:rPr>
          <w:b w:val="0"/>
          <w:sz w:val="18"/>
        </w:rPr>
        <w:t xml:space="preserve"> </w:t>
      </w:r>
    </w:p>
    <w:p w14:paraId="0F522385">
      <w:pPr>
        <w:pStyle w:val="96"/>
        <w:numPr>
          <w:ilvl w:val="0"/>
          <w:numId w:val="73"/>
        </w:numPr>
        <w:jc w:val="left"/>
        <w:rPr>
          <w:b w:val="0"/>
          <w:sz w:val="18"/>
        </w:rPr>
      </w:pPr>
      <w:r>
        <w:rPr>
          <w:rFonts w:hint="eastAsia"/>
          <w:b w:val="0"/>
          <w:sz w:val="18"/>
        </w:rPr>
        <w:t>防水卷材收头应高出室外地坪交付完成面以上</w:t>
      </w:r>
      <w:r>
        <w:rPr>
          <w:b w:val="0"/>
          <w:sz w:val="18"/>
        </w:rPr>
        <w:t>500mm</w:t>
      </w:r>
      <w:r>
        <w:rPr>
          <w:rFonts w:hint="eastAsia"/>
          <w:b w:val="0"/>
          <w:sz w:val="18"/>
        </w:rPr>
        <w:t>，挤出沥青条或用沥青类密封材料密</w:t>
      </w:r>
      <w:r>
        <w:rPr>
          <w:b w:val="0"/>
          <w:sz w:val="18"/>
        </w:rPr>
        <w:t xml:space="preserve"> </w:t>
      </w:r>
      <w:r>
        <w:rPr>
          <w:rFonts w:hint="eastAsia"/>
          <w:b w:val="0"/>
          <w:sz w:val="18"/>
        </w:rPr>
        <w:t>封，并用</w:t>
      </w:r>
      <w:r>
        <w:rPr>
          <w:b w:val="0"/>
          <w:sz w:val="18"/>
        </w:rPr>
        <w:t>1*20*20</w:t>
      </w:r>
      <w:r>
        <w:rPr>
          <w:rFonts w:hint="eastAsia"/>
          <w:b w:val="0"/>
          <w:sz w:val="18"/>
        </w:rPr>
        <w:t>铝合金垫片</w:t>
      </w:r>
      <w:r>
        <w:rPr>
          <w:b w:val="0"/>
          <w:sz w:val="18"/>
        </w:rPr>
        <w:t>@500</w:t>
      </w:r>
      <w:r>
        <w:rPr>
          <w:rFonts w:hint="eastAsia"/>
          <w:b w:val="0"/>
          <w:sz w:val="18"/>
        </w:rPr>
        <w:t>加水泥钉或射钉固定。</w:t>
      </w:r>
      <w:r>
        <w:rPr>
          <w:b w:val="0"/>
          <w:sz w:val="18"/>
        </w:rPr>
        <w:t xml:space="preserve"> </w:t>
      </w:r>
    </w:p>
    <w:p w14:paraId="12372430">
      <w:pPr>
        <w:pStyle w:val="96"/>
        <w:numPr>
          <w:ilvl w:val="0"/>
          <w:numId w:val="73"/>
        </w:numPr>
        <w:jc w:val="left"/>
        <w:rPr>
          <w:b w:val="0"/>
          <w:sz w:val="18"/>
        </w:rPr>
      </w:pPr>
      <w:r>
        <w:rPr>
          <w:rFonts w:hint="eastAsia"/>
          <w:b w:val="0"/>
          <w:sz w:val="18"/>
        </w:rPr>
        <w:t>防水层施工后</w:t>
      </w:r>
      <w:r>
        <w:rPr>
          <w:b w:val="0"/>
          <w:sz w:val="18"/>
        </w:rPr>
        <w:t>1~2</w:t>
      </w:r>
      <w:r>
        <w:rPr>
          <w:rFonts w:hint="eastAsia"/>
          <w:b w:val="0"/>
          <w:sz w:val="18"/>
        </w:rPr>
        <w:t>天，进行隐蔽工程验收，验收合格的，及时进行保护层施工。</w:t>
      </w:r>
      <w:r>
        <w:rPr>
          <w:b w:val="0"/>
          <w:sz w:val="18"/>
        </w:rPr>
        <w:t xml:space="preserve"> </w:t>
      </w:r>
    </w:p>
    <w:p w14:paraId="444EEE49">
      <w:pPr>
        <w:pStyle w:val="96"/>
        <w:numPr>
          <w:ilvl w:val="0"/>
          <w:numId w:val="73"/>
        </w:numPr>
        <w:jc w:val="left"/>
        <w:rPr>
          <w:b w:val="0"/>
          <w:sz w:val="18"/>
        </w:rPr>
      </w:pPr>
      <w:r>
        <w:rPr>
          <w:rFonts w:hint="eastAsia"/>
          <w:b w:val="0"/>
          <w:sz w:val="18"/>
        </w:rPr>
        <w:t>雨、雪天、大雾及五级以上大风天不得施工。</w:t>
      </w:r>
      <w:r>
        <w:rPr>
          <w:b w:val="0"/>
          <w:sz w:val="18"/>
        </w:rPr>
        <w:t xml:space="preserve"> </w:t>
      </w:r>
    </w:p>
    <w:p w14:paraId="15C5D75D">
      <w:pPr>
        <w:pStyle w:val="96"/>
        <w:numPr>
          <w:ilvl w:val="0"/>
          <w:numId w:val="73"/>
        </w:numPr>
        <w:jc w:val="left"/>
        <w:rPr>
          <w:b w:val="0"/>
          <w:sz w:val="18"/>
        </w:rPr>
      </w:pPr>
      <w:r>
        <w:rPr>
          <w:rFonts w:hint="eastAsia"/>
          <w:b w:val="0"/>
          <w:sz w:val="18"/>
        </w:rPr>
        <w:t>施工现场安全防护设施齐全，并按规定放置消防器材。</w:t>
      </w:r>
      <w:r>
        <w:rPr>
          <w:b w:val="0"/>
          <w:sz w:val="18"/>
        </w:rPr>
        <w:t xml:space="preserve"> </w:t>
      </w:r>
    </w:p>
    <w:p w14:paraId="564018DB">
      <w:pPr>
        <w:pStyle w:val="97"/>
      </w:pPr>
      <w:r>
        <w:rPr>
          <w:rFonts w:hint="eastAsia"/>
          <w:kern w:val="2"/>
        </w:rPr>
        <w:t>地下室</w:t>
      </w:r>
      <w:r>
        <w:rPr>
          <w:rFonts w:hint="eastAsia"/>
        </w:rPr>
        <w:t>常见渗漏治理措施</w:t>
      </w:r>
    </w:p>
    <w:p w14:paraId="390F9B2A">
      <w:pPr>
        <w:pStyle w:val="96"/>
        <w:ind w:left="846" w:firstLine="360" w:firstLineChars="200"/>
        <w:jc w:val="left"/>
        <w:rPr>
          <w:b w:val="0"/>
          <w:sz w:val="18"/>
        </w:rPr>
      </w:pPr>
      <w:r>
        <w:rPr>
          <w:b w:val="0"/>
          <w:sz w:val="18"/>
        </w:rPr>
        <w:t xml:space="preserve">8.3.8.1 </w:t>
      </w:r>
      <w:r>
        <w:rPr>
          <w:rFonts w:hint="eastAsia"/>
          <w:b w:val="0"/>
          <w:sz w:val="18"/>
        </w:rPr>
        <w:t>地下室变形缝渗漏治理措施</w:t>
      </w:r>
      <w:r>
        <w:rPr>
          <w:b w:val="0"/>
          <w:sz w:val="18"/>
        </w:rPr>
        <w:t xml:space="preserve"> </w:t>
      </w:r>
    </w:p>
    <w:p w14:paraId="7E88725B">
      <w:pPr>
        <w:pStyle w:val="96"/>
        <w:ind w:left="846" w:firstLine="360" w:firstLineChars="200"/>
        <w:jc w:val="left"/>
        <w:rPr>
          <w:b w:val="0"/>
          <w:sz w:val="18"/>
        </w:rPr>
      </w:pPr>
      <w:r>
        <w:rPr>
          <w:rFonts w:hint="eastAsia"/>
          <w:b w:val="0"/>
          <w:sz w:val="18"/>
        </w:rPr>
        <w:t>原因分析：</w:t>
      </w:r>
      <w:r>
        <w:rPr>
          <w:b w:val="0"/>
          <w:sz w:val="18"/>
        </w:rPr>
        <w:t xml:space="preserve"> </w:t>
      </w:r>
    </w:p>
    <w:p w14:paraId="1DB01FCA">
      <w:pPr>
        <w:pStyle w:val="96"/>
        <w:ind w:left="846" w:firstLine="360" w:firstLineChars="200"/>
        <w:jc w:val="left"/>
        <w:rPr>
          <w:b w:val="0"/>
          <w:sz w:val="18"/>
        </w:rPr>
      </w:pPr>
      <w:r>
        <w:rPr>
          <w:rFonts w:hint="eastAsia"/>
          <w:b w:val="0"/>
          <w:sz w:val="18"/>
        </w:rPr>
        <w:t>（</w:t>
      </w:r>
      <w:r>
        <w:rPr>
          <w:b w:val="0"/>
          <w:sz w:val="18"/>
        </w:rPr>
        <w:t>1</w:t>
      </w:r>
      <w:r>
        <w:rPr>
          <w:rFonts w:hint="eastAsia"/>
          <w:b w:val="0"/>
          <w:sz w:val="18"/>
        </w:rPr>
        <w:t>）沉降缝内的中埋式橡胶止水带因沉降差过大被拉裂：</w:t>
      </w:r>
      <w:r>
        <w:rPr>
          <w:b w:val="0"/>
          <w:sz w:val="18"/>
        </w:rPr>
        <w:t xml:space="preserve"> </w:t>
      </w:r>
    </w:p>
    <w:p w14:paraId="41D5F9EE">
      <w:pPr>
        <w:pStyle w:val="96"/>
        <w:ind w:left="846" w:firstLine="360" w:firstLineChars="200"/>
        <w:jc w:val="left"/>
        <w:rPr>
          <w:b w:val="0"/>
          <w:sz w:val="18"/>
        </w:rPr>
      </w:pPr>
      <w:r>
        <w:rPr>
          <w:rFonts w:hint="eastAsia"/>
          <w:b w:val="0"/>
          <w:sz w:val="18"/>
        </w:rPr>
        <w:t>（</w:t>
      </w:r>
      <w:r>
        <w:rPr>
          <w:b w:val="0"/>
          <w:sz w:val="18"/>
        </w:rPr>
        <w:t>2</w:t>
      </w:r>
      <w:r>
        <w:rPr>
          <w:rFonts w:hint="eastAsia"/>
          <w:b w:val="0"/>
          <w:sz w:val="18"/>
        </w:rPr>
        <w:t>）施工过程中，中埋式橡胶止水带安装偏位或破损：</w:t>
      </w:r>
      <w:r>
        <w:rPr>
          <w:b w:val="0"/>
          <w:sz w:val="18"/>
        </w:rPr>
        <w:t xml:space="preserve"> </w:t>
      </w:r>
    </w:p>
    <w:p w14:paraId="437C11B3">
      <w:pPr>
        <w:pStyle w:val="96"/>
        <w:ind w:left="846" w:firstLine="360" w:firstLineChars="200"/>
        <w:jc w:val="left"/>
        <w:rPr>
          <w:b w:val="0"/>
          <w:sz w:val="18"/>
        </w:rPr>
      </w:pPr>
      <w:r>
        <w:rPr>
          <w:rFonts w:hint="eastAsia"/>
          <w:b w:val="0"/>
          <w:sz w:val="18"/>
        </w:rPr>
        <w:t>（</w:t>
      </w:r>
      <w:r>
        <w:rPr>
          <w:b w:val="0"/>
          <w:sz w:val="18"/>
        </w:rPr>
        <w:t>3</w:t>
      </w:r>
      <w:r>
        <w:rPr>
          <w:rFonts w:hint="eastAsia"/>
          <w:b w:val="0"/>
          <w:sz w:val="18"/>
        </w:rPr>
        <w:t>）现场制作的钢框，其锚筋、螺栓、倒角、焊缝等不符合规范要求：</w:t>
      </w:r>
      <w:r>
        <w:rPr>
          <w:b w:val="0"/>
          <w:sz w:val="18"/>
        </w:rPr>
        <w:t xml:space="preserve"> </w:t>
      </w:r>
    </w:p>
    <w:p w14:paraId="1F9C5232">
      <w:pPr>
        <w:pStyle w:val="96"/>
        <w:ind w:left="846" w:firstLine="360" w:firstLineChars="200"/>
        <w:jc w:val="left"/>
        <w:rPr>
          <w:b w:val="0"/>
          <w:sz w:val="18"/>
        </w:rPr>
      </w:pPr>
      <w:r>
        <w:rPr>
          <w:rFonts w:hint="eastAsia"/>
          <w:b w:val="0"/>
          <w:sz w:val="18"/>
        </w:rPr>
        <w:t>（</w:t>
      </w:r>
      <w:r>
        <w:rPr>
          <w:b w:val="0"/>
          <w:sz w:val="18"/>
        </w:rPr>
        <w:t>4</w:t>
      </w:r>
      <w:r>
        <w:rPr>
          <w:rFonts w:hint="eastAsia"/>
          <w:b w:val="0"/>
          <w:sz w:val="18"/>
        </w:rPr>
        <w:t>）橡胶止水带质量太差，选用了再生橡胶产品，易老化。</w:t>
      </w:r>
      <w:r>
        <w:rPr>
          <w:b w:val="0"/>
          <w:sz w:val="18"/>
        </w:rPr>
        <w:t xml:space="preserve"> </w:t>
      </w:r>
    </w:p>
    <w:p w14:paraId="15EC3584">
      <w:pPr>
        <w:pStyle w:val="96"/>
        <w:ind w:left="846" w:firstLine="360" w:firstLineChars="200"/>
        <w:jc w:val="left"/>
        <w:rPr>
          <w:b w:val="0"/>
          <w:sz w:val="18"/>
        </w:rPr>
      </w:pPr>
      <w:r>
        <w:rPr>
          <w:rFonts w:hint="eastAsia"/>
          <w:b w:val="0"/>
          <w:sz w:val="18"/>
        </w:rPr>
        <w:t>防渗措施：</w:t>
      </w:r>
      <w:r>
        <w:rPr>
          <w:b w:val="0"/>
          <w:sz w:val="18"/>
        </w:rPr>
        <w:t xml:space="preserve"> </w:t>
      </w:r>
    </w:p>
    <w:p w14:paraId="40C7DF8C">
      <w:pPr>
        <w:pStyle w:val="96"/>
        <w:ind w:left="846" w:firstLine="360" w:firstLineChars="200"/>
        <w:jc w:val="left"/>
        <w:rPr>
          <w:b w:val="0"/>
          <w:sz w:val="18"/>
        </w:rPr>
      </w:pPr>
      <w:r>
        <w:rPr>
          <w:rFonts w:hint="eastAsia"/>
          <w:b w:val="0"/>
          <w:sz w:val="18"/>
        </w:rPr>
        <w:t>（</w:t>
      </w:r>
      <w:r>
        <w:rPr>
          <w:b w:val="0"/>
          <w:sz w:val="18"/>
        </w:rPr>
        <w:t>1</w:t>
      </w:r>
      <w:r>
        <w:rPr>
          <w:rFonts w:hint="eastAsia"/>
          <w:b w:val="0"/>
          <w:sz w:val="18"/>
        </w:rPr>
        <w:t>）施工图纸审核时，若条件允许，应在沉降缝两侧设置工程桩，减少沉降缝两侧的沉降差：</w:t>
      </w:r>
      <w:r>
        <w:rPr>
          <w:b w:val="0"/>
          <w:sz w:val="18"/>
        </w:rPr>
        <w:t xml:space="preserve"> </w:t>
      </w:r>
    </w:p>
    <w:p w14:paraId="181DA707">
      <w:pPr>
        <w:pStyle w:val="96"/>
        <w:ind w:left="846" w:firstLine="360" w:firstLineChars="200"/>
        <w:jc w:val="left"/>
        <w:rPr>
          <w:b w:val="0"/>
          <w:sz w:val="18"/>
        </w:rPr>
      </w:pPr>
      <w:r>
        <w:rPr>
          <w:rFonts w:hint="eastAsia"/>
          <w:b w:val="0"/>
          <w:sz w:val="18"/>
        </w:rPr>
        <w:t>（</w:t>
      </w:r>
      <w:r>
        <w:rPr>
          <w:b w:val="0"/>
          <w:sz w:val="18"/>
        </w:rPr>
        <w:t>2</w:t>
      </w:r>
      <w:r>
        <w:rPr>
          <w:rFonts w:hint="eastAsia"/>
          <w:b w:val="0"/>
          <w:sz w:val="18"/>
        </w:rPr>
        <w:t>）建设方应指定橡胶止水带的品牌，严禁使用易老化的产品；</w:t>
      </w:r>
      <w:r>
        <w:rPr>
          <w:b w:val="0"/>
          <w:sz w:val="18"/>
        </w:rPr>
        <w:t xml:space="preserve"> </w:t>
      </w:r>
    </w:p>
    <w:p w14:paraId="267E311C">
      <w:pPr>
        <w:pStyle w:val="96"/>
        <w:ind w:left="846" w:firstLine="360" w:firstLineChars="200"/>
        <w:jc w:val="left"/>
        <w:rPr>
          <w:b w:val="0"/>
          <w:sz w:val="18"/>
        </w:rPr>
      </w:pPr>
      <w:r>
        <w:rPr>
          <w:rFonts w:hint="eastAsia"/>
          <w:b w:val="0"/>
          <w:sz w:val="18"/>
        </w:rPr>
        <w:t>（</w:t>
      </w:r>
      <w:r>
        <w:rPr>
          <w:b w:val="0"/>
          <w:sz w:val="18"/>
        </w:rPr>
        <w:t>3</w:t>
      </w:r>
      <w:r>
        <w:rPr>
          <w:rFonts w:hint="eastAsia"/>
          <w:b w:val="0"/>
          <w:sz w:val="18"/>
        </w:rPr>
        <w:t>）沉降缝施工前，应将沉降缝作为现场管理的关键部位，编制专项技术交底资料，其内容应包</w:t>
      </w:r>
      <w:r>
        <w:rPr>
          <w:b w:val="0"/>
          <w:sz w:val="18"/>
        </w:rPr>
        <w:t xml:space="preserve"> </w:t>
      </w:r>
      <w:r>
        <w:rPr>
          <w:rFonts w:hint="eastAsia"/>
          <w:b w:val="0"/>
          <w:sz w:val="18"/>
        </w:rPr>
        <w:t>括土建与专业防水施工的所有内容，交底至具体的施工人员。现场管理人员对此部位进行重点检</w:t>
      </w:r>
      <w:r>
        <w:rPr>
          <w:b w:val="0"/>
          <w:sz w:val="18"/>
        </w:rPr>
        <w:t xml:space="preserve"> </w:t>
      </w:r>
      <w:r>
        <w:rPr>
          <w:rFonts w:hint="eastAsia"/>
          <w:b w:val="0"/>
          <w:sz w:val="18"/>
        </w:rPr>
        <w:t>查并安排相应的旁站工作：</w:t>
      </w:r>
      <w:r>
        <w:rPr>
          <w:b w:val="0"/>
          <w:sz w:val="18"/>
        </w:rPr>
        <w:t xml:space="preserve"> </w:t>
      </w:r>
    </w:p>
    <w:p w14:paraId="2CE782A4">
      <w:pPr>
        <w:pStyle w:val="96"/>
        <w:ind w:left="846" w:firstLine="360" w:firstLineChars="200"/>
        <w:jc w:val="left"/>
        <w:rPr>
          <w:b w:val="0"/>
          <w:sz w:val="18"/>
        </w:rPr>
      </w:pPr>
      <w:r>
        <w:rPr>
          <w:rFonts w:hint="eastAsia"/>
          <w:b w:val="0"/>
          <w:sz w:val="18"/>
        </w:rPr>
        <w:t>（</w:t>
      </w:r>
      <w:r>
        <w:rPr>
          <w:b w:val="0"/>
          <w:sz w:val="18"/>
        </w:rPr>
        <w:t>4</w:t>
      </w:r>
      <w:r>
        <w:rPr>
          <w:rFonts w:hint="eastAsia"/>
          <w:b w:val="0"/>
          <w:sz w:val="18"/>
        </w:rPr>
        <w:t>）底板沉降缝混凝土浇筑前，在钢框下部预埋一根Ф</w:t>
      </w:r>
      <w:r>
        <w:rPr>
          <w:b w:val="0"/>
          <w:sz w:val="18"/>
        </w:rPr>
        <w:t>32</w:t>
      </w:r>
      <w:r>
        <w:rPr>
          <w:rFonts w:hint="eastAsia"/>
          <w:b w:val="0"/>
          <w:sz w:val="18"/>
        </w:rPr>
        <w:t>热镀锌钢管作为引流管，将沉降缝与临</w:t>
      </w:r>
      <w:r>
        <w:rPr>
          <w:b w:val="0"/>
          <w:sz w:val="18"/>
        </w:rPr>
        <w:t xml:space="preserve"> </w:t>
      </w:r>
      <w:r>
        <w:rPr>
          <w:rFonts w:hint="eastAsia"/>
          <w:b w:val="0"/>
          <w:sz w:val="18"/>
        </w:rPr>
        <w:t>近的集水井连通，用于沉降缝出现渗漏时的治理措施；</w:t>
      </w:r>
      <w:r>
        <w:rPr>
          <w:b w:val="0"/>
          <w:sz w:val="18"/>
        </w:rPr>
        <w:t xml:space="preserve"> </w:t>
      </w:r>
    </w:p>
    <w:p w14:paraId="71EA34E5">
      <w:pPr>
        <w:pStyle w:val="96"/>
        <w:ind w:left="846" w:firstLine="360" w:firstLineChars="200"/>
        <w:jc w:val="left"/>
        <w:rPr>
          <w:b w:val="0"/>
          <w:sz w:val="18"/>
        </w:rPr>
      </w:pPr>
      <w:r>
        <w:rPr>
          <w:rFonts w:hint="eastAsia"/>
          <w:b w:val="0"/>
          <w:sz w:val="18"/>
        </w:rPr>
        <w:t>（</w:t>
      </w:r>
      <w:r>
        <w:rPr>
          <w:b w:val="0"/>
          <w:sz w:val="18"/>
        </w:rPr>
        <w:t>5</w:t>
      </w:r>
      <w:r>
        <w:rPr>
          <w:rFonts w:hint="eastAsia"/>
          <w:b w:val="0"/>
          <w:sz w:val="18"/>
        </w:rPr>
        <w:t>）沉降缝缝宽与中埋式止水带的橡胶圈直径应基本一致，预埋止水带时必须将橡胶圈紧贴缝</w:t>
      </w:r>
      <w:r>
        <w:rPr>
          <w:b w:val="0"/>
          <w:sz w:val="18"/>
        </w:rPr>
        <w:t xml:space="preserve"> </w:t>
      </w:r>
      <w:r>
        <w:rPr>
          <w:rFonts w:hint="eastAsia"/>
          <w:b w:val="0"/>
          <w:sz w:val="18"/>
        </w:rPr>
        <w:t>边，禁止后浇的混凝土压圈；若止水带偏离中心，应适当凿除或填补部分混凝土，对止水带进行</w:t>
      </w:r>
      <w:r>
        <w:rPr>
          <w:b w:val="0"/>
          <w:sz w:val="18"/>
        </w:rPr>
        <w:t xml:space="preserve"> </w:t>
      </w:r>
      <w:r>
        <w:rPr>
          <w:rFonts w:hint="eastAsia"/>
          <w:b w:val="0"/>
          <w:sz w:val="18"/>
        </w:rPr>
        <w:t>纠偏；</w:t>
      </w:r>
      <w:r>
        <w:rPr>
          <w:b w:val="0"/>
          <w:sz w:val="18"/>
        </w:rPr>
        <w:t xml:space="preserve"> </w:t>
      </w:r>
    </w:p>
    <w:p w14:paraId="4D8F9623">
      <w:pPr>
        <w:pStyle w:val="96"/>
        <w:ind w:left="846" w:firstLine="360" w:firstLineChars="200"/>
        <w:jc w:val="left"/>
        <w:rPr>
          <w:b w:val="0"/>
          <w:sz w:val="18"/>
        </w:rPr>
      </w:pPr>
      <w:r>
        <w:rPr>
          <w:rFonts w:hint="eastAsia"/>
          <w:b w:val="0"/>
          <w:sz w:val="18"/>
        </w:rPr>
        <w:t>（</w:t>
      </w:r>
      <w:r>
        <w:rPr>
          <w:b w:val="0"/>
          <w:sz w:val="18"/>
        </w:rPr>
        <w:t>6</w:t>
      </w:r>
      <w:r>
        <w:rPr>
          <w:rFonts w:hint="eastAsia"/>
          <w:b w:val="0"/>
          <w:sz w:val="18"/>
        </w:rPr>
        <w:t>）橡胶止水带的接缝应留设在沉降缝的项部，其接头采用热硫化连接的方式，搭接长应不得小</w:t>
      </w:r>
      <w:r>
        <w:rPr>
          <w:b w:val="0"/>
          <w:sz w:val="18"/>
        </w:rPr>
        <w:t xml:space="preserve"> </w:t>
      </w:r>
      <w:r>
        <w:rPr>
          <w:rFonts w:hint="eastAsia"/>
          <w:b w:val="0"/>
          <w:sz w:val="18"/>
        </w:rPr>
        <w:t>于</w:t>
      </w:r>
      <w:r>
        <w:rPr>
          <w:b w:val="0"/>
          <w:sz w:val="18"/>
        </w:rPr>
        <w:t xml:space="preserve">l00mm; </w:t>
      </w:r>
    </w:p>
    <w:p w14:paraId="41F45ED8">
      <w:pPr>
        <w:pStyle w:val="96"/>
        <w:ind w:left="846" w:firstLine="360" w:firstLineChars="200"/>
        <w:jc w:val="left"/>
        <w:rPr>
          <w:b w:val="0"/>
          <w:sz w:val="18"/>
        </w:rPr>
      </w:pPr>
      <w:r>
        <w:rPr>
          <w:rFonts w:hint="eastAsia"/>
          <w:b w:val="0"/>
          <w:sz w:val="18"/>
        </w:rPr>
        <w:t>（</w:t>
      </w:r>
      <w:r>
        <w:rPr>
          <w:b w:val="0"/>
          <w:sz w:val="18"/>
        </w:rPr>
        <w:t>7</w:t>
      </w:r>
      <w:r>
        <w:rPr>
          <w:rFonts w:hint="eastAsia"/>
          <w:b w:val="0"/>
          <w:sz w:val="18"/>
        </w:rPr>
        <w:t>）沉降缝的钢框采用角钢制作，其阴角采用钢板</w:t>
      </w:r>
      <w:r>
        <w:rPr>
          <w:b w:val="0"/>
          <w:sz w:val="18"/>
        </w:rPr>
        <w:t>45</w:t>
      </w:r>
      <w:r>
        <w:rPr>
          <w:rFonts w:hint="eastAsia"/>
          <w:b w:val="0"/>
          <w:sz w:val="18"/>
        </w:rPr>
        <w:t>°倒角，倒角钢板厚度同角钢的厚度，钢框</w:t>
      </w:r>
      <w:r>
        <w:rPr>
          <w:b w:val="0"/>
          <w:sz w:val="18"/>
        </w:rPr>
        <w:t xml:space="preserve"> </w:t>
      </w:r>
      <w:r>
        <w:rPr>
          <w:rFonts w:hint="eastAsia"/>
          <w:b w:val="0"/>
          <w:sz w:val="18"/>
        </w:rPr>
        <w:t>的焊缝均采用双面满焊；钢框的锚筋与螺杆均采用Ф</w:t>
      </w:r>
      <w:r>
        <w:rPr>
          <w:b w:val="0"/>
          <w:sz w:val="18"/>
        </w:rPr>
        <w:t>14@100</w:t>
      </w:r>
      <w:r>
        <w:rPr>
          <w:rFonts w:hint="eastAsia"/>
          <w:b w:val="0"/>
          <w:sz w:val="18"/>
        </w:rPr>
        <w:t>，焊缝采用钢框外侧单面满焊；钢框</w:t>
      </w:r>
      <w:r>
        <w:rPr>
          <w:b w:val="0"/>
          <w:sz w:val="18"/>
        </w:rPr>
        <w:t xml:space="preserve"> </w:t>
      </w:r>
      <w:r>
        <w:rPr>
          <w:rFonts w:hint="eastAsia"/>
          <w:b w:val="0"/>
          <w:sz w:val="18"/>
        </w:rPr>
        <w:t>制作完成并进行除锈，经监理验收合格后，方可用于工程；</w:t>
      </w:r>
      <w:r>
        <w:rPr>
          <w:b w:val="0"/>
          <w:sz w:val="18"/>
        </w:rPr>
        <w:t xml:space="preserve"> </w:t>
      </w:r>
    </w:p>
    <w:p w14:paraId="4E30B9D0">
      <w:pPr>
        <w:pStyle w:val="96"/>
        <w:ind w:left="846" w:firstLine="360" w:firstLineChars="200"/>
        <w:jc w:val="left"/>
        <w:rPr>
          <w:b w:val="0"/>
          <w:sz w:val="18"/>
        </w:rPr>
      </w:pPr>
      <w:r>
        <w:rPr>
          <w:rFonts w:hint="eastAsia"/>
          <w:b w:val="0"/>
          <w:sz w:val="18"/>
        </w:rPr>
        <w:t>（</w:t>
      </w:r>
      <w:r>
        <w:rPr>
          <w:b w:val="0"/>
          <w:sz w:val="18"/>
        </w:rPr>
        <w:t>8</w:t>
      </w:r>
      <w:r>
        <w:rPr>
          <w:rFonts w:hint="eastAsia"/>
          <w:b w:val="0"/>
          <w:sz w:val="18"/>
        </w:rPr>
        <w:t>）沉降缝外侧在原防水层的基础上，附加一道</w:t>
      </w:r>
      <w:r>
        <w:rPr>
          <w:b w:val="0"/>
          <w:sz w:val="18"/>
        </w:rPr>
        <w:t>4mm</w:t>
      </w:r>
      <w:r>
        <w:rPr>
          <w:rFonts w:hint="eastAsia"/>
          <w:b w:val="0"/>
          <w:sz w:val="18"/>
        </w:rPr>
        <w:t>厚</w:t>
      </w:r>
      <w:r>
        <w:rPr>
          <w:b w:val="0"/>
          <w:sz w:val="18"/>
        </w:rPr>
        <w:t>SBS</w:t>
      </w:r>
      <w:r>
        <w:rPr>
          <w:rFonts w:hint="eastAsia"/>
          <w:b w:val="0"/>
          <w:sz w:val="18"/>
        </w:rPr>
        <w:t>卷材防水层，宽度</w:t>
      </w:r>
      <w:r>
        <w:rPr>
          <w:b w:val="0"/>
          <w:sz w:val="18"/>
        </w:rPr>
        <w:t xml:space="preserve">500mm; </w:t>
      </w:r>
    </w:p>
    <w:p w14:paraId="13DAAEE8">
      <w:pPr>
        <w:pStyle w:val="96"/>
        <w:ind w:left="846" w:firstLine="360" w:firstLineChars="200"/>
        <w:jc w:val="left"/>
        <w:rPr>
          <w:b w:val="0"/>
          <w:sz w:val="18"/>
        </w:rPr>
      </w:pPr>
      <w:r>
        <w:rPr>
          <w:rFonts w:hint="eastAsia"/>
          <w:b w:val="0"/>
          <w:sz w:val="18"/>
        </w:rPr>
        <w:t>检验方法与要求</w:t>
      </w:r>
      <w:r>
        <w:rPr>
          <w:b w:val="0"/>
          <w:sz w:val="18"/>
        </w:rPr>
        <w:t xml:space="preserve"> </w:t>
      </w:r>
    </w:p>
    <w:p w14:paraId="4F293F64">
      <w:pPr>
        <w:pStyle w:val="96"/>
        <w:ind w:left="846" w:firstLine="360" w:firstLineChars="200"/>
        <w:jc w:val="left"/>
        <w:rPr>
          <w:b w:val="0"/>
          <w:sz w:val="18"/>
        </w:rPr>
      </w:pPr>
      <w:r>
        <w:rPr>
          <w:rFonts w:hint="eastAsia"/>
          <w:b w:val="0"/>
          <w:sz w:val="18"/>
        </w:rPr>
        <w:t>（</w:t>
      </w:r>
      <w:r>
        <w:rPr>
          <w:b w:val="0"/>
          <w:sz w:val="18"/>
        </w:rPr>
        <w:t>1</w:t>
      </w:r>
      <w:r>
        <w:rPr>
          <w:rFonts w:hint="eastAsia"/>
          <w:b w:val="0"/>
          <w:sz w:val="18"/>
        </w:rPr>
        <w:t>）进场的橡胶止水带与接缝材料、沉降缝的钢框制作质量、均符合规范要求。</w:t>
      </w:r>
      <w:r>
        <w:rPr>
          <w:b w:val="0"/>
          <w:sz w:val="18"/>
        </w:rPr>
        <w:t xml:space="preserve"> </w:t>
      </w:r>
    </w:p>
    <w:p w14:paraId="4E787464">
      <w:pPr>
        <w:pStyle w:val="96"/>
        <w:ind w:left="846" w:firstLine="360" w:firstLineChars="200"/>
        <w:jc w:val="left"/>
        <w:rPr>
          <w:b w:val="0"/>
          <w:sz w:val="18"/>
        </w:rPr>
      </w:pPr>
      <w:r>
        <w:rPr>
          <w:rFonts w:hint="eastAsia"/>
          <w:b w:val="0"/>
          <w:sz w:val="18"/>
        </w:rPr>
        <w:t>检验方法与数量：检查产口合格证、产品性能检测报告。</w:t>
      </w:r>
    </w:p>
    <w:p w14:paraId="4FE134B5">
      <w:pPr>
        <w:pStyle w:val="96"/>
        <w:ind w:left="846" w:firstLine="360" w:firstLineChars="200"/>
        <w:jc w:val="left"/>
        <w:rPr>
          <w:b w:val="0"/>
          <w:sz w:val="18"/>
        </w:rPr>
      </w:pPr>
      <w:r>
        <w:rPr>
          <w:rFonts w:hint="eastAsia"/>
          <w:b w:val="0"/>
          <w:sz w:val="18"/>
        </w:rPr>
        <w:t>（</w:t>
      </w:r>
      <w:r>
        <w:rPr>
          <w:b w:val="0"/>
          <w:sz w:val="18"/>
        </w:rPr>
        <w:t>2</w:t>
      </w:r>
      <w:r>
        <w:rPr>
          <w:rFonts w:hint="eastAsia"/>
          <w:b w:val="0"/>
          <w:sz w:val="18"/>
        </w:rPr>
        <w:t>）中埋式橡胶止水带安装固定牢固，位置准确，搭接长度与接缝方式符合要求，其中间空心圆</w:t>
      </w:r>
      <w:r>
        <w:rPr>
          <w:b w:val="0"/>
          <w:sz w:val="18"/>
        </w:rPr>
        <w:t xml:space="preserve"> </w:t>
      </w:r>
      <w:r>
        <w:rPr>
          <w:rFonts w:hint="eastAsia"/>
          <w:b w:val="0"/>
          <w:sz w:val="18"/>
        </w:rPr>
        <w:t>与沉降缝的中心线重合。</w:t>
      </w:r>
      <w:r>
        <w:rPr>
          <w:b w:val="0"/>
          <w:sz w:val="18"/>
        </w:rPr>
        <w:t xml:space="preserve"> </w:t>
      </w:r>
    </w:p>
    <w:p w14:paraId="656BFF5A">
      <w:pPr>
        <w:pStyle w:val="96"/>
        <w:ind w:left="846" w:firstLine="360" w:firstLineChars="200"/>
        <w:jc w:val="left"/>
        <w:rPr>
          <w:b w:val="0"/>
          <w:sz w:val="18"/>
        </w:rPr>
      </w:pPr>
      <w:r>
        <w:rPr>
          <w:rFonts w:hint="eastAsia"/>
          <w:b w:val="0"/>
          <w:sz w:val="18"/>
        </w:rPr>
        <w:t>检验方法与数量：观察检查，尺量检查，全数检查。</w:t>
      </w:r>
      <w:r>
        <w:rPr>
          <w:b w:val="0"/>
          <w:sz w:val="18"/>
        </w:rPr>
        <w:t xml:space="preserve"> </w:t>
      </w:r>
    </w:p>
    <w:p w14:paraId="27C59719">
      <w:pPr>
        <w:pStyle w:val="96"/>
        <w:ind w:left="846" w:firstLine="360" w:firstLineChars="200"/>
        <w:jc w:val="left"/>
        <w:rPr>
          <w:b w:val="0"/>
          <w:sz w:val="18"/>
        </w:rPr>
      </w:pPr>
      <w:r>
        <w:rPr>
          <w:rFonts w:hint="eastAsia"/>
          <w:b w:val="0"/>
          <w:sz w:val="18"/>
        </w:rPr>
        <w:t>（</w:t>
      </w:r>
      <w:r>
        <w:rPr>
          <w:b w:val="0"/>
          <w:sz w:val="18"/>
        </w:rPr>
        <w:t>3</w:t>
      </w:r>
      <w:r>
        <w:rPr>
          <w:rFonts w:hint="eastAsia"/>
          <w:b w:val="0"/>
          <w:sz w:val="18"/>
        </w:rPr>
        <w:t>）地下室迎水面防水层施工前，沉降缝的外侧的防水卷材附加层的施工质量符合要求。</w:t>
      </w:r>
      <w:r>
        <w:rPr>
          <w:b w:val="0"/>
          <w:sz w:val="18"/>
        </w:rPr>
        <w:t xml:space="preserve"> </w:t>
      </w:r>
    </w:p>
    <w:p w14:paraId="2E67D95C">
      <w:pPr>
        <w:pStyle w:val="96"/>
        <w:ind w:left="846" w:firstLine="360" w:firstLineChars="200"/>
        <w:jc w:val="left"/>
        <w:rPr>
          <w:b w:val="0"/>
          <w:sz w:val="18"/>
        </w:rPr>
      </w:pPr>
      <w:r>
        <w:rPr>
          <w:rFonts w:hint="eastAsia"/>
          <w:b w:val="0"/>
          <w:sz w:val="18"/>
        </w:rPr>
        <w:t>检验方法与数量：观察检查，全数检查。</w:t>
      </w:r>
      <w:r>
        <w:rPr>
          <w:b w:val="0"/>
          <w:sz w:val="18"/>
        </w:rPr>
        <w:t xml:space="preserve"> </w:t>
      </w:r>
    </w:p>
    <w:p w14:paraId="54628FF5">
      <w:pPr>
        <w:pStyle w:val="96"/>
        <w:ind w:left="846" w:firstLine="360" w:firstLineChars="200"/>
        <w:jc w:val="left"/>
        <w:rPr>
          <w:b w:val="0"/>
          <w:sz w:val="18"/>
        </w:rPr>
      </w:pPr>
      <w:r>
        <w:rPr>
          <w:rFonts w:hint="eastAsia"/>
          <w:b w:val="0"/>
          <w:sz w:val="18"/>
        </w:rPr>
        <w:t>（</w:t>
      </w:r>
      <w:r>
        <w:rPr>
          <w:b w:val="0"/>
          <w:sz w:val="18"/>
        </w:rPr>
        <w:t>4</w:t>
      </w:r>
      <w:r>
        <w:rPr>
          <w:rFonts w:hint="eastAsia"/>
          <w:b w:val="0"/>
          <w:sz w:val="18"/>
        </w:rPr>
        <w:t>）验收过程中按实填写有关表格，验收过程中分次验收表格由监理与施工单位保管，验收完成</w:t>
      </w:r>
      <w:r>
        <w:rPr>
          <w:b w:val="0"/>
          <w:sz w:val="18"/>
        </w:rPr>
        <w:t xml:space="preserve"> </w:t>
      </w:r>
      <w:r>
        <w:rPr>
          <w:rFonts w:hint="eastAsia"/>
          <w:b w:val="0"/>
          <w:sz w:val="18"/>
        </w:rPr>
        <w:t>后由建设方与监理方内部存档备查，建设方核查数量要求达到</w:t>
      </w:r>
      <w:r>
        <w:rPr>
          <w:b w:val="0"/>
          <w:sz w:val="18"/>
        </w:rPr>
        <w:t>100%</w:t>
      </w:r>
      <w:r>
        <w:rPr>
          <w:rFonts w:hint="eastAsia"/>
          <w:b w:val="0"/>
          <w:sz w:val="18"/>
        </w:rPr>
        <w:t>。</w:t>
      </w:r>
      <w:r>
        <w:rPr>
          <w:b w:val="0"/>
          <w:sz w:val="18"/>
        </w:rPr>
        <w:t xml:space="preserve"> </w:t>
      </w:r>
    </w:p>
    <w:p w14:paraId="14CFED76">
      <w:pPr>
        <w:pStyle w:val="96"/>
        <w:ind w:left="846" w:firstLine="360" w:firstLineChars="200"/>
        <w:jc w:val="left"/>
        <w:rPr>
          <w:b w:val="0"/>
          <w:sz w:val="18"/>
        </w:rPr>
      </w:pPr>
      <w:r>
        <w:rPr>
          <w:b w:val="0"/>
          <w:sz w:val="18"/>
        </w:rPr>
        <w:t xml:space="preserve">8.3.8.2 </w:t>
      </w:r>
      <w:r>
        <w:rPr>
          <w:rFonts w:hint="eastAsia"/>
          <w:b w:val="0"/>
          <w:sz w:val="18"/>
        </w:rPr>
        <w:t>地下室施工缝渗漏治理措施</w:t>
      </w:r>
      <w:r>
        <w:rPr>
          <w:b w:val="0"/>
          <w:sz w:val="18"/>
        </w:rPr>
        <w:t xml:space="preserve"> </w:t>
      </w:r>
    </w:p>
    <w:p w14:paraId="5854CD01">
      <w:pPr>
        <w:pStyle w:val="96"/>
        <w:ind w:left="846" w:firstLine="360" w:firstLineChars="200"/>
        <w:jc w:val="left"/>
        <w:rPr>
          <w:b w:val="0"/>
          <w:sz w:val="18"/>
        </w:rPr>
      </w:pPr>
      <w:r>
        <w:rPr>
          <w:rFonts w:hint="eastAsia"/>
          <w:b w:val="0"/>
          <w:sz w:val="18"/>
        </w:rPr>
        <w:t>原因分析：</w:t>
      </w:r>
      <w:r>
        <w:rPr>
          <w:b w:val="0"/>
          <w:sz w:val="18"/>
        </w:rPr>
        <w:t xml:space="preserve"> </w:t>
      </w:r>
    </w:p>
    <w:p w14:paraId="300AE3E2">
      <w:pPr>
        <w:pStyle w:val="96"/>
        <w:ind w:left="846" w:firstLine="360" w:firstLineChars="200"/>
        <w:jc w:val="left"/>
        <w:rPr>
          <w:b w:val="0"/>
          <w:sz w:val="18"/>
        </w:rPr>
      </w:pPr>
      <w:r>
        <w:rPr>
          <w:rFonts w:hint="eastAsia"/>
          <w:b w:val="0"/>
          <w:sz w:val="18"/>
        </w:rPr>
        <w:t>（</w:t>
      </w:r>
      <w:r>
        <w:rPr>
          <w:b w:val="0"/>
          <w:sz w:val="18"/>
        </w:rPr>
        <w:t>1</w:t>
      </w:r>
      <w:r>
        <w:rPr>
          <w:rFonts w:hint="eastAsia"/>
          <w:b w:val="0"/>
          <w:sz w:val="18"/>
        </w:rPr>
        <w:t>）底板上的外墙吊模质量差，外墙水平施工缝的上口不平整，止水钢板偏位严重，失去止水效</w:t>
      </w:r>
      <w:r>
        <w:rPr>
          <w:b w:val="0"/>
          <w:sz w:val="18"/>
        </w:rPr>
        <w:t xml:space="preserve"> </w:t>
      </w:r>
      <w:r>
        <w:rPr>
          <w:rFonts w:hint="eastAsia"/>
          <w:b w:val="0"/>
          <w:sz w:val="18"/>
        </w:rPr>
        <w:t>果；</w:t>
      </w:r>
      <w:r>
        <w:rPr>
          <w:b w:val="0"/>
          <w:sz w:val="18"/>
        </w:rPr>
        <w:t xml:space="preserve"> </w:t>
      </w:r>
    </w:p>
    <w:p w14:paraId="226B35C0">
      <w:pPr>
        <w:pStyle w:val="96"/>
        <w:ind w:left="846" w:firstLine="360" w:firstLineChars="200"/>
        <w:jc w:val="left"/>
        <w:rPr>
          <w:b w:val="0"/>
          <w:sz w:val="18"/>
        </w:rPr>
      </w:pPr>
      <w:r>
        <w:rPr>
          <w:rFonts w:hint="eastAsia"/>
          <w:b w:val="0"/>
          <w:sz w:val="18"/>
        </w:rPr>
        <w:t>（</w:t>
      </w:r>
      <w:r>
        <w:rPr>
          <w:b w:val="0"/>
          <w:sz w:val="18"/>
        </w:rPr>
        <w:t>2</w:t>
      </w:r>
      <w:r>
        <w:rPr>
          <w:rFonts w:hint="eastAsia"/>
          <w:b w:val="0"/>
          <w:sz w:val="18"/>
        </w:rPr>
        <w:t>）墙板封模前，施工缝的垃圾与止水钢板上的混凝土浆未清理干净，影响新旧混凝土的粘结质</w:t>
      </w:r>
      <w:r>
        <w:rPr>
          <w:b w:val="0"/>
          <w:sz w:val="18"/>
        </w:rPr>
        <w:t xml:space="preserve"> </w:t>
      </w:r>
      <w:r>
        <w:rPr>
          <w:rFonts w:hint="eastAsia"/>
          <w:b w:val="0"/>
          <w:sz w:val="18"/>
        </w:rPr>
        <w:t>量；</w:t>
      </w:r>
      <w:r>
        <w:rPr>
          <w:b w:val="0"/>
          <w:sz w:val="18"/>
        </w:rPr>
        <w:t xml:space="preserve"> </w:t>
      </w:r>
    </w:p>
    <w:p w14:paraId="211C9F3C">
      <w:pPr>
        <w:pStyle w:val="96"/>
        <w:ind w:left="846" w:firstLine="360" w:firstLineChars="200"/>
        <w:jc w:val="left"/>
        <w:rPr>
          <w:b w:val="0"/>
          <w:sz w:val="18"/>
        </w:rPr>
      </w:pPr>
      <w:r>
        <w:rPr>
          <w:rFonts w:hint="eastAsia"/>
          <w:b w:val="0"/>
          <w:sz w:val="18"/>
        </w:rPr>
        <w:t>（</w:t>
      </w:r>
      <w:r>
        <w:rPr>
          <w:b w:val="0"/>
          <w:sz w:val="18"/>
        </w:rPr>
        <w:t>3</w:t>
      </w:r>
      <w:r>
        <w:rPr>
          <w:rFonts w:hint="eastAsia"/>
          <w:b w:val="0"/>
          <w:sz w:val="18"/>
        </w:rPr>
        <w:t>）底板混凝土浇筑过程中，外墙吊模处操作空间小，振捣难度大，易出现振捣不连续或不密实</w:t>
      </w:r>
      <w:r>
        <w:rPr>
          <w:b w:val="0"/>
          <w:sz w:val="18"/>
        </w:rPr>
        <w:t xml:space="preserve"> </w:t>
      </w:r>
      <w:r>
        <w:rPr>
          <w:rFonts w:hint="eastAsia"/>
          <w:b w:val="0"/>
          <w:sz w:val="18"/>
        </w:rPr>
        <w:t>的现象；</w:t>
      </w:r>
      <w:r>
        <w:rPr>
          <w:b w:val="0"/>
          <w:sz w:val="18"/>
        </w:rPr>
        <w:t xml:space="preserve"> </w:t>
      </w:r>
    </w:p>
    <w:p w14:paraId="03A8E59E">
      <w:pPr>
        <w:pStyle w:val="96"/>
        <w:ind w:left="846" w:firstLine="360" w:firstLineChars="200"/>
        <w:jc w:val="left"/>
        <w:rPr>
          <w:b w:val="0"/>
          <w:sz w:val="18"/>
        </w:rPr>
      </w:pPr>
      <w:r>
        <w:rPr>
          <w:rFonts w:hint="eastAsia"/>
          <w:b w:val="0"/>
          <w:sz w:val="18"/>
        </w:rPr>
        <w:t>（</w:t>
      </w:r>
      <w:r>
        <w:rPr>
          <w:b w:val="0"/>
          <w:sz w:val="18"/>
        </w:rPr>
        <w:t>4</w:t>
      </w:r>
      <w:r>
        <w:rPr>
          <w:rFonts w:hint="eastAsia"/>
          <w:b w:val="0"/>
          <w:sz w:val="18"/>
        </w:rPr>
        <w:t>）外墙模板下部在混凝土浇筑过程中受力最大，因模板下部固定不牢，模板下口封堵不严，易</w:t>
      </w:r>
      <w:r>
        <w:rPr>
          <w:b w:val="0"/>
          <w:sz w:val="18"/>
        </w:rPr>
        <w:t xml:space="preserve"> </w:t>
      </w:r>
      <w:r>
        <w:rPr>
          <w:rFonts w:hint="eastAsia"/>
          <w:b w:val="0"/>
          <w:sz w:val="18"/>
        </w:rPr>
        <w:t>出现胀模或漏浆现象，造成此部位的混凝土浇筑质量差；</w:t>
      </w:r>
      <w:r>
        <w:rPr>
          <w:b w:val="0"/>
          <w:sz w:val="18"/>
        </w:rPr>
        <w:t xml:space="preserve"> </w:t>
      </w:r>
    </w:p>
    <w:p w14:paraId="56F48316">
      <w:pPr>
        <w:pStyle w:val="96"/>
        <w:ind w:left="846" w:firstLine="360" w:firstLineChars="200"/>
        <w:jc w:val="left"/>
        <w:rPr>
          <w:b w:val="0"/>
          <w:sz w:val="18"/>
        </w:rPr>
      </w:pPr>
      <w:r>
        <w:rPr>
          <w:rFonts w:hint="eastAsia"/>
          <w:b w:val="0"/>
          <w:sz w:val="18"/>
        </w:rPr>
        <w:t>（</w:t>
      </w:r>
      <w:r>
        <w:rPr>
          <w:b w:val="0"/>
          <w:sz w:val="18"/>
        </w:rPr>
        <w:t>5</w:t>
      </w:r>
      <w:r>
        <w:rPr>
          <w:rFonts w:hint="eastAsia"/>
          <w:b w:val="0"/>
          <w:sz w:val="18"/>
        </w:rPr>
        <w:t>）墙板混凝土浇筑时，由于混凝土接浆工作不到位、混凝土落差大、外墙水平施工缝处的混凝</w:t>
      </w:r>
      <w:r>
        <w:rPr>
          <w:b w:val="0"/>
          <w:sz w:val="18"/>
        </w:rPr>
        <w:t xml:space="preserve"> </w:t>
      </w:r>
      <w:r>
        <w:rPr>
          <w:rFonts w:hint="eastAsia"/>
          <w:b w:val="0"/>
          <w:sz w:val="18"/>
        </w:rPr>
        <w:t>土骨料过于集中、振捣难度大，易引起此部位的混凝土浇筑质量差；</w:t>
      </w:r>
      <w:r>
        <w:rPr>
          <w:b w:val="0"/>
          <w:sz w:val="18"/>
        </w:rPr>
        <w:t xml:space="preserve"> </w:t>
      </w:r>
    </w:p>
    <w:p w14:paraId="2601313D">
      <w:pPr>
        <w:pStyle w:val="96"/>
        <w:ind w:left="846" w:firstLine="360" w:firstLineChars="200"/>
        <w:jc w:val="left"/>
        <w:rPr>
          <w:b w:val="0"/>
          <w:sz w:val="18"/>
        </w:rPr>
      </w:pPr>
      <w:r>
        <w:rPr>
          <w:rFonts w:hint="eastAsia"/>
          <w:b w:val="0"/>
          <w:sz w:val="18"/>
        </w:rPr>
        <w:t>（</w:t>
      </w:r>
      <w:r>
        <w:rPr>
          <w:b w:val="0"/>
          <w:sz w:val="18"/>
        </w:rPr>
        <w:t>6</w:t>
      </w:r>
      <w:r>
        <w:rPr>
          <w:rFonts w:hint="eastAsia"/>
          <w:b w:val="0"/>
          <w:sz w:val="18"/>
        </w:rPr>
        <w:t>）外墙模板拆除后，施工人员为掩盖混凝土质量缺陷，随意修补。</w:t>
      </w:r>
      <w:r>
        <w:rPr>
          <w:b w:val="0"/>
          <w:sz w:val="18"/>
        </w:rPr>
        <w:t xml:space="preserve"> </w:t>
      </w:r>
    </w:p>
    <w:p w14:paraId="2EF282FE">
      <w:pPr>
        <w:pStyle w:val="96"/>
        <w:ind w:left="846" w:firstLine="360" w:firstLineChars="200"/>
        <w:jc w:val="left"/>
        <w:rPr>
          <w:b w:val="0"/>
          <w:sz w:val="18"/>
        </w:rPr>
      </w:pPr>
      <w:r>
        <w:rPr>
          <w:rFonts w:hint="eastAsia"/>
          <w:b w:val="0"/>
          <w:sz w:val="18"/>
        </w:rPr>
        <w:t>防渗措施：</w:t>
      </w:r>
      <w:r>
        <w:rPr>
          <w:b w:val="0"/>
          <w:sz w:val="18"/>
        </w:rPr>
        <w:t xml:space="preserve"> </w:t>
      </w:r>
    </w:p>
    <w:p w14:paraId="1A1E11C3">
      <w:pPr>
        <w:pStyle w:val="96"/>
        <w:ind w:left="846" w:firstLine="360" w:firstLineChars="200"/>
        <w:jc w:val="left"/>
        <w:rPr>
          <w:b w:val="0"/>
          <w:sz w:val="18"/>
        </w:rPr>
      </w:pPr>
      <w:r>
        <w:rPr>
          <w:rFonts w:hint="eastAsia"/>
          <w:b w:val="0"/>
          <w:sz w:val="18"/>
        </w:rPr>
        <w:t>（</w:t>
      </w:r>
      <w:r>
        <w:rPr>
          <w:b w:val="0"/>
          <w:sz w:val="18"/>
        </w:rPr>
        <w:t>1</w:t>
      </w:r>
      <w:r>
        <w:rPr>
          <w:rFonts w:hint="eastAsia"/>
          <w:b w:val="0"/>
          <w:sz w:val="18"/>
        </w:rPr>
        <w:t>）外墙水平施工缝应作为现场管理的关键部位，对吊模的制作与安装、止水钢板的安装和混凝</w:t>
      </w:r>
      <w:r>
        <w:rPr>
          <w:b w:val="0"/>
          <w:sz w:val="18"/>
        </w:rPr>
        <w:t xml:space="preserve"> </w:t>
      </w:r>
      <w:r>
        <w:rPr>
          <w:rFonts w:hint="eastAsia"/>
          <w:b w:val="0"/>
          <w:sz w:val="18"/>
        </w:rPr>
        <w:t>土浇筑应作为技术交底的重点内容，且需交底至具体的操作工人，现场管理人员对此部位应进行</w:t>
      </w:r>
      <w:r>
        <w:rPr>
          <w:b w:val="0"/>
          <w:sz w:val="18"/>
        </w:rPr>
        <w:t xml:space="preserve"> </w:t>
      </w:r>
      <w:r>
        <w:rPr>
          <w:rFonts w:hint="eastAsia"/>
          <w:b w:val="0"/>
          <w:sz w:val="18"/>
        </w:rPr>
        <w:t>重点检查并安排相应的旁站工作；</w:t>
      </w:r>
      <w:r>
        <w:rPr>
          <w:b w:val="0"/>
          <w:sz w:val="18"/>
        </w:rPr>
        <w:t xml:space="preserve"> </w:t>
      </w:r>
    </w:p>
    <w:p w14:paraId="2731BC64">
      <w:pPr>
        <w:pStyle w:val="96"/>
        <w:ind w:left="846" w:firstLine="360" w:firstLineChars="200"/>
        <w:jc w:val="left"/>
        <w:rPr>
          <w:b w:val="0"/>
          <w:sz w:val="18"/>
        </w:rPr>
      </w:pPr>
      <w:r>
        <w:rPr>
          <w:rFonts w:hint="eastAsia"/>
          <w:b w:val="0"/>
          <w:sz w:val="18"/>
        </w:rPr>
        <w:t>（</w:t>
      </w:r>
      <w:r>
        <w:rPr>
          <w:b w:val="0"/>
          <w:sz w:val="18"/>
        </w:rPr>
        <w:t>2</w:t>
      </w:r>
      <w:r>
        <w:rPr>
          <w:rFonts w:hint="eastAsia"/>
          <w:b w:val="0"/>
          <w:sz w:val="18"/>
        </w:rPr>
        <w:t>）止水钢板的规格应符合设计图纸要求；止水钢板的中心应与水平施工缝重叠，中心偏位误差不得大于</w:t>
      </w:r>
      <w:r>
        <w:rPr>
          <w:b w:val="0"/>
          <w:sz w:val="18"/>
        </w:rPr>
        <w:t>50mm;</w:t>
      </w:r>
      <w:r>
        <w:rPr>
          <w:rFonts w:hint="eastAsia"/>
          <w:b w:val="0"/>
          <w:sz w:val="18"/>
        </w:rPr>
        <w:t>止水钢板的连接应采用双面搭接焊，搭接长度不小于</w:t>
      </w:r>
      <w:r>
        <w:rPr>
          <w:b w:val="0"/>
          <w:sz w:val="18"/>
        </w:rPr>
        <w:t xml:space="preserve">100mm; </w:t>
      </w:r>
    </w:p>
    <w:p w14:paraId="495F7399">
      <w:pPr>
        <w:pStyle w:val="96"/>
        <w:ind w:left="846" w:firstLine="360" w:firstLineChars="200"/>
        <w:jc w:val="left"/>
        <w:rPr>
          <w:b w:val="0"/>
          <w:sz w:val="18"/>
        </w:rPr>
      </w:pPr>
      <w:r>
        <w:rPr>
          <w:rFonts w:hint="eastAsia"/>
          <w:b w:val="0"/>
          <w:sz w:val="18"/>
        </w:rPr>
        <w:t>（</w:t>
      </w:r>
      <w:r>
        <w:rPr>
          <w:b w:val="0"/>
          <w:sz w:val="18"/>
        </w:rPr>
        <w:t>3</w:t>
      </w:r>
      <w:r>
        <w:rPr>
          <w:rFonts w:hint="eastAsia"/>
          <w:b w:val="0"/>
          <w:sz w:val="18"/>
        </w:rPr>
        <w:t>）外墙模板安装前，应对施工缝进行清理，将钢板上的浮浆清理干净；模板下口应设置密封胶</w:t>
      </w:r>
      <w:r>
        <w:rPr>
          <w:b w:val="0"/>
          <w:sz w:val="18"/>
        </w:rPr>
        <w:t xml:space="preserve"> </w:t>
      </w:r>
      <w:r>
        <w:rPr>
          <w:rFonts w:hint="eastAsia"/>
          <w:b w:val="0"/>
          <w:sz w:val="18"/>
        </w:rPr>
        <w:t>带，模板的固定应按模板专项方案对模板下部进行加固；</w:t>
      </w:r>
      <w:r>
        <w:rPr>
          <w:b w:val="0"/>
          <w:sz w:val="18"/>
        </w:rPr>
        <w:t xml:space="preserve"> </w:t>
      </w:r>
    </w:p>
    <w:p w14:paraId="16F3ABF0">
      <w:pPr>
        <w:pStyle w:val="96"/>
        <w:ind w:left="846" w:firstLine="360" w:firstLineChars="200"/>
        <w:jc w:val="left"/>
        <w:rPr>
          <w:b w:val="0"/>
          <w:sz w:val="18"/>
        </w:rPr>
      </w:pPr>
      <w:r>
        <w:rPr>
          <w:rFonts w:hint="eastAsia"/>
          <w:b w:val="0"/>
          <w:sz w:val="18"/>
        </w:rPr>
        <w:t>（</w:t>
      </w:r>
      <w:r>
        <w:rPr>
          <w:b w:val="0"/>
          <w:sz w:val="18"/>
        </w:rPr>
        <w:t>4</w:t>
      </w:r>
      <w:r>
        <w:rPr>
          <w:rFonts w:hint="eastAsia"/>
          <w:b w:val="0"/>
          <w:sz w:val="18"/>
        </w:rPr>
        <w:t>）混凝土浇筑前，应先浇水湿润，然后采用与墙体混凝土成分相同的水泥砂浆进行接浆处理。</w:t>
      </w:r>
      <w:r>
        <w:rPr>
          <w:b w:val="0"/>
          <w:sz w:val="18"/>
        </w:rPr>
        <w:t xml:space="preserve"> </w:t>
      </w:r>
    </w:p>
    <w:p w14:paraId="216F4F20">
      <w:pPr>
        <w:pStyle w:val="96"/>
        <w:ind w:left="846" w:firstLine="360" w:firstLineChars="200"/>
        <w:jc w:val="left"/>
        <w:rPr>
          <w:b w:val="0"/>
          <w:sz w:val="18"/>
        </w:rPr>
      </w:pPr>
      <w:r>
        <w:rPr>
          <w:rFonts w:hint="eastAsia"/>
          <w:b w:val="0"/>
          <w:sz w:val="18"/>
        </w:rPr>
        <w:t>（</w:t>
      </w:r>
      <w:r>
        <w:rPr>
          <w:b w:val="0"/>
          <w:sz w:val="18"/>
        </w:rPr>
        <w:t>5</w:t>
      </w:r>
      <w:r>
        <w:rPr>
          <w:rFonts w:hint="eastAsia"/>
          <w:b w:val="0"/>
          <w:sz w:val="18"/>
        </w:rPr>
        <w:t>）外墙模板拆除后，应先报监理进行混凝土外观质量验收，出现混凝土外观质量缺陷，验收过</w:t>
      </w:r>
      <w:r>
        <w:rPr>
          <w:b w:val="0"/>
          <w:sz w:val="18"/>
        </w:rPr>
        <w:t xml:space="preserve"> </w:t>
      </w:r>
      <w:r>
        <w:rPr>
          <w:rFonts w:hint="eastAsia"/>
          <w:b w:val="0"/>
          <w:sz w:val="18"/>
        </w:rPr>
        <w:t>程中进行记录与判定，根据缺陷的严重程度按混凝土修补方案进行修补，修补完成后重新报监理</w:t>
      </w:r>
      <w:r>
        <w:rPr>
          <w:b w:val="0"/>
          <w:sz w:val="18"/>
        </w:rPr>
        <w:t xml:space="preserve"> </w:t>
      </w:r>
      <w:r>
        <w:rPr>
          <w:rFonts w:hint="eastAsia"/>
          <w:b w:val="0"/>
          <w:sz w:val="18"/>
        </w:rPr>
        <w:t>验收。</w:t>
      </w:r>
      <w:r>
        <w:rPr>
          <w:b w:val="0"/>
          <w:sz w:val="18"/>
        </w:rPr>
        <w:t xml:space="preserve"> </w:t>
      </w:r>
    </w:p>
    <w:p w14:paraId="7B215642">
      <w:pPr>
        <w:pStyle w:val="96"/>
        <w:ind w:left="846" w:firstLine="360" w:firstLineChars="200"/>
        <w:jc w:val="left"/>
        <w:rPr>
          <w:b w:val="0"/>
          <w:sz w:val="18"/>
        </w:rPr>
      </w:pPr>
      <w:r>
        <w:rPr>
          <w:rFonts w:hint="eastAsia"/>
          <w:b w:val="0"/>
          <w:sz w:val="18"/>
        </w:rPr>
        <w:t>（</w:t>
      </w:r>
      <w:r>
        <w:rPr>
          <w:b w:val="0"/>
          <w:sz w:val="18"/>
        </w:rPr>
        <w:t>6</w:t>
      </w:r>
      <w:r>
        <w:rPr>
          <w:rFonts w:hint="eastAsia"/>
          <w:b w:val="0"/>
          <w:sz w:val="18"/>
        </w:rPr>
        <w:t>）外墙防水涂料施工前，应在外墙水平施工缝处先施工一道</w:t>
      </w:r>
      <w:r>
        <w:rPr>
          <w:b w:val="0"/>
          <w:sz w:val="18"/>
        </w:rPr>
        <w:t>800</w:t>
      </w:r>
      <w:r>
        <w:rPr>
          <w:rFonts w:hint="eastAsia"/>
          <w:b w:val="0"/>
          <w:sz w:val="18"/>
        </w:rPr>
        <w:t>宽有玻纤网格布或聚酯无纺布的附加防水层</w:t>
      </w:r>
      <w:r>
        <w:rPr>
          <w:b w:val="0"/>
          <w:sz w:val="18"/>
        </w:rPr>
        <w:t xml:space="preserve"> </w:t>
      </w:r>
      <w:r>
        <w:rPr>
          <w:rFonts w:hint="eastAsia"/>
          <w:b w:val="0"/>
          <w:sz w:val="18"/>
        </w:rPr>
        <w:t>（与外墙根部附加防水层合并）。</w:t>
      </w:r>
      <w:r>
        <w:rPr>
          <w:b w:val="0"/>
          <w:sz w:val="18"/>
        </w:rPr>
        <w:t xml:space="preserve"> </w:t>
      </w:r>
    </w:p>
    <w:p w14:paraId="125270B8">
      <w:pPr>
        <w:pStyle w:val="96"/>
        <w:ind w:left="846" w:firstLine="360" w:firstLineChars="200"/>
        <w:jc w:val="left"/>
        <w:rPr>
          <w:b w:val="0"/>
          <w:sz w:val="18"/>
        </w:rPr>
      </w:pPr>
      <w:r>
        <w:rPr>
          <w:rFonts w:hint="eastAsia"/>
          <w:b w:val="0"/>
          <w:sz w:val="18"/>
        </w:rPr>
        <w:t>检验方法与要求</w:t>
      </w:r>
      <w:r>
        <w:rPr>
          <w:b w:val="0"/>
          <w:sz w:val="18"/>
        </w:rPr>
        <w:t xml:space="preserve"> </w:t>
      </w:r>
    </w:p>
    <w:p w14:paraId="2BA0C5E3">
      <w:pPr>
        <w:pStyle w:val="96"/>
        <w:ind w:left="846" w:firstLine="360" w:firstLineChars="200"/>
        <w:jc w:val="left"/>
        <w:rPr>
          <w:b w:val="0"/>
          <w:sz w:val="18"/>
        </w:rPr>
      </w:pPr>
      <w:r>
        <w:rPr>
          <w:rFonts w:hint="eastAsia"/>
          <w:b w:val="0"/>
          <w:sz w:val="18"/>
        </w:rPr>
        <w:t>（</w:t>
      </w:r>
      <w:r>
        <w:rPr>
          <w:b w:val="0"/>
          <w:sz w:val="18"/>
        </w:rPr>
        <w:t>1</w:t>
      </w:r>
      <w:r>
        <w:rPr>
          <w:rFonts w:hint="eastAsia"/>
          <w:b w:val="0"/>
          <w:sz w:val="18"/>
        </w:rPr>
        <w:t>）止水钢板的安装质量符合要求，位于墙体中间，钢板中心与施工缝重叠，钢板的接头处搭接</w:t>
      </w:r>
      <w:r>
        <w:rPr>
          <w:b w:val="0"/>
          <w:sz w:val="18"/>
        </w:rPr>
        <w:t xml:space="preserve"> </w:t>
      </w:r>
      <w:r>
        <w:rPr>
          <w:rFonts w:hint="eastAsia"/>
          <w:b w:val="0"/>
          <w:sz w:val="18"/>
        </w:rPr>
        <w:t>不小于</w:t>
      </w:r>
      <w:r>
        <w:rPr>
          <w:b w:val="0"/>
          <w:sz w:val="18"/>
        </w:rPr>
        <w:t>l00mm</w:t>
      </w:r>
      <w:r>
        <w:rPr>
          <w:rFonts w:hint="eastAsia"/>
          <w:b w:val="0"/>
          <w:sz w:val="18"/>
        </w:rPr>
        <w:t>，且双面全缝焊接。</w:t>
      </w:r>
      <w:r>
        <w:rPr>
          <w:b w:val="0"/>
          <w:sz w:val="18"/>
        </w:rPr>
        <w:t xml:space="preserve"> </w:t>
      </w:r>
    </w:p>
    <w:p w14:paraId="15721A66">
      <w:pPr>
        <w:pStyle w:val="96"/>
        <w:ind w:left="846" w:firstLine="360" w:firstLineChars="200"/>
        <w:jc w:val="left"/>
        <w:rPr>
          <w:b w:val="0"/>
          <w:sz w:val="18"/>
        </w:rPr>
      </w:pPr>
      <w:r>
        <w:rPr>
          <w:rFonts w:hint="eastAsia"/>
          <w:b w:val="0"/>
          <w:sz w:val="18"/>
        </w:rPr>
        <w:t>检验方法与数量：观察检查，尺量检查，全数检查。</w:t>
      </w:r>
      <w:r>
        <w:rPr>
          <w:b w:val="0"/>
          <w:sz w:val="18"/>
        </w:rPr>
        <w:t xml:space="preserve"> </w:t>
      </w:r>
    </w:p>
    <w:p w14:paraId="1D2454A3">
      <w:pPr>
        <w:pStyle w:val="96"/>
        <w:ind w:left="846" w:firstLine="360" w:firstLineChars="200"/>
        <w:jc w:val="left"/>
        <w:rPr>
          <w:b w:val="0"/>
          <w:sz w:val="18"/>
        </w:rPr>
      </w:pPr>
      <w:r>
        <w:rPr>
          <w:rFonts w:hint="eastAsia"/>
          <w:b w:val="0"/>
          <w:sz w:val="18"/>
        </w:rPr>
        <w:t>（</w:t>
      </w:r>
      <w:r>
        <w:rPr>
          <w:b w:val="0"/>
          <w:sz w:val="18"/>
        </w:rPr>
        <w:t>2</w:t>
      </w:r>
      <w:r>
        <w:rPr>
          <w:rFonts w:hint="eastAsia"/>
          <w:b w:val="0"/>
          <w:sz w:val="18"/>
        </w:rPr>
        <w:t>）外墙模板封模前，施工缝的垃圾与钢板上的浮浆均己清理干净。</w:t>
      </w:r>
      <w:r>
        <w:rPr>
          <w:b w:val="0"/>
          <w:sz w:val="18"/>
        </w:rPr>
        <w:t xml:space="preserve"> </w:t>
      </w:r>
    </w:p>
    <w:p w14:paraId="0BBB8E18">
      <w:pPr>
        <w:pStyle w:val="96"/>
        <w:ind w:left="846" w:firstLine="360" w:firstLineChars="200"/>
        <w:jc w:val="left"/>
        <w:rPr>
          <w:b w:val="0"/>
          <w:sz w:val="18"/>
        </w:rPr>
      </w:pPr>
      <w:r>
        <w:rPr>
          <w:rFonts w:hint="eastAsia"/>
          <w:b w:val="0"/>
          <w:sz w:val="18"/>
        </w:rPr>
        <w:t>检验方法：观察检查。</w:t>
      </w:r>
      <w:r>
        <w:rPr>
          <w:b w:val="0"/>
          <w:sz w:val="18"/>
        </w:rPr>
        <w:t xml:space="preserve"> </w:t>
      </w:r>
    </w:p>
    <w:p w14:paraId="6FBC66A9">
      <w:pPr>
        <w:pStyle w:val="96"/>
        <w:ind w:left="846" w:firstLine="360" w:firstLineChars="200"/>
        <w:jc w:val="left"/>
        <w:rPr>
          <w:b w:val="0"/>
          <w:sz w:val="18"/>
        </w:rPr>
      </w:pPr>
      <w:r>
        <w:rPr>
          <w:rFonts w:hint="eastAsia"/>
          <w:b w:val="0"/>
          <w:sz w:val="18"/>
        </w:rPr>
        <w:t>（</w:t>
      </w:r>
      <w:r>
        <w:rPr>
          <w:b w:val="0"/>
          <w:sz w:val="18"/>
        </w:rPr>
        <w:t>3</w:t>
      </w:r>
      <w:r>
        <w:rPr>
          <w:rFonts w:hint="eastAsia"/>
          <w:b w:val="0"/>
          <w:sz w:val="18"/>
        </w:rPr>
        <w:t>）墙板封模后，模板固定牢固，下部无透光现象，混凝土浇筑时，进行了接浆处理。</w:t>
      </w:r>
      <w:r>
        <w:rPr>
          <w:b w:val="0"/>
          <w:sz w:val="18"/>
        </w:rPr>
        <w:t xml:space="preserve"> </w:t>
      </w:r>
    </w:p>
    <w:p w14:paraId="2A322BA6">
      <w:pPr>
        <w:pStyle w:val="96"/>
        <w:ind w:left="846" w:firstLine="360" w:firstLineChars="200"/>
        <w:jc w:val="left"/>
        <w:rPr>
          <w:b w:val="0"/>
          <w:sz w:val="18"/>
        </w:rPr>
      </w:pPr>
      <w:r>
        <w:rPr>
          <w:rFonts w:hint="eastAsia"/>
          <w:b w:val="0"/>
          <w:sz w:val="18"/>
        </w:rPr>
        <w:t>检验方法：观察检查。</w:t>
      </w:r>
      <w:r>
        <w:rPr>
          <w:b w:val="0"/>
          <w:sz w:val="18"/>
        </w:rPr>
        <w:t xml:space="preserve"> </w:t>
      </w:r>
    </w:p>
    <w:p w14:paraId="72CB800E">
      <w:pPr>
        <w:pStyle w:val="96"/>
        <w:ind w:left="846" w:firstLine="360" w:firstLineChars="200"/>
        <w:jc w:val="left"/>
        <w:rPr>
          <w:b w:val="0"/>
          <w:sz w:val="18"/>
        </w:rPr>
      </w:pPr>
      <w:r>
        <w:rPr>
          <w:rFonts w:hint="eastAsia"/>
          <w:b w:val="0"/>
          <w:sz w:val="18"/>
        </w:rPr>
        <w:t>（</w:t>
      </w:r>
      <w:r>
        <w:rPr>
          <w:b w:val="0"/>
          <w:sz w:val="18"/>
        </w:rPr>
        <w:t>4</w:t>
      </w:r>
      <w:r>
        <w:rPr>
          <w:rFonts w:hint="eastAsia"/>
          <w:b w:val="0"/>
          <w:sz w:val="18"/>
        </w:rPr>
        <w:t>）拆模后，水平施工缝部位的混凝土表面缺陷按混凝土修补专项方案进行了修补。</w:t>
      </w:r>
      <w:r>
        <w:rPr>
          <w:b w:val="0"/>
          <w:sz w:val="18"/>
        </w:rPr>
        <w:t xml:space="preserve"> </w:t>
      </w:r>
    </w:p>
    <w:p w14:paraId="62622D6B">
      <w:pPr>
        <w:pStyle w:val="96"/>
        <w:ind w:left="846" w:firstLine="360" w:firstLineChars="200"/>
        <w:jc w:val="left"/>
        <w:rPr>
          <w:b w:val="0"/>
          <w:sz w:val="18"/>
        </w:rPr>
      </w:pPr>
      <w:r>
        <w:rPr>
          <w:rFonts w:hint="eastAsia"/>
          <w:b w:val="0"/>
          <w:sz w:val="18"/>
        </w:rPr>
        <w:t>检验方法：观察检查。</w:t>
      </w:r>
      <w:r>
        <w:rPr>
          <w:b w:val="0"/>
          <w:sz w:val="18"/>
        </w:rPr>
        <w:t xml:space="preserve"> </w:t>
      </w:r>
    </w:p>
    <w:p w14:paraId="650C5D61">
      <w:pPr>
        <w:pStyle w:val="96"/>
        <w:ind w:left="846" w:firstLine="360" w:firstLineChars="200"/>
        <w:jc w:val="left"/>
        <w:rPr>
          <w:b w:val="0"/>
          <w:sz w:val="18"/>
        </w:rPr>
      </w:pPr>
      <w:r>
        <w:rPr>
          <w:rFonts w:hint="eastAsia"/>
          <w:b w:val="0"/>
          <w:sz w:val="18"/>
        </w:rPr>
        <w:t>（</w:t>
      </w:r>
      <w:r>
        <w:rPr>
          <w:b w:val="0"/>
          <w:sz w:val="18"/>
        </w:rPr>
        <w:t>5</w:t>
      </w:r>
      <w:r>
        <w:rPr>
          <w:rFonts w:hint="eastAsia"/>
          <w:b w:val="0"/>
          <w:sz w:val="18"/>
        </w:rPr>
        <w:t>）验收过程中按实填写有关表格，验收过程中分次验收表格由监理与施工单位保管，验收完成</w:t>
      </w:r>
      <w:r>
        <w:rPr>
          <w:b w:val="0"/>
          <w:sz w:val="18"/>
        </w:rPr>
        <w:t xml:space="preserve"> </w:t>
      </w:r>
      <w:r>
        <w:rPr>
          <w:rFonts w:hint="eastAsia"/>
          <w:b w:val="0"/>
          <w:sz w:val="18"/>
        </w:rPr>
        <w:t>后由建设方与监理方内部存档备查，建设方核查数量不低于</w:t>
      </w:r>
      <w:r>
        <w:rPr>
          <w:b w:val="0"/>
          <w:sz w:val="18"/>
        </w:rPr>
        <w:t>30%</w:t>
      </w:r>
      <w:r>
        <w:rPr>
          <w:rFonts w:hint="eastAsia"/>
          <w:b w:val="0"/>
          <w:sz w:val="18"/>
        </w:rPr>
        <w:t>。</w:t>
      </w:r>
      <w:r>
        <w:rPr>
          <w:b w:val="0"/>
          <w:sz w:val="18"/>
        </w:rPr>
        <w:t xml:space="preserve"> </w:t>
      </w:r>
    </w:p>
    <w:p w14:paraId="41CE3F03">
      <w:pPr>
        <w:pStyle w:val="96"/>
        <w:ind w:left="846" w:firstLine="360" w:firstLineChars="200"/>
        <w:jc w:val="left"/>
        <w:rPr>
          <w:b w:val="0"/>
          <w:sz w:val="18"/>
        </w:rPr>
      </w:pPr>
      <w:r>
        <w:rPr>
          <w:b w:val="0"/>
          <w:sz w:val="18"/>
        </w:rPr>
        <w:t xml:space="preserve">8.3.8.3 </w:t>
      </w:r>
      <w:r>
        <w:rPr>
          <w:rFonts w:hint="eastAsia"/>
          <w:b w:val="0"/>
          <w:sz w:val="18"/>
        </w:rPr>
        <w:t>地下室后浇带渗漏治理措施</w:t>
      </w:r>
    </w:p>
    <w:p w14:paraId="29BDCEFB">
      <w:pPr>
        <w:pStyle w:val="96"/>
        <w:ind w:left="846" w:firstLine="360" w:firstLineChars="200"/>
        <w:jc w:val="left"/>
        <w:rPr>
          <w:b w:val="0"/>
          <w:sz w:val="18"/>
        </w:rPr>
      </w:pPr>
      <w:r>
        <w:rPr>
          <w:rFonts w:hint="eastAsia"/>
          <w:b w:val="0"/>
          <w:sz w:val="18"/>
        </w:rPr>
        <w:t>原因分析：</w:t>
      </w:r>
      <w:r>
        <w:rPr>
          <w:b w:val="0"/>
          <w:sz w:val="18"/>
        </w:rPr>
        <w:t xml:space="preserve">  </w:t>
      </w:r>
    </w:p>
    <w:p w14:paraId="1F5DCA48">
      <w:pPr>
        <w:pStyle w:val="96"/>
        <w:ind w:left="846" w:firstLine="360" w:firstLineChars="200"/>
        <w:jc w:val="left"/>
        <w:rPr>
          <w:b w:val="0"/>
          <w:sz w:val="18"/>
        </w:rPr>
      </w:pPr>
      <w:r>
        <w:rPr>
          <w:b w:val="0"/>
          <w:sz w:val="18"/>
        </w:rPr>
        <w:t>1）</w:t>
      </w:r>
      <w:r>
        <w:rPr>
          <w:rFonts w:hint="eastAsia"/>
          <w:b w:val="0"/>
          <w:sz w:val="18"/>
        </w:rPr>
        <w:t>后浇带的止水钢板安装偏位严重，钢板连接处搭接焊缝质量差，止水钢板在墙底板或墙顶板</w:t>
      </w:r>
      <w:r>
        <w:rPr>
          <w:b w:val="0"/>
          <w:sz w:val="18"/>
        </w:rPr>
        <w:t xml:space="preserve">  </w:t>
      </w:r>
      <w:r>
        <w:rPr>
          <w:rFonts w:hint="eastAsia"/>
          <w:b w:val="0"/>
          <w:sz w:val="18"/>
        </w:rPr>
        <w:t>转角处未连通，造成局部止水钢板失效；</w:t>
      </w:r>
      <w:r>
        <w:rPr>
          <w:b w:val="0"/>
          <w:sz w:val="18"/>
        </w:rPr>
        <w:t xml:space="preserve">  </w:t>
      </w:r>
    </w:p>
    <w:p w14:paraId="2C90CF2F">
      <w:pPr>
        <w:pStyle w:val="96"/>
        <w:ind w:left="846" w:firstLine="360" w:firstLineChars="200"/>
        <w:jc w:val="left"/>
        <w:rPr>
          <w:b w:val="0"/>
          <w:sz w:val="18"/>
        </w:rPr>
      </w:pPr>
      <w:r>
        <w:rPr>
          <w:b w:val="0"/>
          <w:sz w:val="18"/>
        </w:rPr>
        <w:t>2）</w:t>
      </w:r>
      <w:r>
        <w:rPr>
          <w:rFonts w:hint="eastAsia"/>
          <w:b w:val="0"/>
          <w:sz w:val="18"/>
        </w:rPr>
        <w:t>后浇带的混凝土浇筑前，对后浇带内的混凝土、垃圾、积水未清理或清理不彻底，影响后浇</w:t>
      </w:r>
      <w:r>
        <w:rPr>
          <w:b w:val="0"/>
          <w:sz w:val="18"/>
        </w:rPr>
        <w:t xml:space="preserve">  </w:t>
      </w:r>
      <w:r>
        <w:rPr>
          <w:rFonts w:hint="eastAsia"/>
          <w:b w:val="0"/>
          <w:sz w:val="18"/>
        </w:rPr>
        <w:t>带内的混凝土浇筑质量；</w:t>
      </w:r>
      <w:r>
        <w:rPr>
          <w:b w:val="0"/>
          <w:sz w:val="18"/>
        </w:rPr>
        <w:t xml:space="preserve">  </w:t>
      </w:r>
    </w:p>
    <w:p w14:paraId="3742F6AF">
      <w:pPr>
        <w:pStyle w:val="96"/>
        <w:ind w:left="846" w:firstLine="360" w:firstLineChars="200"/>
        <w:jc w:val="left"/>
        <w:rPr>
          <w:b w:val="0"/>
          <w:sz w:val="18"/>
        </w:rPr>
      </w:pPr>
      <w:r>
        <w:rPr>
          <w:b w:val="0"/>
          <w:sz w:val="18"/>
        </w:rPr>
        <w:t>3）</w:t>
      </w:r>
      <w:r>
        <w:rPr>
          <w:rFonts w:hint="eastAsia"/>
          <w:b w:val="0"/>
          <w:sz w:val="18"/>
        </w:rPr>
        <w:t>止水钢板两侧的模板安装质量差，混凝土浆液大量流失，造成止水钢板周边多为石子，混凝</w:t>
      </w:r>
      <w:r>
        <w:rPr>
          <w:b w:val="0"/>
          <w:sz w:val="18"/>
        </w:rPr>
        <w:t xml:space="preserve">  </w:t>
      </w:r>
      <w:r>
        <w:rPr>
          <w:rFonts w:hint="eastAsia"/>
          <w:b w:val="0"/>
          <w:sz w:val="18"/>
        </w:rPr>
        <w:t>土酥松；</w:t>
      </w:r>
      <w:r>
        <w:rPr>
          <w:b w:val="0"/>
          <w:sz w:val="18"/>
        </w:rPr>
        <w:t xml:space="preserve">  </w:t>
      </w:r>
    </w:p>
    <w:p w14:paraId="38EAE978">
      <w:pPr>
        <w:pStyle w:val="96"/>
        <w:ind w:left="846" w:firstLine="360" w:firstLineChars="200"/>
        <w:jc w:val="left"/>
        <w:rPr>
          <w:b w:val="0"/>
          <w:sz w:val="18"/>
        </w:rPr>
      </w:pPr>
      <w:r>
        <w:rPr>
          <w:b w:val="0"/>
          <w:sz w:val="18"/>
        </w:rPr>
        <w:t>4）</w:t>
      </w:r>
      <w:r>
        <w:rPr>
          <w:rFonts w:hint="eastAsia"/>
          <w:b w:val="0"/>
          <w:sz w:val="18"/>
        </w:rPr>
        <w:t>后浇带内的混凝土浇筑时，振捣不到位，混凝土不够密实。</w:t>
      </w:r>
      <w:r>
        <w:rPr>
          <w:b w:val="0"/>
          <w:sz w:val="18"/>
        </w:rPr>
        <w:t xml:space="preserve">  </w:t>
      </w:r>
    </w:p>
    <w:p w14:paraId="6CAA4778">
      <w:pPr>
        <w:pStyle w:val="96"/>
        <w:ind w:left="846" w:firstLine="360" w:firstLineChars="200"/>
        <w:jc w:val="left"/>
        <w:rPr>
          <w:b w:val="0"/>
          <w:sz w:val="18"/>
        </w:rPr>
      </w:pPr>
      <w:r>
        <w:rPr>
          <w:rFonts w:hint="eastAsia"/>
          <w:b w:val="0"/>
          <w:sz w:val="18"/>
        </w:rPr>
        <w:t>防渗措施：</w:t>
      </w:r>
      <w:r>
        <w:rPr>
          <w:b w:val="0"/>
          <w:sz w:val="18"/>
        </w:rPr>
        <w:t xml:space="preserve">  </w:t>
      </w:r>
    </w:p>
    <w:p w14:paraId="0018E571">
      <w:pPr>
        <w:pStyle w:val="96"/>
        <w:ind w:left="846" w:firstLine="360" w:firstLineChars="200"/>
        <w:jc w:val="left"/>
        <w:rPr>
          <w:b w:val="0"/>
          <w:sz w:val="18"/>
        </w:rPr>
      </w:pPr>
      <w:r>
        <w:rPr>
          <w:b w:val="0"/>
          <w:sz w:val="18"/>
        </w:rPr>
        <w:t>1）</w:t>
      </w:r>
      <w:r>
        <w:rPr>
          <w:rFonts w:hint="eastAsia"/>
          <w:b w:val="0"/>
          <w:sz w:val="18"/>
        </w:rPr>
        <w:t>后浇带应作为现场管理的关键部位，对钢筋的加密要求、密目钢筋网片的制作与安装、止水</w:t>
      </w:r>
      <w:r>
        <w:rPr>
          <w:b w:val="0"/>
          <w:sz w:val="18"/>
        </w:rPr>
        <w:t xml:space="preserve">  </w:t>
      </w:r>
      <w:r>
        <w:rPr>
          <w:rFonts w:hint="eastAsia"/>
          <w:b w:val="0"/>
          <w:sz w:val="18"/>
        </w:rPr>
        <w:t>钢板的安装、模板支撑系统的设置与墙模的安装、后浇带内的混凝土浇筑与养护应作为技术</w:t>
      </w:r>
      <w:r>
        <w:rPr>
          <w:b w:val="0"/>
          <w:sz w:val="18"/>
        </w:rPr>
        <w:t xml:space="preserve"> </w:t>
      </w:r>
      <w:r>
        <w:rPr>
          <w:rFonts w:hint="eastAsia"/>
          <w:b w:val="0"/>
          <w:sz w:val="18"/>
        </w:rPr>
        <w:t>交底</w:t>
      </w:r>
      <w:r>
        <w:rPr>
          <w:b w:val="0"/>
          <w:sz w:val="18"/>
        </w:rPr>
        <w:t xml:space="preserve"> </w:t>
      </w:r>
      <w:r>
        <w:rPr>
          <w:rFonts w:hint="eastAsia"/>
          <w:b w:val="0"/>
          <w:sz w:val="18"/>
        </w:rPr>
        <w:t>的重点内容，现场管理人员应对此部位进行重点检查并安排相应的旁站工作；</w:t>
      </w:r>
      <w:r>
        <w:rPr>
          <w:b w:val="0"/>
          <w:sz w:val="18"/>
        </w:rPr>
        <w:t xml:space="preserve">  </w:t>
      </w:r>
    </w:p>
    <w:p w14:paraId="59BCADAF">
      <w:pPr>
        <w:pStyle w:val="96"/>
        <w:ind w:left="846" w:firstLine="360" w:firstLineChars="200"/>
        <w:jc w:val="left"/>
        <w:rPr>
          <w:b w:val="0"/>
          <w:sz w:val="18"/>
        </w:rPr>
      </w:pPr>
      <w:r>
        <w:rPr>
          <w:b w:val="0"/>
          <w:sz w:val="18"/>
        </w:rPr>
        <w:t>2）</w:t>
      </w:r>
      <w:r>
        <w:rPr>
          <w:rFonts w:hint="eastAsia"/>
          <w:b w:val="0"/>
          <w:sz w:val="18"/>
        </w:rPr>
        <w:t>止水钢板的规格应符合设计图纸要求；止水钢板的中心应与水平施工缝重叠，中心偏位误差</w:t>
      </w:r>
      <w:r>
        <w:rPr>
          <w:b w:val="0"/>
          <w:sz w:val="18"/>
        </w:rPr>
        <w:t xml:space="preserve">  </w:t>
      </w:r>
      <w:r>
        <w:rPr>
          <w:rFonts w:hint="eastAsia"/>
          <w:b w:val="0"/>
          <w:sz w:val="18"/>
        </w:rPr>
        <w:t>不得大于</w:t>
      </w:r>
      <w:r>
        <w:rPr>
          <w:b w:val="0"/>
          <w:sz w:val="18"/>
        </w:rPr>
        <w:t>50mm;</w:t>
      </w:r>
      <w:r>
        <w:rPr>
          <w:rFonts w:hint="eastAsia"/>
          <w:b w:val="0"/>
          <w:sz w:val="18"/>
        </w:rPr>
        <w:t>止水钢板的连接应采用双面搭接焊，搭接长度不小于</w:t>
      </w:r>
      <w:r>
        <w:rPr>
          <w:b w:val="0"/>
          <w:sz w:val="18"/>
        </w:rPr>
        <w:t>100mm</w:t>
      </w:r>
      <w:r>
        <w:rPr>
          <w:rFonts w:hint="eastAsia"/>
          <w:b w:val="0"/>
          <w:sz w:val="18"/>
        </w:rPr>
        <w:t>，底板、墙板、顶</w:t>
      </w:r>
      <w:r>
        <w:rPr>
          <w:b w:val="0"/>
          <w:sz w:val="18"/>
        </w:rPr>
        <w:t xml:space="preserve"> </w:t>
      </w:r>
      <w:r>
        <w:rPr>
          <w:rFonts w:hint="eastAsia"/>
          <w:b w:val="0"/>
          <w:sz w:val="18"/>
        </w:rPr>
        <w:t>板的</w:t>
      </w:r>
      <w:r>
        <w:rPr>
          <w:b w:val="0"/>
          <w:sz w:val="18"/>
        </w:rPr>
        <w:t xml:space="preserve"> </w:t>
      </w:r>
      <w:r>
        <w:rPr>
          <w:rFonts w:hint="eastAsia"/>
          <w:b w:val="0"/>
          <w:sz w:val="18"/>
        </w:rPr>
        <w:t>止水钢板及外墙水平施工缝的止水钢板应相互连通；</w:t>
      </w:r>
      <w:r>
        <w:rPr>
          <w:b w:val="0"/>
          <w:sz w:val="18"/>
        </w:rPr>
        <w:t xml:space="preserve">  </w:t>
      </w:r>
    </w:p>
    <w:p w14:paraId="773062A5">
      <w:pPr>
        <w:pStyle w:val="96"/>
        <w:ind w:left="846" w:firstLine="360" w:firstLineChars="200"/>
        <w:jc w:val="left"/>
        <w:rPr>
          <w:b w:val="0"/>
          <w:sz w:val="18"/>
        </w:rPr>
      </w:pPr>
      <w:r>
        <w:rPr>
          <w:b w:val="0"/>
          <w:sz w:val="18"/>
        </w:rPr>
        <w:t>3）</w:t>
      </w:r>
      <w:r>
        <w:rPr>
          <w:rFonts w:hint="eastAsia"/>
          <w:b w:val="0"/>
          <w:sz w:val="18"/>
        </w:rPr>
        <w:t>采用双层钢丝密目网与钢筋制作钢丝网模，作为止水钢板两侧的模板，将钢丝网模与止水钢</w:t>
      </w:r>
      <w:r>
        <w:rPr>
          <w:b w:val="0"/>
          <w:sz w:val="18"/>
        </w:rPr>
        <w:t xml:space="preserve">  </w:t>
      </w:r>
      <w:r>
        <w:rPr>
          <w:rFonts w:hint="eastAsia"/>
          <w:b w:val="0"/>
          <w:sz w:val="18"/>
        </w:rPr>
        <w:t>板一同固定牢固：钢筋网两侧的保护层采用水泥砂浆或方木对混凝土进行封档；墙板后浇带</w:t>
      </w:r>
      <w:r>
        <w:rPr>
          <w:b w:val="0"/>
          <w:sz w:val="18"/>
        </w:rPr>
        <w:t xml:space="preserve"> </w:t>
      </w:r>
      <w:r>
        <w:rPr>
          <w:rFonts w:hint="eastAsia"/>
          <w:b w:val="0"/>
          <w:sz w:val="18"/>
        </w:rPr>
        <w:t>的钢</w:t>
      </w:r>
      <w:r>
        <w:rPr>
          <w:b w:val="0"/>
          <w:sz w:val="18"/>
        </w:rPr>
        <w:t xml:space="preserve"> </w:t>
      </w:r>
      <w:r>
        <w:rPr>
          <w:rFonts w:hint="eastAsia"/>
          <w:b w:val="0"/>
          <w:sz w:val="18"/>
        </w:rPr>
        <w:t>丝网模及方木应设斜撑进行加固，防止出现胀模或漏浆现象；</w:t>
      </w:r>
      <w:r>
        <w:rPr>
          <w:b w:val="0"/>
          <w:sz w:val="18"/>
        </w:rPr>
        <w:t xml:space="preserve">  </w:t>
      </w:r>
    </w:p>
    <w:p w14:paraId="484E24C6">
      <w:pPr>
        <w:pStyle w:val="96"/>
        <w:ind w:left="846" w:firstLine="360" w:firstLineChars="200"/>
        <w:jc w:val="left"/>
        <w:rPr>
          <w:b w:val="0"/>
          <w:sz w:val="18"/>
        </w:rPr>
      </w:pPr>
      <w:r>
        <w:rPr>
          <w:b w:val="0"/>
          <w:sz w:val="18"/>
        </w:rPr>
        <w:t>4）</w:t>
      </w:r>
      <w:r>
        <w:rPr>
          <w:rFonts w:hint="eastAsia"/>
          <w:b w:val="0"/>
          <w:sz w:val="18"/>
        </w:rPr>
        <w:t>顶板后浇带的模板支撑系统应独立搭设（模板专项方案中必查内容），顶板拆模时应保留后</w:t>
      </w:r>
      <w:r>
        <w:rPr>
          <w:b w:val="0"/>
          <w:sz w:val="18"/>
        </w:rPr>
        <w:t xml:space="preserve">  </w:t>
      </w:r>
      <w:r>
        <w:rPr>
          <w:rFonts w:hint="eastAsia"/>
          <w:b w:val="0"/>
          <w:sz w:val="18"/>
        </w:rPr>
        <w:t>浇带的模板支撑系统，防止顶板混凝土结构因受力模式改变，出现结构裂缝；有后浇带的跨</w:t>
      </w:r>
      <w:r>
        <w:rPr>
          <w:b w:val="0"/>
          <w:sz w:val="18"/>
        </w:rPr>
        <w:t xml:space="preserve"> </w:t>
      </w:r>
      <w:r>
        <w:rPr>
          <w:rFonts w:hint="eastAsia"/>
          <w:b w:val="0"/>
          <w:sz w:val="18"/>
        </w:rPr>
        <w:t>内不</w:t>
      </w:r>
      <w:r>
        <w:rPr>
          <w:b w:val="0"/>
          <w:sz w:val="18"/>
        </w:rPr>
        <w:t xml:space="preserve"> </w:t>
      </w:r>
      <w:r>
        <w:rPr>
          <w:rFonts w:hint="eastAsia"/>
          <w:b w:val="0"/>
          <w:sz w:val="18"/>
        </w:rPr>
        <w:t>得堆放材料或设备；</w:t>
      </w:r>
      <w:r>
        <w:rPr>
          <w:b w:val="0"/>
          <w:sz w:val="18"/>
        </w:rPr>
        <w:t xml:space="preserve">  </w:t>
      </w:r>
    </w:p>
    <w:p w14:paraId="61D1FAC3">
      <w:pPr>
        <w:pStyle w:val="96"/>
        <w:ind w:left="846" w:firstLine="360" w:firstLineChars="200"/>
        <w:jc w:val="left"/>
        <w:rPr>
          <w:b w:val="0"/>
          <w:sz w:val="18"/>
        </w:rPr>
      </w:pPr>
      <w:r>
        <w:rPr>
          <w:b w:val="0"/>
          <w:sz w:val="18"/>
        </w:rPr>
        <w:t>5）</w:t>
      </w:r>
      <w:r>
        <w:rPr>
          <w:rFonts w:hint="eastAsia"/>
          <w:b w:val="0"/>
          <w:sz w:val="18"/>
        </w:rPr>
        <w:t>底板与顶板的混凝土浇筑完成后，应及时安排人员清理后浇带内的混凝土与止水钢板上的浮</w:t>
      </w:r>
      <w:r>
        <w:rPr>
          <w:b w:val="0"/>
          <w:sz w:val="18"/>
        </w:rPr>
        <w:t xml:space="preserve">  </w:t>
      </w:r>
      <w:r>
        <w:rPr>
          <w:rFonts w:hint="eastAsia"/>
          <w:b w:val="0"/>
          <w:sz w:val="18"/>
        </w:rPr>
        <w:t>浆，清理干净后，用模板将后浇带覆盖保护；后浇带的混凝土在浇筑前，应先进行清理工作，</w:t>
      </w:r>
      <w:r>
        <w:rPr>
          <w:b w:val="0"/>
          <w:sz w:val="18"/>
        </w:rPr>
        <w:t xml:space="preserve"> </w:t>
      </w:r>
      <w:r>
        <w:rPr>
          <w:rFonts w:hint="eastAsia"/>
          <w:b w:val="0"/>
          <w:sz w:val="18"/>
        </w:rPr>
        <w:t>包括垃圾、积水、锈蚀严重的钢筋，并报监理重新进行隐蔽验收和组织旁站工作，重点检</w:t>
      </w:r>
      <w:r>
        <w:rPr>
          <w:b w:val="0"/>
          <w:sz w:val="18"/>
        </w:rPr>
        <w:t xml:space="preserve"> </w:t>
      </w:r>
      <w:r>
        <w:rPr>
          <w:rFonts w:hint="eastAsia"/>
          <w:b w:val="0"/>
          <w:sz w:val="18"/>
        </w:rPr>
        <w:t>查后浇带内的垃圾清理。</w:t>
      </w:r>
    </w:p>
    <w:p w14:paraId="0E4AAC24">
      <w:pPr>
        <w:pStyle w:val="96"/>
        <w:ind w:left="846" w:firstLine="360" w:firstLineChars="200"/>
        <w:jc w:val="left"/>
        <w:rPr>
          <w:b w:val="0"/>
          <w:sz w:val="18"/>
        </w:rPr>
      </w:pPr>
      <w:r>
        <w:rPr>
          <w:b w:val="0"/>
          <w:sz w:val="18"/>
        </w:rPr>
        <w:t>6）</w:t>
      </w:r>
      <w:r>
        <w:rPr>
          <w:rFonts w:hint="eastAsia"/>
          <w:b w:val="0"/>
          <w:sz w:val="18"/>
        </w:rPr>
        <w:t>积水排除、铺浆、混凝土供应与振捣土作；另需有防止地下水</w:t>
      </w:r>
      <w:r>
        <w:rPr>
          <w:b w:val="0"/>
          <w:sz w:val="18"/>
        </w:rPr>
        <w:t xml:space="preserve"> </w:t>
      </w:r>
      <w:r>
        <w:rPr>
          <w:rFonts w:hint="eastAsia"/>
          <w:b w:val="0"/>
          <w:sz w:val="18"/>
        </w:rPr>
        <w:t>压力对新浇混凝土破坏的措施（如设置释放孔）；</w:t>
      </w:r>
      <w:r>
        <w:rPr>
          <w:b w:val="0"/>
          <w:sz w:val="18"/>
        </w:rPr>
        <w:t xml:space="preserve">  </w:t>
      </w:r>
    </w:p>
    <w:p w14:paraId="6296AB6F">
      <w:pPr>
        <w:pStyle w:val="96"/>
        <w:ind w:left="846" w:firstLine="360" w:firstLineChars="200"/>
        <w:jc w:val="left"/>
        <w:rPr>
          <w:b w:val="0"/>
          <w:sz w:val="18"/>
        </w:rPr>
      </w:pPr>
      <w:r>
        <w:rPr>
          <w:b w:val="0"/>
          <w:sz w:val="18"/>
        </w:rPr>
        <w:t>7）</w:t>
      </w:r>
      <w:r>
        <w:rPr>
          <w:rFonts w:hint="eastAsia"/>
          <w:b w:val="0"/>
          <w:sz w:val="18"/>
        </w:rPr>
        <w:t>后浇带混凝土浇筑后，应持续养护</w:t>
      </w:r>
      <w:r>
        <w:rPr>
          <w:b w:val="0"/>
          <w:sz w:val="18"/>
        </w:rPr>
        <w:t>14</w:t>
      </w:r>
      <w:r>
        <w:rPr>
          <w:rFonts w:hint="eastAsia"/>
          <w:b w:val="0"/>
          <w:sz w:val="18"/>
        </w:rPr>
        <w:t>天；顶板后浇带的模板拆除应根据同条件试块报告的结</w:t>
      </w:r>
      <w:r>
        <w:rPr>
          <w:b w:val="0"/>
          <w:sz w:val="18"/>
        </w:rPr>
        <w:t xml:space="preserve"> </w:t>
      </w:r>
      <w:r>
        <w:rPr>
          <w:rFonts w:hint="eastAsia"/>
          <w:b w:val="0"/>
          <w:sz w:val="18"/>
        </w:rPr>
        <w:t>果确定拆除时间；</w:t>
      </w:r>
      <w:r>
        <w:rPr>
          <w:b w:val="0"/>
          <w:sz w:val="18"/>
        </w:rPr>
        <w:t xml:space="preserve">  </w:t>
      </w:r>
    </w:p>
    <w:p w14:paraId="02958D14">
      <w:pPr>
        <w:pStyle w:val="96"/>
        <w:ind w:left="846" w:firstLine="360" w:firstLineChars="200"/>
        <w:jc w:val="left"/>
        <w:rPr>
          <w:b w:val="0"/>
          <w:sz w:val="18"/>
        </w:rPr>
      </w:pPr>
      <w:r>
        <w:rPr>
          <w:b w:val="0"/>
          <w:sz w:val="18"/>
        </w:rPr>
        <w:t>8）</w:t>
      </w:r>
      <w:r>
        <w:rPr>
          <w:rFonts w:hint="eastAsia"/>
          <w:b w:val="0"/>
          <w:sz w:val="18"/>
        </w:rPr>
        <w:t>后浇带的迎水面均附加一道</w:t>
      </w:r>
      <w:r>
        <w:rPr>
          <w:b w:val="0"/>
          <w:sz w:val="18"/>
        </w:rPr>
        <w:t>4mm</w:t>
      </w:r>
      <w:r>
        <w:rPr>
          <w:rFonts w:hint="eastAsia"/>
          <w:b w:val="0"/>
          <w:sz w:val="18"/>
        </w:rPr>
        <w:t>厚的</w:t>
      </w:r>
      <w:r>
        <w:rPr>
          <w:b w:val="0"/>
          <w:sz w:val="18"/>
        </w:rPr>
        <w:t>SBS</w:t>
      </w:r>
      <w:r>
        <w:rPr>
          <w:rFonts w:hint="eastAsia"/>
          <w:b w:val="0"/>
          <w:sz w:val="18"/>
        </w:rPr>
        <w:t>防水卷材</w:t>
      </w:r>
      <w:r>
        <w:rPr>
          <w:b w:val="0"/>
          <w:sz w:val="18"/>
        </w:rPr>
        <w:t xml:space="preserve">  </w:t>
      </w:r>
    </w:p>
    <w:p w14:paraId="436EDA21">
      <w:pPr>
        <w:pStyle w:val="96"/>
        <w:ind w:left="846" w:firstLine="360" w:firstLineChars="200"/>
        <w:jc w:val="left"/>
        <w:rPr>
          <w:b w:val="0"/>
          <w:sz w:val="18"/>
        </w:rPr>
      </w:pPr>
      <w:r>
        <w:rPr>
          <w:rFonts w:hint="eastAsia"/>
          <w:b w:val="0"/>
          <w:sz w:val="18"/>
        </w:rPr>
        <w:t>检验方法与要求</w:t>
      </w:r>
      <w:r>
        <w:rPr>
          <w:b w:val="0"/>
          <w:sz w:val="18"/>
        </w:rPr>
        <w:t xml:space="preserve">  </w:t>
      </w:r>
    </w:p>
    <w:p w14:paraId="62686915">
      <w:pPr>
        <w:pStyle w:val="96"/>
        <w:ind w:left="846" w:firstLine="360" w:firstLineChars="200"/>
        <w:jc w:val="left"/>
        <w:rPr>
          <w:b w:val="0"/>
          <w:sz w:val="18"/>
        </w:rPr>
      </w:pPr>
      <w:r>
        <w:rPr>
          <w:b w:val="0"/>
          <w:sz w:val="18"/>
        </w:rPr>
        <w:t>1）</w:t>
      </w:r>
      <w:r>
        <w:rPr>
          <w:rFonts w:hint="eastAsia"/>
          <w:b w:val="0"/>
          <w:sz w:val="18"/>
        </w:rPr>
        <w:t>混凝土浇筑前，后浇带部位的止水钢板安装牢固，止水钢板接头处的焊缝与搭接符合要求，</w:t>
      </w:r>
      <w:r>
        <w:rPr>
          <w:b w:val="0"/>
          <w:sz w:val="18"/>
        </w:rPr>
        <w:t xml:space="preserve">  </w:t>
      </w:r>
      <w:r>
        <w:rPr>
          <w:rFonts w:hint="eastAsia"/>
          <w:b w:val="0"/>
          <w:sz w:val="18"/>
        </w:rPr>
        <w:t>钢丝网模固定牢固，上下钢筋保护层均有防止混凝土流进后浇带内的措施。</w:t>
      </w:r>
      <w:r>
        <w:rPr>
          <w:b w:val="0"/>
          <w:sz w:val="18"/>
        </w:rPr>
        <w:t xml:space="preserve">  </w:t>
      </w:r>
    </w:p>
    <w:p w14:paraId="4CC8B500">
      <w:pPr>
        <w:pStyle w:val="96"/>
        <w:ind w:left="846" w:firstLine="360" w:firstLineChars="200"/>
        <w:jc w:val="left"/>
        <w:rPr>
          <w:b w:val="0"/>
          <w:sz w:val="18"/>
        </w:rPr>
      </w:pPr>
      <w:r>
        <w:rPr>
          <w:b w:val="0"/>
          <w:sz w:val="18"/>
        </w:rPr>
        <w:t>2）</w:t>
      </w:r>
      <w:r>
        <w:rPr>
          <w:rFonts w:hint="eastAsia"/>
          <w:b w:val="0"/>
          <w:sz w:val="18"/>
        </w:rPr>
        <w:t>检验方法与数量：观察检查，尺量检查，全数检查。</w:t>
      </w:r>
      <w:r>
        <w:rPr>
          <w:b w:val="0"/>
          <w:sz w:val="18"/>
        </w:rPr>
        <w:t xml:space="preserve">  </w:t>
      </w:r>
    </w:p>
    <w:p w14:paraId="4D06CF4A">
      <w:pPr>
        <w:pStyle w:val="96"/>
        <w:ind w:left="846" w:firstLine="360" w:firstLineChars="200"/>
        <w:jc w:val="left"/>
        <w:rPr>
          <w:b w:val="0"/>
          <w:sz w:val="18"/>
        </w:rPr>
      </w:pPr>
      <w:r>
        <w:rPr>
          <w:b w:val="0"/>
          <w:sz w:val="18"/>
        </w:rPr>
        <w:t xml:space="preserve">    </w:t>
      </w:r>
      <w:r>
        <w:rPr>
          <w:rFonts w:hint="eastAsia"/>
          <w:b w:val="0"/>
          <w:sz w:val="18"/>
        </w:rPr>
        <w:t>混凝土浇筑完成后，立即组织人员对底板和顶板后浇带内的混凝土与垃圾清理干净，</w:t>
      </w:r>
      <w:r>
        <w:rPr>
          <w:b w:val="0"/>
          <w:sz w:val="18"/>
        </w:rPr>
        <w:t xml:space="preserve"> </w:t>
      </w:r>
    </w:p>
    <w:p w14:paraId="3A27882F">
      <w:pPr>
        <w:pStyle w:val="96"/>
        <w:ind w:left="846" w:firstLine="360" w:firstLineChars="200"/>
        <w:jc w:val="left"/>
        <w:rPr>
          <w:b w:val="0"/>
          <w:sz w:val="18"/>
        </w:rPr>
      </w:pPr>
      <w:r>
        <w:rPr>
          <w:b w:val="0"/>
          <w:sz w:val="18"/>
        </w:rPr>
        <w:t xml:space="preserve">    </w:t>
      </w:r>
      <w:r>
        <w:rPr>
          <w:rFonts w:hint="eastAsia"/>
          <w:b w:val="0"/>
          <w:sz w:val="18"/>
        </w:rPr>
        <w:t>并用模板覆盖。</w:t>
      </w:r>
      <w:r>
        <w:rPr>
          <w:b w:val="0"/>
          <w:sz w:val="18"/>
        </w:rPr>
        <w:t xml:space="preserve">  </w:t>
      </w:r>
    </w:p>
    <w:p w14:paraId="2A7A34F0">
      <w:pPr>
        <w:pStyle w:val="96"/>
        <w:ind w:left="846" w:firstLine="360" w:firstLineChars="200"/>
        <w:jc w:val="left"/>
        <w:rPr>
          <w:b w:val="0"/>
          <w:sz w:val="18"/>
        </w:rPr>
      </w:pPr>
      <w:r>
        <w:rPr>
          <w:b w:val="0"/>
          <w:sz w:val="18"/>
        </w:rPr>
        <w:t>3）</w:t>
      </w:r>
      <w:r>
        <w:rPr>
          <w:rFonts w:hint="eastAsia"/>
          <w:b w:val="0"/>
          <w:sz w:val="18"/>
        </w:rPr>
        <w:t>检验方法与数量：观察检查，全数检查。</w:t>
      </w:r>
      <w:r>
        <w:rPr>
          <w:b w:val="0"/>
          <w:sz w:val="18"/>
        </w:rPr>
        <w:t xml:space="preserve">  </w:t>
      </w:r>
    </w:p>
    <w:p w14:paraId="673CE69E">
      <w:pPr>
        <w:pStyle w:val="96"/>
        <w:ind w:left="846" w:firstLine="360" w:firstLineChars="200"/>
        <w:jc w:val="left"/>
        <w:rPr>
          <w:b w:val="0"/>
          <w:sz w:val="18"/>
        </w:rPr>
      </w:pPr>
      <w:r>
        <w:rPr>
          <w:b w:val="0"/>
          <w:sz w:val="18"/>
        </w:rPr>
        <w:t xml:space="preserve">    </w:t>
      </w:r>
      <w:r>
        <w:rPr>
          <w:rFonts w:hint="eastAsia"/>
          <w:b w:val="0"/>
          <w:sz w:val="18"/>
        </w:rPr>
        <w:t>顶板后浇带部位的模板支撑系统独立搭设，后浇带内的混凝土未浇筑前，不得拆除，</w:t>
      </w:r>
      <w:r>
        <w:rPr>
          <w:b w:val="0"/>
          <w:sz w:val="18"/>
        </w:rPr>
        <w:t xml:space="preserve"> </w:t>
      </w:r>
    </w:p>
    <w:p w14:paraId="6874A58E">
      <w:pPr>
        <w:pStyle w:val="96"/>
        <w:ind w:left="846" w:firstLine="360" w:firstLineChars="200"/>
        <w:jc w:val="left"/>
        <w:rPr>
          <w:b w:val="0"/>
          <w:sz w:val="18"/>
        </w:rPr>
      </w:pPr>
      <w:r>
        <w:rPr>
          <w:b w:val="0"/>
          <w:sz w:val="18"/>
        </w:rPr>
        <w:t xml:space="preserve">    </w:t>
      </w:r>
      <w:r>
        <w:rPr>
          <w:rFonts w:hint="eastAsia"/>
          <w:b w:val="0"/>
          <w:sz w:val="18"/>
        </w:rPr>
        <w:t>后浇带未封闭前，跨内不得堆放材料或设备。</w:t>
      </w:r>
      <w:r>
        <w:rPr>
          <w:b w:val="0"/>
          <w:sz w:val="18"/>
        </w:rPr>
        <w:t xml:space="preserve">  </w:t>
      </w:r>
    </w:p>
    <w:p w14:paraId="22897C10">
      <w:pPr>
        <w:pStyle w:val="96"/>
        <w:ind w:left="846" w:firstLine="360" w:firstLineChars="200"/>
        <w:jc w:val="left"/>
        <w:rPr>
          <w:b w:val="0"/>
          <w:sz w:val="18"/>
        </w:rPr>
      </w:pPr>
      <w:r>
        <w:rPr>
          <w:b w:val="0"/>
          <w:sz w:val="18"/>
        </w:rPr>
        <w:t>4）</w:t>
      </w:r>
      <w:r>
        <w:rPr>
          <w:rFonts w:hint="eastAsia"/>
          <w:b w:val="0"/>
          <w:sz w:val="18"/>
        </w:rPr>
        <w:t>检验方法与数量：观察检查，全数检查。</w:t>
      </w:r>
      <w:r>
        <w:rPr>
          <w:b w:val="0"/>
          <w:sz w:val="18"/>
        </w:rPr>
        <w:t xml:space="preserve">  </w:t>
      </w:r>
    </w:p>
    <w:p w14:paraId="641580A5">
      <w:pPr>
        <w:pStyle w:val="96"/>
        <w:ind w:left="846" w:firstLine="360" w:firstLineChars="200"/>
        <w:jc w:val="left"/>
        <w:rPr>
          <w:b w:val="0"/>
          <w:sz w:val="18"/>
        </w:rPr>
      </w:pPr>
      <w:r>
        <w:rPr>
          <w:b w:val="0"/>
          <w:sz w:val="18"/>
        </w:rPr>
        <w:t xml:space="preserve">    </w:t>
      </w:r>
      <w:r>
        <w:rPr>
          <w:rFonts w:hint="eastAsia"/>
          <w:b w:val="0"/>
          <w:sz w:val="18"/>
        </w:rPr>
        <w:t>后浇带内混凝土浇筑前，垃圾、积水与浮浆等已清理干净，后浇带内的混凝土浇筑连续，</w:t>
      </w:r>
      <w:r>
        <w:rPr>
          <w:b w:val="0"/>
          <w:sz w:val="18"/>
        </w:rPr>
        <w:t xml:space="preserve"> </w:t>
      </w:r>
    </w:p>
    <w:p w14:paraId="18ACAD5E">
      <w:pPr>
        <w:pStyle w:val="96"/>
        <w:ind w:left="846" w:firstLine="360" w:firstLineChars="200"/>
        <w:jc w:val="left"/>
        <w:rPr>
          <w:b w:val="0"/>
          <w:sz w:val="18"/>
        </w:rPr>
      </w:pPr>
      <w:r>
        <w:rPr>
          <w:b w:val="0"/>
          <w:sz w:val="18"/>
        </w:rPr>
        <w:t xml:space="preserve">    </w:t>
      </w:r>
      <w:r>
        <w:rPr>
          <w:rFonts w:hint="eastAsia"/>
          <w:b w:val="0"/>
          <w:sz w:val="18"/>
        </w:rPr>
        <w:t>振捣密实。</w:t>
      </w:r>
      <w:r>
        <w:rPr>
          <w:b w:val="0"/>
          <w:sz w:val="18"/>
        </w:rPr>
        <w:t xml:space="preserve">  </w:t>
      </w:r>
    </w:p>
    <w:p w14:paraId="673A1660">
      <w:pPr>
        <w:pStyle w:val="96"/>
        <w:ind w:left="846" w:firstLine="360" w:firstLineChars="200"/>
        <w:jc w:val="left"/>
        <w:rPr>
          <w:b w:val="0"/>
          <w:sz w:val="18"/>
        </w:rPr>
      </w:pPr>
      <w:r>
        <w:rPr>
          <w:b w:val="0"/>
          <w:sz w:val="18"/>
        </w:rPr>
        <w:t>5）</w:t>
      </w:r>
      <w:r>
        <w:rPr>
          <w:rFonts w:hint="eastAsia"/>
          <w:b w:val="0"/>
          <w:sz w:val="18"/>
        </w:rPr>
        <w:t>检验方法与数量：观察检查，全数检查。</w:t>
      </w:r>
      <w:r>
        <w:rPr>
          <w:b w:val="0"/>
          <w:sz w:val="18"/>
        </w:rPr>
        <w:t xml:space="preserve">  </w:t>
      </w:r>
    </w:p>
    <w:p w14:paraId="7DF8E119">
      <w:pPr>
        <w:pStyle w:val="96"/>
        <w:ind w:left="846" w:firstLine="360" w:firstLineChars="200"/>
        <w:jc w:val="left"/>
        <w:rPr>
          <w:b w:val="0"/>
          <w:sz w:val="18"/>
        </w:rPr>
      </w:pPr>
      <w:r>
        <w:rPr>
          <w:b w:val="0"/>
          <w:sz w:val="18"/>
        </w:rPr>
        <w:t xml:space="preserve">    </w:t>
      </w:r>
      <w:r>
        <w:rPr>
          <w:rFonts w:hint="eastAsia"/>
          <w:b w:val="0"/>
          <w:sz w:val="18"/>
        </w:rPr>
        <w:t>验收过程中按实填写有关表格，验收过程中分次验收表格由监理与施工单位保管，</w:t>
      </w:r>
      <w:r>
        <w:rPr>
          <w:b w:val="0"/>
          <w:sz w:val="18"/>
        </w:rPr>
        <w:t xml:space="preserve"> </w:t>
      </w:r>
    </w:p>
    <w:p w14:paraId="290F6A68">
      <w:pPr>
        <w:pStyle w:val="96"/>
        <w:ind w:left="846" w:firstLine="360" w:firstLineChars="200"/>
        <w:jc w:val="left"/>
        <w:rPr>
          <w:b w:val="0"/>
          <w:sz w:val="18"/>
        </w:rPr>
      </w:pPr>
      <w:r>
        <w:rPr>
          <w:b w:val="0"/>
          <w:sz w:val="18"/>
        </w:rPr>
        <w:t xml:space="preserve">    </w:t>
      </w:r>
      <w:r>
        <w:rPr>
          <w:rFonts w:hint="eastAsia"/>
          <w:b w:val="0"/>
          <w:sz w:val="18"/>
        </w:rPr>
        <w:t>验收完成后由建设方与监理方内部存档备查，建设方核查数量不低于</w:t>
      </w:r>
      <w:r>
        <w:rPr>
          <w:b w:val="0"/>
          <w:sz w:val="18"/>
        </w:rPr>
        <w:t>30%</w:t>
      </w:r>
      <w:r>
        <w:rPr>
          <w:rFonts w:hint="eastAsia"/>
          <w:b w:val="0"/>
          <w:sz w:val="18"/>
        </w:rPr>
        <w:t>。</w:t>
      </w:r>
      <w:r>
        <w:rPr>
          <w:b w:val="0"/>
          <w:sz w:val="18"/>
        </w:rPr>
        <w:t xml:space="preserve">  </w:t>
      </w:r>
    </w:p>
    <w:p w14:paraId="06F5DCAE">
      <w:pPr>
        <w:pStyle w:val="96"/>
        <w:ind w:left="846" w:firstLine="360" w:firstLineChars="200"/>
        <w:jc w:val="left"/>
        <w:rPr>
          <w:b w:val="0"/>
          <w:sz w:val="18"/>
        </w:rPr>
      </w:pPr>
      <w:r>
        <w:rPr>
          <w:b w:val="0"/>
          <w:sz w:val="18"/>
        </w:rPr>
        <w:t xml:space="preserve">8.3.8.4 </w:t>
      </w:r>
      <w:r>
        <w:rPr>
          <w:rFonts w:hint="eastAsia"/>
          <w:b w:val="0"/>
          <w:sz w:val="18"/>
        </w:rPr>
        <w:t>地下室侧墙出墙管渗漏治理措施</w:t>
      </w:r>
    </w:p>
    <w:p w14:paraId="4A93F1FE">
      <w:pPr>
        <w:pStyle w:val="96"/>
        <w:ind w:left="846" w:firstLine="360" w:firstLineChars="200"/>
        <w:jc w:val="left"/>
        <w:rPr>
          <w:b w:val="0"/>
          <w:sz w:val="18"/>
        </w:rPr>
      </w:pPr>
      <w:r>
        <w:rPr>
          <w:rFonts w:hint="eastAsia"/>
          <w:b w:val="0"/>
          <w:sz w:val="18"/>
        </w:rPr>
        <w:t>电缆防水套管及封堵：</w:t>
      </w:r>
      <w:r>
        <w:rPr>
          <w:b w:val="0"/>
          <w:sz w:val="18"/>
        </w:rPr>
        <w:t xml:space="preserve"> </w:t>
      </w:r>
    </w:p>
    <w:p w14:paraId="0C40A41D">
      <w:pPr>
        <w:pStyle w:val="96"/>
        <w:ind w:left="846" w:firstLine="360" w:firstLineChars="200"/>
        <w:jc w:val="left"/>
        <w:rPr>
          <w:b w:val="0"/>
          <w:sz w:val="18"/>
        </w:rPr>
      </w:pPr>
      <w:r>
        <w:rPr>
          <w:b w:val="0"/>
          <w:sz w:val="18"/>
        </w:rPr>
        <w:t>1）</w:t>
      </w:r>
      <w:r>
        <w:rPr>
          <w:rFonts w:hint="eastAsia"/>
          <w:b w:val="0"/>
          <w:sz w:val="18"/>
        </w:rPr>
        <w:t>地下外墙电缆防水套管应使用</w:t>
      </w:r>
      <w:r>
        <w:rPr>
          <w:b w:val="0"/>
          <w:sz w:val="18"/>
        </w:rPr>
        <w:t>DNl00</w:t>
      </w:r>
      <w:r>
        <w:rPr>
          <w:rFonts w:hint="eastAsia"/>
          <w:b w:val="0"/>
          <w:sz w:val="18"/>
        </w:rPr>
        <w:t>无缝钢管制作，止水钢板</w:t>
      </w:r>
      <w:r>
        <w:rPr>
          <w:b w:val="0"/>
          <w:sz w:val="18"/>
        </w:rPr>
        <w:t>b=l0mm</w:t>
      </w:r>
      <w:r>
        <w:rPr>
          <w:rFonts w:hint="eastAsia"/>
          <w:b w:val="0"/>
          <w:sz w:val="18"/>
        </w:rPr>
        <w:t>，单根套管穿墙时止水</w:t>
      </w:r>
      <w:r>
        <w:rPr>
          <w:b w:val="0"/>
          <w:sz w:val="18"/>
        </w:rPr>
        <w:t xml:space="preserve"> </w:t>
      </w:r>
      <w:r>
        <w:rPr>
          <w:rFonts w:hint="eastAsia"/>
          <w:b w:val="0"/>
          <w:sz w:val="18"/>
        </w:rPr>
        <w:t>钢板面积为</w:t>
      </w:r>
      <w:r>
        <w:rPr>
          <w:b w:val="0"/>
          <w:sz w:val="18"/>
        </w:rPr>
        <w:t>300</w:t>
      </w:r>
      <w:r>
        <w:rPr>
          <w:rFonts w:hint="eastAsia"/>
          <w:b w:val="0"/>
          <w:sz w:val="18"/>
        </w:rPr>
        <w:t>×</w:t>
      </w:r>
      <w:r>
        <w:rPr>
          <w:b w:val="0"/>
          <w:sz w:val="18"/>
        </w:rPr>
        <w:t>300mm</w:t>
      </w:r>
      <w:r>
        <w:rPr>
          <w:rFonts w:hint="eastAsia"/>
          <w:b w:val="0"/>
          <w:sz w:val="18"/>
        </w:rPr>
        <w:t>，止水钢板与每一根套管必须双面满焊，焊缝高度不小于</w:t>
      </w:r>
      <w:r>
        <w:rPr>
          <w:b w:val="0"/>
          <w:sz w:val="18"/>
        </w:rPr>
        <w:t xml:space="preserve">5mm; </w:t>
      </w:r>
    </w:p>
    <w:p w14:paraId="14FDEE84">
      <w:pPr>
        <w:pStyle w:val="96"/>
        <w:ind w:left="846" w:firstLine="360" w:firstLineChars="200"/>
        <w:jc w:val="left"/>
        <w:rPr>
          <w:b w:val="0"/>
          <w:sz w:val="18"/>
        </w:rPr>
      </w:pPr>
      <w:r>
        <w:rPr>
          <w:b w:val="0"/>
          <w:sz w:val="18"/>
        </w:rPr>
        <w:t>2）</w:t>
      </w:r>
      <w:r>
        <w:rPr>
          <w:rFonts w:hint="eastAsia"/>
          <w:b w:val="0"/>
          <w:sz w:val="18"/>
        </w:rPr>
        <w:t>当需两根或两根以上套管同处敷设时，止水钢板可按面积</w:t>
      </w:r>
      <w:r>
        <w:rPr>
          <w:b w:val="0"/>
          <w:sz w:val="18"/>
        </w:rPr>
        <w:t>300</w:t>
      </w:r>
      <w:r>
        <w:rPr>
          <w:rFonts w:hint="eastAsia"/>
          <w:b w:val="0"/>
          <w:sz w:val="18"/>
        </w:rPr>
        <w:t>×</w:t>
      </w:r>
      <w:r>
        <w:rPr>
          <w:b w:val="0"/>
          <w:sz w:val="18"/>
        </w:rPr>
        <w:t>300</w:t>
      </w:r>
      <w:r>
        <w:rPr>
          <w:rFonts w:hint="eastAsia"/>
          <w:b w:val="0"/>
          <w:sz w:val="18"/>
        </w:rPr>
        <w:t>／根的需要自由组合安装。</w:t>
      </w:r>
      <w:r>
        <w:rPr>
          <w:b w:val="0"/>
          <w:sz w:val="18"/>
        </w:rPr>
        <w:t xml:space="preserve"> </w:t>
      </w:r>
      <w:r>
        <w:rPr>
          <w:rFonts w:hint="eastAsia"/>
          <w:b w:val="0"/>
          <w:sz w:val="18"/>
        </w:rPr>
        <w:t>组合以整块止水钢板为基本，套管外壁间距可适当缩小，但净空不得小于</w:t>
      </w:r>
      <w:r>
        <w:rPr>
          <w:b w:val="0"/>
          <w:sz w:val="18"/>
        </w:rPr>
        <w:t>50mm</w:t>
      </w:r>
      <w:r>
        <w:rPr>
          <w:rFonts w:hint="eastAsia"/>
          <w:b w:val="0"/>
          <w:sz w:val="18"/>
        </w:rPr>
        <w:t>，最边缘套管</w:t>
      </w:r>
      <w:r>
        <w:rPr>
          <w:b w:val="0"/>
          <w:sz w:val="18"/>
        </w:rPr>
        <w:t xml:space="preserve"> </w:t>
      </w:r>
      <w:r>
        <w:rPr>
          <w:rFonts w:hint="eastAsia"/>
          <w:b w:val="0"/>
          <w:sz w:val="18"/>
        </w:rPr>
        <w:t>外壁到止水钢板边缘不得小于</w:t>
      </w:r>
      <w:r>
        <w:rPr>
          <w:b w:val="0"/>
          <w:sz w:val="18"/>
        </w:rPr>
        <w:t>l00mm</w:t>
      </w:r>
      <w:r>
        <w:rPr>
          <w:rFonts w:hint="eastAsia"/>
          <w:b w:val="0"/>
          <w:sz w:val="18"/>
        </w:rPr>
        <w:t>。电缆防水套管与及止水钢板应采用</w:t>
      </w:r>
      <w:r>
        <w:rPr>
          <w:b w:val="0"/>
          <w:sz w:val="18"/>
        </w:rPr>
        <w:t>E43</w:t>
      </w:r>
      <w:r>
        <w:rPr>
          <w:rFonts w:hint="eastAsia"/>
          <w:b w:val="0"/>
          <w:sz w:val="18"/>
        </w:rPr>
        <w:t>焊条，焊缝应均</w:t>
      </w:r>
      <w:r>
        <w:rPr>
          <w:b w:val="0"/>
          <w:sz w:val="18"/>
        </w:rPr>
        <w:t xml:space="preserve"> </w:t>
      </w:r>
      <w:r>
        <w:rPr>
          <w:rFonts w:hint="eastAsia"/>
          <w:b w:val="0"/>
          <w:sz w:val="18"/>
        </w:rPr>
        <w:t>匀连续，焊缝不得有漏焊、假焊、焊穿等现象；</w:t>
      </w:r>
      <w:r>
        <w:rPr>
          <w:b w:val="0"/>
          <w:sz w:val="18"/>
        </w:rPr>
        <w:t xml:space="preserve"> </w:t>
      </w:r>
    </w:p>
    <w:p w14:paraId="03909A3C">
      <w:pPr>
        <w:pStyle w:val="96"/>
        <w:ind w:left="846" w:firstLine="360" w:firstLineChars="200"/>
        <w:jc w:val="left"/>
        <w:rPr>
          <w:b w:val="0"/>
          <w:sz w:val="18"/>
        </w:rPr>
      </w:pPr>
      <w:r>
        <w:rPr>
          <w:b w:val="0"/>
          <w:sz w:val="18"/>
        </w:rPr>
        <w:t>3）</w:t>
      </w:r>
      <w:r>
        <w:rPr>
          <w:rFonts w:hint="eastAsia"/>
          <w:b w:val="0"/>
          <w:sz w:val="18"/>
        </w:rPr>
        <w:t>地下外墙电缆防水套管出外墙内侧</w:t>
      </w:r>
      <w:r>
        <w:rPr>
          <w:b w:val="0"/>
          <w:sz w:val="18"/>
        </w:rPr>
        <w:t>100</w:t>
      </w:r>
      <w:r>
        <w:rPr>
          <w:rFonts w:hint="eastAsia"/>
          <w:b w:val="0"/>
          <w:sz w:val="18"/>
        </w:rPr>
        <w:t>～</w:t>
      </w:r>
      <w:r>
        <w:rPr>
          <w:b w:val="0"/>
          <w:sz w:val="18"/>
        </w:rPr>
        <w:t>150mm</w:t>
      </w:r>
      <w:r>
        <w:rPr>
          <w:rFonts w:hint="eastAsia"/>
          <w:b w:val="0"/>
          <w:sz w:val="18"/>
        </w:rPr>
        <w:t>，室内端</w:t>
      </w:r>
      <w:r>
        <w:rPr>
          <w:b w:val="0"/>
          <w:sz w:val="18"/>
        </w:rPr>
        <w:t>15mm</w:t>
      </w:r>
      <w:r>
        <w:rPr>
          <w:rFonts w:hint="eastAsia"/>
          <w:b w:val="0"/>
          <w:sz w:val="18"/>
        </w:rPr>
        <w:t>应张成喇叭口状，套管出外墙外</w:t>
      </w:r>
      <w:r>
        <w:rPr>
          <w:b w:val="0"/>
          <w:sz w:val="18"/>
        </w:rPr>
        <w:t xml:space="preserve"> </w:t>
      </w:r>
      <w:r>
        <w:rPr>
          <w:rFonts w:hint="eastAsia"/>
          <w:b w:val="0"/>
          <w:sz w:val="18"/>
        </w:rPr>
        <w:t>侧宜不小于</w:t>
      </w:r>
      <w:r>
        <w:rPr>
          <w:b w:val="0"/>
          <w:sz w:val="18"/>
        </w:rPr>
        <w:t>500mm</w:t>
      </w:r>
      <w:r>
        <w:rPr>
          <w:rFonts w:hint="eastAsia"/>
          <w:b w:val="0"/>
          <w:sz w:val="18"/>
        </w:rPr>
        <w:t>，多根套管在同一止水钢板引出时，室外端套管应有支架临时固定；</w:t>
      </w:r>
      <w:r>
        <w:rPr>
          <w:b w:val="0"/>
          <w:sz w:val="18"/>
        </w:rPr>
        <w:t xml:space="preserve"> </w:t>
      </w:r>
    </w:p>
    <w:p w14:paraId="79C51810">
      <w:pPr>
        <w:pStyle w:val="96"/>
        <w:ind w:left="846" w:firstLine="360" w:firstLineChars="200"/>
        <w:jc w:val="left"/>
        <w:rPr>
          <w:b w:val="0"/>
          <w:sz w:val="18"/>
        </w:rPr>
      </w:pPr>
      <w:r>
        <w:rPr>
          <w:b w:val="0"/>
          <w:sz w:val="18"/>
        </w:rPr>
        <w:t>4）</w:t>
      </w:r>
      <w:r>
        <w:rPr>
          <w:rFonts w:hint="eastAsia"/>
          <w:b w:val="0"/>
          <w:sz w:val="18"/>
        </w:rPr>
        <w:t>混凝土浇筑完成后，防水套管与腐蚀介质接触时，应根据设计要求选择适用的耐腐蚀材料；</w:t>
      </w:r>
      <w:r>
        <w:rPr>
          <w:b w:val="0"/>
          <w:sz w:val="18"/>
        </w:rPr>
        <w:t xml:space="preserve"> </w:t>
      </w:r>
      <w:r>
        <w:rPr>
          <w:rFonts w:hint="eastAsia"/>
          <w:b w:val="0"/>
          <w:sz w:val="18"/>
        </w:rPr>
        <w:t>如无特殊设计要求时，应涂覆防锈底漆、面漆各两道；</w:t>
      </w:r>
      <w:r>
        <w:rPr>
          <w:b w:val="0"/>
          <w:sz w:val="18"/>
        </w:rPr>
        <w:t xml:space="preserve"> </w:t>
      </w:r>
    </w:p>
    <w:p w14:paraId="47309C2E">
      <w:pPr>
        <w:pStyle w:val="96"/>
        <w:ind w:left="846" w:firstLine="360" w:firstLineChars="200"/>
        <w:jc w:val="left"/>
        <w:rPr>
          <w:b w:val="0"/>
          <w:sz w:val="18"/>
        </w:rPr>
      </w:pPr>
      <w:r>
        <w:rPr>
          <w:b w:val="0"/>
          <w:sz w:val="18"/>
        </w:rPr>
        <w:t>5）</w:t>
      </w:r>
      <w:r>
        <w:rPr>
          <w:rFonts w:hint="eastAsia"/>
          <w:b w:val="0"/>
          <w:sz w:val="18"/>
        </w:rPr>
        <w:t>外墙防水涂料施工前，应在管道根部附加</w:t>
      </w:r>
      <w:r>
        <w:rPr>
          <w:b w:val="0"/>
          <w:sz w:val="18"/>
        </w:rPr>
        <w:t>300mm</w:t>
      </w:r>
      <w:r>
        <w:rPr>
          <w:rFonts w:hint="eastAsia"/>
          <w:b w:val="0"/>
          <w:sz w:val="18"/>
        </w:rPr>
        <w:t>宽的玻纤网格布做防水附加层，上翻至管壁</w:t>
      </w:r>
      <w:r>
        <w:rPr>
          <w:b w:val="0"/>
          <w:sz w:val="18"/>
        </w:rPr>
        <w:t xml:space="preserve"> 50mm: </w:t>
      </w:r>
    </w:p>
    <w:p w14:paraId="0B9AB532">
      <w:pPr>
        <w:pStyle w:val="96"/>
        <w:ind w:left="846" w:firstLine="360" w:firstLineChars="200"/>
        <w:jc w:val="left"/>
        <w:rPr>
          <w:b w:val="0"/>
          <w:sz w:val="18"/>
        </w:rPr>
      </w:pPr>
      <w:r>
        <w:rPr>
          <w:b w:val="0"/>
          <w:sz w:val="18"/>
        </w:rPr>
        <w:t>6）</w:t>
      </w:r>
      <w:r>
        <w:rPr>
          <w:rFonts w:hint="eastAsia"/>
          <w:b w:val="0"/>
          <w:sz w:val="18"/>
        </w:rPr>
        <w:t>防水套管的钢管、翼环和挡圈的材质均为</w:t>
      </w:r>
      <w:r>
        <w:rPr>
          <w:b w:val="0"/>
          <w:sz w:val="18"/>
        </w:rPr>
        <w:t>Q235-A</w:t>
      </w:r>
      <w:r>
        <w:rPr>
          <w:rFonts w:hint="eastAsia"/>
          <w:b w:val="0"/>
          <w:sz w:val="18"/>
        </w:rPr>
        <w:t>。</w:t>
      </w:r>
      <w:r>
        <w:rPr>
          <w:b w:val="0"/>
          <w:sz w:val="18"/>
        </w:rPr>
        <w:t xml:space="preserve"> </w:t>
      </w:r>
    </w:p>
    <w:p w14:paraId="527802DC">
      <w:pPr>
        <w:pStyle w:val="96"/>
        <w:ind w:left="846" w:firstLine="360" w:firstLineChars="200"/>
        <w:jc w:val="left"/>
        <w:rPr>
          <w:b w:val="0"/>
          <w:sz w:val="18"/>
        </w:rPr>
      </w:pPr>
      <w:r>
        <w:rPr>
          <w:b w:val="0"/>
          <w:sz w:val="18"/>
        </w:rPr>
        <w:t>7）</w:t>
      </w:r>
      <w:r>
        <w:rPr>
          <w:rFonts w:hint="eastAsia"/>
          <w:b w:val="0"/>
          <w:sz w:val="18"/>
        </w:rPr>
        <w:t>管道封堵先用油麻在管道中间</w:t>
      </w:r>
      <w:r>
        <w:rPr>
          <w:b w:val="0"/>
          <w:sz w:val="18"/>
        </w:rPr>
        <w:t>1/3</w:t>
      </w:r>
      <w:r>
        <w:rPr>
          <w:rFonts w:hint="eastAsia"/>
          <w:b w:val="0"/>
          <w:sz w:val="18"/>
        </w:rPr>
        <w:t>处填实、再用石棉水泥填充剩余部位，石棉水泥应在填充</w:t>
      </w:r>
      <w:r>
        <w:rPr>
          <w:b w:val="0"/>
          <w:sz w:val="18"/>
        </w:rPr>
        <w:t xml:space="preserve"> </w:t>
      </w:r>
      <w:r>
        <w:rPr>
          <w:rFonts w:hint="eastAsia"/>
          <w:b w:val="0"/>
          <w:sz w:val="18"/>
        </w:rPr>
        <w:t>前拌合，填充后应及时潮湿养护。石棉水泥的重量配比为石棉</w:t>
      </w:r>
      <w:r>
        <w:rPr>
          <w:b w:val="0"/>
          <w:sz w:val="18"/>
        </w:rPr>
        <w:t>30%</w:t>
      </w:r>
      <w:r>
        <w:rPr>
          <w:rFonts w:hint="eastAsia"/>
          <w:b w:val="0"/>
          <w:sz w:val="18"/>
        </w:rPr>
        <w:t>、水泥</w:t>
      </w:r>
      <w:r>
        <w:rPr>
          <w:b w:val="0"/>
          <w:sz w:val="18"/>
        </w:rPr>
        <w:t>70%</w:t>
      </w:r>
      <w:r>
        <w:rPr>
          <w:rFonts w:hint="eastAsia"/>
          <w:b w:val="0"/>
          <w:sz w:val="18"/>
        </w:rPr>
        <w:t>，水灰比</w:t>
      </w:r>
      <w:r>
        <w:rPr>
          <w:b w:val="0"/>
          <w:sz w:val="18"/>
        </w:rPr>
        <w:t>0.2;</w:t>
      </w:r>
      <w:r>
        <w:rPr>
          <w:rFonts w:hint="eastAsia"/>
          <w:b w:val="0"/>
          <w:sz w:val="18"/>
        </w:rPr>
        <w:t>油</w:t>
      </w:r>
      <w:r>
        <w:rPr>
          <w:b w:val="0"/>
          <w:sz w:val="18"/>
        </w:rPr>
        <w:t xml:space="preserve"> </w:t>
      </w:r>
      <w:r>
        <w:rPr>
          <w:rFonts w:hint="eastAsia"/>
          <w:b w:val="0"/>
          <w:sz w:val="18"/>
        </w:rPr>
        <w:t>麻应采用纤维较长、无皮质、清洁、富有韧性的油麻；石棉水泥封堵完后，采用防水油膏填</w:t>
      </w:r>
      <w:r>
        <w:rPr>
          <w:b w:val="0"/>
          <w:sz w:val="18"/>
        </w:rPr>
        <w:t xml:space="preserve"> </w:t>
      </w:r>
      <w:r>
        <w:rPr>
          <w:rFonts w:hint="eastAsia"/>
          <w:b w:val="0"/>
          <w:sz w:val="18"/>
        </w:rPr>
        <w:t>嵌，填嵌前应清除缝内锈蚀、漆皮及污物；</w:t>
      </w:r>
      <w:r>
        <w:rPr>
          <w:b w:val="0"/>
          <w:sz w:val="18"/>
        </w:rPr>
        <w:t xml:space="preserve"> </w:t>
      </w:r>
    </w:p>
    <w:p w14:paraId="6EFA3224">
      <w:pPr>
        <w:pStyle w:val="96"/>
        <w:ind w:left="846" w:firstLine="360" w:firstLineChars="200"/>
        <w:jc w:val="left"/>
        <w:rPr>
          <w:b w:val="0"/>
          <w:sz w:val="18"/>
        </w:rPr>
      </w:pPr>
      <w:r>
        <w:rPr>
          <w:rFonts w:hint="eastAsia"/>
          <w:b w:val="0"/>
          <w:sz w:val="18"/>
        </w:rPr>
        <w:t>给排水防水套管及封堵</w:t>
      </w:r>
      <w:r>
        <w:rPr>
          <w:b w:val="0"/>
          <w:sz w:val="18"/>
        </w:rPr>
        <w:t xml:space="preserve"> </w:t>
      </w:r>
    </w:p>
    <w:p w14:paraId="64210A17">
      <w:pPr>
        <w:pStyle w:val="96"/>
        <w:ind w:left="846" w:firstLine="360" w:firstLineChars="200"/>
        <w:jc w:val="left"/>
        <w:rPr>
          <w:b w:val="0"/>
          <w:sz w:val="18"/>
        </w:rPr>
      </w:pPr>
      <w:r>
        <w:rPr>
          <w:b w:val="0"/>
          <w:sz w:val="18"/>
        </w:rPr>
        <w:t>1）</w:t>
      </w:r>
      <w:r>
        <w:rPr>
          <w:rFonts w:hint="eastAsia"/>
          <w:b w:val="0"/>
          <w:sz w:val="18"/>
        </w:rPr>
        <w:t>地下外墙给排水防水套管及封堵参照地下外墙电缆防水套管及封堵的施工工法，防水套管</w:t>
      </w:r>
      <w:r>
        <w:rPr>
          <w:b w:val="0"/>
          <w:sz w:val="18"/>
        </w:rPr>
        <w:t xml:space="preserve"> </w:t>
      </w:r>
      <w:r>
        <w:rPr>
          <w:rFonts w:hint="eastAsia"/>
          <w:b w:val="0"/>
          <w:sz w:val="18"/>
        </w:rPr>
        <w:t>室内、外宜和墙面齐平，室内端无需张成喇叭口状；</w:t>
      </w:r>
      <w:r>
        <w:rPr>
          <w:b w:val="0"/>
          <w:sz w:val="18"/>
        </w:rPr>
        <w:t xml:space="preserve"> </w:t>
      </w:r>
    </w:p>
    <w:p w14:paraId="22B7155F">
      <w:pPr>
        <w:pStyle w:val="96"/>
        <w:ind w:left="846" w:firstLine="360" w:firstLineChars="200"/>
        <w:jc w:val="left"/>
        <w:rPr>
          <w:b w:val="0"/>
          <w:sz w:val="18"/>
        </w:rPr>
      </w:pPr>
      <w:r>
        <w:rPr>
          <w:b w:val="0"/>
          <w:sz w:val="18"/>
        </w:rPr>
        <w:t>2）</w:t>
      </w:r>
      <w:r>
        <w:rPr>
          <w:rFonts w:hint="eastAsia"/>
          <w:b w:val="0"/>
          <w:sz w:val="18"/>
        </w:rPr>
        <w:t>地下外墙给排水防水套管穿墙处如遇非混凝土墙时，应改用混凝土墙壁，并大于翼环直径</w:t>
      </w:r>
      <w:r>
        <w:rPr>
          <w:b w:val="0"/>
          <w:sz w:val="18"/>
        </w:rPr>
        <w:t xml:space="preserve"> 200mm</w:t>
      </w:r>
      <w:r>
        <w:rPr>
          <w:rFonts w:hint="eastAsia"/>
          <w:b w:val="0"/>
          <w:sz w:val="18"/>
        </w:rPr>
        <w:t>，混凝土墙厚度术</w:t>
      </w:r>
      <w:r>
        <w:rPr>
          <w:b w:val="0"/>
          <w:sz w:val="18"/>
        </w:rPr>
        <w:t>200mm</w:t>
      </w:r>
      <w:r>
        <w:rPr>
          <w:rFonts w:hint="eastAsia"/>
          <w:b w:val="0"/>
          <w:sz w:val="18"/>
        </w:rPr>
        <w:t>；穿管处的混凝土墙厚不应小于</w:t>
      </w:r>
      <w:r>
        <w:rPr>
          <w:b w:val="0"/>
          <w:sz w:val="18"/>
        </w:rPr>
        <w:t>200mm</w:t>
      </w:r>
      <w:r>
        <w:rPr>
          <w:rFonts w:hint="eastAsia"/>
          <w:b w:val="0"/>
          <w:sz w:val="18"/>
        </w:rPr>
        <w:t>，否则应使墙壁一边或两边加厚，加厚部位的直径至少应大于翼环直径</w:t>
      </w:r>
      <w:r>
        <w:rPr>
          <w:b w:val="0"/>
          <w:sz w:val="18"/>
        </w:rPr>
        <w:t xml:space="preserve">200mm; </w:t>
      </w:r>
    </w:p>
    <w:p w14:paraId="5A462DE2">
      <w:pPr>
        <w:pStyle w:val="96"/>
        <w:ind w:left="846" w:firstLine="360" w:firstLineChars="200"/>
        <w:jc w:val="left"/>
        <w:rPr>
          <w:b w:val="0"/>
          <w:sz w:val="18"/>
        </w:rPr>
      </w:pPr>
      <w:r>
        <w:rPr>
          <w:b w:val="0"/>
          <w:sz w:val="18"/>
        </w:rPr>
        <w:t>3）</w:t>
      </w:r>
      <w:r>
        <w:rPr>
          <w:rFonts w:hint="eastAsia"/>
          <w:b w:val="0"/>
          <w:sz w:val="18"/>
        </w:rPr>
        <w:t>给排水防水套管可分为刚性及柔性防水套管，柔性适用于管道穿墙处承受振动和管道伸缩变形或有严密防水要求建（构）物，其做法与材料选用参照图集</w:t>
      </w:r>
      <w:r>
        <w:rPr>
          <w:b w:val="0"/>
          <w:sz w:val="18"/>
        </w:rPr>
        <w:t>02S404</w:t>
      </w:r>
      <w:r>
        <w:rPr>
          <w:rFonts w:hint="eastAsia"/>
          <w:b w:val="0"/>
          <w:sz w:val="18"/>
        </w:rPr>
        <w:t>；刚性防水套管的钢管、</w:t>
      </w:r>
      <w:r>
        <w:rPr>
          <w:b w:val="0"/>
          <w:sz w:val="18"/>
        </w:rPr>
        <w:t xml:space="preserve"> </w:t>
      </w:r>
      <w:r>
        <w:rPr>
          <w:rFonts w:hint="eastAsia"/>
          <w:b w:val="0"/>
          <w:sz w:val="18"/>
        </w:rPr>
        <w:t>翼环和挡圈的材质均为</w:t>
      </w:r>
      <w:r>
        <w:rPr>
          <w:b w:val="0"/>
          <w:sz w:val="18"/>
        </w:rPr>
        <w:t>Q235-A</w:t>
      </w:r>
      <w:r>
        <w:rPr>
          <w:rFonts w:hint="eastAsia"/>
          <w:b w:val="0"/>
          <w:sz w:val="18"/>
        </w:rPr>
        <w:t>；</w:t>
      </w:r>
      <w:r>
        <w:rPr>
          <w:b w:val="0"/>
          <w:sz w:val="18"/>
        </w:rPr>
        <w:t xml:space="preserve"> </w:t>
      </w:r>
    </w:p>
    <w:p w14:paraId="1AAEF69E">
      <w:pPr>
        <w:pStyle w:val="96"/>
        <w:ind w:left="846" w:firstLine="360" w:firstLineChars="200"/>
        <w:jc w:val="left"/>
        <w:rPr>
          <w:b w:val="0"/>
          <w:sz w:val="18"/>
        </w:rPr>
      </w:pPr>
      <w:r>
        <w:rPr>
          <w:b w:val="0"/>
          <w:sz w:val="18"/>
        </w:rPr>
        <w:t>4）</w:t>
      </w:r>
      <w:r>
        <w:rPr>
          <w:rFonts w:hint="eastAsia"/>
          <w:b w:val="0"/>
          <w:sz w:val="18"/>
        </w:rPr>
        <w:t>混凝土浇筑完成后，防水套管与腐蚀介质接触时，应根据设计要求选择适用的耐腐蚀材料；</w:t>
      </w:r>
      <w:r>
        <w:rPr>
          <w:b w:val="0"/>
          <w:sz w:val="18"/>
        </w:rPr>
        <w:t xml:space="preserve"> </w:t>
      </w:r>
      <w:r>
        <w:rPr>
          <w:rFonts w:hint="eastAsia"/>
          <w:b w:val="0"/>
          <w:sz w:val="18"/>
        </w:rPr>
        <w:t>与饮用水接触的金属表面应涂无毒环氧底漆、面漆各两道：如无特殊设计要求时，应涂覆防锈底</w:t>
      </w:r>
      <w:r>
        <w:rPr>
          <w:b w:val="0"/>
          <w:sz w:val="18"/>
        </w:rPr>
        <w:t xml:space="preserve"> </w:t>
      </w:r>
      <w:r>
        <w:rPr>
          <w:rFonts w:hint="eastAsia"/>
          <w:b w:val="0"/>
          <w:sz w:val="18"/>
        </w:rPr>
        <w:t>漆、面漆各两道；与饮用水接触的金属表面应涂无毒环氧底漆、面漆各两道：</w:t>
      </w:r>
      <w:r>
        <w:rPr>
          <w:b w:val="0"/>
          <w:sz w:val="18"/>
        </w:rPr>
        <w:t xml:space="preserve"> </w:t>
      </w:r>
    </w:p>
    <w:p w14:paraId="6C72B472">
      <w:pPr>
        <w:pStyle w:val="96"/>
        <w:ind w:left="846" w:firstLine="360" w:firstLineChars="200"/>
        <w:jc w:val="left"/>
        <w:rPr>
          <w:b w:val="0"/>
          <w:sz w:val="18"/>
        </w:rPr>
      </w:pPr>
      <w:r>
        <w:rPr>
          <w:b w:val="0"/>
          <w:sz w:val="18"/>
        </w:rPr>
        <w:t>5）</w:t>
      </w:r>
      <w:r>
        <w:rPr>
          <w:rFonts w:hint="eastAsia"/>
          <w:b w:val="0"/>
          <w:sz w:val="18"/>
        </w:rPr>
        <w:t>管道封堵先用油麻在管道中间</w:t>
      </w:r>
      <w:r>
        <w:rPr>
          <w:b w:val="0"/>
          <w:sz w:val="18"/>
        </w:rPr>
        <w:t>1/3</w:t>
      </w:r>
      <w:r>
        <w:rPr>
          <w:rFonts w:hint="eastAsia"/>
          <w:b w:val="0"/>
          <w:sz w:val="18"/>
        </w:rPr>
        <w:t>处填实、再用石棉水泥填充剩余部位，石棉水泥应在填充</w:t>
      </w:r>
      <w:r>
        <w:rPr>
          <w:b w:val="0"/>
          <w:sz w:val="18"/>
        </w:rPr>
        <w:t xml:space="preserve"> </w:t>
      </w:r>
      <w:r>
        <w:rPr>
          <w:rFonts w:hint="eastAsia"/>
          <w:b w:val="0"/>
          <w:sz w:val="18"/>
        </w:rPr>
        <w:t>前拌合，填充后应及时潮湿养护。石棉水泥的重量配比为石棉</w:t>
      </w:r>
      <w:r>
        <w:rPr>
          <w:b w:val="0"/>
          <w:sz w:val="18"/>
        </w:rPr>
        <w:t>30%</w:t>
      </w:r>
      <w:r>
        <w:rPr>
          <w:rFonts w:hint="eastAsia"/>
          <w:b w:val="0"/>
          <w:sz w:val="18"/>
        </w:rPr>
        <w:t>、水泥</w:t>
      </w:r>
      <w:r>
        <w:rPr>
          <w:b w:val="0"/>
          <w:sz w:val="18"/>
        </w:rPr>
        <w:t>70%</w:t>
      </w:r>
      <w:r>
        <w:rPr>
          <w:rFonts w:hint="eastAsia"/>
          <w:b w:val="0"/>
          <w:sz w:val="18"/>
        </w:rPr>
        <w:t>，油麻应</w:t>
      </w:r>
      <w:r>
        <w:rPr>
          <w:b w:val="0"/>
          <w:sz w:val="18"/>
        </w:rPr>
        <w:t xml:space="preserve"> </w:t>
      </w:r>
      <w:r>
        <w:rPr>
          <w:rFonts w:hint="eastAsia"/>
          <w:b w:val="0"/>
          <w:sz w:val="18"/>
        </w:rPr>
        <w:t>采用纤维较长、无皮质、清洁、富有韧性的油麻：石棉水泥封堵完后，采用防水油膏填嵌，填嵌</w:t>
      </w:r>
      <w:r>
        <w:rPr>
          <w:b w:val="0"/>
          <w:sz w:val="18"/>
        </w:rPr>
        <w:t xml:space="preserve"> </w:t>
      </w:r>
      <w:r>
        <w:rPr>
          <w:rFonts w:hint="eastAsia"/>
          <w:b w:val="0"/>
          <w:sz w:val="18"/>
        </w:rPr>
        <w:t>前应清除缝内锈蚀、漆皮及污物；用于饮用水池部位防水套管的封堵在石棉水泥封堵完后，在迎水面采用无毒密封胶填嵌。</w:t>
      </w:r>
      <w:r>
        <w:rPr>
          <w:b w:val="0"/>
          <w:sz w:val="18"/>
        </w:rPr>
        <w:t xml:space="preserve"> </w:t>
      </w:r>
    </w:p>
    <w:p w14:paraId="397D48FA">
      <w:pPr>
        <w:pStyle w:val="96"/>
        <w:ind w:left="846" w:firstLine="360" w:firstLineChars="200"/>
        <w:jc w:val="left"/>
        <w:rPr>
          <w:b w:val="0"/>
          <w:sz w:val="18"/>
        </w:rPr>
      </w:pPr>
      <w:r>
        <w:rPr>
          <w:rFonts w:hint="eastAsia"/>
          <w:b w:val="0"/>
          <w:sz w:val="18"/>
        </w:rPr>
        <w:t>检验方法与要求</w:t>
      </w:r>
      <w:r>
        <w:rPr>
          <w:b w:val="0"/>
          <w:sz w:val="18"/>
        </w:rPr>
        <w:t xml:space="preserve"> </w:t>
      </w:r>
    </w:p>
    <w:p w14:paraId="18036B70">
      <w:pPr>
        <w:pStyle w:val="96"/>
        <w:ind w:left="846" w:firstLine="360" w:firstLineChars="200"/>
        <w:jc w:val="left"/>
        <w:rPr>
          <w:b w:val="0"/>
          <w:sz w:val="18"/>
        </w:rPr>
      </w:pPr>
      <w:r>
        <w:rPr>
          <w:b w:val="0"/>
          <w:sz w:val="18"/>
        </w:rPr>
        <w:t>1）</w:t>
      </w:r>
      <w:r>
        <w:rPr>
          <w:rFonts w:hint="eastAsia"/>
          <w:b w:val="0"/>
          <w:sz w:val="18"/>
        </w:rPr>
        <w:t>用于地下工程的预埋套管，在安装前进行检查，其钢管、止水环、挡圈与焊缝质量应符合</w:t>
      </w:r>
      <w:r>
        <w:rPr>
          <w:b w:val="0"/>
          <w:sz w:val="18"/>
        </w:rPr>
        <w:t xml:space="preserve"> </w:t>
      </w:r>
      <w:r>
        <w:rPr>
          <w:rFonts w:hint="eastAsia"/>
          <w:b w:val="0"/>
          <w:sz w:val="18"/>
        </w:rPr>
        <w:t>要求。</w:t>
      </w:r>
      <w:r>
        <w:rPr>
          <w:b w:val="0"/>
          <w:sz w:val="18"/>
        </w:rPr>
        <w:t xml:space="preserve"> </w:t>
      </w:r>
    </w:p>
    <w:p w14:paraId="03F769E3">
      <w:pPr>
        <w:pStyle w:val="96"/>
        <w:ind w:left="846" w:firstLine="360" w:firstLineChars="200"/>
        <w:jc w:val="left"/>
        <w:rPr>
          <w:b w:val="0"/>
          <w:sz w:val="18"/>
        </w:rPr>
      </w:pPr>
      <w:r>
        <w:rPr>
          <w:b w:val="0"/>
          <w:sz w:val="18"/>
        </w:rPr>
        <w:t>2）</w:t>
      </w:r>
      <w:r>
        <w:rPr>
          <w:rFonts w:hint="eastAsia"/>
          <w:b w:val="0"/>
          <w:sz w:val="18"/>
        </w:rPr>
        <w:t>检验方法与数量：观察检查，尺量检查，全数检查。</w:t>
      </w:r>
      <w:r>
        <w:rPr>
          <w:b w:val="0"/>
          <w:sz w:val="18"/>
        </w:rPr>
        <w:t xml:space="preserve"> </w:t>
      </w:r>
    </w:p>
    <w:p w14:paraId="201578FA">
      <w:pPr>
        <w:pStyle w:val="96"/>
        <w:ind w:left="846" w:firstLine="360" w:firstLineChars="200"/>
        <w:jc w:val="left"/>
        <w:rPr>
          <w:b w:val="0"/>
          <w:sz w:val="18"/>
        </w:rPr>
      </w:pPr>
      <w:r>
        <w:rPr>
          <w:b w:val="0"/>
          <w:sz w:val="18"/>
        </w:rPr>
        <w:t>3）</w:t>
      </w:r>
      <w:r>
        <w:rPr>
          <w:rFonts w:hint="eastAsia"/>
          <w:b w:val="0"/>
          <w:sz w:val="18"/>
        </w:rPr>
        <w:t>地下外墙封模前，预埋套管位置与数量准确，固定牢固，按图纸和规范的要求设置了加密</w:t>
      </w:r>
      <w:r>
        <w:rPr>
          <w:b w:val="0"/>
          <w:sz w:val="18"/>
        </w:rPr>
        <w:t xml:space="preserve"> </w:t>
      </w:r>
      <w:r>
        <w:rPr>
          <w:rFonts w:hint="eastAsia"/>
          <w:b w:val="0"/>
          <w:sz w:val="18"/>
        </w:rPr>
        <w:t>钢筋。</w:t>
      </w:r>
      <w:r>
        <w:rPr>
          <w:b w:val="0"/>
          <w:sz w:val="18"/>
        </w:rPr>
        <w:t xml:space="preserve"> </w:t>
      </w:r>
    </w:p>
    <w:p w14:paraId="537E141E">
      <w:pPr>
        <w:pStyle w:val="96"/>
        <w:ind w:left="846" w:firstLine="360" w:firstLineChars="200"/>
        <w:jc w:val="left"/>
        <w:rPr>
          <w:b w:val="0"/>
          <w:sz w:val="18"/>
        </w:rPr>
      </w:pPr>
      <w:r>
        <w:rPr>
          <w:b w:val="0"/>
          <w:sz w:val="18"/>
        </w:rPr>
        <w:t>4）</w:t>
      </w:r>
      <w:r>
        <w:rPr>
          <w:rFonts w:hint="eastAsia"/>
          <w:b w:val="0"/>
          <w:sz w:val="18"/>
        </w:rPr>
        <w:t>检验方法与数量：观察检查，尺量检查，全数检查。</w:t>
      </w:r>
      <w:r>
        <w:rPr>
          <w:b w:val="0"/>
          <w:sz w:val="18"/>
        </w:rPr>
        <w:t xml:space="preserve"> </w:t>
      </w:r>
    </w:p>
    <w:p w14:paraId="67DC9FCE">
      <w:pPr>
        <w:pStyle w:val="96"/>
        <w:ind w:left="846" w:firstLine="360" w:firstLineChars="200"/>
        <w:jc w:val="left"/>
        <w:rPr>
          <w:b w:val="0"/>
          <w:sz w:val="18"/>
        </w:rPr>
      </w:pPr>
      <w:r>
        <w:rPr>
          <w:b w:val="0"/>
          <w:sz w:val="18"/>
        </w:rPr>
        <w:t xml:space="preserve">    </w:t>
      </w:r>
      <w:r>
        <w:rPr>
          <w:rFonts w:hint="eastAsia"/>
          <w:b w:val="0"/>
          <w:sz w:val="18"/>
        </w:rPr>
        <w:t>地下外墙防水施工完成后，套管周边的防水层加强处理符合要求。</w:t>
      </w:r>
      <w:r>
        <w:rPr>
          <w:b w:val="0"/>
          <w:sz w:val="18"/>
        </w:rPr>
        <w:t xml:space="preserve"> </w:t>
      </w:r>
    </w:p>
    <w:p w14:paraId="394F2E06">
      <w:pPr>
        <w:pStyle w:val="96"/>
        <w:ind w:left="846" w:firstLine="360" w:firstLineChars="200"/>
        <w:jc w:val="left"/>
        <w:rPr>
          <w:b w:val="0"/>
          <w:sz w:val="18"/>
        </w:rPr>
      </w:pPr>
      <w:r>
        <w:rPr>
          <w:b w:val="0"/>
          <w:sz w:val="18"/>
        </w:rPr>
        <w:t>5）</w:t>
      </w:r>
      <w:r>
        <w:rPr>
          <w:rFonts w:hint="eastAsia"/>
          <w:b w:val="0"/>
          <w:sz w:val="18"/>
        </w:rPr>
        <w:t>检验方法与数量：观察检查，尺量检查，全数检查。</w:t>
      </w:r>
      <w:r>
        <w:rPr>
          <w:b w:val="0"/>
          <w:sz w:val="18"/>
        </w:rPr>
        <w:t xml:space="preserve"> </w:t>
      </w:r>
    </w:p>
    <w:p w14:paraId="15FAA356">
      <w:pPr>
        <w:pStyle w:val="96"/>
        <w:ind w:left="846" w:firstLine="360" w:firstLineChars="200"/>
        <w:jc w:val="left"/>
        <w:rPr>
          <w:b w:val="0"/>
          <w:sz w:val="18"/>
        </w:rPr>
      </w:pPr>
      <w:r>
        <w:rPr>
          <w:b w:val="0"/>
          <w:sz w:val="18"/>
        </w:rPr>
        <w:t>6）</w:t>
      </w:r>
      <w:r>
        <w:rPr>
          <w:rFonts w:hint="eastAsia"/>
          <w:b w:val="0"/>
          <w:sz w:val="18"/>
        </w:rPr>
        <w:t>预留套管和专业管线穿线后均封堵完成，其封堵质量符合要求，无渗漏现象。</w:t>
      </w:r>
      <w:r>
        <w:rPr>
          <w:b w:val="0"/>
          <w:sz w:val="18"/>
        </w:rPr>
        <w:t xml:space="preserve"> </w:t>
      </w:r>
    </w:p>
    <w:p w14:paraId="75F8DBE1">
      <w:pPr>
        <w:pStyle w:val="96"/>
        <w:ind w:left="846" w:firstLine="360" w:firstLineChars="200"/>
        <w:jc w:val="left"/>
        <w:rPr>
          <w:b w:val="0"/>
          <w:sz w:val="18"/>
        </w:rPr>
      </w:pPr>
      <w:r>
        <w:rPr>
          <w:b w:val="0"/>
          <w:sz w:val="18"/>
        </w:rPr>
        <w:t>7）</w:t>
      </w:r>
      <w:r>
        <w:rPr>
          <w:rFonts w:hint="eastAsia"/>
          <w:b w:val="0"/>
          <w:sz w:val="18"/>
        </w:rPr>
        <w:t>检验方法与数量：观察检查，全数检查。</w:t>
      </w:r>
      <w:r>
        <w:rPr>
          <w:b w:val="0"/>
          <w:sz w:val="18"/>
        </w:rPr>
        <w:t xml:space="preserve"> </w:t>
      </w:r>
    </w:p>
    <w:p w14:paraId="65430533">
      <w:pPr>
        <w:pStyle w:val="3"/>
        <w:jc w:val="left"/>
        <w:rPr>
          <w:b w:val="0"/>
          <w:kern w:val="0"/>
        </w:rPr>
      </w:pPr>
      <w:bookmarkStart w:id="90" w:name="_Toc174556812"/>
      <w:r>
        <w:rPr>
          <w:rFonts w:hint="eastAsia"/>
          <w:b w:val="0"/>
          <w:kern w:val="0"/>
        </w:rPr>
        <w:t>屋面防水工程</w:t>
      </w:r>
      <w:bookmarkEnd w:id="90"/>
    </w:p>
    <w:p w14:paraId="40124A92">
      <w:pPr>
        <w:pStyle w:val="97"/>
      </w:pPr>
      <w:r>
        <w:rPr>
          <w:rFonts w:hint="eastAsia"/>
        </w:rPr>
        <w:t>屋面设计说明及屋面构造做法表</w:t>
      </w:r>
      <w:r>
        <w:t xml:space="preserve"> </w:t>
      </w:r>
    </w:p>
    <w:p w14:paraId="30CC241D">
      <w:pPr>
        <w:pStyle w:val="96"/>
        <w:ind w:left="846" w:firstLine="360" w:firstLineChars="200"/>
        <w:jc w:val="left"/>
        <w:rPr>
          <w:b w:val="0"/>
          <w:sz w:val="18"/>
        </w:rPr>
      </w:pPr>
      <w:r>
        <w:rPr>
          <w:rFonts w:hint="eastAsia"/>
          <w:b w:val="0"/>
          <w:sz w:val="18"/>
        </w:rPr>
        <w:t>屋面防水系统属于建筑物外围护系统，其基本功能是防止雨水渗入室内，起遮风挡雨的作用，保证室内空间的正常使用，同时具有保护建筑物结构的功能。钢筋混凝土遭受水侵蚀，会引发严重的渗漏隐患，主要有：混凝土中性化、钢筋锈蚀；碱骨料反应；冻融破坏；混凝土碳化等。最终的结果是结构寿命缩短。上述所有混凝土易发病害都与水有关，如果隔绝混凝土的水环境，上述反应则不会发生。</w:t>
      </w:r>
    </w:p>
    <w:p w14:paraId="2370F530">
      <w:pPr>
        <w:pStyle w:val="96"/>
        <w:ind w:left="846" w:firstLine="360" w:firstLineChars="200"/>
        <w:jc w:val="left"/>
        <w:rPr>
          <w:b w:val="0"/>
          <w:sz w:val="18"/>
        </w:rPr>
      </w:pPr>
      <w:r>
        <w:rPr>
          <w:b w:val="0"/>
          <w:sz w:val="18"/>
        </w:rPr>
        <w:t xml:space="preserve"> </w:t>
      </w:r>
      <w:r>
        <w:rPr>
          <w:rFonts w:hint="eastAsia"/>
          <w:b w:val="0"/>
          <w:sz w:val="18"/>
        </w:rPr>
        <w:t>设防要求应根据防水等级来确定。根据不同的屋面防水等级和防水层合理使用年限选用防水层材料，进行一道或多道设防。多道设防时，可采用同种卷材叠合或不同卷材复合，也可采用防水卷材和防水涂膜复合等，复合使用时应考虑相邻材料之间的相容性问题。防水层采用单层防水卷材设防时，应考虑其材料性能、施工方法、系统抗风揭及配套材料等内容。</w:t>
      </w:r>
    </w:p>
    <w:p w14:paraId="3E5A3821">
      <w:pPr>
        <w:pStyle w:val="96"/>
        <w:numPr>
          <w:ilvl w:val="0"/>
          <w:numId w:val="74"/>
        </w:numPr>
        <w:jc w:val="left"/>
        <w:rPr>
          <w:b w:val="0"/>
          <w:sz w:val="18"/>
        </w:rPr>
      </w:pPr>
      <w:r>
        <w:rPr>
          <w:rFonts w:hint="eastAsia"/>
          <w:b w:val="0"/>
          <w:sz w:val="18"/>
        </w:rPr>
        <w:t>屋面找坡层采用结构找坡，建筑找坡</w:t>
      </w:r>
    </w:p>
    <w:p w14:paraId="3FA16C2A">
      <w:pPr>
        <w:pStyle w:val="96"/>
        <w:numPr>
          <w:ilvl w:val="0"/>
          <w:numId w:val="74"/>
        </w:numPr>
        <w:jc w:val="left"/>
        <w:rPr>
          <w:b w:val="0"/>
          <w:sz w:val="18"/>
        </w:rPr>
      </w:pPr>
      <w:r>
        <w:rPr>
          <w:rFonts w:hint="eastAsia"/>
          <w:b w:val="0"/>
          <w:sz w:val="18"/>
        </w:rPr>
        <w:t>均采用倒置式：防水层采用涂料</w:t>
      </w:r>
      <w:r>
        <w:rPr>
          <w:b w:val="0"/>
          <w:sz w:val="18"/>
        </w:rPr>
        <w:t>+</w:t>
      </w:r>
      <w:r>
        <w:rPr>
          <w:rFonts w:hint="eastAsia"/>
          <w:b w:val="0"/>
          <w:sz w:val="18"/>
        </w:rPr>
        <w:t>卷材复合，铺贴在找坡层之上</w:t>
      </w:r>
    </w:p>
    <w:p w14:paraId="3E4B222C">
      <w:pPr>
        <w:pStyle w:val="96"/>
        <w:numPr>
          <w:ilvl w:val="0"/>
          <w:numId w:val="74"/>
        </w:numPr>
        <w:jc w:val="left"/>
        <w:rPr>
          <w:b w:val="0"/>
          <w:sz w:val="18"/>
        </w:rPr>
      </w:pPr>
      <w:r>
        <w:rPr>
          <w:rFonts w:hint="eastAsia"/>
          <w:b w:val="0"/>
          <w:sz w:val="18"/>
        </w:rPr>
        <w:t>防水层上直接采用柔性保温板兼做保护层</w:t>
      </w:r>
    </w:p>
    <w:p w14:paraId="6BF53691">
      <w:pPr>
        <w:pStyle w:val="96"/>
        <w:numPr>
          <w:ilvl w:val="0"/>
          <w:numId w:val="74"/>
        </w:numPr>
        <w:jc w:val="left"/>
        <w:rPr>
          <w:b w:val="0"/>
          <w:sz w:val="18"/>
        </w:rPr>
      </w:pPr>
      <w:r>
        <w:rPr>
          <w:rFonts w:hint="eastAsia"/>
          <w:b w:val="0"/>
          <w:sz w:val="18"/>
        </w:rPr>
        <w:t>坡屋面按坡度</w:t>
      </w:r>
      <w:r>
        <w:rPr>
          <w:b w:val="0"/>
          <w:sz w:val="18"/>
        </w:rPr>
        <w:t>30%</w:t>
      </w:r>
      <w:r>
        <w:rPr>
          <w:rFonts w:hint="eastAsia"/>
          <w:b w:val="0"/>
          <w:sz w:val="18"/>
        </w:rPr>
        <w:t>分不同防水做法，≤</w:t>
      </w:r>
      <w:r>
        <w:rPr>
          <w:b w:val="0"/>
          <w:sz w:val="18"/>
        </w:rPr>
        <w:t>30</w:t>
      </w:r>
      <w:r>
        <w:rPr>
          <w:rFonts w:hint="eastAsia"/>
          <w:b w:val="0"/>
          <w:sz w:val="18"/>
        </w:rPr>
        <w:t>°选用</w:t>
      </w:r>
      <w:r>
        <w:rPr>
          <w:b w:val="0"/>
          <w:sz w:val="18"/>
        </w:rPr>
        <w:t>2.0mm</w:t>
      </w:r>
      <w:r>
        <w:rPr>
          <w:rFonts w:hint="eastAsia"/>
          <w:b w:val="0"/>
          <w:sz w:val="18"/>
        </w:rPr>
        <w:t>自粘改性沥青防水卷材（无胎），固定钉钉孔部位防水层处增加</w:t>
      </w:r>
      <w:r>
        <w:rPr>
          <w:b w:val="0"/>
          <w:sz w:val="18"/>
        </w:rPr>
        <w:t>100x100mm</w:t>
      </w:r>
      <w:r>
        <w:rPr>
          <w:rFonts w:hint="eastAsia"/>
          <w:b w:val="0"/>
          <w:sz w:val="18"/>
        </w:rPr>
        <w:t>防水卷材小块；＞</w:t>
      </w:r>
      <w:r>
        <w:rPr>
          <w:b w:val="0"/>
          <w:sz w:val="18"/>
        </w:rPr>
        <w:t>30</w:t>
      </w:r>
      <w:r>
        <w:rPr>
          <w:rFonts w:hint="eastAsia"/>
          <w:b w:val="0"/>
          <w:sz w:val="18"/>
        </w:rPr>
        <w:t>°选用</w:t>
      </w:r>
      <w:r>
        <w:rPr>
          <w:b w:val="0"/>
          <w:sz w:val="18"/>
        </w:rPr>
        <w:t>1.5mm</w:t>
      </w:r>
      <w:r>
        <w:rPr>
          <w:rFonts w:hint="eastAsia"/>
          <w:b w:val="0"/>
          <w:sz w:val="18"/>
        </w:rPr>
        <w:t>单组份聚氨酯防水涂料。</w:t>
      </w:r>
    </w:p>
    <w:p w14:paraId="63376566">
      <w:pPr>
        <w:pStyle w:val="97"/>
      </w:pPr>
      <w:r>
        <w:rPr>
          <w:rFonts w:hint="eastAsia"/>
        </w:rPr>
        <w:t>屋面工程防水设计注意事项</w:t>
      </w:r>
    </w:p>
    <w:p w14:paraId="1C3DD9F4">
      <w:pPr>
        <w:pStyle w:val="96"/>
        <w:ind w:left="846" w:firstLine="360" w:firstLineChars="200"/>
        <w:jc w:val="left"/>
        <w:rPr>
          <w:b w:val="0"/>
          <w:sz w:val="18"/>
        </w:rPr>
      </w:pPr>
      <w:r>
        <w:rPr>
          <w:b w:val="0"/>
          <w:sz w:val="18"/>
        </w:rPr>
        <w:t>8.4.2.1</w:t>
      </w:r>
      <w:r>
        <w:rPr>
          <w:rFonts w:hint="eastAsia"/>
          <w:b w:val="0"/>
          <w:sz w:val="18"/>
        </w:rPr>
        <w:t>排水设计注意事项</w:t>
      </w:r>
      <w:r>
        <w:rPr>
          <w:b w:val="0"/>
          <w:sz w:val="18"/>
        </w:rPr>
        <w:t xml:space="preserve"> </w:t>
      </w:r>
    </w:p>
    <w:p w14:paraId="2DED8476">
      <w:pPr>
        <w:pStyle w:val="96"/>
        <w:ind w:left="846" w:firstLine="360" w:firstLineChars="200"/>
        <w:jc w:val="left"/>
        <w:rPr>
          <w:b w:val="0"/>
          <w:sz w:val="18"/>
        </w:rPr>
      </w:pPr>
      <w:r>
        <w:rPr>
          <w:rFonts w:hint="eastAsia"/>
          <w:b w:val="0"/>
          <w:sz w:val="18"/>
        </w:rPr>
        <w:t>平屋面排水设计注意事项</w:t>
      </w:r>
      <w:r>
        <w:rPr>
          <w:b w:val="0"/>
          <w:sz w:val="18"/>
        </w:rPr>
        <w:t xml:space="preserve"> </w:t>
      </w:r>
    </w:p>
    <w:p w14:paraId="31DD8D8C">
      <w:pPr>
        <w:pStyle w:val="96"/>
        <w:numPr>
          <w:ilvl w:val="3"/>
          <w:numId w:val="75"/>
        </w:numPr>
        <w:jc w:val="left"/>
        <w:rPr>
          <w:b w:val="0"/>
          <w:sz w:val="18"/>
        </w:rPr>
      </w:pPr>
      <w:r>
        <w:rPr>
          <w:rFonts w:hint="eastAsia"/>
          <w:b w:val="0"/>
          <w:sz w:val="18"/>
        </w:rPr>
        <w:t>屋面排水方式可分为有组织排水和无组织排水。在进行屋面排水系统设计时，应符合现行</w:t>
      </w:r>
      <w:r>
        <w:rPr>
          <w:b w:val="0"/>
          <w:sz w:val="18"/>
        </w:rPr>
        <w:t xml:space="preserve"> </w:t>
      </w:r>
      <w:r>
        <w:rPr>
          <w:rFonts w:hint="eastAsia"/>
          <w:b w:val="0"/>
          <w:sz w:val="18"/>
        </w:rPr>
        <w:t>国家标准《建筑给水排水设计规范》</w:t>
      </w:r>
      <w:r>
        <w:rPr>
          <w:b w:val="0"/>
          <w:sz w:val="18"/>
        </w:rPr>
        <w:t>GB50015</w:t>
      </w:r>
      <w:r>
        <w:rPr>
          <w:rFonts w:hint="eastAsia"/>
          <w:b w:val="0"/>
          <w:sz w:val="18"/>
        </w:rPr>
        <w:t>的有关规定。首先应根据屋面形式及使用功</w:t>
      </w:r>
      <w:r>
        <w:rPr>
          <w:b w:val="0"/>
          <w:sz w:val="18"/>
        </w:rPr>
        <w:t xml:space="preserve"> </w:t>
      </w:r>
      <w:r>
        <w:rPr>
          <w:rFonts w:hint="eastAsia"/>
          <w:b w:val="0"/>
          <w:sz w:val="18"/>
        </w:rPr>
        <w:t>能要求，确定屋面的排水方式及排水坡度，明确是采用有组织排水还是无组织排水。一般</w:t>
      </w:r>
      <w:r>
        <w:rPr>
          <w:b w:val="0"/>
          <w:sz w:val="18"/>
        </w:rPr>
        <w:t xml:space="preserve"> </w:t>
      </w:r>
      <w:r>
        <w:rPr>
          <w:rFonts w:hint="eastAsia"/>
          <w:b w:val="0"/>
          <w:sz w:val="18"/>
        </w:rPr>
        <w:t>地，高层建筑屋面宜采用内排水；多层建筑屋面宜采用有组织外排水；低层建筑及檐高小</w:t>
      </w:r>
      <w:r>
        <w:rPr>
          <w:b w:val="0"/>
          <w:sz w:val="18"/>
        </w:rPr>
        <w:t xml:space="preserve"> </w:t>
      </w:r>
      <w:r>
        <w:rPr>
          <w:rFonts w:hint="eastAsia"/>
          <w:b w:val="0"/>
          <w:sz w:val="18"/>
        </w:rPr>
        <w:t>于</w:t>
      </w:r>
      <w:r>
        <w:rPr>
          <w:b w:val="0"/>
          <w:sz w:val="18"/>
        </w:rPr>
        <w:t>l0m</w:t>
      </w:r>
      <w:r>
        <w:rPr>
          <w:rFonts w:hint="eastAsia"/>
          <w:b w:val="0"/>
          <w:sz w:val="18"/>
        </w:rPr>
        <w:t>的屋面，可采用无组织排水。多跨及汇水面积较大的屋面宜采用天沟排水，天沟找</w:t>
      </w:r>
      <w:r>
        <w:rPr>
          <w:b w:val="0"/>
          <w:sz w:val="18"/>
        </w:rPr>
        <w:t xml:space="preserve"> </w:t>
      </w:r>
      <w:r>
        <w:rPr>
          <w:rFonts w:hint="eastAsia"/>
          <w:b w:val="0"/>
          <w:sz w:val="18"/>
        </w:rPr>
        <w:t>坡较长时，宜采用中间内排水和两端外排水。</w:t>
      </w:r>
      <w:r>
        <w:rPr>
          <w:b w:val="0"/>
          <w:sz w:val="18"/>
        </w:rPr>
        <w:t xml:space="preserve"> </w:t>
      </w:r>
    </w:p>
    <w:p w14:paraId="375E41BE">
      <w:pPr>
        <w:pStyle w:val="96"/>
        <w:numPr>
          <w:ilvl w:val="3"/>
          <w:numId w:val="75"/>
        </w:numPr>
        <w:jc w:val="left"/>
        <w:rPr>
          <w:b w:val="0"/>
          <w:sz w:val="18"/>
        </w:rPr>
      </w:pPr>
      <w:r>
        <w:rPr>
          <w:rFonts w:hint="eastAsia"/>
          <w:b w:val="0"/>
          <w:sz w:val="18"/>
        </w:rPr>
        <w:t>屋面水落管的数量，一般与水落口对应。大多呈一对一布置，个别情况可一管数口。水落</w:t>
      </w:r>
      <w:r>
        <w:rPr>
          <w:b w:val="0"/>
          <w:sz w:val="18"/>
        </w:rPr>
        <w:t xml:space="preserve"> </w:t>
      </w:r>
      <w:r>
        <w:rPr>
          <w:rFonts w:hint="eastAsia"/>
          <w:b w:val="0"/>
          <w:sz w:val="18"/>
        </w:rPr>
        <w:t>口数量可通过屋面汇水面积计算确定。一般情况下，为减少水落管堵塞，影响排水，水落</w:t>
      </w:r>
      <w:r>
        <w:rPr>
          <w:b w:val="0"/>
          <w:sz w:val="18"/>
        </w:rPr>
        <w:t xml:space="preserve"> </w:t>
      </w:r>
      <w:r>
        <w:rPr>
          <w:rFonts w:hint="eastAsia"/>
          <w:b w:val="0"/>
          <w:sz w:val="18"/>
        </w:rPr>
        <w:t>管内径应大于</w:t>
      </w:r>
      <w:r>
        <w:rPr>
          <w:b w:val="0"/>
          <w:sz w:val="18"/>
        </w:rPr>
        <w:t>l00mm;</w:t>
      </w:r>
      <w:r>
        <w:rPr>
          <w:rFonts w:hint="eastAsia"/>
          <w:b w:val="0"/>
          <w:sz w:val="18"/>
        </w:rPr>
        <w:t>若屋面面积较小或雨量少的地区和汇水面积小的建筑，可取</w:t>
      </w:r>
      <w:r>
        <w:rPr>
          <w:b w:val="0"/>
          <w:sz w:val="18"/>
        </w:rPr>
        <w:t>75mm</w:t>
      </w:r>
      <w:r>
        <w:rPr>
          <w:rFonts w:hint="eastAsia"/>
          <w:b w:val="0"/>
          <w:sz w:val="18"/>
        </w:rPr>
        <w:t>的最</w:t>
      </w:r>
      <w:r>
        <w:rPr>
          <w:b w:val="0"/>
          <w:sz w:val="18"/>
        </w:rPr>
        <w:t xml:space="preserve"> </w:t>
      </w:r>
      <w:r>
        <w:rPr>
          <w:rFonts w:hint="eastAsia"/>
          <w:b w:val="0"/>
          <w:sz w:val="18"/>
        </w:rPr>
        <w:t>小值，这时每根水落管的最大汇水面积宜小于</w:t>
      </w:r>
      <w:r>
        <w:rPr>
          <w:b w:val="0"/>
          <w:sz w:val="18"/>
        </w:rPr>
        <w:t>200</w:t>
      </w:r>
      <w:r>
        <w:rPr>
          <w:rFonts w:hint="eastAsia"/>
          <w:b w:val="0"/>
          <w:sz w:val="18"/>
        </w:rPr>
        <w:t>㎡。</w:t>
      </w:r>
      <w:r>
        <w:rPr>
          <w:b w:val="0"/>
          <w:sz w:val="18"/>
        </w:rPr>
        <w:t xml:space="preserve"> </w:t>
      </w:r>
    </w:p>
    <w:p w14:paraId="70DB8517">
      <w:pPr>
        <w:pStyle w:val="96"/>
        <w:numPr>
          <w:ilvl w:val="3"/>
          <w:numId w:val="75"/>
        </w:numPr>
        <w:jc w:val="left"/>
        <w:rPr>
          <w:b w:val="0"/>
          <w:sz w:val="18"/>
        </w:rPr>
      </w:pPr>
      <w:r>
        <w:rPr>
          <w:rFonts w:hint="eastAsia"/>
          <w:b w:val="0"/>
          <w:sz w:val="18"/>
        </w:rPr>
        <w:t>单个水落口，在雨量较大地区，其最大汇水面积宜小于</w:t>
      </w:r>
      <w:r>
        <w:rPr>
          <w:b w:val="0"/>
          <w:sz w:val="18"/>
        </w:rPr>
        <w:t>150</w:t>
      </w:r>
      <w:r>
        <w:rPr>
          <w:rFonts w:hint="eastAsia"/>
          <w:b w:val="0"/>
          <w:sz w:val="18"/>
        </w:rPr>
        <w:t>㎡，主要是考虑到维护管理的</w:t>
      </w:r>
      <w:r>
        <w:rPr>
          <w:b w:val="0"/>
          <w:sz w:val="18"/>
        </w:rPr>
        <w:t xml:space="preserve"> </w:t>
      </w:r>
      <w:r>
        <w:rPr>
          <w:rFonts w:hint="eastAsia"/>
          <w:b w:val="0"/>
          <w:sz w:val="18"/>
        </w:rPr>
        <w:t>质量普遍低下，水落口排水经常受阻。同样理由，独立的排水单元，面积较大时，比如超</w:t>
      </w:r>
      <w:r>
        <w:rPr>
          <w:b w:val="0"/>
          <w:sz w:val="18"/>
        </w:rPr>
        <w:t xml:space="preserve"> </w:t>
      </w:r>
      <w:r>
        <w:rPr>
          <w:rFonts w:hint="eastAsia"/>
          <w:b w:val="0"/>
          <w:sz w:val="18"/>
        </w:rPr>
        <w:t>过</w:t>
      </w:r>
      <w:r>
        <w:rPr>
          <w:b w:val="0"/>
          <w:sz w:val="18"/>
        </w:rPr>
        <w:t>75</w:t>
      </w:r>
      <w:r>
        <w:rPr>
          <w:rFonts w:hint="eastAsia"/>
          <w:b w:val="0"/>
          <w:sz w:val="18"/>
        </w:rPr>
        <w:t>㎡时，不宜只设一个水落口。</w:t>
      </w:r>
      <w:r>
        <w:rPr>
          <w:b w:val="0"/>
          <w:sz w:val="18"/>
        </w:rPr>
        <w:t xml:space="preserve"> </w:t>
      </w:r>
    </w:p>
    <w:p w14:paraId="652FEE0A">
      <w:pPr>
        <w:pStyle w:val="96"/>
        <w:numPr>
          <w:ilvl w:val="3"/>
          <w:numId w:val="75"/>
        </w:numPr>
        <w:jc w:val="left"/>
        <w:rPr>
          <w:b w:val="0"/>
          <w:sz w:val="18"/>
        </w:rPr>
      </w:pPr>
      <w:r>
        <w:rPr>
          <w:rFonts w:hint="eastAsia"/>
          <w:b w:val="0"/>
          <w:sz w:val="18"/>
        </w:rPr>
        <w:t>天沟、檐沟排水不得流经变形缝和防火墙。</w:t>
      </w:r>
      <w:r>
        <w:rPr>
          <w:b w:val="0"/>
          <w:sz w:val="18"/>
        </w:rPr>
        <w:t xml:space="preserve"> </w:t>
      </w:r>
    </w:p>
    <w:p w14:paraId="33D6EAB3">
      <w:pPr>
        <w:pStyle w:val="96"/>
        <w:numPr>
          <w:ilvl w:val="3"/>
          <w:numId w:val="75"/>
        </w:numPr>
        <w:jc w:val="left"/>
        <w:rPr>
          <w:b w:val="0"/>
          <w:sz w:val="18"/>
        </w:rPr>
      </w:pPr>
      <w:r>
        <w:rPr>
          <w:rFonts w:hint="eastAsia"/>
          <w:b w:val="0"/>
          <w:sz w:val="18"/>
        </w:rPr>
        <w:t>水落管排水口距散水坡的高度不应大于</w:t>
      </w:r>
      <w:r>
        <w:rPr>
          <w:b w:val="0"/>
          <w:sz w:val="18"/>
        </w:rPr>
        <w:t>200mm</w:t>
      </w:r>
      <w:r>
        <w:rPr>
          <w:rFonts w:hint="eastAsia"/>
          <w:b w:val="0"/>
          <w:sz w:val="18"/>
        </w:rPr>
        <w:t>。</w:t>
      </w:r>
      <w:r>
        <w:rPr>
          <w:b w:val="0"/>
          <w:sz w:val="18"/>
        </w:rPr>
        <w:t xml:space="preserve"> </w:t>
      </w:r>
    </w:p>
    <w:p w14:paraId="01427DB0">
      <w:pPr>
        <w:pStyle w:val="96"/>
        <w:numPr>
          <w:ilvl w:val="3"/>
          <w:numId w:val="75"/>
        </w:numPr>
        <w:jc w:val="left"/>
        <w:rPr>
          <w:b w:val="0"/>
          <w:sz w:val="18"/>
        </w:rPr>
      </w:pPr>
      <w:r>
        <w:rPr>
          <w:rFonts w:hint="eastAsia"/>
          <w:b w:val="0"/>
          <w:sz w:val="18"/>
        </w:rPr>
        <w:t>高跨屋面为无组织排水时，其低跨屋面无刚性块材（或整体）保护时，受水冲刷的部位应</w:t>
      </w:r>
      <w:r>
        <w:rPr>
          <w:b w:val="0"/>
          <w:sz w:val="18"/>
        </w:rPr>
        <w:t xml:space="preserve"> </w:t>
      </w:r>
      <w:r>
        <w:rPr>
          <w:rFonts w:hint="eastAsia"/>
          <w:b w:val="0"/>
          <w:sz w:val="18"/>
        </w:rPr>
        <w:t>加铺一层整幅卷材，上铺通长预制</w:t>
      </w:r>
      <w:r>
        <w:rPr>
          <w:b w:val="0"/>
          <w:sz w:val="18"/>
        </w:rPr>
        <w:t>300</w:t>
      </w:r>
      <w:r>
        <w:rPr>
          <w:rFonts w:hint="eastAsia"/>
          <w:b w:val="0"/>
          <w:sz w:val="18"/>
        </w:rPr>
        <w:t>～</w:t>
      </w:r>
      <w:r>
        <w:rPr>
          <w:b w:val="0"/>
          <w:sz w:val="18"/>
        </w:rPr>
        <w:t>500mm</w:t>
      </w:r>
      <w:r>
        <w:rPr>
          <w:rFonts w:hint="eastAsia"/>
          <w:b w:val="0"/>
          <w:sz w:val="18"/>
        </w:rPr>
        <w:t>宽的</w:t>
      </w:r>
      <w:r>
        <w:rPr>
          <w:b w:val="0"/>
          <w:sz w:val="18"/>
        </w:rPr>
        <w:t>C20</w:t>
      </w:r>
      <w:r>
        <w:rPr>
          <w:rFonts w:hint="eastAsia"/>
          <w:b w:val="0"/>
          <w:sz w:val="18"/>
        </w:rPr>
        <w:t>混凝土板加强保护；高跨屋面有组</w:t>
      </w:r>
      <w:r>
        <w:rPr>
          <w:b w:val="0"/>
          <w:sz w:val="18"/>
        </w:rPr>
        <w:t xml:space="preserve"> </w:t>
      </w:r>
      <w:r>
        <w:rPr>
          <w:rFonts w:hint="eastAsia"/>
          <w:b w:val="0"/>
          <w:sz w:val="18"/>
        </w:rPr>
        <w:t>织排水时，水落管下应加设水簸箕。</w:t>
      </w:r>
      <w:r>
        <w:rPr>
          <w:b w:val="0"/>
          <w:sz w:val="18"/>
        </w:rPr>
        <w:t xml:space="preserve"> </w:t>
      </w:r>
    </w:p>
    <w:p w14:paraId="1D1D01ED">
      <w:pPr>
        <w:pStyle w:val="96"/>
        <w:numPr>
          <w:ilvl w:val="3"/>
          <w:numId w:val="75"/>
        </w:numPr>
        <w:jc w:val="left"/>
        <w:rPr>
          <w:b w:val="0"/>
          <w:sz w:val="18"/>
        </w:rPr>
      </w:pPr>
      <w:r>
        <w:rPr>
          <w:rFonts w:hint="eastAsia"/>
          <w:b w:val="0"/>
          <w:sz w:val="18"/>
        </w:rPr>
        <w:t>与变形缝连通的屋面，宜加大水落管管径，增加水落口数量，并将变形缝处设计成排水坡</w:t>
      </w:r>
      <w:r>
        <w:rPr>
          <w:b w:val="0"/>
          <w:sz w:val="18"/>
        </w:rPr>
        <w:t xml:space="preserve"> </w:t>
      </w:r>
      <w:r>
        <w:rPr>
          <w:rFonts w:hint="eastAsia"/>
          <w:b w:val="0"/>
          <w:sz w:val="18"/>
        </w:rPr>
        <w:t>高点。</w:t>
      </w:r>
      <w:r>
        <w:rPr>
          <w:b w:val="0"/>
          <w:sz w:val="18"/>
        </w:rPr>
        <w:t xml:space="preserve"> </w:t>
      </w:r>
    </w:p>
    <w:p w14:paraId="1FABB2C9">
      <w:pPr>
        <w:pStyle w:val="96"/>
        <w:numPr>
          <w:ilvl w:val="3"/>
          <w:numId w:val="75"/>
        </w:numPr>
        <w:jc w:val="left"/>
        <w:rPr>
          <w:b w:val="0"/>
          <w:sz w:val="18"/>
        </w:rPr>
      </w:pPr>
      <w:r>
        <w:rPr>
          <w:rFonts w:hint="eastAsia"/>
          <w:b w:val="0"/>
          <w:sz w:val="18"/>
        </w:rPr>
        <w:t>一般建筑的水落管系统图由给排水专业设计，包括水落口及水落管的选用。但排水平面设</w:t>
      </w:r>
      <w:r>
        <w:rPr>
          <w:b w:val="0"/>
          <w:sz w:val="18"/>
        </w:rPr>
        <w:t xml:space="preserve"> </w:t>
      </w:r>
      <w:r>
        <w:rPr>
          <w:rFonts w:hint="eastAsia"/>
          <w:b w:val="0"/>
          <w:sz w:val="18"/>
        </w:rPr>
        <w:t>计，是由建筑专业完成的。复杂大型的屋面排水设计，给排水专业可能会有更多的介入，</w:t>
      </w:r>
      <w:r>
        <w:rPr>
          <w:b w:val="0"/>
          <w:sz w:val="18"/>
        </w:rPr>
        <w:t xml:space="preserve"> </w:t>
      </w:r>
      <w:r>
        <w:rPr>
          <w:rFonts w:hint="eastAsia"/>
          <w:b w:val="0"/>
          <w:sz w:val="18"/>
        </w:rPr>
        <w:t>但排水平面及找坡仍应由建筑专业完成。</w:t>
      </w:r>
      <w:r>
        <w:rPr>
          <w:b w:val="0"/>
          <w:sz w:val="18"/>
        </w:rPr>
        <w:t xml:space="preserve"> </w:t>
      </w:r>
    </w:p>
    <w:p w14:paraId="4C7315AF">
      <w:pPr>
        <w:pStyle w:val="96"/>
        <w:ind w:left="846" w:firstLine="360" w:firstLineChars="200"/>
        <w:jc w:val="left"/>
        <w:rPr>
          <w:b w:val="0"/>
          <w:sz w:val="18"/>
        </w:rPr>
      </w:pPr>
      <w:r>
        <w:rPr>
          <w:rFonts w:hint="eastAsia"/>
          <w:b w:val="0"/>
          <w:sz w:val="18"/>
        </w:rPr>
        <w:t>坡屋面排水设计注意事项</w:t>
      </w:r>
    </w:p>
    <w:p w14:paraId="139F8D94">
      <w:pPr>
        <w:pStyle w:val="96"/>
        <w:numPr>
          <w:ilvl w:val="0"/>
          <w:numId w:val="76"/>
        </w:numPr>
        <w:jc w:val="left"/>
        <w:rPr>
          <w:b w:val="0"/>
          <w:sz w:val="18"/>
        </w:rPr>
      </w:pPr>
      <w:r>
        <w:rPr>
          <w:rFonts w:hint="eastAsia"/>
          <w:b w:val="0"/>
          <w:sz w:val="18"/>
        </w:rPr>
        <w:t>坡屋面排水设计原则</w:t>
      </w:r>
      <w:r>
        <w:rPr>
          <w:b w:val="0"/>
          <w:sz w:val="18"/>
        </w:rPr>
        <w:t xml:space="preserve"> </w:t>
      </w:r>
    </w:p>
    <w:p w14:paraId="300E2CED">
      <w:pPr>
        <w:pStyle w:val="96"/>
        <w:numPr>
          <w:ilvl w:val="6"/>
          <w:numId w:val="77"/>
        </w:numPr>
        <w:jc w:val="left"/>
        <w:rPr>
          <w:b w:val="0"/>
          <w:sz w:val="18"/>
        </w:rPr>
      </w:pPr>
      <w:r>
        <w:rPr>
          <w:rFonts w:hint="eastAsia"/>
          <w:b w:val="0"/>
          <w:sz w:val="18"/>
        </w:rPr>
        <w:t>多雨地区的坡屋面应采用有组织排水。</w:t>
      </w:r>
      <w:r>
        <w:rPr>
          <w:b w:val="0"/>
          <w:sz w:val="18"/>
        </w:rPr>
        <w:t xml:space="preserve"> </w:t>
      </w:r>
    </w:p>
    <w:p w14:paraId="27492CDF">
      <w:pPr>
        <w:pStyle w:val="96"/>
        <w:numPr>
          <w:ilvl w:val="6"/>
          <w:numId w:val="77"/>
        </w:numPr>
        <w:jc w:val="left"/>
        <w:rPr>
          <w:b w:val="0"/>
          <w:sz w:val="18"/>
        </w:rPr>
      </w:pPr>
      <w:r>
        <w:rPr>
          <w:rFonts w:hint="eastAsia"/>
          <w:b w:val="0"/>
          <w:sz w:val="18"/>
        </w:rPr>
        <w:t>少雨地区可采用无组织排水。</w:t>
      </w:r>
      <w:r>
        <w:rPr>
          <w:b w:val="0"/>
          <w:sz w:val="18"/>
        </w:rPr>
        <w:t xml:space="preserve"> </w:t>
      </w:r>
    </w:p>
    <w:p w14:paraId="5D588158">
      <w:pPr>
        <w:pStyle w:val="96"/>
        <w:numPr>
          <w:ilvl w:val="6"/>
          <w:numId w:val="77"/>
        </w:numPr>
        <w:jc w:val="left"/>
        <w:rPr>
          <w:b w:val="0"/>
          <w:sz w:val="18"/>
        </w:rPr>
      </w:pPr>
      <w:r>
        <w:rPr>
          <w:rFonts w:hint="eastAsia"/>
          <w:b w:val="0"/>
          <w:sz w:val="18"/>
        </w:rPr>
        <w:t>高低跨屋面的落水管出水口处应采取防冲刷措施。</w:t>
      </w:r>
      <w:r>
        <w:rPr>
          <w:b w:val="0"/>
          <w:sz w:val="18"/>
        </w:rPr>
        <w:t xml:space="preserve"> </w:t>
      </w:r>
    </w:p>
    <w:p w14:paraId="4B173DD7">
      <w:pPr>
        <w:pStyle w:val="96"/>
        <w:numPr>
          <w:ilvl w:val="6"/>
          <w:numId w:val="77"/>
        </w:numPr>
        <w:jc w:val="left"/>
        <w:rPr>
          <w:b w:val="0"/>
          <w:sz w:val="18"/>
        </w:rPr>
      </w:pPr>
      <w:r>
        <w:rPr>
          <w:rFonts w:hint="eastAsia"/>
          <w:b w:val="0"/>
          <w:sz w:val="18"/>
        </w:rPr>
        <w:t>坡屋面有组织排水方式和落水管的数量，应按现行国家标准</w:t>
      </w:r>
      <w:r>
        <w:rPr>
          <w:b w:val="0"/>
          <w:sz w:val="18"/>
        </w:rPr>
        <w:t xml:space="preserve"> </w:t>
      </w:r>
    </w:p>
    <w:p w14:paraId="5270E5D9">
      <w:pPr>
        <w:pStyle w:val="96"/>
        <w:numPr>
          <w:ilvl w:val="6"/>
          <w:numId w:val="77"/>
        </w:numPr>
        <w:jc w:val="left"/>
        <w:rPr>
          <w:b w:val="0"/>
          <w:sz w:val="18"/>
        </w:rPr>
      </w:pPr>
      <w:r>
        <w:rPr>
          <w:rFonts w:hint="eastAsia"/>
          <w:b w:val="0"/>
          <w:sz w:val="18"/>
        </w:rPr>
        <w:t>《建筑给水排水设计规范》</w:t>
      </w:r>
      <w:r>
        <w:rPr>
          <w:b w:val="0"/>
          <w:sz w:val="18"/>
        </w:rPr>
        <w:t>GB 50015-2009</w:t>
      </w:r>
      <w:r>
        <w:rPr>
          <w:rFonts w:hint="eastAsia"/>
          <w:b w:val="0"/>
          <w:sz w:val="18"/>
        </w:rPr>
        <w:t>的相关规定确定。</w:t>
      </w:r>
      <w:r>
        <w:rPr>
          <w:b w:val="0"/>
          <w:sz w:val="18"/>
        </w:rPr>
        <w:t xml:space="preserve"> </w:t>
      </w:r>
    </w:p>
    <w:p w14:paraId="2F033F0F">
      <w:pPr>
        <w:pStyle w:val="96"/>
        <w:numPr>
          <w:ilvl w:val="0"/>
          <w:numId w:val="76"/>
        </w:numPr>
        <w:jc w:val="left"/>
        <w:rPr>
          <w:b w:val="0"/>
          <w:sz w:val="18"/>
        </w:rPr>
      </w:pPr>
      <w:r>
        <w:rPr>
          <w:rFonts w:hint="eastAsia"/>
          <w:b w:val="0"/>
          <w:sz w:val="18"/>
        </w:rPr>
        <w:t>使用檐沟、立管组成的落水系统，是有组织的集中排放，是疏导，不是堵截，更不是将雨</w:t>
      </w:r>
      <w:r>
        <w:rPr>
          <w:b w:val="0"/>
          <w:sz w:val="18"/>
        </w:rPr>
        <w:t xml:space="preserve"> </w:t>
      </w:r>
      <w:r>
        <w:rPr>
          <w:rFonts w:hint="eastAsia"/>
          <w:b w:val="0"/>
          <w:sz w:val="18"/>
        </w:rPr>
        <w:t>水全部兜在檐沟里，而是需要设置溢流。当雨水满沟时，直接由檐沟的外沿溢出，避免后</w:t>
      </w:r>
      <w:r>
        <w:rPr>
          <w:b w:val="0"/>
          <w:sz w:val="18"/>
        </w:rPr>
        <w:t xml:space="preserve"> </w:t>
      </w:r>
      <w:r>
        <w:rPr>
          <w:rFonts w:hint="eastAsia"/>
          <w:b w:val="0"/>
          <w:sz w:val="18"/>
        </w:rPr>
        <w:t>溢尿檐，或更严重的反水到屋面引起渗漏。檐沟的形状也需要是后边高于前边。同时防止</w:t>
      </w:r>
      <w:r>
        <w:rPr>
          <w:b w:val="0"/>
          <w:sz w:val="18"/>
        </w:rPr>
        <w:t xml:space="preserve"> </w:t>
      </w:r>
      <w:r>
        <w:rPr>
          <w:rFonts w:hint="eastAsia"/>
          <w:b w:val="0"/>
          <w:sz w:val="18"/>
        </w:rPr>
        <w:t>承载的雨水过重影响成品檐沟的安全。并且要在成品檐沟上设置止水线，防止雨水倒流到</w:t>
      </w:r>
      <w:r>
        <w:rPr>
          <w:b w:val="0"/>
          <w:sz w:val="18"/>
        </w:rPr>
        <w:t xml:space="preserve"> </w:t>
      </w:r>
      <w:r>
        <w:rPr>
          <w:rFonts w:hint="eastAsia"/>
          <w:b w:val="0"/>
          <w:sz w:val="18"/>
        </w:rPr>
        <w:t>檐口。</w:t>
      </w:r>
      <w:r>
        <w:rPr>
          <w:b w:val="0"/>
          <w:sz w:val="18"/>
        </w:rPr>
        <w:t xml:space="preserve"> </w:t>
      </w:r>
    </w:p>
    <w:p w14:paraId="04D8FBD1">
      <w:pPr>
        <w:pStyle w:val="96"/>
        <w:numPr>
          <w:ilvl w:val="0"/>
          <w:numId w:val="76"/>
        </w:numPr>
        <w:jc w:val="left"/>
        <w:rPr>
          <w:b w:val="0"/>
          <w:sz w:val="18"/>
        </w:rPr>
      </w:pPr>
      <w:r>
        <w:rPr>
          <w:rFonts w:hint="eastAsia"/>
          <w:b w:val="0"/>
          <w:sz w:val="18"/>
        </w:rPr>
        <w:t>内置檐沟，同样需要注意檐沟的前高后低，使雨水可以漫过前沿。如果前沿无法密封，那</w:t>
      </w:r>
      <w:r>
        <w:rPr>
          <w:b w:val="0"/>
          <w:sz w:val="18"/>
        </w:rPr>
        <w:t xml:space="preserve"> </w:t>
      </w:r>
      <w:r>
        <w:rPr>
          <w:rFonts w:hint="eastAsia"/>
          <w:b w:val="0"/>
          <w:sz w:val="18"/>
        </w:rPr>
        <w:t>么底部的吊顶，必须留有溢流疏通的方法，如开槽板、多孔板等。落水的另外作用，就是</w:t>
      </w:r>
      <w:r>
        <w:rPr>
          <w:b w:val="0"/>
          <w:sz w:val="18"/>
        </w:rPr>
        <w:t xml:space="preserve"> </w:t>
      </w:r>
      <w:r>
        <w:rPr>
          <w:rFonts w:hint="eastAsia"/>
          <w:b w:val="0"/>
          <w:sz w:val="18"/>
        </w:rPr>
        <w:t>将屋面的雨水引离墙面，避免过多的雨水溅落，造成对墙面的污染，或对墙体过多的浸蚀</w:t>
      </w:r>
      <w:r>
        <w:rPr>
          <w:b w:val="0"/>
          <w:sz w:val="18"/>
        </w:rPr>
        <w:t xml:space="preserve"> </w:t>
      </w:r>
      <w:r>
        <w:rPr>
          <w:rFonts w:hint="eastAsia"/>
          <w:b w:val="0"/>
          <w:sz w:val="18"/>
        </w:rPr>
        <w:t>引起墙面褪色。避免出入家门时的“水涟洞”现象，同时避免雨水跌落。</w:t>
      </w:r>
      <w:r>
        <w:rPr>
          <w:b w:val="0"/>
          <w:sz w:val="18"/>
        </w:rPr>
        <w:t xml:space="preserve"> </w:t>
      </w:r>
    </w:p>
    <w:p w14:paraId="6F656577">
      <w:pPr>
        <w:pStyle w:val="96"/>
        <w:ind w:left="846" w:firstLine="360" w:firstLineChars="200"/>
        <w:jc w:val="left"/>
        <w:rPr>
          <w:b w:val="0"/>
          <w:sz w:val="18"/>
        </w:rPr>
      </w:pPr>
      <w:r>
        <w:rPr>
          <w:b w:val="0"/>
          <w:sz w:val="18"/>
        </w:rPr>
        <w:t xml:space="preserve">8.4.2.2 </w:t>
      </w:r>
      <w:r>
        <w:rPr>
          <w:rFonts w:hint="eastAsia"/>
          <w:b w:val="0"/>
          <w:sz w:val="18"/>
        </w:rPr>
        <w:t>倒置式屋面设计注意事项</w:t>
      </w:r>
    </w:p>
    <w:p w14:paraId="6C521790">
      <w:pPr>
        <w:pStyle w:val="96"/>
        <w:numPr>
          <w:ilvl w:val="0"/>
          <w:numId w:val="78"/>
        </w:numPr>
        <w:jc w:val="left"/>
        <w:rPr>
          <w:b w:val="0"/>
          <w:sz w:val="18"/>
        </w:rPr>
      </w:pPr>
      <w:r>
        <w:rPr>
          <w:rFonts w:hint="eastAsia"/>
          <w:b w:val="0"/>
          <w:sz w:val="18"/>
        </w:rPr>
        <w:t>倒置式屋面工程的防水等级应为</w:t>
      </w:r>
      <w:r>
        <w:rPr>
          <w:b w:val="0"/>
          <w:sz w:val="18"/>
        </w:rPr>
        <w:t>I</w:t>
      </w:r>
      <w:r>
        <w:rPr>
          <w:rFonts w:hint="eastAsia"/>
          <w:b w:val="0"/>
          <w:sz w:val="18"/>
        </w:rPr>
        <w:t>级，防水层合理使用年限不得少于</w:t>
      </w:r>
      <w:r>
        <w:rPr>
          <w:b w:val="0"/>
          <w:sz w:val="18"/>
        </w:rPr>
        <w:t>20</w:t>
      </w:r>
      <w:r>
        <w:rPr>
          <w:rFonts w:hint="eastAsia"/>
          <w:b w:val="0"/>
          <w:sz w:val="18"/>
        </w:rPr>
        <w:t>年。</w:t>
      </w:r>
      <w:r>
        <w:rPr>
          <w:b w:val="0"/>
          <w:sz w:val="18"/>
        </w:rPr>
        <w:t xml:space="preserve">   </w:t>
      </w:r>
    </w:p>
    <w:p w14:paraId="7ED5080E">
      <w:pPr>
        <w:pStyle w:val="96"/>
        <w:numPr>
          <w:ilvl w:val="0"/>
          <w:numId w:val="78"/>
        </w:numPr>
        <w:jc w:val="left"/>
        <w:rPr>
          <w:b w:val="0"/>
          <w:sz w:val="18"/>
        </w:rPr>
      </w:pPr>
      <w:r>
        <w:rPr>
          <w:rFonts w:hint="eastAsia"/>
          <w:b w:val="0"/>
          <w:sz w:val="18"/>
        </w:rPr>
        <w:t>倒置式屋面工程的保温层使用年限不宜低于防水层使用年限。</w:t>
      </w:r>
      <w:r>
        <w:rPr>
          <w:b w:val="0"/>
          <w:sz w:val="18"/>
        </w:rPr>
        <w:t xml:space="preserve">   </w:t>
      </w:r>
    </w:p>
    <w:p w14:paraId="35CBC54E">
      <w:pPr>
        <w:pStyle w:val="96"/>
        <w:numPr>
          <w:ilvl w:val="0"/>
          <w:numId w:val="78"/>
        </w:numPr>
        <w:jc w:val="left"/>
        <w:rPr>
          <w:b w:val="0"/>
          <w:sz w:val="18"/>
        </w:rPr>
      </w:pPr>
      <w:r>
        <w:rPr>
          <w:rFonts w:hint="eastAsia"/>
          <w:b w:val="0"/>
          <w:sz w:val="18"/>
        </w:rPr>
        <w:t>倒置式屋面的防水层材料耐久性应符合设计要求；保温层应选用表观密度小、压缩强度大、</w:t>
      </w:r>
      <w:r>
        <w:rPr>
          <w:b w:val="0"/>
          <w:sz w:val="18"/>
        </w:rPr>
        <w:t xml:space="preserve">   </w:t>
      </w:r>
      <w:r>
        <w:rPr>
          <w:rFonts w:hint="eastAsia"/>
          <w:b w:val="0"/>
          <w:sz w:val="18"/>
        </w:rPr>
        <w:t>导热系数小、吸水率低的保温材料，不得使用松散保温材料。</w:t>
      </w:r>
      <w:r>
        <w:rPr>
          <w:b w:val="0"/>
          <w:sz w:val="18"/>
        </w:rPr>
        <w:t xml:space="preserve">   </w:t>
      </w:r>
    </w:p>
    <w:p w14:paraId="19B60F84">
      <w:pPr>
        <w:pStyle w:val="96"/>
        <w:numPr>
          <w:ilvl w:val="0"/>
          <w:numId w:val="78"/>
        </w:numPr>
        <w:jc w:val="left"/>
        <w:rPr>
          <w:b w:val="0"/>
          <w:sz w:val="18"/>
        </w:rPr>
      </w:pPr>
      <w:r>
        <w:rPr>
          <w:rFonts w:hint="eastAsia"/>
          <w:b w:val="0"/>
          <w:sz w:val="18"/>
        </w:rPr>
        <w:t>保温材料的性能应符合下列规定：a）导热系数不应大于</w:t>
      </w:r>
      <w:r>
        <w:rPr>
          <w:b w:val="0"/>
          <w:sz w:val="18"/>
        </w:rPr>
        <w:t>0.080W/(m</w:t>
      </w:r>
      <w:r>
        <w:rPr>
          <w:rFonts w:hint="eastAsia"/>
          <w:b w:val="0"/>
          <w:sz w:val="18"/>
        </w:rPr>
        <w:t>·</w:t>
      </w:r>
      <w:r>
        <w:rPr>
          <w:b w:val="0"/>
          <w:sz w:val="18"/>
        </w:rPr>
        <w:t>K)</w:t>
      </w:r>
      <w:r>
        <w:rPr>
          <w:rFonts w:hint="eastAsia"/>
          <w:b w:val="0"/>
          <w:sz w:val="18"/>
        </w:rPr>
        <w:t>；</w:t>
      </w:r>
      <w:r>
        <w:rPr>
          <w:b w:val="0"/>
          <w:sz w:val="18"/>
        </w:rPr>
        <w:t>b</w:t>
      </w:r>
      <w:r>
        <w:rPr>
          <w:rFonts w:hint="eastAsia"/>
          <w:b w:val="0"/>
          <w:sz w:val="18"/>
        </w:rPr>
        <w:t>）使用寿命应满足设计要求；</w:t>
      </w:r>
      <w:r>
        <w:rPr>
          <w:b w:val="0"/>
          <w:sz w:val="18"/>
        </w:rPr>
        <w:t>c</w:t>
      </w:r>
      <w:r>
        <w:rPr>
          <w:rFonts w:hint="eastAsia"/>
          <w:b w:val="0"/>
          <w:sz w:val="18"/>
        </w:rPr>
        <w:t>）压缩强度或抗压强度不应小于</w:t>
      </w:r>
      <w:r>
        <w:rPr>
          <w:b w:val="0"/>
          <w:sz w:val="18"/>
        </w:rPr>
        <w:t>150kPa</w:t>
      </w:r>
      <w:r>
        <w:rPr>
          <w:rFonts w:hint="eastAsia"/>
          <w:b w:val="0"/>
          <w:sz w:val="18"/>
        </w:rPr>
        <w:t>；</w:t>
      </w:r>
      <w:r>
        <w:rPr>
          <w:b w:val="0"/>
          <w:sz w:val="18"/>
        </w:rPr>
        <w:t>d</w:t>
      </w:r>
      <w:r>
        <w:rPr>
          <w:rFonts w:hint="eastAsia"/>
          <w:b w:val="0"/>
          <w:sz w:val="18"/>
        </w:rPr>
        <w:t>）体积吸水率不应大于</w:t>
      </w:r>
      <w:r>
        <w:rPr>
          <w:b w:val="0"/>
          <w:sz w:val="18"/>
        </w:rPr>
        <w:t>3%</w:t>
      </w:r>
      <w:r>
        <w:rPr>
          <w:rFonts w:hint="eastAsia"/>
          <w:b w:val="0"/>
          <w:sz w:val="18"/>
        </w:rPr>
        <w:t>；</w:t>
      </w:r>
      <w:r>
        <w:rPr>
          <w:b w:val="0"/>
          <w:sz w:val="18"/>
        </w:rPr>
        <w:t>e</w:t>
      </w:r>
      <w:r>
        <w:rPr>
          <w:rFonts w:hint="eastAsia"/>
          <w:b w:val="0"/>
          <w:sz w:val="18"/>
        </w:rPr>
        <w:t>）保温材料的燃烧性能不应低于</w:t>
      </w:r>
      <w:r>
        <w:rPr>
          <w:b w:val="0"/>
          <w:sz w:val="18"/>
        </w:rPr>
        <w:t>B1</w:t>
      </w:r>
      <w:r>
        <w:rPr>
          <w:rFonts w:hint="eastAsia"/>
          <w:b w:val="0"/>
          <w:sz w:val="18"/>
        </w:rPr>
        <w:t>级。</w:t>
      </w:r>
      <w:r>
        <w:rPr>
          <w:b w:val="0"/>
          <w:sz w:val="18"/>
        </w:rPr>
        <w:t xml:space="preserve">   </w:t>
      </w:r>
    </w:p>
    <w:p w14:paraId="6E17E86A">
      <w:pPr>
        <w:pStyle w:val="96"/>
        <w:numPr>
          <w:ilvl w:val="0"/>
          <w:numId w:val="78"/>
        </w:numPr>
        <w:jc w:val="left"/>
        <w:rPr>
          <w:b w:val="0"/>
          <w:sz w:val="18"/>
        </w:rPr>
      </w:pPr>
      <w:r>
        <w:rPr>
          <w:rFonts w:hint="eastAsia"/>
          <w:b w:val="0"/>
          <w:sz w:val="18"/>
        </w:rPr>
        <w:t>倒置式屋面设计应包括下列内容：</w:t>
      </w:r>
      <w:r>
        <w:rPr>
          <w:b w:val="0"/>
          <w:sz w:val="18"/>
        </w:rPr>
        <w:t>a</w:t>
      </w:r>
      <w:r>
        <w:rPr>
          <w:rFonts w:hint="eastAsia"/>
          <w:b w:val="0"/>
          <w:sz w:val="18"/>
        </w:rPr>
        <w:t>）屋面防水等级、设防要求和保温要求；</w:t>
      </w:r>
      <w:r>
        <w:rPr>
          <w:b w:val="0"/>
          <w:sz w:val="18"/>
        </w:rPr>
        <w:t>b</w:t>
      </w:r>
      <w:r>
        <w:rPr>
          <w:rFonts w:hint="eastAsia"/>
          <w:b w:val="0"/>
          <w:sz w:val="18"/>
        </w:rPr>
        <w:t>）屋面构造；</w:t>
      </w:r>
      <w:r>
        <w:rPr>
          <w:b w:val="0"/>
          <w:sz w:val="18"/>
        </w:rPr>
        <w:t xml:space="preserve"> c)</w:t>
      </w:r>
      <w:r>
        <w:rPr>
          <w:rFonts w:hint="eastAsia"/>
          <w:b w:val="0"/>
          <w:sz w:val="18"/>
        </w:rPr>
        <w:t>屋面节能；</w:t>
      </w:r>
      <w:r>
        <w:rPr>
          <w:b w:val="0"/>
          <w:sz w:val="18"/>
        </w:rPr>
        <w:t>d)</w:t>
      </w:r>
      <w:r>
        <w:rPr>
          <w:rFonts w:hint="eastAsia"/>
          <w:b w:val="0"/>
          <w:sz w:val="18"/>
        </w:rPr>
        <w:t>防水层材料的选用；</w:t>
      </w:r>
      <w:r>
        <w:rPr>
          <w:b w:val="0"/>
          <w:sz w:val="18"/>
        </w:rPr>
        <w:t>e)</w:t>
      </w:r>
      <w:r>
        <w:rPr>
          <w:rFonts w:hint="eastAsia"/>
          <w:b w:val="0"/>
          <w:sz w:val="18"/>
        </w:rPr>
        <w:t>保温层材料的选用；</w:t>
      </w:r>
      <w:r>
        <w:rPr>
          <w:b w:val="0"/>
          <w:sz w:val="18"/>
        </w:rPr>
        <w:t>f)</w:t>
      </w:r>
      <w:r>
        <w:rPr>
          <w:rFonts w:hint="eastAsia"/>
          <w:b w:val="0"/>
          <w:sz w:val="18"/>
        </w:rPr>
        <w:t>屋面保护层及排水系统；</w:t>
      </w:r>
      <w:r>
        <w:rPr>
          <w:b w:val="0"/>
          <w:sz w:val="18"/>
        </w:rPr>
        <w:t>g</w:t>
      </w:r>
      <w:r>
        <w:rPr>
          <w:rFonts w:hint="eastAsia"/>
          <w:b w:val="0"/>
          <w:sz w:val="18"/>
        </w:rPr>
        <w:t>）细部构造。</w:t>
      </w:r>
      <w:r>
        <w:rPr>
          <w:b w:val="0"/>
          <w:sz w:val="18"/>
        </w:rPr>
        <w:t xml:space="preserve">   </w:t>
      </w:r>
    </w:p>
    <w:p w14:paraId="295941BE">
      <w:pPr>
        <w:pStyle w:val="96"/>
        <w:numPr>
          <w:ilvl w:val="0"/>
          <w:numId w:val="78"/>
        </w:numPr>
        <w:jc w:val="left"/>
        <w:rPr>
          <w:b w:val="0"/>
          <w:sz w:val="18"/>
        </w:rPr>
      </w:pPr>
      <w:r>
        <w:rPr>
          <w:rFonts w:hint="eastAsia"/>
          <w:b w:val="0"/>
          <w:sz w:val="18"/>
        </w:rPr>
        <w:t>倒置式屋面坡度不宜小于</w:t>
      </w:r>
      <w:r>
        <w:rPr>
          <w:b w:val="0"/>
          <w:sz w:val="18"/>
        </w:rPr>
        <w:t>3%</w:t>
      </w:r>
      <w:r>
        <w:rPr>
          <w:rFonts w:hint="eastAsia"/>
          <w:b w:val="0"/>
          <w:sz w:val="18"/>
        </w:rPr>
        <w:t>，并宜结构找坡。</w:t>
      </w:r>
      <w:r>
        <w:rPr>
          <w:b w:val="0"/>
          <w:sz w:val="18"/>
        </w:rPr>
        <w:t xml:space="preserve">   </w:t>
      </w:r>
    </w:p>
    <w:p w14:paraId="054E2534">
      <w:pPr>
        <w:pStyle w:val="96"/>
        <w:numPr>
          <w:ilvl w:val="0"/>
          <w:numId w:val="78"/>
        </w:numPr>
        <w:jc w:val="left"/>
        <w:rPr>
          <w:b w:val="0"/>
          <w:sz w:val="18"/>
        </w:rPr>
      </w:pPr>
      <w:r>
        <w:rPr>
          <w:rFonts w:hint="eastAsia"/>
          <w:b w:val="0"/>
          <w:sz w:val="18"/>
        </w:rPr>
        <w:t>保温材料的实际厚度要按照节能计算厚度增加</w:t>
      </w:r>
      <w:r>
        <w:rPr>
          <w:b w:val="0"/>
          <w:sz w:val="18"/>
        </w:rPr>
        <w:t>25%</w:t>
      </w:r>
      <w:r>
        <w:rPr>
          <w:rFonts w:hint="eastAsia"/>
          <w:b w:val="0"/>
          <w:sz w:val="18"/>
        </w:rPr>
        <w:t>。</w:t>
      </w:r>
      <w:r>
        <w:rPr>
          <w:b w:val="0"/>
          <w:sz w:val="18"/>
        </w:rPr>
        <w:t xml:space="preserve"> </w:t>
      </w:r>
    </w:p>
    <w:p w14:paraId="6D04F6EE">
      <w:pPr>
        <w:pStyle w:val="96"/>
        <w:ind w:left="846" w:firstLine="360" w:firstLineChars="200"/>
        <w:jc w:val="left"/>
        <w:rPr>
          <w:b w:val="0"/>
          <w:sz w:val="18"/>
        </w:rPr>
      </w:pPr>
      <w:r>
        <w:rPr>
          <w:b w:val="0"/>
          <w:sz w:val="18"/>
        </w:rPr>
        <w:t xml:space="preserve">8.4.2.3 </w:t>
      </w:r>
      <w:r>
        <w:rPr>
          <w:rFonts w:hint="eastAsia"/>
          <w:b w:val="0"/>
          <w:sz w:val="18"/>
        </w:rPr>
        <w:t>天沟设计注意事项</w:t>
      </w:r>
      <w:r>
        <w:rPr>
          <w:b w:val="0"/>
          <w:sz w:val="18"/>
        </w:rPr>
        <w:t xml:space="preserve">   </w:t>
      </w:r>
    </w:p>
    <w:p w14:paraId="1D76B4D6">
      <w:pPr>
        <w:pStyle w:val="96"/>
        <w:numPr>
          <w:ilvl w:val="0"/>
          <w:numId w:val="79"/>
        </w:numPr>
        <w:jc w:val="left"/>
        <w:rPr>
          <w:b w:val="0"/>
          <w:sz w:val="18"/>
        </w:rPr>
      </w:pPr>
      <w:r>
        <w:rPr>
          <w:rFonts w:hint="eastAsia"/>
          <w:b w:val="0"/>
          <w:sz w:val="18"/>
        </w:rPr>
        <w:t>天沟、檐沟是排水最集中的部位。为确保其防水效果，天沟、檐沟应增设附加防水层。附加</w:t>
      </w:r>
      <w:r>
        <w:rPr>
          <w:b w:val="0"/>
          <w:sz w:val="18"/>
        </w:rPr>
        <w:t xml:space="preserve">   </w:t>
      </w:r>
      <w:r>
        <w:rPr>
          <w:rFonts w:hint="eastAsia"/>
          <w:b w:val="0"/>
          <w:sz w:val="18"/>
        </w:rPr>
        <w:t>层宜选用防水涂膜，既适应较复杂部位的施工，又减少了密封处理的困难，形成优势互补的</w:t>
      </w:r>
      <w:r>
        <w:rPr>
          <w:b w:val="0"/>
          <w:sz w:val="18"/>
        </w:rPr>
        <w:t xml:space="preserve">  </w:t>
      </w:r>
      <w:r>
        <w:rPr>
          <w:rFonts w:hint="eastAsia"/>
          <w:b w:val="0"/>
          <w:sz w:val="18"/>
        </w:rPr>
        <w:t>复合</w:t>
      </w:r>
      <w:r>
        <w:rPr>
          <w:b w:val="0"/>
          <w:sz w:val="18"/>
        </w:rPr>
        <w:t xml:space="preserve"> </w:t>
      </w:r>
      <w:r>
        <w:rPr>
          <w:rFonts w:hint="eastAsia"/>
          <w:b w:val="0"/>
          <w:sz w:val="18"/>
        </w:rPr>
        <w:t>防水层。</w:t>
      </w:r>
      <w:r>
        <w:rPr>
          <w:b w:val="0"/>
          <w:sz w:val="18"/>
        </w:rPr>
        <w:t xml:space="preserve">   </w:t>
      </w:r>
    </w:p>
    <w:p w14:paraId="6A391454">
      <w:pPr>
        <w:pStyle w:val="96"/>
        <w:numPr>
          <w:ilvl w:val="0"/>
          <w:numId w:val="79"/>
        </w:numPr>
        <w:jc w:val="left"/>
        <w:rPr>
          <w:b w:val="0"/>
          <w:sz w:val="18"/>
        </w:rPr>
      </w:pPr>
      <w:r>
        <w:rPr>
          <w:rFonts w:hint="eastAsia"/>
          <w:b w:val="0"/>
          <w:sz w:val="18"/>
        </w:rPr>
        <w:t>天沟和檐沟的防水附加层伸入屋面的宽度不应小于</w:t>
      </w:r>
      <w:r>
        <w:rPr>
          <w:b w:val="0"/>
          <w:sz w:val="18"/>
        </w:rPr>
        <w:t>250mm</w:t>
      </w:r>
      <w:r>
        <w:rPr>
          <w:rFonts w:hint="eastAsia"/>
          <w:b w:val="0"/>
          <w:sz w:val="18"/>
        </w:rPr>
        <w:t>，防水层和附加层应由沟底翻上至</w:t>
      </w:r>
      <w:r>
        <w:rPr>
          <w:b w:val="0"/>
          <w:sz w:val="18"/>
        </w:rPr>
        <w:t xml:space="preserve">   </w:t>
      </w:r>
      <w:r>
        <w:rPr>
          <w:rFonts w:hint="eastAsia"/>
          <w:b w:val="0"/>
          <w:sz w:val="18"/>
        </w:rPr>
        <w:t>外侧顶部，卷材收头应用金属压条钉压，并应用密封材料封严。</w:t>
      </w:r>
      <w:r>
        <w:rPr>
          <w:b w:val="0"/>
          <w:sz w:val="18"/>
        </w:rPr>
        <w:t xml:space="preserve">   </w:t>
      </w:r>
    </w:p>
    <w:p w14:paraId="22812474">
      <w:pPr>
        <w:pStyle w:val="96"/>
        <w:numPr>
          <w:ilvl w:val="0"/>
          <w:numId w:val="79"/>
        </w:numPr>
        <w:jc w:val="left"/>
        <w:rPr>
          <w:b w:val="0"/>
          <w:sz w:val="18"/>
        </w:rPr>
      </w:pPr>
      <w:r>
        <w:rPr>
          <w:rFonts w:hint="eastAsia"/>
          <w:b w:val="0"/>
          <w:sz w:val="18"/>
        </w:rPr>
        <w:t>檐沟外侧的下端要做鹰嘴或滴水槽，檐沟外侧高于屋面结构板时，还要设置溢水口。</w:t>
      </w:r>
      <w:r>
        <w:rPr>
          <w:b w:val="0"/>
          <w:sz w:val="18"/>
        </w:rPr>
        <w:t xml:space="preserve">   </w:t>
      </w:r>
    </w:p>
    <w:p w14:paraId="18BAE9DE">
      <w:pPr>
        <w:pStyle w:val="96"/>
        <w:numPr>
          <w:ilvl w:val="0"/>
          <w:numId w:val="79"/>
        </w:numPr>
        <w:jc w:val="left"/>
        <w:rPr>
          <w:b w:val="0"/>
          <w:sz w:val="18"/>
        </w:rPr>
      </w:pPr>
      <w:r>
        <w:rPr>
          <w:rFonts w:hint="eastAsia"/>
          <w:b w:val="0"/>
          <w:sz w:val="18"/>
        </w:rPr>
        <w:t>如果是沟深度较浅，且沟的平、剖面构造较为复杂，阴阳角多，则建议沟内全部采用加胎涂</w:t>
      </w:r>
      <w:r>
        <w:rPr>
          <w:b w:val="0"/>
          <w:sz w:val="18"/>
        </w:rPr>
        <w:t xml:space="preserve">   </w:t>
      </w:r>
      <w:r>
        <w:rPr>
          <w:rFonts w:hint="eastAsia"/>
          <w:b w:val="0"/>
          <w:sz w:val="18"/>
        </w:rPr>
        <w:t>膜。</w:t>
      </w:r>
      <w:r>
        <w:rPr>
          <w:b w:val="0"/>
          <w:sz w:val="18"/>
        </w:rPr>
        <w:t xml:space="preserve">   </w:t>
      </w:r>
    </w:p>
    <w:p w14:paraId="5E634308">
      <w:pPr>
        <w:pStyle w:val="96"/>
        <w:numPr>
          <w:ilvl w:val="0"/>
          <w:numId w:val="79"/>
        </w:numPr>
        <w:jc w:val="left"/>
        <w:rPr>
          <w:b w:val="0"/>
          <w:sz w:val="18"/>
        </w:rPr>
      </w:pPr>
      <w:r>
        <w:rPr>
          <w:rFonts w:hint="eastAsia"/>
          <w:b w:val="0"/>
          <w:sz w:val="18"/>
        </w:rPr>
        <w:t>天沟、檐沟的防水卷材收头，应固定密封，特别是卷材较厚时（双层），若不固定，容易因</w:t>
      </w:r>
      <w:r>
        <w:rPr>
          <w:b w:val="0"/>
          <w:sz w:val="18"/>
        </w:rPr>
        <w:t xml:space="preserve">   </w:t>
      </w:r>
      <w:r>
        <w:rPr>
          <w:rFonts w:hint="eastAsia"/>
          <w:b w:val="0"/>
          <w:sz w:val="18"/>
        </w:rPr>
        <w:t>卷材的弹性发生翘边脱开。</w:t>
      </w:r>
      <w:r>
        <w:rPr>
          <w:b w:val="0"/>
          <w:sz w:val="18"/>
        </w:rPr>
        <w:t xml:space="preserve">   </w:t>
      </w:r>
    </w:p>
    <w:p w14:paraId="23081392">
      <w:pPr>
        <w:pStyle w:val="96"/>
        <w:numPr>
          <w:ilvl w:val="0"/>
          <w:numId w:val="79"/>
        </w:numPr>
        <w:jc w:val="left"/>
        <w:rPr>
          <w:b w:val="0"/>
          <w:sz w:val="18"/>
        </w:rPr>
      </w:pPr>
      <w:r>
        <w:rPr>
          <w:rFonts w:hint="eastAsia"/>
          <w:b w:val="0"/>
          <w:sz w:val="18"/>
        </w:rPr>
        <w:t>无组织排水屋面的檐口，在</w:t>
      </w:r>
      <w:r>
        <w:rPr>
          <w:b w:val="0"/>
          <w:sz w:val="18"/>
        </w:rPr>
        <w:t>800mm</w:t>
      </w:r>
      <w:r>
        <w:rPr>
          <w:rFonts w:hint="eastAsia"/>
          <w:b w:val="0"/>
          <w:sz w:val="18"/>
        </w:rPr>
        <w:t>范围内应采用满粘法，卷材收头应固定密封。</w:t>
      </w:r>
      <w:r>
        <w:rPr>
          <w:b w:val="0"/>
          <w:sz w:val="18"/>
        </w:rPr>
        <w:t xml:space="preserve">   </w:t>
      </w:r>
    </w:p>
    <w:p w14:paraId="3959E293">
      <w:pPr>
        <w:pStyle w:val="96"/>
        <w:numPr>
          <w:ilvl w:val="0"/>
          <w:numId w:val="79"/>
        </w:numPr>
        <w:jc w:val="left"/>
        <w:rPr>
          <w:b w:val="0"/>
          <w:sz w:val="18"/>
        </w:rPr>
      </w:pPr>
      <w:r>
        <w:rPr>
          <w:rFonts w:hint="eastAsia"/>
          <w:b w:val="0"/>
          <w:sz w:val="18"/>
        </w:rPr>
        <w:t>卷材在温度反复变化，太阳辐射及臭氧作用下，不可避免地要收缩、变硬，并首先发生在收</w:t>
      </w:r>
      <w:r>
        <w:rPr>
          <w:b w:val="0"/>
          <w:sz w:val="18"/>
        </w:rPr>
        <w:t xml:space="preserve">   </w:t>
      </w:r>
      <w:r>
        <w:rPr>
          <w:rFonts w:hint="eastAsia"/>
          <w:b w:val="0"/>
          <w:sz w:val="18"/>
        </w:rPr>
        <w:t>头部位：拉开、剥离、卷翘，发生窜水或被大风掀起，因此应固定密封。</w:t>
      </w:r>
      <w:r>
        <w:rPr>
          <w:b w:val="0"/>
          <w:sz w:val="18"/>
        </w:rPr>
        <w:t xml:space="preserve">   </w:t>
      </w:r>
    </w:p>
    <w:p w14:paraId="7D0B950D">
      <w:pPr>
        <w:pStyle w:val="96"/>
        <w:ind w:left="846" w:firstLine="360" w:firstLineChars="200"/>
        <w:jc w:val="left"/>
        <w:rPr>
          <w:b w:val="0"/>
          <w:sz w:val="18"/>
        </w:rPr>
      </w:pPr>
      <w:r>
        <w:rPr>
          <w:b w:val="0"/>
          <w:sz w:val="18"/>
        </w:rPr>
        <w:t xml:space="preserve">8.4.2.4 </w:t>
      </w:r>
      <w:r>
        <w:rPr>
          <w:rFonts w:hint="eastAsia"/>
          <w:b w:val="0"/>
          <w:sz w:val="18"/>
        </w:rPr>
        <w:t>女儿墙设计注意事项</w:t>
      </w:r>
    </w:p>
    <w:p w14:paraId="2E239243">
      <w:pPr>
        <w:pStyle w:val="96"/>
        <w:numPr>
          <w:ilvl w:val="3"/>
          <w:numId w:val="80"/>
        </w:numPr>
        <w:jc w:val="left"/>
        <w:rPr>
          <w:b w:val="0"/>
          <w:sz w:val="18"/>
        </w:rPr>
      </w:pPr>
      <w:r>
        <w:rPr>
          <w:rFonts w:hint="eastAsia"/>
          <w:b w:val="0"/>
          <w:sz w:val="18"/>
        </w:rPr>
        <w:t>女儿墙防水处理的重点是压顶、泛水、防水层收头的处理。</w:t>
      </w:r>
      <w:r>
        <w:rPr>
          <w:b w:val="0"/>
          <w:sz w:val="18"/>
        </w:rPr>
        <w:t xml:space="preserve">  </w:t>
      </w:r>
    </w:p>
    <w:p w14:paraId="09FAD3B0">
      <w:pPr>
        <w:pStyle w:val="96"/>
        <w:numPr>
          <w:ilvl w:val="3"/>
          <w:numId w:val="80"/>
        </w:numPr>
        <w:jc w:val="left"/>
        <w:rPr>
          <w:b w:val="0"/>
          <w:sz w:val="18"/>
        </w:rPr>
      </w:pPr>
      <w:r>
        <w:rPr>
          <w:rFonts w:hint="eastAsia"/>
          <w:b w:val="0"/>
          <w:sz w:val="18"/>
        </w:rPr>
        <w:t>压顶的防水处理不当，雨水会从压顶进入女儿墙的裂缝，顺缝从防水层背后渗入室内。故应</w:t>
      </w:r>
      <w:r>
        <w:rPr>
          <w:b w:val="0"/>
          <w:sz w:val="18"/>
        </w:rPr>
        <w:t xml:space="preserve">  </w:t>
      </w:r>
      <w:r>
        <w:rPr>
          <w:rFonts w:hint="eastAsia"/>
          <w:b w:val="0"/>
          <w:sz w:val="18"/>
        </w:rPr>
        <w:t>对压顶的防水做法做出具体规定。</w:t>
      </w:r>
      <w:r>
        <w:rPr>
          <w:b w:val="0"/>
          <w:sz w:val="18"/>
        </w:rPr>
        <w:t xml:space="preserve">  </w:t>
      </w:r>
    </w:p>
    <w:p w14:paraId="35116FFD">
      <w:pPr>
        <w:pStyle w:val="96"/>
        <w:numPr>
          <w:ilvl w:val="3"/>
          <w:numId w:val="80"/>
        </w:numPr>
        <w:jc w:val="left"/>
        <w:rPr>
          <w:b w:val="0"/>
          <w:sz w:val="18"/>
        </w:rPr>
      </w:pPr>
      <w:r>
        <w:rPr>
          <w:rFonts w:hint="eastAsia"/>
          <w:b w:val="0"/>
          <w:sz w:val="18"/>
        </w:rPr>
        <w:t>女儿墙压顶可采用混凝土或金属制品。压顶向内排水坡度不小于</w:t>
      </w:r>
      <w:r>
        <w:rPr>
          <w:b w:val="0"/>
          <w:sz w:val="18"/>
        </w:rPr>
        <w:t>5%</w:t>
      </w:r>
      <w:r>
        <w:rPr>
          <w:rFonts w:hint="eastAsia"/>
          <w:b w:val="0"/>
          <w:sz w:val="18"/>
        </w:rPr>
        <w:t>，压顶内侧下端做滴水处</w:t>
      </w:r>
      <w:r>
        <w:rPr>
          <w:b w:val="0"/>
          <w:sz w:val="18"/>
        </w:rPr>
        <w:t xml:space="preserve">  </w:t>
      </w:r>
      <w:r>
        <w:rPr>
          <w:rFonts w:hint="eastAsia"/>
          <w:b w:val="0"/>
          <w:sz w:val="18"/>
        </w:rPr>
        <w:t>理；女儿墙泛水处的防水层下应增设</w:t>
      </w:r>
      <w:r>
        <w:rPr>
          <w:b w:val="0"/>
          <w:sz w:val="18"/>
        </w:rPr>
        <w:t>500mm</w:t>
      </w:r>
      <w:r>
        <w:rPr>
          <w:rFonts w:hint="eastAsia"/>
          <w:b w:val="0"/>
          <w:sz w:val="18"/>
        </w:rPr>
        <w:t>宽的附加层</w:t>
      </w:r>
      <w:r>
        <w:rPr>
          <w:b w:val="0"/>
          <w:sz w:val="18"/>
        </w:rPr>
        <w:t>(</w:t>
      </w:r>
      <w:r>
        <w:rPr>
          <w:rFonts w:hint="eastAsia"/>
          <w:b w:val="0"/>
          <w:sz w:val="18"/>
        </w:rPr>
        <w:t>平立面各</w:t>
      </w:r>
      <w:r>
        <w:rPr>
          <w:b w:val="0"/>
          <w:sz w:val="18"/>
        </w:rPr>
        <w:t>250mm)</w:t>
      </w:r>
      <w:r>
        <w:rPr>
          <w:rFonts w:hint="eastAsia"/>
          <w:b w:val="0"/>
          <w:sz w:val="18"/>
        </w:rPr>
        <w:t>。</w:t>
      </w:r>
      <w:r>
        <w:rPr>
          <w:b w:val="0"/>
          <w:sz w:val="18"/>
        </w:rPr>
        <w:t xml:space="preserve">  </w:t>
      </w:r>
    </w:p>
    <w:p w14:paraId="38593D2F">
      <w:pPr>
        <w:pStyle w:val="96"/>
        <w:numPr>
          <w:ilvl w:val="3"/>
          <w:numId w:val="80"/>
        </w:numPr>
        <w:jc w:val="left"/>
        <w:rPr>
          <w:b w:val="0"/>
          <w:sz w:val="18"/>
        </w:rPr>
      </w:pPr>
      <w:r>
        <w:rPr>
          <w:rFonts w:hint="eastAsia"/>
          <w:b w:val="0"/>
          <w:sz w:val="18"/>
        </w:rPr>
        <w:t>防水涂料与水泥砂浆抹灰层具有良好的粘结性，所以在女儿墙部位，防水涂料一直涂刷至女</w:t>
      </w:r>
      <w:r>
        <w:rPr>
          <w:b w:val="0"/>
          <w:sz w:val="18"/>
        </w:rPr>
        <w:t xml:space="preserve">  </w:t>
      </w:r>
      <w:r>
        <w:rPr>
          <w:rFonts w:hint="eastAsia"/>
          <w:b w:val="0"/>
          <w:sz w:val="18"/>
        </w:rPr>
        <w:t>儿墙或山墙的压顶下，压顶也应做防水处理，避免女儿墙及其压顶开裂而造成渗漏。</w:t>
      </w:r>
      <w:r>
        <w:rPr>
          <w:b w:val="0"/>
          <w:sz w:val="18"/>
        </w:rPr>
        <w:t xml:space="preserve">  </w:t>
      </w:r>
    </w:p>
    <w:p w14:paraId="49F82657">
      <w:pPr>
        <w:pStyle w:val="96"/>
        <w:numPr>
          <w:ilvl w:val="3"/>
          <w:numId w:val="80"/>
        </w:numPr>
        <w:jc w:val="left"/>
        <w:rPr>
          <w:b w:val="0"/>
          <w:sz w:val="18"/>
        </w:rPr>
      </w:pPr>
      <w:r>
        <w:rPr>
          <w:rFonts w:hint="eastAsia"/>
          <w:b w:val="0"/>
          <w:sz w:val="18"/>
        </w:rPr>
        <w:t>低女儿墙的卷材防水层收头宜直接铺压在压顶下，用压条钉压固定并用密封材料封闭严密，</w:t>
      </w:r>
      <w:r>
        <w:rPr>
          <w:b w:val="0"/>
          <w:sz w:val="18"/>
        </w:rPr>
        <w:t xml:space="preserve">  </w:t>
      </w:r>
      <w:r>
        <w:rPr>
          <w:rFonts w:hint="eastAsia"/>
          <w:b w:val="0"/>
          <w:sz w:val="18"/>
        </w:rPr>
        <w:t>涂膜收头应用防水涂料多遍涂刷。</w:t>
      </w:r>
      <w:r>
        <w:rPr>
          <w:b w:val="0"/>
          <w:sz w:val="18"/>
        </w:rPr>
        <w:t xml:space="preserve">  </w:t>
      </w:r>
    </w:p>
    <w:p w14:paraId="10CD061A">
      <w:pPr>
        <w:pStyle w:val="96"/>
        <w:numPr>
          <w:ilvl w:val="3"/>
          <w:numId w:val="80"/>
        </w:numPr>
        <w:jc w:val="left"/>
        <w:rPr>
          <w:b w:val="0"/>
          <w:sz w:val="18"/>
        </w:rPr>
      </w:pPr>
      <w:r>
        <w:rPr>
          <w:rFonts w:hint="eastAsia"/>
          <w:b w:val="0"/>
          <w:sz w:val="18"/>
        </w:rPr>
        <w:t>预制混凝土压顶板，也应注意纵向缝的防水处理。建议采用聚合物水泥砂浆勾缝，配制时胶</w:t>
      </w:r>
      <w:r>
        <w:rPr>
          <w:b w:val="0"/>
          <w:sz w:val="18"/>
        </w:rPr>
        <w:t xml:space="preserve">  </w:t>
      </w:r>
      <w:r>
        <w:rPr>
          <w:rFonts w:hint="eastAsia"/>
          <w:b w:val="0"/>
          <w:sz w:val="18"/>
        </w:rPr>
        <w:t>的含量要足够，可减少开裂。压顶表面的水泥砂浆粉刷应具有一定的排水坡度；砂浆中最好</w:t>
      </w:r>
      <w:r>
        <w:rPr>
          <w:b w:val="0"/>
          <w:sz w:val="18"/>
        </w:rPr>
        <w:t xml:space="preserve"> </w:t>
      </w:r>
      <w:r>
        <w:rPr>
          <w:rFonts w:hint="eastAsia"/>
          <w:b w:val="0"/>
          <w:sz w:val="18"/>
        </w:rPr>
        <w:t>掺抗裂纤维。</w:t>
      </w:r>
      <w:r>
        <w:rPr>
          <w:b w:val="0"/>
          <w:sz w:val="18"/>
        </w:rPr>
        <w:t xml:space="preserve">  </w:t>
      </w:r>
    </w:p>
    <w:p w14:paraId="3CC2AD9B">
      <w:pPr>
        <w:pStyle w:val="96"/>
        <w:numPr>
          <w:ilvl w:val="3"/>
          <w:numId w:val="80"/>
        </w:numPr>
        <w:jc w:val="left"/>
        <w:rPr>
          <w:b w:val="0"/>
          <w:sz w:val="18"/>
        </w:rPr>
      </w:pPr>
      <w:r>
        <w:rPr>
          <w:rFonts w:hint="eastAsia"/>
          <w:b w:val="0"/>
          <w:sz w:val="18"/>
        </w:rPr>
        <w:t>高女儿墙的卷材防水层收头可在离屋面高度</w:t>
      </w:r>
      <w:r>
        <w:rPr>
          <w:b w:val="0"/>
          <w:sz w:val="18"/>
        </w:rPr>
        <w:t>250mm</w:t>
      </w:r>
      <w:r>
        <w:rPr>
          <w:rFonts w:hint="eastAsia"/>
          <w:b w:val="0"/>
          <w:sz w:val="18"/>
        </w:rPr>
        <w:t>处，采用金属压条钉压固定，钉距不宜大</w:t>
      </w:r>
      <w:r>
        <w:rPr>
          <w:b w:val="0"/>
          <w:sz w:val="18"/>
        </w:rPr>
        <w:t xml:space="preserve">  </w:t>
      </w:r>
      <w:r>
        <w:rPr>
          <w:rFonts w:hint="eastAsia"/>
          <w:b w:val="0"/>
          <w:sz w:val="18"/>
        </w:rPr>
        <w:t>于</w:t>
      </w:r>
      <w:r>
        <w:rPr>
          <w:b w:val="0"/>
          <w:sz w:val="18"/>
        </w:rPr>
        <w:t>300mm</w:t>
      </w:r>
      <w:r>
        <w:rPr>
          <w:rFonts w:hint="eastAsia"/>
          <w:b w:val="0"/>
          <w:sz w:val="18"/>
        </w:rPr>
        <w:t>，再用密封材料封严，以保证收头的可靠性；为防止雨水沿高女儿墙的泛水渗入，</w:t>
      </w:r>
      <w:r>
        <w:rPr>
          <w:b w:val="0"/>
          <w:sz w:val="18"/>
        </w:rPr>
        <w:t xml:space="preserve"> </w:t>
      </w:r>
      <w:r>
        <w:rPr>
          <w:rFonts w:hint="eastAsia"/>
          <w:b w:val="0"/>
          <w:sz w:val="18"/>
        </w:rPr>
        <w:t>卷材收</w:t>
      </w:r>
      <w:r>
        <w:rPr>
          <w:b w:val="0"/>
          <w:sz w:val="18"/>
        </w:rPr>
        <w:t xml:space="preserve"> </w:t>
      </w:r>
      <w:r>
        <w:rPr>
          <w:rFonts w:hint="eastAsia"/>
          <w:b w:val="0"/>
          <w:sz w:val="18"/>
        </w:rPr>
        <w:t>头上部应做金属盖板保护。墙体为砖墙时，卷材应压人砖墙预留凹槽内，并用压条</w:t>
      </w:r>
      <w:r>
        <w:rPr>
          <w:b w:val="0"/>
          <w:sz w:val="18"/>
        </w:rPr>
        <w:t xml:space="preserve"> </w:t>
      </w:r>
      <w:r>
        <w:rPr>
          <w:rFonts w:hint="eastAsia"/>
          <w:b w:val="0"/>
          <w:sz w:val="18"/>
        </w:rPr>
        <w:t>钉压固定密封，</w:t>
      </w:r>
      <w:r>
        <w:rPr>
          <w:b w:val="0"/>
          <w:sz w:val="18"/>
        </w:rPr>
        <w:t xml:space="preserve"> </w:t>
      </w:r>
      <w:r>
        <w:rPr>
          <w:rFonts w:hint="eastAsia"/>
          <w:b w:val="0"/>
          <w:sz w:val="18"/>
        </w:rPr>
        <w:t>再用纤维防水砂浆或聚合物水泥砂浆保护密封处。凹槽距屋面完成面高度</w:t>
      </w:r>
      <w:r>
        <w:rPr>
          <w:b w:val="0"/>
          <w:sz w:val="18"/>
        </w:rPr>
        <w:t xml:space="preserve"> </w:t>
      </w:r>
      <w:r>
        <w:rPr>
          <w:rFonts w:hint="eastAsia"/>
          <w:b w:val="0"/>
          <w:sz w:val="18"/>
        </w:rPr>
        <w:t>不应小于</w:t>
      </w:r>
      <w:r>
        <w:rPr>
          <w:b w:val="0"/>
          <w:sz w:val="18"/>
        </w:rPr>
        <w:t>250mm</w:t>
      </w:r>
      <w:r>
        <w:rPr>
          <w:rFonts w:hint="eastAsia"/>
          <w:b w:val="0"/>
          <w:sz w:val="18"/>
        </w:rPr>
        <w:t>。凹槽上</w:t>
      </w:r>
      <w:r>
        <w:rPr>
          <w:b w:val="0"/>
          <w:sz w:val="18"/>
        </w:rPr>
        <w:t xml:space="preserve"> </w:t>
      </w:r>
      <w:r>
        <w:rPr>
          <w:rFonts w:hint="eastAsia"/>
          <w:b w:val="0"/>
          <w:sz w:val="18"/>
        </w:rPr>
        <w:t>部墙体应做防水处理。高女儿墙的泛水一般在屋面完成面以上</w:t>
      </w:r>
      <w:r>
        <w:rPr>
          <w:b w:val="0"/>
          <w:sz w:val="18"/>
        </w:rPr>
        <w:t xml:space="preserve"> 250mm</w:t>
      </w:r>
      <w:r>
        <w:rPr>
          <w:rFonts w:hint="eastAsia"/>
          <w:b w:val="0"/>
          <w:sz w:val="18"/>
        </w:rPr>
        <w:t>处结束，泛水（收头）之上的</w:t>
      </w:r>
      <w:r>
        <w:rPr>
          <w:b w:val="0"/>
          <w:sz w:val="18"/>
        </w:rPr>
        <w:t xml:space="preserve"> </w:t>
      </w:r>
      <w:r>
        <w:rPr>
          <w:rFonts w:hint="eastAsia"/>
          <w:b w:val="0"/>
          <w:sz w:val="18"/>
        </w:rPr>
        <w:t>防水，应与外墙防水设计相同。近年，女儿墙内侧防水</w:t>
      </w:r>
      <w:r>
        <w:rPr>
          <w:b w:val="0"/>
          <w:sz w:val="18"/>
        </w:rPr>
        <w:t xml:space="preserve"> </w:t>
      </w:r>
      <w:r>
        <w:rPr>
          <w:rFonts w:hint="eastAsia"/>
          <w:b w:val="0"/>
          <w:sz w:val="18"/>
        </w:rPr>
        <w:t>受到重视，强调其防水应一直连续延至压</w:t>
      </w:r>
      <w:r>
        <w:rPr>
          <w:b w:val="0"/>
          <w:sz w:val="18"/>
        </w:rPr>
        <w:t xml:space="preserve"> </w:t>
      </w:r>
      <w:r>
        <w:rPr>
          <w:rFonts w:hint="eastAsia"/>
          <w:b w:val="0"/>
          <w:sz w:val="18"/>
        </w:rPr>
        <w:t>顶。但由于高女儿墙内外侧的防水对渗漏的影响</w:t>
      </w:r>
      <w:r>
        <w:rPr>
          <w:b w:val="0"/>
          <w:sz w:val="18"/>
        </w:rPr>
        <w:t xml:space="preserve"> </w:t>
      </w:r>
      <w:r>
        <w:rPr>
          <w:rFonts w:hint="eastAsia"/>
          <w:b w:val="0"/>
          <w:sz w:val="18"/>
        </w:rPr>
        <w:t>是相同的，因此防水设防也应一致。所以，外墙</w:t>
      </w:r>
      <w:r>
        <w:rPr>
          <w:b w:val="0"/>
          <w:sz w:val="18"/>
        </w:rPr>
        <w:t xml:space="preserve"> </w:t>
      </w:r>
      <w:r>
        <w:rPr>
          <w:rFonts w:hint="eastAsia"/>
          <w:b w:val="0"/>
          <w:sz w:val="18"/>
        </w:rPr>
        <w:t>防水与屋面泛水的交接处设在泛水收头处</w:t>
      </w:r>
      <w:r>
        <w:rPr>
          <w:b w:val="0"/>
          <w:sz w:val="18"/>
        </w:rPr>
        <w:t xml:space="preserve"> </w:t>
      </w:r>
      <w:r>
        <w:rPr>
          <w:rFonts w:hint="eastAsia"/>
          <w:b w:val="0"/>
          <w:sz w:val="18"/>
        </w:rPr>
        <w:t>就比延至压顶处更为合理。</w:t>
      </w:r>
      <w:r>
        <w:rPr>
          <w:b w:val="0"/>
          <w:sz w:val="18"/>
        </w:rPr>
        <w:t xml:space="preserve">  </w:t>
      </w:r>
    </w:p>
    <w:p w14:paraId="3C979EFC">
      <w:pPr>
        <w:pStyle w:val="96"/>
        <w:ind w:left="846" w:firstLine="360" w:firstLineChars="200"/>
        <w:jc w:val="left"/>
        <w:rPr>
          <w:b w:val="0"/>
          <w:sz w:val="18"/>
        </w:rPr>
      </w:pPr>
      <w:r>
        <w:rPr>
          <w:b w:val="0"/>
          <w:sz w:val="18"/>
        </w:rPr>
        <w:t xml:space="preserve">8.4.2.5 </w:t>
      </w:r>
      <w:r>
        <w:rPr>
          <w:rFonts w:hint="eastAsia"/>
          <w:b w:val="0"/>
          <w:sz w:val="18"/>
        </w:rPr>
        <w:t>变形缝设计注意事项</w:t>
      </w:r>
    </w:p>
    <w:p w14:paraId="311C46F7">
      <w:pPr>
        <w:pStyle w:val="96"/>
        <w:numPr>
          <w:ilvl w:val="0"/>
          <w:numId w:val="81"/>
        </w:numPr>
        <w:jc w:val="left"/>
        <w:rPr>
          <w:b w:val="0"/>
          <w:sz w:val="18"/>
        </w:rPr>
      </w:pPr>
      <w:r>
        <w:rPr>
          <w:rFonts w:hint="eastAsia"/>
          <w:b w:val="0"/>
          <w:sz w:val="18"/>
        </w:rPr>
        <w:t>变形缝内宜填充防火等级</w:t>
      </w:r>
      <w:r>
        <w:rPr>
          <w:b w:val="0"/>
          <w:sz w:val="18"/>
        </w:rPr>
        <w:t>A</w:t>
      </w:r>
      <w:r>
        <w:rPr>
          <w:rFonts w:hint="eastAsia"/>
          <w:b w:val="0"/>
          <w:sz w:val="18"/>
        </w:rPr>
        <w:t>级材料，上部填放衬垫材料，并用卷材封盖，顶部宜加扣混凝</w:t>
      </w:r>
      <w:r>
        <w:rPr>
          <w:b w:val="0"/>
          <w:sz w:val="18"/>
        </w:rPr>
        <w:t xml:space="preserve"> </w:t>
      </w:r>
      <w:r>
        <w:rPr>
          <w:rFonts w:hint="eastAsia"/>
          <w:b w:val="0"/>
          <w:sz w:val="18"/>
        </w:rPr>
        <w:t>土</w:t>
      </w:r>
      <w:r>
        <w:rPr>
          <w:b w:val="0"/>
          <w:sz w:val="18"/>
        </w:rPr>
        <w:t xml:space="preserve"> </w:t>
      </w:r>
      <w:r>
        <w:rPr>
          <w:rFonts w:hint="eastAsia"/>
          <w:b w:val="0"/>
          <w:sz w:val="18"/>
        </w:rPr>
        <w:t>或金属盖板。</w:t>
      </w:r>
      <w:r>
        <w:rPr>
          <w:b w:val="0"/>
          <w:sz w:val="18"/>
        </w:rPr>
        <w:t xml:space="preserve">  </w:t>
      </w:r>
    </w:p>
    <w:p w14:paraId="43CC11A8">
      <w:pPr>
        <w:pStyle w:val="96"/>
        <w:numPr>
          <w:ilvl w:val="0"/>
          <w:numId w:val="81"/>
        </w:numPr>
        <w:jc w:val="left"/>
        <w:rPr>
          <w:b w:val="0"/>
          <w:sz w:val="18"/>
        </w:rPr>
      </w:pPr>
      <w:r>
        <w:rPr>
          <w:rFonts w:hint="eastAsia"/>
          <w:b w:val="0"/>
          <w:sz w:val="18"/>
        </w:rPr>
        <w:t>变形缝两侧都为混凝土时，可采用防火等级</w:t>
      </w:r>
      <w:r>
        <w:rPr>
          <w:b w:val="0"/>
          <w:sz w:val="18"/>
        </w:rPr>
        <w:t>A</w:t>
      </w:r>
      <w:r>
        <w:rPr>
          <w:rFonts w:hint="eastAsia"/>
          <w:b w:val="0"/>
          <w:sz w:val="18"/>
        </w:rPr>
        <w:t>级材料兼作模板。</w:t>
      </w:r>
      <w:r>
        <w:rPr>
          <w:b w:val="0"/>
          <w:sz w:val="18"/>
        </w:rPr>
        <w:t xml:space="preserve">  </w:t>
      </w:r>
    </w:p>
    <w:p w14:paraId="3686B0C3">
      <w:pPr>
        <w:pStyle w:val="96"/>
        <w:numPr>
          <w:ilvl w:val="0"/>
          <w:numId w:val="81"/>
        </w:numPr>
        <w:jc w:val="left"/>
        <w:rPr>
          <w:b w:val="0"/>
          <w:sz w:val="18"/>
        </w:rPr>
      </w:pPr>
      <w:r>
        <w:rPr>
          <w:rFonts w:hint="eastAsia"/>
          <w:b w:val="0"/>
          <w:sz w:val="18"/>
        </w:rPr>
        <w:t>屋面板现浇，变形缝两侧上翻的矮墙就没有必要采用砌体，而应当同时改为现浇的钢</w:t>
      </w:r>
      <w:r>
        <w:rPr>
          <w:b w:val="0"/>
          <w:sz w:val="18"/>
        </w:rPr>
        <w:t xml:space="preserve"> </w:t>
      </w:r>
      <w:r>
        <w:rPr>
          <w:rFonts w:hint="eastAsia"/>
          <w:b w:val="0"/>
          <w:sz w:val="18"/>
        </w:rPr>
        <w:t>筋</w:t>
      </w:r>
      <w:r>
        <w:rPr>
          <w:b w:val="0"/>
          <w:sz w:val="18"/>
        </w:rPr>
        <w:t xml:space="preserve"> </w:t>
      </w:r>
      <w:r>
        <w:rPr>
          <w:rFonts w:hint="eastAsia"/>
          <w:b w:val="0"/>
          <w:sz w:val="18"/>
        </w:rPr>
        <w:t>混凝土。</w:t>
      </w:r>
      <w:r>
        <w:rPr>
          <w:b w:val="0"/>
          <w:sz w:val="18"/>
        </w:rPr>
        <w:t xml:space="preserve">  </w:t>
      </w:r>
    </w:p>
    <w:p w14:paraId="32200B2E">
      <w:pPr>
        <w:pStyle w:val="96"/>
        <w:numPr>
          <w:ilvl w:val="0"/>
          <w:numId w:val="81"/>
        </w:numPr>
        <w:jc w:val="left"/>
        <w:rPr>
          <w:b w:val="0"/>
          <w:sz w:val="18"/>
        </w:rPr>
      </w:pPr>
      <w:r>
        <w:rPr>
          <w:rFonts w:hint="eastAsia"/>
          <w:b w:val="0"/>
          <w:sz w:val="18"/>
        </w:rPr>
        <w:t>金属或混凝土盖板，虽然只起保护作用，但接缝的处理，建议按女儿墙压顶的办法，包括</w:t>
      </w:r>
      <w:r>
        <w:rPr>
          <w:b w:val="0"/>
          <w:sz w:val="18"/>
        </w:rPr>
        <w:t xml:space="preserve"> </w:t>
      </w:r>
      <w:r>
        <w:rPr>
          <w:rFonts w:hint="eastAsia"/>
          <w:b w:val="0"/>
          <w:sz w:val="18"/>
        </w:rPr>
        <w:t>混</w:t>
      </w:r>
      <w:r>
        <w:rPr>
          <w:b w:val="0"/>
          <w:sz w:val="18"/>
        </w:rPr>
        <w:t xml:space="preserve"> </w:t>
      </w:r>
      <w:r>
        <w:rPr>
          <w:rFonts w:hint="eastAsia"/>
          <w:b w:val="0"/>
          <w:sz w:val="18"/>
        </w:rPr>
        <w:t>凝土盖板上部的防水砂浆粉刷。只有不宜设混凝土盖板时，才作金属盖板。因为金属</w:t>
      </w:r>
      <w:r>
        <w:rPr>
          <w:b w:val="0"/>
          <w:sz w:val="18"/>
        </w:rPr>
        <w:t xml:space="preserve"> </w:t>
      </w:r>
      <w:r>
        <w:rPr>
          <w:rFonts w:hint="eastAsia"/>
          <w:b w:val="0"/>
          <w:sz w:val="18"/>
        </w:rPr>
        <w:t>盖板除了轻，并无特别优势。其锚固安装要求能抗风掀，但真正抗住大风的盖板，其构</w:t>
      </w:r>
      <w:r>
        <w:rPr>
          <w:b w:val="0"/>
          <w:sz w:val="18"/>
        </w:rPr>
        <w:t xml:space="preserve"> </w:t>
      </w:r>
      <w:r>
        <w:rPr>
          <w:rFonts w:hint="eastAsia"/>
          <w:b w:val="0"/>
          <w:sz w:val="18"/>
        </w:rPr>
        <w:t>造应参照女儿墙金属压</w:t>
      </w:r>
      <w:r>
        <w:rPr>
          <w:b w:val="0"/>
          <w:sz w:val="18"/>
        </w:rPr>
        <w:t xml:space="preserve"> </w:t>
      </w:r>
      <w:r>
        <w:rPr>
          <w:rFonts w:hint="eastAsia"/>
          <w:b w:val="0"/>
          <w:sz w:val="18"/>
        </w:rPr>
        <w:t>顶，用的是铝合金或不锈钢扣板，而不是镀锌铁皮。</w:t>
      </w:r>
      <w:r>
        <w:rPr>
          <w:b w:val="0"/>
          <w:sz w:val="18"/>
        </w:rPr>
        <w:t xml:space="preserve">  </w:t>
      </w:r>
    </w:p>
    <w:p w14:paraId="17F924DD">
      <w:pPr>
        <w:pStyle w:val="96"/>
        <w:numPr>
          <w:ilvl w:val="0"/>
          <w:numId w:val="81"/>
        </w:numPr>
        <w:jc w:val="left"/>
        <w:rPr>
          <w:b w:val="0"/>
          <w:sz w:val="18"/>
        </w:rPr>
      </w:pPr>
      <w:r>
        <w:rPr>
          <w:rFonts w:hint="eastAsia"/>
          <w:b w:val="0"/>
          <w:sz w:val="18"/>
        </w:rPr>
        <w:t>高低跨屋面在高层与裙房建筑上大量出现，因沉降或抗震需要，常在此处设变形缝。为使</w:t>
      </w:r>
      <w:r>
        <w:rPr>
          <w:b w:val="0"/>
          <w:sz w:val="18"/>
        </w:rPr>
        <w:t xml:space="preserve">  </w:t>
      </w:r>
      <w:r>
        <w:rPr>
          <w:rFonts w:hint="eastAsia"/>
          <w:b w:val="0"/>
          <w:sz w:val="18"/>
        </w:rPr>
        <w:t>其强风暴雨时，仍能保证不倒灌，不渗漏，在立墙泛水处，应作密封处理。考虑了保护层</w:t>
      </w:r>
      <w:r>
        <w:rPr>
          <w:b w:val="0"/>
          <w:sz w:val="18"/>
        </w:rPr>
        <w:t xml:space="preserve"> </w:t>
      </w:r>
      <w:r>
        <w:rPr>
          <w:rFonts w:hint="eastAsia"/>
          <w:b w:val="0"/>
          <w:sz w:val="18"/>
        </w:rPr>
        <w:t>的设置，形成该处完整的构造节点。</w:t>
      </w:r>
      <w:r>
        <w:rPr>
          <w:b w:val="0"/>
          <w:sz w:val="18"/>
        </w:rPr>
        <w:t xml:space="preserve">  </w:t>
      </w:r>
    </w:p>
    <w:p w14:paraId="5CD2B2FE">
      <w:pPr>
        <w:pStyle w:val="96"/>
        <w:ind w:left="846" w:firstLine="360" w:firstLineChars="200"/>
        <w:jc w:val="left"/>
        <w:rPr>
          <w:b w:val="0"/>
          <w:sz w:val="18"/>
        </w:rPr>
      </w:pPr>
      <w:r>
        <w:rPr>
          <w:b w:val="0"/>
          <w:sz w:val="18"/>
        </w:rPr>
        <w:t xml:space="preserve">7.4.2.6 </w:t>
      </w:r>
      <w:r>
        <w:rPr>
          <w:rFonts w:hint="eastAsia"/>
          <w:b w:val="0"/>
          <w:sz w:val="18"/>
        </w:rPr>
        <w:t>落水口设计注意事项</w:t>
      </w:r>
      <w:r>
        <w:rPr>
          <w:b w:val="0"/>
          <w:sz w:val="18"/>
        </w:rPr>
        <w:t xml:space="preserve">  </w:t>
      </w:r>
    </w:p>
    <w:p w14:paraId="1BD04E16">
      <w:pPr>
        <w:pStyle w:val="96"/>
        <w:numPr>
          <w:ilvl w:val="0"/>
          <w:numId w:val="82"/>
        </w:numPr>
        <w:jc w:val="left"/>
        <w:rPr>
          <w:b w:val="0"/>
          <w:sz w:val="18"/>
        </w:rPr>
      </w:pPr>
      <w:r>
        <w:rPr>
          <w:rFonts w:hint="eastAsia"/>
          <w:b w:val="0"/>
          <w:sz w:val="18"/>
        </w:rPr>
        <w:t>重力式排水为传统的排水方式，材料包括金属制品和塑料制品两种。水落口处的防水构造，</w:t>
      </w:r>
      <w:r>
        <w:rPr>
          <w:b w:val="0"/>
          <w:sz w:val="18"/>
        </w:rPr>
        <w:t xml:space="preserve">  </w:t>
      </w:r>
      <w:r>
        <w:rPr>
          <w:rFonts w:hint="eastAsia"/>
          <w:b w:val="0"/>
          <w:sz w:val="18"/>
        </w:rPr>
        <w:t>采取多道设防、柔性密封、防排结合的原则处理。</w:t>
      </w:r>
      <w:r>
        <w:rPr>
          <w:b w:val="0"/>
          <w:sz w:val="18"/>
        </w:rPr>
        <w:t xml:space="preserve">  </w:t>
      </w:r>
    </w:p>
    <w:p w14:paraId="72D75094">
      <w:pPr>
        <w:pStyle w:val="96"/>
        <w:numPr>
          <w:ilvl w:val="0"/>
          <w:numId w:val="82"/>
        </w:numPr>
        <w:jc w:val="left"/>
        <w:rPr>
          <w:b w:val="0"/>
          <w:sz w:val="18"/>
        </w:rPr>
      </w:pPr>
      <w:r>
        <w:rPr>
          <w:rFonts w:hint="eastAsia"/>
          <w:b w:val="0"/>
          <w:sz w:val="18"/>
        </w:rPr>
        <w:t>水落口杯的埋设标高，应充分考虑水落口设防时增加的附加防水层、柔性密封、保护层、</w:t>
      </w:r>
      <w:r>
        <w:rPr>
          <w:b w:val="0"/>
          <w:sz w:val="18"/>
        </w:rPr>
        <w:t xml:space="preserve"> </w:t>
      </w:r>
      <w:r>
        <w:rPr>
          <w:rFonts w:hint="eastAsia"/>
          <w:b w:val="0"/>
          <w:sz w:val="18"/>
        </w:rPr>
        <w:t>找平层以及排水坡度的影响，宁低勿高。否则，水落口处施工完毕时，不能确保成为其</w:t>
      </w:r>
      <w:r>
        <w:rPr>
          <w:b w:val="0"/>
          <w:sz w:val="18"/>
        </w:rPr>
        <w:t xml:space="preserve"> </w:t>
      </w:r>
      <w:r>
        <w:rPr>
          <w:rFonts w:hint="eastAsia"/>
          <w:b w:val="0"/>
          <w:sz w:val="18"/>
        </w:rPr>
        <w:t>排水区内最低点。</w:t>
      </w:r>
      <w:r>
        <w:rPr>
          <w:b w:val="0"/>
          <w:sz w:val="18"/>
        </w:rPr>
        <w:t xml:space="preserve">  </w:t>
      </w:r>
    </w:p>
    <w:p w14:paraId="3C5E4F32">
      <w:pPr>
        <w:pStyle w:val="96"/>
        <w:numPr>
          <w:ilvl w:val="0"/>
          <w:numId w:val="82"/>
        </w:numPr>
        <w:jc w:val="left"/>
        <w:rPr>
          <w:b w:val="0"/>
          <w:sz w:val="18"/>
        </w:rPr>
      </w:pPr>
      <w:r>
        <w:rPr>
          <w:rFonts w:hint="eastAsia"/>
          <w:b w:val="0"/>
          <w:sz w:val="18"/>
        </w:rPr>
        <w:t>水落口的平面布置还应考虑让开屋面梁或其他障碍物。不得已不要穿梁，也不应紧贴梁边。</w:t>
      </w:r>
      <w:r>
        <w:rPr>
          <w:b w:val="0"/>
          <w:sz w:val="18"/>
        </w:rPr>
        <w:t xml:space="preserve">  </w:t>
      </w:r>
      <w:r>
        <w:rPr>
          <w:rFonts w:hint="eastAsia"/>
          <w:b w:val="0"/>
          <w:sz w:val="18"/>
        </w:rPr>
        <w:t>贴梁边，特别是贴大梁的边，会使水落管与水落口联接时妨碍施工操作，造成接口施工质</w:t>
      </w:r>
      <w:r>
        <w:rPr>
          <w:b w:val="0"/>
          <w:sz w:val="18"/>
        </w:rPr>
        <w:t xml:space="preserve"> </w:t>
      </w:r>
      <w:r>
        <w:rPr>
          <w:rFonts w:hint="eastAsia"/>
          <w:b w:val="0"/>
          <w:sz w:val="18"/>
        </w:rPr>
        <w:t>量差，引起渗漏。</w:t>
      </w:r>
      <w:r>
        <w:rPr>
          <w:b w:val="0"/>
          <w:sz w:val="18"/>
        </w:rPr>
        <w:t xml:space="preserve"> </w:t>
      </w:r>
    </w:p>
    <w:p w14:paraId="47DC767E">
      <w:pPr>
        <w:pStyle w:val="96"/>
        <w:numPr>
          <w:ilvl w:val="0"/>
          <w:numId w:val="82"/>
        </w:numPr>
        <w:jc w:val="left"/>
        <w:rPr>
          <w:b w:val="0"/>
          <w:sz w:val="18"/>
        </w:rPr>
      </w:pPr>
      <w:r>
        <w:rPr>
          <w:rFonts w:hint="eastAsia"/>
          <w:b w:val="0"/>
          <w:sz w:val="18"/>
        </w:rPr>
        <w:t>水落口周围</w:t>
      </w:r>
      <w:r>
        <w:rPr>
          <w:b w:val="0"/>
          <w:sz w:val="18"/>
        </w:rPr>
        <w:t>500</w:t>
      </w:r>
      <w:r>
        <w:rPr>
          <w:rFonts w:hint="eastAsia"/>
          <w:b w:val="0"/>
          <w:sz w:val="18"/>
        </w:rPr>
        <w:t>～</w:t>
      </w:r>
      <w:r>
        <w:rPr>
          <w:b w:val="0"/>
          <w:sz w:val="18"/>
        </w:rPr>
        <w:t>600mm</w:t>
      </w:r>
      <w:r>
        <w:rPr>
          <w:rFonts w:hint="eastAsia"/>
          <w:b w:val="0"/>
          <w:sz w:val="18"/>
        </w:rPr>
        <w:t>的范围内，坡度应增大至</w:t>
      </w:r>
      <w:r>
        <w:rPr>
          <w:b w:val="0"/>
          <w:sz w:val="18"/>
        </w:rPr>
        <w:t>5%</w:t>
      </w:r>
      <w:r>
        <w:rPr>
          <w:rFonts w:hint="eastAsia"/>
          <w:b w:val="0"/>
          <w:sz w:val="18"/>
        </w:rPr>
        <w:t>，以形成必要的壅水高度，雨量大时，</w:t>
      </w:r>
      <w:r>
        <w:rPr>
          <w:b w:val="0"/>
          <w:sz w:val="18"/>
        </w:rPr>
        <w:t xml:space="preserve">  </w:t>
      </w:r>
      <w:r>
        <w:rPr>
          <w:rFonts w:hint="eastAsia"/>
          <w:b w:val="0"/>
          <w:sz w:val="18"/>
        </w:rPr>
        <w:t>仍能顺畅及时地排除水口附近汇集的雨水。因此，水落口处，雨水可能有一定的压力，而</w:t>
      </w:r>
      <w:r>
        <w:rPr>
          <w:b w:val="0"/>
          <w:sz w:val="18"/>
        </w:rPr>
        <w:t xml:space="preserve"> </w:t>
      </w:r>
      <w:r>
        <w:rPr>
          <w:rFonts w:hint="eastAsia"/>
          <w:b w:val="0"/>
          <w:sz w:val="18"/>
        </w:rPr>
        <w:t>且产生些冲刷作用，这就有必要采用多道设防，柔性密封，并设置保护层。</w:t>
      </w:r>
      <w:r>
        <w:rPr>
          <w:b w:val="0"/>
          <w:sz w:val="18"/>
        </w:rPr>
        <w:t xml:space="preserve"> </w:t>
      </w:r>
    </w:p>
    <w:p w14:paraId="167A4BF1">
      <w:pPr>
        <w:pStyle w:val="96"/>
        <w:numPr>
          <w:ilvl w:val="0"/>
          <w:numId w:val="82"/>
        </w:numPr>
        <w:jc w:val="left"/>
        <w:rPr>
          <w:b w:val="0"/>
          <w:sz w:val="18"/>
        </w:rPr>
      </w:pPr>
      <w:r>
        <w:rPr>
          <w:rFonts w:hint="eastAsia"/>
          <w:b w:val="0"/>
          <w:sz w:val="18"/>
        </w:rPr>
        <w:t>在水落口杯与基层交接处要采取柔性密封。该处两种材质结合，易生裂缝，故应预留凹槽，</w:t>
      </w:r>
      <w:r>
        <w:rPr>
          <w:b w:val="0"/>
          <w:sz w:val="18"/>
        </w:rPr>
        <w:t xml:space="preserve"> 20mm</w:t>
      </w:r>
      <w:r>
        <w:rPr>
          <w:rFonts w:hint="eastAsia"/>
          <w:b w:val="0"/>
          <w:sz w:val="18"/>
        </w:rPr>
        <w:t>×</w:t>
      </w:r>
      <w:r>
        <w:rPr>
          <w:b w:val="0"/>
          <w:sz w:val="18"/>
        </w:rPr>
        <w:t>20mm</w:t>
      </w:r>
      <w:r>
        <w:rPr>
          <w:rFonts w:hint="eastAsia"/>
          <w:b w:val="0"/>
          <w:sz w:val="18"/>
        </w:rPr>
        <w:t>，嵌填密封材料。防水层及附加防水层与水落口的联接，需用冷胶封灌，或按法</w:t>
      </w:r>
      <w:r>
        <w:rPr>
          <w:b w:val="0"/>
          <w:sz w:val="18"/>
        </w:rPr>
        <w:t xml:space="preserve"> </w:t>
      </w:r>
      <w:r>
        <w:rPr>
          <w:rFonts w:hint="eastAsia"/>
          <w:b w:val="0"/>
          <w:sz w:val="18"/>
        </w:rPr>
        <w:t>兰密</w:t>
      </w:r>
      <w:r>
        <w:rPr>
          <w:b w:val="0"/>
          <w:sz w:val="18"/>
        </w:rPr>
        <w:t xml:space="preserve"> </w:t>
      </w:r>
      <w:r>
        <w:rPr>
          <w:rFonts w:hint="eastAsia"/>
          <w:b w:val="0"/>
          <w:sz w:val="18"/>
        </w:rPr>
        <w:t>封的原理将柔性防水层（多为卷材）压紧密封。但此种方法只适用于精密度及刚度都</w:t>
      </w:r>
      <w:r>
        <w:rPr>
          <w:b w:val="0"/>
          <w:sz w:val="18"/>
        </w:rPr>
        <w:t xml:space="preserve"> </w:t>
      </w:r>
      <w:r>
        <w:rPr>
          <w:rFonts w:hint="eastAsia"/>
          <w:b w:val="0"/>
          <w:sz w:val="18"/>
        </w:rPr>
        <w:t>较高的水落</w:t>
      </w:r>
      <w:r>
        <w:rPr>
          <w:b w:val="0"/>
          <w:sz w:val="18"/>
        </w:rPr>
        <w:t xml:space="preserve"> </w:t>
      </w:r>
      <w:r>
        <w:rPr>
          <w:rFonts w:hint="eastAsia"/>
          <w:b w:val="0"/>
          <w:sz w:val="18"/>
        </w:rPr>
        <w:t>口，比如不锈钢水落口。</w:t>
      </w:r>
      <w:r>
        <w:rPr>
          <w:b w:val="0"/>
          <w:sz w:val="18"/>
        </w:rPr>
        <w:t xml:space="preserve">  </w:t>
      </w:r>
    </w:p>
    <w:p w14:paraId="0B4EDAB6">
      <w:pPr>
        <w:pStyle w:val="96"/>
        <w:numPr>
          <w:ilvl w:val="0"/>
          <w:numId w:val="82"/>
        </w:numPr>
        <w:jc w:val="left"/>
        <w:rPr>
          <w:b w:val="0"/>
          <w:sz w:val="18"/>
        </w:rPr>
      </w:pPr>
      <w:r>
        <w:rPr>
          <w:rFonts w:hint="eastAsia"/>
          <w:b w:val="0"/>
          <w:sz w:val="18"/>
        </w:rPr>
        <w:t>水落口的平面布置。屋顶平面排水设计中，水落口应给出准确位置。准确位置的确定，主要</w:t>
      </w:r>
      <w:r>
        <w:rPr>
          <w:b w:val="0"/>
          <w:sz w:val="18"/>
        </w:rPr>
        <w:t xml:space="preserve">  </w:t>
      </w:r>
      <w:r>
        <w:rPr>
          <w:rFonts w:hint="eastAsia"/>
          <w:b w:val="0"/>
          <w:sz w:val="18"/>
        </w:rPr>
        <w:t>应考虑水口四周</w:t>
      </w:r>
      <w:r>
        <w:rPr>
          <w:b w:val="0"/>
          <w:sz w:val="18"/>
        </w:rPr>
        <w:t>5%</w:t>
      </w:r>
      <w:r>
        <w:rPr>
          <w:rFonts w:hint="eastAsia"/>
          <w:b w:val="0"/>
          <w:sz w:val="18"/>
        </w:rPr>
        <w:t>坡降的影响。</w:t>
      </w:r>
      <w:r>
        <w:rPr>
          <w:b w:val="0"/>
          <w:sz w:val="18"/>
        </w:rPr>
        <w:t xml:space="preserve">  </w:t>
      </w:r>
    </w:p>
    <w:p w14:paraId="61027B8F">
      <w:pPr>
        <w:pStyle w:val="96"/>
        <w:numPr>
          <w:ilvl w:val="0"/>
          <w:numId w:val="82"/>
        </w:numPr>
        <w:jc w:val="left"/>
        <w:rPr>
          <w:b w:val="0"/>
          <w:sz w:val="18"/>
        </w:rPr>
      </w:pPr>
      <w:r>
        <w:rPr>
          <w:rFonts w:hint="eastAsia"/>
          <w:b w:val="0"/>
          <w:sz w:val="18"/>
        </w:rPr>
        <w:t>设在女儿墙拐角处的横式水落口，其两侧各在</w:t>
      </w:r>
      <w:r>
        <w:rPr>
          <w:b w:val="0"/>
          <w:sz w:val="18"/>
        </w:rPr>
        <w:t>250</w:t>
      </w:r>
      <w:r>
        <w:rPr>
          <w:rFonts w:hint="eastAsia"/>
          <w:b w:val="0"/>
          <w:sz w:val="18"/>
        </w:rPr>
        <w:t>～</w:t>
      </w:r>
      <w:r>
        <w:rPr>
          <w:b w:val="0"/>
          <w:sz w:val="18"/>
        </w:rPr>
        <w:t>300mm</w:t>
      </w:r>
      <w:r>
        <w:rPr>
          <w:rFonts w:hint="eastAsia"/>
          <w:b w:val="0"/>
          <w:sz w:val="18"/>
        </w:rPr>
        <w:t>范围内不应妨碍柔性防水层，特别</w:t>
      </w:r>
      <w:r>
        <w:rPr>
          <w:b w:val="0"/>
          <w:sz w:val="18"/>
        </w:rPr>
        <w:t xml:space="preserve">  </w:t>
      </w:r>
      <w:r>
        <w:rPr>
          <w:rFonts w:hint="eastAsia"/>
          <w:b w:val="0"/>
          <w:sz w:val="18"/>
        </w:rPr>
        <w:t>是卷材防水的铺展粘贴。</w:t>
      </w:r>
      <w:r>
        <w:rPr>
          <w:b w:val="0"/>
          <w:sz w:val="18"/>
        </w:rPr>
        <w:t xml:space="preserve">  </w:t>
      </w:r>
    </w:p>
    <w:p w14:paraId="29719D4E">
      <w:pPr>
        <w:pStyle w:val="96"/>
        <w:numPr>
          <w:ilvl w:val="0"/>
          <w:numId w:val="82"/>
        </w:numPr>
        <w:jc w:val="left"/>
        <w:rPr>
          <w:b w:val="0"/>
          <w:sz w:val="18"/>
        </w:rPr>
      </w:pPr>
      <w:r>
        <w:rPr>
          <w:rFonts w:hint="eastAsia"/>
          <w:b w:val="0"/>
          <w:sz w:val="18"/>
        </w:rPr>
        <w:t>同样道理，直式水落口也不应紧邻女儿墙阴阳角，更不应紧蹈女儿墙墙边。蹭边的结果是，</w:t>
      </w:r>
      <w:r>
        <w:rPr>
          <w:b w:val="0"/>
          <w:sz w:val="18"/>
        </w:rPr>
        <w:t xml:space="preserve">  </w:t>
      </w:r>
      <w:r>
        <w:rPr>
          <w:rFonts w:hint="eastAsia"/>
          <w:b w:val="0"/>
          <w:sz w:val="18"/>
        </w:rPr>
        <w:t>防水层折皱不展，粘贴密封难以正确完成，渗漏概率高，而且难以修补。</w:t>
      </w:r>
      <w:r>
        <w:rPr>
          <w:b w:val="0"/>
          <w:sz w:val="18"/>
        </w:rPr>
        <w:t xml:space="preserve">  </w:t>
      </w:r>
    </w:p>
    <w:p w14:paraId="72571794">
      <w:pPr>
        <w:pStyle w:val="96"/>
        <w:ind w:left="846" w:firstLine="360" w:firstLineChars="200"/>
        <w:jc w:val="left"/>
        <w:rPr>
          <w:b w:val="0"/>
          <w:sz w:val="18"/>
        </w:rPr>
      </w:pPr>
      <w:r>
        <w:rPr>
          <w:b w:val="0"/>
          <w:sz w:val="18"/>
        </w:rPr>
        <w:t xml:space="preserve">8.4.2.6 </w:t>
      </w:r>
      <w:r>
        <w:rPr>
          <w:rFonts w:hint="eastAsia"/>
          <w:b w:val="0"/>
          <w:sz w:val="18"/>
        </w:rPr>
        <w:t>出屋面管设计注意事项</w:t>
      </w:r>
      <w:r>
        <w:rPr>
          <w:b w:val="0"/>
          <w:sz w:val="18"/>
        </w:rPr>
        <w:t xml:space="preserve">  </w:t>
      </w:r>
    </w:p>
    <w:p w14:paraId="6B0CBBC3">
      <w:pPr>
        <w:pStyle w:val="96"/>
        <w:numPr>
          <w:ilvl w:val="0"/>
          <w:numId w:val="83"/>
        </w:numPr>
        <w:jc w:val="left"/>
        <w:rPr>
          <w:b w:val="0"/>
          <w:sz w:val="18"/>
        </w:rPr>
      </w:pPr>
      <w:r>
        <w:rPr>
          <w:rFonts w:hint="eastAsia"/>
          <w:b w:val="0"/>
          <w:sz w:val="18"/>
        </w:rPr>
        <w:t>出屋面管应做好防水处理，泛水高度不小于</w:t>
      </w:r>
      <w:r>
        <w:rPr>
          <w:b w:val="0"/>
          <w:sz w:val="18"/>
        </w:rPr>
        <w:t>250mm</w:t>
      </w:r>
      <w:r>
        <w:rPr>
          <w:rFonts w:hint="eastAsia"/>
          <w:b w:val="0"/>
          <w:sz w:val="18"/>
        </w:rPr>
        <w:t>，卷材收头应用金属抱箍紧固和密封材料</w:t>
      </w:r>
      <w:r>
        <w:rPr>
          <w:b w:val="0"/>
          <w:sz w:val="18"/>
        </w:rPr>
        <w:t xml:space="preserve">  </w:t>
      </w:r>
      <w:r>
        <w:rPr>
          <w:rFonts w:hint="eastAsia"/>
          <w:b w:val="0"/>
          <w:sz w:val="18"/>
        </w:rPr>
        <w:t>封严。</w:t>
      </w:r>
      <w:r>
        <w:rPr>
          <w:b w:val="0"/>
          <w:sz w:val="18"/>
        </w:rPr>
        <w:t xml:space="preserve">  </w:t>
      </w:r>
    </w:p>
    <w:p w14:paraId="71164690">
      <w:pPr>
        <w:pStyle w:val="96"/>
        <w:numPr>
          <w:ilvl w:val="0"/>
          <w:numId w:val="83"/>
        </w:numPr>
        <w:jc w:val="left"/>
        <w:rPr>
          <w:b w:val="0"/>
          <w:sz w:val="18"/>
        </w:rPr>
      </w:pPr>
      <w:r>
        <w:rPr>
          <w:rFonts w:hint="eastAsia"/>
          <w:b w:val="0"/>
          <w:sz w:val="18"/>
        </w:rPr>
        <w:t>尽量不要采取管道由室内直接出屋面的设计，这种设计不利管道的安装、固定，也使施工、</w:t>
      </w:r>
      <w:r>
        <w:rPr>
          <w:b w:val="0"/>
          <w:sz w:val="18"/>
        </w:rPr>
        <w:t xml:space="preserve">  </w:t>
      </w:r>
      <w:r>
        <w:rPr>
          <w:rFonts w:hint="eastAsia"/>
          <w:b w:val="0"/>
          <w:sz w:val="18"/>
        </w:rPr>
        <w:t>维修不方便，导致防水可靠程度下降。</w:t>
      </w:r>
      <w:r>
        <w:rPr>
          <w:b w:val="0"/>
          <w:sz w:val="18"/>
        </w:rPr>
        <w:t xml:space="preserve">  </w:t>
      </w:r>
    </w:p>
    <w:p w14:paraId="13FF03BE">
      <w:pPr>
        <w:pStyle w:val="96"/>
        <w:numPr>
          <w:ilvl w:val="0"/>
          <w:numId w:val="83"/>
        </w:numPr>
        <w:jc w:val="left"/>
        <w:rPr>
          <w:b w:val="0"/>
          <w:sz w:val="18"/>
        </w:rPr>
      </w:pPr>
      <w:r>
        <w:rPr>
          <w:rFonts w:hint="eastAsia"/>
          <w:b w:val="0"/>
          <w:sz w:val="18"/>
        </w:rPr>
        <w:t>必须要直埋管时，该管段应留法兰接口。直埋管道与室内管道通过法兰接口的目的是便于安</w:t>
      </w:r>
      <w:r>
        <w:rPr>
          <w:b w:val="0"/>
          <w:sz w:val="18"/>
        </w:rPr>
        <w:t xml:space="preserve"> </w:t>
      </w:r>
      <w:r>
        <w:rPr>
          <w:rFonts w:hint="eastAsia"/>
          <w:b w:val="0"/>
          <w:sz w:val="18"/>
        </w:rPr>
        <w:t>装、维护、更换。管径小，可以采取其他连接方法，但不要焊接，若管道工作状态有震动，</w:t>
      </w:r>
      <w:r>
        <w:rPr>
          <w:b w:val="0"/>
          <w:sz w:val="18"/>
        </w:rPr>
        <w:t xml:space="preserve"> </w:t>
      </w:r>
      <w:r>
        <w:rPr>
          <w:rFonts w:hint="eastAsia"/>
          <w:b w:val="0"/>
          <w:sz w:val="18"/>
        </w:rPr>
        <w:t>应通过柔</w:t>
      </w:r>
      <w:r>
        <w:rPr>
          <w:b w:val="0"/>
          <w:sz w:val="18"/>
        </w:rPr>
        <w:t xml:space="preserve"> </w:t>
      </w:r>
      <w:r>
        <w:rPr>
          <w:rFonts w:hint="eastAsia"/>
          <w:b w:val="0"/>
          <w:sz w:val="18"/>
        </w:rPr>
        <w:t>性管道将室内管道连接。</w:t>
      </w:r>
      <w:r>
        <w:rPr>
          <w:b w:val="0"/>
          <w:sz w:val="18"/>
        </w:rPr>
        <w:t xml:space="preserve">  </w:t>
      </w:r>
    </w:p>
    <w:p w14:paraId="191D97A5">
      <w:pPr>
        <w:pStyle w:val="96"/>
        <w:ind w:left="846" w:firstLine="360" w:firstLineChars="200"/>
        <w:jc w:val="left"/>
        <w:rPr>
          <w:b w:val="0"/>
          <w:sz w:val="18"/>
        </w:rPr>
      </w:pPr>
      <w:r>
        <w:rPr>
          <w:b w:val="0"/>
          <w:sz w:val="18"/>
        </w:rPr>
        <w:t xml:space="preserve">8.4.2.7 </w:t>
      </w:r>
      <w:r>
        <w:rPr>
          <w:rFonts w:hint="eastAsia"/>
          <w:b w:val="0"/>
          <w:sz w:val="18"/>
        </w:rPr>
        <w:t>屋脊设计注意事项</w:t>
      </w:r>
    </w:p>
    <w:p w14:paraId="13906BD5">
      <w:pPr>
        <w:pStyle w:val="96"/>
        <w:numPr>
          <w:ilvl w:val="0"/>
          <w:numId w:val="84"/>
        </w:numPr>
        <w:jc w:val="left"/>
        <w:rPr>
          <w:b w:val="0"/>
          <w:sz w:val="18"/>
        </w:rPr>
      </w:pPr>
      <w:r>
        <w:rPr>
          <w:rFonts w:hint="eastAsia"/>
          <w:b w:val="0"/>
          <w:sz w:val="18"/>
        </w:rPr>
        <w:t>坡屋面工程设计应包括以下内容：</w:t>
      </w:r>
      <w:r>
        <w:rPr>
          <w:b w:val="0"/>
          <w:sz w:val="18"/>
        </w:rPr>
        <w:t>1</w:t>
      </w:r>
      <w:r>
        <w:rPr>
          <w:rFonts w:hint="eastAsia"/>
          <w:b w:val="0"/>
          <w:sz w:val="18"/>
        </w:rPr>
        <w:t>）确定屋面防水等级；</w:t>
      </w:r>
      <w:r>
        <w:rPr>
          <w:b w:val="0"/>
          <w:sz w:val="18"/>
        </w:rPr>
        <w:t>2</w:t>
      </w:r>
      <w:r>
        <w:rPr>
          <w:rFonts w:hint="eastAsia"/>
          <w:b w:val="0"/>
          <w:sz w:val="18"/>
        </w:rPr>
        <w:t>）确定屋面坡度；</w:t>
      </w:r>
      <w:r>
        <w:rPr>
          <w:b w:val="0"/>
          <w:sz w:val="18"/>
        </w:rPr>
        <w:t>3</w:t>
      </w:r>
      <w:r>
        <w:rPr>
          <w:rFonts w:hint="eastAsia"/>
          <w:b w:val="0"/>
          <w:sz w:val="18"/>
        </w:rPr>
        <w:t>）选择屋面</w:t>
      </w:r>
      <w:r>
        <w:rPr>
          <w:b w:val="0"/>
          <w:sz w:val="18"/>
        </w:rPr>
        <w:t xml:space="preserve">  </w:t>
      </w:r>
      <w:r>
        <w:rPr>
          <w:rFonts w:hint="eastAsia"/>
          <w:b w:val="0"/>
          <w:sz w:val="18"/>
        </w:rPr>
        <w:t>工程材料；</w:t>
      </w:r>
      <w:r>
        <w:rPr>
          <w:b w:val="0"/>
          <w:sz w:val="18"/>
        </w:rPr>
        <w:t>4</w:t>
      </w:r>
      <w:r>
        <w:rPr>
          <w:rFonts w:hint="eastAsia"/>
          <w:b w:val="0"/>
          <w:sz w:val="18"/>
        </w:rPr>
        <w:t>）防水、排水系统设计；</w:t>
      </w:r>
      <w:r>
        <w:rPr>
          <w:b w:val="0"/>
          <w:sz w:val="18"/>
        </w:rPr>
        <w:t>5</w:t>
      </w:r>
      <w:r>
        <w:rPr>
          <w:rFonts w:hint="eastAsia"/>
          <w:b w:val="0"/>
          <w:sz w:val="18"/>
        </w:rPr>
        <w:t>）保温、隔热设计和节能措施；</w:t>
      </w:r>
      <w:r>
        <w:rPr>
          <w:b w:val="0"/>
          <w:sz w:val="18"/>
        </w:rPr>
        <w:t>6</w:t>
      </w:r>
      <w:r>
        <w:rPr>
          <w:rFonts w:hint="eastAsia"/>
          <w:b w:val="0"/>
          <w:sz w:val="18"/>
        </w:rPr>
        <w:t>）通风系统设计。</w:t>
      </w:r>
      <w:r>
        <w:rPr>
          <w:b w:val="0"/>
          <w:sz w:val="18"/>
        </w:rPr>
        <w:t xml:space="preserve">  </w:t>
      </w:r>
    </w:p>
    <w:p w14:paraId="0CE55D56">
      <w:pPr>
        <w:pStyle w:val="96"/>
        <w:numPr>
          <w:ilvl w:val="0"/>
          <w:numId w:val="84"/>
        </w:numPr>
        <w:jc w:val="left"/>
        <w:rPr>
          <w:b w:val="0"/>
          <w:sz w:val="18"/>
        </w:rPr>
      </w:pPr>
      <w:r>
        <w:rPr>
          <w:rFonts w:hint="eastAsia"/>
          <w:b w:val="0"/>
          <w:sz w:val="18"/>
        </w:rPr>
        <w:t>屋面坡度大于</w:t>
      </w:r>
      <w:r>
        <w:rPr>
          <w:b w:val="0"/>
          <w:sz w:val="18"/>
        </w:rPr>
        <w:t>100%</w:t>
      </w:r>
      <w:r>
        <w:rPr>
          <w:rFonts w:hint="eastAsia"/>
          <w:b w:val="0"/>
          <w:sz w:val="18"/>
        </w:rPr>
        <w:t>以及大风和抗震设防烈度为</w:t>
      </w:r>
      <w:r>
        <w:rPr>
          <w:b w:val="0"/>
          <w:sz w:val="18"/>
        </w:rPr>
        <w:t>7</w:t>
      </w:r>
      <w:r>
        <w:rPr>
          <w:rFonts w:hint="eastAsia"/>
          <w:b w:val="0"/>
          <w:sz w:val="18"/>
        </w:rPr>
        <w:t>度以上的地区，块瓦固定应采取下列加强措</w:t>
      </w:r>
      <w:r>
        <w:rPr>
          <w:b w:val="0"/>
          <w:sz w:val="18"/>
        </w:rPr>
        <w:t xml:space="preserve">  </w:t>
      </w:r>
      <w:r>
        <w:rPr>
          <w:rFonts w:hint="eastAsia"/>
          <w:b w:val="0"/>
          <w:sz w:val="18"/>
        </w:rPr>
        <w:t>施：</w:t>
      </w:r>
      <w:r>
        <w:rPr>
          <w:b w:val="0"/>
          <w:sz w:val="18"/>
        </w:rPr>
        <w:t>l</w:t>
      </w:r>
      <w:r>
        <w:rPr>
          <w:rFonts w:hint="eastAsia"/>
          <w:b w:val="0"/>
          <w:sz w:val="18"/>
        </w:rPr>
        <w:t>）</w:t>
      </w:r>
      <w:r>
        <w:rPr>
          <w:b w:val="0"/>
          <w:sz w:val="18"/>
        </w:rPr>
        <w:t xml:space="preserve"> </w:t>
      </w:r>
      <w:r>
        <w:rPr>
          <w:rFonts w:hint="eastAsia"/>
          <w:b w:val="0"/>
          <w:sz w:val="18"/>
        </w:rPr>
        <w:t>檐口部位应有防风揭和防落瓦的安全措施；</w:t>
      </w:r>
      <w:r>
        <w:rPr>
          <w:b w:val="0"/>
          <w:sz w:val="18"/>
        </w:rPr>
        <w:t>2</w:t>
      </w:r>
      <w:r>
        <w:rPr>
          <w:rFonts w:hint="eastAsia"/>
          <w:b w:val="0"/>
          <w:sz w:val="18"/>
        </w:rPr>
        <w:t>）每片瓦应采用螺钉和金属搭扣固定。</w:t>
      </w:r>
      <w:r>
        <w:rPr>
          <w:b w:val="0"/>
          <w:sz w:val="18"/>
        </w:rPr>
        <w:t xml:space="preserve">  </w:t>
      </w:r>
    </w:p>
    <w:p w14:paraId="4BBE13CE">
      <w:pPr>
        <w:pStyle w:val="96"/>
        <w:numPr>
          <w:ilvl w:val="0"/>
          <w:numId w:val="84"/>
        </w:numPr>
        <w:jc w:val="left"/>
        <w:rPr>
          <w:b w:val="0"/>
          <w:sz w:val="18"/>
        </w:rPr>
      </w:pPr>
      <w:r>
        <w:rPr>
          <w:rFonts w:hint="eastAsia"/>
          <w:b w:val="0"/>
          <w:sz w:val="18"/>
        </w:rPr>
        <w:t>细石混凝土找平层、持钉层或保护层中的钢筋网应与屋脊、檐口预埋的钢筋连接。</w:t>
      </w:r>
      <w:r>
        <w:rPr>
          <w:b w:val="0"/>
          <w:sz w:val="18"/>
        </w:rPr>
        <w:t xml:space="preserve">  </w:t>
      </w:r>
    </w:p>
    <w:p w14:paraId="78473C08">
      <w:pPr>
        <w:pStyle w:val="96"/>
        <w:numPr>
          <w:ilvl w:val="0"/>
          <w:numId w:val="84"/>
        </w:numPr>
        <w:jc w:val="left"/>
        <w:rPr>
          <w:b w:val="0"/>
          <w:sz w:val="18"/>
        </w:rPr>
      </w:pPr>
      <w:r>
        <w:rPr>
          <w:rFonts w:hint="eastAsia"/>
          <w:b w:val="0"/>
          <w:sz w:val="18"/>
        </w:rPr>
        <w:t>屋面坡度大于</w:t>
      </w:r>
      <w:r>
        <w:rPr>
          <w:b w:val="0"/>
          <w:sz w:val="18"/>
        </w:rPr>
        <w:t>30%</w:t>
      </w:r>
      <w:r>
        <w:rPr>
          <w:rFonts w:hint="eastAsia"/>
          <w:b w:val="0"/>
          <w:sz w:val="18"/>
        </w:rPr>
        <w:t>，防水垫层宜采用机械固定或满粘法施工；防水垫层的搭接宽度不得小于</w:t>
      </w:r>
      <w:r>
        <w:rPr>
          <w:b w:val="0"/>
          <w:sz w:val="18"/>
        </w:rPr>
        <w:t xml:space="preserve">  l00mm</w:t>
      </w:r>
      <w:r>
        <w:rPr>
          <w:rFonts w:hint="eastAsia"/>
          <w:b w:val="0"/>
          <w:sz w:val="18"/>
        </w:rPr>
        <w:t>。</w:t>
      </w:r>
      <w:r>
        <w:rPr>
          <w:b w:val="0"/>
          <w:sz w:val="18"/>
        </w:rPr>
        <w:t xml:space="preserve">   </w:t>
      </w:r>
    </w:p>
    <w:p w14:paraId="3E9C63A4">
      <w:pPr>
        <w:pStyle w:val="96"/>
        <w:ind w:left="846" w:firstLine="360" w:firstLineChars="200"/>
        <w:jc w:val="left"/>
        <w:rPr>
          <w:b w:val="0"/>
          <w:sz w:val="18"/>
        </w:rPr>
      </w:pPr>
      <w:r>
        <w:rPr>
          <w:b w:val="0"/>
          <w:sz w:val="18"/>
        </w:rPr>
        <w:t xml:space="preserve"> 8.4.2.8 </w:t>
      </w:r>
      <w:r>
        <w:rPr>
          <w:rFonts w:hint="eastAsia"/>
          <w:b w:val="0"/>
          <w:sz w:val="18"/>
        </w:rPr>
        <w:t>檐沟设计注意事项</w:t>
      </w:r>
      <w:r>
        <w:rPr>
          <w:b w:val="0"/>
          <w:sz w:val="18"/>
        </w:rPr>
        <w:t xml:space="preserve">  </w:t>
      </w:r>
    </w:p>
    <w:p w14:paraId="57F0A4F2">
      <w:pPr>
        <w:pStyle w:val="96"/>
        <w:numPr>
          <w:ilvl w:val="0"/>
          <w:numId w:val="85"/>
        </w:numPr>
        <w:jc w:val="left"/>
        <w:rPr>
          <w:b w:val="0"/>
          <w:sz w:val="18"/>
        </w:rPr>
      </w:pPr>
      <w:r>
        <w:rPr>
          <w:rFonts w:hint="eastAsia"/>
          <w:b w:val="0"/>
          <w:sz w:val="18"/>
        </w:rPr>
        <w:t>檐沟部位防水垫层应增设附加层，防水垫层的附加层应延展铺设到混凝土檐沟内。</w:t>
      </w:r>
      <w:r>
        <w:rPr>
          <w:b w:val="0"/>
          <w:sz w:val="18"/>
        </w:rPr>
        <w:t xml:space="preserve">  </w:t>
      </w:r>
    </w:p>
    <w:p w14:paraId="0DA1C87C">
      <w:pPr>
        <w:pStyle w:val="96"/>
        <w:numPr>
          <w:ilvl w:val="0"/>
          <w:numId w:val="85"/>
        </w:numPr>
        <w:jc w:val="left"/>
        <w:rPr>
          <w:b w:val="0"/>
          <w:sz w:val="18"/>
        </w:rPr>
      </w:pPr>
      <w:r>
        <w:rPr>
          <w:rFonts w:hint="eastAsia"/>
          <w:b w:val="0"/>
          <w:sz w:val="18"/>
        </w:rPr>
        <w:t>混凝土天沟、成品天沟的防水层可采用涂膜类防水材料，特别是尺度小、变化复杂时；尺度</w:t>
      </w:r>
      <w:r>
        <w:rPr>
          <w:b w:val="0"/>
          <w:sz w:val="18"/>
        </w:rPr>
        <w:t xml:space="preserve">  </w:t>
      </w:r>
      <w:r>
        <w:rPr>
          <w:rFonts w:hint="eastAsia"/>
          <w:b w:val="0"/>
          <w:sz w:val="18"/>
        </w:rPr>
        <w:t>较宽、平剖面简单的沟，也可采用防水卷材；小型建筑宜选用成品天沟，成品天沟采用金属、</w:t>
      </w:r>
      <w:r>
        <w:rPr>
          <w:b w:val="0"/>
          <w:sz w:val="18"/>
        </w:rPr>
        <w:t xml:space="preserve">  PVC</w:t>
      </w:r>
      <w:r>
        <w:rPr>
          <w:rFonts w:hint="eastAsia"/>
          <w:b w:val="0"/>
          <w:sz w:val="18"/>
        </w:rPr>
        <w:t>或玻璃钢制作，该类材料适用于干法施工屋面。</w:t>
      </w:r>
      <w:r>
        <w:rPr>
          <w:b w:val="0"/>
          <w:sz w:val="18"/>
        </w:rPr>
        <w:t xml:space="preserve">  </w:t>
      </w:r>
    </w:p>
    <w:p w14:paraId="1C111582">
      <w:pPr>
        <w:pStyle w:val="96"/>
        <w:numPr>
          <w:ilvl w:val="0"/>
          <w:numId w:val="85"/>
        </w:numPr>
        <w:jc w:val="left"/>
        <w:rPr>
          <w:b w:val="0"/>
          <w:sz w:val="18"/>
        </w:rPr>
      </w:pPr>
      <w:r>
        <w:rPr>
          <w:rFonts w:hint="eastAsia"/>
          <w:b w:val="0"/>
          <w:sz w:val="18"/>
        </w:rPr>
        <w:t>成品天沟应伸入瓦下不小于</w:t>
      </w:r>
      <w:r>
        <w:rPr>
          <w:b w:val="0"/>
          <w:sz w:val="18"/>
        </w:rPr>
        <w:t>lOOmm</w:t>
      </w:r>
      <w:r>
        <w:rPr>
          <w:rFonts w:hint="eastAsia"/>
          <w:b w:val="0"/>
          <w:sz w:val="18"/>
        </w:rPr>
        <w:t>，以便固定密封。</w:t>
      </w:r>
      <w:r>
        <w:rPr>
          <w:b w:val="0"/>
          <w:sz w:val="18"/>
        </w:rPr>
        <w:t xml:space="preserve">  </w:t>
      </w:r>
    </w:p>
    <w:p w14:paraId="4FEA480C">
      <w:pPr>
        <w:pStyle w:val="96"/>
        <w:numPr>
          <w:ilvl w:val="0"/>
          <w:numId w:val="85"/>
        </w:numPr>
        <w:jc w:val="left"/>
        <w:rPr>
          <w:b w:val="0"/>
          <w:sz w:val="18"/>
        </w:rPr>
      </w:pPr>
      <w:r>
        <w:rPr>
          <w:rFonts w:hint="eastAsia"/>
          <w:b w:val="0"/>
          <w:sz w:val="18"/>
        </w:rPr>
        <w:t>天沟部位防水垫层应沿天沟中心线增设附加层，宽度不应小于</w:t>
      </w:r>
      <w:r>
        <w:rPr>
          <w:b w:val="0"/>
          <w:sz w:val="18"/>
        </w:rPr>
        <w:t>l00mm</w:t>
      </w:r>
      <w:r>
        <w:rPr>
          <w:rFonts w:hint="eastAsia"/>
          <w:b w:val="0"/>
          <w:sz w:val="18"/>
        </w:rPr>
        <w:t>；铺设防水垫层和瓦材</w:t>
      </w:r>
      <w:r>
        <w:rPr>
          <w:b w:val="0"/>
          <w:sz w:val="18"/>
        </w:rPr>
        <w:t xml:space="preserve">  </w:t>
      </w:r>
      <w:r>
        <w:rPr>
          <w:rFonts w:hint="eastAsia"/>
          <w:b w:val="0"/>
          <w:sz w:val="18"/>
        </w:rPr>
        <w:t>应顺流水方向进行。</w:t>
      </w:r>
      <w:r>
        <w:rPr>
          <w:b w:val="0"/>
          <w:sz w:val="18"/>
        </w:rPr>
        <w:t xml:space="preserve">  </w:t>
      </w:r>
    </w:p>
    <w:p w14:paraId="78B6E87E">
      <w:pPr>
        <w:pStyle w:val="96"/>
        <w:ind w:left="846" w:firstLine="360" w:firstLineChars="200"/>
        <w:jc w:val="left"/>
        <w:rPr>
          <w:b w:val="0"/>
          <w:sz w:val="18"/>
        </w:rPr>
      </w:pPr>
      <w:r>
        <w:rPr>
          <w:b w:val="0"/>
          <w:sz w:val="18"/>
        </w:rPr>
        <w:t xml:space="preserve"> 8.4.2.9 </w:t>
      </w:r>
      <w:r>
        <w:rPr>
          <w:rFonts w:hint="eastAsia"/>
          <w:b w:val="0"/>
          <w:sz w:val="18"/>
        </w:rPr>
        <w:t>山墙设计注意事项</w:t>
      </w:r>
      <w:r>
        <w:rPr>
          <w:b w:val="0"/>
          <w:sz w:val="18"/>
        </w:rPr>
        <w:t xml:space="preserve">   </w:t>
      </w:r>
    </w:p>
    <w:p w14:paraId="0FCBA927">
      <w:pPr>
        <w:pStyle w:val="96"/>
        <w:numPr>
          <w:ilvl w:val="0"/>
          <w:numId w:val="86"/>
        </w:numPr>
        <w:jc w:val="left"/>
        <w:rPr>
          <w:b w:val="0"/>
          <w:sz w:val="18"/>
        </w:rPr>
      </w:pPr>
      <w:r>
        <w:rPr>
          <w:rFonts w:hint="eastAsia"/>
          <w:b w:val="0"/>
          <w:sz w:val="18"/>
        </w:rPr>
        <w:t>山墙：防水垫层应满粘铺设，沿立墙向上延伸至屋面完成面不少于</w:t>
      </w:r>
      <w:r>
        <w:rPr>
          <w:b w:val="0"/>
          <w:sz w:val="18"/>
        </w:rPr>
        <w:t>250mm</w:t>
      </w:r>
      <w:r>
        <w:rPr>
          <w:rFonts w:hint="eastAsia"/>
          <w:b w:val="0"/>
          <w:sz w:val="18"/>
        </w:rPr>
        <w:t>；金属泛水板或耐候型泛水带覆盖在防水垫层或瓦上，泛水带与防水垫层或瓦搭接不小于</w:t>
      </w:r>
      <w:r>
        <w:rPr>
          <w:b w:val="0"/>
          <w:sz w:val="18"/>
        </w:rPr>
        <w:t>150mm</w:t>
      </w:r>
      <w:r>
        <w:rPr>
          <w:rFonts w:hint="eastAsia"/>
          <w:b w:val="0"/>
          <w:sz w:val="18"/>
        </w:rPr>
        <w:t>，并应压人上一排瓦的底部；宜采用铝合金压条固定，并密封处理。</w:t>
      </w:r>
      <w:r>
        <w:rPr>
          <w:b w:val="0"/>
          <w:sz w:val="18"/>
        </w:rPr>
        <w:t xml:space="preserve">  </w:t>
      </w:r>
    </w:p>
    <w:p w14:paraId="793328F3">
      <w:pPr>
        <w:pStyle w:val="96"/>
        <w:ind w:left="846" w:firstLine="360" w:firstLineChars="200"/>
        <w:jc w:val="left"/>
        <w:rPr>
          <w:b w:val="0"/>
          <w:sz w:val="18"/>
        </w:rPr>
      </w:pPr>
      <w:r>
        <w:rPr>
          <w:b w:val="0"/>
          <w:sz w:val="18"/>
        </w:rPr>
        <w:t xml:space="preserve">8.4.2.10 </w:t>
      </w:r>
      <w:r>
        <w:rPr>
          <w:rFonts w:hint="eastAsia"/>
          <w:b w:val="0"/>
          <w:sz w:val="18"/>
        </w:rPr>
        <w:t>出屋面管设计注意事项</w:t>
      </w:r>
    </w:p>
    <w:p w14:paraId="4291E2E4">
      <w:pPr>
        <w:pStyle w:val="96"/>
        <w:numPr>
          <w:ilvl w:val="0"/>
          <w:numId w:val="87"/>
        </w:numPr>
        <w:jc w:val="left"/>
        <w:rPr>
          <w:b w:val="0"/>
          <w:sz w:val="18"/>
        </w:rPr>
      </w:pPr>
      <w:r>
        <w:rPr>
          <w:rFonts w:hint="eastAsia"/>
          <w:b w:val="0"/>
          <w:sz w:val="18"/>
        </w:rPr>
        <w:t>穿出屋面管道：阴角处应满粘铺设防水垫层附加层，附加层沿立墙和屋面铺设，宽度均不少</w:t>
      </w:r>
      <w:r>
        <w:rPr>
          <w:b w:val="0"/>
          <w:sz w:val="18"/>
        </w:rPr>
        <w:t xml:space="preserve">  </w:t>
      </w:r>
      <w:r>
        <w:rPr>
          <w:rFonts w:hint="eastAsia"/>
          <w:b w:val="0"/>
          <w:sz w:val="18"/>
        </w:rPr>
        <w:t>于</w:t>
      </w:r>
      <w:r>
        <w:rPr>
          <w:b w:val="0"/>
          <w:sz w:val="18"/>
        </w:rPr>
        <w:t>250mm</w:t>
      </w:r>
      <w:r>
        <w:rPr>
          <w:rFonts w:hint="eastAsia"/>
          <w:b w:val="0"/>
          <w:sz w:val="18"/>
        </w:rPr>
        <w:t>；防水垫层应满粘铺设，沿立墙向上延伸不少于</w:t>
      </w:r>
      <w:r>
        <w:rPr>
          <w:b w:val="0"/>
          <w:sz w:val="18"/>
        </w:rPr>
        <w:t>250mm</w:t>
      </w:r>
      <w:r>
        <w:rPr>
          <w:rFonts w:hint="eastAsia"/>
          <w:b w:val="0"/>
          <w:sz w:val="18"/>
        </w:rPr>
        <w:t>；耐候型泛水带覆盖在防水垫</w:t>
      </w:r>
      <w:r>
        <w:rPr>
          <w:b w:val="0"/>
          <w:sz w:val="18"/>
        </w:rPr>
        <w:t xml:space="preserve"> </w:t>
      </w:r>
      <w:r>
        <w:rPr>
          <w:rFonts w:hint="eastAsia"/>
          <w:b w:val="0"/>
          <w:sz w:val="18"/>
        </w:rPr>
        <w:t>层上，上部迎水面泛水带与瓦搭接应大于</w:t>
      </w:r>
      <w:r>
        <w:rPr>
          <w:b w:val="0"/>
          <w:sz w:val="18"/>
        </w:rPr>
        <w:t>300mm</w:t>
      </w:r>
      <w:r>
        <w:rPr>
          <w:rFonts w:hint="eastAsia"/>
          <w:b w:val="0"/>
          <w:sz w:val="18"/>
        </w:rPr>
        <w:t>，并应压入上一排瓦的底部；下部背水面，</w:t>
      </w:r>
      <w:r>
        <w:rPr>
          <w:b w:val="0"/>
          <w:sz w:val="18"/>
        </w:rPr>
        <w:t xml:space="preserve"> </w:t>
      </w:r>
      <w:r>
        <w:rPr>
          <w:rFonts w:hint="eastAsia"/>
          <w:b w:val="0"/>
          <w:sz w:val="18"/>
        </w:rPr>
        <w:t>泛水带与瓦搭</w:t>
      </w:r>
      <w:r>
        <w:rPr>
          <w:b w:val="0"/>
          <w:sz w:val="18"/>
        </w:rPr>
        <w:t xml:space="preserve"> </w:t>
      </w:r>
      <w:r>
        <w:rPr>
          <w:rFonts w:hint="eastAsia"/>
          <w:b w:val="0"/>
          <w:sz w:val="18"/>
        </w:rPr>
        <w:t>接应不小于</w:t>
      </w:r>
      <w:r>
        <w:rPr>
          <w:b w:val="0"/>
          <w:sz w:val="18"/>
        </w:rPr>
        <w:t>140mm</w:t>
      </w:r>
      <w:r>
        <w:rPr>
          <w:rFonts w:hint="eastAsia"/>
          <w:b w:val="0"/>
          <w:sz w:val="18"/>
        </w:rPr>
        <w:t>；耐候型泛水带表面可以覆盖瓦材或其他装饰材料。</w:t>
      </w:r>
      <w:r>
        <w:rPr>
          <w:b w:val="0"/>
          <w:sz w:val="18"/>
        </w:rPr>
        <w:t xml:space="preserve">  </w:t>
      </w:r>
    </w:p>
    <w:p w14:paraId="5825890D">
      <w:pPr>
        <w:pStyle w:val="96"/>
        <w:numPr>
          <w:ilvl w:val="0"/>
          <w:numId w:val="87"/>
        </w:numPr>
        <w:jc w:val="left"/>
        <w:rPr>
          <w:b w:val="0"/>
          <w:sz w:val="18"/>
        </w:rPr>
      </w:pPr>
      <w:r>
        <w:rPr>
          <w:rFonts w:hint="eastAsia"/>
          <w:b w:val="0"/>
          <w:sz w:val="18"/>
        </w:rPr>
        <w:t>烟囱：烟囱与屋面结合处防水垫层应增设附加层；防水垫层的附加层应上翻不小于</w:t>
      </w:r>
      <w:r>
        <w:rPr>
          <w:b w:val="0"/>
          <w:sz w:val="18"/>
        </w:rPr>
        <w:t>l00mm</w:t>
      </w:r>
      <w:r>
        <w:rPr>
          <w:rFonts w:hint="eastAsia"/>
          <w:b w:val="0"/>
          <w:sz w:val="18"/>
        </w:rPr>
        <w:t>；</w:t>
      </w:r>
      <w:r>
        <w:rPr>
          <w:b w:val="0"/>
          <w:sz w:val="18"/>
        </w:rPr>
        <w:t xml:space="preserve">  </w:t>
      </w:r>
      <w:r>
        <w:rPr>
          <w:rFonts w:hint="eastAsia"/>
          <w:b w:val="0"/>
          <w:sz w:val="18"/>
        </w:rPr>
        <w:t>耐候型泛水带覆盖在防水垫层上，上部迎水面双幅泛水带与瓦搭接应大于</w:t>
      </w:r>
      <w:r>
        <w:rPr>
          <w:b w:val="0"/>
          <w:sz w:val="18"/>
        </w:rPr>
        <w:t>300mm</w:t>
      </w:r>
      <w:r>
        <w:rPr>
          <w:rFonts w:hint="eastAsia"/>
          <w:b w:val="0"/>
          <w:sz w:val="18"/>
        </w:rPr>
        <w:t>，并应压入</w:t>
      </w:r>
      <w:r>
        <w:rPr>
          <w:b w:val="0"/>
          <w:sz w:val="18"/>
        </w:rPr>
        <w:t xml:space="preserve"> </w:t>
      </w:r>
      <w:r>
        <w:rPr>
          <w:rFonts w:hint="eastAsia"/>
          <w:b w:val="0"/>
          <w:sz w:val="18"/>
        </w:rPr>
        <w:t>上一排瓦的底部；下部背水面，泛水带与瓦搭接应不小于</w:t>
      </w:r>
      <w:r>
        <w:rPr>
          <w:b w:val="0"/>
          <w:sz w:val="18"/>
        </w:rPr>
        <w:t>140mm</w:t>
      </w:r>
      <w:r>
        <w:rPr>
          <w:rFonts w:hint="eastAsia"/>
          <w:b w:val="0"/>
          <w:sz w:val="18"/>
        </w:rPr>
        <w:t>；宜采用铝合金压条固定，</w:t>
      </w:r>
      <w:r>
        <w:rPr>
          <w:b w:val="0"/>
          <w:sz w:val="18"/>
        </w:rPr>
        <w:t xml:space="preserve"> </w:t>
      </w:r>
      <w:r>
        <w:rPr>
          <w:rFonts w:hint="eastAsia"/>
          <w:b w:val="0"/>
          <w:sz w:val="18"/>
        </w:rPr>
        <w:t>并密封处理。</w:t>
      </w:r>
      <w:r>
        <w:rPr>
          <w:b w:val="0"/>
          <w:sz w:val="18"/>
        </w:rPr>
        <w:t xml:space="preserve">  </w:t>
      </w:r>
    </w:p>
    <w:p w14:paraId="79B83DAC">
      <w:pPr>
        <w:pStyle w:val="97"/>
      </w:pPr>
      <w:r>
        <w:rPr>
          <w:rFonts w:hint="eastAsia"/>
        </w:rPr>
        <w:t>屋面防水工程施工注意事项</w:t>
      </w:r>
    </w:p>
    <w:p w14:paraId="27EF9DD0">
      <w:pPr>
        <w:pStyle w:val="96"/>
        <w:ind w:left="846" w:firstLine="360" w:firstLineChars="200"/>
        <w:jc w:val="left"/>
        <w:rPr>
          <w:b w:val="0"/>
          <w:sz w:val="18"/>
        </w:rPr>
      </w:pPr>
      <w:r>
        <w:rPr>
          <w:b w:val="0"/>
          <w:sz w:val="18"/>
        </w:rPr>
        <w:t xml:space="preserve">8.4.3.1 </w:t>
      </w:r>
      <w:r>
        <w:rPr>
          <w:rFonts w:hint="eastAsia"/>
          <w:b w:val="0"/>
          <w:sz w:val="18"/>
        </w:rPr>
        <w:t>倒置式屋面施工注意事项</w:t>
      </w:r>
      <w:r>
        <w:rPr>
          <w:b w:val="0"/>
          <w:sz w:val="18"/>
        </w:rPr>
        <w:t xml:space="preserve">  </w:t>
      </w:r>
    </w:p>
    <w:p w14:paraId="183026F9">
      <w:pPr>
        <w:pStyle w:val="96"/>
        <w:numPr>
          <w:ilvl w:val="0"/>
          <w:numId w:val="88"/>
        </w:numPr>
        <w:jc w:val="left"/>
        <w:rPr>
          <w:b w:val="0"/>
          <w:sz w:val="18"/>
        </w:rPr>
      </w:pPr>
      <w:r>
        <w:rPr>
          <w:rFonts w:hint="eastAsia"/>
          <w:b w:val="0"/>
          <w:sz w:val="18"/>
        </w:rPr>
        <w:t>倒置式屋面防水工程应由有相应资质的专业施工单位承担，作业人员应经培训持证上岗。</w:t>
      </w:r>
      <w:r>
        <w:rPr>
          <w:b w:val="0"/>
          <w:sz w:val="18"/>
        </w:rPr>
        <w:t xml:space="preserve">  </w:t>
      </w:r>
    </w:p>
    <w:p w14:paraId="2A11C994">
      <w:pPr>
        <w:pStyle w:val="96"/>
        <w:numPr>
          <w:ilvl w:val="0"/>
          <w:numId w:val="88"/>
        </w:numPr>
        <w:jc w:val="left"/>
        <w:rPr>
          <w:b w:val="0"/>
          <w:sz w:val="18"/>
        </w:rPr>
      </w:pPr>
      <w:r>
        <w:rPr>
          <w:rFonts w:hint="eastAsia"/>
          <w:b w:val="0"/>
          <w:sz w:val="18"/>
        </w:rPr>
        <w:t>倒置式屋面工程施工应编制专项施工方案，并应经施工单位技术负责人批准、监理单位总监</w:t>
      </w:r>
      <w:r>
        <w:rPr>
          <w:b w:val="0"/>
          <w:sz w:val="18"/>
        </w:rPr>
        <w:t xml:space="preserve">  </w:t>
      </w:r>
      <w:r>
        <w:rPr>
          <w:rFonts w:hint="eastAsia"/>
          <w:b w:val="0"/>
          <w:sz w:val="18"/>
        </w:rPr>
        <w:t>理工程师或建设单位项目技术负责人审查认可后实施。</w:t>
      </w:r>
      <w:r>
        <w:rPr>
          <w:b w:val="0"/>
          <w:sz w:val="18"/>
        </w:rPr>
        <w:t xml:space="preserve">  </w:t>
      </w:r>
    </w:p>
    <w:p w14:paraId="636DC102">
      <w:pPr>
        <w:pStyle w:val="96"/>
        <w:numPr>
          <w:ilvl w:val="0"/>
          <w:numId w:val="88"/>
        </w:numPr>
        <w:jc w:val="left"/>
        <w:rPr>
          <w:b w:val="0"/>
          <w:sz w:val="18"/>
        </w:rPr>
      </w:pPr>
      <w:r>
        <w:rPr>
          <w:rFonts w:hint="eastAsia"/>
          <w:b w:val="0"/>
          <w:sz w:val="18"/>
        </w:rPr>
        <w:t>倒置式屋面防水层完成后，平屋面应进行</w:t>
      </w:r>
      <w:r>
        <w:rPr>
          <w:b w:val="0"/>
          <w:sz w:val="18"/>
        </w:rPr>
        <w:t>24h</w:t>
      </w:r>
      <w:r>
        <w:rPr>
          <w:rFonts w:hint="eastAsia"/>
          <w:b w:val="0"/>
          <w:sz w:val="18"/>
        </w:rPr>
        <w:t>蓄水检验或雨后检查，并应在检验合格后再进</w:t>
      </w:r>
      <w:r>
        <w:rPr>
          <w:b w:val="0"/>
          <w:sz w:val="18"/>
        </w:rPr>
        <w:t xml:space="preserve">  </w:t>
      </w:r>
      <w:r>
        <w:rPr>
          <w:rFonts w:hint="eastAsia"/>
          <w:b w:val="0"/>
          <w:sz w:val="18"/>
        </w:rPr>
        <w:t>行保温层施工。</w:t>
      </w:r>
      <w:r>
        <w:rPr>
          <w:b w:val="0"/>
          <w:sz w:val="18"/>
        </w:rPr>
        <w:t xml:space="preserve">  </w:t>
      </w:r>
    </w:p>
    <w:p w14:paraId="7A7D9A6E">
      <w:pPr>
        <w:pStyle w:val="96"/>
        <w:numPr>
          <w:ilvl w:val="0"/>
          <w:numId w:val="88"/>
        </w:numPr>
        <w:jc w:val="left"/>
        <w:rPr>
          <w:b w:val="0"/>
          <w:sz w:val="18"/>
        </w:rPr>
      </w:pPr>
      <w:r>
        <w:rPr>
          <w:rFonts w:hint="eastAsia"/>
          <w:b w:val="0"/>
          <w:sz w:val="18"/>
        </w:rPr>
        <w:t>基层表面应干燥、坚实、干净、平整，不应有气孔、凹凸不平、蜂窝，麻面等。基层阴阳角</w:t>
      </w:r>
      <w:r>
        <w:rPr>
          <w:b w:val="0"/>
          <w:sz w:val="18"/>
        </w:rPr>
        <w:t xml:space="preserve">  </w:t>
      </w:r>
      <w:r>
        <w:rPr>
          <w:rFonts w:hint="eastAsia"/>
          <w:b w:val="0"/>
          <w:sz w:val="18"/>
        </w:rPr>
        <w:t>应做成圆弧形，阴角圆弧半径≥</w:t>
      </w:r>
      <w:r>
        <w:rPr>
          <w:b w:val="0"/>
          <w:sz w:val="18"/>
        </w:rPr>
        <w:t>50mm</w:t>
      </w:r>
      <w:r>
        <w:rPr>
          <w:rFonts w:hint="eastAsia"/>
          <w:b w:val="0"/>
          <w:sz w:val="18"/>
        </w:rPr>
        <w:t>，阳角圆弧半径≥</w:t>
      </w:r>
      <w:r>
        <w:rPr>
          <w:b w:val="0"/>
          <w:sz w:val="18"/>
        </w:rPr>
        <w:t>10mm</w:t>
      </w:r>
      <w:r>
        <w:rPr>
          <w:rFonts w:hint="eastAsia"/>
          <w:b w:val="0"/>
          <w:sz w:val="18"/>
        </w:rPr>
        <w:t>。</w:t>
      </w:r>
      <w:r>
        <w:rPr>
          <w:b w:val="0"/>
          <w:sz w:val="18"/>
        </w:rPr>
        <w:t xml:space="preserve">  </w:t>
      </w:r>
    </w:p>
    <w:p w14:paraId="26451E25">
      <w:pPr>
        <w:pStyle w:val="96"/>
        <w:numPr>
          <w:ilvl w:val="0"/>
          <w:numId w:val="88"/>
        </w:numPr>
        <w:jc w:val="left"/>
        <w:rPr>
          <w:b w:val="0"/>
          <w:sz w:val="18"/>
        </w:rPr>
      </w:pPr>
      <w:r>
        <w:rPr>
          <w:rFonts w:hint="eastAsia"/>
          <w:b w:val="0"/>
          <w:sz w:val="18"/>
        </w:rPr>
        <w:t>采用水泥砂浆找平层，水泥砂浆抹平收水后应二次压光，充分养护，不得有酥松、起砂起</w:t>
      </w:r>
      <w:r>
        <w:rPr>
          <w:b w:val="0"/>
          <w:sz w:val="18"/>
        </w:rPr>
        <w:t xml:space="preserve">  </w:t>
      </w:r>
      <w:r>
        <w:rPr>
          <w:rFonts w:hint="eastAsia"/>
          <w:b w:val="0"/>
          <w:sz w:val="18"/>
        </w:rPr>
        <w:t>皮和裂缝现象，否则必须进行修补。</w:t>
      </w:r>
      <w:r>
        <w:rPr>
          <w:b w:val="0"/>
          <w:sz w:val="18"/>
        </w:rPr>
        <w:t xml:space="preserve">  </w:t>
      </w:r>
    </w:p>
    <w:p w14:paraId="25053730">
      <w:pPr>
        <w:pStyle w:val="96"/>
        <w:numPr>
          <w:ilvl w:val="0"/>
          <w:numId w:val="88"/>
        </w:numPr>
        <w:jc w:val="left"/>
        <w:rPr>
          <w:b w:val="0"/>
          <w:sz w:val="18"/>
        </w:rPr>
      </w:pPr>
      <w:r>
        <w:rPr>
          <w:rFonts w:hint="eastAsia"/>
          <w:b w:val="0"/>
          <w:sz w:val="18"/>
        </w:rPr>
        <w:t>出屋面管道、预埋件、设备基础等应在防水施工前安装完毕，并固定牢靠。</w:t>
      </w:r>
      <w:r>
        <w:rPr>
          <w:b w:val="0"/>
          <w:sz w:val="18"/>
        </w:rPr>
        <w:t xml:space="preserve">  </w:t>
      </w:r>
    </w:p>
    <w:p w14:paraId="7B5FB587">
      <w:pPr>
        <w:pStyle w:val="96"/>
        <w:numPr>
          <w:ilvl w:val="0"/>
          <w:numId w:val="88"/>
        </w:numPr>
        <w:jc w:val="left"/>
        <w:rPr>
          <w:b w:val="0"/>
          <w:sz w:val="18"/>
        </w:rPr>
      </w:pPr>
      <w:r>
        <w:rPr>
          <w:rFonts w:hint="eastAsia"/>
          <w:b w:val="0"/>
          <w:sz w:val="18"/>
        </w:rPr>
        <w:t>防水施工时，应先进行细部构造处理，然后由屋面最低标高向上施工。</w:t>
      </w:r>
      <w:r>
        <w:rPr>
          <w:b w:val="0"/>
          <w:sz w:val="18"/>
        </w:rPr>
        <w:t xml:space="preserve">  </w:t>
      </w:r>
    </w:p>
    <w:p w14:paraId="00E8CDF7">
      <w:pPr>
        <w:pStyle w:val="96"/>
        <w:numPr>
          <w:ilvl w:val="0"/>
          <w:numId w:val="88"/>
        </w:numPr>
        <w:jc w:val="left"/>
        <w:rPr>
          <w:b w:val="0"/>
          <w:sz w:val="18"/>
        </w:rPr>
      </w:pPr>
      <w:r>
        <w:rPr>
          <w:rFonts w:hint="eastAsia"/>
          <w:b w:val="0"/>
          <w:sz w:val="18"/>
        </w:rPr>
        <w:t>檐沟、天沟施工时，宜顺檐沟、天沟方向铺贴，防水卷材搭接缝应顺流水方向。</w:t>
      </w:r>
      <w:r>
        <w:rPr>
          <w:b w:val="0"/>
          <w:sz w:val="18"/>
        </w:rPr>
        <w:t xml:space="preserve">  </w:t>
      </w:r>
    </w:p>
    <w:p w14:paraId="273FFF7F">
      <w:pPr>
        <w:pStyle w:val="96"/>
        <w:numPr>
          <w:ilvl w:val="0"/>
          <w:numId w:val="88"/>
        </w:numPr>
        <w:jc w:val="left"/>
        <w:rPr>
          <w:b w:val="0"/>
          <w:sz w:val="18"/>
        </w:rPr>
      </w:pPr>
      <w:r>
        <w:rPr>
          <w:rFonts w:hint="eastAsia"/>
          <w:b w:val="0"/>
          <w:sz w:val="18"/>
        </w:rPr>
        <w:t>改性沥青防水涂料施工前，需弹线试铺防水卷材，当采用机械喷涂施工时，应选用专业喷涂</w:t>
      </w:r>
      <w:r>
        <w:rPr>
          <w:b w:val="0"/>
          <w:sz w:val="18"/>
        </w:rPr>
        <w:t xml:space="preserve">  </w:t>
      </w:r>
      <w:r>
        <w:rPr>
          <w:rFonts w:hint="eastAsia"/>
          <w:b w:val="0"/>
          <w:sz w:val="18"/>
        </w:rPr>
        <w:t>枪手喷涂施工，喷涂前须进行喷涂机压力调整，进行材料的试喷。喷涂时保持固定速度喷涂，</w:t>
      </w:r>
      <w:r>
        <w:rPr>
          <w:b w:val="0"/>
          <w:sz w:val="18"/>
        </w:rPr>
        <w:t xml:space="preserve"> </w:t>
      </w:r>
      <w:r>
        <w:rPr>
          <w:rFonts w:hint="eastAsia"/>
          <w:b w:val="0"/>
          <w:sz w:val="18"/>
        </w:rPr>
        <w:t>且</w:t>
      </w:r>
      <w:r>
        <w:rPr>
          <w:b w:val="0"/>
          <w:sz w:val="18"/>
        </w:rPr>
        <w:t xml:space="preserve"> </w:t>
      </w:r>
      <w:r>
        <w:rPr>
          <w:rFonts w:hint="eastAsia"/>
          <w:b w:val="0"/>
          <w:sz w:val="18"/>
        </w:rPr>
        <w:t>垂直于基面，与基面间隔</w:t>
      </w:r>
      <w:r>
        <w:rPr>
          <w:b w:val="0"/>
          <w:sz w:val="18"/>
        </w:rPr>
        <w:t>500</w:t>
      </w:r>
      <w:r>
        <w:rPr>
          <w:rFonts w:hint="eastAsia"/>
          <w:b w:val="0"/>
          <w:sz w:val="18"/>
        </w:rPr>
        <w:t>～</w:t>
      </w:r>
      <w:r>
        <w:rPr>
          <w:b w:val="0"/>
          <w:sz w:val="18"/>
        </w:rPr>
        <w:t>600mm</w:t>
      </w:r>
      <w:r>
        <w:rPr>
          <w:rFonts w:hint="eastAsia"/>
          <w:b w:val="0"/>
          <w:sz w:val="18"/>
        </w:rPr>
        <w:t>。沥青防水涂料采用刮板分至少</w:t>
      </w:r>
      <w:r>
        <w:rPr>
          <w:b w:val="0"/>
          <w:sz w:val="18"/>
        </w:rPr>
        <w:t>2</w:t>
      </w:r>
      <w:r>
        <w:rPr>
          <w:rFonts w:hint="eastAsia"/>
          <w:b w:val="0"/>
          <w:sz w:val="18"/>
        </w:rPr>
        <w:t>遍刮涂成膜，不得</w:t>
      </w:r>
      <w:r>
        <w:rPr>
          <w:b w:val="0"/>
          <w:sz w:val="18"/>
        </w:rPr>
        <w:t xml:space="preserve"> </w:t>
      </w:r>
      <w:r>
        <w:rPr>
          <w:rFonts w:hint="eastAsia"/>
          <w:b w:val="0"/>
          <w:sz w:val="18"/>
        </w:rPr>
        <w:t>漏刮漏</w:t>
      </w:r>
      <w:r>
        <w:rPr>
          <w:b w:val="0"/>
          <w:sz w:val="18"/>
        </w:rPr>
        <w:t xml:space="preserve"> </w:t>
      </w:r>
      <w:r>
        <w:rPr>
          <w:rFonts w:hint="eastAsia"/>
          <w:b w:val="0"/>
          <w:sz w:val="18"/>
        </w:rPr>
        <w:t>涂，接槎宽度不应小于</w:t>
      </w:r>
      <w:r>
        <w:rPr>
          <w:b w:val="0"/>
          <w:sz w:val="18"/>
        </w:rPr>
        <w:t>100mm</w:t>
      </w:r>
      <w:r>
        <w:rPr>
          <w:rFonts w:hint="eastAsia"/>
          <w:b w:val="0"/>
          <w:sz w:val="18"/>
        </w:rPr>
        <w:t>。涂膜收头应高出土建交付完成面以上</w:t>
      </w:r>
      <w:r>
        <w:rPr>
          <w:b w:val="0"/>
          <w:sz w:val="18"/>
        </w:rPr>
        <w:t>300mm</w:t>
      </w:r>
      <w:r>
        <w:rPr>
          <w:rFonts w:hint="eastAsia"/>
          <w:b w:val="0"/>
          <w:sz w:val="18"/>
        </w:rPr>
        <w:t>。</w:t>
      </w:r>
      <w:r>
        <w:rPr>
          <w:b w:val="0"/>
          <w:sz w:val="18"/>
        </w:rPr>
        <w:t xml:space="preserve">  </w:t>
      </w:r>
    </w:p>
    <w:p w14:paraId="210E25CA">
      <w:pPr>
        <w:pStyle w:val="96"/>
        <w:numPr>
          <w:ilvl w:val="0"/>
          <w:numId w:val="88"/>
        </w:numPr>
        <w:jc w:val="left"/>
        <w:rPr>
          <w:b w:val="0"/>
          <w:sz w:val="18"/>
        </w:rPr>
      </w:pPr>
      <w:r>
        <w:rPr>
          <w:rFonts w:hint="eastAsia"/>
          <w:b w:val="0"/>
          <w:sz w:val="18"/>
        </w:rPr>
        <w:t>防水卷材采用满粘法施工，管根阴角等细部节点铺设卷材加强层，加强层宽度≥</w:t>
      </w:r>
      <w:r>
        <w:rPr>
          <w:b w:val="0"/>
          <w:sz w:val="18"/>
        </w:rPr>
        <w:t>500mm</w:t>
      </w:r>
      <w:r>
        <w:rPr>
          <w:rFonts w:hint="eastAsia"/>
          <w:b w:val="0"/>
          <w:sz w:val="18"/>
        </w:rPr>
        <w:t>。铺</w:t>
      </w:r>
      <w:r>
        <w:rPr>
          <w:b w:val="0"/>
          <w:sz w:val="18"/>
        </w:rPr>
        <w:t xml:space="preserve"> </w:t>
      </w:r>
      <w:r>
        <w:rPr>
          <w:rFonts w:hint="eastAsia"/>
          <w:b w:val="0"/>
          <w:sz w:val="18"/>
        </w:rPr>
        <w:t>贴</w:t>
      </w:r>
      <w:r>
        <w:rPr>
          <w:b w:val="0"/>
          <w:sz w:val="18"/>
        </w:rPr>
        <w:t xml:space="preserve"> </w:t>
      </w:r>
      <w:r>
        <w:rPr>
          <w:rFonts w:hint="eastAsia"/>
          <w:b w:val="0"/>
          <w:sz w:val="18"/>
        </w:rPr>
        <w:t>完成的卷材应平整顺直，搭接尺寸（搭接</w:t>
      </w:r>
      <w:r>
        <w:rPr>
          <w:b w:val="0"/>
          <w:sz w:val="18"/>
        </w:rPr>
        <w:t>100mm</w:t>
      </w:r>
      <w:r>
        <w:rPr>
          <w:rFonts w:hint="eastAsia"/>
          <w:b w:val="0"/>
          <w:sz w:val="18"/>
        </w:rPr>
        <w:t>，偏差</w:t>
      </w:r>
      <w:r>
        <w:rPr>
          <w:b w:val="0"/>
          <w:sz w:val="18"/>
        </w:rPr>
        <w:t>-10mm</w:t>
      </w:r>
      <w:r>
        <w:rPr>
          <w:rFonts w:hint="eastAsia"/>
          <w:b w:val="0"/>
          <w:sz w:val="18"/>
        </w:rPr>
        <w:t>以内）应准确，不得产生扭曲</w:t>
      </w:r>
      <w:r>
        <w:rPr>
          <w:b w:val="0"/>
          <w:sz w:val="18"/>
        </w:rPr>
        <w:t xml:space="preserve"> </w:t>
      </w:r>
      <w:r>
        <w:rPr>
          <w:rFonts w:hint="eastAsia"/>
          <w:b w:val="0"/>
          <w:sz w:val="18"/>
        </w:rPr>
        <w:t>和皱折。</w:t>
      </w:r>
      <w:r>
        <w:rPr>
          <w:b w:val="0"/>
          <w:sz w:val="18"/>
        </w:rPr>
        <w:t xml:space="preserve"> </w:t>
      </w:r>
      <w:r>
        <w:rPr>
          <w:rFonts w:hint="eastAsia"/>
          <w:b w:val="0"/>
          <w:sz w:val="18"/>
        </w:rPr>
        <w:t>卷材与基层粘结热熔施工时，应先平面后立面铺贴，且不得加热不足或烧穿卷材，</w:t>
      </w:r>
      <w:r>
        <w:rPr>
          <w:b w:val="0"/>
          <w:sz w:val="18"/>
        </w:rPr>
        <w:t xml:space="preserve"> </w:t>
      </w:r>
      <w:r>
        <w:rPr>
          <w:rFonts w:hint="eastAsia"/>
          <w:b w:val="0"/>
          <w:sz w:val="18"/>
        </w:rPr>
        <w:t>粘浦卷材应从</w:t>
      </w:r>
      <w:r>
        <w:rPr>
          <w:b w:val="0"/>
          <w:sz w:val="18"/>
        </w:rPr>
        <w:t xml:space="preserve"> </w:t>
      </w:r>
      <w:r>
        <w:rPr>
          <w:rFonts w:hint="eastAsia"/>
          <w:b w:val="0"/>
          <w:sz w:val="18"/>
        </w:rPr>
        <w:t>中间往两边排气压铺。卷材搭接边粘结热熔施工时，不得加热不足或烧穿卷</w:t>
      </w:r>
      <w:r>
        <w:rPr>
          <w:b w:val="0"/>
          <w:sz w:val="18"/>
        </w:rPr>
        <w:t xml:space="preserve"> </w:t>
      </w:r>
      <w:r>
        <w:rPr>
          <w:rFonts w:hint="eastAsia"/>
          <w:b w:val="0"/>
          <w:sz w:val="18"/>
        </w:rPr>
        <w:t>材，搭接边部位应手</w:t>
      </w:r>
      <w:r>
        <w:rPr>
          <w:b w:val="0"/>
          <w:sz w:val="18"/>
        </w:rPr>
        <w:t xml:space="preserve"> </w:t>
      </w:r>
      <w:r>
        <w:rPr>
          <w:rFonts w:hint="eastAsia"/>
          <w:b w:val="0"/>
          <w:sz w:val="18"/>
        </w:rPr>
        <w:t>轧辊辊压，搭接缝应挤出热熔的改性沥青条，不得用喷枪或刮刀进行</w:t>
      </w:r>
      <w:r>
        <w:rPr>
          <w:b w:val="0"/>
          <w:sz w:val="18"/>
        </w:rPr>
        <w:t xml:space="preserve"> </w:t>
      </w:r>
      <w:r>
        <w:rPr>
          <w:rFonts w:hint="eastAsia"/>
          <w:b w:val="0"/>
          <w:sz w:val="18"/>
        </w:rPr>
        <w:t>封口处理。</w:t>
      </w:r>
      <w:r>
        <w:rPr>
          <w:b w:val="0"/>
          <w:sz w:val="18"/>
        </w:rPr>
        <w:t xml:space="preserve">  </w:t>
      </w:r>
    </w:p>
    <w:p w14:paraId="75056F57">
      <w:pPr>
        <w:pStyle w:val="96"/>
        <w:numPr>
          <w:ilvl w:val="0"/>
          <w:numId w:val="88"/>
        </w:numPr>
        <w:jc w:val="left"/>
        <w:rPr>
          <w:b w:val="0"/>
          <w:sz w:val="18"/>
        </w:rPr>
      </w:pPr>
      <w:r>
        <w:rPr>
          <w:rFonts w:hint="eastAsia"/>
          <w:b w:val="0"/>
          <w:sz w:val="18"/>
        </w:rPr>
        <w:t>防水卷材收头应高出土建交付完成面以上</w:t>
      </w:r>
      <w:r>
        <w:rPr>
          <w:b w:val="0"/>
          <w:sz w:val="18"/>
        </w:rPr>
        <w:t>300mm</w:t>
      </w:r>
      <w:r>
        <w:rPr>
          <w:rFonts w:hint="eastAsia"/>
          <w:b w:val="0"/>
          <w:sz w:val="18"/>
        </w:rPr>
        <w:t>，挤出沥青条或用沥青类密封材料密封，并用</w:t>
      </w:r>
      <w:r>
        <w:rPr>
          <w:b w:val="0"/>
          <w:sz w:val="18"/>
        </w:rPr>
        <w:t xml:space="preserve">  1*20</w:t>
      </w:r>
      <w:r>
        <w:rPr>
          <w:rFonts w:hint="eastAsia"/>
          <w:b w:val="0"/>
          <w:sz w:val="18"/>
        </w:rPr>
        <w:t>铝合金压条</w:t>
      </w:r>
      <w:r>
        <w:rPr>
          <w:b w:val="0"/>
          <w:sz w:val="18"/>
        </w:rPr>
        <w:t>@350</w:t>
      </w:r>
      <w:r>
        <w:rPr>
          <w:rFonts w:hint="eastAsia"/>
          <w:b w:val="0"/>
          <w:sz w:val="18"/>
        </w:rPr>
        <w:t>加水泥钉或射钉固定，沥青类密封材料密封。</w:t>
      </w:r>
      <w:r>
        <w:rPr>
          <w:b w:val="0"/>
          <w:sz w:val="18"/>
        </w:rPr>
        <w:t xml:space="preserve">  </w:t>
      </w:r>
    </w:p>
    <w:p w14:paraId="7854AC2F">
      <w:pPr>
        <w:pStyle w:val="96"/>
        <w:numPr>
          <w:ilvl w:val="0"/>
          <w:numId w:val="88"/>
        </w:numPr>
        <w:jc w:val="left"/>
        <w:rPr>
          <w:b w:val="0"/>
          <w:sz w:val="18"/>
        </w:rPr>
      </w:pPr>
      <w:r>
        <w:rPr>
          <w:rFonts w:hint="eastAsia"/>
          <w:b w:val="0"/>
          <w:sz w:val="18"/>
        </w:rPr>
        <w:t>防水层施工后</w:t>
      </w:r>
      <w:r>
        <w:rPr>
          <w:b w:val="0"/>
          <w:sz w:val="18"/>
        </w:rPr>
        <w:t>1-2</w:t>
      </w:r>
      <w:r>
        <w:rPr>
          <w:rFonts w:hint="eastAsia"/>
          <w:b w:val="0"/>
          <w:sz w:val="18"/>
        </w:rPr>
        <w:t>天，进行隐蔽工程验收，验收合格的，及时进行保护层施工。</w:t>
      </w:r>
      <w:r>
        <w:rPr>
          <w:b w:val="0"/>
          <w:sz w:val="18"/>
        </w:rPr>
        <w:t xml:space="preserve"> </w:t>
      </w:r>
    </w:p>
    <w:p w14:paraId="20948873">
      <w:pPr>
        <w:pStyle w:val="96"/>
        <w:numPr>
          <w:ilvl w:val="0"/>
          <w:numId w:val="88"/>
        </w:numPr>
        <w:jc w:val="left"/>
        <w:rPr>
          <w:b w:val="0"/>
          <w:sz w:val="18"/>
        </w:rPr>
      </w:pPr>
      <w:r>
        <w:rPr>
          <w:rFonts w:hint="eastAsia"/>
          <w:b w:val="0"/>
          <w:sz w:val="18"/>
        </w:rPr>
        <w:t>防水层验收合格后，应避免二次打孔、破坏防水层；当不得不进行防水损坏时，应提前通知防水专业施工单位进行防水层损坏修补。</w:t>
      </w:r>
      <w:r>
        <w:rPr>
          <w:b w:val="0"/>
          <w:sz w:val="18"/>
        </w:rPr>
        <w:t xml:space="preserve">  </w:t>
      </w:r>
    </w:p>
    <w:p w14:paraId="214805E3">
      <w:pPr>
        <w:pStyle w:val="96"/>
        <w:numPr>
          <w:ilvl w:val="0"/>
          <w:numId w:val="88"/>
        </w:numPr>
        <w:jc w:val="left"/>
        <w:rPr>
          <w:b w:val="0"/>
          <w:sz w:val="18"/>
        </w:rPr>
      </w:pPr>
      <w:r>
        <w:rPr>
          <w:rFonts w:hint="eastAsia"/>
          <w:b w:val="0"/>
          <w:sz w:val="18"/>
        </w:rPr>
        <w:t>雨、雪天、大雾及五级以上大风天不得施工。</w:t>
      </w:r>
      <w:r>
        <w:rPr>
          <w:b w:val="0"/>
          <w:sz w:val="18"/>
        </w:rPr>
        <w:t xml:space="preserve">  </w:t>
      </w:r>
    </w:p>
    <w:p w14:paraId="3C242B5A">
      <w:pPr>
        <w:pStyle w:val="96"/>
        <w:numPr>
          <w:ilvl w:val="0"/>
          <w:numId w:val="88"/>
        </w:numPr>
        <w:jc w:val="left"/>
        <w:rPr>
          <w:b w:val="0"/>
          <w:sz w:val="18"/>
        </w:rPr>
      </w:pPr>
      <w:r>
        <w:rPr>
          <w:rFonts w:hint="eastAsia"/>
          <w:b w:val="0"/>
          <w:sz w:val="18"/>
        </w:rPr>
        <w:t>施工现场安全防护设施齐全，并按规定放置消防器材（</w:t>
      </w:r>
      <w:r>
        <w:rPr>
          <w:b w:val="0"/>
          <w:sz w:val="18"/>
        </w:rPr>
        <w:t>1</w:t>
      </w:r>
      <w:r>
        <w:rPr>
          <w:rFonts w:hint="eastAsia"/>
          <w:b w:val="0"/>
          <w:sz w:val="18"/>
        </w:rPr>
        <w:t>罐</w:t>
      </w:r>
      <w:r>
        <w:rPr>
          <w:b w:val="0"/>
          <w:sz w:val="18"/>
        </w:rPr>
        <w:t>/100</w:t>
      </w:r>
      <w:r>
        <w:rPr>
          <w:rFonts w:hint="eastAsia"/>
          <w:b w:val="0"/>
          <w:sz w:val="18"/>
        </w:rPr>
        <w:t>㎡的灭火器，施工面积小于</w:t>
      </w:r>
      <w:r>
        <w:rPr>
          <w:b w:val="0"/>
          <w:sz w:val="18"/>
        </w:rPr>
        <w:t>100</w:t>
      </w:r>
      <w:r>
        <w:rPr>
          <w:rFonts w:hint="eastAsia"/>
          <w:b w:val="0"/>
          <w:sz w:val="18"/>
        </w:rPr>
        <w:t>㎡的，需配备</w:t>
      </w:r>
      <w:r>
        <w:rPr>
          <w:b w:val="0"/>
          <w:sz w:val="18"/>
        </w:rPr>
        <w:t>1</w:t>
      </w:r>
      <w:r>
        <w:rPr>
          <w:rFonts w:hint="eastAsia"/>
          <w:b w:val="0"/>
          <w:sz w:val="18"/>
        </w:rPr>
        <w:t>罐）。</w:t>
      </w:r>
      <w:r>
        <w:rPr>
          <w:b w:val="0"/>
          <w:sz w:val="18"/>
        </w:rPr>
        <w:t xml:space="preserve">  </w:t>
      </w:r>
    </w:p>
    <w:p w14:paraId="2ABA0404">
      <w:pPr>
        <w:pStyle w:val="96"/>
        <w:ind w:left="846" w:firstLine="360" w:firstLineChars="200"/>
        <w:jc w:val="left"/>
        <w:rPr>
          <w:b w:val="0"/>
          <w:sz w:val="18"/>
        </w:rPr>
      </w:pPr>
      <w:r>
        <w:rPr>
          <w:b w:val="0"/>
          <w:sz w:val="18"/>
        </w:rPr>
        <w:t xml:space="preserve">8.4.3.2 </w:t>
      </w:r>
      <w:r>
        <w:rPr>
          <w:rFonts w:hint="eastAsia"/>
          <w:b w:val="0"/>
          <w:sz w:val="18"/>
        </w:rPr>
        <w:t>坡屋面施工注意事项</w:t>
      </w:r>
      <w:r>
        <w:rPr>
          <w:b w:val="0"/>
          <w:sz w:val="18"/>
        </w:rPr>
        <w:t xml:space="preserve">  </w:t>
      </w:r>
    </w:p>
    <w:p w14:paraId="5E0B3292">
      <w:pPr>
        <w:pStyle w:val="96"/>
        <w:numPr>
          <w:ilvl w:val="0"/>
          <w:numId w:val="89"/>
        </w:numPr>
        <w:jc w:val="left"/>
        <w:rPr>
          <w:b w:val="0"/>
          <w:sz w:val="18"/>
        </w:rPr>
      </w:pPr>
      <w:r>
        <w:rPr>
          <w:rFonts w:hint="eastAsia"/>
          <w:b w:val="0"/>
          <w:sz w:val="18"/>
        </w:rPr>
        <w:t>坡屋面工程施工前应通过图纸会审，对施工图中的细部构造进行重点审查；施工单位应编制</w:t>
      </w:r>
      <w:r>
        <w:rPr>
          <w:b w:val="0"/>
          <w:sz w:val="18"/>
        </w:rPr>
        <w:t xml:space="preserve">  </w:t>
      </w:r>
      <w:r>
        <w:rPr>
          <w:rFonts w:hint="eastAsia"/>
          <w:b w:val="0"/>
          <w:sz w:val="18"/>
        </w:rPr>
        <w:t>施工方案、技术措施和技术交底。</w:t>
      </w:r>
      <w:r>
        <w:rPr>
          <w:b w:val="0"/>
          <w:sz w:val="18"/>
        </w:rPr>
        <w:t xml:space="preserve">  </w:t>
      </w:r>
    </w:p>
    <w:p w14:paraId="67817241">
      <w:pPr>
        <w:pStyle w:val="96"/>
        <w:numPr>
          <w:ilvl w:val="0"/>
          <w:numId w:val="89"/>
        </w:numPr>
        <w:jc w:val="left"/>
        <w:rPr>
          <w:b w:val="0"/>
          <w:sz w:val="18"/>
        </w:rPr>
      </w:pPr>
      <w:r>
        <w:rPr>
          <w:rFonts w:hint="eastAsia"/>
          <w:b w:val="0"/>
          <w:sz w:val="18"/>
        </w:rPr>
        <w:t>坡屋面工程应由具有相应资质的专业队伍施工，操作人员应持证上岗。</w:t>
      </w:r>
      <w:r>
        <w:rPr>
          <w:b w:val="0"/>
          <w:sz w:val="18"/>
        </w:rPr>
        <w:t xml:space="preserve">  </w:t>
      </w:r>
    </w:p>
    <w:p w14:paraId="11BA8EBD">
      <w:pPr>
        <w:pStyle w:val="96"/>
        <w:numPr>
          <w:ilvl w:val="0"/>
          <w:numId w:val="89"/>
        </w:numPr>
        <w:jc w:val="left"/>
        <w:rPr>
          <w:b w:val="0"/>
          <w:sz w:val="18"/>
        </w:rPr>
      </w:pPr>
      <w:r>
        <w:rPr>
          <w:rFonts w:hint="eastAsia"/>
          <w:b w:val="0"/>
          <w:sz w:val="18"/>
        </w:rPr>
        <w:t>穿出屋面的管道、设施和预埋件等，应在防水层施工前安装。</w:t>
      </w:r>
      <w:r>
        <w:rPr>
          <w:b w:val="0"/>
          <w:sz w:val="18"/>
        </w:rPr>
        <w:t xml:space="preserve">  </w:t>
      </w:r>
    </w:p>
    <w:p w14:paraId="77B5D339">
      <w:pPr>
        <w:pStyle w:val="96"/>
        <w:numPr>
          <w:ilvl w:val="0"/>
          <w:numId w:val="89"/>
        </w:numPr>
        <w:jc w:val="left"/>
        <w:rPr>
          <w:b w:val="0"/>
          <w:sz w:val="18"/>
        </w:rPr>
      </w:pPr>
      <w:r>
        <w:rPr>
          <w:rFonts w:hint="eastAsia"/>
          <w:b w:val="0"/>
          <w:sz w:val="18"/>
        </w:rPr>
        <w:t>防水垫层施工完成后，应及时铺设瓦材或屋面材料。</w:t>
      </w:r>
      <w:r>
        <w:rPr>
          <w:b w:val="0"/>
          <w:sz w:val="18"/>
        </w:rPr>
        <w:t xml:space="preserve">  </w:t>
      </w:r>
    </w:p>
    <w:p w14:paraId="11326B2D">
      <w:pPr>
        <w:pStyle w:val="96"/>
        <w:numPr>
          <w:ilvl w:val="0"/>
          <w:numId w:val="89"/>
        </w:numPr>
        <w:jc w:val="left"/>
        <w:rPr>
          <w:b w:val="0"/>
          <w:sz w:val="18"/>
        </w:rPr>
      </w:pPr>
      <w:r>
        <w:rPr>
          <w:rFonts w:hint="eastAsia"/>
          <w:b w:val="0"/>
          <w:sz w:val="18"/>
        </w:rPr>
        <w:t>铺设瓦材时，瓦材应在屋面上均匀分散堆放，自下而上作业。瓦材宜顺工程所在地年最大频</w:t>
      </w:r>
      <w:r>
        <w:rPr>
          <w:b w:val="0"/>
          <w:sz w:val="18"/>
        </w:rPr>
        <w:t xml:space="preserve">  </w:t>
      </w:r>
      <w:r>
        <w:rPr>
          <w:rFonts w:hint="eastAsia"/>
          <w:b w:val="0"/>
          <w:sz w:val="18"/>
        </w:rPr>
        <w:t>率风向铺设。</w:t>
      </w:r>
      <w:r>
        <w:rPr>
          <w:b w:val="0"/>
          <w:sz w:val="18"/>
        </w:rPr>
        <w:t xml:space="preserve">  </w:t>
      </w:r>
    </w:p>
    <w:p w14:paraId="5B3BD792">
      <w:pPr>
        <w:pStyle w:val="96"/>
        <w:numPr>
          <w:ilvl w:val="0"/>
          <w:numId w:val="89"/>
        </w:numPr>
        <w:jc w:val="left"/>
        <w:rPr>
          <w:b w:val="0"/>
          <w:sz w:val="18"/>
        </w:rPr>
      </w:pPr>
      <w:r>
        <w:rPr>
          <w:rFonts w:hint="eastAsia"/>
          <w:b w:val="0"/>
          <w:sz w:val="18"/>
        </w:rPr>
        <w:t>保温隔热材料施工应符合下列规定：</w:t>
      </w:r>
      <w:r>
        <w:rPr>
          <w:b w:val="0"/>
          <w:sz w:val="18"/>
        </w:rPr>
        <w:t xml:space="preserve"> 1</w:t>
      </w:r>
      <w:r>
        <w:rPr>
          <w:rFonts w:hint="eastAsia"/>
          <w:b w:val="0"/>
          <w:sz w:val="18"/>
        </w:rPr>
        <w:t>）保温隔热材料应按设计要求铺设；</w:t>
      </w:r>
      <w:r>
        <w:rPr>
          <w:b w:val="0"/>
          <w:sz w:val="18"/>
        </w:rPr>
        <w:t>2</w:t>
      </w:r>
      <w:r>
        <w:rPr>
          <w:rFonts w:hint="eastAsia"/>
          <w:b w:val="0"/>
          <w:sz w:val="18"/>
        </w:rPr>
        <w:t>）板状保温隔</w:t>
      </w:r>
      <w:r>
        <w:rPr>
          <w:b w:val="0"/>
          <w:sz w:val="18"/>
        </w:rPr>
        <w:t xml:space="preserve">  </w:t>
      </w:r>
      <w:r>
        <w:rPr>
          <w:rFonts w:hint="eastAsia"/>
          <w:b w:val="0"/>
          <w:sz w:val="18"/>
        </w:rPr>
        <w:t>热材料铺设应紧贴基层，铺平垫稳，拼缝严密，固定牢固；</w:t>
      </w:r>
      <w:r>
        <w:rPr>
          <w:b w:val="0"/>
          <w:sz w:val="18"/>
        </w:rPr>
        <w:t xml:space="preserve">  </w:t>
      </w:r>
    </w:p>
    <w:p w14:paraId="021EE364">
      <w:pPr>
        <w:pStyle w:val="96"/>
        <w:numPr>
          <w:ilvl w:val="0"/>
          <w:numId w:val="89"/>
        </w:numPr>
        <w:jc w:val="left"/>
        <w:rPr>
          <w:b w:val="0"/>
          <w:sz w:val="18"/>
        </w:rPr>
      </w:pPr>
      <w:r>
        <w:rPr>
          <w:rFonts w:hint="eastAsia"/>
          <w:b w:val="0"/>
          <w:sz w:val="18"/>
        </w:rPr>
        <w:t>施工的每道工序完成后，应检查验收并有完整的检查记录，合格后方可进行下道工序的施</w:t>
      </w:r>
      <w:r>
        <w:rPr>
          <w:b w:val="0"/>
          <w:sz w:val="18"/>
        </w:rPr>
        <w:t xml:space="preserve">  </w:t>
      </w:r>
      <w:r>
        <w:rPr>
          <w:rFonts w:hint="eastAsia"/>
          <w:b w:val="0"/>
          <w:sz w:val="18"/>
        </w:rPr>
        <w:t>工。下道工序或相邻工程施工时，应对已完工的部分做好清理和保护。</w:t>
      </w:r>
      <w:r>
        <w:rPr>
          <w:b w:val="0"/>
          <w:sz w:val="18"/>
        </w:rPr>
        <w:t xml:space="preserve">  </w:t>
      </w:r>
    </w:p>
    <w:p w14:paraId="44088394">
      <w:pPr>
        <w:pStyle w:val="96"/>
        <w:numPr>
          <w:ilvl w:val="0"/>
          <w:numId w:val="89"/>
        </w:numPr>
        <w:jc w:val="left"/>
        <w:rPr>
          <w:b w:val="0"/>
          <w:sz w:val="18"/>
        </w:rPr>
      </w:pPr>
      <w:r>
        <w:rPr>
          <w:rFonts w:hint="eastAsia"/>
          <w:b w:val="0"/>
          <w:sz w:val="18"/>
        </w:rPr>
        <w:t>坡屋面工程施工应符合下列规定：</w:t>
      </w:r>
      <w:r>
        <w:rPr>
          <w:b w:val="0"/>
          <w:sz w:val="18"/>
        </w:rPr>
        <w:t>l)</w:t>
      </w:r>
      <w:r>
        <w:rPr>
          <w:rFonts w:hint="eastAsia"/>
          <w:b w:val="0"/>
          <w:sz w:val="18"/>
        </w:rPr>
        <w:t>屋面周边和预留孔洞部位必须设置安全护栏和安全网或</w:t>
      </w:r>
      <w:r>
        <w:rPr>
          <w:b w:val="0"/>
          <w:sz w:val="18"/>
        </w:rPr>
        <w:t xml:space="preserve">  </w:t>
      </w:r>
      <w:r>
        <w:rPr>
          <w:rFonts w:hint="eastAsia"/>
          <w:b w:val="0"/>
          <w:sz w:val="18"/>
        </w:rPr>
        <w:t>其他防止坠落的防护措施；</w:t>
      </w:r>
      <w:r>
        <w:rPr>
          <w:b w:val="0"/>
          <w:sz w:val="18"/>
        </w:rPr>
        <w:t>2</w:t>
      </w:r>
      <w:r>
        <w:rPr>
          <w:rFonts w:hint="eastAsia"/>
          <w:b w:val="0"/>
          <w:sz w:val="18"/>
        </w:rPr>
        <w:t>）屋面坡度大于</w:t>
      </w:r>
      <w:r>
        <w:rPr>
          <w:b w:val="0"/>
          <w:sz w:val="18"/>
        </w:rPr>
        <w:t>30%</w:t>
      </w:r>
      <w:r>
        <w:rPr>
          <w:rFonts w:hint="eastAsia"/>
          <w:b w:val="0"/>
          <w:sz w:val="18"/>
        </w:rPr>
        <w:t>时，应采取防滑措施；</w:t>
      </w:r>
      <w:r>
        <w:rPr>
          <w:b w:val="0"/>
          <w:sz w:val="18"/>
        </w:rPr>
        <w:t>3</w:t>
      </w:r>
      <w:r>
        <w:rPr>
          <w:rFonts w:hint="eastAsia"/>
          <w:b w:val="0"/>
          <w:sz w:val="18"/>
        </w:rPr>
        <w:t>）施工人员应戴安</w:t>
      </w:r>
      <w:r>
        <w:rPr>
          <w:b w:val="0"/>
          <w:sz w:val="18"/>
        </w:rPr>
        <w:t xml:space="preserve"> </w:t>
      </w:r>
      <w:r>
        <w:rPr>
          <w:rFonts w:hint="eastAsia"/>
          <w:b w:val="0"/>
          <w:sz w:val="18"/>
        </w:rPr>
        <w:t>全帽，系安全带和穿防滑鞋；</w:t>
      </w:r>
      <w:r>
        <w:rPr>
          <w:b w:val="0"/>
          <w:sz w:val="18"/>
        </w:rPr>
        <w:t>4</w:t>
      </w:r>
      <w:r>
        <w:rPr>
          <w:rFonts w:hint="eastAsia"/>
          <w:b w:val="0"/>
          <w:sz w:val="18"/>
        </w:rPr>
        <w:t>）雨天、雪天和五级风及以上时不得施工；</w:t>
      </w:r>
      <w:r>
        <w:rPr>
          <w:b w:val="0"/>
          <w:sz w:val="18"/>
        </w:rPr>
        <w:t>5</w:t>
      </w:r>
      <w:r>
        <w:rPr>
          <w:rFonts w:hint="eastAsia"/>
          <w:b w:val="0"/>
          <w:sz w:val="18"/>
        </w:rPr>
        <w:t>）施工现场应</w:t>
      </w:r>
      <w:r>
        <w:rPr>
          <w:b w:val="0"/>
          <w:sz w:val="18"/>
        </w:rPr>
        <w:t xml:space="preserve"> </w:t>
      </w:r>
      <w:r>
        <w:rPr>
          <w:rFonts w:hint="eastAsia"/>
          <w:b w:val="0"/>
          <w:sz w:val="18"/>
        </w:rPr>
        <w:t>设置消防设施，并应加强火源管理。</w:t>
      </w:r>
      <w:r>
        <w:rPr>
          <w:b w:val="0"/>
          <w:sz w:val="18"/>
        </w:rPr>
        <w:t xml:space="preserve">  </w:t>
      </w:r>
    </w:p>
    <w:p w14:paraId="0FBC27C4">
      <w:pPr>
        <w:pStyle w:val="96"/>
        <w:numPr>
          <w:ilvl w:val="0"/>
          <w:numId w:val="89"/>
        </w:numPr>
        <w:jc w:val="left"/>
        <w:rPr>
          <w:b w:val="0"/>
          <w:sz w:val="18"/>
        </w:rPr>
      </w:pPr>
      <w:r>
        <w:rPr>
          <w:rFonts w:hint="eastAsia"/>
          <w:b w:val="0"/>
          <w:sz w:val="18"/>
        </w:rPr>
        <w:t>基层表面应干燥、坚实、干净、平整，不应有气孔、凹凸不平、蜂窝，麻面等。基层阴阳</w:t>
      </w:r>
      <w:r>
        <w:rPr>
          <w:b w:val="0"/>
          <w:sz w:val="18"/>
        </w:rPr>
        <w:t xml:space="preserve"> </w:t>
      </w:r>
      <w:r>
        <w:rPr>
          <w:rFonts w:hint="eastAsia"/>
          <w:b w:val="0"/>
          <w:sz w:val="18"/>
        </w:rPr>
        <w:t>角</w:t>
      </w:r>
      <w:r>
        <w:rPr>
          <w:b w:val="0"/>
          <w:sz w:val="18"/>
        </w:rPr>
        <w:t xml:space="preserve"> </w:t>
      </w:r>
      <w:r>
        <w:rPr>
          <w:rFonts w:hint="eastAsia"/>
          <w:b w:val="0"/>
          <w:sz w:val="18"/>
        </w:rPr>
        <w:t>应做成圆弧形，阴角圆弧半径≥</w:t>
      </w:r>
      <w:r>
        <w:rPr>
          <w:b w:val="0"/>
          <w:sz w:val="18"/>
        </w:rPr>
        <w:t>50mm</w:t>
      </w:r>
      <w:r>
        <w:rPr>
          <w:rFonts w:hint="eastAsia"/>
          <w:b w:val="0"/>
          <w:sz w:val="18"/>
        </w:rPr>
        <w:t>，阳角圆弧半径≥</w:t>
      </w:r>
      <w:r>
        <w:rPr>
          <w:b w:val="0"/>
          <w:sz w:val="18"/>
        </w:rPr>
        <w:t>10mm</w:t>
      </w:r>
      <w:r>
        <w:rPr>
          <w:rFonts w:hint="eastAsia"/>
          <w:b w:val="0"/>
          <w:sz w:val="18"/>
        </w:rPr>
        <w:t>。</w:t>
      </w:r>
      <w:r>
        <w:rPr>
          <w:b w:val="0"/>
          <w:sz w:val="18"/>
        </w:rPr>
        <w:t xml:space="preserve">  </w:t>
      </w:r>
    </w:p>
    <w:p w14:paraId="12C4A9C5">
      <w:pPr>
        <w:pStyle w:val="96"/>
        <w:numPr>
          <w:ilvl w:val="0"/>
          <w:numId w:val="89"/>
        </w:numPr>
        <w:jc w:val="left"/>
        <w:rPr>
          <w:b w:val="0"/>
          <w:sz w:val="18"/>
        </w:rPr>
      </w:pPr>
      <w:r>
        <w:rPr>
          <w:rFonts w:hint="eastAsia"/>
          <w:b w:val="0"/>
          <w:sz w:val="18"/>
        </w:rPr>
        <w:t>采用水泥砂浆找平层，水泥砂浆抹平收水后应二次压光，充分养护，不得有酥松、起砂起</w:t>
      </w:r>
      <w:r>
        <w:rPr>
          <w:b w:val="0"/>
          <w:sz w:val="18"/>
        </w:rPr>
        <w:t xml:space="preserve">  </w:t>
      </w:r>
      <w:r>
        <w:rPr>
          <w:rFonts w:hint="eastAsia"/>
          <w:b w:val="0"/>
          <w:sz w:val="18"/>
        </w:rPr>
        <w:t>皮和裂缝现象，否则，必须进行修补。</w:t>
      </w:r>
      <w:r>
        <w:rPr>
          <w:b w:val="0"/>
          <w:sz w:val="18"/>
        </w:rPr>
        <w:t xml:space="preserve">  </w:t>
      </w:r>
    </w:p>
    <w:p w14:paraId="64E26C12">
      <w:pPr>
        <w:pStyle w:val="96"/>
        <w:numPr>
          <w:ilvl w:val="0"/>
          <w:numId w:val="89"/>
        </w:numPr>
        <w:jc w:val="left"/>
        <w:rPr>
          <w:b w:val="0"/>
          <w:sz w:val="18"/>
        </w:rPr>
      </w:pPr>
      <w:r>
        <w:rPr>
          <w:rFonts w:hint="eastAsia"/>
          <w:b w:val="0"/>
          <w:sz w:val="18"/>
        </w:rPr>
        <w:t>出屋面管道、预埋件、设备基础等应在防水施工前安装完毕，并固定牢靠。</w:t>
      </w:r>
      <w:r>
        <w:rPr>
          <w:b w:val="0"/>
          <w:sz w:val="18"/>
        </w:rPr>
        <w:t xml:space="preserve">  </w:t>
      </w:r>
    </w:p>
    <w:p w14:paraId="1B9BE431">
      <w:pPr>
        <w:pStyle w:val="96"/>
        <w:numPr>
          <w:ilvl w:val="0"/>
          <w:numId w:val="89"/>
        </w:numPr>
        <w:jc w:val="left"/>
        <w:rPr>
          <w:b w:val="0"/>
          <w:sz w:val="18"/>
        </w:rPr>
      </w:pPr>
      <w:r>
        <w:rPr>
          <w:rFonts w:hint="eastAsia"/>
          <w:b w:val="0"/>
          <w:sz w:val="18"/>
        </w:rPr>
        <w:t>防水施工时，应先进行细部构造处理，然后由屋面最低标高向上施工。</w:t>
      </w:r>
      <w:r>
        <w:rPr>
          <w:b w:val="0"/>
          <w:sz w:val="18"/>
        </w:rPr>
        <w:t xml:space="preserve">  </w:t>
      </w:r>
    </w:p>
    <w:p w14:paraId="1420988F">
      <w:pPr>
        <w:pStyle w:val="96"/>
        <w:numPr>
          <w:ilvl w:val="0"/>
          <w:numId w:val="89"/>
        </w:numPr>
        <w:jc w:val="left"/>
        <w:rPr>
          <w:b w:val="0"/>
          <w:sz w:val="18"/>
        </w:rPr>
      </w:pPr>
      <w:r>
        <w:rPr>
          <w:rFonts w:hint="eastAsia"/>
          <w:b w:val="0"/>
          <w:sz w:val="18"/>
        </w:rPr>
        <w:t>单组分聚氨酯防水涂料聚氨酯涂料打开包装后，须在</w:t>
      </w:r>
      <w:r>
        <w:rPr>
          <w:b w:val="0"/>
          <w:sz w:val="18"/>
        </w:rPr>
        <w:t>4h</w:t>
      </w:r>
      <w:r>
        <w:rPr>
          <w:rFonts w:hint="eastAsia"/>
          <w:b w:val="0"/>
          <w:sz w:val="18"/>
        </w:rPr>
        <w:t>内用完。喷涂聚氨酯防水涂料采用刮板至少分</w:t>
      </w:r>
      <w:r>
        <w:rPr>
          <w:b w:val="0"/>
          <w:sz w:val="18"/>
        </w:rPr>
        <w:t>3</w:t>
      </w:r>
      <w:r>
        <w:rPr>
          <w:rFonts w:hint="eastAsia"/>
          <w:b w:val="0"/>
          <w:sz w:val="18"/>
        </w:rPr>
        <w:t>遍刮涂成膜（每遍涂膜间隔时间应控制在</w:t>
      </w:r>
      <w:r>
        <w:rPr>
          <w:b w:val="0"/>
          <w:sz w:val="18"/>
        </w:rPr>
        <w:t>24h</w:t>
      </w:r>
      <w:r>
        <w:rPr>
          <w:rFonts w:hint="eastAsia"/>
          <w:b w:val="0"/>
          <w:sz w:val="18"/>
        </w:rPr>
        <w:t>以内，温度过低时可适当延长），不得漏刮漏涂，接槎宽度不应小于</w:t>
      </w:r>
      <w:r>
        <w:rPr>
          <w:b w:val="0"/>
          <w:sz w:val="18"/>
        </w:rPr>
        <w:t>100mm</w:t>
      </w:r>
      <w:r>
        <w:rPr>
          <w:rFonts w:hint="eastAsia"/>
          <w:b w:val="0"/>
          <w:sz w:val="18"/>
        </w:rPr>
        <w:t>。涂膜遇墙柱上翻至土建交付完成面以上</w:t>
      </w:r>
      <w:r>
        <w:rPr>
          <w:b w:val="0"/>
          <w:sz w:val="18"/>
        </w:rPr>
        <w:t>300</w:t>
      </w:r>
      <w:r>
        <w:rPr>
          <w:rFonts w:hint="eastAsia"/>
          <w:b w:val="0"/>
          <w:sz w:val="18"/>
        </w:rPr>
        <w:t>高。</w:t>
      </w:r>
    </w:p>
    <w:p w14:paraId="22FCE07A">
      <w:pPr>
        <w:pStyle w:val="96"/>
        <w:numPr>
          <w:ilvl w:val="0"/>
          <w:numId w:val="89"/>
        </w:numPr>
        <w:jc w:val="left"/>
        <w:rPr>
          <w:b w:val="0"/>
          <w:sz w:val="18"/>
        </w:rPr>
      </w:pPr>
      <w:r>
        <w:rPr>
          <w:rFonts w:hint="eastAsia"/>
          <w:b w:val="0"/>
          <w:sz w:val="18"/>
        </w:rPr>
        <w:t>保温材料为硬质块材时，应在涂膜防水层和保温板间增设隔离层。</w:t>
      </w:r>
      <w:r>
        <w:rPr>
          <w:b w:val="0"/>
          <w:sz w:val="18"/>
        </w:rPr>
        <w:t xml:space="preserve">  </w:t>
      </w:r>
    </w:p>
    <w:p w14:paraId="0DFFF0B2">
      <w:pPr>
        <w:pStyle w:val="96"/>
        <w:numPr>
          <w:ilvl w:val="0"/>
          <w:numId w:val="89"/>
        </w:numPr>
        <w:jc w:val="left"/>
        <w:rPr>
          <w:b w:val="0"/>
          <w:sz w:val="18"/>
        </w:rPr>
      </w:pPr>
      <w:r>
        <w:rPr>
          <w:rFonts w:hint="eastAsia"/>
          <w:b w:val="0"/>
          <w:sz w:val="18"/>
        </w:rPr>
        <w:t>防水层施工后</w:t>
      </w:r>
      <w:r>
        <w:rPr>
          <w:b w:val="0"/>
          <w:sz w:val="18"/>
        </w:rPr>
        <w:t>1~2</w:t>
      </w:r>
      <w:r>
        <w:rPr>
          <w:rFonts w:hint="eastAsia"/>
          <w:b w:val="0"/>
          <w:sz w:val="18"/>
        </w:rPr>
        <w:t>天，进行隐蔽工程验收，验收合格的，及时进行保护层施工。</w:t>
      </w:r>
      <w:r>
        <w:rPr>
          <w:b w:val="0"/>
          <w:sz w:val="18"/>
        </w:rPr>
        <w:t xml:space="preserve">  </w:t>
      </w:r>
    </w:p>
    <w:p w14:paraId="7A322F6B">
      <w:pPr>
        <w:pStyle w:val="96"/>
        <w:numPr>
          <w:ilvl w:val="0"/>
          <w:numId w:val="89"/>
        </w:numPr>
        <w:jc w:val="left"/>
        <w:rPr>
          <w:b w:val="0"/>
          <w:sz w:val="18"/>
        </w:rPr>
      </w:pPr>
      <w:r>
        <w:rPr>
          <w:rFonts w:hint="eastAsia"/>
          <w:b w:val="0"/>
          <w:sz w:val="18"/>
        </w:rPr>
        <w:t>防水层验收合格后，应避免二次打孔、破坏防水层；当不得不进行防水损坏时，应提前通</w:t>
      </w:r>
      <w:r>
        <w:rPr>
          <w:b w:val="0"/>
          <w:sz w:val="18"/>
        </w:rPr>
        <w:t xml:space="preserve">  </w:t>
      </w:r>
      <w:r>
        <w:rPr>
          <w:rFonts w:hint="eastAsia"/>
          <w:b w:val="0"/>
          <w:sz w:val="18"/>
        </w:rPr>
        <w:t>知防水专业施工单位进行防水层损坏修补。</w:t>
      </w:r>
      <w:r>
        <w:rPr>
          <w:b w:val="0"/>
          <w:sz w:val="18"/>
        </w:rPr>
        <w:t xml:space="preserve">  </w:t>
      </w:r>
    </w:p>
    <w:p w14:paraId="011AF365">
      <w:pPr>
        <w:pStyle w:val="96"/>
        <w:numPr>
          <w:ilvl w:val="0"/>
          <w:numId w:val="89"/>
        </w:numPr>
        <w:jc w:val="left"/>
        <w:rPr>
          <w:b w:val="0"/>
          <w:sz w:val="18"/>
        </w:rPr>
      </w:pPr>
      <w:r>
        <w:rPr>
          <w:rFonts w:hint="eastAsia"/>
          <w:b w:val="0"/>
          <w:sz w:val="18"/>
        </w:rPr>
        <w:t>雨、雪天、大雾及五级以上大风天不得施工。得知涂膜施工后，</w:t>
      </w:r>
      <w:r>
        <w:rPr>
          <w:b w:val="0"/>
          <w:sz w:val="18"/>
        </w:rPr>
        <w:t>4h</w:t>
      </w:r>
      <w:r>
        <w:rPr>
          <w:rFonts w:hint="eastAsia"/>
          <w:b w:val="0"/>
          <w:sz w:val="18"/>
        </w:rPr>
        <w:t>内有降雨、雪天气的，</w:t>
      </w:r>
      <w:r>
        <w:rPr>
          <w:b w:val="0"/>
          <w:sz w:val="18"/>
        </w:rPr>
        <w:t xml:space="preserve">  </w:t>
      </w:r>
      <w:r>
        <w:rPr>
          <w:rFonts w:hint="eastAsia"/>
          <w:b w:val="0"/>
          <w:sz w:val="18"/>
        </w:rPr>
        <w:t>应取消防水施工。</w:t>
      </w:r>
      <w:r>
        <w:rPr>
          <w:b w:val="0"/>
          <w:sz w:val="18"/>
        </w:rPr>
        <w:t xml:space="preserve">  </w:t>
      </w:r>
    </w:p>
    <w:p w14:paraId="1C2CA46C">
      <w:pPr>
        <w:pStyle w:val="96"/>
        <w:numPr>
          <w:ilvl w:val="0"/>
          <w:numId w:val="89"/>
        </w:numPr>
        <w:jc w:val="left"/>
        <w:rPr>
          <w:b w:val="0"/>
          <w:sz w:val="18"/>
        </w:rPr>
      </w:pPr>
      <w:r>
        <w:rPr>
          <w:rFonts w:hint="eastAsia"/>
          <w:b w:val="0"/>
          <w:sz w:val="18"/>
        </w:rPr>
        <w:t>施工现场安全防护设施齐全，并按规定放置消防器材（</w:t>
      </w:r>
      <w:r>
        <w:rPr>
          <w:b w:val="0"/>
          <w:sz w:val="18"/>
        </w:rPr>
        <w:t>1</w:t>
      </w:r>
      <w:r>
        <w:rPr>
          <w:rFonts w:hint="eastAsia"/>
          <w:b w:val="0"/>
          <w:sz w:val="18"/>
        </w:rPr>
        <w:t>罐</w:t>
      </w:r>
      <w:r>
        <w:rPr>
          <w:b w:val="0"/>
          <w:sz w:val="18"/>
        </w:rPr>
        <w:t>/100</w:t>
      </w:r>
      <w:r>
        <w:rPr>
          <w:rFonts w:hint="eastAsia"/>
          <w:b w:val="0"/>
          <w:sz w:val="18"/>
        </w:rPr>
        <w:t>㎡的灭火器，施工面积小于</w:t>
      </w:r>
      <w:r>
        <w:rPr>
          <w:b w:val="0"/>
          <w:sz w:val="18"/>
        </w:rPr>
        <w:t>100</w:t>
      </w:r>
      <w:r>
        <w:rPr>
          <w:rFonts w:hint="eastAsia"/>
          <w:b w:val="0"/>
          <w:sz w:val="18"/>
        </w:rPr>
        <w:t>㎡的，需配备</w:t>
      </w:r>
      <w:r>
        <w:rPr>
          <w:b w:val="0"/>
          <w:sz w:val="18"/>
        </w:rPr>
        <w:t>1</w:t>
      </w:r>
      <w:r>
        <w:rPr>
          <w:rFonts w:hint="eastAsia"/>
          <w:b w:val="0"/>
          <w:sz w:val="18"/>
        </w:rPr>
        <w:t>罐）。</w:t>
      </w:r>
      <w:r>
        <w:rPr>
          <w:b w:val="0"/>
          <w:sz w:val="18"/>
        </w:rPr>
        <w:t xml:space="preserve">  </w:t>
      </w:r>
    </w:p>
    <w:p w14:paraId="1ED0D44A">
      <w:pPr>
        <w:pStyle w:val="3"/>
        <w:jc w:val="left"/>
        <w:rPr>
          <w:b w:val="0"/>
          <w:kern w:val="0"/>
        </w:rPr>
      </w:pPr>
      <w:bookmarkStart w:id="91" w:name="_Toc174556813"/>
      <w:r>
        <w:rPr>
          <w:rFonts w:hint="eastAsia"/>
          <w:b w:val="0"/>
          <w:kern w:val="0"/>
        </w:rPr>
        <w:t>外墙防水工程</w:t>
      </w:r>
      <w:bookmarkEnd w:id="91"/>
    </w:p>
    <w:p w14:paraId="1145B573">
      <w:pPr>
        <w:pStyle w:val="97"/>
      </w:pPr>
      <w:r>
        <w:rPr>
          <w:rFonts w:hint="eastAsia"/>
        </w:rPr>
        <w:t>外墙设计说明及外墙构造做法表</w:t>
      </w:r>
    </w:p>
    <w:p w14:paraId="1BF413FB">
      <w:pPr>
        <w:pStyle w:val="96"/>
        <w:ind w:left="846" w:firstLine="360" w:firstLineChars="200"/>
        <w:jc w:val="left"/>
        <w:rPr>
          <w:b w:val="0"/>
          <w:sz w:val="18"/>
        </w:rPr>
      </w:pPr>
      <w:r>
        <w:rPr>
          <w:b w:val="0"/>
          <w:sz w:val="18"/>
        </w:rPr>
        <w:t>1）</w:t>
      </w:r>
      <w:r>
        <w:rPr>
          <w:rFonts w:hint="eastAsia"/>
          <w:b w:val="0"/>
          <w:sz w:val="18"/>
        </w:rPr>
        <w:t>减少主体变形：结构专业须控制荷载变形及整体温度变形，非框架砌体建筑，主要靠圈梁、构造柱或芯柱减少或控制主体变形的影响。应按要求设计墙体砌块排列立面图，并采用专用砂浆砌筑。框架填充砌块墙体减少主体变形影响的措施主要有：拉结锚筋；从项层向下，逐层填砌；各层砌至框架梁底，暂留空不做，待外墙全部填砌变形接近满载后，再完成斜砖顶砌；粉刷前进行梁底检查，有空虚处勾填砂浆。</w:t>
      </w:r>
    </w:p>
    <w:p w14:paraId="3B91E576">
      <w:pPr>
        <w:pStyle w:val="96"/>
        <w:ind w:left="846" w:firstLine="360" w:firstLineChars="200"/>
        <w:jc w:val="left"/>
        <w:rPr>
          <w:b w:val="0"/>
          <w:sz w:val="18"/>
        </w:rPr>
      </w:pPr>
      <w:r>
        <w:rPr>
          <w:b w:val="0"/>
          <w:sz w:val="18"/>
        </w:rPr>
        <w:t>2）</w:t>
      </w:r>
      <w:r>
        <w:rPr>
          <w:rFonts w:hint="eastAsia"/>
          <w:b w:val="0"/>
          <w:sz w:val="18"/>
        </w:rPr>
        <w:t>提高外围护的综合性能：注意提高墙体的综合性能：选择热工性能好的墙体材料；饰面材料应考虑呼吸性、自洁性、耐候性；采用合理的外墙防水绝热构造系统。</w:t>
      </w:r>
      <w:r>
        <w:rPr>
          <w:b w:val="0"/>
          <w:sz w:val="18"/>
        </w:rPr>
        <w:t xml:space="preserve"> </w:t>
      </w:r>
      <w:r>
        <w:rPr>
          <w:rFonts w:hint="eastAsia"/>
          <w:b w:val="0"/>
          <w:sz w:val="18"/>
        </w:rPr>
        <w:t>单纯提高墙体材料或某一构造层次的抗渗性能而牺牲过多的其他物理性能，是不可取的。</w:t>
      </w:r>
    </w:p>
    <w:p w14:paraId="069B1AD1">
      <w:pPr>
        <w:pStyle w:val="96"/>
        <w:ind w:left="846" w:firstLine="360" w:firstLineChars="200"/>
        <w:jc w:val="left"/>
        <w:rPr>
          <w:b w:val="0"/>
          <w:sz w:val="18"/>
        </w:rPr>
      </w:pPr>
      <w:r>
        <w:rPr>
          <w:b w:val="0"/>
          <w:sz w:val="18"/>
        </w:rPr>
        <w:t>3）</w:t>
      </w:r>
      <w:r>
        <w:rPr>
          <w:rFonts w:hint="eastAsia"/>
          <w:b w:val="0"/>
          <w:sz w:val="18"/>
        </w:rPr>
        <w:t>确保砌筑质量：保证砌筑质量，确保灰缝（特别是竖缝）砂浆的饱满度，乃是外墙防水的基本条件之一。保证砌筑质量，除按有关规定浇筑芯柱或设置拉结钢筋、拉结网片之外，还应积极采用专用砂浆砌筑。</w:t>
      </w:r>
    </w:p>
    <w:p w14:paraId="35E5C8B0">
      <w:pPr>
        <w:pStyle w:val="96"/>
        <w:ind w:left="846" w:firstLine="360" w:firstLineChars="200"/>
        <w:jc w:val="left"/>
        <w:rPr>
          <w:b w:val="0"/>
          <w:sz w:val="18"/>
        </w:rPr>
      </w:pPr>
      <w:r>
        <w:rPr>
          <w:b w:val="0"/>
          <w:sz w:val="18"/>
        </w:rPr>
        <w:t>4）</w:t>
      </w:r>
      <w:r>
        <w:rPr>
          <w:rFonts w:hint="eastAsia"/>
          <w:b w:val="0"/>
          <w:sz w:val="18"/>
        </w:rPr>
        <w:t>重视温变裂缝的控制：除预制混凝土外墙以外，解决温度变形引起的外墙裂缝，较好的方法是采用外墙外保温系统，不仅节能，还能解决防水问题。建筑专业须注意外墙防水必须与外墙绝热同时设计，减少温度变形导致的主体裂缝。特别是容易忽视的是屋盖温度变形对顶层墙体的影响。这种影响通常比预想的要大。因此，屋面构造均应设计绝热层，而不必考虑顶层房间是否经常有人活动或房间是否是采暖或空调房间。电梯机房通常被认为无人长时间逗留而不考虑保温隔热，这不仅可能会减少电梯正常运行的寿命，而且容易使屋面与墙体交接处产生裂缝，导致外墙渗漏。楼梯间的情况类似。</w:t>
      </w:r>
    </w:p>
    <w:p w14:paraId="21581276">
      <w:pPr>
        <w:pStyle w:val="96"/>
        <w:ind w:left="846" w:firstLine="360" w:firstLineChars="200"/>
        <w:jc w:val="left"/>
        <w:rPr>
          <w:b w:val="0"/>
          <w:sz w:val="18"/>
        </w:rPr>
      </w:pPr>
      <w:r>
        <w:rPr>
          <w:b w:val="0"/>
          <w:sz w:val="18"/>
        </w:rPr>
        <w:t>5）</w:t>
      </w:r>
      <w:r>
        <w:rPr>
          <w:rFonts w:hint="eastAsia"/>
          <w:b w:val="0"/>
          <w:sz w:val="18"/>
        </w:rPr>
        <w:t>设防标准和防水构造：外墙设防标准主要考虑基本风压值与建筑物的高度。原则上原则上主防水层应设在迎水面。胶粘层、找平层都兼有防水的责任，通常采用聚合物水泥防水砂浆或纤维防水砂浆。二次阻挡层的设置，是防水设计中最重要的概念，特别是在围护开放系统中，包括幕墙和门窗等，则可将偶然渗入的水，借助重力导出至墙外，将可以减少主防水层失效的概率，科学、合理、有效。保持墙体干燥的其他措施是通风、透气。通风透气能减轻渗入水的动力迁移。因此，不管什么原因进入墙体的水或水汽，应能通过合理的墙体构造向室内或室外蒸发掉。避免只进不出、易进难出，也是墙体防水、防潮设计应当解决的问题。</w:t>
      </w:r>
    </w:p>
    <w:p w14:paraId="4FBA424D">
      <w:pPr>
        <w:pStyle w:val="97"/>
      </w:pPr>
      <w:r>
        <w:rPr>
          <w:rFonts w:hint="eastAsia"/>
        </w:rPr>
        <w:t>外墙防水设计施工注意事项</w:t>
      </w:r>
    </w:p>
    <w:p w14:paraId="588219DE">
      <w:pPr>
        <w:pStyle w:val="96"/>
        <w:ind w:left="846" w:firstLine="360" w:firstLineChars="200"/>
        <w:jc w:val="left"/>
        <w:rPr>
          <w:b w:val="0"/>
          <w:sz w:val="18"/>
        </w:rPr>
      </w:pPr>
      <w:r>
        <w:rPr>
          <w:b w:val="0"/>
          <w:sz w:val="18"/>
        </w:rPr>
        <w:t xml:space="preserve">7.5.2.1 </w:t>
      </w:r>
      <w:r>
        <w:rPr>
          <w:rFonts w:hint="eastAsia"/>
          <w:b w:val="0"/>
          <w:sz w:val="18"/>
        </w:rPr>
        <w:t>雨棚、空调板设计注意事项</w:t>
      </w:r>
    </w:p>
    <w:p w14:paraId="7D3A4342">
      <w:pPr>
        <w:pStyle w:val="96"/>
        <w:ind w:left="846" w:firstLine="360" w:firstLineChars="200"/>
        <w:jc w:val="left"/>
        <w:rPr>
          <w:b w:val="0"/>
          <w:sz w:val="18"/>
        </w:rPr>
      </w:pPr>
      <w:r>
        <w:rPr>
          <w:b w:val="0"/>
          <w:sz w:val="18"/>
        </w:rPr>
        <w:t>1）</w:t>
      </w:r>
      <w:r>
        <w:rPr>
          <w:rFonts w:hint="eastAsia"/>
          <w:b w:val="0"/>
          <w:sz w:val="18"/>
        </w:rPr>
        <w:t>分体空调室外机托板、混凝土雨棚应设反梁，并用聚合物水泥砂浆向外找坡粉刷。</w:t>
      </w:r>
      <w:r>
        <w:rPr>
          <w:b w:val="0"/>
          <w:sz w:val="18"/>
        </w:rPr>
        <w:t xml:space="preserve">  </w:t>
      </w:r>
    </w:p>
    <w:p w14:paraId="75CFBEE3">
      <w:pPr>
        <w:pStyle w:val="96"/>
        <w:ind w:left="846" w:firstLine="360" w:firstLineChars="200"/>
        <w:jc w:val="left"/>
        <w:rPr>
          <w:b w:val="0"/>
          <w:sz w:val="18"/>
        </w:rPr>
      </w:pPr>
      <w:r>
        <w:rPr>
          <w:b w:val="0"/>
          <w:sz w:val="18"/>
        </w:rPr>
        <w:t>2）</w:t>
      </w:r>
      <w:r>
        <w:rPr>
          <w:rFonts w:hint="eastAsia"/>
          <w:b w:val="0"/>
          <w:sz w:val="18"/>
        </w:rPr>
        <w:t>并用聚合物水泥砂浆向外找坡粉刷，最薄处</w:t>
      </w:r>
      <w:r>
        <w:rPr>
          <w:b w:val="0"/>
          <w:sz w:val="18"/>
        </w:rPr>
        <w:t>15</w:t>
      </w:r>
      <w:r>
        <w:rPr>
          <w:rFonts w:hint="eastAsia"/>
          <w:b w:val="0"/>
          <w:sz w:val="18"/>
        </w:rPr>
        <w:t>厚，坡度</w:t>
      </w:r>
      <w:r>
        <w:rPr>
          <w:b w:val="0"/>
          <w:sz w:val="18"/>
        </w:rPr>
        <w:t>2%</w:t>
      </w:r>
      <w:r>
        <w:rPr>
          <w:rFonts w:hint="eastAsia"/>
          <w:b w:val="0"/>
          <w:sz w:val="18"/>
        </w:rPr>
        <w:t>；</w:t>
      </w:r>
      <w:r>
        <w:rPr>
          <w:b w:val="0"/>
          <w:sz w:val="18"/>
        </w:rPr>
        <w:t xml:space="preserve">  </w:t>
      </w:r>
    </w:p>
    <w:p w14:paraId="78ECF0A2">
      <w:pPr>
        <w:pStyle w:val="96"/>
        <w:ind w:left="846" w:firstLine="360" w:firstLineChars="200"/>
        <w:jc w:val="left"/>
        <w:rPr>
          <w:b w:val="0"/>
          <w:sz w:val="18"/>
        </w:rPr>
      </w:pPr>
      <w:r>
        <w:rPr>
          <w:b w:val="0"/>
          <w:sz w:val="18"/>
        </w:rPr>
        <w:t>3）</w:t>
      </w:r>
      <w:r>
        <w:rPr>
          <w:rFonts w:hint="eastAsia"/>
          <w:b w:val="0"/>
          <w:sz w:val="18"/>
        </w:rPr>
        <w:t>空调板面找平前，根部需涂刷防水材料宽，后外墙防水涂料涂刷至板面外侧边缘。</w:t>
      </w:r>
      <w:r>
        <w:rPr>
          <w:b w:val="0"/>
          <w:sz w:val="18"/>
        </w:rPr>
        <w:t xml:space="preserve">  </w:t>
      </w:r>
    </w:p>
    <w:p w14:paraId="6F21AF53">
      <w:pPr>
        <w:pStyle w:val="96"/>
        <w:ind w:left="846" w:firstLine="360" w:firstLineChars="200"/>
        <w:jc w:val="left"/>
        <w:rPr>
          <w:b w:val="0"/>
          <w:sz w:val="18"/>
        </w:rPr>
      </w:pPr>
      <w:r>
        <w:rPr>
          <w:b w:val="0"/>
          <w:sz w:val="18"/>
        </w:rPr>
        <w:t>7</w:t>
      </w:r>
      <w:r>
        <w:rPr>
          <w:rFonts w:hint="eastAsia"/>
          <w:b w:val="0"/>
          <w:sz w:val="18"/>
        </w:rPr>
        <w:t>．</w:t>
      </w:r>
      <w:r>
        <w:rPr>
          <w:b w:val="0"/>
          <w:sz w:val="18"/>
        </w:rPr>
        <w:t xml:space="preserve">5.2.2 </w:t>
      </w:r>
      <w:r>
        <w:rPr>
          <w:rFonts w:hint="eastAsia"/>
          <w:b w:val="0"/>
          <w:sz w:val="18"/>
        </w:rPr>
        <w:t>外窗设计注意事项</w:t>
      </w:r>
      <w:r>
        <w:rPr>
          <w:b w:val="0"/>
          <w:sz w:val="18"/>
        </w:rPr>
        <w:t xml:space="preserve">  </w:t>
      </w:r>
    </w:p>
    <w:p w14:paraId="4E439629">
      <w:pPr>
        <w:pStyle w:val="96"/>
        <w:ind w:left="846" w:firstLine="360" w:firstLineChars="200"/>
        <w:jc w:val="left"/>
        <w:rPr>
          <w:b w:val="0"/>
          <w:sz w:val="18"/>
        </w:rPr>
      </w:pPr>
      <w:r>
        <w:rPr>
          <w:b w:val="0"/>
          <w:sz w:val="18"/>
        </w:rPr>
        <w:t>1）</w:t>
      </w:r>
      <w:r>
        <w:rPr>
          <w:rFonts w:hint="eastAsia"/>
          <w:b w:val="0"/>
          <w:sz w:val="18"/>
        </w:rPr>
        <w:t>洞口质量：外窗安装质量好坏，与窗洞口质量有直接关系。负责任的土建总包单位会认真提</w:t>
      </w:r>
      <w:r>
        <w:rPr>
          <w:b w:val="0"/>
          <w:sz w:val="18"/>
        </w:rPr>
        <w:t xml:space="preserve">  </w:t>
      </w:r>
      <w:r>
        <w:rPr>
          <w:rFonts w:hint="eastAsia"/>
          <w:b w:val="0"/>
          <w:sz w:val="18"/>
        </w:rPr>
        <w:t>供周边为实心、尺寸准确的洞口。遇有清水混凝土外墙，则采用钢模，确保洞口的质量。但</w:t>
      </w:r>
      <w:r>
        <w:rPr>
          <w:b w:val="0"/>
          <w:sz w:val="18"/>
        </w:rPr>
        <w:t xml:space="preserve"> </w:t>
      </w:r>
      <w:r>
        <w:rPr>
          <w:rFonts w:hint="eastAsia"/>
          <w:b w:val="0"/>
          <w:sz w:val="18"/>
        </w:rPr>
        <w:t>这样的土建总包愈来愈少。建议的做法是：窗安装前，用聚合物水泥砂浆精修窗洞，这是行</w:t>
      </w:r>
      <w:r>
        <w:rPr>
          <w:b w:val="0"/>
          <w:sz w:val="18"/>
        </w:rPr>
        <w:t xml:space="preserve"> </w:t>
      </w:r>
      <w:r>
        <w:rPr>
          <w:rFonts w:hint="eastAsia"/>
          <w:b w:val="0"/>
          <w:sz w:val="18"/>
        </w:rPr>
        <w:t>之有效的</w:t>
      </w:r>
      <w:r>
        <w:rPr>
          <w:b w:val="0"/>
          <w:sz w:val="18"/>
        </w:rPr>
        <w:t xml:space="preserve"> </w:t>
      </w:r>
      <w:r>
        <w:rPr>
          <w:rFonts w:hint="eastAsia"/>
          <w:b w:val="0"/>
          <w:sz w:val="18"/>
        </w:rPr>
        <w:t>解决办法之一，可直接纳入设计文件中。</w:t>
      </w:r>
      <w:r>
        <w:rPr>
          <w:b w:val="0"/>
          <w:sz w:val="18"/>
        </w:rPr>
        <w:t xml:space="preserve">  </w:t>
      </w:r>
    </w:p>
    <w:p w14:paraId="4A32785C">
      <w:pPr>
        <w:pStyle w:val="96"/>
        <w:ind w:left="846" w:firstLine="360" w:firstLineChars="200"/>
        <w:jc w:val="left"/>
        <w:rPr>
          <w:b w:val="0"/>
          <w:sz w:val="18"/>
        </w:rPr>
      </w:pPr>
      <w:r>
        <w:rPr>
          <w:b w:val="0"/>
          <w:sz w:val="18"/>
        </w:rPr>
        <w:t>2）</w:t>
      </w:r>
      <w:r>
        <w:rPr>
          <w:rFonts w:hint="eastAsia"/>
          <w:b w:val="0"/>
          <w:sz w:val="18"/>
        </w:rPr>
        <w:t>立膛：外墙窗立樘，越靠近外墙皮，窗四周渗漏率越商。窗四周安装空隙要根据外墙饰面厚</w:t>
      </w:r>
      <w:r>
        <w:rPr>
          <w:b w:val="0"/>
          <w:sz w:val="18"/>
        </w:rPr>
        <w:t xml:space="preserve">  </w:t>
      </w:r>
      <w:r>
        <w:rPr>
          <w:rFonts w:hint="eastAsia"/>
          <w:b w:val="0"/>
          <w:sz w:val="18"/>
        </w:rPr>
        <w:t>度预留充分，特别是要确保窗下樘雨水能顺畅排出。窗下樘框料设计的泄水孔面积，不同地</w:t>
      </w:r>
      <w:r>
        <w:rPr>
          <w:b w:val="0"/>
          <w:sz w:val="18"/>
        </w:rPr>
        <w:t xml:space="preserve"> </w:t>
      </w:r>
      <w:r>
        <w:rPr>
          <w:rFonts w:hint="eastAsia"/>
          <w:b w:val="0"/>
          <w:sz w:val="18"/>
        </w:rPr>
        <w:t>区应有不同取值。强风暴雨肘，集在窗下樘内的雨水，有时会在室外强风的推动下，向上翻</w:t>
      </w:r>
      <w:r>
        <w:rPr>
          <w:b w:val="0"/>
          <w:sz w:val="18"/>
        </w:rPr>
        <w:t xml:space="preserve"> </w:t>
      </w:r>
      <w:r>
        <w:rPr>
          <w:rFonts w:hint="eastAsia"/>
          <w:b w:val="0"/>
          <w:sz w:val="18"/>
        </w:rPr>
        <w:t>越挡水板，进入室内。须提潴注意的是，窗下樘断面形式选用台阶式，内高外低，是国外</w:t>
      </w:r>
      <w:r>
        <w:rPr>
          <w:b w:val="0"/>
          <w:sz w:val="18"/>
        </w:rPr>
        <w:t xml:space="preserve"> </w:t>
      </w:r>
      <w:r>
        <w:rPr>
          <w:rFonts w:hint="eastAsia"/>
          <w:b w:val="0"/>
          <w:sz w:val="18"/>
        </w:rPr>
        <w:t>普遍采取的解决办</w:t>
      </w:r>
      <w:r>
        <w:rPr>
          <w:b w:val="0"/>
          <w:sz w:val="18"/>
        </w:rPr>
        <w:t xml:space="preserve"> </w:t>
      </w:r>
      <w:r>
        <w:rPr>
          <w:rFonts w:hint="eastAsia"/>
          <w:b w:val="0"/>
          <w:sz w:val="18"/>
        </w:rPr>
        <w:t>法。</w:t>
      </w:r>
      <w:r>
        <w:rPr>
          <w:b w:val="0"/>
          <w:sz w:val="18"/>
        </w:rPr>
        <w:t xml:space="preserve">  </w:t>
      </w:r>
    </w:p>
    <w:p w14:paraId="5567C57A">
      <w:pPr>
        <w:pStyle w:val="96"/>
        <w:ind w:left="846" w:firstLine="360" w:firstLineChars="200"/>
        <w:jc w:val="left"/>
        <w:rPr>
          <w:b w:val="0"/>
          <w:sz w:val="18"/>
        </w:rPr>
      </w:pPr>
      <w:r>
        <w:rPr>
          <w:b w:val="0"/>
          <w:sz w:val="18"/>
        </w:rPr>
        <w:t>3）</w:t>
      </w:r>
      <w:r>
        <w:rPr>
          <w:rFonts w:hint="eastAsia"/>
          <w:b w:val="0"/>
          <w:sz w:val="18"/>
        </w:rPr>
        <w:t>塞缝：窗樘与墙体之间的空隙，在充分考虑了风压影响（如增设锚固点）的前提下，可用发</w:t>
      </w:r>
      <w:r>
        <w:rPr>
          <w:b w:val="0"/>
          <w:sz w:val="18"/>
        </w:rPr>
        <w:t xml:space="preserve">  </w:t>
      </w:r>
      <w:r>
        <w:rPr>
          <w:rFonts w:hint="eastAsia"/>
          <w:b w:val="0"/>
          <w:sz w:val="18"/>
        </w:rPr>
        <w:t>泡聚氨酯封填。封填时，掌握好填量，避免留空不实，也要防止过量，令窗樘胀起变形。防</w:t>
      </w:r>
      <w:r>
        <w:rPr>
          <w:b w:val="0"/>
          <w:sz w:val="18"/>
        </w:rPr>
        <w:t xml:space="preserve"> </w:t>
      </w:r>
      <w:r>
        <w:rPr>
          <w:rFonts w:hint="eastAsia"/>
          <w:b w:val="0"/>
          <w:sz w:val="18"/>
        </w:rPr>
        <w:t>水标</w:t>
      </w:r>
      <w:r>
        <w:rPr>
          <w:b w:val="0"/>
          <w:sz w:val="18"/>
        </w:rPr>
        <w:t xml:space="preserve"> </w:t>
      </w:r>
      <w:r>
        <w:rPr>
          <w:rFonts w:hint="eastAsia"/>
          <w:b w:val="0"/>
          <w:sz w:val="18"/>
        </w:rPr>
        <w:t>准较高时，在窗樘与洞口之间加作不锈钢挡水板，挡水板要在窗樘固定就位之后，填</w:t>
      </w:r>
      <w:r>
        <w:rPr>
          <w:b w:val="0"/>
          <w:sz w:val="18"/>
        </w:rPr>
        <w:t xml:space="preserve"> </w:t>
      </w:r>
      <w:r>
        <w:rPr>
          <w:rFonts w:hint="eastAsia"/>
          <w:b w:val="0"/>
          <w:sz w:val="18"/>
        </w:rPr>
        <w:t>缝开始之前。先将挡水板用抽芯铆钉固定在窗樘上，并在板两边朝室外一侧用密封胶通长</w:t>
      </w:r>
      <w:r>
        <w:rPr>
          <w:b w:val="0"/>
          <w:sz w:val="18"/>
        </w:rPr>
        <w:t xml:space="preserve"> </w:t>
      </w:r>
      <w:r>
        <w:rPr>
          <w:rFonts w:hint="eastAsia"/>
          <w:b w:val="0"/>
          <w:sz w:val="18"/>
        </w:rPr>
        <w:t>密封（详见：窗口防水板做法）。简便的方法是用防水涂膜代替不锈钢板（详见：窗口防</w:t>
      </w:r>
      <w:r>
        <w:rPr>
          <w:b w:val="0"/>
          <w:sz w:val="18"/>
        </w:rPr>
        <w:t xml:space="preserve"> </w:t>
      </w:r>
      <w:r>
        <w:rPr>
          <w:rFonts w:hint="eastAsia"/>
          <w:b w:val="0"/>
          <w:sz w:val="18"/>
        </w:rPr>
        <w:t>水涂膜做法）。</w:t>
      </w:r>
      <w:r>
        <w:rPr>
          <w:b w:val="0"/>
          <w:sz w:val="18"/>
        </w:rPr>
        <w:t xml:space="preserve">  </w:t>
      </w:r>
    </w:p>
    <w:p w14:paraId="4417BD96">
      <w:pPr>
        <w:pStyle w:val="96"/>
        <w:ind w:left="846" w:firstLine="360" w:firstLineChars="200"/>
        <w:jc w:val="left"/>
        <w:rPr>
          <w:b w:val="0"/>
          <w:sz w:val="18"/>
        </w:rPr>
      </w:pPr>
      <w:r>
        <w:rPr>
          <w:b w:val="0"/>
          <w:sz w:val="18"/>
        </w:rPr>
        <w:t>4）</w:t>
      </w:r>
      <w:r>
        <w:rPr>
          <w:rFonts w:hint="eastAsia"/>
          <w:b w:val="0"/>
          <w:sz w:val="18"/>
        </w:rPr>
        <w:t>锚固：窗樘锚固，应采用专用锚铁，柔性安装。工地自行加工的锚铁，必须镀锌防腐，且宽</w:t>
      </w:r>
      <w:r>
        <w:rPr>
          <w:b w:val="0"/>
          <w:sz w:val="18"/>
        </w:rPr>
        <w:t xml:space="preserve">  </w:t>
      </w:r>
      <w:r>
        <w:rPr>
          <w:rFonts w:hint="eastAsia"/>
          <w:b w:val="0"/>
          <w:sz w:val="18"/>
        </w:rPr>
        <w:t>度不小于</w:t>
      </w:r>
      <w:r>
        <w:rPr>
          <w:b w:val="0"/>
          <w:sz w:val="18"/>
        </w:rPr>
        <w:t>30mm</w:t>
      </w:r>
      <w:r>
        <w:rPr>
          <w:rFonts w:hint="eastAsia"/>
          <w:b w:val="0"/>
          <w:sz w:val="18"/>
        </w:rPr>
        <w:t>，厚度不小于</w:t>
      </w:r>
      <w:r>
        <w:rPr>
          <w:b w:val="0"/>
          <w:sz w:val="18"/>
        </w:rPr>
        <w:t>2mm</w:t>
      </w:r>
      <w:r>
        <w:rPr>
          <w:rFonts w:hint="eastAsia"/>
          <w:b w:val="0"/>
          <w:sz w:val="18"/>
        </w:rPr>
        <w:t>。</w:t>
      </w:r>
      <w:r>
        <w:rPr>
          <w:b w:val="0"/>
          <w:sz w:val="18"/>
        </w:rPr>
        <w:t xml:space="preserve">  </w:t>
      </w:r>
    </w:p>
    <w:p w14:paraId="4B40FBE2">
      <w:pPr>
        <w:pStyle w:val="97"/>
      </w:pPr>
      <w:r>
        <w:rPr>
          <w:rFonts w:hint="eastAsia"/>
        </w:rPr>
        <w:t>外墙常见渗漏原因与防渗措施</w:t>
      </w:r>
    </w:p>
    <w:p w14:paraId="2906CF47">
      <w:pPr>
        <w:pStyle w:val="96"/>
        <w:ind w:left="846" w:firstLine="360" w:firstLineChars="200"/>
        <w:jc w:val="left"/>
        <w:rPr>
          <w:b w:val="0"/>
          <w:sz w:val="18"/>
        </w:rPr>
      </w:pPr>
      <w:r>
        <w:rPr>
          <w:b w:val="0"/>
          <w:sz w:val="18"/>
        </w:rPr>
        <w:t xml:space="preserve">8.5.3.1 </w:t>
      </w:r>
      <w:r>
        <w:rPr>
          <w:rFonts w:hint="eastAsia"/>
          <w:b w:val="0"/>
          <w:sz w:val="18"/>
        </w:rPr>
        <w:t>空调板根部常见渗漏原因与防渗措施</w:t>
      </w:r>
      <w:r>
        <w:rPr>
          <w:b w:val="0"/>
          <w:sz w:val="18"/>
        </w:rPr>
        <w:t xml:space="preserve"> </w:t>
      </w:r>
    </w:p>
    <w:p w14:paraId="1F851752">
      <w:pPr>
        <w:pStyle w:val="96"/>
        <w:ind w:left="846" w:firstLine="360" w:firstLineChars="200"/>
        <w:jc w:val="left"/>
        <w:rPr>
          <w:b w:val="0"/>
          <w:sz w:val="18"/>
        </w:rPr>
      </w:pPr>
      <w:r>
        <w:rPr>
          <w:rFonts w:hint="eastAsia"/>
          <w:b w:val="0"/>
          <w:sz w:val="18"/>
        </w:rPr>
        <w:t>原因分析</w:t>
      </w:r>
      <w:r>
        <w:rPr>
          <w:b w:val="0"/>
          <w:sz w:val="18"/>
        </w:rPr>
        <w:t xml:space="preserve"> </w:t>
      </w:r>
    </w:p>
    <w:p w14:paraId="5FD46BE8">
      <w:pPr>
        <w:pStyle w:val="96"/>
        <w:ind w:left="846" w:firstLine="360" w:firstLineChars="200"/>
        <w:jc w:val="left"/>
        <w:rPr>
          <w:b w:val="0"/>
          <w:sz w:val="18"/>
        </w:rPr>
      </w:pPr>
      <w:r>
        <w:rPr>
          <w:rFonts w:hint="eastAsia"/>
          <w:b w:val="0"/>
          <w:sz w:val="18"/>
        </w:rPr>
        <w:t>由于室外空调板的地漏被堵，又难以清理，空调板长期积水现象比较常见，造成室内墙脚或顶棚</w:t>
      </w:r>
      <w:r>
        <w:rPr>
          <w:b w:val="0"/>
          <w:sz w:val="18"/>
        </w:rPr>
        <w:t xml:space="preserve"> </w:t>
      </w:r>
      <w:r>
        <w:rPr>
          <w:rFonts w:hint="eastAsia"/>
          <w:b w:val="0"/>
          <w:sz w:val="18"/>
        </w:rPr>
        <w:t>潮湿或渗漏。</w:t>
      </w:r>
      <w:r>
        <w:rPr>
          <w:b w:val="0"/>
          <w:sz w:val="18"/>
        </w:rPr>
        <w:t xml:space="preserve"> </w:t>
      </w:r>
    </w:p>
    <w:p w14:paraId="1A7E93AC">
      <w:pPr>
        <w:pStyle w:val="96"/>
        <w:ind w:left="846" w:firstLine="360" w:firstLineChars="200"/>
        <w:jc w:val="left"/>
        <w:rPr>
          <w:b w:val="0"/>
          <w:sz w:val="18"/>
        </w:rPr>
      </w:pPr>
      <w:r>
        <w:rPr>
          <w:rFonts w:hint="eastAsia"/>
          <w:b w:val="0"/>
          <w:sz w:val="18"/>
        </w:rPr>
        <w:t>防渗措施</w:t>
      </w:r>
      <w:r>
        <w:rPr>
          <w:b w:val="0"/>
          <w:sz w:val="18"/>
        </w:rPr>
        <w:t xml:space="preserve"> </w:t>
      </w:r>
    </w:p>
    <w:p w14:paraId="3716A1A8">
      <w:pPr>
        <w:pStyle w:val="96"/>
        <w:ind w:left="846" w:firstLine="360" w:firstLineChars="200"/>
        <w:jc w:val="left"/>
        <w:rPr>
          <w:b w:val="0"/>
          <w:sz w:val="18"/>
        </w:rPr>
      </w:pPr>
      <w:r>
        <w:rPr>
          <w:b w:val="0"/>
          <w:sz w:val="18"/>
        </w:rPr>
        <w:t>1）</w:t>
      </w:r>
      <w:r>
        <w:rPr>
          <w:rFonts w:hint="eastAsia"/>
          <w:b w:val="0"/>
          <w:sz w:val="18"/>
        </w:rPr>
        <w:t>施工图审核时，应审核空调板是否设有地漏，若有地漏，地漏应设置在远离外墙刚一侧，必</w:t>
      </w:r>
      <w:r>
        <w:rPr>
          <w:b w:val="0"/>
          <w:sz w:val="18"/>
        </w:rPr>
        <w:t xml:space="preserve"> </w:t>
      </w:r>
      <w:r>
        <w:rPr>
          <w:rFonts w:hint="eastAsia"/>
          <w:b w:val="0"/>
          <w:sz w:val="18"/>
        </w:rPr>
        <w:t>要时办理相关技术变更；</w:t>
      </w:r>
      <w:r>
        <w:rPr>
          <w:b w:val="0"/>
          <w:sz w:val="18"/>
        </w:rPr>
        <w:t xml:space="preserve"> </w:t>
      </w:r>
    </w:p>
    <w:p w14:paraId="42290E2D">
      <w:pPr>
        <w:pStyle w:val="96"/>
        <w:ind w:left="846" w:firstLine="360" w:firstLineChars="200"/>
        <w:jc w:val="left"/>
        <w:rPr>
          <w:b w:val="0"/>
          <w:sz w:val="18"/>
        </w:rPr>
      </w:pPr>
      <w:r>
        <w:rPr>
          <w:b w:val="0"/>
          <w:sz w:val="18"/>
        </w:rPr>
        <w:t>2）</w:t>
      </w:r>
      <w:r>
        <w:rPr>
          <w:rFonts w:hint="eastAsia"/>
          <w:b w:val="0"/>
          <w:sz w:val="18"/>
        </w:rPr>
        <w:t>楼层结构混凝土浇筑过程中，在悬挑板部位应设置足够的钢筋垫块，防止钢筋被踩塌；悬挑</w:t>
      </w:r>
      <w:r>
        <w:rPr>
          <w:b w:val="0"/>
          <w:sz w:val="18"/>
        </w:rPr>
        <w:t xml:space="preserve"> </w:t>
      </w:r>
      <w:r>
        <w:rPr>
          <w:rFonts w:hint="eastAsia"/>
          <w:b w:val="0"/>
          <w:sz w:val="18"/>
        </w:rPr>
        <w:t>结构模板支撑拆除时，确保混凝土强度达到</w:t>
      </w:r>
      <w:r>
        <w:rPr>
          <w:b w:val="0"/>
          <w:sz w:val="18"/>
        </w:rPr>
        <w:t xml:space="preserve">100%; </w:t>
      </w:r>
    </w:p>
    <w:p w14:paraId="2DD74C30">
      <w:pPr>
        <w:pStyle w:val="96"/>
        <w:ind w:left="846" w:firstLine="360" w:firstLineChars="200"/>
        <w:jc w:val="left"/>
        <w:rPr>
          <w:b w:val="0"/>
          <w:sz w:val="18"/>
        </w:rPr>
      </w:pPr>
      <w:r>
        <w:rPr>
          <w:b w:val="0"/>
          <w:sz w:val="18"/>
        </w:rPr>
        <w:t>3）</w:t>
      </w:r>
      <w:r>
        <w:rPr>
          <w:rFonts w:hint="eastAsia"/>
          <w:b w:val="0"/>
          <w:sz w:val="18"/>
        </w:rPr>
        <w:t>外墙砌筑时，需在空调板部位设置</w:t>
      </w:r>
      <w:r>
        <w:rPr>
          <w:b w:val="0"/>
          <w:sz w:val="18"/>
        </w:rPr>
        <w:t>200mm</w:t>
      </w:r>
      <w:r>
        <w:rPr>
          <w:rFonts w:hint="eastAsia"/>
          <w:b w:val="0"/>
          <w:sz w:val="18"/>
        </w:rPr>
        <w:t>高</w:t>
      </w:r>
      <w:r>
        <w:rPr>
          <w:b w:val="0"/>
          <w:sz w:val="18"/>
        </w:rPr>
        <w:t>C20</w:t>
      </w:r>
      <w:r>
        <w:rPr>
          <w:rFonts w:hint="eastAsia"/>
          <w:b w:val="0"/>
          <w:sz w:val="18"/>
        </w:rPr>
        <w:t>的混凝土导墙，宽度同墙厚，度同空调板的长</w:t>
      </w:r>
      <w:r>
        <w:rPr>
          <w:b w:val="0"/>
          <w:sz w:val="18"/>
        </w:rPr>
        <w:t xml:space="preserve"> </w:t>
      </w:r>
      <w:r>
        <w:rPr>
          <w:rFonts w:hint="eastAsia"/>
          <w:b w:val="0"/>
          <w:sz w:val="18"/>
        </w:rPr>
        <w:t>度；</w:t>
      </w:r>
      <w:r>
        <w:rPr>
          <w:b w:val="0"/>
          <w:sz w:val="18"/>
        </w:rPr>
        <w:t xml:space="preserve"> </w:t>
      </w:r>
    </w:p>
    <w:p w14:paraId="1CCC78BC">
      <w:pPr>
        <w:pStyle w:val="96"/>
        <w:ind w:left="846" w:firstLine="360" w:firstLineChars="200"/>
        <w:jc w:val="left"/>
        <w:rPr>
          <w:b w:val="0"/>
          <w:sz w:val="18"/>
        </w:rPr>
      </w:pPr>
      <w:r>
        <w:rPr>
          <w:b w:val="0"/>
          <w:sz w:val="18"/>
        </w:rPr>
        <w:t>4）</w:t>
      </w:r>
      <w:r>
        <w:rPr>
          <w:rFonts w:hint="eastAsia"/>
          <w:b w:val="0"/>
          <w:sz w:val="18"/>
        </w:rPr>
        <w:t>空调板面找平前，应检查空调板根部是否有裂纹或渗漏现象，若有，需清理后涂刷防水材料；</w:t>
      </w:r>
      <w:r>
        <w:rPr>
          <w:b w:val="0"/>
          <w:sz w:val="18"/>
        </w:rPr>
        <w:t xml:space="preserve"> </w:t>
      </w:r>
    </w:p>
    <w:p w14:paraId="3894B937">
      <w:pPr>
        <w:pStyle w:val="96"/>
        <w:ind w:left="846" w:firstLine="360" w:firstLineChars="200"/>
        <w:jc w:val="left"/>
        <w:rPr>
          <w:b w:val="0"/>
          <w:sz w:val="18"/>
        </w:rPr>
      </w:pPr>
      <w:r>
        <w:rPr>
          <w:b w:val="0"/>
          <w:sz w:val="18"/>
        </w:rPr>
        <w:t>5）</w:t>
      </w:r>
      <w:r>
        <w:rPr>
          <w:rFonts w:hint="eastAsia"/>
          <w:b w:val="0"/>
          <w:sz w:val="18"/>
        </w:rPr>
        <w:t>空调板面找平时，板面坡向地漏，并在沿墙阴角处用</w:t>
      </w:r>
      <w:r>
        <w:rPr>
          <w:b w:val="0"/>
          <w:sz w:val="18"/>
        </w:rPr>
        <w:t>1:2</w:t>
      </w:r>
      <w:r>
        <w:rPr>
          <w:rFonts w:hint="eastAsia"/>
          <w:b w:val="0"/>
          <w:sz w:val="18"/>
        </w:rPr>
        <w:t>水泥砂浆做圆弧或斜角处理，圆弧</w:t>
      </w:r>
      <w:r>
        <w:rPr>
          <w:b w:val="0"/>
          <w:sz w:val="18"/>
        </w:rPr>
        <w:t xml:space="preserve"> </w:t>
      </w:r>
      <w:r>
        <w:rPr>
          <w:rFonts w:hint="eastAsia"/>
          <w:b w:val="0"/>
          <w:sz w:val="18"/>
        </w:rPr>
        <w:t>半径</w:t>
      </w:r>
      <w:r>
        <w:rPr>
          <w:b w:val="0"/>
          <w:sz w:val="18"/>
        </w:rPr>
        <w:t>50mm</w:t>
      </w:r>
      <w:r>
        <w:rPr>
          <w:rFonts w:hint="eastAsia"/>
          <w:b w:val="0"/>
          <w:sz w:val="18"/>
        </w:rPr>
        <w:t>。</w:t>
      </w:r>
      <w:r>
        <w:rPr>
          <w:b w:val="0"/>
          <w:sz w:val="18"/>
        </w:rPr>
        <w:t xml:space="preserve"> </w:t>
      </w:r>
    </w:p>
    <w:p w14:paraId="541F1E62">
      <w:pPr>
        <w:pStyle w:val="96"/>
        <w:ind w:left="846" w:firstLine="360" w:firstLineChars="200"/>
        <w:jc w:val="left"/>
        <w:rPr>
          <w:b w:val="0"/>
          <w:sz w:val="18"/>
        </w:rPr>
      </w:pPr>
      <w:r>
        <w:rPr>
          <w:rFonts w:hint="eastAsia"/>
          <w:b w:val="0"/>
          <w:sz w:val="18"/>
        </w:rPr>
        <w:t>检验方法与要求</w:t>
      </w:r>
      <w:r>
        <w:rPr>
          <w:b w:val="0"/>
          <w:sz w:val="18"/>
        </w:rPr>
        <w:t xml:space="preserve"> </w:t>
      </w:r>
    </w:p>
    <w:p w14:paraId="24F6A50F">
      <w:pPr>
        <w:pStyle w:val="96"/>
        <w:ind w:left="846" w:firstLine="360" w:firstLineChars="200"/>
        <w:jc w:val="left"/>
        <w:rPr>
          <w:b w:val="0"/>
          <w:sz w:val="18"/>
        </w:rPr>
      </w:pPr>
      <w:r>
        <w:rPr>
          <w:b w:val="0"/>
          <w:sz w:val="18"/>
        </w:rPr>
        <w:t>1）</w:t>
      </w:r>
      <w:r>
        <w:rPr>
          <w:rFonts w:hint="eastAsia"/>
          <w:b w:val="0"/>
          <w:sz w:val="18"/>
        </w:rPr>
        <w:t>有地漏的空调板，地漏设在远离外墙的一侧，外墙根部设有混凝土导墙。空调板沿墙阴角做</w:t>
      </w:r>
      <w:r>
        <w:rPr>
          <w:b w:val="0"/>
          <w:sz w:val="18"/>
        </w:rPr>
        <w:t xml:space="preserve"> </w:t>
      </w:r>
      <w:r>
        <w:rPr>
          <w:rFonts w:hint="eastAsia"/>
          <w:b w:val="0"/>
          <w:sz w:val="18"/>
        </w:rPr>
        <w:t>圆弧或斜角处理。</w:t>
      </w:r>
      <w:r>
        <w:rPr>
          <w:b w:val="0"/>
          <w:sz w:val="18"/>
        </w:rPr>
        <w:t xml:space="preserve"> </w:t>
      </w:r>
    </w:p>
    <w:p w14:paraId="7654D795">
      <w:pPr>
        <w:pStyle w:val="96"/>
        <w:ind w:left="846" w:firstLine="360" w:firstLineChars="200"/>
        <w:jc w:val="left"/>
        <w:rPr>
          <w:b w:val="0"/>
          <w:sz w:val="18"/>
        </w:rPr>
      </w:pPr>
      <w:r>
        <w:rPr>
          <w:b w:val="0"/>
          <w:sz w:val="18"/>
        </w:rPr>
        <w:t>2）</w:t>
      </w:r>
      <w:r>
        <w:rPr>
          <w:rFonts w:hint="eastAsia"/>
          <w:b w:val="0"/>
          <w:sz w:val="18"/>
        </w:rPr>
        <w:t>检验方法：观察检查。</w:t>
      </w:r>
      <w:r>
        <w:rPr>
          <w:b w:val="0"/>
          <w:sz w:val="18"/>
        </w:rPr>
        <w:t xml:space="preserve"> </w:t>
      </w:r>
    </w:p>
    <w:p w14:paraId="107F78C6">
      <w:pPr>
        <w:pStyle w:val="96"/>
        <w:ind w:left="846" w:firstLine="360" w:firstLineChars="200"/>
        <w:jc w:val="left"/>
        <w:rPr>
          <w:b w:val="0"/>
          <w:sz w:val="18"/>
        </w:rPr>
      </w:pPr>
      <w:r>
        <w:rPr>
          <w:b w:val="0"/>
          <w:sz w:val="18"/>
        </w:rPr>
        <w:t xml:space="preserve">8.5.3.2 </w:t>
      </w:r>
      <w:r>
        <w:rPr>
          <w:rFonts w:hint="eastAsia"/>
          <w:b w:val="0"/>
          <w:sz w:val="18"/>
        </w:rPr>
        <w:t>外墙保温常见渗漏原因与防渗措施</w:t>
      </w:r>
      <w:r>
        <w:rPr>
          <w:b w:val="0"/>
          <w:sz w:val="18"/>
        </w:rPr>
        <w:t xml:space="preserve"> </w:t>
      </w:r>
    </w:p>
    <w:p w14:paraId="09900F07">
      <w:pPr>
        <w:pStyle w:val="96"/>
        <w:ind w:left="846" w:firstLine="360" w:firstLineChars="200"/>
        <w:jc w:val="left"/>
        <w:rPr>
          <w:b w:val="0"/>
          <w:sz w:val="18"/>
        </w:rPr>
      </w:pPr>
      <w:r>
        <w:rPr>
          <w:rFonts w:hint="eastAsia"/>
          <w:b w:val="0"/>
          <w:sz w:val="18"/>
        </w:rPr>
        <w:t>原因分析</w:t>
      </w:r>
      <w:r>
        <w:rPr>
          <w:b w:val="0"/>
          <w:sz w:val="18"/>
        </w:rPr>
        <w:t xml:space="preserve"> </w:t>
      </w:r>
    </w:p>
    <w:p w14:paraId="0AF983FB">
      <w:pPr>
        <w:pStyle w:val="96"/>
        <w:ind w:left="846" w:firstLine="360" w:firstLineChars="200"/>
        <w:jc w:val="left"/>
        <w:rPr>
          <w:b w:val="0"/>
          <w:sz w:val="18"/>
        </w:rPr>
      </w:pPr>
      <w:r>
        <w:rPr>
          <w:b w:val="0"/>
          <w:sz w:val="18"/>
        </w:rPr>
        <w:t>1）</w:t>
      </w:r>
      <w:r>
        <w:rPr>
          <w:rFonts w:hint="eastAsia"/>
          <w:b w:val="0"/>
          <w:sz w:val="18"/>
        </w:rPr>
        <w:t>由于外墙保温系统抗裂砂浆防护层的基层平整度较差，引起抗裂砂浆面层厚薄不均，墙面出</w:t>
      </w:r>
      <w:r>
        <w:rPr>
          <w:b w:val="0"/>
          <w:sz w:val="18"/>
        </w:rPr>
        <w:t xml:space="preserve"> </w:t>
      </w:r>
      <w:r>
        <w:rPr>
          <w:rFonts w:hint="eastAsia"/>
          <w:b w:val="0"/>
          <w:sz w:val="18"/>
        </w:rPr>
        <w:t>现收缩裂缝，雨水通过这些裂缝渗入保温层内，滞留在保温层的空腔内或串流至外墙结构防</w:t>
      </w:r>
      <w:r>
        <w:rPr>
          <w:b w:val="0"/>
          <w:sz w:val="18"/>
        </w:rPr>
        <w:t xml:space="preserve"> </w:t>
      </w:r>
      <w:r>
        <w:rPr>
          <w:rFonts w:hint="eastAsia"/>
          <w:b w:val="0"/>
          <w:sz w:val="18"/>
        </w:rPr>
        <w:t>渗薄弱部位，引入外墙内侧潮湿或渗漏；</w:t>
      </w:r>
      <w:r>
        <w:rPr>
          <w:b w:val="0"/>
          <w:sz w:val="18"/>
        </w:rPr>
        <w:t xml:space="preserve"> </w:t>
      </w:r>
    </w:p>
    <w:p w14:paraId="2106D328">
      <w:pPr>
        <w:pStyle w:val="96"/>
        <w:ind w:left="846" w:firstLine="360" w:firstLineChars="200"/>
        <w:jc w:val="left"/>
        <w:rPr>
          <w:b w:val="0"/>
          <w:sz w:val="18"/>
        </w:rPr>
      </w:pPr>
      <w:r>
        <w:rPr>
          <w:b w:val="0"/>
          <w:sz w:val="18"/>
        </w:rPr>
        <w:t>2）</w:t>
      </w:r>
      <w:r>
        <w:rPr>
          <w:rFonts w:hint="eastAsia"/>
          <w:b w:val="0"/>
          <w:sz w:val="18"/>
        </w:rPr>
        <w:t>施工过程中，施工单位为节约抗裂砂浆的用量，其批嵌厚度未达到保温系统所要求的厚度，</w:t>
      </w:r>
      <w:r>
        <w:rPr>
          <w:b w:val="0"/>
          <w:sz w:val="18"/>
        </w:rPr>
        <w:t xml:space="preserve"> </w:t>
      </w:r>
      <w:r>
        <w:rPr>
          <w:rFonts w:hint="eastAsia"/>
          <w:b w:val="0"/>
          <w:sz w:val="18"/>
        </w:rPr>
        <w:t>雨水在风力作用下直接渗入保温层，引起外墙渗漏。</w:t>
      </w:r>
      <w:r>
        <w:rPr>
          <w:b w:val="0"/>
          <w:sz w:val="18"/>
        </w:rPr>
        <w:t xml:space="preserve"> </w:t>
      </w:r>
    </w:p>
    <w:p w14:paraId="07220042">
      <w:pPr>
        <w:pStyle w:val="96"/>
        <w:ind w:left="846" w:firstLine="360" w:firstLineChars="200"/>
        <w:jc w:val="left"/>
        <w:rPr>
          <w:b w:val="0"/>
          <w:sz w:val="18"/>
        </w:rPr>
      </w:pPr>
      <w:r>
        <w:rPr>
          <w:rFonts w:hint="eastAsia"/>
          <w:b w:val="0"/>
          <w:sz w:val="18"/>
        </w:rPr>
        <w:t>防渗措施</w:t>
      </w:r>
    </w:p>
    <w:p w14:paraId="234DB223">
      <w:pPr>
        <w:pStyle w:val="96"/>
        <w:ind w:left="846" w:firstLine="360" w:firstLineChars="200"/>
        <w:jc w:val="left"/>
        <w:rPr>
          <w:b w:val="0"/>
          <w:sz w:val="18"/>
        </w:rPr>
      </w:pPr>
      <w:r>
        <w:rPr>
          <w:b w:val="0"/>
          <w:sz w:val="18"/>
        </w:rPr>
        <w:t>1）</w:t>
      </w:r>
      <w:r>
        <w:rPr>
          <w:rFonts w:hint="eastAsia"/>
          <w:b w:val="0"/>
          <w:sz w:val="18"/>
        </w:rPr>
        <w:t>抗裂砂浆施工前，应对保温层进行隐蔽验收，重点检查保温层厚度、分隔缝的留设、板材拼</w:t>
      </w:r>
      <w:r>
        <w:rPr>
          <w:b w:val="0"/>
          <w:sz w:val="18"/>
        </w:rPr>
        <w:t xml:space="preserve">  </w:t>
      </w:r>
      <w:r>
        <w:rPr>
          <w:rFonts w:hint="eastAsia"/>
          <w:b w:val="0"/>
          <w:sz w:val="18"/>
        </w:rPr>
        <w:t>缝、预留网格布翻包、表面平整度、表面干燥无浮屑等内容是否符合规范要求。可根据作业</w:t>
      </w:r>
      <w:r>
        <w:rPr>
          <w:b w:val="0"/>
          <w:sz w:val="18"/>
        </w:rPr>
        <w:t xml:space="preserve"> </w:t>
      </w:r>
      <w:r>
        <w:rPr>
          <w:rFonts w:hint="eastAsia"/>
          <w:b w:val="0"/>
          <w:sz w:val="18"/>
        </w:rPr>
        <w:t>面的条件进行分批验收。</w:t>
      </w:r>
      <w:r>
        <w:rPr>
          <w:b w:val="0"/>
          <w:sz w:val="18"/>
        </w:rPr>
        <w:t xml:space="preserve">  </w:t>
      </w:r>
    </w:p>
    <w:p w14:paraId="726E810D">
      <w:pPr>
        <w:pStyle w:val="96"/>
        <w:ind w:left="846" w:firstLine="360" w:firstLineChars="200"/>
        <w:jc w:val="left"/>
        <w:rPr>
          <w:b w:val="0"/>
          <w:sz w:val="18"/>
        </w:rPr>
      </w:pPr>
      <w:r>
        <w:rPr>
          <w:b w:val="0"/>
          <w:sz w:val="18"/>
        </w:rPr>
        <w:t>2）</w:t>
      </w:r>
      <w:r>
        <w:rPr>
          <w:rFonts w:hint="eastAsia"/>
          <w:b w:val="0"/>
          <w:sz w:val="18"/>
        </w:rPr>
        <w:t>大面积施工玻纤网格布前，应先做好门、窗洞口网格布翻包边。应在门、窗的四个角各做一</w:t>
      </w:r>
      <w:r>
        <w:rPr>
          <w:b w:val="0"/>
          <w:sz w:val="18"/>
        </w:rPr>
        <w:t xml:space="preserve">  </w:t>
      </w:r>
      <w:r>
        <w:rPr>
          <w:rFonts w:hint="eastAsia"/>
          <w:b w:val="0"/>
          <w:sz w:val="18"/>
        </w:rPr>
        <w:t>块</w:t>
      </w:r>
      <w:r>
        <w:rPr>
          <w:b w:val="0"/>
          <w:sz w:val="18"/>
        </w:rPr>
        <w:t>200</w:t>
      </w:r>
      <w:r>
        <w:rPr>
          <w:rFonts w:hint="eastAsia"/>
          <w:b w:val="0"/>
          <w:sz w:val="18"/>
        </w:rPr>
        <w:t>×</w:t>
      </w:r>
      <w:r>
        <w:rPr>
          <w:b w:val="0"/>
          <w:sz w:val="18"/>
        </w:rPr>
        <w:t>300</w:t>
      </w:r>
      <w:r>
        <w:rPr>
          <w:rFonts w:hint="eastAsia"/>
          <w:b w:val="0"/>
          <w:sz w:val="18"/>
        </w:rPr>
        <w:t>的网格布，</w:t>
      </w:r>
      <w:r>
        <w:rPr>
          <w:b w:val="0"/>
          <w:sz w:val="18"/>
        </w:rPr>
        <w:t>45</w:t>
      </w:r>
      <w:r>
        <w:rPr>
          <w:rFonts w:hint="eastAsia"/>
          <w:b w:val="0"/>
          <w:sz w:val="18"/>
        </w:rPr>
        <w:t>°斜贴后，再进行大面积玻纤网格布的铺贴。</w:t>
      </w:r>
      <w:r>
        <w:rPr>
          <w:b w:val="0"/>
          <w:sz w:val="18"/>
        </w:rPr>
        <w:t xml:space="preserve">  </w:t>
      </w:r>
    </w:p>
    <w:p w14:paraId="4CC41BD0">
      <w:pPr>
        <w:pStyle w:val="96"/>
        <w:ind w:left="846" w:firstLine="360" w:firstLineChars="200"/>
        <w:jc w:val="left"/>
        <w:rPr>
          <w:b w:val="0"/>
          <w:sz w:val="18"/>
        </w:rPr>
      </w:pPr>
      <w:r>
        <w:rPr>
          <w:b w:val="0"/>
          <w:sz w:val="18"/>
        </w:rPr>
        <w:t>3）</w:t>
      </w:r>
      <w:r>
        <w:rPr>
          <w:rFonts w:hint="eastAsia"/>
          <w:b w:val="0"/>
          <w:sz w:val="18"/>
        </w:rPr>
        <w:t>抗裂砂浆抹面层施工宜分两次批刮，第一遍厚度宜为</w:t>
      </w:r>
      <w:r>
        <w:rPr>
          <w:b w:val="0"/>
          <w:sz w:val="18"/>
        </w:rPr>
        <w:t>2-2.5mm</w:t>
      </w:r>
      <w:r>
        <w:rPr>
          <w:rFonts w:hint="eastAsia"/>
          <w:b w:val="0"/>
          <w:sz w:val="18"/>
        </w:rPr>
        <w:t>，并将网格布压入抹面胶浆中，</w:t>
      </w:r>
      <w:r>
        <w:rPr>
          <w:b w:val="0"/>
          <w:sz w:val="18"/>
        </w:rPr>
        <w:t xml:space="preserve">  </w:t>
      </w:r>
      <w:r>
        <w:rPr>
          <w:rFonts w:hint="eastAsia"/>
          <w:b w:val="0"/>
          <w:sz w:val="18"/>
        </w:rPr>
        <w:t>待胶浆干至不粘手时，即可批刮第二遍抹面胶浆，网格布在整个抹面层中应处于中间位置，</w:t>
      </w:r>
      <w:r>
        <w:rPr>
          <w:b w:val="0"/>
          <w:sz w:val="18"/>
        </w:rPr>
        <w:t xml:space="preserve"> </w:t>
      </w:r>
      <w:r>
        <w:rPr>
          <w:rFonts w:hint="eastAsia"/>
          <w:b w:val="0"/>
          <w:sz w:val="18"/>
        </w:rPr>
        <w:t>不得</w:t>
      </w:r>
      <w:r>
        <w:rPr>
          <w:b w:val="0"/>
          <w:sz w:val="18"/>
        </w:rPr>
        <w:t xml:space="preserve"> </w:t>
      </w:r>
      <w:r>
        <w:rPr>
          <w:rFonts w:hint="eastAsia"/>
          <w:b w:val="0"/>
          <w:sz w:val="18"/>
        </w:rPr>
        <w:t>有皱折、空鼓、翘边现象，分格缝应沿凹槽将玻纤网格布埋入抗裂砂浆内。采用涂料</w:t>
      </w:r>
      <w:r>
        <w:rPr>
          <w:b w:val="0"/>
          <w:sz w:val="18"/>
        </w:rPr>
        <w:t xml:space="preserve"> </w:t>
      </w:r>
      <w:r>
        <w:rPr>
          <w:rFonts w:hint="eastAsia"/>
          <w:b w:val="0"/>
          <w:sz w:val="18"/>
        </w:rPr>
        <w:t>饰面时，抗裂砂浆防护层的总厚度为</w:t>
      </w:r>
      <w:r>
        <w:rPr>
          <w:b w:val="0"/>
          <w:sz w:val="18"/>
        </w:rPr>
        <w:t>3-5mm;</w:t>
      </w:r>
      <w:r>
        <w:rPr>
          <w:rFonts w:hint="eastAsia"/>
          <w:b w:val="0"/>
          <w:sz w:val="18"/>
        </w:rPr>
        <w:t>采用面砖饰面时，抗裂砂浆防护层总厚度为</w:t>
      </w:r>
      <w:r>
        <w:rPr>
          <w:b w:val="0"/>
          <w:sz w:val="18"/>
        </w:rPr>
        <w:t xml:space="preserve"> 5-7mm;</w:t>
      </w:r>
      <w:r>
        <w:rPr>
          <w:rFonts w:hint="eastAsia"/>
          <w:b w:val="0"/>
          <w:sz w:val="18"/>
        </w:rPr>
        <w:t>且应符合保温系统设计要求。</w:t>
      </w:r>
      <w:r>
        <w:rPr>
          <w:b w:val="0"/>
          <w:sz w:val="18"/>
        </w:rPr>
        <w:t xml:space="preserve">  </w:t>
      </w:r>
    </w:p>
    <w:p w14:paraId="5E256763">
      <w:pPr>
        <w:pStyle w:val="96"/>
        <w:ind w:left="846" w:firstLine="360" w:firstLineChars="200"/>
        <w:jc w:val="left"/>
        <w:rPr>
          <w:b w:val="0"/>
          <w:sz w:val="18"/>
        </w:rPr>
      </w:pPr>
      <w:r>
        <w:rPr>
          <w:b w:val="0"/>
          <w:sz w:val="18"/>
        </w:rPr>
        <w:t>4）</w:t>
      </w:r>
      <w:r>
        <w:rPr>
          <w:rFonts w:hint="eastAsia"/>
          <w:b w:val="0"/>
          <w:sz w:val="18"/>
        </w:rPr>
        <w:t>细部构造和加贴网格布应按图集规范要求施工，墙角、勒脚、女儿墙、挑檐、窗口、阳台、</w:t>
      </w:r>
      <w:r>
        <w:rPr>
          <w:b w:val="0"/>
          <w:sz w:val="18"/>
        </w:rPr>
        <w:t xml:space="preserve">  </w:t>
      </w:r>
      <w:r>
        <w:rPr>
          <w:rFonts w:hint="eastAsia"/>
          <w:b w:val="0"/>
          <w:sz w:val="18"/>
        </w:rPr>
        <w:t>墙身变形缝、线脚、分格缝、伸缩缝、空调机搁板等部位均需设加强网格布。</w:t>
      </w:r>
      <w:r>
        <w:rPr>
          <w:b w:val="0"/>
          <w:sz w:val="18"/>
        </w:rPr>
        <w:t xml:space="preserve">  </w:t>
      </w:r>
    </w:p>
    <w:p w14:paraId="4F2E687D">
      <w:pPr>
        <w:pStyle w:val="96"/>
        <w:ind w:left="846" w:firstLine="360" w:firstLineChars="200"/>
        <w:jc w:val="left"/>
        <w:rPr>
          <w:b w:val="0"/>
          <w:sz w:val="18"/>
        </w:rPr>
      </w:pPr>
      <w:r>
        <w:rPr>
          <w:b w:val="0"/>
          <w:sz w:val="18"/>
        </w:rPr>
        <w:t>5）</w:t>
      </w:r>
      <w:r>
        <w:rPr>
          <w:rFonts w:hint="eastAsia"/>
          <w:b w:val="0"/>
          <w:sz w:val="18"/>
        </w:rPr>
        <w:t>饰面层施工前，应对保温层的施工质量进行验收，重点检查抗裂砂浆保护层的厚度、墙面的</w:t>
      </w:r>
      <w:r>
        <w:rPr>
          <w:b w:val="0"/>
          <w:sz w:val="18"/>
        </w:rPr>
        <w:t xml:space="preserve">  </w:t>
      </w:r>
      <w:r>
        <w:rPr>
          <w:rFonts w:hint="eastAsia"/>
          <w:b w:val="0"/>
          <w:sz w:val="18"/>
        </w:rPr>
        <w:t>平整度、穿墙套管和孔洞等施工产生的墙体缺陷的修补情况等内容。</w:t>
      </w:r>
      <w:r>
        <w:rPr>
          <w:b w:val="0"/>
          <w:sz w:val="18"/>
        </w:rPr>
        <w:t xml:space="preserve">  </w:t>
      </w:r>
    </w:p>
    <w:p w14:paraId="0AC28F3B">
      <w:pPr>
        <w:pStyle w:val="96"/>
        <w:ind w:left="846" w:firstLine="360" w:firstLineChars="200"/>
        <w:jc w:val="left"/>
        <w:rPr>
          <w:b w:val="0"/>
          <w:sz w:val="18"/>
        </w:rPr>
      </w:pPr>
      <w:r>
        <w:rPr>
          <w:rFonts w:hint="eastAsia"/>
          <w:b w:val="0"/>
          <w:sz w:val="18"/>
        </w:rPr>
        <w:t>检验方法与要求</w:t>
      </w:r>
      <w:r>
        <w:rPr>
          <w:b w:val="0"/>
          <w:sz w:val="18"/>
        </w:rPr>
        <w:t xml:space="preserve">  </w:t>
      </w:r>
    </w:p>
    <w:p w14:paraId="44BE71FC">
      <w:pPr>
        <w:pStyle w:val="96"/>
        <w:ind w:left="846" w:firstLine="360" w:firstLineChars="200"/>
        <w:jc w:val="left"/>
        <w:rPr>
          <w:b w:val="0"/>
          <w:sz w:val="18"/>
        </w:rPr>
      </w:pPr>
      <w:r>
        <w:rPr>
          <w:b w:val="0"/>
          <w:sz w:val="18"/>
        </w:rPr>
        <w:t>1）</w:t>
      </w:r>
      <w:r>
        <w:rPr>
          <w:rFonts w:hint="eastAsia"/>
          <w:b w:val="0"/>
          <w:sz w:val="18"/>
        </w:rPr>
        <w:t>现场验收保温层的厚度与抗裂砂浆层厚度，应符合设计要求，最小厚度不应小于设计厚度的</w:t>
      </w:r>
      <w:r>
        <w:rPr>
          <w:b w:val="0"/>
          <w:sz w:val="18"/>
        </w:rPr>
        <w:t xml:space="preserve">  90%</w:t>
      </w:r>
      <w:r>
        <w:rPr>
          <w:rFonts w:hint="eastAsia"/>
          <w:b w:val="0"/>
          <w:sz w:val="18"/>
        </w:rPr>
        <w:t>，重点检查窗周边。</w:t>
      </w:r>
      <w:r>
        <w:rPr>
          <w:b w:val="0"/>
          <w:sz w:val="18"/>
        </w:rPr>
        <w:t xml:space="preserve">  </w:t>
      </w:r>
    </w:p>
    <w:p w14:paraId="44B8F5B6">
      <w:pPr>
        <w:pStyle w:val="96"/>
        <w:ind w:left="846" w:firstLine="360" w:firstLineChars="200"/>
        <w:jc w:val="left"/>
        <w:rPr>
          <w:b w:val="0"/>
          <w:sz w:val="18"/>
        </w:rPr>
      </w:pPr>
      <w:r>
        <w:rPr>
          <w:b w:val="0"/>
          <w:sz w:val="18"/>
        </w:rPr>
        <w:t xml:space="preserve">    </w:t>
      </w:r>
      <w:r>
        <w:rPr>
          <w:rFonts w:hint="eastAsia"/>
          <w:b w:val="0"/>
          <w:sz w:val="18"/>
        </w:rPr>
        <w:t>检验方法与数量：采用钻芯法及尺量，每个检验批不少于三处。</w:t>
      </w:r>
      <w:r>
        <w:rPr>
          <w:b w:val="0"/>
          <w:sz w:val="18"/>
        </w:rPr>
        <w:t xml:space="preserve">  </w:t>
      </w:r>
    </w:p>
    <w:p w14:paraId="31D6905E">
      <w:pPr>
        <w:pStyle w:val="96"/>
        <w:ind w:left="846" w:firstLine="360" w:firstLineChars="200"/>
        <w:jc w:val="left"/>
        <w:rPr>
          <w:b w:val="0"/>
          <w:sz w:val="18"/>
        </w:rPr>
      </w:pPr>
      <w:r>
        <w:rPr>
          <w:b w:val="0"/>
          <w:sz w:val="18"/>
        </w:rPr>
        <w:t>2）</w:t>
      </w:r>
      <w:r>
        <w:rPr>
          <w:rFonts w:hint="eastAsia"/>
          <w:b w:val="0"/>
          <w:sz w:val="18"/>
        </w:rPr>
        <w:t>细部构造和加强网格布应符合图集规范与专项施工方案的要求，重点检查墙角、勒脚、女儿</w:t>
      </w:r>
      <w:r>
        <w:rPr>
          <w:b w:val="0"/>
          <w:sz w:val="18"/>
        </w:rPr>
        <w:t xml:space="preserve">  </w:t>
      </w:r>
      <w:r>
        <w:rPr>
          <w:rFonts w:hint="eastAsia"/>
          <w:b w:val="0"/>
          <w:sz w:val="18"/>
        </w:rPr>
        <w:t>墙、挑檐、窗口、阳台、墙身变形缝、线脚、分格缝、伸缩缝、空调机搁板等部位，抗裂砂</w:t>
      </w:r>
      <w:r>
        <w:rPr>
          <w:b w:val="0"/>
          <w:sz w:val="18"/>
        </w:rPr>
        <w:t xml:space="preserve"> </w:t>
      </w:r>
      <w:r>
        <w:rPr>
          <w:rFonts w:hint="eastAsia"/>
          <w:b w:val="0"/>
          <w:sz w:val="18"/>
        </w:rPr>
        <w:t>浆抹</w:t>
      </w:r>
      <w:r>
        <w:rPr>
          <w:b w:val="0"/>
          <w:sz w:val="18"/>
        </w:rPr>
        <w:t xml:space="preserve"> </w:t>
      </w:r>
      <w:r>
        <w:rPr>
          <w:rFonts w:hint="eastAsia"/>
          <w:b w:val="0"/>
          <w:sz w:val="18"/>
        </w:rPr>
        <w:t>面层的网格布均应铺设严实，不应空鼓、褶皱、外露等现象。</w:t>
      </w:r>
      <w:r>
        <w:rPr>
          <w:b w:val="0"/>
          <w:sz w:val="18"/>
        </w:rPr>
        <w:t xml:space="preserve">  </w:t>
      </w:r>
    </w:p>
    <w:p w14:paraId="2233584E">
      <w:pPr>
        <w:pStyle w:val="96"/>
        <w:ind w:left="846" w:firstLine="360" w:firstLineChars="200"/>
        <w:jc w:val="left"/>
        <w:rPr>
          <w:b w:val="0"/>
          <w:sz w:val="18"/>
        </w:rPr>
      </w:pPr>
      <w:r>
        <w:rPr>
          <w:b w:val="0"/>
          <w:sz w:val="18"/>
        </w:rPr>
        <w:t xml:space="preserve">    </w:t>
      </w:r>
      <w:r>
        <w:rPr>
          <w:rFonts w:hint="eastAsia"/>
          <w:b w:val="0"/>
          <w:sz w:val="18"/>
        </w:rPr>
        <w:t>检验方法与数量：观察，全数检查。</w:t>
      </w:r>
      <w:r>
        <w:rPr>
          <w:b w:val="0"/>
          <w:sz w:val="18"/>
        </w:rPr>
        <w:t xml:space="preserve">  </w:t>
      </w:r>
    </w:p>
    <w:p w14:paraId="3EBB9628">
      <w:pPr>
        <w:pStyle w:val="96"/>
        <w:ind w:left="846" w:firstLine="360" w:firstLineChars="200"/>
        <w:jc w:val="left"/>
        <w:rPr>
          <w:b w:val="0"/>
          <w:sz w:val="18"/>
        </w:rPr>
      </w:pPr>
      <w:r>
        <w:rPr>
          <w:b w:val="0"/>
          <w:sz w:val="18"/>
        </w:rPr>
        <w:t>3）</w:t>
      </w:r>
      <w:r>
        <w:rPr>
          <w:rFonts w:hint="eastAsia"/>
          <w:b w:val="0"/>
          <w:sz w:val="18"/>
        </w:rPr>
        <w:t>保温系统面层平整度与立面垂直度符合规范要求，允许偏差</w:t>
      </w:r>
      <w:r>
        <w:rPr>
          <w:b w:val="0"/>
          <w:sz w:val="18"/>
        </w:rPr>
        <w:t>4mm</w:t>
      </w:r>
      <w:r>
        <w:rPr>
          <w:rFonts w:hint="eastAsia"/>
          <w:b w:val="0"/>
          <w:sz w:val="18"/>
        </w:rPr>
        <w:t>（</w:t>
      </w:r>
      <w:r>
        <w:rPr>
          <w:b w:val="0"/>
          <w:sz w:val="18"/>
        </w:rPr>
        <w:t>2m</w:t>
      </w:r>
      <w:r>
        <w:rPr>
          <w:rFonts w:hint="eastAsia"/>
          <w:b w:val="0"/>
          <w:sz w:val="18"/>
        </w:rPr>
        <w:t>靠尺）。</w:t>
      </w:r>
      <w:r>
        <w:rPr>
          <w:b w:val="0"/>
          <w:sz w:val="18"/>
        </w:rPr>
        <w:t xml:space="preserve">  </w:t>
      </w:r>
    </w:p>
    <w:p w14:paraId="3DAA9D32">
      <w:pPr>
        <w:pStyle w:val="96"/>
        <w:ind w:left="846" w:firstLine="360" w:firstLineChars="200"/>
        <w:jc w:val="left"/>
        <w:rPr>
          <w:b w:val="0"/>
          <w:sz w:val="18"/>
        </w:rPr>
      </w:pPr>
      <w:r>
        <w:rPr>
          <w:b w:val="0"/>
          <w:sz w:val="18"/>
        </w:rPr>
        <w:t xml:space="preserve">    </w:t>
      </w:r>
      <w:r>
        <w:rPr>
          <w:rFonts w:hint="eastAsia"/>
          <w:b w:val="0"/>
          <w:sz w:val="18"/>
        </w:rPr>
        <w:t>检验方法：尺量检查。</w:t>
      </w:r>
      <w:r>
        <w:rPr>
          <w:b w:val="0"/>
          <w:sz w:val="18"/>
        </w:rPr>
        <w:t xml:space="preserve">  </w:t>
      </w:r>
    </w:p>
    <w:p w14:paraId="75512A4D">
      <w:pPr>
        <w:pStyle w:val="96"/>
        <w:ind w:left="846" w:firstLine="360" w:firstLineChars="200"/>
        <w:jc w:val="left"/>
        <w:rPr>
          <w:b w:val="0"/>
          <w:sz w:val="18"/>
        </w:rPr>
      </w:pPr>
      <w:r>
        <w:rPr>
          <w:b w:val="0"/>
          <w:sz w:val="18"/>
        </w:rPr>
        <w:t>4）</w:t>
      </w:r>
      <w:r>
        <w:rPr>
          <w:rFonts w:hint="eastAsia"/>
          <w:b w:val="0"/>
          <w:sz w:val="18"/>
        </w:rPr>
        <w:t>验收过程中按实填写有关表格，验收完成后由建设方与监理方内部存档备查，建设方核查数</w:t>
      </w:r>
      <w:r>
        <w:rPr>
          <w:b w:val="0"/>
          <w:sz w:val="18"/>
        </w:rPr>
        <w:t xml:space="preserve">  </w:t>
      </w:r>
      <w:r>
        <w:rPr>
          <w:rFonts w:hint="eastAsia"/>
          <w:b w:val="0"/>
          <w:sz w:val="18"/>
        </w:rPr>
        <w:t>量不低于</w:t>
      </w:r>
      <w:r>
        <w:rPr>
          <w:b w:val="0"/>
          <w:sz w:val="18"/>
        </w:rPr>
        <w:t>30%</w:t>
      </w:r>
      <w:r>
        <w:rPr>
          <w:rFonts w:hint="eastAsia"/>
          <w:b w:val="0"/>
          <w:sz w:val="18"/>
        </w:rPr>
        <w:t>。</w:t>
      </w:r>
      <w:r>
        <w:rPr>
          <w:b w:val="0"/>
          <w:sz w:val="18"/>
        </w:rPr>
        <w:t xml:space="preserve">  </w:t>
      </w:r>
    </w:p>
    <w:p w14:paraId="30A481E1">
      <w:pPr>
        <w:pStyle w:val="96"/>
        <w:ind w:left="846" w:firstLine="360" w:firstLineChars="200"/>
        <w:jc w:val="left"/>
        <w:rPr>
          <w:b w:val="0"/>
          <w:sz w:val="18"/>
        </w:rPr>
      </w:pPr>
      <w:r>
        <w:rPr>
          <w:b w:val="0"/>
          <w:sz w:val="18"/>
        </w:rPr>
        <w:t xml:space="preserve">8.5.3.3 </w:t>
      </w:r>
      <w:r>
        <w:rPr>
          <w:rFonts w:hint="eastAsia"/>
          <w:b w:val="0"/>
          <w:sz w:val="18"/>
        </w:rPr>
        <w:t>阳台根部根部常见渗漏原因与防渗措施</w:t>
      </w:r>
    </w:p>
    <w:p w14:paraId="722C0E0B">
      <w:pPr>
        <w:pStyle w:val="96"/>
        <w:ind w:left="846" w:firstLine="360" w:firstLineChars="200"/>
        <w:jc w:val="left"/>
        <w:rPr>
          <w:b w:val="0"/>
          <w:sz w:val="18"/>
        </w:rPr>
      </w:pPr>
      <w:r>
        <w:rPr>
          <w:rFonts w:hint="eastAsia"/>
          <w:b w:val="0"/>
          <w:sz w:val="18"/>
        </w:rPr>
        <w:t>原因分析</w:t>
      </w:r>
      <w:r>
        <w:rPr>
          <w:b w:val="0"/>
          <w:sz w:val="18"/>
        </w:rPr>
        <w:t xml:space="preserve">  </w:t>
      </w:r>
    </w:p>
    <w:p w14:paraId="467E5228">
      <w:pPr>
        <w:pStyle w:val="96"/>
        <w:ind w:left="846" w:firstLine="360" w:firstLineChars="200"/>
        <w:jc w:val="left"/>
        <w:rPr>
          <w:b w:val="0"/>
          <w:sz w:val="18"/>
        </w:rPr>
      </w:pPr>
      <w:r>
        <w:rPr>
          <w:b w:val="0"/>
          <w:sz w:val="18"/>
        </w:rPr>
        <w:t>1）</w:t>
      </w:r>
      <w:r>
        <w:rPr>
          <w:rFonts w:hint="eastAsia"/>
          <w:b w:val="0"/>
          <w:sz w:val="18"/>
        </w:rPr>
        <w:t>悬挑阳台的混凝土结构拆模过早，在阳台根部出现结构裂缝；</w:t>
      </w:r>
      <w:r>
        <w:rPr>
          <w:b w:val="0"/>
          <w:sz w:val="18"/>
        </w:rPr>
        <w:t xml:space="preserve">  </w:t>
      </w:r>
    </w:p>
    <w:p w14:paraId="5140F59B">
      <w:pPr>
        <w:pStyle w:val="96"/>
        <w:ind w:left="846" w:firstLine="360" w:firstLineChars="200"/>
        <w:jc w:val="left"/>
        <w:rPr>
          <w:b w:val="0"/>
          <w:sz w:val="18"/>
        </w:rPr>
      </w:pPr>
      <w:r>
        <w:rPr>
          <w:b w:val="0"/>
          <w:sz w:val="18"/>
        </w:rPr>
        <w:t>2）</w:t>
      </w:r>
      <w:r>
        <w:rPr>
          <w:rFonts w:hint="eastAsia"/>
          <w:b w:val="0"/>
          <w:sz w:val="18"/>
        </w:rPr>
        <w:t>由于阳台的结构标高与室内不一致，虽在阳台根部进行吊模施工，吊模时采用砌块或木块作</w:t>
      </w:r>
      <w:r>
        <w:rPr>
          <w:b w:val="0"/>
          <w:sz w:val="18"/>
        </w:rPr>
        <w:t xml:space="preserve">  </w:t>
      </w:r>
      <w:r>
        <w:rPr>
          <w:rFonts w:hint="eastAsia"/>
          <w:b w:val="0"/>
          <w:sz w:val="18"/>
        </w:rPr>
        <w:t>为支撑，直接埋入阳台板的混凝土中，出现易渗漏点；</w:t>
      </w:r>
      <w:r>
        <w:rPr>
          <w:b w:val="0"/>
          <w:sz w:val="18"/>
        </w:rPr>
        <w:t xml:space="preserve">   </w:t>
      </w:r>
    </w:p>
    <w:p w14:paraId="6373E33E">
      <w:pPr>
        <w:pStyle w:val="96"/>
        <w:ind w:left="846" w:firstLine="360" w:firstLineChars="200"/>
        <w:jc w:val="left"/>
        <w:rPr>
          <w:b w:val="0"/>
          <w:sz w:val="18"/>
        </w:rPr>
      </w:pPr>
      <w:r>
        <w:rPr>
          <w:b w:val="0"/>
          <w:sz w:val="18"/>
        </w:rPr>
        <w:t>3）</w:t>
      </w:r>
      <w:r>
        <w:rPr>
          <w:rFonts w:hint="eastAsia"/>
          <w:b w:val="0"/>
          <w:sz w:val="18"/>
        </w:rPr>
        <w:t>吊模的底标高未控制好，模板下沉嵌入混凝土太深，造成阳台板根部结构厚度不足，形成易</w:t>
      </w:r>
      <w:r>
        <w:rPr>
          <w:b w:val="0"/>
          <w:sz w:val="18"/>
        </w:rPr>
        <w:t xml:space="preserve">  </w:t>
      </w:r>
      <w:r>
        <w:rPr>
          <w:rFonts w:hint="eastAsia"/>
          <w:b w:val="0"/>
          <w:sz w:val="18"/>
        </w:rPr>
        <w:t>渗漏点。</w:t>
      </w:r>
      <w:r>
        <w:rPr>
          <w:b w:val="0"/>
          <w:sz w:val="18"/>
        </w:rPr>
        <w:t xml:space="preserve">  </w:t>
      </w:r>
    </w:p>
    <w:p w14:paraId="541569DD">
      <w:pPr>
        <w:pStyle w:val="96"/>
        <w:ind w:left="846" w:firstLine="360" w:firstLineChars="200"/>
        <w:jc w:val="left"/>
        <w:rPr>
          <w:b w:val="0"/>
          <w:sz w:val="18"/>
        </w:rPr>
      </w:pPr>
      <w:r>
        <w:rPr>
          <w:rFonts w:hint="eastAsia"/>
          <w:b w:val="0"/>
          <w:sz w:val="18"/>
        </w:rPr>
        <w:t>防渗措施</w:t>
      </w:r>
      <w:r>
        <w:rPr>
          <w:b w:val="0"/>
          <w:sz w:val="18"/>
        </w:rPr>
        <w:t xml:space="preserve">  </w:t>
      </w:r>
    </w:p>
    <w:p w14:paraId="36CA60DE">
      <w:pPr>
        <w:pStyle w:val="96"/>
        <w:ind w:left="846" w:firstLine="360" w:firstLineChars="200"/>
        <w:jc w:val="left"/>
        <w:rPr>
          <w:b w:val="0"/>
          <w:sz w:val="18"/>
        </w:rPr>
      </w:pPr>
      <w:r>
        <w:rPr>
          <w:b w:val="0"/>
          <w:sz w:val="18"/>
        </w:rPr>
        <w:t>1）</w:t>
      </w:r>
      <w:r>
        <w:rPr>
          <w:rFonts w:hint="eastAsia"/>
          <w:b w:val="0"/>
          <w:sz w:val="18"/>
        </w:rPr>
        <w:t>楼层结构砼浇筑过程中，阳台部位的负筋应设置足够的钢筋垫块，防止钢筋被踩塌；</w:t>
      </w:r>
      <w:r>
        <w:rPr>
          <w:b w:val="0"/>
          <w:sz w:val="18"/>
        </w:rPr>
        <w:t xml:space="preserve">  </w:t>
      </w:r>
    </w:p>
    <w:p w14:paraId="63A276D7">
      <w:pPr>
        <w:pStyle w:val="96"/>
        <w:ind w:left="846" w:firstLine="360" w:firstLineChars="200"/>
        <w:jc w:val="left"/>
        <w:rPr>
          <w:b w:val="0"/>
          <w:sz w:val="18"/>
        </w:rPr>
      </w:pPr>
      <w:r>
        <w:rPr>
          <w:b w:val="0"/>
          <w:sz w:val="18"/>
        </w:rPr>
        <w:t>2）</w:t>
      </w:r>
      <w:r>
        <w:rPr>
          <w:rFonts w:hint="eastAsia"/>
          <w:b w:val="0"/>
          <w:sz w:val="18"/>
        </w:rPr>
        <w:t>阳台地漏设置应与外墙饰面层保持一定的距离，防止墙根出现积水现象；</w:t>
      </w:r>
      <w:r>
        <w:rPr>
          <w:b w:val="0"/>
          <w:sz w:val="18"/>
        </w:rPr>
        <w:t xml:space="preserve">  </w:t>
      </w:r>
    </w:p>
    <w:p w14:paraId="5A9FA941">
      <w:pPr>
        <w:pStyle w:val="96"/>
        <w:ind w:left="846" w:firstLine="360" w:firstLineChars="200"/>
        <w:jc w:val="left"/>
        <w:rPr>
          <w:b w:val="0"/>
          <w:sz w:val="18"/>
        </w:rPr>
      </w:pPr>
      <w:r>
        <w:rPr>
          <w:b w:val="0"/>
          <w:sz w:val="18"/>
        </w:rPr>
        <w:t>3）</w:t>
      </w:r>
      <w:r>
        <w:rPr>
          <w:rFonts w:hint="eastAsia"/>
          <w:b w:val="0"/>
          <w:sz w:val="18"/>
        </w:rPr>
        <w:t>吊模的支撑应采用钢筋焊接在下层钢筋网上，不得采用砌块或木块作为吊模的支撑；吊模的</w:t>
      </w:r>
      <w:r>
        <w:rPr>
          <w:b w:val="0"/>
          <w:sz w:val="18"/>
        </w:rPr>
        <w:t xml:space="preserve">  </w:t>
      </w:r>
      <w:r>
        <w:rPr>
          <w:rFonts w:hint="eastAsia"/>
          <w:b w:val="0"/>
          <w:sz w:val="18"/>
        </w:rPr>
        <w:t>下口标高应准确，吊模应固定牢固，不得下沉；</w:t>
      </w:r>
      <w:r>
        <w:rPr>
          <w:b w:val="0"/>
          <w:sz w:val="18"/>
        </w:rPr>
        <w:t xml:space="preserve">  </w:t>
      </w:r>
    </w:p>
    <w:p w14:paraId="38D68CA0">
      <w:pPr>
        <w:pStyle w:val="96"/>
        <w:ind w:left="846" w:firstLine="360" w:firstLineChars="200"/>
        <w:jc w:val="left"/>
        <w:rPr>
          <w:b w:val="0"/>
          <w:sz w:val="18"/>
        </w:rPr>
      </w:pPr>
      <w:r>
        <w:rPr>
          <w:b w:val="0"/>
          <w:sz w:val="18"/>
        </w:rPr>
        <w:t>4）</w:t>
      </w:r>
      <w:r>
        <w:rPr>
          <w:rFonts w:hint="eastAsia"/>
          <w:b w:val="0"/>
          <w:sz w:val="18"/>
        </w:rPr>
        <w:t>悬挑结构的模板支撑拆除时，确保混凝土强度达到</w:t>
      </w:r>
      <w:r>
        <w:rPr>
          <w:b w:val="0"/>
          <w:sz w:val="18"/>
        </w:rPr>
        <w:t xml:space="preserve">100%;  </w:t>
      </w:r>
    </w:p>
    <w:p w14:paraId="67E4AE89">
      <w:pPr>
        <w:pStyle w:val="96"/>
        <w:ind w:left="846" w:firstLine="360" w:firstLineChars="200"/>
        <w:jc w:val="left"/>
        <w:rPr>
          <w:b w:val="0"/>
          <w:sz w:val="18"/>
        </w:rPr>
      </w:pPr>
      <w:r>
        <w:rPr>
          <w:b w:val="0"/>
          <w:sz w:val="18"/>
        </w:rPr>
        <w:t>5）</w:t>
      </w:r>
      <w:r>
        <w:rPr>
          <w:rFonts w:hint="eastAsia"/>
          <w:b w:val="0"/>
          <w:sz w:val="18"/>
        </w:rPr>
        <w:t>阳台构造层施工前，应进行盛水试验，确保结构不渗漏，若有渗漏现象，应采取堵渗漏措</w:t>
      </w:r>
      <w:r>
        <w:rPr>
          <w:b w:val="0"/>
          <w:sz w:val="18"/>
        </w:rPr>
        <w:t xml:space="preserve">  </w:t>
      </w:r>
      <w:r>
        <w:rPr>
          <w:rFonts w:hint="eastAsia"/>
          <w:b w:val="0"/>
          <w:sz w:val="18"/>
        </w:rPr>
        <w:t>施，验收合格后方可进行构造层施工。</w:t>
      </w:r>
      <w:r>
        <w:rPr>
          <w:b w:val="0"/>
          <w:sz w:val="18"/>
        </w:rPr>
        <w:t xml:space="preserve"> </w:t>
      </w:r>
    </w:p>
    <w:p w14:paraId="23696380">
      <w:pPr>
        <w:pStyle w:val="96"/>
        <w:ind w:left="846" w:firstLine="360" w:firstLineChars="200"/>
        <w:jc w:val="left"/>
        <w:rPr>
          <w:b w:val="0"/>
          <w:sz w:val="18"/>
        </w:rPr>
      </w:pPr>
      <w:r>
        <w:rPr>
          <w:rFonts w:hint="eastAsia"/>
          <w:b w:val="0"/>
          <w:sz w:val="18"/>
        </w:rPr>
        <w:t>检验方法与要求</w:t>
      </w:r>
      <w:r>
        <w:rPr>
          <w:b w:val="0"/>
          <w:sz w:val="18"/>
        </w:rPr>
        <w:t xml:space="preserve">  </w:t>
      </w:r>
    </w:p>
    <w:p w14:paraId="49F535EB">
      <w:pPr>
        <w:pStyle w:val="96"/>
        <w:ind w:left="846" w:firstLine="360" w:firstLineChars="200"/>
        <w:jc w:val="left"/>
        <w:rPr>
          <w:b w:val="0"/>
          <w:sz w:val="18"/>
        </w:rPr>
      </w:pPr>
      <w:r>
        <w:rPr>
          <w:b w:val="0"/>
          <w:sz w:val="18"/>
        </w:rPr>
        <w:t>1）</w:t>
      </w:r>
      <w:r>
        <w:rPr>
          <w:rFonts w:hint="eastAsia"/>
          <w:b w:val="0"/>
          <w:sz w:val="18"/>
        </w:rPr>
        <w:t>楼层混凝土浇筑前的验收中，检查阳台吊模的固定方式符合要求，悬挑阳台的钢筋设置足够</w:t>
      </w:r>
      <w:r>
        <w:rPr>
          <w:b w:val="0"/>
          <w:sz w:val="18"/>
        </w:rPr>
        <w:t xml:space="preserve">  </w:t>
      </w:r>
      <w:r>
        <w:rPr>
          <w:rFonts w:hint="eastAsia"/>
          <w:b w:val="0"/>
          <w:sz w:val="18"/>
        </w:rPr>
        <w:t>的垫块，有防踩踏措施。</w:t>
      </w:r>
      <w:r>
        <w:rPr>
          <w:b w:val="0"/>
          <w:sz w:val="18"/>
        </w:rPr>
        <w:t xml:space="preserve">  </w:t>
      </w:r>
    </w:p>
    <w:p w14:paraId="383D1948">
      <w:pPr>
        <w:pStyle w:val="96"/>
        <w:ind w:left="846" w:firstLine="360" w:firstLineChars="200"/>
        <w:jc w:val="left"/>
        <w:rPr>
          <w:b w:val="0"/>
          <w:sz w:val="18"/>
        </w:rPr>
      </w:pPr>
      <w:r>
        <w:rPr>
          <w:b w:val="0"/>
          <w:sz w:val="18"/>
        </w:rPr>
        <w:t xml:space="preserve">    </w:t>
      </w:r>
      <w:r>
        <w:rPr>
          <w:rFonts w:hint="eastAsia"/>
          <w:b w:val="0"/>
          <w:sz w:val="18"/>
        </w:rPr>
        <w:t>检验方法与数量：观察检查，全数检查。</w:t>
      </w:r>
      <w:r>
        <w:rPr>
          <w:b w:val="0"/>
          <w:sz w:val="18"/>
        </w:rPr>
        <w:t xml:space="preserve">  </w:t>
      </w:r>
    </w:p>
    <w:p w14:paraId="15298432">
      <w:pPr>
        <w:pStyle w:val="96"/>
        <w:ind w:left="846" w:firstLine="360" w:firstLineChars="200"/>
        <w:jc w:val="left"/>
        <w:rPr>
          <w:b w:val="0"/>
          <w:sz w:val="18"/>
        </w:rPr>
      </w:pPr>
      <w:r>
        <w:rPr>
          <w:b w:val="0"/>
          <w:sz w:val="18"/>
        </w:rPr>
        <w:t>2）</w:t>
      </w:r>
      <w:r>
        <w:rPr>
          <w:rFonts w:hint="eastAsia"/>
          <w:b w:val="0"/>
          <w:sz w:val="18"/>
        </w:rPr>
        <w:t>阳台地面构造层施工前，地漏设置应与外墙饰面层保持一定的距离，结构蓄水试验中不得出</w:t>
      </w:r>
      <w:r>
        <w:rPr>
          <w:b w:val="0"/>
          <w:sz w:val="18"/>
        </w:rPr>
        <w:t xml:space="preserve">  </w:t>
      </w:r>
      <w:r>
        <w:rPr>
          <w:rFonts w:hint="eastAsia"/>
          <w:b w:val="0"/>
          <w:sz w:val="18"/>
        </w:rPr>
        <w:t>现渗漏现象。</w:t>
      </w:r>
      <w:r>
        <w:rPr>
          <w:b w:val="0"/>
          <w:sz w:val="18"/>
        </w:rPr>
        <w:t xml:space="preserve">  </w:t>
      </w:r>
    </w:p>
    <w:p w14:paraId="2747039D">
      <w:pPr>
        <w:pStyle w:val="96"/>
        <w:ind w:left="846" w:firstLine="360" w:firstLineChars="200"/>
        <w:jc w:val="left"/>
        <w:rPr>
          <w:b w:val="0"/>
          <w:sz w:val="18"/>
        </w:rPr>
      </w:pPr>
      <w:r>
        <w:rPr>
          <w:b w:val="0"/>
          <w:sz w:val="18"/>
        </w:rPr>
        <w:t xml:space="preserve">    </w:t>
      </w:r>
      <w:r>
        <w:rPr>
          <w:rFonts w:hint="eastAsia"/>
          <w:b w:val="0"/>
          <w:sz w:val="18"/>
        </w:rPr>
        <w:t>检验方法与数量：观察检查，全数检查。</w:t>
      </w:r>
      <w:r>
        <w:rPr>
          <w:b w:val="0"/>
          <w:sz w:val="18"/>
        </w:rPr>
        <w:t xml:space="preserve">  </w:t>
      </w:r>
    </w:p>
    <w:p w14:paraId="26769AA3">
      <w:pPr>
        <w:pStyle w:val="96"/>
        <w:ind w:left="846" w:firstLine="360" w:firstLineChars="200"/>
        <w:jc w:val="left"/>
        <w:rPr>
          <w:b w:val="0"/>
          <w:sz w:val="18"/>
        </w:rPr>
      </w:pPr>
      <w:r>
        <w:rPr>
          <w:b w:val="0"/>
          <w:sz w:val="18"/>
        </w:rPr>
        <w:t xml:space="preserve">8.5.3.4 </w:t>
      </w:r>
      <w:r>
        <w:rPr>
          <w:rFonts w:hint="eastAsia"/>
          <w:b w:val="0"/>
          <w:sz w:val="18"/>
        </w:rPr>
        <w:t>外墙门窗常见渗漏原因与防渗措施</w:t>
      </w:r>
    </w:p>
    <w:p w14:paraId="08F69A9B">
      <w:pPr>
        <w:pStyle w:val="96"/>
        <w:ind w:left="846" w:firstLine="360" w:firstLineChars="200"/>
        <w:jc w:val="left"/>
        <w:rPr>
          <w:b w:val="0"/>
          <w:sz w:val="18"/>
        </w:rPr>
      </w:pPr>
      <w:r>
        <w:rPr>
          <w:rFonts w:hint="eastAsia"/>
          <w:b w:val="0"/>
          <w:sz w:val="18"/>
        </w:rPr>
        <w:t>原因分析</w:t>
      </w:r>
      <w:r>
        <w:rPr>
          <w:b w:val="0"/>
          <w:sz w:val="18"/>
        </w:rPr>
        <w:t xml:space="preserve">  </w:t>
      </w:r>
    </w:p>
    <w:p w14:paraId="0EF6417F">
      <w:pPr>
        <w:pStyle w:val="96"/>
        <w:ind w:left="846" w:firstLine="360" w:firstLineChars="200"/>
        <w:jc w:val="left"/>
        <w:rPr>
          <w:b w:val="0"/>
          <w:sz w:val="18"/>
        </w:rPr>
      </w:pPr>
      <w:r>
        <w:rPr>
          <w:b w:val="0"/>
          <w:sz w:val="18"/>
        </w:rPr>
        <w:t>1）</w:t>
      </w:r>
      <w:r>
        <w:rPr>
          <w:rFonts w:hint="eastAsia"/>
          <w:b w:val="0"/>
          <w:sz w:val="18"/>
        </w:rPr>
        <w:t>进场的窗框拼缝质量差，或未采取注胶拼缝处理，进入窗框的雨水，沿拼缝渗入室内。</w:t>
      </w:r>
      <w:r>
        <w:rPr>
          <w:b w:val="0"/>
          <w:sz w:val="18"/>
        </w:rPr>
        <w:t xml:space="preserve">  </w:t>
      </w:r>
    </w:p>
    <w:p w14:paraId="520DF1F1">
      <w:pPr>
        <w:pStyle w:val="96"/>
        <w:ind w:left="846" w:firstLine="360" w:firstLineChars="200"/>
        <w:jc w:val="left"/>
        <w:rPr>
          <w:b w:val="0"/>
          <w:sz w:val="18"/>
        </w:rPr>
      </w:pPr>
      <w:r>
        <w:rPr>
          <w:b w:val="0"/>
          <w:sz w:val="18"/>
        </w:rPr>
        <w:t>2）</w:t>
      </w:r>
      <w:r>
        <w:rPr>
          <w:rFonts w:hint="eastAsia"/>
          <w:b w:val="0"/>
          <w:sz w:val="18"/>
        </w:rPr>
        <w:t>窗下框打工艺孔固定窗框后，未采用密封胶加工艺盖进行密封处理，雨水沿工艺孔进入型材</w:t>
      </w:r>
      <w:r>
        <w:rPr>
          <w:b w:val="0"/>
          <w:sz w:val="18"/>
        </w:rPr>
        <w:t xml:space="preserve">  </w:t>
      </w:r>
      <w:r>
        <w:rPr>
          <w:rFonts w:hint="eastAsia"/>
          <w:b w:val="0"/>
          <w:sz w:val="18"/>
        </w:rPr>
        <w:t>空腔内，从螺栓孔或拼缝处渗入室内。</w:t>
      </w:r>
      <w:r>
        <w:rPr>
          <w:b w:val="0"/>
          <w:sz w:val="18"/>
        </w:rPr>
        <w:t xml:space="preserve">  </w:t>
      </w:r>
    </w:p>
    <w:p w14:paraId="78C8D7E3">
      <w:pPr>
        <w:pStyle w:val="96"/>
        <w:ind w:left="846" w:firstLine="360" w:firstLineChars="200"/>
        <w:jc w:val="left"/>
        <w:rPr>
          <w:b w:val="0"/>
          <w:sz w:val="18"/>
        </w:rPr>
      </w:pPr>
      <w:r>
        <w:rPr>
          <w:b w:val="0"/>
          <w:sz w:val="18"/>
        </w:rPr>
        <w:t>3）</w:t>
      </w:r>
      <w:r>
        <w:rPr>
          <w:rFonts w:hint="eastAsia"/>
          <w:b w:val="0"/>
          <w:sz w:val="18"/>
        </w:rPr>
        <w:t>发泡剂施打时，未取出临时固定窗框的木楔，造成发泡剂施打不连续，框边密封胶在此部位</w:t>
      </w:r>
      <w:r>
        <w:rPr>
          <w:b w:val="0"/>
          <w:sz w:val="18"/>
        </w:rPr>
        <w:t xml:space="preserve">  </w:t>
      </w:r>
      <w:r>
        <w:rPr>
          <w:rFonts w:hint="eastAsia"/>
          <w:b w:val="0"/>
          <w:sz w:val="18"/>
        </w:rPr>
        <w:t>易出现脱胶现象。</w:t>
      </w:r>
      <w:r>
        <w:rPr>
          <w:b w:val="0"/>
          <w:sz w:val="18"/>
        </w:rPr>
        <w:t xml:space="preserve">  </w:t>
      </w:r>
    </w:p>
    <w:p w14:paraId="53C1FD4C">
      <w:pPr>
        <w:pStyle w:val="96"/>
        <w:ind w:left="846" w:firstLine="360" w:firstLineChars="200"/>
        <w:jc w:val="left"/>
        <w:rPr>
          <w:b w:val="0"/>
          <w:sz w:val="18"/>
        </w:rPr>
      </w:pPr>
      <w:r>
        <w:rPr>
          <w:b w:val="0"/>
          <w:sz w:val="18"/>
        </w:rPr>
        <w:t>4）</w:t>
      </w:r>
      <w:r>
        <w:rPr>
          <w:rFonts w:hint="eastAsia"/>
          <w:b w:val="0"/>
          <w:sz w:val="18"/>
        </w:rPr>
        <w:t>框边密封胶施打质量差，出现漏打、脱胶、起皮、气孔、厚薄不均、窗框边角外露等现象，</w:t>
      </w:r>
      <w:r>
        <w:rPr>
          <w:b w:val="0"/>
          <w:sz w:val="18"/>
        </w:rPr>
        <w:t xml:space="preserve">  </w:t>
      </w:r>
      <w:r>
        <w:rPr>
          <w:rFonts w:hint="eastAsia"/>
          <w:b w:val="0"/>
          <w:sz w:val="18"/>
        </w:rPr>
        <w:t>未起到密封止水作用。</w:t>
      </w:r>
      <w:r>
        <w:rPr>
          <w:b w:val="0"/>
          <w:sz w:val="18"/>
        </w:rPr>
        <w:t xml:space="preserve">  </w:t>
      </w:r>
    </w:p>
    <w:p w14:paraId="50516EB6">
      <w:pPr>
        <w:pStyle w:val="96"/>
        <w:ind w:left="846" w:firstLine="360" w:firstLineChars="200"/>
        <w:jc w:val="left"/>
        <w:rPr>
          <w:b w:val="0"/>
          <w:sz w:val="18"/>
        </w:rPr>
      </w:pPr>
      <w:r>
        <w:rPr>
          <w:b w:val="0"/>
          <w:sz w:val="18"/>
        </w:rPr>
        <w:t>5）</w:t>
      </w:r>
      <w:r>
        <w:rPr>
          <w:rFonts w:hint="eastAsia"/>
          <w:b w:val="0"/>
          <w:sz w:val="18"/>
        </w:rPr>
        <w:t>窗顶未设滴水槽或鹰嘴，窗台未设坡度，未做到内高外低。</w:t>
      </w:r>
      <w:r>
        <w:rPr>
          <w:b w:val="0"/>
          <w:sz w:val="18"/>
        </w:rPr>
        <w:t xml:space="preserve">    </w:t>
      </w:r>
    </w:p>
    <w:p w14:paraId="3065B0A1">
      <w:pPr>
        <w:pStyle w:val="96"/>
        <w:ind w:left="846" w:firstLine="360" w:firstLineChars="200"/>
        <w:jc w:val="left"/>
        <w:rPr>
          <w:b w:val="0"/>
          <w:sz w:val="18"/>
        </w:rPr>
      </w:pPr>
      <w:r>
        <w:rPr>
          <w:b w:val="0"/>
          <w:sz w:val="18"/>
        </w:rPr>
        <w:t>6）</w:t>
      </w:r>
      <w:r>
        <w:rPr>
          <w:rFonts w:hint="eastAsia"/>
          <w:b w:val="0"/>
          <w:sz w:val="18"/>
        </w:rPr>
        <w:t>外墙饰面层与窗框之间未留缝隙，用于密封胶施打以阻隔外墙面层上的水进入窗框。</w:t>
      </w:r>
      <w:r>
        <w:rPr>
          <w:b w:val="0"/>
          <w:sz w:val="18"/>
        </w:rPr>
        <w:t xml:space="preserve">  </w:t>
      </w:r>
    </w:p>
    <w:p w14:paraId="5CB4EB5B">
      <w:pPr>
        <w:pStyle w:val="96"/>
        <w:ind w:left="846" w:firstLine="360" w:firstLineChars="200"/>
        <w:jc w:val="left"/>
        <w:rPr>
          <w:b w:val="0"/>
          <w:sz w:val="18"/>
        </w:rPr>
      </w:pPr>
      <w:r>
        <w:rPr>
          <w:b w:val="0"/>
          <w:sz w:val="18"/>
        </w:rPr>
        <w:t xml:space="preserve">   </w:t>
      </w:r>
      <w:r>
        <w:rPr>
          <w:rFonts w:hint="eastAsia"/>
          <w:b w:val="0"/>
          <w:sz w:val="18"/>
        </w:rPr>
        <w:t>防渗措施。</w:t>
      </w:r>
      <w:r>
        <w:rPr>
          <w:b w:val="0"/>
          <w:sz w:val="18"/>
        </w:rPr>
        <w:t xml:space="preserve">  </w:t>
      </w:r>
    </w:p>
    <w:p w14:paraId="514A5F85">
      <w:pPr>
        <w:pStyle w:val="96"/>
        <w:ind w:left="846" w:firstLine="360" w:firstLineChars="200"/>
        <w:jc w:val="left"/>
        <w:rPr>
          <w:b w:val="0"/>
          <w:sz w:val="18"/>
        </w:rPr>
      </w:pPr>
      <w:r>
        <w:rPr>
          <w:b w:val="0"/>
          <w:sz w:val="18"/>
        </w:rPr>
        <w:t>1）</w:t>
      </w:r>
      <w:r>
        <w:rPr>
          <w:rFonts w:hint="eastAsia"/>
          <w:b w:val="0"/>
          <w:sz w:val="18"/>
        </w:rPr>
        <w:t>在门窗洞口两侧设置混凝土预埋块（不得用混凝土砌块代替混凝土预埋块），距上、下两端</w:t>
      </w:r>
      <w:r>
        <w:rPr>
          <w:b w:val="0"/>
          <w:sz w:val="18"/>
        </w:rPr>
        <w:t xml:space="preserve">  </w:t>
      </w:r>
      <w:r>
        <w:rPr>
          <w:rFonts w:hint="eastAsia"/>
          <w:b w:val="0"/>
          <w:sz w:val="18"/>
        </w:rPr>
        <w:t>各</w:t>
      </w:r>
      <w:r>
        <w:rPr>
          <w:b w:val="0"/>
          <w:sz w:val="18"/>
        </w:rPr>
        <w:t>150mm</w:t>
      </w:r>
      <w:r>
        <w:rPr>
          <w:rFonts w:hint="eastAsia"/>
          <w:b w:val="0"/>
          <w:sz w:val="18"/>
        </w:rPr>
        <w:t>，中间间距以不大于</w:t>
      </w:r>
      <w:r>
        <w:rPr>
          <w:b w:val="0"/>
          <w:sz w:val="18"/>
        </w:rPr>
        <w:t>500mm</w:t>
      </w:r>
      <w:r>
        <w:rPr>
          <w:rFonts w:hint="eastAsia"/>
          <w:b w:val="0"/>
          <w:sz w:val="18"/>
        </w:rPr>
        <w:t>并等分埋设。</w:t>
      </w:r>
      <w:r>
        <w:rPr>
          <w:b w:val="0"/>
          <w:sz w:val="18"/>
        </w:rPr>
        <w:t xml:space="preserve">  </w:t>
      </w:r>
    </w:p>
    <w:p w14:paraId="3D424CAE">
      <w:pPr>
        <w:pStyle w:val="96"/>
        <w:ind w:left="846" w:firstLine="360" w:firstLineChars="200"/>
        <w:jc w:val="left"/>
        <w:rPr>
          <w:b w:val="0"/>
          <w:sz w:val="18"/>
        </w:rPr>
      </w:pPr>
      <w:r>
        <w:rPr>
          <w:b w:val="0"/>
          <w:sz w:val="18"/>
        </w:rPr>
        <w:t>2）</w:t>
      </w:r>
      <w:r>
        <w:rPr>
          <w:rFonts w:hint="eastAsia"/>
          <w:b w:val="0"/>
          <w:sz w:val="18"/>
        </w:rPr>
        <w:t>门窗框进场验收时，应按规范要求进行检查，要求对门窗型材构件连接缝隙、附件装配缝</w:t>
      </w:r>
      <w:r>
        <w:rPr>
          <w:b w:val="0"/>
          <w:sz w:val="18"/>
        </w:rPr>
        <w:t xml:space="preserve">  </w:t>
      </w:r>
      <w:r>
        <w:rPr>
          <w:rFonts w:hint="eastAsia"/>
          <w:b w:val="0"/>
          <w:sz w:val="18"/>
        </w:rPr>
        <w:t>隙、螺栓、螺钉孔采取密封防水措施，且型材拼缝间隙应≤</w:t>
      </w:r>
      <w:r>
        <w:rPr>
          <w:b w:val="0"/>
          <w:sz w:val="18"/>
        </w:rPr>
        <w:t>0.3mm</w:t>
      </w:r>
      <w:r>
        <w:rPr>
          <w:rFonts w:hint="eastAsia"/>
          <w:b w:val="0"/>
          <w:sz w:val="18"/>
        </w:rPr>
        <w:t>。</w:t>
      </w:r>
      <w:r>
        <w:rPr>
          <w:b w:val="0"/>
          <w:sz w:val="18"/>
        </w:rPr>
        <w:t xml:space="preserve">  </w:t>
      </w:r>
    </w:p>
    <w:p w14:paraId="781F784E">
      <w:pPr>
        <w:pStyle w:val="96"/>
        <w:ind w:left="846" w:firstLine="360" w:firstLineChars="200"/>
        <w:jc w:val="left"/>
        <w:rPr>
          <w:b w:val="0"/>
          <w:sz w:val="18"/>
        </w:rPr>
      </w:pPr>
      <w:r>
        <w:rPr>
          <w:b w:val="0"/>
          <w:sz w:val="18"/>
        </w:rPr>
        <w:t>3）</w:t>
      </w:r>
      <w:r>
        <w:rPr>
          <w:rFonts w:hint="eastAsia"/>
          <w:b w:val="0"/>
          <w:sz w:val="18"/>
        </w:rPr>
        <w:t>若有钢附框，钢附框安装完成后，对钢附框与砌体之间的缝隙采用防水砂浆先行封堵，防水</w:t>
      </w:r>
      <w:r>
        <w:rPr>
          <w:b w:val="0"/>
          <w:sz w:val="18"/>
        </w:rPr>
        <w:t xml:space="preserve">  </w:t>
      </w:r>
      <w:r>
        <w:rPr>
          <w:rFonts w:hint="eastAsia"/>
          <w:b w:val="0"/>
          <w:sz w:val="18"/>
        </w:rPr>
        <w:t>砂浆收成“八”字口。塞缝完成后，及时浇水养护，防止塞缝开裂渗水。内抹灰施工至钢附</w:t>
      </w:r>
      <w:r>
        <w:rPr>
          <w:b w:val="0"/>
          <w:sz w:val="18"/>
        </w:rPr>
        <w:t xml:space="preserve"> </w:t>
      </w:r>
      <w:r>
        <w:rPr>
          <w:rFonts w:hint="eastAsia"/>
          <w:b w:val="0"/>
          <w:sz w:val="18"/>
        </w:rPr>
        <w:t>框内</w:t>
      </w:r>
      <w:r>
        <w:rPr>
          <w:b w:val="0"/>
          <w:sz w:val="18"/>
        </w:rPr>
        <w:t xml:space="preserve"> </w:t>
      </w:r>
      <w:r>
        <w:rPr>
          <w:rFonts w:hint="eastAsia"/>
          <w:b w:val="0"/>
          <w:sz w:val="18"/>
        </w:rPr>
        <w:t>侧，上口与钢附框表面平齐。外保温施工至钢附框外侧，窗台上口低于钢附框表面</w:t>
      </w:r>
      <w:r>
        <w:rPr>
          <w:b w:val="0"/>
          <w:sz w:val="18"/>
        </w:rPr>
        <w:t>5mm</w:t>
      </w:r>
      <w:r>
        <w:rPr>
          <w:rFonts w:hint="eastAsia"/>
          <w:b w:val="0"/>
          <w:sz w:val="18"/>
        </w:rPr>
        <w:t>。</w:t>
      </w:r>
      <w:r>
        <w:rPr>
          <w:b w:val="0"/>
          <w:sz w:val="18"/>
        </w:rPr>
        <w:t xml:space="preserve">  </w:t>
      </w:r>
    </w:p>
    <w:p w14:paraId="3FA5E8AD">
      <w:pPr>
        <w:pStyle w:val="96"/>
        <w:ind w:left="846" w:firstLine="360" w:firstLineChars="200"/>
        <w:jc w:val="left"/>
        <w:rPr>
          <w:b w:val="0"/>
          <w:sz w:val="18"/>
        </w:rPr>
      </w:pPr>
      <w:r>
        <w:rPr>
          <w:b w:val="0"/>
          <w:sz w:val="18"/>
        </w:rPr>
        <w:t>4）</w:t>
      </w:r>
      <w:r>
        <w:rPr>
          <w:rFonts w:hint="eastAsia"/>
          <w:b w:val="0"/>
          <w:sz w:val="18"/>
        </w:rPr>
        <w:t>窗框安装固定后应及时清除用于临时固定的木楔，清理窗框周边的垃圾与灰尘，方可进行发</w:t>
      </w:r>
      <w:r>
        <w:rPr>
          <w:b w:val="0"/>
          <w:sz w:val="18"/>
        </w:rPr>
        <w:t xml:space="preserve">  </w:t>
      </w:r>
      <w:r>
        <w:rPr>
          <w:rFonts w:hint="eastAsia"/>
          <w:b w:val="0"/>
          <w:sz w:val="18"/>
        </w:rPr>
        <w:t>泡剂的施工，发泡的施打应连续，未硬化之前用手按平，避免对发泡剂进行切割。</w:t>
      </w:r>
      <w:r>
        <w:rPr>
          <w:b w:val="0"/>
          <w:sz w:val="18"/>
        </w:rPr>
        <w:t xml:space="preserve">  </w:t>
      </w:r>
    </w:p>
    <w:p w14:paraId="5426C8AC">
      <w:pPr>
        <w:pStyle w:val="96"/>
        <w:ind w:left="846" w:firstLine="360" w:firstLineChars="200"/>
        <w:jc w:val="left"/>
        <w:rPr>
          <w:b w:val="0"/>
          <w:sz w:val="18"/>
        </w:rPr>
      </w:pPr>
      <w:r>
        <w:rPr>
          <w:b w:val="0"/>
          <w:sz w:val="18"/>
        </w:rPr>
        <w:t>5）</w:t>
      </w:r>
      <w:r>
        <w:rPr>
          <w:rFonts w:hint="eastAsia"/>
          <w:b w:val="0"/>
          <w:sz w:val="18"/>
        </w:rPr>
        <w:t>外墙抹灰时窗洞外侧靠框边处必须预留深</w:t>
      </w:r>
      <w:r>
        <w:rPr>
          <w:b w:val="0"/>
          <w:sz w:val="18"/>
        </w:rPr>
        <w:t>Smm</w:t>
      </w:r>
      <w:r>
        <w:rPr>
          <w:rFonts w:hint="eastAsia"/>
          <w:b w:val="0"/>
          <w:sz w:val="18"/>
        </w:rPr>
        <w:t>，宽</w:t>
      </w:r>
      <w:r>
        <w:rPr>
          <w:b w:val="0"/>
          <w:sz w:val="18"/>
        </w:rPr>
        <w:t>5-8mm</w:t>
      </w:r>
      <w:r>
        <w:rPr>
          <w:rFonts w:hint="eastAsia"/>
          <w:b w:val="0"/>
          <w:sz w:val="18"/>
        </w:rPr>
        <w:t>的槽口，以保证密封胶的粘结性和密</w:t>
      </w:r>
      <w:r>
        <w:rPr>
          <w:b w:val="0"/>
          <w:sz w:val="18"/>
        </w:rPr>
        <w:t xml:space="preserve">  </w:t>
      </w:r>
      <w:r>
        <w:rPr>
          <w:rFonts w:hint="eastAsia"/>
          <w:b w:val="0"/>
          <w:sz w:val="18"/>
        </w:rPr>
        <w:t>封性；外墙湿贴块料饰面时，应与窗框之间预留</w:t>
      </w:r>
      <w:r>
        <w:rPr>
          <w:b w:val="0"/>
          <w:sz w:val="18"/>
        </w:rPr>
        <w:t>10mm</w:t>
      </w:r>
      <w:r>
        <w:rPr>
          <w:rFonts w:hint="eastAsia"/>
          <w:b w:val="0"/>
          <w:sz w:val="18"/>
        </w:rPr>
        <w:t>的缝隙，以阻隔外墙面层上的水进入</w:t>
      </w:r>
      <w:r>
        <w:rPr>
          <w:b w:val="0"/>
          <w:sz w:val="18"/>
        </w:rPr>
        <w:t xml:space="preserve"> </w:t>
      </w:r>
      <w:r>
        <w:rPr>
          <w:rFonts w:hint="eastAsia"/>
          <w:b w:val="0"/>
          <w:sz w:val="18"/>
        </w:rPr>
        <w:t>窗框。</w:t>
      </w:r>
      <w:r>
        <w:rPr>
          <w:b w:val="0"/>
          <w:sz w:val="18"/>
        </w:rPr>
        <w:t xml:space="preserve">  </w:t>
      </w:r>
    </w:p>
    <w:p w14:paraId="749C50B3">
      <w:pPr>
        <w:pStyle w:val="96"/>
        <w:ind w:left="846" w:firstLine="360" w:firstLineChars="200"/>
        <w:jc w:val="left"/>
        <w:rPr>
          <w:b w:val="0"/>
          <w:sz w:val="18"/>
        </w:rPr>
      </w:pPr>
      <w:r>
        <w:rPr>
          <w:b w:val="0"/>
          <w:sz w:val="18"/>
        </w:rPr>
        <w:t>6）</w:t>
      </w:r>
      <w:r>
        <w:rPr>
          <w:rFonts w:hint="eastAsia"/>
          <w:b w:val="0"/>
          <w:sz w:val="18"/>
        </w:rPr>
        <w:t>密封胶施打前，应将打胶区域的保护膜、灰尘清理干净，填缝材料连续布置，缝宽一致，要</w:t>
      </w:r>
      <w:r>
        <w:rPr>
          <w:b w:val="0"/>
          <w:sz w:val="18"/>
        </w:rPr>
        <w:t xml:space="preserve">  </w:t>
      </w:r>
      <w:r>
        <w:rPr>
          <w:rFonts w:hint="eastAsia"/>
          <w:b w:val="0"/>
          <w:sz w:val="18"/>
        </w:rPr>
        <w:t>求施打的密封胶应连续、平整光洁，无漏打、脱胶、起皮、气孔等现象，与窗框。墙面有效</w:t>
      </w:r>
      <w:r>
        <w:rPr>
          <w:b w:val="0"/>
          <w:sz w:val="18"/>
        </w:rPr>
        <w:t xml:space="preserve"> </w:t>
      </w:r>
      <w:r>
        <w:rPr>
          <w:rFonts w:hint="eastAsia"/>
          <w:b w:val="0"/>
          <w:sz w:val="18"/>
        </w:rPr>
        <w:t>咬合，</w:t>
      </w:r>
      <w:r>
        <w:rPr>
          <w:b w:val="0"/>
          <w:sz w:val="18"/>
        </w:rPr>
        <w:t xml:space="preserve"> </w:t>
      </w:r>
      <w:r>
        <w:rPr>
          <w:rFonts w:hint="eastAsia"/>
          <w:b w:val="0"/>
          <w:sz w:val="18"/>
        </w:rPr>
        <w:t>无露出窗框边的现象，密封胶施打应成圆弧状。</w:t>
      </w:r>
      <w:r>
        <w:rPr>
          <w:b w:val="0"/>
          <w:sz w:val="18"/>
        </w:rPr>
        <w:t xml:space="preserve">  </w:t>
      </w:r>
    </w:p>
    <w:p w14:paraId="66816E81">
      <w:pPr>
        <w:pStyle w:val="96"/>
        <w:ind w:left="846" w:firstLine="360" w:firstLineChars="200"/>
        <w:jc w:val="left"/>
        <w:rPr>
          <w:b w:val="0"/>
          <w:sz w:val="18"/>
        </w:rPr>
      </w:pPr>
      <w:r>
        <w:rPr>
          <w:b w:val="0"/>
          <w:sz w:val="18"/>
        </w:rPr>
        <w:t>7</w:t>
      </w:r>
      <w:r>
        <w:rPr>
          <w:rFonts w:hint="eastAsia"/>
          <w:b w:val="0"/>
          <w:sz w:val="18"/>
        </w:rPr>
        <w:t>）外脚手架拆除前，应对窗外侧与窗框进行检查验收，主要检查窗外侧的密封胶施打质量、窗框型材拼缝处的密封、工艺孔的密封封堵、泄水口的功能、窗台的内外高差及外窗台的坡度、窗</w:t>
      </w:r>
      <w:r>
        <w:rPr>
          <w:b w:val="0"/>
          <w:sz w:val="18"/>
        </w:rPr>
        <w:t xml:space="preserve"> </w:t>
      </w:r>
      <w:r>
        <w:rPr>
          <w:rFonts w:hint="eastAsia"/>
          <w:b w:val="0"/>
          <w:sz w:val="18"/>
        </w:rPr>
        <w:t>顶的滴水槽或鹰嘴等内容是否符合要求。</w:t>
      </w:r>
      <w:r>
        <w:rPr>
          <w:b w:val="0"/>
          <w:sz w:val="18"/>
        </w:rPr>
        <w:t xml:space="preserve"> </w:t>
      </w:r>
    </w:p>
    <w:p w14:paraId="659EC548">
      <w:pPr>
        <w:pStyle w:val="96"/>
        <w:ind w:left="846" w:firstLine="360" w:firstLineChars="200"/>
        <w:jc w:val="left"/>
        <w:rPr>
          <w:b w:val="0"/>
          <w:sz w:val="18"/>
        </w:rPr>
      </w:pPr>
      <w:r>
        <w:rPr>
          <w:rFonts w:hint="eastAsia"/>
          <w:b w:val="0"/>
          <w:sz w:val="18"/>
        </w:rPr>
        <w:t>检验方法与要求</w:t>
      </w:r>
      <w:r>
        <w:rPr>
          <w:b w:val="0"/>
          <w:sz w:val="18"/>
        </w:rPr>
        <w:t xml:space="preserve"> </w:t>
      </w:r>
    </w:p>
    <w:p w14:paraId="035CB203">
      <w:pPr>
        <w:pStyle w:val="96"/>
        <w:ind w:left="846" w:firstLine="360" w:firstLineChars="200"/>
        <w:jc w:val="left"/>
        <w:rPr>
          <w:b w:val="0"/>
          <w:sz w:val="18"/>
        </w:rPr>
      </w:pPr>
      <w:r>
        <w:rPr>
          <w:b w:val="0"/>
          <w:sz w:val="18"/>
        </w:rPr>
        <w:t>1</w:t>
      </w:r>
      <w:r>
        <w:rPr>
          <w:rFonts w:hint="eastAsia"/>
          <w:b w:val="0"/>
          <w:sz w:val="18"/>
        </w:rPr>
        <w:t>）有地漏的空调板，地漏设在远离外墙的一侧，外墙根部设有混凝土导墙。空调板沿墙阴角做</w:t>
      </w:r>
      <w:r>
        <w:rPr>
          <w:b w:val="0"/>
          <w:sz w:val="18"/>
        </w:rPr>
        <w:t xml:space="preserve"> </w:t>
      </w:r>
      <w:r>
        <w:rPr>
          <w:rFonts w:hint="eastAsia"/>
          <w:b w:val="0"/>
          <w:sz w:val="18"/>
        </w:rPr>
        <w:t>圆弧或斜角处理。</w:t>
      </w:r>
      <w:r>
        <w:rPr>
          <w:b w:val="0"/>
          <w:sz w:val="18"/>
        </w:rPr>
        <w:t xml:space="preserve"> </w:t>
      </w:r>
    </w:p>
    <w:p w14:paraId="67A69A42">
      <w:pPr>
        <w:pStyle w:val="96"/>
        <w:ind w:left="846" w:firstLine="360" w:firstLineChars="200"/>
        <w:jc w:val="left"/>
        <w:rPr>
          <w:b w:val="0"/>
          <w:sz w:val="18"/>
        </w:rPr>
      </w:pPr>
      <w:r>
        <w:rPr>
          <w:b w:val="0"/>
          <w:sz w:val="18"/>
        </w:rPr>
        <w:t>2</w:t>
      </w:r>
      <w:r>
        <w:rPr>
          <w:rFonts w:hint="eastAsia"/>
          <w:b w:val="0"/>
          <w:sz w:val="18"/>
        </w:rPr>
        <w:t>）检验方法：观察检查。</w:t>
      </w:r>
      <w:r>
        <w:rPr>
          <w:b w:val="0"/>
          <w:sz w:val="18"/>
        </w:rPr>
        <w:t xml:space="preserve"> </w:t>
      </w:r>
    </w:p>
    <w:p w14:paraId="65738757">
      <w:pPr>
        <w:pStyle w:val="96"/>
        <w:ind w:left="846" w:firstLine="360" w:firstLineChars="200"/>
        <w:jc w:val="left"/>
        <w:rPr>
          <w:b w:val="0"/>
          <w:sz w:val="18"/>
        </w:rPr>
      </w:pPr>
      <w:r>
        <w:rPr>
          <w:b w:val="0"/>
          <w:sz w:val="18"/>
        </w:rPr>
        <w:t>1</w:t>
      </w:r>
      <w:r>
        <w:rPr>
          <w:rFonts w:hint="eastAsia"/>
          <w:b w:val="0"/>
          <w:sz w:val="18"/>
        </w:rPr>
        <w:t>）进场的窗框符合设计与规范要求，所有缝隙采取密封防水措施，且型材拼缝间隙应≤</w:t>
      </w:r>
      <w:r>
        <w:rPr>
          <w:b w:val="0"/>
          <w:sz w:val="18"/>
        </w:rPr>
        <w:t>0.3mm</w:t>
      </w:r>
      <w:r>
        <w:rPr>
          <w:rFonts w:hint="eastAsia"/>
          <w:b w:val="0"/>
          <w:sz w:val="18"/>
        </w:rPr>
        <w:t>。</w:t>
      </w:r>
      <w:r>
        <w:rPr>
          <w:b w:val="0"/>
          <w:sz w:val="18"/>
        </w:rPr>
        <w:t xml:space="preserve"> </w:t>
      </w:r>
    </w:p>
    <w:p w14:paraId="16E8979B">
      <w:pPr>
        <w:pStyle w:val="96"/>
        <w:ind w:left="846" w:firstLine="360" w:firstLineChars="200"/>
        <w:jc w:val="left"/>
        <w:rPr>
          <w:b w:val="0"/>
          <w:sz w:val="18"/>
        </w:rPr>
      </w:pPr>
      <w:r>
        <w:rPr>
          <w:rFonts w:hint="eastAsia"/>
          <w:b w:val="0"/>
          <w:sz w:val="18"/>
        </w:rPr>
        <w:t>检验方法：观察检查。</w:t>
      </w:r>
      <w:r>
        <w:rPr>
          <w:b w:val="0"/>
          <w:sz w:val="18"/>
        </w:rPr>
        <w:t xml:space="preserve"> </w:t>
      </w:r>
    </w:p>
    <w:p w14:paraId="146E0934">
      <w:pPr>
        <w:pStyle w:val="96"/>
        <w:ind w:left="846" w:firstLine="360" w:firstLineChars="200"/>
        <w:jc w:val="left"/>
        <w:rPr>
          <w:b w:val="0"/>
          <w:sz w:val="18"/>
        </w:rPr>
      </w:pPr>
      <w:r>
        <w:rPr>
          <w:b w:val="0"/>
          <w:sz w:val="18"/>
        </w:rPr>
        <w:t>2</w:t>
      </w:r>
      <w:r>
        <w:rPr>
          <w:rFonts w:hint="eastAsia"/>
          <w:b w:val="0"/>
          <w:sz w:val="18"/>
        </w:rPr>
        <w:t>）门窗安装过程中的三线交接、窗框（副框）安装固定、发泡剂施打、密封胶施打等界面明</w:t>
      </w:r>
      <w:r>
        <w:rPr>
          <w:b w:val="0"/>
          <w:sz w:val="18"/>
        </w:rPr>
        <w:t xml:space="preserve"> </w:t>
      </w:r>
      <w:r>
        <w:rPr>
          <w:rFonts w:hint="eastAsia"/>
          <w:b w:val="0"/>
          <w:sz w:val="18"/>
        </w:rPr>
        <w:t>确，质量符合要求。</w:t>
      </w:r>
      <w:r>
        <w:rPr>
          <w:b w:val="0"/>
          <w:sz w:val="18"/>
        </w:rPr>
        <w:t xml:space="preserve"> </w:t>
      </w:r>
    </w:p>
    <w:p w14:paraId="793AC99D">
      <w:pPr>
        <w:pStyle w:val="96"/>
        <w:ind w:left="846" w:firstLine="360" w:firstLineChars="200"/>
        <w:jc w:val="left"/>
        <w:rPr>
          <w:b w:val="0"/>
          <w:sz w:val="18"/>
        </w:rPr>
      </w:pPr>
      <w:r>
        <w:rPr>
          <w:rFonts w:hint="eastAsia"/>
          <w:b w:val="0"/>
          <w:sz w:val="18"/>
        </w:rPr>
        <w:t>检验方法与数量：观察检查，尺测检查，全数检查。</w:t>
      </w:r>
      <w:r>
        <w:rPr>
          <w:b w:val="0"/>
          <w:sz w:val="18"/>
        </w:rPr>
        <w:t xml:space="preserve"> </w:t>
      </w:r>
    </w:p>
    <w:p w14:paraId="2765A764">
      <w:pPr>
        <w:pStyle w:val="96"/>
        <w:ind w:left="846" w:firstLine="360" w:firstLineChars="200"/>
        <w:jc w:val="left"/>
        <w:rPr>
          <w:b w:val="0"/>
          <w:sz w:val="18"/>
        </w:rPr>
      </w:pPr>
      <w:r>
        <w:rPr>
          <w:b w:val="0"/>
          <w:sz w:val="18"/>
        </w:rPr>
        <w:t>3</w:t>
      </w:r>
      <w:r>
        <w:rPr>
          <w:rFonts w:hint="eastAsia"/>
          <w:b w:val="0"/>
          <w:sz w:val="18"/>
        </w:rPr>
        <w:t>）若有钢副框，钢副框的角码与防水砂浆嵌缝符合要求，内外侧的粉刷、饰面符合节点图要</w:t>
      </w:r>
      <w:r>
        <w:rPr>
          <w:b w:val="0"/>
          <w:sz w:val="18"/>
        </w:rPr>
        <w:t xml:space="preserve"> </w:t>
      </w:r>
      <w:r>
        <w:rPr>
          <w:rFonts w:hint="eastAsia"/>
          <w:b w:val="0"/>
          <w:sz w:val="18"/>
        </w:rPr>
        <w:t>求。</w:t>
      </w:r>
      <w:r>
        <w:rPr>
          <w:b w:val="0"/>
          <w:sz w:val="18"/>
        </w:rPr>
        <w:t xml:space="preserve"> </w:t>
      </w:r>
    </w:p>
    <w:p w14:paraId="0A8FC282">
      <w:pPr>
        <w:pStyle w:val="96"/>
        <w:ind w:left="846" w:firstLine="360" w:firstLineChars="200"/>
        <w:jc w:val="left"/>
        <w:rPr>
          <w:b w:val="0"/>
          <w:sz w:val="18"/>
        </w:rPr>
      </w:pPr>
      <w:r>
        <w:rPr>
          <w:rFonts w:hint="eastAsia"/>
          <w:b w:val="0"/>
          <w:sz w:val="18"/>
        </w:rPr>
        <w:t>检验方法与数量：观察检查，全数检查。</w:t>
      </w:r>
      <w:r>
        <w:rPr>
          <w:b w:val="0"/>
          <w:sz w:val="18"/>
        </w:rPr>
        <w:t xml:space="preserve"> </w:t>
      </w:r>
    </w:p>
    <w:p w14:paraId="38D9CED1">
      <w:pPr>
        <w:pStyle w:val="96"/>
        <w:ind w:left="846" w:firstLine="360" w:firstLineChars="200"/>
        <w:jc w:val="left"/>
        <w:rPr>
          <w:b w:val="0"/>
          <w:sz w:val="18"/>
        </w:rPr>
      </w:pPr>
      <w:r>
        <w:rPr>
          <w:b w:val="0"/>
          <w:sz w:val="18"/>
        </w:rPr>
        <w:t>4</w:t>
      </w:r>
      <w:r>
        <w:rPr>
          <w:rFonts w:hint="eastAsia"/>
          <w:b w:val="0"/>
          <w:sz w:val="18"/>
        </w:rPr>
        <w:t>）窗框后的发泡剂施打连续，缝内无木楔或其它杂物。</w:t>
      </w:r>
      <w:r>
        <w:rPr>
          <w:b w:val="0"/>
          <w:sz w:val="18"/>
        </w:rPr>
        <w:t xml:space="preserve"> </w:t>
      </w:r>
    </w:p>
    <w:p w14:paraId="6B27519C">
      <w:pPr>
        <w:pStyle w:val="96"/>
        <w:ind w:left="846" w:firstLine="360" w:firstLineChars="200"/>
        <w:jc w:val="left"/>
        <w:rPr>
          <w:b w:val="0"/>
          <w:sz w:val="18"/>
        </w:rPr>
      </w:pPr>
      <w:r>
        <w:rPr>
          <w:rFonts w:hint="eastAsia"/>
          <w:b w:val="0"/>
          <w:sz w:val="18"/>
        </w:rPr>
        <w:t>检验方法与数量：观察检查，全数检查。</w:t>
      </w:r>
      <w:r>
        <w:rPr>
          <w:b w:val="0"/>
          <w:sz w:val="18"/>
        </w:rPr>
        <w:t xml:space="preserve"> </w:t>
      </w:r>
    </w:p>
    <w:p w14:paraId="47449BD3">
      <w:pPr>
        <w:pStyle w:val="96"/>
        <w:ind w:left="846" w:firstLine="360" w:firstLineChars="200"/>
        <w:jc w:val="left"/>
        <w:rPr>
          <w:b w:val="0"/>
          <w:sz w:val="18"/>
        </w:rPr>
      </w:pPr>
      <w:r>
        <w:rPr>
          <w:b w:val="0"/>
          <w:sz w:val="18"/>
        </w:rPr>
        <w:t>5</w:t>
      </w:r>
      <w:r>
        <w:rPr>
          <w:rFonts w:hint="eastAsia"/>
          <w:b w:val="0"/>
          <w:sz w:val="18"/>
        </w:rPr>
        <w:t>）密封胶施打连续、平整光洁，无漏打、脱胶、起皮、气孔等现象，与窗框、墙面有效咬合，</w:t>
      </w:r>
      <w:r>
        <w:rPr>
          <w:b w:val="0"/>
          <w:sz w:val="18"/>
        </w:rPr>
        <w:t xml:space="preserve"> </w:t>
      </w:r>
      <w:r>
        <w:rPr>
          <w:rFonts w:hint="eastAsia"/>
          <w:b w:val="0"/>
          <w:sz w:val="18"/>
        </w:rPr>
        <w:t>无露出窗框边的现象，密封胶施打应成圆弧状。</w:t>
      </w:r>
      <w:r>
        <w:rPr>
          <w:b w:val="0"/>
          <w:sz w:val="18"/>
        </w:rPr>
        <w:t xml:space="preserve"> </w:t>
      </w:r>
    </w:p>
    <w:p w14:paraId="5A531641">
      <w:pPr>
        <w:pStyle w:val="96"/>
        <w:ind w:left="846" w:firstLine="360" w:firstLineChars="200"/>
        <w:jc w:val="left"/>
        <w:rPr>
          <w:b w:val="0"/>
          <w:sz w:val="18"/>
        </w:rPr>
      </w:pPr>
      <w:r>
        <w:rPr>
          <w:rFonts w:hint="eastAsia"/>
          <w:b w:val="0"/>
          <w:sz w:val="18"/>
        </w:rPr>
        <w:t>检验方法与数量：观察检查，全数检查。</w:t>
      </w:r>
      <w:r>
        <w:rPr>
          <w:b w:val="0"/>
          <w:sz w:val="18"/>
        </w:rPr>
        <w:t xml:space="preserve"> </w:t>
      </w:r>
    </w:p>
    <w:p w14:paraId="462861DF">
      <w:pPr>
        <w:pStyle w:val="96"/>
        <w:ind w:left="846" w:firstLine="360" w:firstLineChars="200"/>
        <w:jc w:val="left"/>
        <w:rPr>
          <w:b w:val="0"/>
          <w:sz w:val="18"/>
        </w:rPr>
      </w:pPr>
      <w:r>
        <w:rPr>
          <w:b w:val="0"/>
          <w:sz w:val="18"/>
        </w:rPr>
        <w:t>6</w:t>
      </w:r>
      <w:r>
        <w:rPr>
          <w:rFonts w:hint="eastAsia"/>
          <w:b w:val="0"/>
          <w:sz w:val="18"/>
        </w:rPr>
        <w:t>）窗框型材拼缝处的密封、工艺孔的密封封堵、泄水口的功能、窗台的内外高差及外窗台的坡</w:t>
      </w:r>
      <w:r>
        <w:rPr>
          <w:b w:val="0"/>
          <w:sz w:val="18"/>
        </w:rPr>
        <w:t xml:space="preserve"> </w:t>
      </w:r>
      <w:r>
        <w:rPr>
          <w:rFonts w:hint="eastAsia"/>
          <w:b w:val="0"/>
          <w:sz w:val="18"/>
        </w:rPr>
        <w:t>度、窗顶的滴水槽或鹰嘴等内容符合要求。</w:t>
      </w:r>
      <w:r>
        <w:rPr>
          <w:b w:val="0"/>
          <w:sz w:val="18"/>
        </w:rPr>
        <w:t xml:space="preserve"> </w:t>
      </w:r>
    </w:p>
    <w:p w14:paraId="265F1043">
      <w:pPr>
        <w:pStyle w:val="96"/>
        <w:ind w:left="846" w:firstLine="360" w:firstLineChars="200"/>
        <w:jc w:val="left"/>
        <w:rPr>
          <w:b w:val="0"/>
          <w:sz w:val="18"/>
        </w:rPr>
      </w:pPr>
      <w:r>
        <w:rPr>
          <w:rFonts w:hint="eastAsia"/>
          <w:b w:val="0"/>
          <w:sz w:val="18"/>
        </w:rPr>
        <w:t>检验方法与数量：观察检查，全数检查。</w:t>
      </w:r>
      <w:r>
        <w:rPr>
          <w:b w:val="0"/>
          <w:sz w:val="18"/>
        </w:rPr>
        <w:t xml:space="preserve"> </w:t>
      </w:r>
    </w:p>
    <w:p w14:paraId="1D6C8875">
      <w:pPr>
        <w:pStyle w:val="96"/>
        <w:ind w:left="846" w:firstLine="360" w:firstLineChars="200"/>
        <w:jc w:val="left"/>
        <w:rPr>
          <w:b w:val="0"/>
          <w:sz w:val="18"/>
        </w:rPr>
      </w:pPr>
      <w:r>
        <w:rPr>
          <w:b w:val="0"/>
          <w:sz w:val="18"/>
        </w:rPr>
        <w:t>7</w:t>
      </w:r>
      <w:r>
        <w:rPr>
          <w:rFonts w:hint="eastAsia"/>
          <w:b w:val="0"/>
          <w:sz w:val="18"/>
        </w:rPr>
        <w:t>）验收过程中按实填写有关表格，验收过程中分次验收表格由监理与接收单位保管，验收完成</w:t>
      </w:r>
      <w:r>
        <w:rPr>
          <w:b w:val="0"/>
          <w:sz w:val="18"/>
        </w:rPr>
        <w:t xml:space="preserve"> </w:t>
      </w:r>
      <w:r>
        <w:rPr>
          <w:rFonts w:hint="eastAsia"/>
          <w:b w:val="0"/>
          <w:sz w:val="18"/>
        </w:rPr>
        <w:t>后由建设方与监理方内部存档备查，建设方核查数量不低于</w:t>
      </w:r>
      <w:r>
        <w:rPr>
          <w:b w:val="0"/>
          <w:sz w:val="18"/>
        </w:rPr>
        <w:t>l00%</w:t>
      </w:r>
      <w:r>
        <w:rPr>
          <w:rFonts w:hint="eastAsia"/>
          <w:b w:val="0"/>
          <w:sz w:val="18"/>
        </w:rPr>
        <w:t>。</w:t>
      </w:r>
      <w:r>
        <w:rPr>
          <w:b w:val="0"/>
          <w:sz w:val="18"/>
        </w:rPr>
        <w:t xml:space="preserve"> </w:t>
      </w:r>
    </w:p>
    <w:p w14:paraId="2EBEB52F">
      <w:pPr>
        <w:pStyle w:val="96"/>
        <w:ind w:left="846" w:firstLine="360" w:firstLineChars="200"/>
        <w:jc w:val="left"/>
        <w:rPr>
          <w:b w:val="0"/>
          <w:sz w:val="18"/>
        </w:rPr>
      </w:pPr>
    </w:p>
    <w:p w14:paraId="2910F69B">
      <w:pPr>
        <w:autoSpaceDE w:val="0"/>
        <w:autoSpaceDN w:val="0"/>
        <w:adjustRightInd w:val="0"/>
        <w:ind w:left="-1" w:firstLine="4"/>
        <w:jc w:val="left"/>
        <w:rPr>
          <w:rFonts w:ascii="黑体" w:hAnsi="黑体" w:cs="宋体"/>
          <w:kern w:val="0"/>
          <w:szCs w:val="18"/>
        </w:rPr>
      </w:pPr>
    </w:p>
    <w:p w14:paraId="4F9DBFC5">
      <w:pPr>
        <w:autoSpaceDE w:val="0"/>
        <w:autoSpaceDN w:val="0"/>
        <w:adjustRightInd w:val="0"/>
        <w:ind w:left="-1" w:firstLine="4"/>
        <w:jc w:val="left"/>
        <w:rPr>
          <w:rFonts w:ascii="黑体" w:hAnsi="黑体" w:cs="宋体"/>
          <w:kern w:val="0"/>
          <w:szCs w:val="18"/>
        </w:rPr>
      </w:pPr>
    </w:p>
    <w:p w14:paraId="7955F9CA">
      <w:pPr>
        <w:widowControl/>
        <w:jc w:val="left"/>
        <w:rPr>
          <w:rFonts w:ascii="黑体" w:hAnsi="黑体"/>
          <w:b/>
          <w:kern w:val="0"/>
          <w:szCs w:val="18"/>
        </w:rPr>
      </w:pPr>
      <w:bookmarkStart w:id="92" w:name="_Toc399689009"/>
      <w:r>
        <w:rPr>
          <w:szCs w:val="18"/>
        </w:rPr>
        <w:br w:type="page"/>
      </w:r>
    </w:p>
    <w:p w14:paraId="3B0D2C56">
      <w:pPr>
        <w:pStyle w:val="2"/>
        <w:ind w:left="365" w:hanging="365"/>
        <w:rPr>
          <w:sz w:val="21"/>
        </w:rPr>
      </w:pPr>
      <w:bookmarkStart w:id="93" w:name="_Toc174556814"/>
      <w:r>
        <w:rPr>
          <w:rFonts w:hint="eastAsia"/>
          <w:sz w:val="21"/>
        </w:rPr>
        <w:t>地面</w:t>
      </w:r>
      <w:bookmarkEnd w:id="92"/>
      <w:bookmarkEnd w:id="93"/>
    </w:p>
    <w:p w14:paraId="0BDC805E">
      <w:pPr>
        <w:pStyle w:val="3"/>
        <w:jc w:val="left"/>
      </w:pPr>
      <w:bookmarkStart w:id="94" w:name="_Toc399689010"/>
      <w:bookmarkStart w:id="95" w:name="_Toc174556815"/>
      <w:r>
        <w:rPr>
          <w:rFonts w:hint="eastAsia"/>
        </w:rPr>
        <w:t>概述</w:t>
      </w:r>
      <w:bookmarkEnd w:id="94"/>
      <w:bookmarkEnd w:id="95"/>
    </w:p>
    <w:p w14:paraId="3010A34D">
      <w:pPr>
        <w:pStyle w:val="97"/>
      </w:pPr>
      <w:r>
        <w:rPr>
          <w:rFonts w:hint="eastAsia"/>
        </w:rPr>
        <w:t>规范规程</w:t>
      </w:r>
    </w:p>
    <w:p w14:paraId="2825BC4E">
      <w:pPr>
        <w:pStyle w:val="111"/>
        <w:jc w:val="left"/>
      </w:pPr>
      <w:r>
        <w:rPr>
          <w:rFonts w:hint="eastAsia"/>
        </w:rPr>
        <w:t>《</w:t>
      </w:r>
      <w:r>
        <w:t>建筑地面工程施工质量验收规范</w:t>
      </w:r>
      <w:r>
        <w:rPr>
          <w:rFonts w:hint="eastAsia"/>
        </w:rPr>
        <w:t>》（</w:t>
      </w:r>
      <w:r>
        <w:t>GB50209</w:t>
      </w:r>
      <w:r>
        <w:rPr>
          <w:rFonts w:hint="eastAsia"/>
        </w:rPr>
        <w:t>）</w:t>
      </w:r>
    </w:p>
    <w:p w14:paraId="20BA09BB">
      <w:pPr>
        <w:pStyle w:val="111"/>
        <w:jc w:val="left"/>
      </w:pPr>
      <w:r>
        <w:rPr>
          <w:rFonts w:hint="eastAsia"/>
        </w:rPr>
        <w:t>《建筑地面设计规范》（GB50037）</w:t>
      </w:r>
    </w:p>
    <w:p w14:paraId="74CCB487">
      <w:pPr>
        <w:pStyle w:val="111"/>
        <w:jc w:val="left"/>
      </w:pPr>
      <w:r>
        <w:rPr>
          <w:rFonts w:hint="eastAsia"/>
        </w:rPr>
        <w:t>《建筑内部装修设计防火规范》（GB500222）</w:t>
      </w:r>
    </w:p>
    <w:p w14:paraId="7FF37ADE">
      <w:pPr>
        <w:pStyle w:val="111"/>
        <w:jc w:val="left"/>
      </w:pPr>
      <w:r>
        <w:rPr>
          <w:rFonts w:hint="eastAsia"/>
        </w:rPr>
        <w:t>《民用建筑工程室内环境污染控制规范》(GB50325)</w:t>
      </w:r>
    </w:p>
    <w:p w14:paraId="2F3F5C84">
      <w:pPr>
        <w:pStyle w:val="49"/>
        <w:tabs>
          <w:tab w:val="left" w:pos="0"/>
        </w:tabs>
        <w:spacing w:line="360" w:lineRule="auto"/>
        <w:ind w:firstLine="0" w:firstLineChars="0"/>
        <w:jc w:val="left"/>
        <w:rPr>
          <w:rFonts w:ascii="黑体" w:hAnsi="黑体" w:cs="宋体"/>
          <w:kern w:val="0"/>
          <w:szCs w:val="18"/>
        </w:rPr>
      </w:pPr>
    </w:p>
    <w:p w14:paraId="6940FF5A">
      <w:pPr>
        <w:pStyle w:val="97"/>
      </w:pPr>
      <w:r>
        <w:rPr>
          <w:rFonts w:hint="eastAsia"/>
        </w:rPr>
        <w:t>设计概况</w:t>
      </w:r>
    </w:p>
    <w:p w14:paraId="1222FCD7">
      <w:pPr>
        <w:widowControl/>
        <w:spacing w:line="360" w:lineRule="auto"/>
        <w:ind w:left="729" w:leftChars="405"/>
        <w:jc w:val="left"/>
        <w:rPr>
          <w:rFonts w:ascii="黑体" w:hAnsi="黑体" w:cs="宋体"/>
          <w:kern w:val="0"/>
          <w:szCs w:val="18"/>
        </w:rPr>
      </w:pPr>
      <w:r>
        <w:rPr>
          <w:rFonts w:hint="eastAsia" w:ascii="黑体" w:hAnsi="黑体" w:cs="宋体"/>
          <w:kern w:val="0"/>
          <w:szCs w:val="18"/>
        </w:rPr>
        <w:t>本章节涉及内容为非精装区的地面做法，包括车库的环氧砂浆地面、设备机房的</w:t>
      </w:r>
      <w:r>
        <w:rPr>
          <w:rFonts w:ascii="黑体" w:hAnsi="黑体" w:cs="宋体"/>
          <w:kern w:val="0"/>
          <w:szCs w:val="18"/>
        </w:rPr>
        <w:t>环氧薄涂面漆</w:t>
      </w:r>
      <w:r>
        <w:rPr>
          <w:rFonts w:hint="eastAsia" w:ascii="黑体" w:hAnsi="黑体" w:cs="宋体"/>
          <w:kern w:val="0"/>
          <w:szCs w:val="18"/>
        </w:rPr>
        <w:t>、电气机房的环氧防静电地坪地面，走道、管理用房的陶瓷地砖、地库坡道的花岗石、消防控制室的防静电地板。</w:t>
      </w:r>
    </w:p>
    <w:p w14:paraId="63B88278">
      <w:pPr>
        <w:widowControl/>
        <w:spacing w:line="360" w:lineRule="auto"/>
        <w:ind w:firstLine="318" w:firstLineChars="177"/>
        <w:jc w:val="left"/>
        <w:rPr>
          <w:rFonts w:ascii="黑体" w:hAnsi="黑体" w:cs="宋体"/>
          <w:kern w:val="0"/>
          <w:szCs w:val="18"/>
        </w:rPr>
      </w:pPr>
    </w:p>
    <w:p w14:paraId="6484801A">
      <w:pPr>
        <w:pStyle w:val="3"/>
        <w:jc w:val="left"/>
      </w:pPr>
      <w:bookmarkStart w:id="96" w:name="_Toc399689011"/>
      <w:bookmarkStart w:id="97" w:name="_Toc174556816"/>
      <w:r>
        <w:rPr>
          <w:rFonts w:hint="eastAsia"/>
        </w:rPr>
        <w:t>环氧地坪</w:t>
      </w:r>
      <w:bookmarkEnd w:id="96"/>
      <w:bookmarkEnd w:id="97"/>
    </w:p>
    <w:p w14:paraId="05E678B9">
      <w:pPr>
        <w:pStyle w:val="97"/>
      </w:pPr>
      <w:r>
        <w:rPr>
          <w:rFonts w:hint="eastAsia"/>
        </w:rPr>
        <w:t>使用部位</w:t>
      </w:r>
    </w:p>
    <w:p w14:paraId="75DDA623">
      <w:pPr>
        <w:pStyle w:val="111"/>
        <w:jc w:val="left"/>
      </w:pPr>
      <w:r>
        <w:rPr>
          <w:rFonts w:hint="eastAsia"/>
        </w:rPr>
        <w:t>环氧砂浆地面：机动车库、自行车停放处</w:t>
      </w:r>
    </w:p>
    <w:p w14:paraId="0CADAFF2">
      <w:pPr>
        <w:pStyle w:val="111"/>
        <w:jc w:val="left"/>
      </w:pPr>
      <w:r>
        <w:t>环氧薄涂面漆</w:t>
      </w:r>
      <w:r>
        <w:rPr>
          <w:rFonts w:hint="eastAsia"/>
        </w:rPr>
        <w:t>地面：设备机房</w:t>
      </w:r>
    </w:p>
    <w:p w14:paraId="2BEA2C8C">
      <w:pPr>
        <w:pStyle w:val="111"/>
        <w:jc w:val="left"/>
      </w:pPr>
      <w:r>
        <w:rPr>
          <w:rFonts w:hint="eastAsia"/>
        </w:rPr>
        <w:t>环氧防静电地坪地面：变配电间、弱电不间断电源房</w:t>
      </w:r>
    </w:p>
    <w:p w14:paraId="0FC229A6">
      <w:pPr>
        <w:pStyle w:val="97"/>
      </w:pPr>
      <w:r>
        <w:t>技术规范</w:t>
      </w:r>
      <w:r>
        <w:rPr>
          <w:rFonts w:hint="eastAsia"/>
        </w:rPr>
        <w:t>、规程、要求</w:t>
      </w:r>
    </w:p>
    <w:p w14:paraId="68F914FC">
      <w:pPr>
        <w:pStyle w:val="49"/>
        <w:numPr>
          <w:ilvl w:val="0"/>
          <w:numId w:val="90"/>
        </w:numPr>
        <w:spacing w:line="360" w:lineRule="auto"/>
        <w:ind w:firstLineChars="0"/>
        <w:jc w:val="left"/>
        <w:rPr>
          <w:rFonts w:ascii="黑体" w:hAnsi="黑体" w:cs="宋体"/>
          <w:kern w:val="0"/>
          <w:szCs w:val="18"/>
        </w:rPr>
      </w:pPr>
      <w:r>
        <w:rPr>
          <w:rFonts w:hint="eastAsia" w:ascii="黑体" w:hAnsi="黑体" w:cs="宋体"/>
          <w:kern w:val="0"/>
          <w:szCs w:val="18"/>
        </w:rPr>
        <w:t>《建筑地面设计规范》（GB50037）</w:t>
      </w:r>
    </w:p>
    <w:p w14:paraId="0A1B91BD">
      <w:pPr>
        <w:pStyle w:val="49"/>
        <w:numPr>
          <w:ilvl w:val="0"/>
          <w:numId w:val="90"/>
        </w:numPr>
        <w:spacing w:line="360" w:lineRule="auto"/>
        <w:ind w:firstLineChars="0"/>
        <w:jc w:val="left"/>
        <w:rPr>
          <w:rFonts w:ascii="黑体" w:hAnsi="黑体" w:cs="宋体"/>
          <w:kern w:val="0"/>
          <w:szCs w:val="18"/>
        </w:rPr>
      </w:pPr>
      <w:r>
        <w:rPr>
          <w:rFonts w:ascii="黑体" w:hAnsi="黑体" w:cs="宋体"/>
          <w:kern w:val="0"/>
          <w:szCs w:val="18"/>
        </w:rPr>
        <w:t>《地坪涂装材料》</w:t>
      </w:r>
      <w:r>
        <w:rPr>
          <w:rFonts w:hint="eastAsia" w:ascii="黑体" w:hAnsi="黑体" w:cs="宋体"/>
          <w:kern w:val="0"/>
          <w:szCs w:val="18"/>
        </w:rPr>
        <w:t>（</w:t>
      </w:r>
      <w:r>
        <w:rPr>
          <w:rFonts w:ascii="黑体" w:hAnsi="黑体" w:cs="宋体"/>
          <w:kern w:val="0"/>
          <w:szCs w:val="18"/>
        </w:rPr>
        <w:t>GB</w:t>
      </w:r>
      <w:r>
        <w:rPr>
          <w:rFonts w:hint="eastAsia" w:ascii="黑体" w:hAnsi="黑体" w:cs="宋体"/>
          <w:kern w:val="0"/>
          <w:szCs w:val="18"/>
        </w:rPr>
        <w:t>/</w:t>
      </w:r>
      <w:r>
        <w:rPr>
          <w:rFonts w:ascii="黑体" w:hAnsi="黑体" w:cs="宋体"/>
          <w:kern w:val="0"/>
          <w:szCs w:val="18"/>
        </w:rPr>
        <w:t>T22374</w:t>
      </w:r>
      <w:r>
        <w:rPr>
          <w:rFonts w:hint="eastAsia" w:ascii="黑体" w:hAnsi="黑体" w:cs="宋体"/>
          <w:kern w:val="0"/>
          <w:szCs w:val="18"/>
        </w:rPr>
        <w:t>）</w:t>
      </w:r>
    </w:p>
    <w:p w14:paraId="71A83D9A">
      <w:pPr>
        <w:pStyle w:val="49"/>
        <w:numPr>
          <w:ilvl w:val="0"/>
          <w:numId w:val="90"/>
        </w:numPr>
        <w:spacing w:line="360" w:lineRule="auto"/>
        <w:ind w:firstLineChars="0"/>
        <w:jc w:val="left"/>
        <w:rPr>
          <w:rFonts w:ascii="黑体" w:hAnsi="黑体" w:cs="宋体"/>
          <w:kern w:val="0"/>
          <w:szCs w:val="18"/>
        </w:rPr>
      </w:pPr>
      <w:r>
        <w:rPr>
          <w:rFonts w:ascii="黑体" w:hAnsi="黑体" w:cs="宋体"/>
          <w:kern w:val="0"/>
          <w:szCs w:val="18"/>
        </w:rPr>
        <w:t>《地坪涂料》</w:t>
      </w:r>
      <w:r>
        <w:rPr>
          <w:rFonts w:hint="eastAsia" w:ascii="黑体" w:hAnsi="黑体" w:cs="宋体"/>
          <w:kern w:val="0"/>
          <w:szCs w:val="18"/>
        </w:rPr>
        <w:t>(</w:t>
      </w:r>
      <w:r>
        <w:rPr>
          <w:rFonts w:ascii="黑体" w:hAnsi="黑体" w:cs="宋体"/>
          <w:kern w:val="0"/>
          <w:szCs w:val="18"/>
        </w:rPr>
        <w:t>HG</w:t>
      </w:r>
      <w:r>
        <w:rPr>
          <w:rFonts w:hint="eastAsia" w:ascii="黑体" w:hAnsi="黑体" w:cs="宋体"/>
          <w:kern w:val="0"/>
          <w:szCs w:val="18"/>
        </w:rPr>
        <w:t>/</w:t>
      </w:r>
      <w:r>
        <w:rPr>
          <w:rFonts w:ascii="黑体" w:hAnsi="黑体" w:cs="宋体"/>
          <w:kern w:val="0"/>
          <w:szCs w:val="18"/>
        </w:rPr>
        <w:t>T3829</w:t>
      </w:r>
      <w:r>
        <w:rPr>
          <w:rFonts w:hint="eastAsia" w:ascii="黑体" w:hAnsi="黑体" w:cs="宋体"/>
          <w:kern w:val="0"/>
          <w:szCs w:val="18"/>
        </w:rPr>
        <w:t>)</w:t>
      </w:r>
    </w:p>
    <w:p w14:paraId="62FB5E9C">
      <w:pPr>
        <w:pStyle w:val="49"/>
        <w:numPr>
          <w:ilvl w:val="0"/>
          <w:numId w:val="90"/>
        </w:numPr>
        <w:spacing w:line="360" w:lineRule="auto"/>
        <w:ind w:firstLineChars="0"/>
        <w:jc w:val="left"/>
        <w:rPr>
          <w:rFonts w:ascii="黑体" w:hAnsi="黑体" w:cs="宋体"/>
          <w:kern w:val="0"/>
          <w:szCs w:val="18"/>
        </w:rPr>
      </w:pPr>
      <w:r>
        <w:rPr>
          <w:rFonts w:ascii="黑体" w:hAnsi="黑体" w:cs="宋体"/>
          <w:kern w:val="0"/>
          <w:szCs w:val="18"/>
        </w:rPr>
        <w:t>《环氧树脂地面涂层材料》</w:t>
      </w:r>
      <w:r>
        <w:rPr>
          <w:rFonts w:hint="eastAsia" w:ascii="黑体" w:hAnsi="黑体" w:cs="宋体"/>
          <w:kern w:val="0"/>
          <w:szCs w:val="18"/>
        </w:rPr>
        <w:t>(</w:t>
      </w:r>
      <w:r>
        <w:rPr>
          <w:rFonts w:ascii="黑体" w:hAnsi="黑体" w:cs="宋体"/>
          <w:kern w:val="0"/>
          <w:szCs w:val="18"/>
        </w:rPr>
        <w:t>JC</w:t>
      </w:r>
      <w:r>
        <w:rPr>
          <w:rFonts w:hint="eastAsia" w:ascii="黑体" w:hAnsi="黑体" w:cs="宋体"/>
          <w:kern w:val="0"/>
          <w:szCs w:val="18"/>
        </w:rPr>
        <w:t>/</w:t>
      </w:r>
      <w:r>
        <w:rPr>
          <w:rFonts w:ascii="黑体" w:hAnsi="黑体" w:cs="宋体"/>
          <w:kern w:val="0"/>
          <w:szCs w:val="18"/>
        </w:rPr>
        <w:t>T1015</w:t>
      </w:r>
      <w:r>
        <w:rPr>
          <w:rFonts w:hint="eastAsia" w:ascii="黑体" w:hAnsi="黑体" w:cs="宋体"/>
          <w:kern w:val="0"/>
          <w:szCs w:val="18"/>
        </w:rPr>
        <w:t>)</w:t>
      </w:r>
    </w:p>
    <w:p w14:paraId="6E984948">
      <w:pPr>
        <w:pStyle w:val="49"/>
        <w:numPr>
          <w:ilvl w:val="0"/>
          <w:numId w:val="90"/>
        </w:numPr>
        <w:spacing w:line="360" w:lineRule="auto"/>
        <w:ind w:firstLineChars="0"/>
        <w:jc w:val="left"/>
        <w:rPr>
          <w:rFonts w:ascii="黑体" w:hAnsi="黑体" w:cs="宋体"/>
          <w:kern w:val="0"/>
          <w:szCs w:val="18"/>
        </w:rPr>
      </w:pPr>
      <w:r>
        <w:rPr>
          <w:rFonts w:ascii="黑体" w:hAnsi="黑体" w:cs="宋体"/>
          <w:kern w:val="0"/>
          <w:szCs w:val="18"/>
        </w:rPr>
        <w:t>《防静电地坪涂料通用规范》</w:t>
      </w:r>
      <w:r>
        <w:rPr>
          <w:rFonts w:hint="eastAsia" w:ascii="黑体" w:hAnsi="黑体" w:cs="宋体"/>
          <w:kern w:val="0"/>
          <w:szCs w:val="18"/>
        </w:rPr>
        <w:t>(</w:t>
      </w:r>
      <w:r>
        <w:rPr>
          <w:rFonts w:ascii="黑体" w:hAnsi="黑体" w:cs="宋体"/>
          <w:kern w:val="0"/>
          <w:szCs w:val="18"/>
        </w:rPr>
        <w:t>SJ</w:t>
      </w:r>
      <w:r>
        <w:rPr>
          <w:rFonts w:hint="eastAsia" w:ascii="黑体" w:hAnsi="黑体" w:cs="宋体"/>
          <w:kern w:val="0"/>
          <w:szCs w:val="18"/>
        </w:rPr>
        <w:t>/</w:t>
      </w:r>
      <w:r>
        <w:rPr>
          <w:rFonts w:ascii="黑体" w:hAnsi="黑体" w:cs="宋体"/>
          <w:kern w:val="0"/>
          <w:szCs w:val="18"/>
        </w:rPr>
        <w:t>T11294</w:t>
      </w:r>
      <w:r>
        <w:rPr>
          <w:rFonts w:hint="eastAsia" w:ascii="黑体" w:hAnsi="黑体" w:cs="宋体"/>
          <w:kern w:val="0"/>
          <w:szCs w:val="18"/>
        </w:rPr>
        <w:t>)</w:t>
      </w:r>
    </w:p>
    <w:p w14:paraId="5038D39D">
      <w:pPr>
        <w:pStyle w:val="49"/>
        <w:numPr>
          <w:ilvl w:val="0"/>
          <w:numId w:val="90"/>
        </w:numPr>
        <w:spacing w:line="360" w:lineRule="auto"/>
        <w:ind w:firstLineChars="0"/>
        <w:jc w:val="left"/>
        <w:rPr>
          <w:rFonts w:ascii="黑体" w:hAnsi="黑体" w:cs="宋体"/>
          <w:kern w:val="0"/>
          <w:szCs w:val="18"/>
        </w:rPr>
      </w:pPr>
      <w:r>
        <w:rPr>
          <w:rFonts w:hint="eastAsia" w:ascii="黑体" w:hAnsi="黑体" w:cs="宋体"/>
          <w:kern w:val="0"/>
          <w:szCs w:val="18"/>
        </w:rPr>
        <w:t>《环氧树脂自流平地面工程技术规范》（GB/T50589</w:t>
      </w:r>
      <w:r>
        <w:rPr>
          <w:rFonts w:ascii="黑体" w:hAnsi="黑体" w:cs="宋体"/>
          <w:kern w:val="0"/>
          <w:szCs w:val="18"/>
        </w:rPr>
        <w:t>）</w:t>
      </w:r>
    </w:p>
    <w:p w14:paraId="327A5D94">
      <w:pPr>
        <w:pStyle w:val="97"/>
      </w:pPr>
      <w:r>
        <w:rPr>
          <w:rFonts w:hint="eastAsia"/>
        </w:rPr>
        <w:t>技术要求</w:t>
      </w:r>
    </w:p>
    <w:p w14:paraId="24DD3F57">
      <w:pPr>
        <w:pStyle w:val="111"/>
        <w:jc w:val="left"/>
      </w:pPr>
      <w:r>
        <w:t>环氧树脂底层涂料</w:t>
      </w:r>
    </w:p>
    <w:tbl>
      <w:tblPr>
        <w:tblStyle w:val="3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1701"/>
        <w:gridCol w:w="1701"/>
        <w:gridCol w:w="4019"/>
      </w:tblGrid>
      <w:tr w14:paraId="3FD00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6740C658">
            <w:pPr>
              <w:pStyle w:val="49"/>
              <w:ind w:firstLine="0" w:firstLineChars="0"/>
              <w:jc w:val="left"/>
              <w:rPr>
                <w:rFonts w:ascii="黑体" w:hAnsi="黑体" w:cs="宋体"/>
                <w:kern w:val="0"/>
                <w:szCs w:val="18"/>
              </w:rPr>
            </w:pPr>
            <w:r>
              <w:rPr>
                <w:rFonts w:hint="eastAsia" w:ascii="黑体" w:hAnsi="黑体" w:cs="宋体"/>
                <w:kern w:val="0"/>
                <w:szCs w:val="18"/>
              </w:rPr>
              <w:t>序号</w:t>
            </w:r>
          </w:p>
        </w:tc>
        <w:tc>
          <w:tcPr>
            <w:tcW w:w="3402" w:type="dxa"/>
            <w:gridSpan w:val="2"/>
          </w:tcPr>
          <w:p w14:paraId="3441921F">
            <w:pPr>
              <w:pStyle w:val="49"/>
              <w:ind w:firstLine="0" w:firstLineChars="0"/>
              <w:jc w:val="left"/>
              <w:rPr>
                <w:rFonts w:ascii="黑体" w:hAnsi="黑体" w:cs="宋体"/>
                <w:kern w:val="0"/>
                <w:szCs w:val="18"/>
              </w:rPr>
            </w:pPr>
            <w:r>
              <w:rPr>
                <w:rFonts w:hint="eastAsia" w:ascii="黑体" w:hAnsi="黑体" w:cs="宋体"/>
                <w:kern w:val="0"/>
                <w:szCs w:val="18"/>
              </w:rPr>
              <w:t>项目</w:t>
            </w:r>
          </w:p>
        </w:tc>
        <w:tc>
          <w:tcPr>
            <w:tcW w:w="4019" w:type="dxa"/>
          </w:tcPr>
          <w:p w14:paraId="62D24F17">
            <w:pPr>
              <w:pStyle w:val="49"/>
              <w:ind w:firstLine="0" w:firstLineChars="0"/>
              <w:jc w:val="left"/>
              <w:rPr>
                <w:rFonts w:ascii="黑体" w:hAnsi="黑体" w:cs="宋体"/>
                <w:kern w:val="0"/>
                <w:szCs w:val="18"/>
              </w:rPr>
            </w:pPr>
            <w:r>
              <w:rPr>
                <w:rFonts w:hint="eastAsia" w:ascii="黑体" w:hAnsi="黑体"/>
                <w:szCs w:val="18"/>
              </w:rPr>
              <w:t xml:space="preserve">技 术 </w:t>
            </w:r>
            <w:r>
              <w:rPr>
                <w:rFonts w:ascii="黑体" w:hAnsi="黑体"/>
                <w:szCs w:val="18"/>
              </w:rPr>
              <w:t>指 标</w:t>
            </w:r>
          </w:p>
        </w:tc>
      </w:tr>
      <w:tr w14:paraId="3B2CE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7B126BD2">
            <w:pPr>
              <w:pStyle w:val="49"/>
              <w:ind w:firstLine="0" w:firstLineChars="0"/>
              <w:jc w:val="left"/>
              <w:rPr>
                <w:rFonts w:ascii="黑体" w:hAnsi="黑体" w:cs="宋体"/>
                <w:kern w:val="0"/>
                <w:szCs w:val="18"/>
              </w:rPr>
            </w:pPr>
            <w:r>
              <w:rPr>
                <w:rFonts w:hint="eastAsia" w:ascii="黑体" w:hAnsi="黑体" w:cs="宋体"/>
                <w:kern w:val="0"/>
                <w:szCs w:val="18"/>
              </w:rPr>
              <w:t>1</w:t>
            </w:r>
          </w:p>
        </w:tc>
        <w:tc>
          <w:tcPr>
            <w:tcW w:w="3402" w:type="dxa"/>
            <w:gridSpan w:val="2"/>
          </w:tcPr>
          <w:p w14:paraId="77BF4562">
            <w:pPr>
              <w:pStyle w:val="31"/>
              <w:rPr>
                <w:rFonts w:ascii="黑体" w:hAnsi="黑体"/>
                <w:sz w:val="18"/>
                <w:szCs w:val="18"/>
              </w:rPr>
            </w:pPr>
            <w:r>
              <w:rPr>
                <w:rFonts w:ascii="黑体" w:hAnsi="黑体"/>
                <w:sz w:val="18"/>
                <w:szCs w:val="18"/>
              </w:rPr>
              <w:t>容器中的状态</w:t>
            </w:r>
          </w:p>
        </w:tc>
        <w:tc>
          <w:tcPr>
            <w:tcW w:w="4019" w:type="dxa"/>
          </w:tcPr>
          <w:p w14:paraId="0B0B24A2">
            <w:pPr>
              <w:pStyle w:val="31"/>
              <w:rPr>
                <w:rFonts w:ascii="黑体" w:hAnsi="黑体"/>
                <w:sz w:val="18"/>
                <w:szCs w:val="18"/>
              </w:rPr>
            </w:pPr>
            <w:r>
              <w:rPr>
                <w:rFonts w:ascii="黑体" w:hAnsi="黑体"/>
                <w:sz w:val="18"/>
                <w:szCs w:val="18"/>
              </w:rPr>
              <w:t>搅拌后无硬块，呈均匀状态</w:t>
            </w:r>
          </w:p>
        </w:tc>
      </w:tr>
      <w:tr w14:paraId="4DC08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5C54EA40">
            <w:pPr>
              <w:pStyle w:val="49"/>
              <w:ind w:firstLine="0" w:firstLineChars="0"/>
              <w:jc w:val="left"/>
              <w:rPr>
                <w:rFonts w:ascii="黑体" w:hAnsi="黑体" w:cs="宋体"/>
                <w:kern w:val="0"/>
                <w:szCs w:val="18"/>
              </w:rPr>
            </w:pPr>
            <w:r>
              <w:rPr>
                <w:rFonts w:hint="eastAsia" w:ascii="黑体" w:hAnsi="黑体" w:cs="宋体"/>
                <w:kern w:val="0"/>
                <w:szCs w:val="18"/>
              </w:rPr>
              <w:t>2</w:t>
            </w:r>
          </w:p>
        </w:tc>
        <w:tc>
          <w:tcPr>
            <w:tcW w:w="3402" w:type="dxa"/>
            <w:gridSpan w:val="2"/>
          </w:tcPr>
          <w:p w14:paraId="1627B1AE">
            <w:pPr>
              <w:pStyle w:val="31"/>
              <w:rPr>
                <w:rFonts w:ascii="黑体" w:hAnsi="黑体"/>
                <w:sz w:val="18"/>
                <w:szCs w:val="18"/>
              </w:rPr>
            </w:pPr>
            <w:r>
              <w:rPr>
                <w:rFonts w:ascii="黑体" w:hAnsi="黑体"/>
                <w:sz w:val="18"/>
                <w:szCs w:val="18"/>
              </w:rPr>
              <w:t>涂膜外观</w:t>
            </w:r>
          </w:p>
        </w:tc>
        <w:tc>
          <w:tcPr>
            <w:tcW w:w="4019" w:type="dxa"/>
          </w:tcPr>
          <w:p w14:paraId="4FD7558E">
            <w:pPr>
              <w:pStyle w:val="31"/>
              <w:rPr>
                <w:rFonts w:ascii="黑体" w:hAnsi="黑体"/>
                <w:sz w:val="18"/>
                <w:szCs w:val="18"/>
              </w:rPr>
            </w:pPr>
            <w:r>
              <w:rPr>
                <w:rFonts w:ascii="黑体" w:hAnsi="黑体"/>
                <w:sz w:val="18"/>
                <w:szCs w:val="18"/>
              </w:rPr>
              <w:t>平整，无折皱、针孔、气泡等缺陷</w:t>
            </w:r>
          </w:p>
        </w:tc>
      </w:tr>
      <w:tr w14:paraId="2C0E2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5BDB8AA2">
            <w:pPr>
              <w:pStyle w:val="49"/>
              <w:ind w:firstLine="0" w:firstLineChars="0"/>
              <w:jc w:val="left"/>
              <w:rPr>
                <w:rFonts w:ascii="黑体" w:hAnsi="黑体" w:cs="宋体"/>
                <w:kern w:val="0"/>
                <w:szCs w:val="18"/>
              </w:rPr>
            </w:pPr>
            <w:r>
              <w:rPr>
                <w:rFonts w:hint="eastAsia" w:ascii="黑体" w:hAnsi="黑体" w:cs="宋体"/>
                <w:kern w:val="0"/>
                <w:szCs w:val="18"/>
              </w:rPr>
              <w:t>3</w:t>
            </w:r>
          </w:p>
        </w:tc>
        <w:tc>
          <w:tcPr>
            <w:tcW w:w="3402" w:type="dxa"/>
            <w:gridSpan w:val="2"/>
          </w:tcPr>
          <w:p w14:paraId="4B9A8D65">
            <w:pPr>
              <w:pStyle w:val="31"/>
              <w:rPr>
                <w:rFonts w:ascii="黑体" w:hAnsi="黑体" w:cs="宋体"/>
                <w:sz w:val="18"/>
                <w:szCs w:val="18"/>
              </w:rPr>
            </w:pPr>
            <w:r>
              <w:rPr>
                <w:rFonts w:ascii="黑体" w:hAnsi="黑体"/>
                <w:sz w:val="18"/>
                <w:szCs w:val="18"/>
              </w:rPr>
              <w:t>固体含量,%　　　≥</w:t>
            </w:r>
          </w:p>
        </w:tc>
        <w:tc>
          <w:tcPr>
            <w:tcW w:w="4019" w:type="dxa"/>
          </w:tcPr>
          <w:p w14:paraId="43CF9BA0">
            <w:pPr>
              <w:pStyle w:val="31"/>
              <w:rPr>
                <w:rFonts w:ascii="黑体" w:hAnsi="黑体"/>
                <w:sz w:val="18"/>
                <w:szCs w:val="18"/>
              </w:rPr>
            </w:pPr>
            <w:r>
              <w:rPr>
                <w:rFonts w:ascii="黑体" w:hAnsi="黑体"/>
                <w:sz w:val="18"/>
                <w:szCs w:val="18"/>
              </w:rPr>
              <w:t>95</w:t>
            </w:r>
          </w:p>
        </w:tc>
      </w:tr>
      <w:tr w14:paraId="0809F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jc w:val="center"/>
        </w:trPr>
        <w:tc>
          <w:tcPr>
            <w:tcW w:w="1101" w:type="dxa"/>
            <w:vMerge w:val="restart"/>
          </w:tcPr>
          <w:p w14:paraId="61D3F903">
            <w:pPr>
              <w:pStyle w:val="49"/>
              <w:ind w:firstLine="0" w:firstLineChars="0"/>
              <w:jc w:val="left"/>
              <w:rPr>
                <w:rFonts w:ascii="黑体" w:hAnsi="黑体" w:cs="宋体"/>
                <w:kern w:val="0"/>
                <w:szCs w:val="18"/>
              </w:rPr>
            </w:pPr>
            <w:r>
              <w:rPr>
                <w:rFonts w:hint="eastAsia" w:ascii="黑体" w:hAnsi="黑体" w:cs="宋体"/>
                <w:kern w:val="0"/>
                <w:szCs w:val="18"/>
              </w:rPr>
              <w:t>4</w:t>
            </w:r>
          </w:p>
        </w:tc>
        <w:tc>
          <w:tcPr>
            <w:tcW w:w="1701" w:type="dxa"/>
            <w:vMerge w:val="restart"/>
          </w:tcPr>
          <w:p w14:paraId="74AE4296">
            <w:pPr>
              <w:pStyle w:val="31"/>
              <w:rPr>
                <w:rFonts w:ascii="黑体" w:hAnsi="黑体"/>
                <w:sz w:val="18"/>
                <w:szCs w:val="18"/>
              </w:rPr>
            </w:pPr>
            <w:r>
              <w:rPr>
                <w:rFonts w:ascii="黑体" w:hAnsi="黑体"/>
                <w:sz w:val="18"/>
                <w:szCs w:val="18"/>
              </w:rPr>
              <w:t>干燥时间，h</w:t>
            </w:r>
          </w:p>
          <w:p w14:paraId="13D66C35">
            <w:pPr>
              <w:pStyle w:val="31"/>
              <w:rPr>
                <w:rFonts w:ascii="黑体" w:hAnsi="黑体"/>
                <w:sz w:val="18"/>
                <w:szCs w:val="18"/>
              </w:rPr>
            </w:pPr>
          </w:p>
        </w:tc>
        <w:tc>
          <w:tcPr>
            <w:tcW w:w="1701" w:type="dxa"/>
          </w:tcPr>
          <w:p w14:paraId="6AC78FA9">
            <w:pPr>
              <w:pStyle w:val="31"/>
              <w:rPr>
                <w:rFonts w:ascii="黑体" w:hAnsi="黑体"/>
                <w:sz w:val="18"/>
                <w:szCs w:val="18"/>
              </w:rPr>
            </w:pPr>
            <w:r>
              <w:rPr>
                <w:rFonts w:ascii="黑体" w:hAnsi="黑体"/>
                <w:sz w:val="18"/>
                <w:szCs w:val="18"/>
              </w:rPr>
              <w:t>表干　 ≤</w:t>
            </w:r>
          </w:p>
        </w:tc>
        <w:tc>
          <w:tcPr>
            <w:tcW w:w="4019" w:type="dxa"/>
          </w:tcPr>
          <w:p w14:paraId="407FC8DC">
            <w:pPr>
              <w:pStyle w:val="31"/>
              <w:rPr>
                <w:rFonts w:ascii="黑体" w:hAnsi="黑体"/>
                <w:sz w:val="18"/>
                <w:szCs w:val="18"/>
              </w:rPr>
            </w:pPr>
            <w:r>
              <w:rPr>
                <w:rFonts w:ascii="黑体" w:hAnsi="黑体"/>
                <w:sz w:val="18"/>
                <w:szCs w:val="18"/>
              </w:rPr>
              <w:t>8</w:t>
            </w:r>
          </w:p>
        </w:tc>
      </w:tr>
      <w:tr w14:paraId="6CC3C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jc w:val="center"/>
        </w:trPr>
        <w:tc>
          <w:tcPr>
            <w:tcW w:w="1101" w:type="dxa"/>
            <w:vMerge w:val="continue"/>
          </w:tcPr>
          <w:p w14:paraId="11858497">
            <w:pPr>
              <w:pStyle w:val="49"/>
              <w:ind w:firstLine="0" w:firstLineChars="0"/>
              <w:jc w:val="left"/>
              <w:rPr>
                <w:rFonts w:ascii="黑体" w:hAnsi="黑体" w:cs="宋体"/>
                <w:kern w:val="0"/>
                <w:szCs w:val="18"/>
              </w:rPr>
            </w:pPr>
          </w:p>
        </w:tc>
        <w:tc>
          <w:tcPr>
            <w:tcW w:w="1701" w:type="dxa"/>
            <w:vMerge w:val="continue"/>
          </w:tcPr>
          <w:p w14:paraId="1AD8EE95">
            <w:pPr>
              <w:pStyle w:val="31"/>
              <w:rPr>
                <w:rFonts w:ascii="黑体" w:hAnsi="黑体"/>
                <w:sz w:val="18"/>
                <w:szCs w:val="18"/>
              </w:rPr>
            </w:pPr>
          </w:p>
        </w:tc>
        <w:tc>
          <w:tcPr>
            <w:tcW w:w="1701" w:type="dxa"/>
          </w:tcPr>
          <w:p w14:paraId="7739BFB5">
            <w:pPr>
              <w:pStyle w:val="31"/>
              <w:rPr>
                <w:rFonts w:ascii="黑体" w:hAnsi="黑体"/>
                <w:sz w:val="18"/>
                <w:szCs w:val="18"/>
              </w:rPr>
            </w:pPr>
            <w:r>
              <w:rPr>
                <w:rFonts w:ascii="黑体" w:hAnsi="黑体"/>
                <w:sz w:val="18"/>
                <w:szCs w:val="18"/>
              </w:rPr>
              <w:t>实干　 ≤</w:t>
            </w:r>
          </w:p>
        </w:tc>
        <w:tc>
          <w:tcPr>
            <w:tcW w:w="4019" w:type="dxa"/>
          </w:tcPr>
          <w:p w14:paraId="1C8C8F64">
            <w:pPr>
              <w:pStyle w:val="31"/>
              <w:rPr>
                <w:rFonts w:ascii="黑体" w:hAnsi="黑体"/>
                <w:sz w:val="18"/>
                <w:szCs w:val="18"/>
              </w:rPr>
            </w:pPr>
            <w:r>
              <w:rPr>
                <w:rFonts w:ascii="黑体" w:hAnsi="黑体"/>
                <w:sz w:val="18"/>
                <w:szCs w:val="18"/>
              </w:rPr>
              <w:t>24</w:t>
            </w:r>
          </w:p>
        </w:tc>
      </w:tr>
      <w:tr w14:paraId="20960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1A445D18">
            <w:pPr>
              <w:pStyle w:val="49"/>
              <w:ind w:firstLine="0" w:firstLineChars="0"/>
              <w:jc w:val="left"/>
              <w:rPr>
                <w:rFonts w:ascii="黑体" w:hAnsi="黑体" w:cs="宋体"/>
                <w:kern w:val="0"/>
                <w:szCs w:val="18"/>
              </w:rPr>
            </w:pPr>
            <w:r>
              <w:rPr>
                <w:rFonts w:hint="eastAsia" w:ascii="黑体" w:hAnsi="黑体" w:cs="宋体"/>
                <w:kern w:val="0"/>
                <w:szCs w:val="18"/>
              </w:rPr>
              <w:t>5</w:t>
            </w:r>
          </w:p>
        </w:tc>
        <w:tc>
          <w:tcPr>
            <w:tcW w:w="3402" w:type="dxa"/>
            <w:gridSpan w:val="2"/>
          </w:tcPr>
          <w:p w14:paraId="4F4CCBFF">
            <w:pPr>
              <w:pStyle w:val="31"/>
              <w:rPr>
                <w:rFonts w:ascii="黑体" w:hAnsi="黑体"/>
                <w:sz w:val="18"/>
                <w:szCs w:val="18"/>
              </w:rPr>
            </w:pPr>
            <w:r>
              <w:rPr>
                <w:rFonts w:ascii="黑体" w:hAnsi="黑体"/>
                <w:sz w:val="18"/>
                <w:szCs w:val="18"/>
              </w:rPr>
              <w:t>7d抗压强度，MPa　≥</w:t>
            </w:r>
          </w:p>
        </w:tc>
        <w:tc>
          <w:tcPr>
            <w:tcW w:w="4019" w:type="dxa"/>
          </w:tcPr>
          <w:p w14:paraId="2EC45469">
            <w:pPr>
              <w:pStyle w:val="49"/>
              <w:ind w:firstLine="360"/>
              <w:jc w:val="left"/>
              <w:rPr>
                <w:rFonts w:ascii="黑体" w:hAnsi="黑体" w:cs="宋体"/>
                <w:kern w:val="0"/>
                <w:szCs w:val="18"/>
              </w:rPr>
            </w:pPr>
            <w:r>
              <w:rPr>
                <w:rFonts w:hint="eastAsia" w:ascii="黑体" w:hAnsi="黑体" w:cs="宋体"/>
                <w:kern w:val="0"/>
                <w:szCs w:val="18"/>
              </w:rPr>
              <w:t>60</w:t>
            </w:r>
          </w:p>
        </w:tc>
      </w:tr>
      <w:tr w14:paraId="6B8A4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1A90205F">
            <w:pPr>
              <w:pStyle w:val="49"/>
              <w:ind w:firstLine="0" w:firstLineChars="0"/>
              <w:jc w:val="left"/>
              <w:rPr>
                <w:rFonts w:ascii="黑体" w:hAnsi="黑体" w:cs="宋体"/>
                <w:kern w:val="0"/>
                <w:szCs w:val="18"/>
              </w:rPr>
            </w:pPr>
            <w:r>
              <w:rPr>
                <w:rFonts w:hint="eastAsia" w:ascii="黑体" w:hAnsi="黑体" w:cs="宋体"/>
                <w:kern w:val="0"/>
                <w:szCs w:val="18"/>
              </w:rPr>
              <w:t>6</w:t>
            </w:r>
          </w:p>
        </w:tc>
        <w:tc>
          <w:tcPr>
            <w:tcW w:w="3402" w:type="dxa"/>
            <w:gridSpan w:val="2"/>
          </w:tcPr>
          <w:p w14:paraId="317EF615">
            <w:pPr>
              <w:pStyle w:val="31"/>
              <w:rPr>
                <w:rFonts w:ascii="黑体" w:hAnsi="黑体"/>
                <w:sz w:val="18"/>
                <w:szCs w:val="18"/>
              </w:rPr>
            </w:pPr>
            <w:r>
              <w:rPr>
                <w:rFonts w:ascii="黑体" w:hAnsi="黑体"/>
                <w:sz w:val="18"/>
                <w:szCs w:val="18"/>
              </w:rPr>
              <w:t>7d拉伸粘结强度，MPa≥</w:t>
            </w:r>
          </w:p>
        </w:tc>
        <w:tc>
          <w:tcPr>
            <w:tcW w:w="4019" w:type="dxa"/>
          </w:tcPr>
          <w:p w14:paraId="534F6369">
            <w:pPr>
              <w:pStyle w:val="49"/>
              <w:ind w:firstLine="360"/>
              <w:jc w:val="left"/>
              <w:rPr>
                <w:rFonts w:ascii="黑体" w:hAnsi="黑体" w:cs="宋体"/>
                <w:kern w:val="0"/>
                <w:szCs w:val="18"/>
              </w:rPr>
            </w:pPr>
            <w:r>
              <w:rPr>
                <w:rFonts w:hint="eastAsia" w:ascii="黑体" w:hAnsi="黑体" w:cs="宋体"/>
                <w:kern w:val="0"/>
                <w:szCs w:val="18"/>
              </w:rPr>
              <w:t>2.0</w:t>
            </w:r>
          </w:p>
        </w:tc>
      </w:tr>
      <w:tr w14:paraId="5B088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4B73E3ED">
            <w:pPr>
              <w:pStyle w:val="49"/>
              <w:ind w:firstLine="0" w:firstLineChars="0"/>
              <w:jc w:val="left"/>
              <w:rPr>
                <w:rFonts w:ascii="黑体" w:hAnsi="黑体" w:cs="宋体"/>
                <w:kern w:val="0"/>
                <w:szCs w:val="18"/>
              </w:rPr>
            </w:pPr>
            <w:r>
              <w:rPr>
                <w:rFonts w:hint="eastAsia" w:ascii="黑体" w:hAnsi="黑体" w:cs="宋体"/>
                <w:kern w:val="0"/>
                <w:szCs w:val="18"/>
              </w:rPr>
              <w:t>7</w:t>
            </w:r>
          </w:p>
        </w:tc>
        <w:tc>
          <w:tcPr>
            <w:tcW w:w="3402" w:type="dxa"/>
            <w:gridSpan w:val="2"/>
          </w:tcPr>
          <w:p w14:paraId="5B863569">
            <w:pPr>
              <w:pStyle w:val="31"/>
              <w:rPr>
                <w:rFonts w:ascii="黑体" w:hAnsi="黑体"/>
                <w:sz w:val="18"/>
                <w:szCs w:val="18"/>
              </w:rPr>
            </w:pPr>
            <w:r>
              <w:rPr>
                <w:rFonts w:ascii="黑体" w:hAnsi="黑体"/>
                <w:sz w:val="18"/>
                <w:szCs w:val="18"/>
              </w:rPr>
              <w:t>邵氏硬度（D型）　≥</w:t>
            </w:r>
          </w:p>
        </w:tc>
        <w:tc>
          <w:tcPr>
            <w:tcW w:w="4019" w:type="dxa"/>
          </w:tcPr>
          <w:p w14:paraId="3DCBEAB7">
            <w:pPr>
              <w:pStyle w:val="49"/>
              <w:ind w:firstLine="450" w:firstLineChars="250"/>
              <w:jc w:val="left"/>
              <w:rPr>
                <w:rFonts w:ascii="黑体" w:hAnsi="黑体"/>
                <w:szCs w:val="18"/>
              </w:rPr>
            </w:pPr>
            <w:r>
              <w:rPr>
                <w:rFonts w:hint="eastAsia" w:ascii="黑体" w:hAnsi="黑体"/>
                <w:szCs w:val="18"/>
              </w:rPr>
              <w:t>70</w:t>
            </w:r>
          </w:p>
        </w:tc>
      </w:tr>
      <w:tr w14:paraId="337B9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7FD5D428">
            <w:pPr>
              <w:pStyle w:val="49"/>
              <w:ind w:firstLine="0" w:firstLineChars="0"/>
              <w:jc w:val="left"/>
              <w:rPr>
                <w:rFonts w:ascii="黑体" w:hAnsi="黑体" w:cs="宋体"/>
                <w:kern w:val="0"/>
                <w:szCs w:val="18"/>
              </w:rPr>
            </w:pPr>
            <w:r>
              <w:rPr>
                <w:rFonts w:hint="eastAsia" w:ascii="黑体" w:hAnsi="黑体" w:cs="宋体"/>
                <w:kern w:val="0"/>
                <w:szCs w:val="18"/>
              </w:rPr>
              <w:t>8</w:t>
            </w:r>
          </w:p>
        </w:tc>
        <w:tc>
          <w:tcPr>
            <w:tcW w:w="3402" w:type="dxa"/>
            <w:gridSpan w:val="2"/>
          </w:tcPr>
          <w:p w14:paraId="11364FCB">
            <w:pPr>
              <w:pStyle w:val="31"/>
              <w:rPr>
                <w:rFonts w:ascii="黑体" w:hAnsi="黑体"/>
                <w:sz w:val="18"/>
                <w:szCs w:val="18"/>
              </w:rPr>
            </w:pPr>
            <w:r>
              <w:rPr>
                <w:rFonts w:ascii="黑体" w:hAnsi="黑体"/>
                <w:sz w:val="18"/>
                <w:szCs w:val="18"/>
              </w:rPr>
              <w:t>抗冲击性，Φ60mm， 1000g的钢球</w:t>
            </w:r>
          </w:p>
        </w:tc>
        <w:tc>
          <w:tcPr>
            <w:tcW w:w="4019" w:type="dxa"/>
          </w:tcPr>
          <w:p w14:paraId="31A4CD52">
            <w:pPr>
              <w:pStyle w:val="31"/>
              <w:rPr>
                <w:rFonts w:ascii="黑体" w:hAnsi="黑体"/>
                <w:sz w:val="18"/>
                <w:szCs w:val="18"/>
              </w:rPr>
            </w:pPr>
            <w:r>
              <w:rPr>
                <w:rFonts w:ascii="黑体" w:hAnsi="黑体"/>
                <w:sz w:val="18"/>
                <w:szCs w:val="18"/>
              </w:rPr>
              <w:t>涂膜无裂纹、无剥落</w:t>
            </w:r>
          </w:p>
        </w:tc>
      </w:tr>
      <w:tr w14:paraId="52793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09800F08">
            <w:pPr>
              <w:pStyle w:val="49"/>
              <w:ind w:firstLine="0" w:firstLineChars="0"/>
              <w:jc w:val="left"/>
              <w:rPr>
                <w:rFonts w:ascii="黑体" w:hAnsi="黑体" w:cs="宋体"/>
                <w:kern w:val="0"/>
                <w:szCs w:val="18"/>
              </w:rPr>
            </w:pPr>
            <w:r>
              <w:rPr>
                <w:rFonts w:hint="eastAsia" w:ascii="黑体" w:hAnsi="黑体" w:cs="宋体"/>
                <w:kern w:val="0"/>
                <w:szCs w:val="18"/>
              </w:rPr>
              <w:t>9</w:t>
            </w:r>
          </w:p>
        </w:tc>
        <w:tc>
          <w:tcPr>
            <w:tcW w:w="3402" w:type="dxa"/>
            <w:gridSpan w:val="2"/>
          </w:tcPr>
          <w:p w14:paraId="4C1AF208">
            <w:pPr>
              <w:pStyle w:val="31"/>
              <w:rPr>
                <w:rFonts w:ascii="黑体" w:hAnsi="黑体"/>
                <w:sz w:val="18"/>
                <w:szCs w:val="18"/>
              </w:rPr>
            </w:pPr>
            <w:r>
              <w:rPr>
                <w:rFonts w:ascii="黑体" w:hAnsi="黑体"/>
                <w:sz w:val="18"/>
                <w:szCs w:val="18"/>
              </w:rPr>
              <w:t>耐磨性，g　　≤</w:t>
            </w:r>
          </w:p>
        </w:tc>
        <w:tc>
          <w:tcPr>
            <w:tcW w:w="4019" w:type="dxa"/>
          </w:tcPr>
          <w:p w14:paraId="5FCAB2E5">
            <w:pPr>
              <w:pStyle w:val="49"/>
              <w:ind w:firstLine="0" w:firstLineChars="0"/>
              <w:jc w:val="left"/>
              <w:rPr>
                <w:rFonts w:ascii="黑体" w:hAnsi="黑体" w:cs="宋体"/>
                <w:kern w:val="0"/>
                <w:szCs w:val="18"/>
              </w:rPr>
            </w:pPr>
            <w:r>
              <w:rPr>
                <w:rFonts w:hint="eastAsia" w:ascii="黑体" w:hAnsi="黑体" w:cs="宋体"/>
                <w:kern w:val="0"/>
                <w:szCs w:val="18"/>
              </w:rPr>
              <w:t>0.15</w:t>
            </w:r>
          </w:p>
        </w:tc>
      </w:tr>
      <w:tr w14:paraId="6E2A4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1101" w:type="dxa"/>
            <w:vMerge w:val="restart"/>
          </w:tcPr>
          <w:p w14:paraId="3CCBC363">
            <w:pPr>
              <w:pStyle w:val="49"/>
              <w:ind w:firstLine="0" w:firstLineChars="0"/>
              <w:jc w:val="left"/>
              <w:rPr>
                <w:rFonts w:ascii="黑体" w:hAnsi="黑体" w:cs="宋体"/>
                <w:kern w:val="0"/>
                <w:szCs w:val="18"/>
              </w:rPr>
            </w:pPr>
            <w:r>
              <w:rPr>
                <w:rFonts w:hint="eastAsia" w:ascii="黑体" w:hAnsi="黑体" w:cs="宋体"/>
                <w:kern w:val="0"/>
                <w:szCs w:val="18"/>
              </w:rPr>
              <w:t>10</w:t>
            </w:r>
          </w:p>
        </w:tc>
        <w:tc>
          <w:tcPr>
            <w:tcW w:w="1701" w:type="dxa"/>
            <w:vMerge w:val="restart"/>
          </w:tcPr>
          <w:p w14:paraId="3A7E31D9">
            <w:pPr>
              <w:pStyle w:val="31"/>
              <w:rPr>
                <w:rFonts w:ascii="黑体" w:hAnsi="黑体"/>
                <w:sz w:val="18"/>
                <w:szCs w:val="18"/>
              </w:rPr>
            </w:pPr>
            <w:r>
              <w:rPr>
                <w:rFonts w:ascii="黑体" w:hAnsi="黑体"/>
                <w:sz w:val="18"/>
                <w:szCs w:val="18"/>
              </w:rPr>
              <w:t>耐化学性</w:t>
            </w:r>
          </w:p>
        </w:tc>
        <w:tc>
          <w:tcPr>
            <w:tcW w:w="1701" w:type="dxa"/>
          </w:tcPr>
          <w:p w14:paraId="24BC8669">
            <w:pPr>
              <w:pStyle w:val="31"/>
              <w:rPr>
                <w:rFonts w:ascii="黑体" w:hAnsi="黑体"/>
                <w:sz w:val="18"/>
                <w:szCs w:val="18"/>
              </w:rPr>
            </w:pPr>
            <w:r>
              <w:rPr>
                <w:rFonts w:ascii="黑体" w:hAnsi="黑体"/>
                <w:sz w:val="18"/>
                <w:szCs w:val="18"/>
              </w:rPr>
              <w:t>15%的NaOH溶液</w:t>
            </w:r>
          </w:p>
        </w:tc>
        <w:tc>
          <w:tcPr>
            <w:tcW w:w="4019" w:type="dxa"/>
            <w:vMerge w:val="restart"/>
          </w:tcPr>
          <w:p w14:paraId="34EAB96D">
            <w:pPr>
              <w:pStyle w:val="31"/>
              <w:rPr>
                <w:rFonts w:ascii="黑体" w:hAnsi="黑体"/>
                <w:sz w:val="18"/>
                <w:szCs w:val="18"/>
              </w:rPr>
            </w:pPr>
            <w:r>
              <w:rPr>
                <w:rFonts w:ascii="黑体" w:hAnsi="黑体"/>
                <w:sz w:val="18"/>
                <w:szCs w:val="18"/>
              </w:rPr>
              <w:t>涂膜完整，不起泡、不剥落，允许轻微变色</w:t>
            </w:r>
          </w:p>
          <w:p w14:paraId="7CC6A1B5">
            <w:pPr>
              <w:pStyle w:val="49"/>
              <w:ind w:firstLine="0" w:firstLineChars="0"/>
              <w:jc w:val="left"/>
              <w:rPr>
                <w:rFonts w:ascii="黑体" w:hAnsi="黑体" w:cs="宋体"/>
                <w:kern w:val="0"/>
                <w:szCs w:val="18"/>
              </w:rPr>
            </w:pPr>
          </w:p>
        </w:tc>
      </w:tr>
      <w:tr w14:paraId="21653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 w:hRule="atLeast"/>
          <w:jc w:val="center"/>
        </w:trPr>
        <w:tc>
          <w:tcPr>
            <w:tcW w:w="1101" w:type="dxa"/>
            <w:vMerge w:val="continue"/>
          </w:tcPr>
          <w:p w14:paraId="4A94E12D">
            <w:pPr>
              <w:pStyle w:val="49"/>
              <w:ind w:firstLine="0" w:firstLineChars="0"/>
              <w:jc w:val="left"/>
              <w:rPr>
                <w:rFonts w:ascii="黑体" w:hAnsi="黑体" w:cs="宋体"/>
                <w:kern w:val="0"/>
                <w:szCs w:val="18"/>
              </w:rPr>
            </w:pPr>
          </w:p>
        </w:tc>
        <w:tc>
          <w:tcPr>
            <w:tcW w:w="1701" w:type="dxa"/>
            <w:vMerge w:val="continue"/>
          </w:tcPr>
          <w:p w14:paraId="486038D8">
            <w:pPr>
              <w:pStyle w:val="31"/>
              <w:rPr>
                <w:rFonts w:ascii="黑体" w:hAnsi="黑体"/>
                <w:sz w:val="18"/>
                <w:szCs w:val="18"/>
              </w:rPr>
            </w:pPr>
          </w:p>
        </w:tc>
        <w:tc>
          <w:tcPr>
            <w:tcW w:w="1701" w:type="dxa"/>
          </w:tcPr>
          <w:p w14:paraId="5F946AFE">
            <w:pPr>
              <w:pStyle w:val="31"/>
              <w:rPr>
                <w:rFonts w:ascii="黑体" w:hAnsi="黑体"/>
                <w:sz w:val="18"/>
                <w:szCs w:val="18"/>
              </w:rPr>
            </w:pPr>
            <w:r>
              <w:rPr>
                <w:rFonts w:ascii="黑体" w:hAnsi="黑体"/>
                <w:sz w:val="18"/>
                <w:szCs w:val="18"/>
              </w:rPr>
              <w:t>10%的HCl溶液</w:t>
            </w:r>
          </w:p>
        </w:tc>
        <w:tc>
          <w:tcPr>
            <w:tcW w:w="4019" w:type="dxa"/>
            <w:vMerge w:val="continue"/>
          </w:tcPr>
          <w:p w14:paraId="601BE5A1">
            <w:pPr>
              <w:pStyle w:val="49"/>
              <w:ind w:firstLine="0" w:firstLineChars="0"/>
              <w:jc w:val="left"/>
              <w:rPr>
                <w:rFonts w:ascii="黑体" w:hAnsi="黑体" w:cs="宋体"/>
                <w:kern w:val="0"/>
                <w:szCs w:val="18"/>
              </w:rPr>
            </w:pPr>
          </w:p>
        </w:tc>
      </w:tr>
      <w:tr w14:paraId="2AA85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jc w:val="center"/>
        </w:trPr>
        <w:tc>
          <w:tcPr>
            <w:tcW w:w="1101" w:type="dxa"/>
            <w:vMerge w:val="continue"/>
          </w:tcPr>
          <w:p w14:paraId="11C6C954">
            <w:pPr>
              <w:pStyle w:val="49"/>
              <w:ind w:firstLine="0" w:firstLineChars="0"/>
              <w:jc w:val="left"/>
              <w:rPr>
                <w:rFonts w:ascii="黑体" w:hAnsi="黑体" w:cs="宋体"/>
                <w:kern w:val="0"/>
                <w:szCs w:val="18"/>
              </w:rPr>
            </w:pPr>
          </w:p>
        </w:tc>
        <w:tc>
          <w:tcPr>
            <w:tcW w:w="1701" w:type="dxa"/>
            <w:vMerge w:val="continue"/>
          </w:tcPr>
          <w:p w14:paraId="4201FE81">
            <w:pPr>
              <w:pStyle w:val="31"/>
              <w:rPr>
                <w:rFonts w:ascii="黑体" w:hAnsi="黑体"/>
                <w:sz w:val="18"/>
                <w:szCs w:val="18"/>
              </w:rPr>
            </w:pPr>
          </w:p>
        </w:tc>
        <w:tc>
          <w:tcPr>
            <w:tcW w:w="1701" w:type="dxa"/>
          </w:tcPr>
          <w:p w14:paraId="3A769F8E">
            <w:pPr>
              <w:pStyle w:val="31"/>
              <w:rPr>
                <w:rFonts w:ascii="黑体" w:hAnsi="黑体"/>
                <w:sz w:val="18"/>
                <w:szCs w:val="18"/>
              </w:rPr>
            </w:pPr>
            <w:r>
              <w:rPr>
                <w:rFonts w:ascii="黑体" w:hAnsi="黑体"/>
                <w:sz w:val="18"/>
                <w:szCs w:val="18"/>
              </w:rPr>
              <w:t>120#溶剂汽油</w:t>
            </w:r>
          </w:p>
        </w:tc>
        <w:tc>
          <w:tcPr>
            <w:tcW w:w="4019" w:type="dxa"/>
            <w:vMerge w:val="continue"/>
          </w:tcPr>
          <w:p w14:paraId="10C56FD1">
            <w:pPr>
              <w:pStyle w:val="49"/>
              <w:ind w:firstLine="0" w:firstLineChars="0"/>
              <w:jc w:val="left"/>
              <w:rPr>
                <w:rFonts w:ascii="黑体" w:hAnsi="黑体" w:cs="宋体"/>
                <w:kern w:val="0"/>
                <w:szCs w:val="18"/>
              </w:rPr>
            </w:pPr>
          </w:p>
        </w:tc>
      </w:tr>
      <w:tr w14:paraId="4FD47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01" w:type="dxa"/>
          </w:tcPr>
          <w:p w14:paraId="22F279F8">
            <w:pPr>
              <w:pStyle w:val="49"/>
              <w:ind w:firstLine="0" w:firstLineChars="0"/>
              <w:jc w:val="left"/>
              <w:rPr>
                <w:rFonts w:ascii="黑体" w:hAnsi="黑体" w:cs="宋体"/>
                <w:kern w:val="0"/>
                <w:szCs w:val="18"/>
              </w:rPr>
            </w:pPr>
            <w:r>
              <w:rPr>
                <w:rFonts w:hint="eastAsia" w:ascii="黑体" w:hAnsi="黑体" w:cs="宋体"/>
                <w:kern w:val="0"/>
                <w:szCs w:val="18"/>
              </w:rPr>
              <w:t>11</w:t>
            </w:r>
          </w:p>
        </w:tc>
        <w:tc>
          <w:tcPr>
            <w:tcW w:w="3402" w:type="dxa"/>
            <w:gridSpan w:val="2"/>
          </w:tcPr>
          <w:p w14:paraId="3532E480">
            <w:pPr>
              <w:pStyle w:val="31"/>
              <w:rPr>
                <w:rFonts w:ascii="黑体" w:hAnsi="黑体"/>
                <w:sz w:val="18"/>
                <w:szCs w:val="18"/>
              </w:rPr>
            </w:pPr>
            <w:r>
              <w:rPr>
                <w:rFonts w:ascii="黑体" w:hAnsi="黑体"/>
                <w:sz w:val="18"/>
                <w:szCs w:val="18"/>
              </w:rPr>
              <w:t>流动度，mm　　≥</w:t>
            </w:r>
          </w:p>
        </w:tc>
        <w:tc>
          <w:tcPr>
            <w:tcW w:w="4019" w:type="dxa"/>
          </w:tcPr>
          <w:p w14:paraId="4DD11AD9">
            <w:pPr>
              <w:pStyle w:val="49"/>
              <w:ind w:firstLine="0" w:firstLineChars="0"/>
              <w:jc w:val="left"/>
              <w:rPr>
                <w:rFonts w:ascii="黑体" w:hAnsi="黑体" w:cs="宋体"/>
                <w:kern w:val="0"/>
                <w:szCs w:val="18"/>
              </w:rPr>
            </w:pPr>
            <w:r>
              <w:rPr>
                <w:rFonts w:hint="eastAsia" w:ascii="黑体" w:hAnsi="黑体" w:cs="宋体"/>
                <w:kern w:val="0"/>
                <w:szCs w:val="18"/>
              </w:rPr>
              <w:t>140</w:t>
            </w:r>
          </w:p>
        </w:tc>
      </w:tr>
    </w:tbl>
    <w:p w14:paraId="5033E060">
      <w:pPr>
        <w:pStyle w:val="49"/>
        <w:spacing w:line="360" w:lineRule="auto"/>
        <w:ind w:left="420" w:firstLine="0" w:firstLineChars="0"/>
        <w:jc w:val="left"/>
        <w:rPr>
          <w:rFonts w:ascii="黑体" w:hAnsi="黑体" w:cs="宋体"/>
          <w:kern w:val="0"/>
          <w:szCs w:val="18"/>
        </w:rPr>
      </w:pPr>
    </w:p>
    <w:p w14:paraId="3D5D69B7">
      <w:pPr>
        <w:pStyle w:val="111"/>
        <w:jc w:val="left"/>
      </w:pPr>
      <w:r>
        <w:t>自流平环氧树脂地面涂层</w:t>
      </w:r>
    </w:p>
    <w:tbl>
      <w:tblPr>
        <w:tblStyle w:val="82"/>
        <w:tblW w:w="8505"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01"/>
        <w:gridCol w:w="395"/>
        <w:gridCol w:w="2248"/>
        <w:gridCol w:w="4252"/>
      </w:tblGrid>
      <w:tr w14:paraId="2D98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7F52A65D">
            <w:pPr>
              <w:widowControl/>
              <w:spacing w:before="100" w:beforeAutospacing="1" w:after="100" w:afterAutospacing="1"/>
              <w:jc w:val="left"/>
              <w:rPr>
                <w:rFonts w:ascii="黑体" w:hAnsi="黑体" w:cs="宋体"/>
                <w:kern w:val="0"/>
                <w:szCs w:val="18"/>
              </w:rPr>
            </w:pPr>
            <w:r>
              <w:rPr>
                <w:rFonts w:ascii="黑体" w:hAnsi="黑体" w:cs="宋体"/>
                <w:kern w:val="0"/>
                <w:szCs w:val="18"/>
              </w:rPr>
              <w:t>序　 号</w:t>
            </w:r>
          </w:p>
        </w:tc>
        <w:tc>
          <w:tcPr>
            <w:tcW w:w="3544" w:type="dxa"/>
            <w:gridSpan w:val="3"/>
            <w:shd w:val="clear" w:color="auto" w:fill="auto"/>
            <w:vAlign w:val="center"/>
          </w:tcPr>
          <w:p w14:paraId="62B992DC">
            <w:pPr>
              <w:widowControl/>
              <w:spacing w:before="100" w:beforeAutospacing="1" w:after="100" w:afterAutospacing="1"/>
              <w:jc w:val="left"/>
              <w:rPr>
                <w:rFonts w:ascii="黑体" w:hAnsi="黑体" w:cs="宋体"/>
                <w:kern w:val="0"/>
                <w:szCs w:val="18"/>
              </w:rPr>
            </w:pPr>
            <w:r>
              <w:rPr>
                <w:rFonts w:ascii="黑体" w:hAnsi="黑体" w:cs="宋体"/>
                <w:kern w:val="0"/>
                <w:szCs w:val="18"/>
              </w:rPr>
              <w:t>项　　目</w:t>
            </w:r>
          </w:p>
        </w:tc>
        <w:tc>
          <w:tcPr>
            <w:tcW w:w="4252" w:type="dxa"/>
            <w:shd w:val="clear" w:color="auto" w:fill="auto"/>
            <w:vAlign w:val="center"/>
          </w:tcPr>
          <w:p w14:paraId="3A7A7FAB">
            <w:pPr>
              <w:widowControl/>
              <w:spacing w:before="100" w:beforeAutospacing="1" w:after="100" w:afterAutospacing="1"/>
              <w:jc w:val="left"/>
              <w:rPr>
                <w:rFonts w:ascii="黑体" w:hAnsi="黑体" w:cs="宋体"/>
                <w:kern w:val="0"/>
                <w:szCs w:val="18"/>
              </w:rPr>
            </w:pPr>
            <w:r>
              <w:rPr>
                <w:rFonts w:ascii="黑体" w:hAnsi="黑体" w:cs="宋体"/>
                <w:kern w:val="0"/>
                <w:szCs w:val="18"/>
              </w:rPr>
              <w:t>技 术 指 标</w:t>
            </w:r>
          </w:p>
        </w:tc>
      </w:tr>
      <w:tr w14:paraId="41CC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6E9D19C8">
            <w:pPr>
              <w:widowControl/>
              <w:spacing w:before="100" w:beforeAutospacing="1" w:after="100" w:afterAutospacing="1"/>
              <w:jc w:val="left"/>
              <w:rPr>
                <w:rFonts w:ascii="黑体" w:hAnsi="黑体" w:cs="宋体"/>
                <w:kern w:val="0"/>
                <w:szCs w:val="18"/>
              </w:rPr>
            </w:pPr>
            <w:r>
              <w:rPr>
                <w:rFonts w:ascii="黑体" w:hAnsi="黑体" w:cs="宋体"/>
                <w:kern w:val="0"/>
                <w:szCs w:val="18"/>
              </w:rPr>
              <w:t>1</w:t>
            </w:r>
          </w:p>
        </w:tc>
        <w:tc>
          <w:tcPr>
            <w:tcW w:w="3544" w:type="dxa"/>
            <w:gridSpan w:val="3"/>
            <w:shd w:val="clear" w:color="auto" w:fill="auto"/>
            <w:vAlign w:val="center"/>
          </w:tcPr>
          <w:p w14:paraId="59A806D2">
            <w:pPr>
              <w:widowControl/>
              <w:spacing w:before="100" w:beforeAutospacing="1" w:after="100" w:afterAutospacing="1"/>
              <w:jc w:val="left"/>
              <w:rPr>
                <w:rFonts w:ascii="黑体" w:hAnsi="黑体" w:cs="宋体"/>
                <w:kern w:val="0"/>
                <w:szCs w:val="18"/>
              </w:rPr>
            </w:pPr>
            <w:r>
              <w:rPr>
                <w:rFonts w:ascii="黑体" w:hAnsi="黑体" w:cs="宋体"/>
                <w:kern w:val="0"/>
                <w:szCs w:val="18"/>
              </w:rPr>
              <w:t>容器中的状态</w:t>
            </w:r>
          </w:p>
        </w:tc>
        <w:tc>
          <w:tcPr>
            <w:tcW w:w="4252" w:type="dxa"/>
            <w:shd w:val="clear" w:color="auto" w:fill="auto"/>
            <w:vAlign w:val="center"/>
          </w:tcPr>
          <w:p w14:paraId="791E3FA8">
            <w:pPr>
              <w:widowControl/>
              <w:spacing w:before="100" w:beforeAutospacing="1" w:after="100" w:afterAutospacing="1"/>
              <w:jc w:val="left"/>
              <w:rPr>
                <w:rFonts w:ascii="黑体" w:hAnsi="黑体" w:cs="宋体"/>
                <w:kern w:val="0"/>
                <w:szCs w:val="18"/>
              </w:rPr>
            </w:pPr>
            <w:r>
              <w:rPr>
                <w:rFonts w:ascii="黑体" w:hAnsi="黑体" w:cs="宋体"/>
                <w:kern w:val="0"/>
                <w:szCs w:val="18"/>
              </w:rPr>
              <w:t>搅拌后无硬块，呈均匀状态</w:t>
            </w:r>
          </w:p>
        </w:tc>
      </w:tr>
      <w:tr w14:paraId="1300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13A17CDF">
            <w:pPr>
              <w:widowControl/>
              <w:spacing w:before="100" w:beforeAutospacing="1" w:after="100" w:afterAutospacing="1"/>
              <w:jc w:val="left"/>
              <w:rPr>
                <w:rFonts w:ascii="黑体" w:hAnsi="黑体" w:cs="宋体"/>
                <w:kern w:val="0"/>
                <w:szCs w:val="18"/>
              </w:rPr>
            </w:pPr>
            <w:r>
              <w:rPr>
                <w:rFonts w:ascii="黑体" w:hAnsi="黑体" w:cs="宋体"/>
                <w:kern w:val="0"/>
                <w:szCs w:val="18"/>
              </w:rPr>
              <w:t>2</w:t>
            </w:r>
          </w:p>
        </w:tc>
        <w:tc>
          <w:tcPr>
            <w:tcW w:w="3544" w:type="dxa"/>
            <w:gridSpan w:val="3"/>
            <w:shd w:val="clear" w:color="auto" w:fill="auto"/>
            <w:vAlign w:val="center"/>
          </w:tcPr>
          <w:p w14:paraId="55D9CF72">
            <w:pPr>
              <w:widowControl/>
              <w:spacing w:before="100" w:beforeAutospacing="1" w:after="100" w:afterAutospacing="1"/>
              <w:jc w:val="left"/>
              <w:rPr>
                <w:rFonts w:ascii="黑体" w:hAnsi="黑体" w:cs="宋体"/>
                <w:kern w:val="0"/>
                <w:szCs w:val="18"/>
              </w:rPr>
            </w:pPr>
            <w:r>
              <w:rPr>
                <w:rFonts w:ascii="黑体" w:hAnsi="黑体" w:cs="宋体"/>
                <w:kern w:val="0"/>
                <w:szCs w:val="18"/>
              </w:rPr>
              <w:t>涂膜外观</w:t>
            </w:r>
          </w:p>
        </w:tc>
        <w:tc>
          <w:tcPr>
            <w:tcW w:w="4252" w:type="dxa"/>
            <w:shd w:val="clear" w:color="auto" w:fill="auto"/>
            <w:vAlign w:val="center"/>
          </w:tcPr>
          <w:p w14:paraId="46AD9060">
            <w:pPr>
              <w:widowControl/>
              <w:spacing w:before="100" w:beforeAutospacing="1" w:after="100" w:afterAutospacing="1"/>
              <w:jc w:val="left"/>
              <w:rPr>
                <w:rFonts w:ascii="黑体" w:hAnsi="黑体" w:cs="宋体"/>
                <w:kern w:val="0"/>
                <w:szCs w:val="18"/>
              </w:rPr>
            </w:pPr>
            <w:r>
              <w:rPr>
                <w:rFonts w:ascii="黑体" w:hAnsi="黑体" w:cs="宋体"/>
                <w:kern w:val="0"/>
                <w:szCs w:val="18"/>
              </w:rPr>
              <w:t>平整，无折皱、针孔、气泡等缺陷</w:t>
            </w:r>
          </w:p>
        </w:tc>
      </w:tr>
      <w:tr w14:paraId="6373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3AE77BAB">
            <w:pPr>
              <w:widowControl/>
              <w:spacing w:before="100" w:beforeAutospacing="1" w:after="100" w:afterAutospacing="1"/>
              <w:jc w:val="left"/>
              <w:rPr>
                <w:rFonts w:ascii="黑体" w:hAnsi="黑体" w:cs="宋体"/>
                <w:kern w:val="0"/>
                <w:szCs w:val="18"/>
              </w:rPr>
            </w:pPr>
            <w:r>
              <w:rPr>
                <w:rFonts w:ascii="黑体" w:hAnsi="黑体" w:cs="宋体"/>
                <w:kern w:val="0"/>
                <w:szCs w:val="18"/>
              </w:rPr>
              <w:t>3</w:t>
            </w:r>
          </w:p>
        </w:tc>
        <w:tc>
          <w:tcPr>
            <w:tcW w:w="3544" w:type="dxa"/>
            <w:gridSpan w:val="3"/>
            <w:shd w:val="clear" w:color="auto" w:fill="auto"/>
            <w:vAlign w:val="center"/>
          </w:tcPr>
          <w:p w14:paraId="0A3C135E">
            <w:pPr>
              <w:widowControl/>
              <w:spacing w:before="100" w:beforeAutospacing="1" w:after="100" w:afterAutospacing="1"/>
              <w:jc w:val="left"/>
              <w:rPr>
                <w:rFonts w:ascii="黑体" w:hAnsi="黑体" w:cs="宋体"/>
                <w:kern w:val="0"/>
                <w:szCs w:val="18"/>
              </w:rPr>
            </w:pPr>
            <w:r>
              <w:rPr>
                <w:rFonts w:ascii="黑体" w:hAnsi="黑体" w:cs="宋体"/>
                <w:kern w:val="0"/>
                <w:szCs w:val="18"/>
              </w:rPr>
              <w:t>固体含量,%　　　　　　　≥</w:t>
            </w:r>
          </w:p>
        </w:tc>
        <w:tc>
          <w:tcPr>
            <w:tcW w:w="4252" w:type="dxa"/>
            <w:shd w:val="clear" w:color="auto" w:fill="auto"/>
            <w:vAlign w:val="center"/>
          </w:tcPr>
          <w:p w14:paraId="3F0D2C35">
            <w:pPr>
              <w:widowControl/>
              <w:spacing w:before="100" w:beforeAutospacing="1" w:after="100" w:afterAutospacing="1"/>
              <w:jc w:val="left"/>
              <w:rPr>
                <w:rFonts w:ascii="黑体" w:hAnsi="黑体" w:cs="宋体"/>
                <w:kern w:val="0"/>
                <w:szCs w:val="18"/>
              </w:rPr>
            </w:pPr>
            <w:r>
              <w:rPr>
                <w:rFonts w:ascii="黑体" w:hAnsi="黑体" w:cs="宋体"/>
                <w:kern w:val="0"/>
                <w:szCs w:val="18"/>
              </w:rPr>
              <w:t>95</w:t>
            </w:r>
          </w:p>
        </w:tc>
      </w:tr>
      <w:tr w14:paraId="7F23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7E7C09BD">
            <w:pPr>
              <w:widowControl/>
              <w:spacing w:before="100" w:beforeAutospacing="1" w:after="100" w:afterAutospacing="1"/>
              <w:jc w:val="left"/>
              <w:rPr>
                <w:rFonts w:ascii="黑体" w:hAnsi="黑体" w:cs="宋体"/>
                <w:kern w:val="0"/>
                <w:szCs w:val="18"/>
              </w:rPr>
            </w:pPr>
            <w:r>
              <w:rPr>
                <w:rFonts w:ascii="黑体" w:hAnsi="黑体" w:cs="宋体"/>
                <w:kern w:val="0"/>
                <w:szCs w:val="18"/>
              </w:rPr>
              <w:t>4</w:t>
            </w:r>
          </w:p>
        </w:tc>
        <w:tc>
          <w:tcPr>
            <w:tcW w:w="3544" w:type="dxa"/>
            <w:gridSpan w:val="3"/>
            <w:shd w:val="clear" w:color="auto" w:fill="auto"/>
            <w:vAlign w:val="center"/>
          </w:tcPr>
          <w:p w14:paraId="3F4A27F6">
            <w:pPr>
              <w:widowControl/>
              <w:spacing w:before="100" w:beforeAutospacing="1" w:after="100" w:afterAutospacing="1"/>
              <w:jc w:val="left"/>
              <w:rPr>
                <w:rFonts w:ascii="黑体" w:hAnsi="黑体" w:cs="宋体"/>
                <w:kern w:val="0"/>
                <w:szCs w:val="18"/>
              </w:rPr>
            </w:pPr>
            <w:r>
              <w:rPr>
                <w:rFonts w:ascii="黑体" w:hAnsi="黑体" w:cs="宋体"/>
                <w:kern w:val="0"/>
                <w:szCs w:val="18"/>
              </w:rPr>
              <w:t>流动度，mm　　　　　　 ≥</w:t>
            </w:r>
          </w:p>
        </w:tc>
        <w:tc>
          <w:tcPr>
            <w:tcW w:w="4252" w:type="dxa"/>
            <w:shd w:val="clear" w:color="auto" w:fill="auto"/>
            <w:vAlign w:val="center"/>
          </w:tcPr>
          <w:p w14:paraId="59DB05F2">
            <w:pPr>
              <w:widowControl/>
              <w:spacing w:before="100" w:beforeAutospacing="1" w:after="100" w:afterAutospacing="1"/>
              <w:jc w:val="left"/>
              <w:rPr>
                <w:rFonts w:ascii="黑体" w:hAnsi="黑体" w:cs="宋体"/>
                <w:kern w:val="0"/>
                <w:szCs w:val="18"/>
              </w:rPr>
            </w:pPr>
            <w:r>
              <w:rPr>
                <w:rFonts w:ascii="黑体" w:hAnsi="黑体" w:cs="宋体"/>
                <w:kern w:val="0"/>
                <w:szCs w:val="18"/>
              </w:rPr>
              <w:t>140</w:t>
            </w:r>
          </w:p>
        </w:tc>
      </w:tr>
      <w:tr w14:paraId="4115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shd w:val="clear" w:color="auto" w:fill="auto"/>
            <w:vAlign w:val="center"/>
          </w:tcPr>
          <w:p w14:paraId="42E4A220">
            <w:pPr>
              <w:widowControl/>
              <w:spacing w:before="100" w:beforeAutospacing="1" w:after="100" w:afterAutospacing="1"/>
              <w:jc w:val="left"/>
              <w:rPr>
                <w:rFonts w:ascii="黑体" w:hAnsi="黑体" w:cs="宋体"/>
                <w:kern w:val="0"/>
                <w:szCs w:val="18"/>
              </w:rPr>
            </w:pPr>
            <w:r>
              <w:rPr>
                <w:rFonts w:ascii="黑体" w:hAnsi="黑体" w:cs="宋体"/>
                <w:kern w:val="0"/>
                <w:szCs w:val="18"/>
              </w:rPr>
              <w:t>5</w:t>
            </w:r>
          </w:p>
        </w:tc>
        <w:tc>
          <w:tcPr>
            <w:tcW w:w="1296" w:type="dxa"/>
            <w:gridSpan w:val="2"/>
            <w:vMerge w:val="restart"/>
            <w:shd w:val="clear" w:color="auto" w:fill="auto"/>
            <w:vAlign w:val="center"/>
          </w:tcPr>
          <w:p w14:paraId="1FB88696">
            <w:pPr>
              <w:widowControl/>
              <w:spacing w:before="100" w:beforeAutospacing="1" w:after="100" w:afterAutospacing="1"/>
              <w:jc w:val="left"/>
              <w:rPr>
                <w:rFonts w:ascii="黑体" w:hAnsi="黑体" w:cs="宋体"/>
                <w:kern w:val="0"/>
                <w:szCs w:val="18"/>
              </w:rPr>
            </w:pPr>
            <w:r>
              <w:rPr>
                <w:rFonts w:ascii="黑体" w:hAnsi="黑体" w:cs="宋体"/>
                <w:kern w:val="0"/>
                <w:szCs w:val="18"/>
              </w:rPr>
              <w:t>干燥时间，h</w:t>
            </w:r>
          </w:p>
        </w:tc>
        <w:tc>
          <w:tcPr>
            <w:tcW w:w="2248" w:type="dxa"/>
            <w:shd w:val="clear" w:color="auto" w:fill="auto"/>
            <w:vAlign w:val="center"/>
          </w:tcPr>
          <w:p w14:paraId="3814596A">
            <w:pPr>
              <w:widowControl/>
              <w:spacing w:before="100" w:beforeAutospacing="1" w:after="100" w:afterAutospacing="1"/>
              <w:jc w:val="left"/>
              <w:rPr>
                <w:rFonts w:ascii="黑体" w:hAnsi="黑体" w:cs="宋体"/>
                <w:kern w:val="0"/>
                <w:szCs w:val="18"/>
              </w:rPr>
            </w:pPr>
            <w:r>
              <w:rPr>
                <w:rFonts w:ascii="黑体" w:hAnsi="黑体" w:cs="宋体"/>
                <w:kern w:val="0"/>
                <w:szCs w:val="18"/>
              </w:rPr>
              <w:t>表干　 ≤</w:t>
            </w:r>
          </w:p>
        </w:tc>
        <w:tc>
          <w:tcPr>
            <w:tcW w:w="4252" w:type="dxa"/>
            <w:shd w:val="clear" w:color="auto" w:fill="auto"/>
            <w:vAlign w:val="center"/>
          </w:tcPr>
          <w:p w14:paraId="138EAFBB">
            <w:pPr>
              <w:widowControl/>
              <w:spacing w:before="100" w:beforeAutospacing="1" w:after="100" w:afterAutospacing="1"/>
              <w:jc w:val="left"/>
              <w:rPr>
                <w:rFonts w:ascii="黑体" w:hAnsi="黑体" w:cs="宋体"/>
                <w:kern w:val="0"/>
                <w:szCs w:val="18"/>
              </w:rPr>
            </w:pPr>
            <w:r>
              <w:rPr>
                <w:rFonts w:ascii="黑体" w:hAnsi="黑体" w:cs="宋体"/>
                <w:kern w:val="0"/>
                <w:szCs w:val="18"/>
              </w:rPr>
              <w:t>8</w:t>
            </w:r>
          </w:p>
        </w:tc>
      </w:tr>
      <w:tr w14:paraId="345E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shd w:val="clear" w:color="auto" w:fill="auto"/>
            <w:vAlign w:val="center"/>
          </w:tcPr>
          <w:p w14:paraId="624F9BFF">
            <w:pPr>
              <w:widowControl/>
              <w:jc w:val="left"/>
              <w:rPr>
                <w:rFonts w:ascii="黑体" w:hAnsi="黑体" w:cs="宋体"/>
                <w:kern w:val="0"/>
                <w:szCs w:val="18"/>
              </w:rPr>
            </w:pPr>
          </w:p>
        </w:tc>
        <w:tc>
          <w:tcPr>
            <w:tcW w:w="1296" w:type="dxa"/>
            <w:gridSpan w:val="2"/>
            <w:vMerge w:val="continue"/>
            <w:shd w:val="clear" w:color="auto" w:fill="auto"/>
            <w:vAlign w:val="center"/>
          </w:tcPr>
          <w:p w14:paraId="217C0F2D">
            <w:pPr>
              <w:widowControl/>
              <w:jc w:val="left"/>
              <w:rPr>
                <w:rFonts w:ascii="黑体" w:hAnsi="黑体" w:cs="宋体"/>
                <w:kern w:val="0"/>
                <w:szCs w:val="18"/>
              </w:rPr>
            </w:pPr>
          </w:p>
        </w:tc>
        <w:tc>
          <w:tcPr>
            <w:tcW w:w="2248" w:type="dxa"/>
            <w:shd w:val="clear" w:color="auto" w:fill="auto"/>
            <w:vAlign w:val="center"/>
          </w:tcPr>
          <w:p w14:paraId="21FB0AB3">
            <w:pPr>
              <w:widowControl/>
              <w:spacing w:before="100" w:beforeAutospacing="1" w:after="100" w:afterAutospacing="1"/>
              <w:jc w:val="left"/>
              <w:rPr>
                <w:rFonts w:ascii="黑体" w:hAnsi="黑体" w:cs="宋体"/>
                <w:kern w:val="0"/>
                <w:szCs w:val="18"/>
              </w:rPr>
            </w:pPr>
            <w:r>
              <w:rPr>
                <w:rFonts w:ascii="黑体" w:hAnsi="黑体" w:cs="宋体"/>
                <w:kern w:val="0"/>
                <w:szCs w:val="18"/>
              </w:rPr>
              <w:t>实干　 ≤</w:t>
            </w:r>
          </w:p>
        </w:tc>
        <w:tc>
          <w:tcPr>
            <w:tcW w:w="4252" w:type="dxa"/>
            <w:shd w:val="clear" w:color="auto" w:fill="auto"/>
            <w:vAlign w:val="center"/>
          </w:tcPr>
          <w:p w14:paraId="1632C6DD">
            <w:pPr>
              <w:widowControl/>
              <w:spacing w:before="100" w:beforeAutospacing="1" w:after="100" w:afterAutospacing="1"/>
              <w:jc w:val="left"/>
              <w:rPr>
                <w:rFonts w:ascii="黑体" w:hAnsi="黑体" w:cs="宋体"/>
                <w:kern w:val="0"/>
                <w:szCs w:val="18"/>
              </w:rPr>
            </w:pPr>
            <w:r>
              <w:rPr>
                <w:rFonts w:ascii="黑体" w:hAnsi="黑体" w:cs="宋体"/>
                <w:kern w:val="0"/>
                <w:szCs w:val="18"/>
              </w:rPr>
              <w:t>24</w:t>
            </w:r>
          </w:p>
        </w:tc>
      </w:tr>
      <w:tr w14:paraId="2A07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090F6357">
            <w:pPr>
              <w:widowControl/>
              <w:spacing w:before="100" w:beforeAutospacing="1" w:after="100" w:afterAutospacing="1"/>
              <w:jc w:val="left"/>
              <w:rPr>
                <w:rFonts w:ascii="黑体" w:hAnsi="黑体" w:cs="宋体"/>
                <w:kern w:val="0"/>
                <w:szCs w:val="18"/>
              </w:rPr>
            </w:pPr>
            <w:r>
              <w:rPr>
                <w:rFonts w:ascii="黑体" w:hAnsi="黑体" w:cs="宋体"/>
                <w:kern w:val="0"/>
                <w:szCs w:val="18"/>
              </w:rPr>
              <w:t>6</w:t>
            </w:r>
          </w:p>
        </w:tc>
        <w:tc>
          <w:tcPr>
            <w:tcW w:w="3544" w:type="dxa"/>
            <w:gridSpan w:val="3"/>
            <w:shd w:val="clear" w:color="auto" w:fill="auto"/>
            <w:vAlign w:val="center"/>
          </w:tcPr>
          <w:p w14:paraId="335157F9">
            <w:pPr>
              <w:widowControl/>
              <w:spacing w:before="100" w:beforeAutospacing="1" w:after="100" w:afterAutospacing="1"/>
              <w:jc w:val="left"/>
              <w:rPr>
                <w:rFonts w:ascii="黑体" w:hAnsi="黑体" w:cs="宋体"/>
                <w:kern w:val="0"/>
                <w:szCs w:val="18"/>
              </w:rPr>
            </w:pPr>
            <w:r>
              <w:rPr>
                <w:rFonts w:ascii="黑体" w:hAnsi="黑体" w:cs="宋体"/>
                <w:kern w:val="0"/>
                <w:szCs w:val="18"/>
              </w:rPr>
              <w:t>7d抗压强度，MPa　　　　　　 ≥</w:t>
            </w:r>
          </w:p>
        </w:tc>
        <w:tc>
          <w:tcPr>
            <w:tcW w:w="4252" w:type="dxa"/>
            <w:shd w:val="clear" w:color="auto" w:fill="auto"/>
            <w:vAlign w:val="center"/>
          </w:tcPr>
          <w:p w14:paraId="2196CB72">
            <w:pPr>
              <w:widowControl/>
              <w:spacing w:before="100" w:beforeAutospacing="1" w:after="100" w:afterAutospacing="1"/>
              <w:jc w:val="left"/>
              <w:rPr>
                <w:rFonts w:ascii="黑体" w:hAnsi="黑体" w:cs="宋体"/>
                <w:kern w:val="0"/>
                <w:szCs w:val="18"/>
              </w:rPr>
            </w:pPr>
            <w:r>
              <w:rPr>
                <w:rFonts w:ascii="黑体" w:hAnsi="黑体" w:cs="宋体"/>
                <w:kern w:val="0"/>
                <w:szCs w:val="18"/>
              </w:rPr>
              <w:t>60</w:t>
            </w:r>
          </w:p>
        </w:tc>
      </w:tr>
      <w:tr w14:paraId="0A2A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7C1F3405">
            <w:pPr>
              <w:widowControl/>
              <w:spacing w:before="100" w:beforeAutospacing="1" w:after="100" w:afterAutospacing="1"/>
              <w:jc w:val="left"/>
              <w:rPr>
                <w:rFonts w:ascii="黑体" w:hAnsi="黑体" w:cs="宋体"/>
                <w:kern w:val="0"/>
                <w:szCs w:val="18"/>
              </w:rPr>
            </w:pPr>
            <w:r>
              <w:rPr>
                <w:rFonts w:ascii="黑体" w:hAnsi="黑体" w:cs="宋体"/>
                <w:kern w:val="0"/>
                <w:szCs w:val="18"/>
              </w:rPr>
              <w:t>7</w:t>
            </w:r>
          </w:p>
        </w:tc>
        <w:tc>
          <w:tcPr>
            <w:tcW w:w="3544" w:type="dxa"/>
            <w:gridSpan w:val="3"/>
            <w:shd w:val="clear" w:color="auto" w:fill="auto"/>
            <w:vAlign w:val="center"/>
          </w:tcPr>
          <w:p w14:paraId="16FEAE53">
            <w:pPr>
              <w:widowControl/>
              <w:spacing w:before="100" w:beforeAutospacing="1" w:after="100" w:afterAutospacing="1"/>
              <w:jc w:val="left"/>
              <w:rPr>
                <w:rFonts w:ascii="黑体" w:hAnsi="黑体" w:cs="宋体"/>
                <w:kern w:val="0"/>
                <w:szCs w:val="18"/>
              </w:rPr>
            </w:pPr>
            <w:r>
              <w:rPr>
                <w:rFonts w:ascii="黑体" w:hAnsi="黑体" w:cs="宋体"/>
                <w:kern w:val="0"/>
                <w:szCs w:val="18"/>
              </w:rPr>
              <w:t>7d拉伸粘结强度，MPa　　　　 ≥</w:t>
            </w:r>
          </w:p>
        </w:tc>
        <w:tc>
          <w:tcPr>
            <w:tcW w:w="4252" w:type="dxa"/>
            <w:shd w:val="clear" w:color="auto" w:fill="auto"/>
            <w:vAlign w:val="center"/>
          </w:tcPr>
          <w:p w14:paraId="0290AB3F">
            <w:pPr>
              <w:widowControl/>
              <w:spacing w:before="100" w:beforeAutospacing="1" w:after="100" w:afterAutospacing="1"/>
              <w:jc w:val="left"/>
              <w:rPr>
                <w:rFonts w:ascii="黑体" w:hAnsi="黑体" w:cs="宋体"/>
                <w:kern w:val="0"/>
                <w:szCs w:val="18"/>
              </w:rPr>
            </w:pPr>
            <w:r>
              <w:rPr>
                <w:rFonts w:ascii="黑体" w:hAnsi="黑体" w:cs="宋体"/>
                <w:kern w:val="0"/>
                <w:szCs w:val="18"/>
              </w:rPr>
              <w:t>2.0</w:t>
            </w:r>
          </w:p>
        </w:tc>
      </w:tr>
      <w:tr w14:paraId="4D95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62EB406E">
            <w:pPr>
              <w:widowControl/>
              <w:spacing w:before="100" w:beforeAutospacing="1" w:after="100" w:afterAutospacing="1"/>
              <w:jc w:val="left"/>
              <w:rPr>
                <w:rFonts w:ascii="黑体" w:hAnsi="黑体" w:cs="宋体"/>
                <w:kern w:val="0"/>
                <w:szCs w:val="18"/>
              </w:rPr>
            </w:pPr>
            <w:r>
              <w:rPr>
                <w:rFonts w:ascii="黑体" w:hAnsi="黑体" w:cs="宋体"/>
                <w:kern w:val="0"/>
                <w:szCs w:val="18"/>
              </w:rPr>
              <w:t>8</w:t>
            </w:r>
          </w:p>
        </w:tc>
        <w:tc>
          <w:tcPr>
            <w:tcW w:w="3544" w:type="dxa"/>
            <w:gridSpan w:val="3"/>
            <w:shd w:val="clear" w:color="auto" w:fill="auto"/>
            <w:vAlign w:val="center"/>
          </w:tcPr>
          <w:p w14:paraId="1BDC141A">
            <w:pPr>
              <w:widowControl/>
              <w:spacing w:before="100" w:beforeAutospacing="1" w:after="100" w:afterAutospacing="1"/>
              <w:jc w:val="left"/>
              <w:rPr>
                <w:rFonts w:ascii="黑体" w:hAnsi="黑体" w:cs="宋体"/>
                <w:kern w:val="0"/>
                <w:szCs w:val="18"/>
              </w:rPr>
            </w:pPr>
            <w:r>
              <w:rPr>
                <w:rFonts w:ascii="黑体" w:hAnsi="黑体" w:cs="宋体"/>
                <w:kern w:val="0"/>
                <w:szCs w:val="18"/>
              </w:rPr>
              <w:t>邵氏硬度（D型）　　　　　　 ≥</w:t>
            </w:r>
          </w:p>
        </w:tc>
        <w:tc>
          <w:tcPr>
            <w:tcW w:w="4252" w:type="dxa"/>
            <w:shd w:val="clear" w:color="auto" w:fill="auto"/>
            <w:vAlign w:val="center"/>
          </w:tcPr>
          <w:p w14:paraId="01E1A5B6">
            <w:pPr>
              <w:widowControl/>
              <w:spacing w:before="100" w:beforeAutospacing="1" w:after="100" w:afterAutospacing="1"/>
              <w:jc w:val="left"/>
              <w:rPr>
                <w:rFonts w:ascii="黑体" w:hAnsi="黑体" w:cs="宋体"/>
                <w:kern w:val="0"/>
                <w:szCs w:val="18"/>
              </w:rPr>
            </w:pPr>
            <w:r>
              <w:rPr>
                <w:rFonts w:ascii="黑体" w:hAnsi="黑体" w:cs="宋体"/>
                <w:kern w:val="0"/>
                <w:szCs w:val="18"/>
              </w:rPr>
              <w:t>70</w:t>
            </w:r>
          </w:p>
        </w:tc>
      </w:tr>
      <w:tr w14:paraId="529C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3AE374F3">
            <w:pPr>
              <w:widowControl/>
              <w:spacing w:before="100" w:beforeAutospacing="1" w:after="100" w:afterAutospacing="1"/>
              <w:jc w:val="left"/>
              <w:rPr>
                <w:rFonts w:ascii="黑体" w:hAnsi="黑体" w:cs="宋体"/>
                <w:kern w:val="0"/>
                <w:szCs w:val="18"/>
              </w:rPr>
            </w:pPr>
            <w:r>
              <w:rPr>
                <w:rFonts w:ascii="黑体" w:hAnsi="黑体" w:cs="宋体"/>
                <w:kern w:val="0"/>
                <w:szCs w:val="18"/>
              </w:rPr>
              <w:t>9</w:t>
            </w:r>
          </w:p>
        </w:tc>
        <w:tc>
          <w:tcPr>
            <w:tcW w:w="3544" w:type="dxa"/>
            <w:gridSpan w:val="3"/>
            <w:shd w:val="clear" w:color="auto" w:fill="auto"/>
            <w:vAlign w:val="center"/>
          </w:tcPr>
          <w:p w14:paraId="754BBB52">
            <w:pPr>
              <w:widowControl/>
              <w:spacing w:before="100" w:beforeAutospacing="1" w:after="100" w:afterAutospacing="1"/>
              <w:jc w:val="left"/>
              <w:rPr>
                <w:rFonts w:ascii="黑体" w:hAnsi="黑体" w:cs="宋体"/>
                <w:kern w:val="0"/>
                <w:szCs w:val="18"/>
              </w:rPr>
            </w:pPr>
            <w:r>
              <w:rPr>
                <w:rFonts w:ascii="黑体" w:hAnsi="黑体" w:cs="宋体"/>
                <w:kern w:val="0"/>
                <w:szCs w:val="18"/>
              </w:rPr>
              <w:t>抗冲击性，Φ60mm， 1000g的钢球</w:t>
            </w:r>
          </w:p>
        </w:tc>
        <w:tc>
          <w:tcPr>
            <w:tcW w:w="4252" w:type="dxa"/>
            <w:shd w:val="clear" w:color="auto" w:fill="auto"/>
            <w:vAlign w:val="center"/>
          </w:tcPr>
          <w:p w14:paraId="2FFA1C1F">
            <w:pPr>
              <w:widowControl/>
              <w:spacing w:before="100" w:beforeAutospacing="1" w:after="100" w:afterAutospacing="1"/>
              <w:jc w:val="left"/>
              <w:rPr>
                <w:rFonts w:ascii="黑体" w:hAnsi="黑体" w:cs="宋体"/>
                <w:kern w:val="0"/>
                <w:szCs w:val="18"/>
              </w:rPr>
            </w:pPr>
            <w:r>
              <w:rPr>
                <w:rFonts w:ascii="黑体" w:hAnsi="黑体" w:cs="宋体"/>
                <w:kern w:val="0"/>
                <w:szCs w:val="18"/>
              </w:rPr>
              <w:t>涂膜无裂纹、无剥落</w:t>
            </w:r>
          </w:p>
        </w:tc>
      </w:tr>
      <w:tr w14:paraId="0FA9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14:paraId="0860E4B4">
            <w:pPr>
              <w:widowControl/>
              <w:spacing w:before="100" w:beforeAutospacing="1" w:after="100" w:afterAutospacing="1"/>
              <w:jc w:val="left"/>
              <w:rPr>
                <w:rFonts w:ascii="黑体" w:hAnsi="黑体" w:cs="宋体"/>
                <w:kern w:val="0"/>
                <w:szCs w:val="18"/>
              </w:rPr>
            </w:pPr>
            <w:r>
              <w:rPr>
                <w:rFonts w:ascii="黑体" w:hAnsi="黑体" w:cs="宋体"/>
                <w:kern w:val="0"/>
                <w:szCs w:val="18"/>
              </w:rPr>
              <w:t>10</w:t>
            </w:r>
          </w:p>
        </w:tc>
        <w:tc>
          <w:tcPr>
            <w:tcW w:w="3544" w:type="dxa"/>
            <w:gridSpan w:val="3"/>
            <w:shd w:val="clear" w:color="auto" w:fill="auto"/>
            <w:vAlign w:val="center"/>
          </w:tcPr>
          <w:p w14:paraId="0FC0FC1A">
            <w:pPr>
              <w:widowControl/>
              <w:spacing w:before="100" w:beforeAutospacing="1" w:after="100" w:afterAutospacing="1"/>
              <w:jc w:val="left"/>
              <w:rPr>
                <w:rFonts w:ascii="黑体" w:hAnsi="黑体" w:cs="宋体"/>
                <w:kern w:val="0"/>
                <w:szCs w:val="18"/>
              </w:rPr>
            </w:pPr>
            <w:r>
              <w:rPr>
                <w:rFonts w:ascii="黑体" w:hAnsi="黑体" w:cs="宋体"/>
                <w:kern w:val="0"/>
                <w:szCs w:val="18"/>
              </w:rPr>
              <w:t>耐磨性，g　　　　　　　　　 ≤</w:t>
            </w:r>
          </w:p>
        </w:tc>
        <w:tc>
          <w:tcPr>
            <w:tcW w:w="4252" w:type="dxa"/>
            <w:shd w:val="clear" w:color="auto" w:fill="auto"/>
            <w:vAlign w:val="center"/>
          </w:tcPr>
          <w:p w14:paraId="03A515A5">
            <w:pPr>
              <w:widowControl/>
              <w:spacing w:before="100" w:beforeAutospacing="1" w:after="100" w:afterAutospacing="1"/>
              <w:jc w:val="left"/>
              <w:rPr>
                <w:rFonts w:ascii="黑体" w:hAnsi="黑体" w:cs="宋体"/>
                <w:kern w:val="0"/>
                <w:szCs w:val="18"/>
              </w:rPr>
            </w:pPr>
            <w:r>
              <w:rPr>
                <w:rFonts w:ascii="黑体" w:hAnsi="黑体" w:cs="宋体"/>
                <w:kern w:val="0"/>
                <w:szCs w:val="18"/>
              </w:rPr>
              <w:t>0.15</w:t>
            </w:r>
          </w:p>
        </w:tc>
      </w:tr>
      <w:tr w14:paraId="7488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shd w:val="clear" w:color="auto" w:fill="auto"/>
            <w:vAlign w:val="center"/>
          </w:tcPr>
          <w:p w14:paraId="780EB98C">
            <w:pPr>
              <w:widowControl/>
              <w:spacing w:before="100" w:beforeAutospacing="1" w:after="100" w:afterAutospacing="1"/>
              <w:jc w:val="left"/>
              <w:rPr>
                <w:rFonts w:ascii="黑体" w:hAnsi="黑体" w:cs="宋体"/>
                <w:kern w:val="0"/>
                <w:szCs w:val="18"/>
              </w:rPr>
            </w:pPr>
            <w:r>
              <w:rPr>
                <w:rFonts w:ascii="黑体" w:hAnsi="黑体" w:cs="宋体"/>
                <w:kern w:val="0"/>
                <w:szCs w:val="18"/>
              </w:rPr>
              <w:t>11</w:t>
            </w:r>
          </w:p>
        </w:tc>
        <w:tc>
          <w:tcPr>
            <w:tcW w:w="901" w:type="dxa"/>
            <w:vMerge w:val="restart"/>
            <w:shd w:val="clear" w:color="auto" w:fill="auto"/>
            <w:vAlign w:val="center"/>
          </w:tcPr>
          <w:p w14:paraId="333B86C9">
            <w:pPr>
              <w:widowControl/>
              <w:spacing w:before="100" w:beforeAutospacing="1" w:after="100" w:afterAutospacing="1"/>
              <w:jc w:val="left"/>
              <w:rPr>
                <w:rFonts w:ascii="黑体" w:hAnsi="黑体" w:cs="宋体"/>
                <w:kern w:val="0"/>
                <w:szCs w:val="18"/>
              </w:rPr>
            </w:pPr>
            <w:r>
              <w:rPr>
                <w:rFonts w:ascii="黑体" w:hAnsi="黑体" w:cs="宋体"/>
                <w:kern w:val="0"/>
                <w:szCs w:val="18"/>
              </w:rPr>
              <w:t>耐化学性</w:t>
            </w:r>
          </w:p>
        </w:tc>
        <w:tc>
          <w:tcPr>
            <w:tcW w:w="2643" w:type="dxa"/>
            <w:gridSpan w:val="2"/>
            <w:shd w:val="clear" w:color="auto" w:fill="auto"/>
            <w:vAlign w:val="center"/>
          </w:tcPr>
          <w:p w14:paraId="30EA59D1">
            <w:pPr>
              <w:widowControl/>
              <w:spacing w:before="100" w:beforeAutospacing="1" w:after="100" w:afterAutospacing="1"/>
              <w:jc w:val="left"/>
              <w:rPr>
                <w:rFonts w:ascii="黑体" w:hAnsi="黑体" w:cs="宋体"/>
                <w:kern w:val="0"/>
                <w:szCs w:val="18"/>
              </w:rPr>
            </w:pPr>
            <w:r>
              <w:rPr>
                <w:rFonts w:ascii="黑体" w:hAnsi="黑体" w:cs="宋体"/>
                <w:kern w:val="0"/>
                <w:szCs w:val="18"/>
              </w:rPr>
              <w:t>15%的NaOH溶液</w:t>
            </w:r>
          </w:p>
        </w:tc>
        <w:tc>
          <w:tcPr>
            <w:tcW w:w="4252" w:type="dxa"/>
            <w:vMerge w:val="restart"/>
            <w:shd w:val="clear" w:color="auto" w:fill="auto"/>
            <w:vAlign w:val="center"/>
          </w:tcPr>
          <w:p w14:paraId="37C13446">
            <w:pPr>
              <w:widowControl/>
              <w:spacing w:before="100" w:beforeAutospacing="1" w:after="100" w:afterAutospacing="1"/>
              <w:jc w:val="left"/>
              <w:rPr>
                <w:rFonts w:ascii="黑体" w:hAnsi="黑体" w:cs="宋体"/>
                <w:kern w:val="0"/>
                <w:szCs w:val="18"/>
              </w:rPr>
            </w:pPr>
            <w:r>
              <w:rPr>
                <w:rFonts w:ascii="黑体" w:hAnsi="黑体" w:cs="宋体"/>
                <w:kern w:val="0"/>
                <w:szCs w:val="18"/>
              </w:rPr>
              <w:t>涂膜完整，不起泡、不剥落，允许轻微变色</w:t>
            </w:r>
          </w:p>
        </w:tc>
      </w:tr>
      <w:tr w14:paraId="6E96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shd w:val="clear" w:color="auto" w:fill="auto"/>
            <w:vAlign w:val="center"/>
          </w:tcPr>
          <w:p w14:paraId="262566FA">
            <w:pPr>
              <w:widowControl/>
              <w:jc w:val="left"/>
              <w:rPr>
                <w:rFonts w:ascii="黑体" w:hAnsi="黑体" w:cs="宋体"/>
                <w:kern w:val="0"/>
                <w:szCs w:val="18"/>
              </w:rPr>
            </w:pPr>
          </w:p>
        </w:tc>
        <w:tc>
          <w:tcPr>
            <w:tcW w:w="901" w:type="dxa"/>
            <w:vMerge w:val="continue"/>
            <w:shd w:val="clear" w:color="auto" w:fill="auto"/>
            <w:vAlign w:val="center"/>
          </w:tcPr>
          <w:p w14:paraId="578C4CC2">
            <w:pPr>
              <w:widowControl/>
              <w:jc w:val="left"/>
              <w:rPr>
                <w:rFonts w:ascii="黑体" w:hAnsi="黑体" w:cs="宋体"/>
                <w:kern w:val="0"/>
                <w:szCs w:val="18"/>
              </w:rPr>
            </w:pPr>
          </w:p>
        </w:tc>
        <w:tc>
          <w:tcPr>
            <w:tcW w:w="2643" w:type="dxa"/>
            <w:gridSpan w:val="2"/>
            <w:shd w:val="clear" w:color="auto" w:fill="auto"/>
            <w:vAlign w:val="center"/>
          </w:tcPr>
          <w:p w14:paraId="58B2F0CF">
            <w:pPr>
              <w:widowControl/>
              <w:spacing w:before="100" w:beforeAutospacing="1" w:after="100" w:afterAutospacing="1"/>
              <w:jc w:val="left"/>
              <w:rPr>
                <w:rFonts w:ascii="黑体" w:hAnsi="黑体" w:cs="宋体"/>
                <w:kern w:val="0"/>
                <w:szCs w:val="18"/>
              </w:rPr>
            </w:pPr>
            <w:r>
              <w:rPr>
                <w:rFonts w:ascii="黑体" w:hAnsi="黑体" w:cs="宋体"/>
                <w:kern w:val="0"/>
                <w:szCs w:val="18"/>
              </w:rPr>
              <w:t>10%的HCl溶液</w:t>
            </w:r>
          </w:p>
        </w:tc>
        <w:tc>
          <w:tcPr>
            <w:tcW w:w="4252" w:type="dxa"/>
            <w:vMerge w:val="continue"/>
            <w:shd w:val="clear" w:color="auto" w:fill="auto"/>
            <w:vAlign w:val="center"/>
          </w:tcPr>
          <w:p w14:paraId="749A73FA">
            <w:pPr>
              <w:widowControl/>
              <w:jc w:val="left"/>
              <w:rPr>
                <w:rFonts w:ascii="黑体" w:hAnsi="黑体" w:cs="宋体"/>
                <w:kern w:val="0"/>
                <w:szCs w:val="18"/>
              </w:rPr>
            </w:pPr>
          </w:p>
        </w:tc>
      </w:tr>
      <w:tr w14:paraId="51D0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shd w:val="clear" w:color="auto" w:fill="auto"/>
            <w:vAlign w:val="center"/>
          </w:tcPr>
          <w:p w14:paraId="0EABBBE6">
            <w:pPr>
              <w:widowControl/>
              <w:jc w:val="left"/>
              <w:rPr>
                <w:rFonts w:ascii="黑体" w:hAnsi="黑体" w:cs="宋体"/>
                <w:kern w:val="0"/>
                <w:szCs w:val="18"/>
              </w:rPr>
            </w:pPr>
          </w:p>
        </w:tc>
        <w:tc>
          <w:tcPr>
            <w:tcW w:w="901" w:type="dxa"/>
            <w:vMerge w:val="continue"/>
            <w:shd w:val="clear" w:color="auto" w:fill="auto"/>
            <w:vAlign w:val="center"/>
          </w:tcPr>
          <w:p w14:paraId="28532FC1">
            <w:pPr>
              <w:widowControl/>
              <w:jc w:val="left"/>
              <w:rPr>
                <w:rFonts w:ascii="黑体" w:hAnsi="黑体" w:cs="宋体"/>
                <w:kern w:val="0"/>
                <w:szCs w:val="18"/>
              </w:rPr>
            </w:pPr>
          </w:p>
        </w:tc>
        <w:tc>
          <w:tcPr>
            <w:tcW w:w="2643" w:type="dxa"/>
            <w:gridSpan w:val="2"/>
            <w:shd w:val="clear" w:color="auto" w:fill="auto"/>
            <w:vAlign w:val="center"/>
          </w:tcPr>
          <w:p w14:paraId="1EAE55C0">
            <w:pPr>
              <w:widowControl/>
              <w:spacing w:before="100" w:beforeAutospacing="1" w:after="100" w:afterAutospacing="1"/>
              <w:jc w:val="left"/>
              <w:rPr>
                <w:rFonts w:ascii="黑体" w:hAnsi="黑体" w:cs="宋体"/>
                <w:kern w:val="0"/>
                <w:szCs w:val="18"/>
              </w:rPr>
            </w:pPr>
            <w:r>
              <w:rPr>
                <w:rFonts w:ascii="黑体" w:hAnsi="黑体" w:cs="宋体"/>
                <w:kern w:val="0"/>
                <w:szCs w:val="18"/>
              </w:rPr>
              <w:t>120#溶剂汽油</w:t>
            </w:r>
          </w:p>
        </w:tc>
        <w:tc>
          <w:tcPr>
            <w:tcW w:w="4252" w:type="dxa"/>
            <w:vMerge w:val="continue"/>
            <w:shd w:val="clear" w:color="auto" w:fill="auto"/>
            <w:vAlign w:val="center"/>
          </w:tcPr>
          <w:p w14:paraId="057C50BF">
            <w:pPr>
              <w:widowControl/>
              <w:jc w:val="left"/>
              <w:rPr>
                <w:rFonts w:ascii="黑体" w:hAnsi="黑体" w:cs="宋体"/>
                <w:kern w:val="0"/>
                <w:szCs w:val="18"/>
              </w:rPr>
            </w:pPr>
          </w:p>
        </w:tc>
      </w:tr>
    </w:tbl>
    <w:p w14:paraId="71F90CD1">
      <w:pPr>
        <w:pStyle w:val="49"/>
        <w:spacing w:line="360" w:lineRule="auto"/>
        <w:ind w:left="420" w:firstLine="0" w:firstLineChars="0"/>
        <w:jc w:val="left"/>
        <w:rPr>
          <w:rFonts w:ascii="黑体" w:hAnsi="黑体" w:cs="宋体"/>
          <w:kern w:val="0"/>
          <w:szCs w:val="18"/>
        </w:rPr>
      </w:pPr>
    </w:p>
    <w:p w14:paraId="2EE04663">
      <w:pPr>
        <w:pStyle w:val="111"/>
        <w:jc w:val="left"/>
      </w:pPr>
      <w:r>
        <w:t>环氧薄涂面漆</w:t>
      </w:r>
    </w:p>
    <w:tbl>
      <w:tblPr>
        <w:tblStyle w:val="82"/>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283"/>
        <w:gridCol w:w="2410"/>
        <w:gridCol w:w="4180"/>
        <w:gridCol w:w="63"/>
      </w:tblGrid>
      <w:tr w14:paraId="1718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14A9FF97">
            <w:pPr>
              <w:widowControl/>
              <w:spacing w:before="100" w:beforeAutospacing="1" w:after="100" w:afterAutospacing="1"/>
              <w:jc w:val="left"/>
              <w:rPr>
                <w:rFonts w:ascii="黑体" w:hAnsi="黑体" w:cs="宋体"/>
                <w:kern w:val="0"/>
                <w:szCs w:val="18"/>
              </w:rPr>
            </w:pPr>
            <w:r>
              <w:rPr>
                <w:rFonts w:ascii="黑体" w:hAnsi="黑体" w:cs="宋体"/>
                <w:kern w:val="0"/>
                <w:szCs w:val="18"/>
              </w:rPr>
              <w:t>序　 号</w:t>
            </w:r>
          </w:p>
        </w:tc>
        <w:tc>
          <w:tcPr>
            <w:tcW w:w="3693" w:type="dxa"/>
            <w:gridSpan w:val="2"/>
            <w:shd w:val="clear" w:color="auto" w:fill="auto"/>
            <w:vAlign w:val="center"/>
          </w:tcPr>
          <w:p w14:paraId="7BEB9A44">
            <w:pPr>
              <w:widowControl/>
              <w:spacing w:before="100" w:beforeAutospacing="1" w:after="100" w:afterAutospacing="1"/>
              <w:jc w:val="left"/>
              <w:rPr>
                <w:rFonts w:ascii="黑体" w:hAnsi="黑体" w:cs="宋体"/>
                <w:kern w:val="0"/>
                <w:szCs w:val="18"/>
              </w:rPr>
            </w:pPr>
            <w:r>
              <w:rPr>
                <w:rFonts w:ascii="黑体" w:hAnsi="黑体" w:cs="宋体"/>
                <w:kern w:val="0"/>
                <w:szCs w:val="18"/>
              </w:rPr>
              <w:t>项　　目</w:t>
            </w:r>
          </w:p>
        </w:tc>
        <w:tc>
          <w:tcPr>
            <w:tcW w:w="4180" w:type="dxa"/>
            <w:shd w:val="clear" w:color="auto" w:fill="auto"/>
            <w:vAlign w:val="center"/>
          </w:tcPr>
          <w:p w14:paraId="3A8F74BB">
            <w:pPr>
              <w:widowControl/>
              <w:spacing w:before="100" w:beforeAutospacing="1" w:after="100" w:afterAutospacing="1"/>
              <w:jc w:val="left"/>
              <w:rPr>
                <w:rFonts w:ascii="黑体" w:hAnsi="黑体" w:cs="宋体"/>
                <w:kern w:val="0"/>
                <w:szCs w:val="18"/>
              </w:rPr>
            </w:pPr>
            <w:r>
              <w:rPr>
                <w:rFonts w:ascii="黑体" w:hAnsi="黑体" w:cs="宋体"/>
                <w:kern w:val="0"/>
                <w:szCs w:val="18"/>
              </w:rPr>
              <w:t>技 术 指 标</w:t>
            </w:r>
          </w:p>
        </w:tc>
      </w:tr>
      <w:tr w14:paraId="0E2A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4429A823">
            <w:pPr>
              <w:widowControl/>
              <w:spacing w:before="100" w:beforeAutospacing="1" w:after="100" w:afterAutospacing="1"/>
              <w:jc w:val="left"/>
              <w:rPr>
                <w:rFonts w:ascii="黑体" w:hAnsi="黑体" w:cs="宋体"/>
                <w:kern w:val="0"/>
                <w:szCs w:val="18"/>
              </w:rPr>
            </w:pPr>
            <w:r>
              <w:rPr>
                <w:rFonts w:ascii="黑体" w:hAnsi="黑体" w:cs="宋体"/>
                <w:kern w:val="0"/>
                <w:szCs w:val="18"/>
              </w:rPr>
              <w:t>1</w:t>
            </w:r>
          </w:p>
        </w:tc>
        <w:tc>
          <w:tcPr>
            <w:tcW w:w="3693" w:type="dxa"/>
            <w:gridSpan w:val="2"/>
            <w:shd w:val="clear" w:color="auto" w:fill="auto"/>
            <w:vAlign w:val="center"/>
          </w:tcPr>
          <w:p w14:paraId="6A7A6AAC">
            <w:pPr>
              <w:widowControl/>
              <w:spacing w:before="100" w:beforeAutospacing="1" w:after="100" w:afterAutospacing="1"/>
              <w:jc w:val="left"/>
              <w:rPr>
                <w:rFonts w:ascii="黑体" w:hAnsi="黑体" w:cs="宋体"/>
                <w:kern w:val="0"/>
                <w:szCs w:val="18"/>
              </w:rPr>
            </w:pPr>
            <w:r>
              <w:rPr>
                <w:rFonts w:ascii="黑体" w:hAnsi="黑体" w:cs="宋体"/>
                <w:kern w:val="0"/>
                <w:szCs w:val="18"/>
              </w:rPr>
              <w:t>容器中的状态</w:t>
            </w:r>
          </w:p>
        </w:tc>
        <w:tc>
          <w:tcPr>
            <w:tcW w:w="4180" w:type="dxa"/>
            <w:shd w:val="clear" w:color="auto" w:fill="auto"/>
            <w:vAlign w:val="center"/>
          </w:tcPr>
          <w:p w14:paraId="3EA34460">
            <w:pPr>
              <w:widowControl/>
              <w:spacing w:before="100" w:beforeAutospacing="1" w:after="100" w:afterAutospacing="1"/>
              <w:jc w:val="left"/>
              <w:rPr>
                <w:rFonts w:ascii="黑体" w:hAnsi="黑体" w:cs="宋体"/>
                <w:kern w:val="0"/>
                <w:szCs w:val="18"/>
              </w:rPr>
            </w:pPr>
            <w:r>
              <w:rPr>
                <w:rFonts w:ascii="黑体" w:hAnsi="黑体" w:cs="宋体"/>
                <w:kern w:val="0"/>
                <w:szCs w:val="18"/>
              </w:rPr>
              <w:t>搅拌后无硬块，呈均匀状态</w:t>
            </w:r>
          </w:p>
        </w:tc>
      </w:tr>
      <w:tr w14:paraId="0D51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1BA49166">
            <w:pPr>
              <w:widowControl/>
              <w:spacing w:before="100" w:beforeAutospacing="1" w:after="100" w:afterAutospacing="1"/>
              <w:jc w:val="left"/>
              <w:rPr>
                <w:rFonts w:ascii="黑体" w:hAnsi="黑体" w:cs="宋体"/>
                <w:kern w:val="0"/>
                <w:szCs w:val="18"/>
              </w:rPr>
            </w:pPr>
            <w:r>
              <w:rPr>
                <w:rFonts w:ascii="黑体" w:hAnsi="黑体" w:cs="宋体"/>
                <w:kern w:val="0"/>
                <w:szCs w:val="18"/>
              </w:rPr>
              <w:t>2</w:t>
            </w:r>
          </w:p>
        </w:tc>
        <w:tc>
          <w:tcPr>
            <w:tcW w:w="3693" w:type="dxa"/>
            <w:gridSpan w:val="2"/>
            <w:shd w:val="clear" w:color="auto" w:fill="auto"/>
            <w:vAlign w:val="center"/>
          </w:tcPr>
          <w:p w14:paraId="7C8CB503">
            <w:pPr>
              <w:widowControl/>
              <w:spacing w:before="100" w:beforeAutospacing="1" w:after="100" w:afterAutospacing="1"/>
              <w:jc w:val="left"/>
              <w:rPr>
                <w:rFonts w:ascii="黑体" w:hAnsi="黑体" w:cs="宋体"/>
                <w:kern w:val="0"/>
                <w:szCs w:val="18"/>
              </w:rPr>
            </w:pPr>
            <w:r>
              <w:rPr>
                <w:rFonts w:ascii="黑体" w:hAnsi="黑体" w:cs="宋体"/>
                <w:kern w:val="0"/>
                <w:szCs w:val="18"/>
              </w:rPr>
              <w:t>涂膜外观</w:t>
            </w:r>
          </w:p>
        </w:tc>
        <w:tc>
          <w:tcPr>
            <w:tcW w:w="4180" w:type="dxa"/>
            <w:shd w:val="clear" w:color="auto" w:fill="auto"/>
            <w:vAlign w:val="center"/>
          </w:tcPr>
          <w:p w14:paraId="3AF5F13D">
            <w:pPr>
              <w:widowControl/>
              <w:spacing w:before="100" w:beforeAutospacing="1" w:after="100" w:afterAutospacing="1"/>
              <w:jc w:val="left"/>
              <w:rPr>
                <w:rFonts w:ascii="黑体" w:hAnsi="黑体" w:cs="宋体"/>
                <w:kern w:val="0"/>
                <w:szCs w:val="18"/>
              </w:rPr>
            </w:pPr>
            <w:r>
              <w:rPr>
                <w:rFonts w:ascii="黑体" w:hAnsi="黑体" w:cs="宋体"/>
                <w:kern w:val="0"/>
                <w:szCs w:val="18"/>
              </w:rPr>
              <w:t>平整，无刷痕、折皱、针孔、气泡等缺陷</w:t>
            </w:r>
          </w:p>
        </w:tc>
      </w:tr>
      <w:tr w14:paraId="50E7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40A46B4B">
            <w:pPr>
              <w:widowControl/>
              <w:spacing w:before="100" w:beforeAutospacing="1" w:after="100" w:afterAutospacing="1"/>
              <w:jc w:val="left"/>
              <w:rPr>
                <w:rFonts w:ascii="黑体" w:hAnsi="黑体" w:cs="宋体"/>
                <w:kern w:val="0"/>
                <w:szCs w:val="18"/>
              </w:rPr>
            </w:pPr>
            <w:r>
              <w:rPr>
                <w:rFonts w:ascii="黑体" w:hAnsi="黑体" w:cs="宋体"/>
                <w:kern w:val="0"/>
                <w:szCs w:val="18"/>
              </w:rPr>
              <w:t>3</w:t>
            </w:r>
          </w:p>
        </w:tc>
        <w:tc>
          <w:tcPr>
            <w:tcW w:w="3693" w:type="dxa"/>
            <w:gridSpan w:val="2"/>
            <w:shd w:val="clear" w:color="auto" w:fill="auto"/>
            <w:vAlign w:val="center"/>
          </w:tcPr>
          <w:p w14:paraId="3D02A568">
            <w:pPr>
              <w:widowControl/>
              <w:spacing w:before="100" w:beforeAutospacing="1" w:after="100" w:afterAutospacing="1"/>
              <w:jc w:val="left"/>
              <w:rPr>
                <w:rFonts w:ascii="黑体" w:hAnsi="黑体" w:cs="宋体"/>
                <w:kern w:val="0"/>
                <w:szCs w:val="18"/>
              </w:rPr>
            </w:pPr>
            <w:r>
              <w:rPr>
                <w:rFonts w:ascii="黑体" w:hAnsi="黑体" w:cs="宋体"/>
                <w:kern w:val="0"/>
                <w:szCs w:val="18"/>
              </w:rPr>
              <w:t>固体含量，%　　　　　　　　 ≥</w:t>
            </w:r>
          </w:p>
        </w:tc>
        <w:tc>
          <w:tcPr>
            <w:tcW w:w="4180" w:type="dxa"/>
            <w:shd w:val="clear" w:color="auto" w:fill="auto"/>
            <w:vAlign w:val="center"/>
          </w:tcPr>
          <w:p w14:paraId="7094653B">
            <w:pPr>
              <w:widowControl/>
              <w:spacing w:before="100" w:beforeAutospacing="1" w:after="100" w:afterAutospacing="1"/>
              <w:jc w:val="left"/>
              <w:rPr>
                <w:rFonts w:ascii="黑体" w:hAnsi="黑体" w:cs="宋体"/>
                <w:kern w:val="0"/>
                <w:szCs w:val="18"/>
              </w:rPr>
            </w:pPr>
            <w:r>
              <w:rPr>
                <w:rFonts w:ascii="黑体" w:hAnsi="黑体" w:cs="宋体"/>
                <w:kern w:val="0"/>
                <w:szCs w:val="18"/>
              </w:rPr>
              <w:t>60</w:t>
            </w:r>
          </w:p>
        </w:tc>
      </w:tr>
      <w:tr w14:paraId="0301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vMerge w:val="restart"/>
            <w:shd w:val="clear" w:color="auto" w:fill="auto"/>
            <w:vAlign w:val="center"/>
          </w:tcPr>
          <w:p w14:paraId="3664D92C">
            <w:pPr>
              <w:widowControl/>
              <w:spacing w:before="100" w:beforeAutospacing="1" w:after="100" w:afterAutospacing="1"/>
              <w:jc w:val="left"/>
              <w:rPr>
                <w:rFonts w:ascii="黑体" w:hAnsi="黑体" w:cs="宋体"/>
                <w:kern w:val="0"/>
                <w:szCs w:val="18"/>
              </w:rPr>
            </w:pPr>
            <w:r>
              <w:rPr>
                <w:rFonts w:ascii="黑体" w:hAnsi="黑体" w:cs="宋体"/>
                <w:kern w:val="0"/>
                <w:szCs w:val="18"/>
              </w:rPr>
              <w:t>4</w:t>
            </w:r>
          </w:p>
        </w:tc>
        <w:tc>
          <w:tcPr>
            <w:tcW w:w="1283" w:type="dxa"/>
            <w:vMerge w:val="restart"/>
            <w:shd w:val="clear" w:color="auto" w:fill="auto"/>
            <w:vAlign w:val="center"/>
          </w:tcPr>
          <w:p w14:paraId="34C94125">
            <w:pPr>
              <w:widowControl/>
              <w:spacing w:before="100" w:beforeAutospacing="1" w:after="100" w:afterAutospacing="1"/>
              <w:jc w:val="left"/>
              <w:rPr>
                <w:rFonts w:ascii="黑体" w:hAnsi="黑体" w:cs="宋体"/>
                <w:kern w:val="0"/>
                <w:szCs w:val="18"/>
              </w:rPr>
            </w:pPr>
            <w:r>
              <w:rPr>
                <w:rFonts w:ascii="黑体" w:hAnsi="黑体" w:cs="宋体"/>
                <w:kern w:val="0"/>
                <w:szCs w:val="18"/>
              </w:rPr>
              <w:t>干燥时间，h</w:t>
            </w:r>
          </w:p>
        </w:tc>
        <w:tc>
          <w:tcPr>
            <w:tcW w:w="2410" w:type="dxa"/>
            <w:shd w:val="clear" w:color="auto" w:fill="auto"/>
            <w:vAlign w:val="center"/>
          </w:tcPr>
          <w:p w14:paraId="5CEC7738">
            <w:pPr>
              <w:widowControl/>
              <w:spacing w:before="100" w:beforeAutospacing="1" w:after="100" w:afterAutospacing="1"/>
              <w:jc w:val="left"/>
              <w:rPr>
                <w:rFonts w:ascii="黑体" w:hAnsi="黑体" w:cs="宋体"/>
                <w:kern w:val="0"/>
                <w:szCs w:val="18"/>
              </w:rPr>
            </w:pPr>
            <w:r>
              <w:rPr>
                <w:rFonts w:ascii="黑体" w:hAnsi="黑体" w:cs="宋体"/>
                <w:kern w:val="0"/>
                <w:szCs w:val="18"/>
              </w:rPr>
              <w:t>表干　 ≤</w:t>
            </w:r>
          </w:p>
        </w:tc>
        <w:tc>
          <w:tcPr>
            <w:tcW w:w="4180" w:type="dxa"/>
            <w:shd w:val="clear" w:color="auto" w:fill="auto"/>
            <w:vAlign w:val="center"/>
          </w:tcPr>
          <w:p w14:paraId="04C98D45">
            <w:pPr>
              <w:widowControl/>
              <w:spacing w:before="100" w:beforeAutospacing="1" w:after="100" w:afterAutospacing="1"/>
              <w:jc w:val="left"/>
              <w:rPr>
                <w:rFonts w:ascii="黑体" w:hAnsi="黑体" w:cs="宋体"/>
                <w:kern w:val="0"/>
                <w:szCs w:val="18"/>
              </w:rPr>
            </w:pPr>
            <w:r>
              <w:rPr>
                <w:rFonts w:ascii="黑体" w:hAnsi="黑体" w:cs="宋体"/>
                <w:kern w:val="0"/>
                <w:szCs w:val="18"/>
              </w:rPr>
              <w:t>6</w:t>
            </w:r>
          </w:p>
        </w:tc>
      </w:tr>
      <w:tr w14:paraId="78E50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vMerge w:val="continue"/>
            <w:shd w:val="clear" w:color="auto" w:fill="auto"/>
            <w:vAlign w:val="center"/>
          </w:tcPr>
          <w:p w14:paraId="1A844D39">
            <w:pPr>
              <w:widowControl/>
              <w:jc w:val="left"/>
              <w:rPr>
                <w:rFonts w:ascii="黑体" w:hAnsi="黑体" w:cs="宋体"/>
                <w:kern w:val="0"/>
                <w:szCs w:val="18"/>
              </w:rPr>
            </w:pPr>
          </w:p>
        </w:tc>
        <w:tc>
          <w:tcPr>
            <w:tcW w:w="1283" w:type="dxa"/>
            <w:vMerge w:val="continue"/>
            <w:shd w:val="clear" w:color="auto" w:fill="auto"/>
            <w:vAlign w:val="center"/>
          </w:tcPr>
          <w:p w14:paraId="5F9B15DF">
            <w:pPr>
              <w:widowControl/>
              <w:jc w:val="left"/>
              <w:rPr>
                <w:rFonts w:ascii="黑体" w:hAnsi="黑体" w:cs="宋体"/>
                <w:kern w:val="0"/>
                <w:szCs w:val="18"/>
              </w:rPr>
            </w:pPr>
          </w:p>
        </w:tc>
        <w:tc>
          <w:tcPr>
            <w:tcW w:w="2410" w:type="dxa"/>
            <w:shd w:val="clear" w:color="auto" w:fill="auto"/>
            <w:vAlign w:val="center"/>
          </w:tcPr>
          <w:p w14:paraId="7C88E84D">
            <w:pPr>
              <w:widowControl/>
              <w:spacing w:before="100" w:beforeAutospacing="1" w:after="100" w:afterAutospacing="1"/>
              <w:jc w:val="left"/>
              <w:rPr>
                <w:rFonts w:ascii="黑体" w:hAnsi="黑体" w:cs="宋体"/>
                <w:kern w:val="0"/>
                <w:szCs w:val="18"/>
              </w:rPr>
            </w:pPr>
            <w:r>
              <w:rPr>
                <w:rFonts w:ascii="黑体" w:hAnsi="黑体" w:cs="宋体"/>
                <w:kern w:val="0"/>
                <w:szCs w:val="18"/>
              </w:rPr>
              <w:t>实干　 ≤</w:t>
            </w:r>
          </w:p>
        </w:tc>
        <w:tc>
          <w:tcPr>
            <w:tcW w:w="4180" w:type="dxa"/>
            <w:shd w:val="clear" w:color="auto" w:fill="auto"/>
            <w:vAlign w:val="center"/>
          </w:tcPr>
          <w:p w14:paraId="6EB06A5D">
            <w:pPr>
              <w:widowControl/>
              <w:spacing w:before="100" w:beforeAutospacing="1" w:after="100" w:afterAutospacing="1"/>
              <w:jc w:val="left"/>
              <w:rPr>
                <w:rFonts w:ascii="黑体" w:hAnsi="黑体" w:cs="宋体"/>
                <w:kern w:val="0"/>
                <w:szCs w:val="18"/>
              </w:rPr>
            </w:pPr>
            <w:r>
              <w:rPr>
                <w:rFonts w:ascii="黑体" w:hAnsi="黑体" w:cs="宋体"/>
                <w:kern w:val="0"/>
                <w:szCs w:val="18"/>
              </w:rPr>
              <w:t>24</w:t>
            </w:r>
          </w:p>
        </w:tc>
      </w:tr>
      <w:tr w14:paraId="000D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19DA8E8E">
            <w:pPr>
              <w:widowControl/>
              <w:spacing w:before="100" w:beforeAutospacing="1" w:after="100" w:afterAutospacing="1"/>
              <w:jc w:val="left"/>
              <w:rPr>
                <w:rFonts w:ascii="黑体" w:hAnsi="黑体" w:cs="宋体"/>
                <w:kern w:val="0"/>
                <w:szCs w:val="18"/>
              </w:rPr>
            </w:pPr>
            <w:r>
              <w:rPr>
                <w:rFonts w:ascii="黑体" w:hAnsi="黑体" w:cs="宋体"/>
                <w:kern w:val="0"/>
                <w:szCs w:val="18"/>
              </w:rPr>
              <w:t>5</w:t>
            </w:r>
          </w:p>
        </w:tc>
        <w:tc>
          <w:tcPr>
            <w:tcW w:w="3693" w:type="dxa"/>
            <w:gridSpan w:val="2"/>
            <w:shd w:val="clear" w:color="auto" w:fill="auto"/>
            <w:vAlign w:val="center"/>
          </w:tcPr>
          <w:p w14:paraId="09867F2F">
            <w:pPr>
              <w:widowControl/>
              <w:spacing w:before="100" w:beforeAutospacing="1" w:after="100" w:afterAutospacing="1"/>
              <w:jc w:val="left"/>
              <w:rPr>
                <w:rFonts w:ascii="黑体" w:hAnsi="黑体" w:cs="宋体"/>
                <w:kern w:val="0"/>
                <w:szCs w:val="18"/>
              </w:rPr>
            </w:pPr>
            <w:r>
              <w:rPr>
                <w:rFonts w:ascii="黑体" w:hAnsi="黑体" w:cs="宋体"/>
                <w:kern w:val="0"/>
                <w:szCs w:val="18"/>
              </w:rPr>
              <w:t>铅笔硬度，H　　　　　　　　 ≥</w:t>
            </w:r>
          </w:p>
        </w:tc>
        <w:tc>
          <w:tcPr>
            <w:tcW w:w="4180" w:type="dxa"/>
            <w:shd w:val="clear" w:color="auto" w:fill="auto"/>
            <w:vAlign w:val="center"/>
          </w:tcPr>
          <w:p w14:paraId="2A30A5AB">
            <w:pPr>
              <w:widowControl/>
              <w:spacing w:before="100" w:beforeAutospacing="1" w:after="100" w:afterAutospacing="1"/>
              <w:jc w:val="left"/>
              <w:rPr>
                <w:rFonts w:ascii="黑体" w:hAnsi="黑体" w:cs="宋体"/>
                <w:kern w:val="0"/>
                <w:szCs w:val="18"/>
              </w:rPr>
            </w:pPr>
            <w:r>
              <w:rPr>
                <w:rFonts w:ascii="黑体" w:hAnsi="黑体" w:cs="宋体"/>
                <w:kern w:val="0"/>
                <w:szCs w:val="18"/>
              </w:rPr>
              <w:t>3</w:t>
            </w:r>
          </w:p>
        </w:tc>
      </w:tr>
      <w:tr w14:paraId="3AD4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43F8D5A0">
            <w:pPr>
              <w:widowControl/>
              <w:spacing w:before="100" w:beforeAutospacing="1" w:after="100" w:afterAutospacing="1"/>
              <w:jc w:val="left"/>
              <w:rPr>
                <w:rFonts w:ascii="黑体" w:hAnsi="黑体" w:cs="宋体"/>
                <w:kern w:val="0"/>
                <w:szCs w:val="18"/>
              </w:rPr>
            </w:pPr>
            <w:r>
              <w:rPr>
                <w:rFonts w:ascii="黑体" w:hAnsi="黑体" w:cs="宋体"/>
                <w:kern w:val="0"/>
                <w:szCs w:val="18"/>
              </w:rPr>
              <w:t>6</w:t>
            </w:r>
          </w:p>
        </w:tc>
        <w:tc>
          <w:tcPr>
            <w:tcW w:w="3693" w:type="dxa"/>
            <w:gridSpan w:val="2"/>
            <w:shd w:val="clear" w:color="auto" w:fill="auto"/>
            <w:vAlign w:val="center"/>
          </w:tcPr>
          <w:p w14:paraId="4D48251F">
            <w:pPr>
              <w:widowControl/>
              <w:spacing w:before="100" w:beforeAutospacing="1" w:after="100" w:afterAutospacing="1"/>
              <w:jc w:val="left"/>
              <w:rPr>
                <w:rFonts w:ascii="黑体" w:hAnsi="黑体" w:cs="宋体"/>
                <w:kern w:val="0"/>
                <w:szCs w:val="18"/>
              </w:rPr>
            </w:pPr>
            <w:r>
              <w:rPr>
                <w:rFonts w:ascii="黑体" w:hAnsi="黑体" w:cs="宋体"/>
                <w:kern w:val="0"/>
                <w:szCs w:val="18"/>
              </w:rPr>
              <w:t>抗冲击性，Φ50mm， 500g的钢球</w:t>
            </w:r>
          </w:p>
        </w:tc>
        <w:tc>
          <w:tcPr>
            <w:tcW w:w="4180" w:type="dxa"/>
            <w:shd w:val="clear" w:color="auto" w:fill="auto"/>
            <w:vAlign w:val="center"/>
          </w:tcPr>
          <w:p w14:paraId="536850B5">
            <w:pPr>
              <w:widowControl/>
              <w:spacing w:before="100" w:beforeAutospacing="1" w:after="100" w:afterAutospacing="1"/>
              <w:jc w:val="left"/>
              <w:rPr>
                <w:rFonts w:ascii="黑体" w:hAnsi="黑体" w:cs="宋体"/>
                <w:kern w:val="0"/>
                <w:szCs w:val="18"/>
              </w:rPr>
            </w:pPr>
            <w:r>
              <w:rPr>
                <w:rFonts w:ascii="黑体" w:hAnsi="黑体" w:cs="宋体"/>
                <w:kern w:val="0"/>
                <w:szCs w:val="18"/>
              </w:rPr>
              <w:t>涂膜无裂纹、无剥落</w:t>
            </w:r>
          </w:p>
        </w:tc>
      </w:tr>
      <w:tr w14:paraId="7CA9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5197D50C">
            <w:pPr>
              <w:widowControl/>
              <w:spacing w:before="100" w:beforeAutospacing="1" w:after="100" w:afterAutospacing="1"/>
              <w:jc w:val="left"/>
              <w:rPr>
                <w:rFonts w:ascii="黑体" w:hAnsi="黑体" w:cs="宋体"/>
                <w:kern w:val="0"/>
                <w:szCs w:val="18"/>
              </w:rPr>
            </w:pPr>
            <w:r>
              <w:rPr>
                <w:rFonts w:ascii="黑体" w:hAnsi="黑体" w:cs="宋体"/>
                <w:kern w:val="0"/>
                <w:szCs w:val="18"/>
              </w:rPr>
              <w:t>7</w:t>
            </w:r>
          </w:p>
        </w:tc>
        <w:tc>
          <w:tcPr>
            <w:tcW w:w="3693" w:type="dxa"/>
            <w:gridSpan w:val="2"/>
            <w:shd w:val="clear" w:color="auto" w:fill="auto"/>
            <w:vAlign w:val="center"/>
          </w:tcPr>
          <w:p w14:paraId="0F16B2E1">
            <w:pPr>
              <w:widowControl/>
              <w:spacing w:before="100" w:beforeAutospacing="1" w:after="100" w:afterAutospacing="1"/>
              <w:jc w:val="left"/>
              <w:rPr>
                <w:rFonts w:ascii="黑体" w:hAnsi="黑体" w:cs="宋体"/>
                <w:kern w:val="0"/>
                <w:szCs w:val="18"/>
              </w:rPr>
            </w:pPr>
            <w:r>
              <w:rPr>
                <w:rFonts w:ascii="黑体" w:hAnsi="黑体" w:cs="宋体"/>
                <w:kern w:val="0"/>
                <w:szCs w:val="18"/>
              </w:rPr>
              <w:t>耐磨性，g　　　　　　　　　 ≤</w:t>
            </w:r>
          </w:p>
        </w:tc>
        <w:tc>
          <w:tcPr>
            <w:tcW w:w="4180" w:type="dxa"/>
            <w:shd w:val="clear" w:color="auto" w:fill="auto"/>
            <w:vAlign w:val="center"/>
          </w:tcPr>
          <w:p w14:paraId="2CAA8B2C">
            <w:pPr>
              <w:widowControl/>
              <w:spacing w:before="100" w:beforeAutospacing="1" w:after="100" w:afterAutospacing="1"/>
              <w:jc w:val="left"/>
              <w:rPr>
                <w:rFonts w:ascii="黑体" w:hAnsi="黑体" w:cs="宋体"/>
                <w:kern w:val="0"/>
                <w:szCs w:val="18"/>
              </w:rPr>
            </w:pPr>
            <w:r>
              <w:rPr>
                <w:rFonts w:ascii="黑体" w:hAnsi="黑体" w:cs="宋体"/>
                <w:kern w:val="0"/>
                <w:szCs w:val="18"/>
              </w:rPr>
              <w:t>0.20</w:t>
            </w:r>
          </w:p>
        </w:tc>
      </w:tr>
      <w:tr w14:paraId="08E4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3FDB8756">
            <w:pPr>
              <w:widowControl/>
              <w:spacing w:before="100" w:beforeAutospacing="1" w:after="100" w:afterAutospacing="1"/>
              <w:jc w:val="left"/>
              <w:rPr>
                <w:rFonts w:ascii="黑体" w:hAnsi="黑体" w:cs="宋体"/>
                <w:kern w:val="0"/>
                <w:szCs w:val="18"/>
              </w:rPr>
            </w:pPr>
            <w:r>
              <w:rPr>
                <w:rFonts w:ascii="黑体" w:hAnsi="黑体" w:cs="宋体"/>
                <w:kern w:val="0"/>
                <w:szCs w:val="18"/>
              </w:rPr>
              <w:t>8</w:t>
            </w:r>
          </w:p>
        </w:tc>
        <w:tc>
          <w:tcPr>
            <w:tcW w:w="3693" w:type="dxa"/>
            <w:gridSpan w:val="2"/>
            <w:shd w:val="clear" w:color="auto" w:fill="auto"/>
            <w:vAlign w:val="center"/>
          </w:tcPr>
          <w:p w14:paraId="1CA130A7">
            <w:pPr>
              <w:widowControl/>
              <w:spacing w:before="100" w:beforeAutospacing="1" w:after="100" w:afterAutospacing="1"/>
              <w:jc w:val="left"/>
              <w:rPr>
                <w:rFonts w:ascii="黑体" w:hAnsi="黑体" w:cs="宋体"/>
                <w:kern w:val="0"/>
                <w:szCs w:val="18"/>
              </w:rPr>
            </w:pPr>
            <w:r>
              <w:rPr>
                <w:rFonts w:ascii="黑体" w:hAnsi="黑体" w:cs="宋体"/>
                <w:kern w:val="0"/>
                <w:szCs w:val="18"/>
              </w:rPr>
              <w:t>7d拉伸粘结强度，MPa　　　　</w:t>
            </w:r>
          </w:p>
        </w:tc>
        <w:tc>
          <w:tcPr>
            <w:tcW w:w="4180" w:type="dxa"/>
            <w:shd w:val="clear" w:color="auto" w:fill="auto"/>
            <w:vAlign w:val="center"/>
          </w:tcPr>
          <w:p w14:paraId="5ABE15E6">
            <w:pPr>
              <w:widowControl/>
              <w:spacing w:before="100" w:beforeAutospacing="1" w:after="100" w:afterAutospacing="1"/>
              <w:jc w:val="left"/>
              <w:rPr>
                <w:rFonts w:ascii="黑体" w:hAnsi="黑体" w:cs="宋体"/>
                <w:kern w:val="0"/>
                <w:szCs w:val="18"/>
              </w:rPr>
            </w:pPr>
            <w:r>
              <w:rPr>
                <w:rFonts w:ascii="黑体" w:hAnsi="黑体" w:cs="宋体"/>
                <w:kern w:val="0"/>
                <w:szCs w:val="18"/>
              </w:rPr>
              <w:t>2.0</w:t>
            </w:r>
          </w:p>
        </w:tc>
      </w:tr>
      <w:tr w14:paraId="287C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3" w:type="dxa"/>
          <w:jc w:val="center"/>
        </w:trPr>
        <w:tc>
          <w:tcPr>
            <w:tcW w:w="697" w:type="dxa"/>
            <w:shd w:val="clear" w:color="auto" w:fill="auto"/>
            <w:vAlign w:val="center"/>
          </w:tcPr>
          <w:p w14:paraId="5F5B1E81">
            <w:pPr>
              <w:widowControl/>
              <w:spacing w:before="100" w:beforeAutospacing="1" w:after="100" w:afterAutospacing="1"/>
              <w:jc w:val="left"/>
              <w:rPr>
                <w:rFonts w:ascii="黑体" w:hAnsi="黑体" w:cs="宋体"/>
                <w:kern w:val="0"/>
                <w:szCs w:val="18"/>
              </w:rPr>
            </w:pPr>
            <w:r>
              <w:rPr>
                <w:rFonts w:ascii="黑体" w:hAnsi="黑体" w:cs="宋体"/>
                <w:kern w:val="0"/>
                <w:szCs w:val="18"/>
              </w:rPr>
              <w:t>9</w:t>
            </w:r>
          </w:p>
        </w:tc>
        <w:tc>
          <w:tcPr>
            <w:tcW w:w="3693" w:type="dxa"/>
            <w:gridSpan w:val="2"/>
            <w:shd w:val="clear" w:color="auto" w:fill="auto"/>
            <w:vAlign w:val="center"/>
          </w:tcPr>
          <w:p w14:paraId="11236C36">
            <w:pPr>
              <w:widowControl/>
              <w:spacing w:before="100" w:beforeAutospacing="1" w:after="100" w:afterAutospacing="1"/>
              <w:jc w:val="left"/>
              <w:rPr>
                <w:rFonts w:ascii="黑体" w:hAnsi="黑体" w:cs="宋体"/>
                <w:kern w:val="0"/>
                <w:szCs w:val="18"/>
              </w:rPr>
            </w:pPr>
            <w:r>
              <w:rPr>
                <w:rFonts w:ascii="黑体" w:hAnsi="黑体" w:cs="宋体"/>
                <w:kern w:val="0"/>
                <w:szCs w:val="18"/>
              </w:rPr>
              <w:t>耐水性</w:t>
            </w:r>
          </w:p>
        </w:tc>
        <w:tc>
          <w:tcPr>
            <w:tcW w:w="4180" w:type="dxa"/>
            <w:shd w:val="clear" w:color="auto" w:fill="auto"/>
            <w:vAlign w:val="center"/>
          </w:tcPr>
          <w:p w14:paraId="6BEAEF60">
            <w:pPr>
              <w:widowControl/>
              <w:spacing w:before="100" w:beforeAutospacing="1" w:after="100" w:afterAutospacing="1"/>
              <w:jc w:val="left"/>
              <w:rPr>
                <w:rFonts w:ascii="黑体" w:hAnsi="黑体" w:cs="宋体"/>
                <w:kern w:val="0"/>
                <w:szCs w:val="18"/>
              </w:rPr>
            </w:pPr>
            <w:r>
              <w:rPr>
                <w:rFonts w:ascii="黑体" w:hAnsi="黑体" w:cs="宋体"/>
                <w:kern w:val="0"/>
                <w:szCs w:val="18"/>
              </w:rPr>
              <w:t>涂膜完整，不起泡、不剥落，允许轻微变色</w:t>
            </w:r>
          </w:p>
        </w:tc>
      </w:tr>
      <w:tr w14:paraId="6EC7D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restart"/>
            <w:shd w:val="clear" w:color="auto" w:fill="auto"/>
            <w:vAlign w:val="center"/>
          </w:tcPr>
          <w:p w14:paraId="28E95CF1">
            <w:pPr>
              <w:widowControl/>
              <w:spacing w:before="100" w:beforeAutospacing="1" w:after="100" w:afterAutospacing="1"/>
              <w:jc w:val="left"/>
              <w:rPr>
                <w:rFonts w:ascii="黑体" w:hAnsi="黑体" w:cs="宋体"/>
                <w:kern w:val="0"/>
                <w:szCs w:val="18"/>
              </w:rPr>
            </w:pPr>
            <w:r>
              <w:rPr>
                <w:rFonts w:ascii="黑体" w:hAnsi="黑体" w:cs="宋体"/>
                <w:kern w:val="0"/>
                <w:szCs w:val="18"/>
              </w:rPr>
              <w:t>10</w:t>
            </w:r>
          </w:p>
        </w:tc>
        <w:tc>
          <w:tcPr>
            <w:tcW w:w="1283" w:type="dxa"/>
            <w:vMerge w:val="restart"/>
            <w:shd w:val="clear" w:color="auto" w:fill="auto"/>
            <w:vAlign w:val="center"/>
          </w:tcPr>
          <w:p w14:paraId="76FB8E7A">
            <w:pPr>
              <w:widowControl/>
              <w:spacing w:before="100" w:beforeAutospacing="1" w:after="100" w:afterAutospacing="1"/>
              <w:jc w:val="left"/>
              <w:rPr>
                <w:rFonts w:ascii="黑体" w:hAnsi="黑体" w:cs="宋体"/>
                <w:kern w:val="0"/>
                <w:szCs w:val="18"/>
              </w:rPr>
            </w:pPr>
            <w:r>
              <w:rPr>
                <w:rFonts w:ascii="黑体" w:hAnsi="黑体" w:cs="宋体"/>
                <w:kern w:val="0"/>
                <w:szCs w:val="18"/>
              </w:rPr>
              <w:t>耐化学性</w:t>
            </w:r>
          </w:p>
        </w:tc>
        <w:tc>
          <w:tcPr>
            <w:tcW w:w="2410" w:type="dxa"/>
            <w:shd w:val="clear" w:color="auto" w:fill="auto"/>
            <w:vAlign w:val="center"/>
          </w:tcPr>
          <w:p w14:paraId="10CAB0C1">
            <w:pPr>
              <w:widowControl/>
              <w:spacing w:before="100" w:beforeAutospacing="1" w:after="100" w:afterAutospacing="1"/>
              <w:jc w:val="left"/>
              <w:rPr>
                <w:rFonts w:ascii="黑体" w:hAnsi="黑体" w:cs="宋体"/>
                <w:kern w:val="0"/>
                <w:szCs w:val="18"/>
              </w:rPr>
            </w:pPr>
            <w:r>
              <w:rPr>
                <w:rFonts w:ascii="黑体" w:hAnsi="黑体" w:cs="宋体"/>
                <w:kern w:val="0"/>
                <w:szCs w:val="18"/>
              </w:rPr>
              <w:t>15%的NaOH溶液</w:t>
            </w:r>
          </w:p>
        </w:tc>
        <w:tc>
          <w:tcPr>
            <w:tcW w:w="4243" w:type="dxa"/>
            <w:gridSpan w:val="2"/>
            <w:vMerge w:val="restart"/>
            <w:shd w:val="clear" w:color="auto" w:fill="auto"/>
            <w:vAlign w:val="center"/>
          </w:tcPr>
          <w:p w14:paraId="2E9DDFD0">
            <w:pPr>
              <w:widowControl/>
              <w:spacing w:before="100" w:beforeAutospacing="1" w:after="100" w:afterAutospacing="1"/>
              <w:jc w:val="left"/>
              <w:rPr>
                <w:rFonts w:ascii="黑体" w:hAnsi="黑体" w:cs="宋体"/>
                <w:kern w:val="0"/>
                <w:szCs w:val="18"/>
              </w:rPr>
            </w:pPr>
            <w:r>
              <w:rPr>
                <w:rFonts w:ascii="黑体" w:hAnsi="黑体" w:cs="宋体"/>
                <w:kern w:val="0"/>
                <w:szCs w:val="18"/>
              </w:rPr>
              <w:t>涂膜完整，不起泡、不剥落，允许轻微变色</w:t>
            </w:r>
          </w:p>
        </w:tc>
      </w:tr>
      <w:tr w14:paraId="29C8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shd w:val="clear" w:color="auto" w:fill="auto"/>
            <w:vAlign w:val="center"/>
          </w:tcPr>
          <w:p w14:paraId="258D040C">
            <w:pPr>
              <w:widowControl/>
              <w:jc w:val="left"/>
              <w:rPr>
                <w:rFonts w:ascii="黑体" w:hAnsi="黑体" w:cs="宋体"/>
                <w:kern w:val="0"/>
                <w:szCs w:val="18"/>
              </w:rPr>
            </w:pPr>
          </w:p>
        </w:tc>
        <w:tc>
          <w:tcPr>
            <w:tcW w:w="1283" w:type="dxa"/>
            <w:vMerge w:val="continue"/>
            <w:shd w:val="clear" w:color="auto" w:fill="auto"/>
            <w:vAlign w:val="center"/>
          </w:tcPr>
          <w:p w14:paraId="28DD784F">
            <w:pPr>
              <w:widowControl/>
              <w:jc w:val="left"/>
              <w:rPr>
                <w:rFonts w:ascii="黑体" w:hAnsi="黑体" w:cs="宋体"/>
                <w:kern w:val="0"/>
                <w:szCs w:val="18"/>
              </w:rPr>
            </w:pPr>
          </w:p>
        </w:tc>
        <w:tc>
          <w:tcPr>
            <w:tcW w:w="2410" w:type="dxa"/>
            <w:shd w:val="clear" w:color="auto" w:fill="auto"/>
            <w:vAlign w:val="center"/>
          </w:tcPr>
          <w:p w14:paraId="4513B5CC">
            <w:pPr>
              <w:widowControl/>
              <w:spacing w:before="100" w:beforeAutospacing="1" w:after="100" w:afterAutospacing="1"/>
              <w:jc w:val="left"/>
              <w:rPr>
                <w:rFonts w:ascii="黑体" w:hAnsi="黑体" w:cs="宋体"/>
                <w:kern w:val="0"/>
                <w:szCs w:val="18"/>
              </w:rPr>
            </w:pPr>
            <w:r>
              <w:rPr>
                <w:rFonts w:ascii="黑体" w:hAnsi="黑体" w:cs="宋体"/>
                <w:kern w:val="0"/>
                <w:szCs w:val="18"/>
              </w:rPr>
              <w:t>10%的HCl溶液</w:t>
            </w:r>
          </w:p>
        </w:tc>
        <w:tc>
          <w:tcPr>
            <w:tcW w:w="4243" w:type="dxa"/>
            <w:gridSpan w:val="2"/>
            <w:vMerge w:val="continue"/>
            <w:shd w:val="clear" w:color="auto" w:fill="auto"/>
            <w:vAlign w:val="center"/>
          </w:tcPr>
          <w:p w14:paraId="1A4B3192">
            <w:pPr>
              <w:widowControl/>
              <w:jc w:val="left"/>
              <w:rPr>
                <w:rFonts w:ascii="黑体" w:hAnsi="黑体" w:cs="宋体"/>
                <w:kern w:val="0"/>
                <w:szCs w:val="18"/>
              </w:rPr>
            </w:pPr>
          </w:p>
        </w:tc>
      </w:tr>
      <w:tr w14:paraId="64D0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 w:type="dxa"/>
            <w:vMerge w:val="continue"/>
            <w:shd w:val="clear" w:color="auto" w:fill="auto"/>
            <w:vAlign w:val="center"/>
          </w:tcPr>
          <w:p w14:paraId="03D59207">
            <w:pPr>
              <w:widowControl/>
              <w:jc w:val="left"/>
              <w:rPr>
                <w:rFonts w:ascii="黑体" w:hAnsi="黑体" w:cs="宋体"/>
                <w:kern w:val="0"/>
                <w:szCs w:val="18"/>
              </w:rPr>
            </w:pPr>
          </w:p>
        </w:tc>
        <w:tc>
          <w:tcPr>
            <w:tcW w:w="1283" w:type="dxa"/>
            <w:vMerge w:val="continue"/>
            <w:shd w:val="clear" w:color="auto" w:fill="auto"/>
            <w:vAlign w:val="center"/>
          </w:tcPr>
          <w:p w14:paraId="71F56F96">
            <w:pPr>
              <w:widowControl/>
              <w:jc w:val="left"/>
              <w:rPr>
                <w:rFonts w:ascii="黑体" w:hAnsi="黑体" w:cs="宋体"/>
                <w:kern w:val="0"/>
                <w:szCs w:val="18"/>
              </w:rPr>
            </w:pPr>
          </w:p>
        </w:tc>
        <w:tc>
          <w:tcPr>
            <w:tcW w:w="2410" w:type="dxa"/>
            <w:shd w:val="clear" w:color="auto" w:fill="auto"/>
            <w:vAlign w:val="center"/>
          </w:tcPr>
          <w:p w14:paraId="4CBBA378">
            <w:pPr>
              <w:widowControl/>
              <w:spacing w:before="100" w:beforeAutospacing="1" w:after="100" w:afterAutospacing="1"/>
              <w:jc w:val="left"/>
              <w:rPr>
                <w:rFonts w:ascii="黑体" w:hAnsi="黑体" w:cs="宋体"/>
                <w:kern w:val="0"/>
                <w:szCs w:val="18"/>
              </w:rPr>
            </w:pPr>
            <w:r>
              <w:rPr>
                <w:rFonts w:ascii="黑体" w:hAnsi="黑体" w:cs="宋体"/>
                <w:kern w:val="0"/>
                <w:szCs w:val="18"/>
              </w:rPr>
              <w:t>120#溶剂汽油</w:t>
            </w:r>
          </w:p>
        </w:tc>
        <w:tc>
          <w:tcPr>
            <w:tcW w:w="4243" w:type="dxa"/>
            <w:gridSpan w:val="2"/>
            <w:vMerge w:val="continue"/>
            <w:shd w:val="clear" w:color="auto" w:fill="auto"/>
            <w:vAlign w:val="center"/>
          </w:tcPr>
          <w:p w14:paraId="344F6236">
            <w:pPr>
              <w:widowControl/>
              <w:jc w:val="left"/>
              <w:rPr>
                <w:rFonts w:ascii="黑体" w:hAnsi="黑体" w:cs="宋体"/>
                <w:kern w:val="0"/>
                <w:szCs w:val="18"/>
              </w:rPr>
            </w:pPr>
          </w:p>
        </w:tc>
      </w:tr>
    </w:tbl>
    <w:p w14:paraId="09FC2CED">
      <w:pPr>
        <w:pStyle w:val="111"/>
        <w:jc w:val="left"/>
      </w:pPr>
      <w:r>
        <w:rPr>
          <w:rFonts w:hint="eastAsia"/>
        </w:rPr>
        <w:t>厚度要求：按设计。</w:t>
      </w:r>
    </w:p>
    <w:p w14:paraId="05C48D72">
      <w:pPr>
        <w:pStyle w:val="111"/>
        <w:jc w:val="left"/>
      </w:pPr>
      <w:r>
        <w:rPr>
          <w:rFonts w:hint="eastAsia"/>
        </w:rPr>
        <w:t>环氧防静电地坪的导电层的表面电阻率、体积电阻等主要技术指标应满足生产和使用的要求，并应设置导静电泄放设施和接地连接。</w:t>
      </w:r>
    </w:p>
    <w:p w14:paraId="06FE53F5">
      <w:pPr>
        <w:pStyle w:val="111"/>
        <w:jc w:val="left"/>
      </w:pPr>
      <w:r>
        <w:rPr>
          <w:rFonts w:hint="eastAsia"/>
        </w:rPr>
        <w:t>环氧防静电地坪的各项技术指标，应符合《电子信息系统机房设计规范》GB50174及《洁净厂房设计规范》GB50073的有关规定。</w:t>
      </w:r>
    </w:p>
    <w:p w14:paraId="6E947D63">
      <w:pPr>
        <w:pStyle w:val="111"/>
        <w:jc w:val="left"/>
      </w:pPr>
      <w:r>
        <w:rPr>
          <w:rFonts w:hint="eastAsia"/>
        </w:rPr>
        <w:t>地下室</w:t>
      </w:r>
      <w:r>
        <w:t>卸货平台外边阳角处预埋通长的防撞角钢及橡胶防撞垫。</w:t>
      </w:r>
    </w:p>
    <w:p w14:paraId="5F0159FF">
      <w:pPr>
        <w:pStyle w:val="49"/>
        <w:spacing w:line="360" w:lineRule="auto"/>
        <w:ind w:firstLine="0" w:firstLineChars="0"/>
        <w:jc w:val="left"/>
        <w:rPr>
          <w:rFonts w:ascii="黑体" w:hAnsi="黑体" w:cs="宋体"/>
          <w:b/>
          <w:kern w:val="0"/>
          <w:szCs w:val="18"/>
        </w:rPr>
      </w:pPr>
    </w:p>
    <w:p w14:paraId="67ACC951">
      <w:pPr>
        <w:pStyle w:val="97"/>
      </w:pPr>
      <w:r>
        <w:t>提交资料</w:t>
      </w:r>
    </w:p>
    <w:p w14:paraId="735C2012">
      <w:pPr>
        <w:pStyle w:val="111"/>
        <w:jc w:val="left"/>
      </w:pPr>
      <w:r>
        <w:rPr>
          <w:rFonts w:cs="宋体"/>
        </w:rPr>
        <w:t xml:space="preserve"> </w:t>
      </w:r>
      <w:r>
        <w:t>产品数据：包括产品供应商针对</w:t>
      </w:r>
      <w:r>
        <w:rPr>
          <w:rFonts w:hint="eastAsia"/>
        </w:rPr>
        <w:t>环氧地坪</w:t>
      </w:r>
      <w:r>
        <w:t xml:space="preserve">材料进行的物理性能测试、技术参数以及产品的施工准备、基础处理等书面说明资料 </w:t>
      </w:r>
    </w:p>
    <w:p w14:paraId="403A43EF">
      <w:pPr>
        <w:pStyle w:val="111"/>
        <w:jc w:val="left"/>
      </w:pPr>
      <w:r>
        <w:t>施工图纸：</w:t>
      </w:r>
      <w:r>
        <w:rPr>
          <w:rFonts w:hint="eastAsia"/>
        </w:rPr>
        <w:t>本</w:t>
      </w:r>
      <w:r>
        <w:t xml:space="preserve">材料施工的区域和范围。 </w:t>
      </w:r>
    </w:p>
    <w:p w14:paraId="2395645E">
      <w:pPr>
        <w:pStyle w:val="111"/>
        <w:jc w:val="left"/>
      </w:pPr>
      <w:r>
        <w:t xml:space="preserve">施工工作人员的认证证书：由产品供应商出具的安装施工资格证书 </w:t>
      </w:r>
    </w:p>
    <w:p w14:paraId="52A1CB18">
      <w:pPr>
        <w:pStyle w:val="111"/>
        <w:jc w:val="left"/>
      </w:pPr>
      <w:r>
        <w:t>产品测试报告：包括此</w:t>
      </w:r>
      <w:r>
        <w:rPr>
          <w:rFonts w:hint="eastAsia"/>
        </w:rPr>
        <w:t>环氧地坪</w:t>
      </w:r>
      <w:r>
        <w:t>产品的全面性能测试报告，需由第三方独立的、具有资质的检测</w:t>
      </w:r>
      <w:r>
        <w:rPr>
          <w:rFonts w:hint="eastAsia"/>
        </w:rPr>
        <w:t>机</w:t>
      </w:r>
      <w:r>
        <w:t>构出具。</w:t>
      </w:r>
    </w:p>
    <w:p w14:paraId="51AA6B81">
      <w:pPr>
        <w:pStyle w:val="111"/>
        <w:jc w:val="left"/>
      </w:pPr>
      <w:r>
        <w:t>产品保证书：由供应商出具的对</w:t>
      </w:r>
      <w:r>
        <w:rPr>
          <w:rFonts w:hint="eastAsia"/>
        </w:rPr>
        <w:t>环氧地坪</w:t>
      </w:r>
      <w:r>
        <w:t>材料的质保，包括供应商的义务、工程的限制条件和工程的补救办法</w:t>
      </w:r>
      <w:r>
        <w:rPr>
          <w:rFonts w:hint="eastAsia"/>
        </w:rPr>
        <w:t>。</w:t>
      </w:r>
      <w:r>
        <w:t xml:space="preserve"> </w:t>
      </w:r>
    </w:p>
    <w:p w14:paraId="1E264A12">
      <w:pPr>
        <w:pStyle w:val="49"/>
        <w:spacing w:line="360" w:lineRule="auto"/>
        <w:ind w:firstLine="0" w:firstLineChars="0"/>
        <w:jc w:val="left"/>
        <w:rPr>
          <w:rFonts w:ascii="黑体" w:hAnsi="黑体" w:cs="宋体"/>
          <w:kern w:val="0"/>
          <w:szCs w:val="18"/>
        </w:rPr>
      </w:pPr>
    </w:p>
    <w:p w14:paraId="71E93F32">
      <w:pPr>
        <w:pStyle w:val="97"/>
      </w:pPr>
      <w:r>
        <w:t xml:space="preserve">质量保证 </w:t>
      </w:r>
    </w:p>
    <w:p w14:paraId="5082B24B">
      <w:pPr>
        <w:pStyle w:val="111"/>
        <w:jc w:val="left"/>
      </w:pPr>
      <w:r>
        <w:t>安装施工人员的资格：施工人员必须由产品供应商认可。</w:t>
      </w:r>
    </w:p>
    <w:p w14:paraId="3DD4C1DE">
      <w:pPr>
        <w:pStyle w:val="111"/>
        <w:jc w:val="left"/>
      </w:pPr>
      <w:r>
        <w:t>产品来源：材料必须由同一产品供应商提供</w:t>
      </w:r>
      <w:r>
        <w:rPr>
          <w:rFonts w:hint="eastAsia"/>
        </w:rPr>
        <w:t>。</w:t>
      </w:r>
    </w:p>
    <w:p w14:paraId="10BEBF06">
      <w:pPr>
        <w:pStyle w:val="111"/>
        <w:jc w:val="left"/>
      </w:pPr>
      <w:r>
        <w:t>样板制作：在</w:t>
      </w:r>
      <w:r>
        <w:rPr>
          <w:rFonts w:hint="eastAsia"/>
        </w:rPr>
        <w:t>50~100㎡</w:t>
      </w:r>
      <w:r>
        <w:t>的区域按照设计厚度和要求进行样板区域的施工：如果样板区域施工达不到设计师要求，必须重新施工直到设计认可</w:t>
      </w:r>
      <w:r>
        <w:rPr>
          <w:rFonts w:hint="eastAsia"/>
        </w:rPr>
        <w:t>，</w:t>
      </w:r>
      <w:r>
        <w:t>样板区域可作为最后整个地坪涂料工程的一部分</w:t>
      </w:r>
      <w:r>
        <w:rPr>
          <w:rFonts w:hint="eastAsia"/>
        </w:rPr>
        <w:t>。</w:t>
      </w:r>
    </w:p>
    <w:p w14:paraId="6CB6324A">
      <w:pPr>
        <w:pStyle w:val="49"/>
        <w:spacing w:line="360" w:lineRule="auto"/>
        <w:ind w:firstLine="0" w:firstLineChars="0"/>
        <w:jc w:val="left"/>
        <w:rPr>
          <w:rFonts w:ascii="黑体" w:hAnsi="黑体" w:cs="宋体"/>
          <w:kern w:val="0"/>
          <w:szCs w:val="18"/>
        </w:rPr>
      </w:pPr>
    </w:p>
    <w:p w14:paraId="3C71BC29">
      <w:pPr>
        <w:pStyle w:val="97"/>
      </w:pPr>
      <w:r>
        <w:rPr>
          <w:rFonts w:hint="eastAsia"/>
        </w:rPr>
        <w:t>施工</w:t>
      </w:r>
    </w:p>
    <w:p w14:paraId="13293C7D">
      <w:pPr>
        <w:spacing w:line="360" w:lineRule="auto"/>
        <w:ind w:left="729" w:leftChars="405"/>
        <w:jc w:val="left"/>
        <w:rPr>
          <w:rFonts w:ascii="黑体" w:hAnsi="黑体" w:cs="Arial"/>
          <w:szCs w:val="18"/>
        </w:rPr>
      </w:pPr>
      <w:r>
        <w:rPr>
          <w:rFonts w:hint="eastAsia" w:ascii="黑体" w:hAnsi="黑体" w:cs="宋体"/>
          <w:kern w:val="0"/>
          <w:szCs w:val="18"/>
        </w:rPr>
        <w:t>参见</w:t>
      </w:r>
      <w:r>
        <w:rPr>
          <w:rFonts w:hint="eastAsia" w:ascii="黑体" w:hAnsi="黑体" w:cs="Arial"/>
          <w:szCs w:val="18"/>
        </w:rPr>
        <w:t>《环氧树脂自流平地面工程技术规范》（GB/T50589</w:t>
      </w:r>
      <w:r>
        <w:rPr>
          <w:rFonts w:ascii="黑体" w:hAnsi="黑体" w:cs="Arial"/>
          <w:szCs w:val="18"/>
        </w:rPr>
        <w:t>）</w:t>
      </w:r>
    </w:p>
    <w:p w14:paraId="79C816D7">
      <w:pPr>
        <w:spacing w:line="360" w:lineRule="auto"/>
        <w:jc w:val="left"/>
        <w:rPr>
          <w:rFonts w:ascii="黑体" w:hAnsi="黑体" w:cs="Arial"/>
          <w:szCs w:val="18"/>
        </w:rPr>
      </w:pPr>
    </w:p>
    <w:p w14:paraId="6EBEDEB4">
      <w:pPr>
        <w:pStyle w:val="3"/>
        <w:jc w:val="left"/>
      </w:pPr>
      <w:bookmarkStart w:id="98" w:name="_Toc174556817"/>
      <w:r>
        <w:rPr>
          <w:rFonts w:hint="eastAsia"/>
        </w:rPr>
        <w:t>车库环氧地坪</w:t>
      </w:r>
      <w:bookmarkEnd w:id="98"/>
    </w:p>
    <w:p w14:paraId="30B91D19">
      <w:pPr>
        <w:pStyle w:val="97"/>
      </w:pPr>
      <w:r>
        <w:rPr>
          <w:rFonts w:hint="eastAsia"/>
        </w:rPr>
        <w:t>适用范围</w:t>
      </w:r>
    </w:p>
    <w:p w14:paraId="2B6BD913">
      <w:pPr>
        <w:widowControl/>
        <w:shd w:val="clear" w:color="auto" w:fill="FFFFFF"/>
        <w:spacing w:line="360" w:lineRule="auto"/>
        <w:ind w:left="810" w:leftChars="450" w:firstLine="420"/>
        <w:jc w:val="left"/>
        <w:rPr>
          <w:rFonts w:ascii="黑体" w:hAnsi="黑体" w:cs="宋体"/>
          <w:kern w:val="0"/>
          <w:szCs w:val="18"/>
        </w:rPr>
      </w:pPr>
      <w:r>
        <w:rPr>
          <w:rFonts w:hint="eastAsia" w:ascii="黑体" w:hAnsi="黑体" w:cs="宋体"/>
          <w:bCs/>
          <w:kern w:val="0"/>
          <w:szCs w:val="18"/>
        </w:rPr>
        <w:t>本技术要求适用于停车场（包含地下和地上）、疏散楼梯间、设备房等环境的环氧地坪系统。</w:t>
      </w:r>
    </w:p>
    <w:p w14:paraId="6BA7274B">
      <w:pPr>
        <w:pStyle w:val="97"/>
      </w:pPr>
      <w:r>
        <w:rPr>
          <w:rFonts w:hint="eastAsia"/>
        </w:rPr>
        <w:t>相关标准及规范要求</w:t>
      </w:r>
    </w:p>
    <w:p w14:paraId="4E13FF59">
      <w:pPr>
        <w:pStyle w:val="49"/>
        <w:widowControl/>
        <w:numPr>
          <w:ilvl w:val="0"/>
          <w:numId w:val="91"/>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GB-T 22374 （国标）《地坪涂装材料》</w:t>
      </w:r>
    </w:p>
    <w:p w14:paraId="7BC8B16C">
      <w:pPr>
        <w:pStyle w:val="49"/>
        <w:widowControl/>
        <w:numPr>
          <w:ilvl w:val="0"/>
          <w:numId w:val="91"/>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JCT 1015 环氧树脂地面涂层材料</w:t>
      </w:r>
    </w:p>
    <w:p w14:paraId="59C4EA5D">
      <w:pPr>
        <w:pStyle w:val="49"/>
        <w:widowControl/>
        <w:numPr>
          <w:ilvl w:val="0"/>
          <w:numId w:val="91"/>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JCT985</w:t>
      </w:r>
      <w:r>
        <w:rPr>
          <w:rFonts w:ascii="黑体" w:hAnsi="黑体" w:cs="宋体"/>
          <w:bCs/>
          <w:kern w:val="0"/>
          <w:szCs w:val="18"/>
        </w:rPr>
        <w:t xml:space="preserve"> </w:t>
      </w:r>
      <w:r>
        <w:rPr>
          <w:rFonts w:hint="eastAsia" w:ascii="黑体" w:hAnsi="黑体" w:cs="宋体"/>
          <w:bCs/>
          <w:kern w:val="0"/>
          <w:szCs w:val="18"/>
        </w:rPr>
        <w:t>地面用水泥基自流平砂浆</w:t>
      </w:r>
    </w:p>
    <w:p w14:paraId="2FE7BEC6">
      <w:pPr>
        <w:pStyle w:val="49"/>
        <w:widowControl/>
        <w:numPr>
          <w:ilvl w:val="0"/>
          <w:numId w:val="91"/>
        </w:numPr>
        <w:shd w:val="clear" w:color="auto" w:fill="FFFFFF"/>
        <w:spacing w:line="360" w:lineRule="auto"/>
        <w:ind w:firstLineChars="0"/>
        <w:jc w:val="left"/>
        <w:rPr>
          <w:rFonts w:ascii="黑体" w:hAnsi="黑体" w:cs="宋体"/>
          <w:bCs/>
          <w:kern w:val="0"/>
          <w:szCs w:val="18"/>
        </w:rPr>
      </w:pPr>
      <w:r>
        <w:rPr>
          <w:rFonts w:ascii="黑体" w:hAnsi="黑体" w:cs="宋体"/>
          <w:bCs/>
          <w:kern w:val="0"/>
          <w:szCs w:val="18"/>
        </w:rPr>
        <w:t>GB50209</w:t>
      </w:r>
      <w:r>
        <w:rPr>
          <w:rFonts w:hint="eastAsia" w:ascii="黑体" w:hAnsi="黑体" w:cs="宋体"/>
          <w:bCs/>
          <w:kern w:val="0"/>
          <w:szCs w:val="18"/>
        </w:rPr>
        <w:t xml:space="preserve"> 《</w:t>
      </w:r>
      <w:r>
        <w:rPr>
          <w:rFonts w:ascii="黑体" w:hAnsi="黑体" w:cs="宋体"/>
          <w:bCs/>
          <w:kern w:val="0"/>
          <w:szCs w:val="18"/>
        </w:rPr>
        <w:t>建筑地面工程施工质量验收规范</w:t>
      </w:r>
      <w:r>
        <w:rPr>
          <w:rFonts w:hint="eastAsia" w:ascii="黑体" w:hAnsi="黑体" w:cs="宋体"/>
          <w:bCs/>
          <w:kern w:val="0"/>
          <w:szCs w:val="18"/>
        </w:rPr>
        <w:t>》</w:t>
      </w:r>
    </w:p>
    <w:p w14:paraId="369ED3FA">
      <w:pPr>
        <w:pStyle w:val="49"/>
        <w:widowControl/>
        <w:numPr>
          <w:ilvl w:val="0"/>
          <w:numId w:val="91"/>
        </w:numPr>
        <w:shd w:val="clear" w:color="auto" w:fill="FFFFFF"/>
        <w:spacing w:line="360" w:lineRule="auto"/>
        <w:ind w:firstLineChars="0"/>
        <w:jc w:val="left"/>
        <w:rPr>
          <w:rFonts w:ascii="黑体" w:hAnsi="黑体" w:cs="宋体"/>
          <w:bCs/>
          <w:kern w:val="0"/>
          <w:szCs w:val="18"/>
        </w:rPr>
      </w:pPr>
      <w:r>
        <w:rPr>
          <w:rFonts w:ascii="黑体" w:hAnsi="黑体" w:cs="宋体"/>
          <w:bCs/>
          <w:kern w:val="0"/>
          <w:szCs w:val="18"/>
        </w:rPr>
        <w:t>GB50325</w:t>
      </w:r>
      <w:r>
        <w:rPr>
          <w:rFonts w:hint="eastAsia" w:ascii="黑体" w:hAnsi="黑体" w:cs="宋体"/>
          <w:bCs/>
          <w:kern w:val="0"/>
          <w:szCs w:val="18"/>
        </w:rPr>
        <w:t xml:space="preserve"> </w:t>
      </w:r>
      <w:r>
        <w:rPr>
          <w:rFonts w:ascii="黑体" w:hAnsi="黑体" w:cs="宋体"/>
          <w:bCs/>
          <w:kern w:val="0"/>
          <w:szCs w:val="18"/>
        </w:rPr>
        <w:t>《民用建筑工程室内环境污染控制规范》</w:t>
      </w:r>
    </w:p>
    <w:p w14:paraId="691769FA">
      <w:pPr>
        <w:pStyle w:val="49"/>
        <w:widowControl/>
        <w:numPr>
          <w:ilvl w:val="0"/>
          <w:numId w:val="91"/>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CECS 328《整体地坪工程技术规程》</w:t>
      </w:r>
    </w:p>
    <w:p w14:paraId="7EB9C1FB">
      <w:pPr>
        <w:pStyle w:val="49"/>
        <w:widowControl/>
        <w:numPr>
          <w:ilvl w:val="0"/>
          <w:numId w:val="91"/>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国家及项目所在地相关法律、法规、标准及规范的当前有效版本等</w:t>
      </w:r>
    </w:p>
    <w:p w14:paraId="78875F80">
      <w:pPr>
        <w:pStyle w:val="97"/>
      </w:pPr>
      <w:r>
        <w:t>基本</w:t>
      </w:r>
      <w:r>
        <w:rPr>
          <w:rFonts w:hint="eastAsia"/>
        </w:rPr>
        <w:t>要求</w:t>
      </w:r>
    </w:p>
    <w:p w14:paraId="04469475">
      <w:pPr>
        <w:pStyle w:val="49"/>
        <w:widowControl/>
        <w:numPr>
          <w:ilvl w:val="0"/>
          <w:numId w:val="92"/>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本</w:t>
      </w:r>
      <w:r>
        <w:rPr>
          <w:rFonts w:ascii="黑体" w:hAnsi="黑体" w:cs="宋体"/>
          <w:bCs/>
          <w:kern w:val="0"/>
          <w:szCs w:val="18"/>
        </w:rPr>
        <w:t>环氧地坪系统</w:t>
      </w:r>
      <w:r>
        <w:rPr>
          <w:rFonts w:hint="eastAsia" w:ascii="黑体" w:hAnsi="黑体" w:cs="宋体"/>
          <w:bCs/>
          <w:kern w:val="0"/>
          <w:szCs w:val="18"/>
        </w:rPr>
        <w:t>所使用材料</w:t>
      </w:r>
      <w:r>
        <w:rPr>
          <w:rFonts w:hint="eastAsia" w:ascii="黑体" w:hAnsi="黑体" w:cs="宋体"/>
          <w:b/>
          <w:bCs/>
          <w:kern w:val="0"/>
          <w:szCs w:val="18"/>
        </w:rPr>
        <w:t>必须采用无溶剂配方。</w:t>
      </w:r>
    </w:p>
    <w:p w14:paraId="124AE2B4">
      <w:pPr>
        <w:pStyle w:val="49"/>
        <w:widowControl/>
        <w:numPr>
          <w:ilvl w:val="0"/>
          <w:numId w:val="92"/>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本</w:t>
      </w:r>
      <w:r>
        <w:rPr>
          <w:rFonts w:ascii="黑体" w:hAnsi="黑体" w:cs="宋体"/>
          <w:bCs/>
          <w:kern w:val="0"/>
          <w:szCs w:val="18"/>
        </w:rPr>
        <w:t>环氧地坪系统</w:t>
      </w:r>
      <w:r>
        <w:rPr>
          <w:rFonts w:hint="eastAsia" w:ascii="黑体" w:hAnsi="黑体" w:cs="宋体"/>
          <w:bCs/>
          <w:kern w:val="0"/>
          <w:szCs w:val="18"/>
        </w:rPr>
        <w:t>设计</w:t>
      </w:r>
      <w:r>
        <w:rPr>
          <w:rFonts w:hint="eastAsia" w:ascii="黑体" w:hAnsi="黑体" w:cs="宋体"/>
          <w:b/>
          <w:bCs/>
          <w:kern w:val="0"/>
          <w:szCs w:val="18"/>
        </w:rPr>
        <w:t>正常使用年限为8年。</w:t>
      </w:r>
    </w:p>
    <w:p w14:paraId="5CD69EDA">
      <w:pPr>
        <w:pStyle w:val="49"/>
        <w:widowControl/>
        <w:numPr>
          <w:ilvl w:val="0"/>
          <w:numId w:val="92"/>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环氧地坪系统</w:t>
      </w:r>
      <w:r>
        <w:rPr>
          <w:rFonts w:hint="eastAsia" w:ascii="黑体" w:hAnsi="黑体" w:cs="宋体"/>
          <w:b/>
          <w:bCs/>
          <w:kern w:val="0"/>
          <w:szCs w:val="18"/>
        </w:rPr>
        <w:t>保修年限为：2年。</w:t>
      </w:r>
    </w:p>
    <w:p w14:paraId="4604F7F0">
      <w:pPr>
        <w:pStyle w:val="49"/>
        <w:widowControl/>
        <w:numPr>
          <w:ilvl w:val="0"/>
          <w:numId w:val="92"/>
        </w:numPr>
        <w:shd w:val="clear" w:color="auto" w:fill="FFFFFF"/>
        <w:spacing w:line="360" w:lineRule="auto"/>
        <w:ind w:firstLineChars="0"/>
        <w:jc w:val="left"/>
        <w:rPr>
          <w:rFonts w:ascii="黑体" w:hAnsi="黑体" w:cs="宋体"/>
          <w:bCs/>
          <w:kern w:val="0"/>
          <w:szCs w:val="18"/>
        </w:rPr>
      </w:pPr>
      <w:r>
        <w:rPr>
          <w:rFonts w:ascii="黑体" w:hAnsi="黑体" w:cs="宋体"/>
          <w:bCs/>
          <w:kern w:val="0"/>
          <w:szCs w:val="18"/>
        </w:rPr>
        <w:t>环氧地坪系统</w:t>
      </w:r>
      <w:r>
        <w:rPr>
          <w:rFonts w:hint="eastAsia" w:ascii="黑体" w:hAnsi="黑体" w:cs="宋体"/>
          <w:bCs/>
          <w:kern w:val="0"/>
          <w:szCs w:val="18"/>
        </w:rPr>
        <w:t>总厚度见下表。</w:t>
      </w:r>
    </w:p>
    <w:p w14:paraId="183062B0">
      <w:pPr>
        <w:widowControl/>
        <w:shd w:val="clear" w:color="auto" w:fill="FFFFFF"/>
        <w:spacing w:line="360" w:lineRule="auto"/>
        <w:ind w:left="-2" w:leftChars="-1" w:firstLine="270" w:firstLineChars="150"/>
        <w:jc w:val="left"/>
        <w:rPr>
          <w:rFonts w:ascii="黑体" w:hAnsi="黑体" w:cs="宋体"/>
          <w:b/>
          <w:kern w:val="0"/>
          <w:szCs w:val="18"/>
        </w:rPr>
      </w:pPr>
      <w:r>
        <w:rPr>
          <w:rFonts w:hint="eastAsia" w:ascii="黑体" w:hAnsi="黑体" w:cs="宋体"/>
          <w:kern w:val="0"/>
          <w:szCs w:val="18"/>
        </w:rPr>
        <w:t>环氧地坪系统技术要求表：</w:t>
      </w:r>
    </w:p>
    <w:tbl>
      <w:tblPr>
        <w:tblStyle w:val="36"/>
        <w:tblW w:w="8281" w:type="dxa"/>
        <w:tblCellSpacing w:w="0" w:type="dxa"/>
        <w:tblInd w:w="358"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3843"/>
        <w:gridCol w:w="1827"/>
        <w:gridCol w:w="2611"/>
      </w:tblGrid>
      <w:tr w14:paraId="7F371B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2" w:hRule="atLeast"/>
          <w:tblCellSpacing w:w="0" w:type="dxa"/>
        </w:trPr>
        <w:tc>
          <w:tcPr>
            <w:tcW w:w="3843" w:type="dxa"/>
            <w:tcBorders>
              <w:top w:val="outset" w:color="auto" w:sz="6" w:space="0"/>
              <w:left w:val="outset" w:color="auto" w:sz="6" w:space="0"/>
              <w:bottom w:val="outset" w:color="auto" w:sz="6" w:space="0"/>
              <w:right w:val="outset" w:color="auto" w:sz="6" w:space="0"/>
            </w:tcBorders>
            <w:vAlign w:val="center"/>
          </w:tcPr>
          <w:p w14:paraId="16A7EE43">
            <w:pPr>
              <w:widowControl/>
              <w:spacing w:line="360" w:lineRule="auto"/>
              <w:ind w:left="-2" w:leftChars="-1"/>
              <w:jc w:val="left"/>
              <w:rPr>
                <w:rFonts w:ascii="黑体" w:hAnsi="黑体" w:cs="宋体"/>
                <w:b/>
                <w:kern w:val="0"/>
                <w:szCs w:val="18"/>
              </w:rPr>
            </w:pPr>
            <w:r>
              <w:rPr>
                <w:rFonts w:hint="eastAsia" w:ascii="黑体" w:hAnsi="黑体" w:cs="宋体"/>
                <w:b/>
                <w:kern w:val="0"/>
                <w:szCs w:val="18"/>
              </w:rPr>
              <w:t>系统基本要求</w:t>
            </w:r>
          </w:p>
        </w:tc>
        <w:tc>
          <w:tcPr>
            <w:tcW w:w="1827" w:type="dxa"/>
            <w:tcBorders>
              <w:top w:val="outset" w:color="auto" w:sz="6" w:space="0"/>
              <w:left w:val="outset" w:color="auto" w:sz="6" w:space="0"/>
              <w:bottom w:val="outset" w:color="auto" w:sz="6" w:space="0"/>
              <w:right w:val="outset" w:color="auto" w:sz="6" w:space="0"/>
            </w:tcBorders>
            <w:vAlign w:val="center"/>
          </w:tcPr>
          <w:p w14:paraId="6639532A">
            <w:pPr>
              <w:widowControl/>
              <w:spacing w:before="100" w:beforeAutospacing="1" w:after="100" w:afterAutospacing="1" w:line="360" w:lineRule="auto"/>
              <w:ind w:left="-2" w:leftChars="-1"/>
              <w:jc w:val="left"/>
              <w:rPr>
                <w:rFonts w:ascii="黑体" w:hAnsi="黑体" w:cs="宋体"/>
                <w:b/>
                <w:kern w:val="0"/>
                <w:szCs w:val="18"/>
              </w:rPr>
            </w:pPr>
            <w:r>
              <w:rPr>
                <w:rFonts w:ascii="黑体" w:hAnsi="黑体" w:cs="宋体"/>
                <w:b/>
                <w:kern w:val="0"/>
                <w:szCs w:val="18"/>
              </w:rPr>
              <w:t>适用</w:t>
            </w:r>
            <w:r>
              <w:rPr>
                <w:rFonts w:hint="eastAsia" w:ascii="黑体" w:hAnsi="黑体" w:cs="宋体"/>
                <w:b/>
                <w:kern w:val="0"/>
                <w:szCs w:val="18"/>
              </w:rPr>
              <w:t>环境</w:t>
            </w:r>
          </w:p>
        </w:tc>
        <w:tc>
          <w:tcPr>
            <w:tcW w:w="2611" w:type="dxa"/>
            <w:tcBorders>
              <w:top w:val="outset" w:color="auto" w:sz="6" w:space="0"/>
              <w:left w:val="outset" w:color="auto" w:sz="6" w:space="0"/>
              <w:bottom w:val="outset" w:color="auto" w:sz="6" w:space="0"/>
              <w:right w:val="outset" w:color="auto" w:sz="6" w:space="0"/>
            </w:tcBorders>
            <w:vAlign w:val="center"/>
          </w:tcPr>
          <w:p w14:paraId="15A5EDCB">
            <w:pPr>
              <w:widowControl/>
              <w:spacing w:before="100" w:beforeAutospacing="1" w:after="100" w:afterAutospacing="1" w:line="360" w:lineRule="auto"/>
              <w:ind w:left="-2" w:leftChars="-1"/>
              <w:jc w:val="left"/>
              <w:rPr>
                <w:rFonts w:ascii="黑体" w:hAnsi="黑体" w:cs="宋体"/>
                <w:b/>
                <w:kern w:val="0"/>
                <w:szCs w:val="18"/>
              </w:rPr>
            </w:pPr>
            <w:r>
              <w:rPr>
                <w:rFonts w:ascii="黑体" w:hAnsi="黑体" w:cs="宋体"/>
                <w:b/>
                <w:kern w:val="0"/>
                <w:szCs w:val="18"/>
              </w:rPr>
              <w:t>系统</w:t>
            </w:r>
            <w:r>
              <w:rPr>
                <w:rFonts w:hint="eastAsia" w:ascii="黑体" w:hAnsi="黑体" w:cs="宋体"/>
                <w:b/>
                <w:kern w:val="0"/>
                <w:szCs w:val="18"/>
              </w:rPr>
              <w:t>总</w:t>
            </w:r>
            <w:r>
              <w:rPr>
                <w:rFonts w:ascii="黑体" w:hAnsi="黑体" w:cs="宋体"/>
                <w:b/>
                <w:kern w:val="0"/>
                <w:szCs w:val="18"/>
              </w:rPr>
              <w:t>厚度(mm)</w:t>
            </w:r>
          </w:p>
        </w:tc>
      </w:tr>
      <w:tr w14:paraId="752483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tblCellSpacing w:w="0" w:type="dxa"/>
        </w:trPr>
        <w:tc>
          <w:tcPr>
            <w:tcW w:w="3843" w:type="dxa"/>
            <w:vMerge w:val="restart"/>
            <w:tcBorders>
              <w:top w:val="outset" w:color="auto" w:sz="6" w:space="0"/>
              <w:left w:val="outset" w:color="auto" w:sz="6" w:space="0"/>
              <w:right w:val="outset" w:color="auto" w:sz="6" w:space="0"/>
            </w:tcBorders>
            <w:vAlign w:val="center"/>
          </w:tcPr>
          <w:p w14:paraId="48386D45">
            <w:pPr>
              <w:widowControl/>
              <w:numPr>
                <w:ilvl w:val="0"/>
                <w:numId w:val="93"/>
              </w:numPr>
              <w:spacing w:before="100" w:beforeAutospacing="1" w:after="100" w:afterAutospacing="1" w:line="360" w:lineRule="auto"/>
              <w:jc w:val="left"/>
              <w:rPr>
                <w:rFonts w:ascii="黑体" w:hAnsi="黑体" w:cs="宋体"/>
                <w:b/>
                <w:kern w:val="0"/>
                <w:szCs w:val="18"/>
              </w:rPr>
            </w:pPr>
            <w:r>
              <w:rPr>
                <w:rFonts w:hint="eastAsia" w:ascii="黑体" w:hAnsi="黑体" w:cs="宋体"/>
                <w:b/>
                <w:kern w:val="0"/>
                <w:szCs w:val="18"/>
              </w:rPr>
              <w:t>必须采用无溶剂配方；</w:t>
            </w:r>
          </w:p>
          <w:p w14:paraId="1D494159">
            <w:pPr>
              <w:widowControl/>
              <w:numPr>
                <w:ilvl w:val="0"/>
                <w:numId w:val="93"/>
              </w:numPr>
              <w:spacing w:before="100" w:beforeAutospacing="1" w:after="100" w:afterAutospacing="1" w:line="360" w:lineRule="auto"/>
              <w:jc w:val="left"/>
              <w:rPr>
                <w:rFonts w:ascii="黑体" w:hAnsi="黑体" w:cs="宋体"/>
                <w:kern w:val="0"/>
                <w:szCs w:val="18"/>
              </w:rPr>
            </w:pPr>
            <w:r>
              <w:rPr>
                <w:rFonts w:hint="eastAsia" w:ascii="黑体" w:hAnsi="黑体" w:cs="宋体"/>
                <w:b/>
                <w:kern w:val="0"/>
                <w:szCs w:val="18"/>
              </w:rPr>
              <w:t>设计正常使用年限为8年以上；</w:t>
            </w:r>
          </w:p>
          <w:p w14:paraId="57BDDB7E">
            <w:pPr>
              <w:widowControl/>
              <w:numPr>
                <w:ilvl w:val="0"/>
                <w:numId w:val="93"/>
              </w:numPr>
              <w:spacing w:before="100" w:beforeAutospacing="1" w:after="100" w:afterAutospacing="1" w:line="360" w:lineRule="auto"/>
              <w:jc w:val="left"/>
              <w:rPr>
                <w:rFonts w:ascii="黑体" w:hAnsi="黑体" w:cs="宋体"/>
                <w:kern w:val="0"/>
                <w:szCs w:val="18"/>
              </w:rPr>
            </w:pPr>
            <w:r>
              <w:rPr>
                <w:rFonts w:hint="eastAsia" w:ascii="黑体" w:hAnsi="黑体" w:cs="宋体"/>
                <w:b/>
                <w:kern w:val="0"/>
                <w:szCs w:val="18"/>
              </w:rPr>
              <w:t>保修年限为：2年</w:t>
            </w:r>
          </w:p>
        </w:tc>
        <w:tc>
          <w:tcPr>
            <w:tcW w:w="1827" w:type="dxa"/>
            <w:tcBorders>
              <w:top w:val="outset" w:color="auto" w:sz="6" w:space="0"/>
              <w:left w:val="outset" w:color="auto" w:sz="6" w:space="0"/>
              <w:bottom w:val="outset" w:color="auto" w:sz="6" w:space="0"/>
              <w:right w:val="outset" w:color="auto" w:sz="6" w:space="0"/>
            </w:tcBorders>
            <w:vAlign w:val="center"/>
          </w:tcPr>
          <w:p w14:paraId="55E1E885">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停车位</w:t>
            </w:r>
          </w:p>
        </w:tc>
        <w:tc>
          <w:tcPr>
            <w:tcW w:w="2611" w:type="dxa"/>
            <w:tcBorders>
              <w:top w:val="outset" w:color="auto" w:sz="6" w:space="0"/>
              <w:left w:val="outset" w:color="auto" w:sz="6" w:space="0"/>
              <w:bottom w:val="outset" w:color="auto" w:sz="6" w:space="0"/>
              <w:right w:val="outset" w:color="auto" w:sz="6" w:space="0"/>
            </w:tcBorders>
            <w:vAlign w:val="center"/>
          </w:tcPr>
          <w:p w14:paraId="15E305F2">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1.5mm（纹理面层）</w:t>
            </w:r>
          </w:p>
        </w:tc>
      </w:tr>
      <w:tr w14:paraId="366A79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55" w:hRule="atLeast"/>
          <w:tblCellSpacing w:w="0" w:type="dxa"/>
        </w:trPr>
        <w:tc>
          <w:tcPr>
            <w:tcW w:w="3843" w:type="dxa"/>
            <w:vMerge w:val="continue"/>
            <w:tcBorders>
              <w:left w:val="outset" w:color="auto" w:sz="6" w:space="0"/>
              <w:right w:val="outset" w:color="auto" w:sz="6" w:space="0"/>
            </w:tcBorders>
            <w:vAlign w:val="center"/>
          </w:tcPr>
          <w:p w14:paraId="7E88811B">
            <w:pPr>
              <w:widowControl/>
              <w:spacing w:before="100" w:beforeAutospacing="1" w:after="100" w:afterAutospacing="1" w:line="360" w:lineRule="auto"/>
              <w:ind w:left="-2" w:leftChars="-1"/>
              <w:jc w:val="left"/>
              <w:rPr>
                <w:rFonts w:ascii="黑体" w:hAnsi="黑体" w:cs="宋体"/>
                <w:kern w:val="0"/>
                <w:szCs w:val="18"/>
              </w:rPr>
            </w:pPr>
          </w:p>
        </w:tc>
        <w:tc>
          <w:tcPr>
            <w:tcW w:w="1827" w:type="dxa"/>
            <w:tcBorders>
              <w:top w:val="outset" w:color="auto" w:sz="6" w:space="0"/>
              <w:left w:val="outset" w:color="auto" w:sz="6" w:space="0"/>
              <w:bottom w:val="outset" w:color="auto" w:sz="6" w:space="0"/>
              <w:right w:val="outset" w:color="auto" w:sz="6" w:space="0"/>
            </w:tcBorders>
            <w:vAlign w:val="center"/>
          </w:tcPr>
          <w:p w14:paraId="6881A09D">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车行道</w:t>
            </w:r>
          </w:p>
        </w:tc>
        <w:tc>
          <w:tcPr>
            <w:tcW w:w="2611" w:type="dxa"/>
            <w:tcBorders>
              <w:top w:val="outset" w:color="auto" w:sz="6" w:space="0"/>
              <w:left w:val="outset" w:color="auto" w:sz="6" w:space="0"/>
              <w:bottom w:val="outset" w:color="auto" w:sz="6" w:space="0"/>
              <w:right w:val="outset" w:color="auto" w:sz="6" w:space="0"/>
            </w:tcBorders>
            <w:vAlign w:val="center"/>
          </w:tcPr>
          <w:p w14:paraId="604CA257">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2.0mm（纹理面层）</w:t>
            </w:r>
          </w:p>
        </w:tc>
      </w:tr>
      <w:tr w14:paraId="3B03BC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6" w:hRule="atLeast"/>
          <w:tblCellSpacing w:w="0" w:type="dxa"/>
        </w:trPr>
        <w:tc>
          <w:tcPr>
            <w:tcW w:w="3843" w:type="dxa"/>
            <w:vMerge w:val="continue"/>
            <w:tcBorders>
              <w:left w:val="outset" w:color="auto" w:sz="6" w:space="0"/>
              <w:right w:val="outset" w:color="auto" w:sz="6" w:space="0"/>
            </w:tcBorders>
            <w:vAlign w:val="center"/>
          </w:tcPr>
          <w:p w14:paraId="62F364FA">
            <w:pPr>
              <w:widowControl/>
              <w:spacing w:before="100" w:beforeAutospacing="1" w:after="100" w:afterAutospacing="1" w:line="360" w:lineRule="auto"/>
              <w:ind w:left="-2" w:leftChars="-1"/>
              <w:jc w:val="left"/>
              <w:rPr>
                <w:rFonts w:ascii="黑体" w:hAnsi="黑体" w:cs="宋体"/>
                <w:kern w:val="0"/>
                <w:szCs w:val="18"/>
              </w:rPr>
            </w:pPr>
          </w:p>
        </w:tc>
        <w:tc>
          <w:tcPr>
            <w:tcW w:w="1827" w:type="dxa"/>
            <w:tcBorders>
              <w:top w:val="outset" w:color="auto" w:sz="6" w:space="0"/>
              <w:left w:val="outset" w:color="auto" w:sz="6" w:space="0"/>
              <w:bottom w:val="outset" w:color="auto" w:sz="6" w:space="0"/>
              <w:right w:val="outset" w:color="auto" w:sz="6" w:space="0"/>
            </w:tcBorders>
            <w:vAlign w:val="center"/>
          </w:tcPr>
          <w:p w14:paraId="5399ADE8">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车库坡道</w:t>
            </w:r>
          </w:p>
        </w:tc>
        <w:tc>
          <w:tcPr>
            <w:tcW w:w="2611" w:type="dxa"/>
            <w:tcBorders>
              <w:top w:val="outset" w:color="auto" w:sz="6" w:space="0"/>
              <w:left w:val="outset" w:color="auto" w:sz="6" w:space="0"/>
              <w:bottom w:val="outset" w:color="auto" w:sz="6" w:space="0"/>
              <w:right w:val="outset" w:color="auto" w:sz="6" w:space="0"/>
            </w:tcBorders>
            <w:vAlign w:val="center"/>
          </w:tcPr>
          <w:p w14:paraId="7FBA1965">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3.0mm（抛砂10-30目）</w:t>
            </w:r>
          </w:p>
        </w:tc>
      </w:tr>
      <w:tr w14:paraId="4351EE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5" w:hRule="atLeast"/>
          <w:tblCellSpacing w:w="0" w:type="dxa"/>
        </w:trPr>
        <w:tc>
          <w:tcPr>
            <w:tcW w:w="3843" w:type="dxa"/>
            <w:vMerge w:val="continue"/>
            <w:tcBorders>
              <w:left w:val="outset" w:color="auto" w:sz="6" w:space="0"/>
              <w:right w:val="outset" w:color="auto" w:sz="6" w:space="0"/>
            </w:tcBorders>
            <w:vAlign w:val="center"/>
          </w:tcPr>
          <w:p w14:paraId="6415D5FC">
            <w:pPr>
              <w:widowControl/>
              <w:spacing w:before="100" w:beforeAutospacing="1" w:after="100" w:afterAutospacing="1" w:line="360" w:lineRule="auto"/>
              <w:ind w:left="-2" w:leftChars="-1"/>
              <w:jc w:val="left"/>
              <w:rPr>
                <w:rFonts w:ascii="黑体" w:hAnsi="黑体" w:cs="宋体"/>
                <w:kern w:val="0"/>
                <w:szCs w:val="18"/>
              </w:rPr>
            </w:pPr>
          </w:p>
        </w:tc>
        <w:tc>
          <w:tcPr>
            <w:tcW w:w="1827" w:type="dxa"/>
            <w:tcBorders>
              <w:top w:val="outset" w:color="auto" w:sz="6" w:space="0"/>
              <w:left w:val="outset" w:color="auto" w:sz="6" w:space="0"/>
              <w:bottom w:val="outset" w:color="auto" w:sz="6" w:space="0"/>
              <w:right w:val="outset" w:color="auto" w:sz="6" w:space="0"/>
            </w:tcBorders>
            <w:vAlign w:val="center"/>
          </w:tcPr>
          <w:p w14:paraId="2D645586">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设备房</w:t>
            </w:r>
          </w:p>
        </w:tc>
        <w:tc>
          <w:tcPr>
            <w:tcW w:w="2611" w:type="dxa"/>
            <w:tcBorders>
              <w:top w:val="outset" w:color="auto" w:sz="6" w:space="0"/>
              <w:left w:val="outset" w:color="auto" w:sz="6" w:space="0"/>
              <w:bottom w:val="outset" w:color="auto" w:sz="6" w:space="0"/>
              <w:right w:val="outset" w:color="auto" w:sz="6" w:space="0"/>
            </w:tcBorders>
            <w:vAlign w:val="center"/>
          </w:tcPr>
          <w:p w14:paraId="4CBE9C54">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1.0mm</w:t>
            </w:r>
          </w:p>
        </w:tc>
      </w:tr>
      <w:tr w14:paraId="6EBFDB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30" w:hRule="atLeast"/>
          <w:tblCellSpacing w:w="0" w:type="dxa"/>
        </w:trPr>
        <w:tc>
          <w:tcPr>
            <w:tcW w:w="3843" w:type="dxa"/>
            <w:vMerge w:val="continue"/>
            <w:tcBorders>
              <w:left w:val="outset" w:color="auto" w:sz="6" w:space="0"/>
              <w:right w:val="outset" w:color="auto" w:sz="6" w:space="0"/>
            </w:tcBorders>
            <w:vAlign w:val="center"/>
          </w:tcPr>
          <w:p w14:paraId="76D31E87">
            <w:pPr>
              <w:widowControl/>
              <w:spacing w:before="100" w:beforeAutospacing="1" w:after="100" w:afterAutospacing="1" w:line="360" w:lineRule="auto"/>
              <w:ind w:left="-2" w:leftChars="-1"/>
              <w:jc w:val="left"/>
              <w:rPr>
                <w:rFonts w:ascii="黑体" w:hAnsi="黑体" w:cs="宋体"/>
                <w:kern w:val="0"/>
                <w:szCs w:val="18"/>
              </w:rPr>
            </w:pPr>
          </w:p>
        </w:tc>
        <w:tc>
          <w:tcPr>
            <w:tcW w:w="1827" w:type="dxa"/>
            <w:tcBorders>
              <w:top w:val="outset" w:color="auto" w:sz="6" w:space="0"/>
              <w:left w:val="outset" w:color="auto" w:sz="6" w:space="0"/>
              <w:bottom w:val="outset" w:color="auto" w:sz="6" w:space="0"/>
              <w:right w:val="outset" w:color="auto" w:sz="6" w:space="0"/>
            </w:tcBorders>
            <w:vAlign w:val="center"/>
          </w:tcPr>
          <w:p w14:paraId="479C7DF9">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楼梯间</w:t>
            </w:r>
          </w:p>
        </w:tc>
        <w:tc>
          <w:tcPr>
            <w:tcW w:w="2611" w:type="dxa"/>
            <w:tcBorders>
              <w:top w:val="outset" w:color="auto" w:sz="6" w:space="0"/>
              <w:left w:val="outset" w:color="auto" w:sz="6" w:space="0"/>
              <w:bottom w:val="outset" w:color="auto" w:sz="6" w:space="0"/>
              <w:right w:val="outset" w:color="auto" w:sz="6" w:space="0"/>
            </w:tcBorders>
            <w:vAlign w:val="center"/>
          </w:tcPr>
          <w:p w14:paraId="684752ED">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1.0mm</w:t>
            </w:r>
          </w:p>
        </w:tc>
      </w:tr>
      <w:tr w14:paraId="407B28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tblCellSpacing w:w="0" w:type="dxa"/>
        </w:trPr>
        <w:tc>
          <w:tcPr>
            <w:tcW w:w="3843" w:type="dxa"/>
            <w:vMerge w:val="continue"/>
            <w:tcBorders>
              <w:left w:val="outset" w:color="auto" w:sz="6" w:space="0"/>
              <w:bottom w:val="outset" w:color="auto" w:sz="6" w:space="0"/>
              <w:right w:val="outset" w:color="auto" w:sz="6" w:space="0"/>
            </w:tcBorders>
            <w:vAlign w:val="center"/>
          </w:tcPr>
          <w:p w14:paraId="4CBB5BD8">
            <w:pPr>
              <w:widowControl/>
              <w:spacing w:before="100" w:beforeAutospacing="1" w:after="100" w:afterAutospacing="1" w:line="360" w:lineRule="auto"/>
              <w:ind w:left="-2" w:leftChars="-1"/>
              <w:jc w:val="left"/>
              <w:rPr>
                <w:rFonts w:ascii="黑体" w:hAnsi="黑体" w:cs="宋体"/>
                <w:kern w:val="0"/>
                <w:szCs w:val="18"/>
              </w:rPr>
            </w:pPr>
          </w:p>
        </w:tc>
        <w:tc>
          <w:tcPr>
            <w:tcW w:w="1827" w:type="dxa"/>
            <w:tcBorders>
              <w:top w:val="outset" w:color="auto" w:sz="6" w:space="0"/>
              <w:left w:val="outset" w:color="auto" w:sz="6" w:space="0"/>
              <w:bottom w:val="outset" w:color="auto" w:sz="6" w:space="0"/>
              <w:right w:val="outset" w:color="auto" w:sz="6" w:space="0"/>
            </w:tcBorders>
            <w:vAlign w:val="center"/>
          </w:tcPr>
          <w:p w14:paraId="4BB4BE4A">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踢脚</w:t>
            </w:r>
          </w:p>
        </w:tc>
        <w:tc>
          <w:tcPr>
            <w:tcW w:w="2611" w:type="dxa"/>
            <w:tcBorders>
              <w:top w:val="outset" w:color="auto" w:sz="6" w:space="0"/>
              <w:left w:val="outset" w:color="auto" w:sz="6" w:space="0"/>
              <w:bottom w:val="outset" w:color="auto" w:sz="6" w:space="0"/>
              <w:right w:val="outset" w:color="auto" w:sz="6" w:space="0"/>
            </w:tcBorders>
            <w:vAlign w:val="center"/>
          </w:tcPr>
          <w:p w14:paraId="15EA41B8">
            <w:pPr>
              <w:autoSpaceDE w:val="0"/>
              <w:autoSpaceDN w:val="0"/>
              <w:adjustRightInd w:val="0"/>
              <w:spacing w:line="360" w:lineRule="auto"/>
              <w:ind w:left="-2" w:leftChars="-1"/>
              <w:jc w:val="left"/>
              <w:rPr>
                <w:rFonts w:ascii="黑体" w:hAnsi="黑体" w:cs="宋体"/>
                <w:kern w:val="0"/>
                <w:szCs w:val="18"/>
              </w:rPr>
            </w:pPr>
            <w:r>
              <w:rPr>
                <w:rFonts w:hint="eastAsia" w:ascii="黑体" w:hAnsi="黑体" w:cs="宋体"/>
                <w:kern w:val="0"/>
                <w:szCs w:val="18"/>
              </w:rPr>
              <w:t>0.25mm</w:t>
            </w:r>
          </w:p>
        </w:tc>
      </w:tr>
    </w:tbl>
    <w:p w14:paraId="5CE1DA80">
      <w:pPr>
        <w:widowControl/>
        <w:shd w:val="clear" w:color="auto" w:fill="FFFFFF"/>
        <w:spacing w:line="360" w:lineRule="auto"/>
        <w:jc w:val="left"/>
        <w:rPr>
          <w:rFonts w:ascii="黑体" w:hAnsi="黑体" w:cs="宋体"/>
          <w:b/>
          <w:bCs/>
          <w:kern w:val="0"/>
          <w:szCs w:val="18"/>
        </w:rPr>
      </w:pPr>
    </w:p>
    <w:p w14:paraId="50D9A5C2">
      <w:pPr>
        <w:pStyle w:val="97"/>
      </w:pPr>
      <w:r>
        <w:rPr>
          <w:rFonts w:hint="eastAsia"/>
        </w:rPr>
        <w:t>统招方案及样板要求</w:t>
      </w:r>
    </w:p>
    <w:p w14:paraId="038B4A91">
      <w:pPr>
        <w:pStyle w:val="49"/>
        <w:widowControl/>
        <w:numPr>
          <w:ilvl w:val="2"/>
          <w:numId w:val="94"/>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对于停车库各单位需提供至少2种施工方案，其中至少1种方案适用于地上停车库。</w:t>
      </w:r>
    </w:p>
    <w:p w14:paraId="275C61E2">
      <w:pPr>
        <w:pStyle w:val="49"/>
        <w:widowControl/>
        <w:numPr>
          <w:ilvl w:val="2"/>
          <w:numId w:val="94"/>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各单位需按照各自经过确认的方案，在业主指定的位置进行样板施工，施工样板面积约77m</w:t>
      </w:r>
      <w:r>
        <w:rPr>
          <w:rFonts w:hint="eastAsia" w:ascii="黑体" w:hAnsi="黑体" w:cs="宋体"/>
          <w:bCs/>
          <w:kern w:val="0"/>
          <w:szCs w:val="18"/>
          <w:vertAlign w:val="superscript"/>
        </w:rPr>
        <w:t>2</w:t>
      </w:r>
      <w:r>
        <w:rPr>
          <w:rFonts w:hint="eastAsia" w:ascii="黑体" w:hAnsi="黑体" w:cs="宋体"/>
          <w:bCs/>
          <w:kern w:val="0"/>
          <w:szCs w:val="18"/>
        </w:rPr>
        <w:t>。示意图见下图。其中一个停车位施工聚氨酯面层，其它区域各单位可根据自己的方案划分每个样板的面积，经业主同意后方可施工。</w:t>
      </w:r>
    </w:p>
    <w:p w14:paraId="33529F92">
      <w:pPr>
        <w:pStyle w:val="49"/>
        <w:widowControl/>
        <w:shd w:val="clear" w:color="auto" w:fill="FFFFFF"/>
        <w:spacing w:line="360" w:lineRule="auto"/>
        <w:ind w:left="420" w:firstLine="0" w:firstLineChars="0"/>
        <w:jc w:val="left"/>
        <w:rPr>
          <w:rFonts w:ascii="黑体" w:hAnsi="黑体" w:cs="宋体"/>
          <w:bCs/>
          <w:kern w:val="0"/>
          <w:szCs w:val="18"/>
        </w:rPr>
      </w:pPr>
      <w:r>
        <w:rPr>
          <w:rFonts w:hint="eastAsia"/>
        </w:rPr>
        <w:drawing>
          <wp:inline distT="0" distB="0" distL="0" distR="0">
            <wp:extent cx="5353050" cy="33337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6" cstate="print"/>
                    <a:srcRect/>
                    <a:stretch>
                      <a:fillRect/>
                    </a:stretch>
                  </pic:blipFill>
                  <pic:spPr>
                    <a:xfrm>
                      <a:off x="0" y="0"/>
                      <a:ext cx="5360293" cy="3338261"/>
                    </a:xfrm>
                    <a:prstGeom prst="rect">
                      <a:avLst/>
                    </a:prstGeom>
                    <a:noFill/>
                    <a:ln w="9525">
                      <a:noFill/>
                      <a:miter lim="800000"/>
                      <a:headEnd/>
                      <a:tailEnd/>
                    </a:ln>
                  </pic:spPr>
                </pic:pic>
              </a:graphicData>
            </a:graphic>
          </wp:inline>
        </w:drawing>
      </w:r>
    </w:p>
    <w:p w14:paraId="1153E84A">
      <w:pPr>
        <w:widowControl/>
        <w:shd w:val="clear" w:color="auto" w:fill="FFFFFF"/>
        <w:spacing w:line="360" w:lineRule="auto"/>
        <w:jc w:val="left"/>
        <w:rPr>
          <w:rFonts w:ascii="黑体" w:hAnsi="黑体" w:cs="宋体"/>
          <w:bCs/>
          <w:kern w:val="0"/>
          <w:szCs w:val="18"/>
        </w:rPr>
      </w:pPr>
    </w:p>
    <w:p w14:paraId="58E2A5FE">
      <w:pPr>
        <w:pStyle w:val="49"/>
        <w:widowControl/>
        <w:numPr>
          <w:ilvl w:val="2"/>
          <w:numId w:val="94"/>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环氧地坪样板颜色</w:t>
      </w:r>
    </w:p>
    <w:p w14:paraId="60AA99B3">
      <w:pPr>
        <w:pStyle w:val="49"/>
        <w:widowControl/>
        <w:numPr>
          <w:ilvl w:val="0"/>
          <w:numId w:val="95"/>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 xml:space="preserve">车行道：中灰（同目前车道环氧地坪）； </w:t>
      </w:r>
    </w:p>
    <w:p w14:paraId="2757C103">
      <w:pPr>
        <w:pStyle w:val="49"/>
        <w:widowControl/>
        <w:numPr>
          <w:ilvl w:val="0"/>
          <w:numId w:val="95"/>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 xml:space="preserve">车位：与车行道有所区分，具体颜色各单位在方案中自荐；  </w:t>
      </w:r>
    </w:p>
    <w:p w14:paraId="58FE9E30">
      <w:pPr>
        <w:pStyle w:val="49"/>
        <w:widowControl/>
        <w:numPr>
          <w:ilvl w:val="0"/>
          <w:numId w:val="95"/>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 xml:space="preserve">设备间：地面为浅灰，基础为中络黄；    </w:t>
      </w:r>
    </w:p>
    <w:p w14:paraId="39F4B2D0">
      <w:pPr>
        <w:pStyle w:val="49"/>
        <w:widowControl/>
        <w:numPr>
          <w:ilvl w:val="0"/>
          <w:numId w:val="95"/>
        </w:numPr>
        <w:shd w:val="clear" w:color="auto" w:fill="FFFFFF"/>
        <w:spacing w:line="360" w:lineRule="auto"/>
        <w:ind w:firstLineChars="0"/>
        <w:jc w:val="left"/>
        <w:rPr>
          <w:rFonts w:ascii="黑体" w:hAnsi="黑体" w:cs="宋体"/>
          <w:bCs/>
          <w:kern w:val="0"/>
          <w:szCs w:val="18"/>
        </w:rPr>
      </w:pPr>
      <w:r>
        <w:rPr>
          <w:rFonts w:hint="eastAsia" w:ascii="黑体" w:hAnsi="黑体" w:cs="宋体"/>
          <w:bCs/>
          <w:kern w:val="0"/>
          <w:szCs w:val="18"/>
        </w:rPr>
        <w:t>楼梯间：浅灰</w:t>
      </w:r>
    </w:p>
    <w:p w14:paraId="17E67483">
      <w:pPr>
        <w:widowControl/>
        <w:shd w:val="clear" w:color="auto" w:fill="FFFFFF"/>
        <w:spacing w:line="360" w:lineRule="auto"/>
        <w:ind w:left="900" w:hanging="900" w:hangingChars="500"/>
        <w:jc w:val="left"/>
        <w:rPr>
          <w:rFonts w:ascii="黑体" w:hAnsi="黑体" w:cs="宋体"/>
          <w:kern w:val="0"/>
          <w:szCs w:val="18"/>
        </w:rPr>
      </w:pPr>
      <w:r>
        <w:rPr>
          <w:rFonts w:hint="eastAsia" w:ascii="黑体" w:hAnsi="黑体" w:cs="宋体"/>
          <w:kern w:val="0"/>
          <w:szCs w:val="18"/>
        </w:rPr>
        <w:t>附：环氧地坪标准色卡</w:t>
      </w:r>
      <w:r>
        <w:rPr>
          <w:rFonts w:hint="eastAsia" w:ascii="黑体" w:hAnsi="黑体" w:cs="宋体"/>
          <w:bCs/>
          <w:kern w:val="0"/>
          <w:szCs w:val="18"/>
        </w:rPr>
        <w:drawing>
          <wp:inline distT="0" distB="0" distL="0" distR="0">
            <wp:extent cx="5274310" cy="2362835"/>
            <wp:effectExtent l="19050" t="0" r="254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7" cstate="print"/>
                    <a:srcRect/>
                    <a:stretch>
                      <a:fillRect/>
                    </a:stretch>
                  </pic:blipFill>
                  <pic:spPr>
                    <a:xfrm>
                      <a:off x="0" y="0"/>
                      <a:ext cx="5274310" cy="2363165"/>
                    </a:xfrm>
                    <a:prstGeom prst="rect">
                      <a:avLst/>
                    </a:prstGeom>
                    <a:noFill/>
                    <a:ln w="9525">
                      <a:noFill/>
                      <a:miter lim="800000"/>
                      <a:headEnd/>
                      <a:tailEnd/>
                    </a:ln>
                  </pic:spPr>
                </pic:pic>
              </a:graphicData>
            </a:graphic>
          </wp:inline>
        </w:drawing>
      </w:r>
    </w:p>
    <w:p w14:paraId="06EE8B84">
      <w:pPr>
        <w:widowControl/>
        <w:shd w:val="clear" w:color="auto" w:fill="FFFFFF"/>
        <w:spacing w:line="360" w:lineRule="auto"/>
        <w:ind w:left="-1" w:leftChars="-1" w:hanging="1"/>
        <w:jc w:val="left"/>
        <w:rPr>
          <w:rFonts w:ascii="黑体" w:hAnsi="黑体" w:cs="宋体"/>
          <w:bCs/>
          <w:kern w:val="0"/>
          <w:szCs w:val="18"/>
        </w:rPr>
      </w:pPr>
    </w:p>
    <w:p w14:paraId="5F57B630">
      <w:pPr>
        <w:widowControl/>
        <w:numPr>
          <w:ilvl w:val="1"/>
          <w:numId w:val="96"/>
        </w:numPr>
        <w:shd w:val="clear" w:color="auto" w:fill="FFFFFF"/>
        <w:spacing w:line="360" w:lineRule="auto"/>
        <w:jc w:val="left"/>
        <w:rPr>
          <w:rFonts w:ascii="黑体" w:hAnsi="黑体" w:cs="宋体"/>
          <w:bCs/>
          <w:kern w:val="0"/>
          <w:szCs w:val="18"/>
        </w:rPr>
      </w:pPr>
      <w:r>
        <w:rPr>
          <w:rFonts w:hint="eastAsia" w:ascii="黑体" w:hAnsi="黑体" w:cs="宋体"/>
          <w:bCs/>
          <w:kern w:val="0"/>
          <w:szCs w:val="18"/>
        </w:rPr>
        <w:t>各单位在项目施工前，应结合项目具体情况，并结合本技术要求提供具体的深化设计和施工方案。</w:t>
      </w:r>
    </w:p>
    <w:p w14:paraId="16A1D985">
      <w:pPr>
        <w:widowControl/>
        <w:numPr>
          <w:ilvl w:val="1"/>
          <w:numId w:val="96"/>
        </w:numPr>
        <w:shd w:val="clear" w:color="auto" w:fill="FFFFFF"/>
        <w:spacing w:line="360" w:lineRule="auto"/>
        <w:jc w:val="left"/>
        <w:rPr>
          <w:rFonts w:ascii="黑体" w:hAnsi="黑体" w:cs="宋体"/>
          <w:kern w:val="0"/>
          <w:szCs w:val="18"/>
        </w:rPr>
      </w:pPr>
      <w:r>
        <w:rPr>
          <w:rFonts w:ascii="黑体" w:hAnsi="黑体" w:cs="宋体"/>
          <w:bCs/>
          <w:kern w:val="0"/>
          <w:szCs w:val="18"/>
        </w:rPr>
        <w:t>环</w:t>
      </w:r>
      <w:r>
        <w:rPr>
          <w:rFonts w:ascii="黑体" w:hAnsi="黑体" w:cs="宋体"/>
          <w:kern w:val="0"/>
          <w:szCs w:val="18"/>
        </w:rPr>
        <w:t>氧地坪系统工程施工前应进行基层检查，并依据</w:t>
      </w:r>
      <w:r>
        <w:rPr>
          <w:rFonts w:hint="eastAsia" w:ascii="黑体" w:hAnsi="黑体" w:cs="宋体"/>
          <w:kern w:val="0"/>
          <w:szCs w:val="18"/>
        </w:rPr>
        <w:t>地坪施工单位对</w:t>
      </w:r>
      <w:r>
        <w:rPr>
          <w:rFonts w:ascii="黑体" w:hAnsi="黑体" w:cs="宋体"/>
          <w:kern w:val="0"/>
          <w:szCs w:val="18"/>
        </w:rPr>
        <w:t>基层</w:t>
      </w:r>
      <w:r>
        <w:rPr>
          <w:rFonts w:hint="eastAsia" w:ascii="黑体" w:hAnsi="黑体" w:cs="宋体"/>
          <w:kern w:val="0"/>
          <w:szCs w:val="18"/>
        </w:rPr>
        <w:t>进行检查</w:t>
      </w:r>
      <w:r>
        <w:rPr>
          <w:rFonts w:ascii="黑体" w:hAnsi="黑体" w:cs="宋体"/>
          <w:kern w:val="0"/>
          <w:szCs w:val="18"/>
        </w:rPr>
        <w:t>报告编制施工组织方案，经</w:t>
      </w:r>
      <w:r>
        <w:rPr>
          <w:rFonts w:hint="eastAsia" w:ascii="黑体" w:hAnsi="黑体" w:cs="宋体"/>
          <w:kern w:val="0"/>
          <w:szCs w:val="18"/>
        </w:rPr>
        <w:t>相关部门</w:t>
      </w:r>
      <w:r>
        <w:rPr>
          <w:rFonts w:ascii="黑体" w:hAnsi="黑体" w:cs="宋体"/>
          <w:kern w:val="0"/>
          <w:szCs w:val="18"/>
        </w:rPr>
        <w:t>审定并进行技术交底后按方案组织施工。</w:t>
      </w:r>
    </w:p>
    <w:p w14:paraId="2E11D5DD">
      <w:pPr>
        <w:widowControl/>
        <w:numPr>
          <w:ilvl w:val="1"/>
          <w:numId w:val="96"/>
        </w:numPr>
        <w:shd w:val="clear" w:color="auto" w:fill="FFFFFF"/>
        <w:spacing w:line="360" w:lineRule="auto"/>
        <w:jc w:val="left"/>
        <w:rPr>
          <w:rFonts w:ascii="黑体" w:hAnsi="黑体" w:cs="宋体"/>
          <w:kern w:val="0"/>
          <w:szCs w:val="18"/>
        </w:rPr>
      </w:pPr>
      <w:r>
        <w:rPr>
          <w:rFonts w:ascii="黑体" w:hAnsi="黑体" w:cs="宋体"/>
          <w:bCs/>
          <w:kern w:val="0"/>
          <w:szCs w:val="18"/>
        </w:rPr>
        <w:t>工</w:t>
      </w:r>
      <w:r>
        <w:rPr>
          <w:rFonts w:ascii="黑体" w:hAnsi="黑体" w:cs="宋体"/>
          <w:kern w:val="0"/>
          <w:szCs w:val="18"/>
        </w:rPr>
        <w:t>程所用材料应具有产品质量证明文件，其质量不得低于国家现行标准的规定；当材料没有国家现行标准时，应符合本规程的规定。</w:t>
      </w:r>
    </w:p>
    <w:p w14:paraId="1B23A51C">
      <w:pPr>
        <w:widowControl/>
        <w:numPr>
          <w:ilvl w:val="1"/>
          <w:numId w:val="96"/>
        </w:numPr>
        <w:shd w:val="clear" w:color="auto" w:fill="FFFFFF"/>
        <w:spacing w:line="360" w:lineRule="auto"/>
        <w:jc w:val="left"/>
        <w:rPr>
          <w:rFonts w:ascii="黑体" w:hAnsi="黑体" w:cs="宋体"/>
          <w:kern w:val="0"/>
          <w:szCs w:val="18"/>
        </w:rPr>
      </w:pPr>
      <w:r>
        <w:rPr>
          <w:rFonts w:ascii="黑体" w:hAnsi="黑体" w:cs="宋体"/>
          <w:bCs/>
          <w:kern w:val="0"/>
          <w:szCs w:val="18"/>
        </w:rPr>
        <w:t>产</w:t>
      </w:r>
      <w:r>
        <w:rPr>
          <w:rFonts w:ascii="黑体" w:hAnsi="黑体" w:cs="宋体"/>
          <w:kern w:val="0"/>
          <w:szCs w:val="18"/>
        </w:rPr>
        <w:t>品质量证明文件，应包括产品质量合格证及材料检测报告。</w:t>
      </w:r>
    </w:p>
    <w:p w14:paraId="51CF745F">
      <w:pPr>
        <w:widowControl/>
        <w:numPr>
          <w:ilvl w:val="1"/>
          <w:numId w:val="96"/>
        </w:numPr>
        <w:shd w:val="clear" w:color="auto" w:fill="FFFFFF"/>
        <w:spacing w:line="360" w:lineRule="auto"/>
        <w:jc w:val="left"/>
        <w:rPr>
          <w:rFonts w:ascii="黑体" w:hAnsi="黑体" w:cs="宋体"/>
          <w:kern w:val="0"/>
          <w:szCs w:val="18"/>
        </w:rPr>
      </w:pPr>
      <w:r>
        <w:fldChar w:fldCharType="begin"/>
      </w:r>
      <w:r>
        <w:instrText xml:space="preserve"> HYPERLINK "http://www.dpwang.com" \t "_blank" </w:instrText>
      </w:r>
      <w:r>
        <w:fldChar w:fldCharType="separate"/>
      </w:r>
      <w:r>
        <w:rPr>
          <w:rFonts w:ascii="黑体" w:hAnsi="黑体" w:cs="宋体"/>
          <w:kern w:val="0"/>
          <w:szCs w:val="18"/>
        </w:rPr>
        <w:t>环氧地坪</w:t>
      </w:r>
      <w:r>
        <w:rPr>
          <w:rFonts w:ascii="黑体" w:hAnsi="黑体" w:cs="宋体"/>
          <w:kern w:val="0"/>
          <w:szCs w:val="18"/>
        </w:rPr>
        <w:fldChar w:fldCharType="end"/>
      </w:r>
      <w:r>
        <w:rPr>
          <w:rFonts w:ascii="黑体" w:hAnsi="黑体" w:cs="宋体"/>
          <w:kern w:val="0"/>
          <w:szCs w:val="18"/>
        </w:rPr>
        <w:t>材料应贮存在阴凉、干燥、通风、远离火和热源的场所，不得露天存放和曝晒，贮存温度宜为10℃～25℃。</w:t>
      </w:r>
    </w:p>
    <w:p w14:paraId="47D269C2">
      <w:pPr>
        <w:widowControl/>
        <w:numPr>
          <w:ilvl w:val="1"/>
          <w:numId w:val="96"/>
        </w:numPr>
        <w:shd w:val="clear" w:color="auto" w:fill="FFFFFF"/>
        <w:spacing w:line="360" w:lineRule="auto"/>
        <w:jc w:val="left"/>
        <w:rPr>
          <w:rFonts w:ascii="黑体" w:hAnsi="黑体" w:cs="宋体"/>
          <w:kern w:val="0"/>
          <w:szCs w:val="18"/>
        </w:rPr>
      </w:pPr>
      <w:r>
        <w:rPr>
          <w:rFonts w:ascii="黑体" w:hAnsi="黑体" w:cs="宋体"/>
          <w:kern w:val="0"/>
          <w:szCs w:val="18"/>
        </w:rPr>
        <w:t>施工单位应建立各道工序的自检、互检和专职人员检验制度，并应有完整的施工检查记录。隐蔽工程施工检查记录应经业主代表或监理签字确认后，方可进行下道工序施工。</w:t>
      </w:r>
    </w:p>
    <w:p w14:paraId="09DAE1D2">
      <w:pPr>
        <w:widowControl/>
        <w:numPr>
          <w:ilvl w:val="1"/>
          <w:numId w:val="96"/>
        </w:numPr>
        <w:shd w:val="clear" w:color="auto" w:fill="FFFFFF"/>
        <w:spacing w:line="360" w:lineRule="auto"/>
        <w:jc w:val="left"/>
        <w:rPr>
          <w:rFonts w:ascii="黑体" w:hAnsi="黑体" w:cs="宋体"/>
          <w:kern w:val="0"/>
          <w:szCs w:val="18"/>
        </w:rPr>
      </w:pPr>
      <w:r>
        <w:rPr>
          <w:rFonts w:ascii="黑体" w:hAnsi="黑体" w:cs="宋体"/>
          <w:kern w:val="0"/>
          <w:szCs w:val="18"/>
        </w:rPr>
        <w:t>施工现场应封闭，严禁交叉作业。</w:t>
      </w:r>
    </w:p>
    <w:p w14:paraId="6570864A">
      <w:pPr>
        <w:widowControl/>
        <w:numPr>
          <w:ilvl w:val="1"/>
          <w:numId w:val="96"/>
        </w:numPr>
        <w:shd w:val="clear" w:color="auto" w:fill="FFFFFF"/>
        <w:spacing w:line="360" w:lineRule="auto"/>
        <w:jc w:val="left"/>
        <w:rPr>
          <w:rFonts w:ascii="黑体" w:hAnsi="黑体" w:cs="宋体"/>
          <w:kern w:val="0"/>
          <w:szCs w:val="18"/>
        </w:rPr>
      </w:pPr>
      <w:r>
        <w:rPr>
          <w:rFonts w:ascii="黑体" w:hAnsi="黑体" w:cs="宋体"/>
          <w:kern w:val="0"/>
          <w:szCs w:val="18"/>
        </w:rPr>
        <w:t>进行环氧树脂地坪系统工程施工时，应配备施工人员和设备的安全防护装置。</w:t>
      </w:r>
    </w:p>
    <w:p w14:paraId="137580D7">
      <w:pPr>
        <w:widowControl/>
        <w:shd w:val="clear" w:color="auto" w:fill="FFFFFF"/>
        <w:spacing w:line="360" w:lineRule="auto"/>
        <w:jc w:val="left"/>
        <w:rPr>
          <w:rFonts w:ascii="黑体" w:hAnsi="黑体" w:cs="宋体"/>
          <w:b/>
          <w:bCs/>
          <w:kern w:val="0"/>
          <w:szCs w:val="18"/>
        </w:rPr>
      </w:pPr>
    </w:p>
    <w:p w14:paraId="4E3CE3F5">
      <w:pPr>
        <w:pStyle w:val="97"/>
      </w:pPr>
      <w:r>
        <w:rPr>
          <w:rFonts w:hint="eastAsia"/>
        </w:rPr>
        <w:t>环氧地坪</w:t>
      </w:r>
      <w:r>
        <w:t>系统构造</w:t>
      </w:r>
    </w:p>
    <w:p w14:paraId="17407000">
      <w:pPr>
        <w:widowControl/>
        <w:numPr>
          <w:ilvl w:val="1"/>
          <w:numId w:val="97"/>
        </w:numPr>
        <w:shd w:val="clear" w:color="auto" w:fill="FFFFFF"/>
        <w:spacing w:line="360" w:lineRule="auto"/>
        <w:jc w:val="left"/>
        <w:rPr>
          <w:rFonts w:ascii="黑体" w:hAnsi="黑体" w:cs="宋体"/>
          <w:b/>
          <w:bCs/>
          <w:kern w:val="0"/>
          <w:szCs w:val="18"/>
        </w:rPr>
      </w:pPr>
      <w:r>
        <w:rPr>
          <w:rFonts w:hint="eastAsia" w:ascii="黑体" w:hAnsi="黑体" w:cs="宋体"/>
          <w:bCs/>
          <w:kern w:val="0"/>
          <w:szCs w:val="18"/>
        </w:rPr>
        <w:t>环氧地坪系统</w:t>
      </w:r>
      <w:r>
        <w:rPr>
          <w:rFonts w:ascii="黑体" w:hAnsi="黑体" w:cs="宋体"/>
          <w:bCs/>
          <w:kern w:val="0"/>
          <w:szCs w:val="18"/>
        </w:rPr>
        <w:t>由底涂层、中涂层、面涂层构成</w:t>
      </w:r>
      <w:r>
        <w:rPr>
          <w:rFonts w:hint="eastAsia" w:ascii="黑体" w:hAnsi="黑体" w:cs="宋体"/>
          <w:bCs/>
          <w:kern w:val="0"/>
          <w:szCs w:val="18"/>
        </w:rPr>
        <w:t>，构造见下图：</w:t>
      </w:r>
    </w:p>
    <w:p w14:paraId="18A1461E">
      <w:pPr>
        <w:widowControl/>
        <w:shd w:val="clear" w:color="auto" w:fill="FFFFFF"/>
        <w:spacing w:line="360" w:lineRule="auto"/>
        <w:ind w:left="425"/>
        <w:jc w:val="left"/>
        <w:rPr>
          <w:rFonts w:ascii="黑体" w:hAnsi="黑体" w:cs="宋体"/>
          <w:kern w:val="0"/>
          <w:szCs w:val="18"/>
        </w:rPr>
      </w:pPr>
      <w:r>
        <w:rPr>
          <w:rFonts w:ascii="黑体" w:hAnsi="黑体" w:cs="宋体"/>
          <w:bCs/>
          <w:kern w:val="0"/>
          <w:szCs w:val="18"/>
        </w:rPr>
        <w:br w:type="textWrapping"/>
      </w:r>
      <w:r>
        <w:rPr>
          <w:rFonts w:ascii="黑体" w:hAnsi="黑体" w:cs="宋体"/>
          <w:kern w:val="0"/>
          <w:szCs w:val="18"/>
        </w:rPr>
        <w:drawing>
          <wp:inline distT="0" distB="0" distL="0" distR="0">
            <wp:extent cx="2895600" cy="1748790"/>
            <wp:effectExtent l="19050" t="0" r="0" b="0"/>
            <wp:docPr id="22" name="图片 5" descr="http://www.dpwang.com/file/upload/201108/01/11-36-2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http://www.dpwang.com/file/upload/201108/01/11-36-21-90-1.jpg"/>
                    <pic:cNvPicPr>
                      <a:picLocks noChangeAspect="1" noChangeArrowheads="1"/>
                    </pic:cNvPicPr>
                  </pic:nvPicPr>
                  <pic:blipFill>
                    <a:blip r:embed="rId48" cstate="print"/>
                    <a:srcRect/>
                    <a:stretch>
                      <a:fillRect/>
                    </a:stretch>
                  </pic:blipFill>
                  <pic:spPr>
                    <a:xfrm>
                      <a:off x="0" y="0"/>
                      <a:ext cx="2895600" cy="1749020"/>
                    </a:xfrm>
                    <a:prstGeom prst="rect">
                      <a:avLst/>
                    </a:prstGeom>
                    <a:noFill/>
                    <a:ln w="9525">
                      <a:noFill/>
                      <a:miter lim="800000"/>
                      <a:headEnd/>
                      <a:tailEnd/>
                    </a:ln>
                  </pic:spPr>
                </pic:pic>
              </a:graphicData>
            </a:graphic>
          </wp:inline>
        </w:drawing>
      </w:r>
    </w:p>
    <w:p w14:paraId="3AE73FDE">
      <w:pPr>
        <w:widowControl/>
        <w:shd w:val="clear" w:color="auto" w:fill="FFFFFF"/>
        <w:spacing w:line="360" w:lineRule="auto"/>
        <w:ind w:left="425"/>
        <w:jc w:val="left"/>
        <w:rPr>
          <w:rFonts w:ascii="黑体" w:hAnsi="黑体" w:cs="宋体"/>
          <w:kern w:val="0"/>
          <w:szCs w:val="18"/>
        </w:rPr>
      </w:pPr>
      <w:r>
        <w:rPr>
          <w:rFonts w:ascii="黑体" w:hAnsi="黑体" w:cs="宋体"/>
          <w:kern w:val="0"/>
          <w:szCs w:val="18"/>
        </w:rPr>
        <w:t>1—混凝土基层</w:t>
      </w:r>
      <w:r>
        <w:rPr>
          <w:rFonts w:ascii="Calibri" w:hAnsi="Calibri" w:cs="Calibri"/>
          <w:kern w:val="0"/>
          <w:szCs w:val="18"/>
        </w:rPr>
        <w:t>  </w:t>
      </w:r>
      <w:r>
        <w:rPr>
          <w:rFonts w:hint="eastAsia" w:ascii="黑体" w:hAnsi="黑体" w:cs="宋体"/>
          <w:kern w:val="0"/>
          <w:szCs w:val="18"/>
        </w:rPr>
        <w:t xml:space="preserve">    </w:t>
      </w:r>
      <w:r>
        <w:rPr>
          <w:rFonts w:ascii="黑体" w:hAnsi="黑体" w:cs="宋体"/>
          <w:kern w:val="0"/>
          <w:szCs w:val="18"/>
        </w:rPr>
        <w:t>2—底涂层</w:t>
      </w:r>
      <w:r>
        <w:rPr>
          <w:rFonts w:ascii="Calibri" w:hAnsi="Calibri" w:cs="Calibri"/>
          <w:kern w:val="0"/>
          <w:szCs w:val="18"/>
        </w:rPr>
        <w:t>    </w:t>
      </w:r>
      <w:r>
        <w:rPr>
          <w:rFonts w:ascii="黑体" w:hAnsi="黑体" w:cs="宋体"/>
          <w:kern w:val="0"/>
          <w:szCs w:val="18"/>
        </w:rPr>
        <w:t xml:space="preserve"> 3—中</w:t>
      </w:r>
      <w:r>
        <w:rPr>
          <w:rFonts w:hint="eastAsia" w:ascii="黑体" w:hAnsi="黑体" w:cs="宋体"/>
          <w:kern w:val="0"/>
          <w:szCs w:val="18"/>
        </w:rPr>
        <w:t>涂</w:t>
      </w:r>
      <w:r>
        <w:rPr>
          <w:rFonts w:ascii="黑体" w:hAnsi="黑体" w:cs="宋体"/>
          <w:kern w:val="0"/>
          <w:szCs w:val="18"/>
        </w:rPr>
        <w:t>层</w:t>
      </w:r>
      <w:r>
        <w:rPr>
          <w:rFonts w:ascii="Calibri" w:hAnsi="Calibri" w:cs="Calibri"/>
          <w:kern w:val="0"/>
          <w:szCs w:val="18"/>
        </w:rPr>
        <w:t>    </w:t>
      </w:r>
      <w:r>
        <w:rPr>
          <w:rFonts w:ascii="黑体" w:hAnsi="黑体" w:cs="宋体"/>
          <w:kern w:val="0"/>
          <w:szCs w:val="18"/>
        </w:rPr>
        <w:t>4—面涂层</w:t>
      </w:r>
    </w:p>
    <w:p w14:paraId="07774396">
      <w:pPr>
        <w:widowControl/>
        <w:shd w:val="clear" w:color="auto" w:fill="FFFFFF"/>
        <w:spacing w:line="360" w:lineRule="auto"/>
        <w:ind w:left="-2" w:leftChars="-1"/>
        <w:jc w:val="left"/>
        <w:rPr>
          <w:rFonts w:ascii="黑体" w:hAnsi="黑体" w:cs="宋体"/>
          <w:kern w:val="0"/>
          <w:szCs w:val="18"/>
        </w:rPr>
      </w:pPr>
    </w:p>
    <w:p w14:paraId="66FF1E76">
      <w:pPr>
        <w:widowControl/>
        <w:numPr>
          <w:ilvl w:val="1"/>
          <w:numId w:val="97"/>
        </w:numPr>
        <w:shd w:val="clear" w:color="auto" w:fill="FFFFFF"/>
        <w:spacing w:line="360" w:lineRule="auto"/>
        <w:jc w:val="left"/>
        <w:rPr>
          <w:rFonts w:ascii="黑体" w:hAnsi="黑体" w:cs="宋体"/>
          <w:kern w:val="0"/>
          <w:szCs w:val="18"/>
        </w:rPr>
      </w:pPr>
      <w:r>
        <w:rPr>
          <w:rFonts w:hint="eastAsia" w:ascii="黑体" w:hAnsi="黑体" w:cs="宋体"/>
          <w:bCs/>
          <w:kern w:val="0"/>
          <w:szCs w:val="18"/>
        </w:rPr>
        <w:t>底涂、中涂、面涂具体要求：</w:t>
      </w:r>
    </w:p>
    <w:p w14:paraId="54CB6FF5">
      <w:pPr>
        <w:pStyle w:val="49"/>
        <w:numPr>
          <w:ilvl w:val="0"/>
          <w:numId w:val="98"/>
        </w:numPr>
        <w:spacing w:line="360" w:lineRule="auto"/>
        <w:ind w:firstLineChars="0"/>
        <w:jc w:val="left"/>
        <w:rPr>
          <w:rFonts w:ascii="黑体" w:hAnsi="黑体" w:cstheme="minorBidi"/>
          <w:szCs w:val="18"/>
        </w:rPr>
      </w:pPr>
      <w:r>
        <w:rPr>
          <w:rFonts w:ascii="黑体" w:hAnsi="黑体" w:cstheme="minorBidi"/>
          <w:szCs w:val="18"/>
        </w:rPr>
        <w:t>底涂层</w:t>
      </w:r>
    </w:p>
    <w:p w14:paraId="7B9B61FD">
      <w:pPr>
        <w:spacing w:line="360" w:lineRule="auto"/>
        <w:ind w:left="1530" w:leftChars="850"/>
        <w:jc w:val="left"/>
        <w:rPr>
          <w:rFonts w:ascii="黑体" w:hAnsi="黑体" w:cstheme="minorBidi"/>
          <w:szCs w:val="18"/>
        </w:rPr>
      </w:pPr>
      <w:r>
        <w:rPr>
          <w:rFonts w:hint="eastAsia" w:ascii="黑体" w:hAnsi="黑体" w:cstheme="minorBidi"/>
          <w:szCs w:val="18"/>
        </w:rPr>
        <w:t>该体系中，底漆为高固含量满足规范要求，低粘度，渗透封闭底漆。要求施工时气味极低，易于施工。底漆具有渗透、封固和补强等功效。能有效通过渗透和封固混凝土、砖石表面的毛孔和细微裂缝来增强面漆的附着力及维护性能。</w:t>
      </w:r>
    </w:p>
    <w:p w14:paraId="2E5009A3">
      <w:pPr>
        <w:pStyle w:val="49"/>
        <w:numPr>
          <w:ilvl w:val="0"/>
          <w:numId w:val="98"/>
        </w:numPr>
        <w:spacing w:line="360" w:lineRule="auto"/>
        <w:ind w:firstLineChars="0"/>
        <w:jc w:val="left"/>
        <w:rPr>
          <w:rFonts w:ascii="黑体" w:hAnsi="黑体" w:cstheme="minorBidi"/>
          <w:szCs w:val="18"/>
        </w:rPr>
      </w:pPr>
      <w:r>
        <w:rPr>
          <w:rFonts w:hint="eastAsia" w:ascii="黑体" w:hAnsi="黑体" w:cstheme="minorBidi"/>
          <w:szCs w:val="18"/>
        </w:rPr>
        <w:t>中涂层</w:t>
      </w:r>
    </w:p>
    <w:p w14:paraId="15A6886B">
      <w:pPr>
        <w:spacing w:line="360" w:lineRule="auto"/>
        <w:ind w:left="1530" w:leftChars="850"/>
        <w:jc w:val="left"/>
        <w:rPr>
          <w:rFonts w:ascii="黑体" w:hAnsi="黑体" w:cstheme="minorBidi"/>
          <w:szCs w:val="18"/>
        </w:rPr>
      </w:pPr>
      <w:r>
        <w:rPr>
          <w:rFonts w:hint="eastAsia" w:ascii="黑体" w:hAnsi="黑体" w:cstheme="minorBidi"/>
          <w:szCs w:val="18"/>
        </w:rPr>
        <w:t>环氧地坪中层具有优良的抗压强度、抗冲击性、抗化学物质，为整个体系提供平整，坚固的基础平面以及可用于基层的修补。不但能有效提高体系承重及受压性能，还能有效提高整个涂装体系的耐久度。</w:t>
      </w:r>
    </w:p>
    <w:p w14:paraId="0222B6B1">
      <w:pPr>
        <w:pStyle w:val="49"/>
        <w:numPr>
          <w:ilvl w:val="0"/>
          <w:numId w:val="98"/>
        </w:numPr>
        <w:spacing w:line="360" w:lineRule="auto"/>
        <w:ind w:firstLineChars="0"/>
        <w:jc w:val="left"/>
        <w:rPr>
          <w:rFonts w:ascii="黑体" w:hAnsi="黑体" w:cstheme="minorBidi"/>
          <w:szCs w:val="18"/>
        </w:rPr>
      </w:pPr>
      <w:r>
        <w:rPr>
          <w:rFonts w:ascii="黑体" w:hAnsi="黑体" w:cstheme="minorBidi"/>
          <w:szCs w:val="18"/>
        </w:rPr>
        <w:t>面涂层</w:t>
      </w:r>
    </w:p>
    <w:p w14:paraId="5D0FA672">
      <w:pPr>
        <w:pStyle w:val="49"/>
        <w:numPr>
          <w:ilvl w:val="0"/>
          <w:numId w:val="99"/>
        </w:numPr>
        <w:spacing w:line="360" w:lineRule="auto"/>
        <w:ind w:firstLineChars="0"/>
        <w:jc w:val="left"/>
        <w:rPr>
          <w:rFonts w:ascii="黑体" w:hAnsi="黑体" w:cstheme="minorBidi"/>
          <w:szCs w:val="18"/>
        </w:rPr>
      </w:pPr>
      <w:r>
        <w:rPr>
          <w:rFonts w:ascii="黑体" w:hAnsi="黑体" w:cstheme="minorBidi"/>
          <w:szCs w:val="18"/>
        </w:rPr>
        <w:t>环氧面漆（适用于室内区域）。环氧</w:t>
      </w:r>
      <w:r>
        <w:rPr>
          <w:rFonts w:hint="eastAsia" w:ascii="黑体" w:hAnsi="黑体" w:cstheme="minorBidi"/>
          <w:szCs w:val="18"/>
        </w:rPr>
        <w:t>面漆为化学固化、无溶剂的环氧耐磨自流平地坪漆。固化后漆膜具有强度高、耐磨损、耐腐蚀、耐潮湿、耐沾污等特性。要求较高的耐机械磨损和易于清洁，能为地面提供持久的保护。</w:t>
      </w:r>
    </w:p>
    <w:p w14:paraId="56BE434D">
      <w:pPr>
        <w:pStyle w:val="49"/>
        <w:numPr>
          <w:ilvl w:val="0"/>
          <w:numId w:val="99"/>
        </w:numPr>
        <w:spacing w:line="360" w:lineRule="auto"/>
        <w:ind w:firstLineChars="0"/>
        <w:jc w:val="left"/>
        <w:rPr>
          <w:rFonts w:ascii="黑体" w:hAnsi="黑体" w:cstheme="minorBidi"/>
          <w:szCs w:val="18"/>
        </w:rPr>
      </w:pPr>
      <w:r>
        <w:rPr>
          <w:rFonts w:hint="eastAsia" w:ascii="黑体" w:hAnsi="黑体" w:cstheme="minorBidi"/>
          <w:szCs w:val="18"/>
        </w:rPr>
        <w:t>聚氨酯面漆</w:t>
      </w:r>
      <w:r>
        <w:rPr>
          <w:rFonts w:ascii="黑体" w:hAnsi="黑体" w:cstheme="minorBidi"/>
          <w:szCs w:val="18"/>
        </w:rPr>
        <w:t>（适用于</w:t>
      </w:r>
      <w:r>
        <w:rPr>
          <w:rFonts w:hint="eastAsia" w:ascii="黑体" w:hAnsi="黑体" w:cstheme="minorBidi"/>
          <w:szCs w:val="18"/>
        </w:rPr>
        <w:t>室外、露天或</w:t>
      </w:r>
      <w:r>
        <w:rPr>
          <w:rFonts w:ascii="黑体" w:hAnsi="黑体" w:cstheme="minorBidi"/>
          <w:szCs w:val="18"/>
        </w:rPr>
        <w:t>受阳光照射区域）。</w:t>
      </w:r>
      <w:r>
        <w:rPr>
          <w:rFonts w:hint="eastAsia" w:ascii="黑体" w:hAnsi="黑体" w:cstheme="minorBidi"/>
          <w:szCs w:val="18"/>
        </w:rPr>
        <w:t>聚氨酯面漆要有高耐磨性、高抗划痕性、也要有很高的保色性和耐候性。表面纹理细腻、均匀、美观，不容易积尘</w:t>
      </w:r>
    </w:p>
    <w:p w14:paraId="0334A4C9">
      <w:pPr>
        <w:spacing w:line="360" w:lineRule="auto"/>
        <w:ind w:firstLine="360" w:firstLineChars="200"/>
        <w:jc w:val="left"/>
        <w:rPr>
          <w:rFonts w:ascii="黑体" w:hAnsi="黑体" w:cstheme="minorBidi"/>
          <w:szCs w:val="18"/>
        </w:rPr>
      </w:pPr>
    </w:p>
    <w:p w14:paraId="2CC8BB6A">
      <w:pPr>
        <w:pStyle w:val="97"/>
      </w:pPr>
      <w:r>
        <w:rPr>
          <w:rFonts w:hint="eastAsia"/>
        </w:rPr>
        <w:t>施工要求</w:t>
      </w:r>
    </w:p>
    <w:p w14:paraId="64B715B1">
      <w:pPr>
        <w:widowControl/>
        <w:numPr>
          <w:ilvl w:val="1"/>
          <w:numId w:val="100"/>
        </w:numPr>
        <w:shd w:val="clear" w:color="auto" w:fill="FFFFFF"/>
        <w:spacing w:line="360" w:lineRule="auto"/>
        <w:jc w:val="left"/>
        <w:rPr>
          <w:rFonts w:ascii="黑体" w:hAnsi="黑体" w:cs="宋体"/>
          <w:bCs/>
          <w:kern w:val="0"/>
          <w:szCs w:val="18"/>
        </w:rPr>
      </w:pPr>
      <w:r>
        <w:rPr>
          <w:rFonts w:hint="eastAsia" w:ascii="黑体" w:hAnsi="黑体" w:cs="宋体"/>
          <w:bCs/>
          <w:kern w:val="0"/>
          <w:szCs w:val="18"/>
        </w:rPr>
        <w:t>在项目施工前，应结合项目具体情况，并结合本技术要求提供具体的深化设计和施工方案。</w:t>
      </w:r>
    </w:p>
    <w:p w14:paraId="6F705138">
      <w:pPr>
        <w:widowControl/>
        <w:numPr>
          <w:ilvl w:val="1"/>
          <w:numId w:val="100"/>
        </w:numPr>
        <w:shd w:val="clear" w:color="auto" w:fill="FFFFFF"/>
        <w:spacing w:line="360" w:lineRule="auto"/>
        <w:jc w:val="left"/>
        <w:rPr>
          <w:rFonts w:ascii="黑体" w:hAnsi="黑体" w:cs="宋体"/>
          <w:kern w:val="0"/>
          <w:szCs w:val="18"/>
        </w:rPr>
      </w:pPr>
      <w:r>
        <w:rPr>
          <w:rFonts w:ascii="黑体" w:hAnsi="黑体" w:cs="宋体"/>
          <w:bCs/>
          <w:kern w:val="0"/>
          <w:szCs w:val="18"/>
        </w:rPr>
        <w:t>环</w:t>
      </w:r>
      <w:r>
        <w:rPr>
          <w:rFonts w:ascii="黑体" w:hAnsi="黑体" w:cs="宋体"/>
          <w:kern w:val="0"/>
          <w:szCs w:val="18"/>
        </w:rPr>
        <w:t>氧地坪系统工程施工前应进行基层检查，并依据</w:t>
      </w:r>
      <w:r>
        <w:rPr>
          <w:rFonts w:hint="eastAsia" w:ascii="黑体" w:hAnsi="黑体" w:cs="宋体"/>
          <w:kern w:val="0"/>
          <w:szCs w:val="18"/>
        </w:rPr>
        <w:t>地坪施工单位对</w:t>
      </w:r>
      <w:r>
        <w:rPr>
          <w:rFonts w:ascii="黑体" w:hAnsi="黑体" w:cs="宋体"/>
          <w:kern w:val="0"/>
          <w:szCs w:val="18"/>
        </w:rPr>
        <w:t>基层</w:t>
      </w:r>
      <w:r>
        <w:rPr>
          <w:rFonts w:hint="eastAsia" w:ascii="黑体" w:hAnsi="黑体" w:cs="宋体"/>
          <w:kern w:val="0"/>
          <w:szCs w:val="18"/>
        </w:rPr>
        <w:t>进行检查</w:t>
      </w:r>
      <w:r>
        <w:rPr>
          <w:rFonts w:ascii="黑体" w:hAnsi="黑体" w:cs="宋体"/>
          <w:kern w:val="0"/>
          <w:szCs w:val="18"/>
        </w:rPr>
        <w:t>报告编制施工组织方案，经</w:t>
      </w:r>
      <w:r>
        <w:rPr>
          <w:rFonts w:hint="eastAsia" w:ascii="黑体" w:hAnsi="黑体" w:cs="宋体"/>
          <w:kern w:val="0"/>
          <w:szCs w:val="18"/>
        </w:rPr>
        <w:t>相关部门</w:t>
      </w:r>
      <w:r>
        <w:rPr>
          <w:rFonts w:ascii="黑体" w:hAnsi="黑体" w:cs="宋体"/>
          <w:kern w:val="0"/>
          <w:szCs w:val="18"/>
        </w:rPr>
        <w:t>审定并进行技术交底后按方案组织施工。</w:t>
      </w:r>
    </w:p>
    <w:p w14:paraId="20D871C5">
      <w:pPr>
        <w:widowControl/>
        <w:numPr>
          <w:ilvl w:val="1"/>
          <w:numId w:val="100"/>
        </w:numPr>
        <w:shd w:val="clear" w:color="auto" w:fill="FFFFFF"/>
        <w:spacing w:line="360" w:lineRule="auto"/>
        <w:jc w:val="left"/>
        <w:rPr>
          <w:rFonts w:ascii="黑体" w:hAnsi="黑体" w:cs="宋体"/>
          <w:kern w:val="0"/>
          <w:szCs w:val="18"/>
        </w:rPr>
      </w:pPr>
      <w:r>
        <w:rPr>
          <w:rFonts w:ascii="黑体" w:hAnsi="黑体" w:cs="宋体"/>
          <w:bCs/>
          <w:kern w:val="0"/>
          <w:szCs w:val="18"/>
        </w:rPr>
        <w:t>工</w:t>
      </w:r>
      <w:r>
        <w:rPr>
          <w:rFonts w:ascii="黑体" w:hAnsi="黑体" w:cs="宋体"/>
          <w:kern w:val="0"/>
          <w:szCs w:val="18"/>
        </w:rPr>
        <w:t>程所用材料应具有产品质量证明文件，其质量不得低于国家现行标准的规定；当材料没有国家现行标准时，应符合本规程的规定。</w:t>
      </w:r>
    </w:p>
    <w:p w14:paraId="6A17F9F4">
      <w:pPr>
        <w:widowControl/>
        <w:numPr>
          <w:ilvl w:val="1"/>
          <w:numId w:val="100"/>
        </w:numPr>
        <w:shd w:val="clear" w:color="auto" w:fill="FFFFFF"/>
        <w:spacing w:line="360" w:lineRule="auto"/>
        <w:jc w:val="left"/>
        <w:rPr>
          <w:rFonts w:ascii="黑体" w:hAnsi="黑体" w:cs="宋体"/>
          <w:kern w:val="0"/>
          <w:szCs w:val="18"/>
        </w:rPr>
      </w:pPr>
      <w:r>
        <w:rPr>
          <w:rFonts w:ascii="黑体" w:hAnsi="黑体" w:cs="宋体"/>
          <w:bCs/>
          <w:kern w:val="0"/>
          <w:szCs w:val="18"/>
        </w:rPr>
        <w:t>产</w:t>
      </w:r>
      <w:r>
        <w:rPr>
          <w:rFonts w:ascii="黑体" w:hAnsi="黑体" w:cs="宋体"/>
          <w:kern w:val="0"/>
          <w:szCs w:val="18"/>
        </w:rPr>
        <w:t>品质量证明文件，应包括产品质量合格证及材料检测报告。</w:t>
      </w:r>
    </w:p>
    <w:p w14:paraId="1780B023">
      <w:pPr>
        <w:widowControl/>
        <w:numPr>
          <w:ilvl w:val="1"/>
          <w:numId w:val="100"/>
        </w:numPr>
        <w:shd w:val="clear" w:color="auto" w:fill="FFFFFF"/>
        <w:spacing w:line="360" w:lineRule="auto"/>
        <w:jc w:val="left"/>
        <w:rPr>
          <w:rFonts w:ascii="黑体" w:hAnsi="黑体" w:cs="宋体"/>
          <w:kern w:val="0"/>
          <w:szCs w:val="18"/>
        </w:rPr>
      </w:pPr>
      <w:r>
        <w:fldChar w:fldCharType="begin"/>
      </w:r>
      <w:r>
        <w:instrText xml:space="preserve"> HYPERLINK "http://www.dpwang.com" \t "_blank" </w:instrText>
      </w:r>
      <w:r>
        <w:fldChar w:fldCharType="separate"/>
      </w:r>
      <w:r>
        <w:rPr>
          <w:rFonts w:ascii="黑体" w:hAnsi="黑体" w:cs="宋体"/>
          <w:kern w:val="0"/>
          <w:szCs w:val="18"/>
        </w:rPr>
        <w:t>环氧地坪</w:t>
      </w:r>
      <w:r>
        <w:rPr>
          <w:rFonts w:ascii="黑体" w:hAnsi="黑体" w:cs="宋体"/>
          <w:kern w:val="0"/>
          <w:szCs w:val="18"/>
        </w:rPr>
        <w:fldChar w:fldCharType="end"/>
      </w:r>
      <w:r>
        <w:rPr>
          <w:rFonts w:ascii="黑体" w:hAnsi="黑体" w:cs="宋体"/>
          <w:kern w:val="0"/>
          <w:szCs w:val="18"/>
        </w:rPr>
        <w:t>材料应贮存在阴凉、干燥、通风、远离火和热源的场所，不得露天存放和曝晒，贮存温度宜为10℃～25℃。</w:t>
      </w:r>
    </w:p>
    <w:p w14:paraId="5ECF63B9">
      <w:pPr>
        <w:widowControl/>
        <w:numPr>
          <w:ilvl w:val="1"/>
          <w:numId w:val="100"/>
        </w:numPr>
        <w:shd w:val="clear" w:color="auto" w:fill="FFFFFF"/>
        <w:spacing w:line="360" w:lineRule="auto"/>
        <w:jc w:val="left"/>
        <w:rPr>
          <w:rFonts w:ascii="黑体" w:hAnsi="黑体" w:cs="宋体"/>
          <w:kern w:val="0"/>
          <w:szCs w:val="18"/>
        </w:rPr>
      </w:pPr>
      <w:r>
        <w:rPr>
          <w:rFonts w:ascii="黑体" w:hAnsi="黑体" w:cs="宋体"/>
          <w:kern w:val="0"/>
          <w:szCs w:val="18"/>
        </w:rPr>
        <w:t>施工单位应建立各道工序的自检、互检和专职人员检验制度，并应有完整的施工检查记录。隐蔽工程施工检查记录应经业主代表或监理签字确认后，方可进行下道工序施工。</w:t>
      </w:r>
    </w:p>
    <w:p w14:paraId="6341C4FF">
      <w:pPr>
        <w:widowControl/>
        <w:numPr>
          <w:ilvl w:val="1"/>
          <w:numId w:val="100"/>
        </w:numPr>
        <w:shd w:val="clear" w:color="auto" w:fill="FFFFFF"/>
        <w:spacing w:line="360" w:lineRule="auto"/>
        <w:jc w:val="left"/>
        <w:rPr>
          <w:rFonts w:ascii="黑体" w:hAnsi="黑体" w:cs="宋体"/>
          <w:kern w:val="0"/>
          <w:szCs w:val="18"/>
        </w:rPr>
      </w:pPr>
      <w:r>
        <w:rPr>
          <w:rFonts w:ascii="黑体" w:hAnsi="黑体" w:cs="宋体"/>
          <w:kern w:val="0"/>
          <w:szCs w:val="18"/>
        </w:rPr>
        <w:t>施工现场应封闭，严禁交叉作业。</w:t>
      </w:r>
    </w:p>
    <w:p w14:paraId="0B3E1625">
      <w:pPr>
        <w:widowControl/>
        <w:numPr>
          <w:ilvl w:val="1"/>
          <w:numId w:val="100"/>
        </w:numPr>
        <w:shd w:val="clear" w:color="auto" w:fill="FFFFFF"/>
        <w:spacing w:line="360" w:lineRule="auto"/>
        <w:jc w:val="left"/>
        <w:rPr>
          <w:rFonts w:ascii="黑体" w:hAnsi="黑体" w:cs="宋体"/>
          <w:kern w:val="0"/>
          <w:szCs w:val="18"/>
        </w:rPr>
      </w:pPr>
      <w:r>
        <w:rPr>
          <w:rFonts w:ascii="黑体" w:hAnsi="黑体" w:cs="宋体"/>
          <w:kern w:val="0"/>
          <w:szCs w:val="18"/>
        </w:rPr>
        <w:t>进行环氧树脂地坪系统工程施工时，应配备施工人员和设备的安全防护装置。</w:t>
      </w:r>
    </w:p>
    <w:p w14:paraId="52EE7F25">
      <w:pPr>
        <w:widowControl/>
        <w:shd w:val="clear" w:color="auto" w:fill="FFFFFF"/>
        <w:spacing w:line="360" w:lineRule="auto"/>
        <w:jc w:val="left"/>
        <w:rPr>
          <w:rFonts w:ascii="黑体" w:hAnsi="黑体" w:cs="宋体"/>
          <w:b/>
          <w:kern w:val="0"/>
          <w:szCs w:val="18"/>
        </w:rPr>
      </w:pPr>
    </w:p>
    <w:p w14:paraId="1F7AD61F">
      <w:pPr>
        <w:pStyle w:val="97"/>
      </w:pPr>
      <w:r>
        <w:rPr>
          <w:rFonts w:hint="eastAsia"/>
          <w:bCs/>
        </w:rPr>
        <w:t>基层</w:t>
      </w:r>
      <w:r>
        <w:rPr>
          <w:rFonts w:hint="eastAsia"/>
        </w:rPr>
        <w:t>要求及处理方式</w:t>
      </w:r>
    </w:p>
    <w:p w14:paraId="2BFDE95D">
      <w:pPr>
        <w:widowControl/>
        <w:numPr>
          <w:ilvl w:val="1"/>
          <w:numId w:val="101"/>
        </w:numPr>
        <w:shd w:val="clear" w:color="auto" w:fill="FFFFFF"/>
        <w:spacing w:line="360" w:lineRule="auto"/>
        <w:jc w:val="left"/>
        <w:rPr>
          <w:rFonts w:ascii="黑体" w:hAnsi="黑体" w:cstheme="minorBidi"/>
          <w:szCs w:val="18"/>
        </w:rPr>
      </w:pPr>
      <w:r>
        <w:rPr>
          <w:rFonts w:hint="eastAsia" w:ascii="黑体" w:hAnsi="黑体" w:cstheme="minorBidi"/>
          <w:szCs w:val="18"/>
        </w:rPr>
        <w:t>基层细石混凝土应采用商品混凝土，浇筑时的坍落度建议在</w:t>
      </w:r>
      <w:r>
        <w:rPr>
          <w:rFonts w:ascii="黑体" w:hAnsi="黑体" w:cstheme="minorBidi"/>
          <w:szCs w:val="18"/>
        </w:rPr>
        <w:t xml:space="preserve">160+/-20 mm, </w:t>
      </w:r>
      <w:r>
        <w:rPr>
          <w:rFonts w:hint="eastAsia" w:ascii="黑体" w:hAnsi="黑体" w:cstheme="minorBidi"/>
          <w:szCs w:val="18"/>
        </w:rPr>
        <w:t>建议粉煤灰加入量≤</w:t>
      </w:r>
      <w:r>
        <w:rPr>
          <w:rFonts w:ascii="黑体" w:hAnsi="黑体" w:cstheme="minorBidi"/>
          <w:szCs w:val="18"/>
        </w:rPr>
        <w:t>40kg</w:t>
      </w:r>
      <w:r>
        <w:rPr>
          <w:rFonts w:hint="eastAsia" w:ascii="黑体" w:hAnsi="黑体" w:cstheme="minorBidi"/>
          <w:szCs w:val="18"/>
        </w:rPr>
        <w:t>，应坚固、密实。抗压强度应不小于</w:t>
      </w:r>
      <w:r>
        <w:rPr>
          <w:rFonts w:ascii="黑体" w:hAnsi="黑体" w:cstheme="minorBidi"/>
          <w:szCs w:val="18"/>
        </w:rPr>
        <w:t>25 MP</w:t>
      </w:r>
      <w:r>
        <w:rPr>
          <w:rFonts w:hint="eastAsia" w:ascii="黑体" w:hAnsi="黑体" w:cstheme="minorBidi"/>
          <w:szCs w:val="18"/>
        </w:rPr>
        <w:t>，拉拔强度均值不低于</w:t>
      </w:r>
      <w:r>
        <w:rPr>
          <w:rFonts w:ascii="黑体" w:hAnsi="黑体" w:cstheme="minorBidi"/>
          <w:szCs w:val="18"/>
        </w:rPr>
        <w:t>1.5 MPa</w:t>
      </w:r>
      <w:r>
        <w:rPr>
          <w:rFonts w:hint="eastAsia" w:ascii="黑体" w:hAnsi="黑体" w:cstheme="minorBidi"/>
          <w:szCs w:val="18"/>
        </w:rPr>
        <w:t>，最低值不低于</w:t>
      </w:r>
      <w:r>
        <w:rPr>
          <w:rFonts w:ascii="黑体" w:hAnsi="黑体" w:cstheme="minorBidi"/>
          <w:szCs w:val="18"/>
        </w:rPr>
        <w:t>1.2MPa</w:t>
      </w:r>
      <w:r>
        <w:rPr>
          <w:rFonts w:hint="eastAsia" w:ascii="黑体" w:hAnsi="黑体" w:cstheme="minorBidi"/>
          <w:szCs w:val="18"/>
        </w:rPr>
        <w:t>，含水率≤</w:t>
      </w:r>
      <w:r>
        <w:rPr>
          <w:rFonts w:ascii="黑体" w:hAnsi="黑体" w:cstheme="minorBidi"/>
          <w:szCs w:val="18"/>
        </w:rPr>
        <w:t>6</w:t>
      </w:r>
      <w:r>
        <w:rPr>
          <w:rFonts w:hint="eastAsia" w:ascii="黑体" w:hAnsi="黑体" w:cstheme="minorBidi"/>
          <w:szCs w:val="18"/>
        </w:rPr>
        <w:t>%，混凝土基层的平整度、排水坡度应满设计规范或业主的要求；基层应平整，表面收光，清洁，无油脂、裂缝、空鼓、损坏或其他污染物。如现场基层不达要求，需采用其他方式进行补强、找平及其他基层处理措施。环氧踢脚基层应采用水泥基腻子。</w:t>
      </w:r>
    </w:p>
    <w:p w14:paraId="530A7779">
      <w:pPr>
        <w:widowControl/>
        <w:numPr>
          <w:ilvl w:val="1"/>
          <w:numId w:val="101"/>
        </w:numPr>
        <w:shd w:val="clear" w:color="auto" w:fill="FFFFFF"/>
        <w:spacing w:line="360" w:lineRule="auto"/>
        <w:jc w:val="left"/>
        <w:rPr>
          <w:rFonts w:ascii="黑体" w:hAnsi="黑体" w:cstheme="minorBidi"/>
          <w:szCs w:val="18"/>
        </w:rPr>
      </w:pPr>
      <w:r>
        <w:rPr>
          <w:rFonts w:ascii="黑体" w:hAnsi="黑体" w:cstheme="minorBidi"/>
          <w:bCs/>
          <w:szCs w:val="18"/>
        </w:rPr>
        <w:t>除处于继续</w:t>
      </w:r>
      <w:r>
        <w:rPr>
          <w:rFonts w:ascii="黑体" w:hAnsi="黑体" w:cstheme="minorBidi"/>
          <w:szCs w:val="18"/>
        </w:rPr>
        <w:t>开展而未稳定的活动裂缝和渗水裂缝外，当</w:t>
      </w:r>
      <w:r>
        <w:rPr>
          <w:rFonts w:hint="eastAsia" w:ascii="黑体" w:hAnsi="黑体" w:cstheme="minorBidi"/>
          <w:szCs w:val="18"/>
        </w:rPr>
        <w:t>地面</w:t>
      </w:r>
      <w:r>
        <w:rPr>
          <w:rFonts w:ascii="黑体" w:hAnsi="黑体" w:cstheme="minorBidi"/>
          <w:szCs w:val="18"/>
        </w:rPr>
        <w:t>裂缝宽度大于0.5mm时，宜采用填充密封法，先采用机械切割的方式将裂缝切成20mm深，20mm宽的V型槽。环氧地坪系统工程应采用无溶剂环氧树脂填充。</w:t>
      </w:r>
    </w:p>
    <w:p w14:paraId="1885F2CE">
      <w:pPr>
        <w:widowControl/>
        <w:numPr>
          <w:ilvl w:val="1"/>
          <w:numId w:val="101"/>
        </w:numPr>
        <w:shd w:val="clear" w:color="auto" w:fill="FFFFFF"/>
        <w:spacing w:line="360" w:lineRule="auto"/>
        <w:jc w:val="left"/>
        <w:rPr>
          <w:rFonts w:ascii="黑体" w:hAnsi="黑体" w:cstheme="minorBidi"/>
          <w:szCs w:val="18"/>
        </w:rPr>
      </w:pPr>
      <w:r>
        <w:rPr>
          <w:rFonts w:ascii="黑体" w:hAnsi="黑体" w:cstheme="minorBidi"/>
          <w:szCs w:val="18"/>
        </w:rPr>
        <w:t>当找平层与混凝土基层之间出现空鼓时，空鼓面积不大于1㎡时，可采用注浆法处理；当空鼓面积大于1㎡时，应剔除后重新施工找平层。</w:t>
      </w:r>
    </w:p>
    <w:p w14:paraId="1D53EA97">
      <w:pPr>
        <w:widowControl/>
        <w:numPr>
          <w:ilvl w:val="1"/>
          <w:numId w:val="101"/>
        </w:numPr>
        <w:shd w:val="clear" w:color="auto" w:fill="FFFFFF"/>
        <w:spacing w:line="360" w:lineRule="auto"/>
        <w:jc w:val="left"/>
        <w:rPr>
          <w:rFonts w:ascii="黑体" w:hAnsi="黑体" w:cstheme="minorBidi"/>
          <w:szCs w:val="18"/>
        </w:rPr>
      </w:pPr>
      <w:r>
        <w:rPr>
          <w:rFonts w:hint="eastAsia" w:ascii="黑体" w:hAnsi="黑体" w:cstheme="minorBidi"/>
          <w:szCs w:val="18"/>
        </w:rPr>
        <w:t>基层要求表面收光，清洁，干燥，无裂缝、空鼓、损坏，当基层出现起砂、浮浆、表面脱落现象时，应用机械清除。混凝土凝土基层应采用</w:t>
      </w:r>
      <w:r>
        <w:fldChar w:fldCharType="begin"/>
      </w:r>
      <w:r>
        <w:instrText xml:space="preserve"> HYPERLINK "http://www.dpwang.com/s/list/77/" \t "_blank" </w:instrText>
      </w:r>
      <w:r>
        <w:fldChar w:fldCharType="separate"/>
      </w:r>
      <w:r>
        <w:rPr>
          <w:rFonts w:hint="eastAsia" w:ascii="黑体" w:hAnsi="黑体" w:cstheme="minorBidi"/>
          <w:szCs w:val="18"/>
        </w:rPr>
        <w:t>铣刨</w:t>
      </w:r>
      <w:r>
        <w:rPr>
          <w:rFonts w:hint="eastAsia" w:ascii="黑体" w:hAnsi="黑体" w:cstheme="minorBidi"/>
          <w:szCs w:val="18"/>
        </w:rPr>
        <w:fldChar w:fldCharType="end"/>
      </w:r>
      <w:r>
        <w:rPr>
          <w:rFonts w:hint="eastAsia" w:ascii="黑体" w:hAnsi="黑体" w:cstheme="minorBidi"/>
          <w:szCs w:val="18"/>
        </w:rPr>
        <w:t>、抛丸或打磨方法进行处理，以增强与地坪系统的粘结强度。</w:t>
      </w:r>
    </w:p>
    <w:p w14:paraId="5C7C6561">
      <w:pPr>
        <w:widowControl/>
        <w:numPr>
          <w:ilvl w:val="1"/>
          <w:numId w:val="101"/>
        </w:numPr>
        <w:shd w:val="clear" w:color="auto" w:fill="FFFFFF"/>
        <w:spacing w:line="360" w:lineRule="auto"/>
        <w:jc w:val="left"/>
        <w:rPr>
          <w:rFonts w:ascii="黑体" w:hAnsi="黑体" w:cstheme="minorBidi"/>
          <w:szCs w:val="18"/>
        </w:rPr>
      </w:pPr>
      <w:r>
        <w:rPr>
          <w:rFonts w:ascii="黑体" w:hAnsi="黑体" w:cstheme="minorBidi"/>
          <w:szCs w:val="18"/>
        </w:rPr>
        <w:t>当基层平整度用2m靠尺检查，空隙大于3mm时，应进行找平处理。</w:t>
      </w:r>
    </w:p>
    <w:p w14:paraId="7F59F60D">
      <w:pPr>
        <w:widowControl/>
        <w:numPr>
          <w:ilvl w:val="1"/>
          <w:numId w:val="101"/>
        </w:numPr>
        <w:shd w:val="clear" w:color="auto" w:fill="FFFFFF"/>
        <w:spacing w:line="360" w:lineRule="auto"/>
        <w:jc w:val="left"/>
        <w:rPr>
          <w:rFonts w:ascii="黑体" w:hAnsi="黑体" w:cstheme="minorBidi"/>
          <w:szCs w:val="18"/>
        </w:rPr>
      </w:pPr>
      <w:r>
        <w:rPr>
          <w:rFonts w:hint="eastAsia" w:ascii="黑体" w:hAnsi="黑体" w:cstheme="minorBidi"/>
          <w:szCs w:val="18"/>
        </w:rPr>
        <w:t xml:space="preserve"> </w:t>
      </w:r>
      <w:r>
        <w:rPr>
          <w:rFonts w:ascii="黑体" w:hAnsi="黑体" w:cstheme="minorBidi"/>
          <w:szCs w:val="18"/>
        </w:rPr>
        <w:t>基层含水率在6-8%之间时，可采用通风、提高室内温度等方式降低混凝土含水率或采用防潮底涂进行封闭处理；大于8%时，应采用防潮层处理。</w:t>
      </w:r>
    </w:p>
    <w:p w14:paraId="24A0497F">
      <w:pPr>
        <w:widowControl/>
        <w:numPr>
          <w:ilvl w:val="1"/>
          <w:numId w:val="101"/>
        </w:numPr>
        <w:shd w:val="clear" w:color="auto" w:fill="FFFFFF"/>
        <w:spacing w:line="360" w:lineRule="auto"/>
        <w:jc w:val="left"/>
        <w:rPr>
          <w:rFonts w:ascii="黑体" w:hAnsi="黑体" w:cstheme="minorBidi"/>
          <w:szCs w:val="18"/>
        </w:rPr>
      </w:pPr>
      <w:r>
        <w:rPr>
          <w:rFonts w:hint="eastAsia" w:ascii="黑体" w:hAnsi="黑体" w:cs="宋体"/>
          <w:kern w:val="0"/>
          <w:szCs w:val="18"/>
        </w:rPr>
        <w:t>所有垂直和水平面的交会处，涂料应连续施工，并且在水平和垂直面的相交处应做成圆角。</w:t>
      </w:r>
    </w:p>
    <w:p w14:paraId="29270D2F">
      <w:pPr>
        <w:widowControl/>
        <w:shd w:val="clear" w:color="auto" w:fill="FFFFFF"/>
        <w:spacing w:line="360" w:lineRule="auto"/>
        <w:jc w:val="left"/>
        <w:rPr>
          <w:rFonts w:ascii="黑体" w:hAnsi="黑体" w:cstheme="minorBidi"/>
          <w:szCs w:val="18"/>
        </w:rPr>
      </w:pPr>
    </w:p>
    <w:p w14:paraId="39AE2929">
      <w:pPr>
        <w:pStyle w:val="97"/>
        <w:rPr>
          <w:rFonts w:cstheme="minorBidi"/>
        </w:rPr>
      </w:pPr>
      <w:r>
        <w:t>施工条件</w:t>
      </w:r>
    </w:p>
    <w:p w14:paraId="6CB0CD8D">
      <w:pPr>
        <w:widowControl/>
        <w:numPr>
          <w:ilvl w:val="1"/>
          <w:numId w:val="102"/>
        </w:numPr>
        <w:shd w:val="clear" w:color="auto" w:fill="FFFFFF"/>
        <w:spacing w:line="360" w:lineRule="auto"/>
        <w:jc w:val="left"/>
        <w:rPr>
          <w:rFonts w:ascii="黑体" w:hAnsi="黑体" w:cstheme="minorBidi"/>
          <w:szCs w:val="18"/>
        </w:rPr>
      </w:pPr>
      <w:r>
        <w:rPr>
          <w:rFonts w:ascii="黑体" w:hAnsi="黑体" w:cs="宋体"/>
          <w:kern w:val="0"/>
          <w:szCs w:val="18"/>
        </w:rPr>
        <w:t>工程施工区域应严禁烟火，不得进行切割或电气焊等操作。</w:t>
      </w:r>
    </w:p>
    <w:p w14:paraId="29B89B52">
      <w:pPr>
        <w:widowControl/>
        <w:numPr>
          <w:ilvl w:val="1"/>
          <w:numId w:val="102"/>
        </w:numPr>
        <w:shd w:val="clear" w:color="auto" w:fill="FFFFFF"/>
        <w:spacing w:line="360" w:lineRule="auto"/>
        <w:jc w:val="left"/>
        <w:rPr>
          <w:rFonts w:ascii="黑体" w:hAnsi="黑体" w:cstheme="minorBidi"/>
          <w:szCs w:val="18"/>
        </w:rPr>
      </w:pPr>
      <w:r>
        <w:rPr>
          <w:rFonts w:ascii="黑体" w:hAnsi="黑体" w:cs="宋体"/>
          <w:kern w:val="0"/>
          <w:szCs w:val="18"/>
        </w:rPr>
        <w:t>环氧地坪材料的配制、搅拌和可操作时间应按产品说明书要求进行。</w:t>
      </w:r>
    </w:p>
    <w:p w14:paraId="72DFCC7E">
      <w:pPr>
        <w:widowControl/>
        <w:numPr>
          <w:ilvl w:val="1"/>
          <w:numId w:val="102"/>
        </w:numPr>
        <w:shd w:val="clear" w:color="auto" w:fill="FFFFFF"/>
        <w:spacing w:line="360" w:lineRule="auto"/>
        <w:jc w:val="left"/>
        <w:rPr>
          <w:rFonts w:ascii="黑体" w:hAnsi="黑体" w:cstheme="minorBidi"/>
          <w:szCs w:val="18"/>
        </w:rPr>
      </w:pPr>
      <w:r>
        <w:rPr>
          <w:rFonts w:ascii="黑体" w:hAnsi="黑体" w:cs="宋体"/>
          <w:kern w:val="0"/>
          <w:szCs w:val="18"/>
        </w:rPr>
        <w:t>环氧地坪系统施工环境温度宜为15℃～25℃，相对湿度不宜高于80%。基层表面温度不宜低于5℃。</w:t>
      </w:r>
    </w:p>
    <w:p w14:paraId="2AC8EF25">
      <w:pPr>
        <w:widowControl/>
        <w:numPr>
          <w:ilvl w:val="1"/>
          <w:numId w:val="102"/>
        </w:numPr>
        <w:shd w:val="clear" w:color="auto" w:fill="FFFFFF"/>
        <w:spacing w:line="360" w:lineRule="auto"/>
        <w:jc w:val="left"/>
        <w:rPr>
          <w:rFonts w:ascii="黑体" w:hAnsi="黑体" w:cstheme="minorBidi"/>
          <w:szCs w:val="18"/>
        </w:rPr>
      </w:pPr>
      <w:r>
        <w:rPr>
          <w:rFonts w:hint="eastAsia" w:ascii="黑体" w:hAnsi="黑体" w:cs="宋体"/>
          <w:kern w:val="0"/>
          <w:szCs w:val="18"/>
        </w:rPr>
        <w:t>环氧树脂地坪系统工程的施工人员施工前</w:t>
      </w:r>
      <w:r>
        <w:rPr>
          <w:rFonts w:ascii="黑体" w:hAnsi="黑体" w:cs="宋体"/>
          <w:kern w:val="0"/>
          <w:szCs w:val="18"/>
        </w:rPr>
        <w:t>应做好劳动防护，保持室内通风。</w:t>
      </w:r>
    </w:p>
    <w:p w14:paraId="1A2F0BC2">
      <w:pPr>
        <w:widowControl/>
        <w:numPr>
          <w:ilvl w:val="1"/>
          <w:numId w:val="102"/>
        </w:numPr>
        <w:shd w:val="clear" w:color="auto" w:fill="FFFFFF"/>
        <w:spacing w:line="360" w:lineRule="auto"/>
        <w:jc w:val="left"/>
        <w:rPr>
          <w:rFonts w:ascii="黑体" w:hAnsi="黑体" w:cs="宋体"/>
          <w:kern w:val="0"/>
          <w:szCs w:val="18"/>
        </w:rPr>
      </w:pPr>
      <w:r>
        <w:rPr>
          <w:rFonts w:hint="eastAsia" w:ascii="黑体" w:hAnsi="黑体" w:cs="宋体"/>
          <w:kern w:val="0"/>
          <w:szCs w:val="18"/>
        </w:rPr>
        <w:t>环氧树脂地坪系统工程施工应采用专用机具。</w:t>
      </w:r>
    </w:p>
    <w:p w14:paraId="0D904206">
      <w:pPr>
        <w:widowControl/>
        <w:shd w:val="clear" w:color="auto" w:fill="FFFFFF"/>
        <w:spacing w:line="360" w:lineRule="auto"/>
        <w:jc w:val="left"/>
        <w:rPr>
          <w:rFonts w:ascii="黑体" w:hAnsi="黑体" w:cs="宋体"/>
          <w:b/>
          <w:kern w:val="0"/>
          <w:szCs w:val="18"/>
        </w:rPr>
      </w:pPr>
    </w:p>
    <w:p w14:paraId="7D2C0A6F">
      <w:pPr>
        <w:pStyle w:val="97"/>
      </w:pPr>
      <w:r>
        <w:rPr>
          <w:rFonts w:hint="eastAsia"/>
        </w:rPr>
        <w:t>施工工艺</w:t>
      </w:r>
    </w:p>
    <w:p w14:paraId="0368C0D6">
      <w:pPr>
        <w:widowControl/>
        <w:numPr>
          <w:ilvl w:val="1"/>
          <w:numId w:val="103"/>
        </w:numPr>
        <w:shd w:val="clear" w:color="auto" w:fill="FFFFFF"/>
        <w:spacing w:line="360" w:lineRule="auto"/>
        <w:jc w:val="left"/>
        <w:rPr>
          <w:rFonts w:ascii="黑体" w:hAnsi="黑体" w:cs="宋体"/>
          <w:bCs/>
          <w:kern w:val="0"/>
          <w:szCs w:val="18"/>
        </w:rPr>
      </w:pPr>
      <w:r>
        <w:rPr>
          <w:rFonts w:hint="eastAsia" w:ascii="黑体" w:hAnsi="黑体" w:cs="宋体"/>
          <w:kern w:val="0"/>
          <w:szCs w:val="18"/>
        </w:rPr>
        <w:t>环氧树脂地坪系统施工工艺应符合</w:t>
      </w:r>
      <w:r>
        <w:rPr>
          <w:rFonts w:hint="eastAsia" w:ascii="黑体" w:hAnsi="黑体" w:cs="宋体"/>
          <w:bCs/>
          <w:kern w:val="0"/>
          <w:szCs w:val="18"/>
        </w:rPr>
        <w:t>CECS 328《整体地坪工程技术规程》的</w:t>
      </w:r>
      <w:r>
        <w:rPr>
          <w:rFonts w:hint="eastAsia" w:ascii="黑体" w:hAnsi="黑体" w:cs="宋体"/>
          <w:kern w:val="0"/>
          <w:szCs w:val="18"/>
        </w:rPr>
        <w:t xml:space="preserve">规定                                          </w:t>
      </w:r>
      <w:r>
        <w:rPr>
          <w:rFonts w:ascii="黑体" w:hAnsi="黑体" w:cs="宋体"/>
          <w:b/>
          <w:kern w:val="0"/>
          <w:szCs w:val="18"/>
        </w:rPr>
        <w:t xml:space="preserve"> </w:t>
      </w:r>
    </w:p>
    <w:p w14:paraId="48131703">
      <w:pPr>
        <w:widowControl/>
        <w:shd w:val="clear" w:color="auto" w:fill="FFFFFF"/>
        <w:spacing w:line="360" w:lineRule="auto"/>
        <w:jc w:val="left"/>
        <w:rPr>
          <w:rFonts w:ascii="黑体" w:hAnsi="黑体" w:cs="宋体"/>
          <w:b/>
          <w:kern w:val="0"/>
          <w:szCs w:val="18"/>
        </w:rPr>
      </w:pPr>
    </w:p>
    <w:p w14:paraId="2ADD72D9">
      <w:pPr>
        <w:pStyle w:val="97"/>
      </w:pPr>
      <w:r>
        <w:t>质量检验与验收</w:t>
      </w:r>
    </w:p>
    <w:p w14:paraId="0A2CD9B8">
      <w:pPr>
        <w:widowControl/>
        <w:numPr>
          <w:ilvl w:val="1"/>
          <w:numId w:val="104"/>
        </w:numPr>
        <w:shd w:val="clear" w:color="auto" w:fill="FFFFFF"/>
        <w:spacing w:line="360" w:lineRule="auto"/>
        <w:jc w:val="left"/>
        <w:rPr>
          <w:rFonts w:ascii="黑体" w:hAnsi="黑体" w:cs="宋体"/>
          <w:kern w:val="0"/>
          <w:szCs w:val="18"/>
        </w:rPr>
      </w:pPr>
      <w:r>
        <w:rPr>
          <w:rFonts w:ascii="Calibri" w:hAnsi="Calibri" w:cs="Calibri"/>
          <w:kern w:val="0"/>
          <w:szCs w:val="18"/>
        </w:rPr>
        <w:t> </w:t>
      </w:r>
      <w:r>
        <w:rPr>
          <w:rFonts w:ascii="黑体" w:hAnsi="黑体" w:cs="宋体"/>
          <w:kern w:val="0"/>
          <w:szCs w:val="18"/>
        </w:rPr>
        <w:t>一般规定</w:t>
      </w:r>
    </w:p>
    <w:p w14:paraId="7FF3D813">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质量检验与验收应符合</w:t>
      </w:r>
      <w:r>
        <w:rPr>
          <w:rFonts w:hint="eastAsia" w:ascii="黑体" w:hAnsi="黑体" w:cs="宋体"/>
          <w:bCs/>
          <w:kern w:val="0"/>
          <w:szCs w:val="18"/>
        </w:rPr>
        <w:t>CECS328《整体地坪工程技术规程》的</w:t>
      </w:r>
      <w:r>
        <w:rPr>
          <w:rFonts w:hint="eastAsia" w:ascii="黑体" w:hAnsi="黑体" w:cs="宋体"/>
          <w:kern w:val="0"/>
          <w:szCs w:val="18"/>
        </w:rPr>
        <w:t xml:space="preserve">规定                                     </w:t>
      </w:r>
    </w:p>
    <w:p w14:paraId="3D5BAEBA">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地坪</w:t>
      </w:r>
      <w:r>
        <w:rPr>
          <w:rFonts w:ascii="黑体" w:hAnsi="黑体" w:cs="宋体"/>
          <w:kern w:val="0"/>
          <w:szCs w:val="18"/>
        </w:rPr>
        <w:t>工程验收时应提供材料进场时的抽样复检合格报告</w:t>
      </w:r>
      <w:r>
        <w:rPr>
          <w:rFonts w:hint="eastAsia" w:ascii="黑体" w:hAnsi="黑体" w:cs="宋体"/>
          <w:kern w:val="0"/>
          <w:szCs w:val="18"/>
        </w:rPr>
        <w:t>，必须是无溶剂型配方。</w:t>
      </w:r>
    </w:p>
    <w:p w14:paraId="7233E8C1">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环氧地坪系统</w:t>
      </w:r>
      <w:r>
        <w:rPr>
          <w:rFonts w:ascii="黑体" w:hAnsi="黑体" w:cs="宋体"/>
          <w:kern w:val="0"/>
          <w:szCs w:val="18"/>
        </w:rPr>
        <w:t>工程质量检验与验收应符合现行国家标准《建筑地面工程施工质量验收规范》GB50209的规定。</w:t>
      </w:r>
    </w:p>
    <w:p w14:paraId="30B030EB">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环氧地坪系统</w:t>
      </w:r>
      <w:r>
        <w:rPr>
          <w:rFonts w:ascii="黑体" w:hAnsi="黑体" w:cs="宋体"/>
          <w:kern w:val="0"/>
          <w:szCs w:val="18"/>
        </w:rPr>
        <w:t>工程使用的材料和施工完成后的室内空气质量应符合现行国家标准《民用建筑工程室内环境污染控制规范》GB50325的规定。</w:t>
      </w:r>
    </w:p>
    <w:p w14:paraId="47196E5C">
      <w:pPr>
        <w:widowControl/>
        <w:numPr>
          <w:ilvl w:val="2"/>
          <w:numId w:val="104"/>
        </w:numPr>
        <w:shd w:val="clear" w:color="auto" w:fill="FFFFFF"/>
        <w:spacing w:line="360" w:lineRule="auto"/>
        <w:jc w:val="left"/>
        <w:rPr>
          <w:rFonts w:ascii="黑体" w:hAnsi="黑体" w:cs="宋体"/>
          <w:kern w:val="0"/>
          <w:szCs w:val="18"/>
        </w:rPr>
      </w:pPr>
      <w:r>
        <w:rPr>
          <w:rFonts w:ascii="黑体" w:hAnsi="黑体" w:cs="宋体"/>
          <w:kern w:val="0"/>
          <w:szCs w:val="18"/>
        </w:rPr>
        <w:t>环氧树脂</w:t>
      </w:r>
      <w:r>
        <w:fldChar w:fldCharType="begin"/>
      </w:r>
      <w:r>
        <w:instrText xml:space="preserve"> HYPERLINK "http://www.dpwang.com" \t "_blank" </w:instrText>
      </w:r>
      <w:r>
        <w:fldChar w:fldCharType="separate"/>
      </w:r>
      <w:r>
        <w:rPr>
          <w:rFonts w:ascii="黑体" w:hAnsi="黑体" w:cs="宋体"/>
          <w:bCs/>
          <w:kern w:val="0"/>
          <w:szCs w:val="18"/>
        </w:rPr>
        <w:t>地坪材料</w:t>
      </w:r>
      <w:r>
        <w:rPr>
          <w:rFonts w:ascii="黑体" w:hAnsi="黑体" w:cs="宋体"/>
          <w:bCs/>
          <w:kern w:val="0"/>
          <w:szCs w:val="18"/>
        </w:rPr>
        <w:fldChar w:fldCharType="end"/>
      </w:r>
      <w:r>
        <w:rPr>
          <w:rFonts w:ascii="黑体" w:hAnsi="黑体" w:cs="宋体"/>
          <w:kern w:val="0"/>
          <w:szCs w:val="18"/>
        </w:rPr>
        <w:t>环保和性能指标应符合《地坪涂装材料》GBT22374的规定。</w:t>
      </w:r>
    </w:p>
    <w:p w14:paraId="4C42063B">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环氧地坪系统</w:t>
      </w:r>
      <w:r>
        <w:rPr>
          <w:rFonts w:ascii="黑体" w:hAnsi="黑体" w:cs="宋体"/>
          <w:kern w:val="0"/>
          <w:szCs w:val="18"/>
        </w:rPr>
        <w:t>工程质量检验与验收批次应符合下列规定</w:t>
      </w:r>
    </w:p>
    <w:p w14:paraId="51377047">
      <w:pPr>
        <w:widowControl/>
        <w:numPr>
          <w:ilvl w:val="0"/>
          <w:numId w:val="105"/>
        </w:numPr>
        <w:shd w:val="clear" w:color="auto" w:fill="FFFFFF"/>
        <w:spacing w:line="360" w:lineRule="auto"/>
        <w:jc w:val="left"/>
        <w:rPr>
          <w:rFonts w:ascii="黑体" w:hAnsi="黑体" w:cs="宋体"/>
          <w:kern w:val="0"/>
          <w:szCs w:val="18"/>
        </w:rPr>
      </w:pPr>
      <w:r>
        <w:rPr>
          <w:rFonts w:hint="eastAsia" w:ascii="黑体" w:hAnsi="黑体" w:cs="宋体"/>
          <w:kern w:val="0"/>
          <w:szCs w:val="18"/>
        </w:rPr>
        <w:t>应按每一层或每层施工段或变形缝作为一个检验批</w:t>
      </w:r>
    </w:p>
    <w:p w14:paraId="72E4B378">
      <w:pPr>
        <w:widowControl/>
        <w:numPr>
          <w:ilvl w:val="0"/>
          <w:numId w:val="105"/>
        </w:numPr>
        <w:shd w:val="clear" w:color="auto" w:fill="FFFFFF"/>
        <w:spacing w:line="360" w:lineRule="auto"/>
        <w:jc w:val="left"/>
        <w:rPr>
          <w:rFonts w:ascii="黑体" w:hAnsi="黑体" w:cs="宋体"/>
          <w:kern w:val="0"/>
          <w:szCs w:val="18"/>
        </w:rPr>
      </w:pPr>
      <w:r>
        <w:rPr>
          <w:rFonts w:ascii="黑体" w:hAnsi="黑体" w:cs="宋体"/>
          <w:kern w:val="0"/>
          <w:szCs w:val="18"/>
        </w:rPr>
        <w:t>每个检验批应按自然间或标准间随机检验，抽查数量不应少于3 间，不足3 间时，应全数检查。走廊（过道）应以10 延长米为1 间</w:t>
      </w:r>
      <w:r>
        <w:rPr>
          <w:rFonts w:hint="eastAsia" w:ascii="黑体" w:hAnsi="黑体" w:cs="宋体"/>
          <w:kern w:val="0"/>
          <w:szCs w:val="18"/>
        </w:rPr>
        <w:t>，车库、设备间应以两个轴线为</w:t>
      </w:r>
      <w:r>
        <w:rPr>
          <w:rFonts w:ascii="黑体" w:hAnsi="黑体" w:cs="宋体"/>
          <w:kern w:val="0"/>
          <w:szCs w:val="18"/>
        </w:rPr>
        <w:t xml:space="preserve">1 </w:t>
      </w:r>
      <w:r>
        <w:rPr>
          <w:rFonts w:hint="eastAsia" w:ascii="黑体" w:hAnsi="黑体" w:cs="宋体"/>
          <w:kern w:val="0"/>
          <w:szCs w:val="18"/>
        </w:rPr>
        <w:t>间计算。</w:t>
      </w:r>
    </w:p>
    <w:p w14:paraId="16F1937E">
      <w:pPr>
        <w:widowControl/>
        <w:shd w:val="clear" w:color="auto" w:fill="FFFFFF"/>
        <w:spacing w:line="360" w:lineRule="auto"/>
        <w:jc w:val="left"/>
        <w:rPr>
          <w:rFonts w:ascii="黑体" w:hAnsi="黑体" w:cs="宋体"/>
          <w:kern w:val="0"/>
          <w:szCs w:val="18"/>
        </w:rPr>
      </w:pPr>
    </w:p>
    <w:p w14:paraId="02236B39">
      <w:pPr>
        <w:widowControl/>
        <w:numPr>
          <w:ilvl w:val="1"/>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主控项目</w:t>
      </w:r>
    </w:p>
    <w:p w14:paraId="63658507">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环氧树脂地坪系统主控</w:t>
      </w:r>
      <w:r>
        <w:rPr>
          <w:rFonts w:ascii="黑体" w:hAnsi="黑体" w:cs="宋体"/>
          <w:kern w:val="0"/>
          <w:szCs w:val="18"/>
        </w:rPr>
        <w:t>项目</w:t>
      </w:r>
      <w:r>
        <w:rPr>
          <w:rFonts w:hint="eastAsia" w:ascii="黑体" w:hAnsi="黑体" w:cs="宋体"/>
          <w:kern w:val="0"/>
          <w:szCs w:val="18"/>
        </w:rPr>
        <w:t>应符合表1的规定。</w:t>
      </w:r>
    </w:p>
    <w:p w14:paraId="29BB00A7">
      <w:pPr>
        <w:widowControl/>
        <w:shd w:val="clear" w:color="auto" w:fill="FFFFFF"/>
        <w:spacing w:line="360" w:lineRule="auto"/>
        <w:jc w:val="left"/>
        <w:rPr>
          <w:rFonts w:ascii="黑体" w:hAnsi="黑体" w:cs="宋体"/>
          <w:kern w:val="0"/>
          <w:szCs w:val="18"/>
        </w:rPr>
      </w:pPr>
    </w:p>
    <w:p w14:paraId="0E4A72A6">
      <w:pPr>
        <w:widowControl/>
        <w:shd w:val="clear" w:color="auto" w:fill="FFFFFF"/>
        <w:spacing w:line="360" w:lineRule="auto"/>
        <w:jc w:val="left"/>
        <w:rPr>
          <w:rFonts w:ascii="黑体" w:hAnsi="黑体" w:cs="宋体"/>
          <w:kern w:val="0"/>
          <w:szCs w:val="18"/>
        </w:rPr>
      </w:pPr>
      <w:r>
        <w:rPr>
          <w:rFonts w:hint="eastAsia" w:ascii="黑体" w:hAnsi="黑体" w:cs="宋体"/>
          <w:kern w:val="0"/>
          <w:szCs w:val="18"/>
        </w:rPr>
        <w:t>表1: 环氧树脂地坪系统主控</w:t>
      </w:r>
      <w:r>
        <w:rPr>
          <w:rFonts w:ascii="黑体" w:hAnsi="黑体" w:cs="宋体"/>
          <w:kern w:val="0"/>
          <w:szCs w:val="18"/>
        </w:rPr>
        <w:t>项目</w:t>
      </w:r>
    </w:p>
    <w:tbl>
      <w:tblPr>
        <w:tblStyle w:val="36"/>
        <w:tblW w:w="852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3"/>
        <w:gridCol w:w="3827"/>
        <w:gridCol w:w="3420"/>
      </w:tblGrid>
      <w:tr w14:paraId="0365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trPr>
        <w:tc>
          <w:tcPr>
            <w:tcW w:w="1273" w:type="dxa"/>
            <w:vAlign w:val="center"/>
          </w:tcPr>
          <w:p w14:paraId="23539380">
            <w:pPr>
              <w:widowControl/>
              <w:spacing w:before="100" w:beforeAutospacing="1" w:after="100" w:afterAutospacing="1" w:line="276" w:lineRule="auto"/>
              <w:ind w:left="-2" w:leftChars="-1"/>
              <w:jc w:val="left"/>
              <w:rPr>
                <w:rFonts w:ascii="黑体" w:hAnsi="黑体" w:cs="宋体"/>
                <w:kern w:val="0"/>
                <w:szCs w:val="18"/>
              </w:rPr>
            </w:pPr>
            <w:r>
              <w:rPr>
                <w:rFonts w:ascii="黑体" w:hAnsi="黑体" w:cs="宋体"/>
                <w:kern w:val="0"/>
                <w:szCs w:val="18"/>
              </w:rPr>
              <w:t>项目</w:t>
            </w:r>
          </w:p>
        </w:tc>
        <w:tc>
          <w:tcPr>
            <w:tcW w:w="3827" w:type="dxa"/>
            <w:vAlign w:val="center"/>
          </w:tcPr>
          <w:p w14:paraId="0F376253">
            <w:pPr>
              <w:widowControl/>
              <w:spacing w:before="100" w:beforeAutospacing="1" w:after="100" w:afterAutospacing="1" w:line="276" w:lineRule="auto"/>
              <w:ind w:left="-2" w:leftChars="-1"/>
              <w:jc w:val="left"/>
              <w:rPr>
                <w:rFonts w:ascii="黑体" w:hAnsi="黑体" w:cs="宋体"/>
                <w:kern w:val="0"/>
                <w:szCs w:val="18"/>
              </w:rPr>
            </w:pPr>
            <w:r>
              <w:rPr>
                <w:rFonts w:hint="eastAsia" w:ascii="黑体" w:hAnsi="黑体" w:cs="宋体"/>
                <w:kern w:val="0"/>
                <w:szCs w:val="18"/>
              </w:rPr>
              <w:t>环氧地坪系统</w:t>
            </w:r>
          </w:p>
        </w:tc>
        <w:tc>
          <w:tcPr>
            <w:tcW w:w="3420" w:type="dxa"/>
            <w:vAlign w:val="center"/>
          </w:tcPr>
          <w:p w14:paraId="02A0641E">
            <w:pPr>
              <w:widowControl/>
              <w:spacing w:before="100" w:beforeAutospacing="1" w:after="100" w:afterAutospacing="1" w:line="276" w:lineRule="auto"/>
              <w:ind w:left="-2" w:leftChars="-1"/>
              <w:jc w:val="left"/>
              <w:rPr>
                <w:rFonts w:ascii="黑体" w:hAnsi="黑体" w:cs="宋体"/>
                <w:kern w:val="0"/>
                <w:szCs w:val="18"/>
              </w:rPr>
            </w:pPr>
            <w:r>
              <w:rPr>
                <w:rFonts w:ascii="黑体" w:hAnsi="黑体" w:cs="宋体"/>
                <w:kern w:val="0"/>
                <w:szCs w:val="18"/>
              </w:rPr>
              <w:t>检测方法</w:t>
            </w:r>
          </w:p>
        </w:tc>
      </w:tr>
      <w:tr w14:paraId="6E1B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blCellSpacing w:w="0" w:type="dxa"/>
        </w:trPr>
        <w:tc>
          <w:tcPr>
            <w:tcW w:w="1273" w:type="dxa"/>
            <w:vAlign w:val="center"/>
          </w:tcPr>
          <w:p w14:paraId="61DBDD61">
            <w:pPr>
              <w:widowControl/>
              <w:spacing w:before="100" w:beforeAutospacing="1" w:after="100" w:afterAutospacing="1" w:line="276" w:lineRule="auto"/>
              <w:ind w:left="-2" w:leftChars="-1"/>
              <w:jc w:val="left"/>
              <w:rPr>
                <w:rFonts w:ascii="黑体" w:hAnsi="黑体" w:cs="宋体"/>
                <w:kern w:val="0"/>
                <w:szCs w:val="18"/>
              </w:rPr>
            </w:pPr>
            <w:r>
              <w:rPr>
                <w:rFonts w:ascii="黑体" w:hAnsi="黑体" w:cs="宋体"/>
                <w:kern w:val="0"/>
                <w:szCs w:val="18"/>
              </w:rPr>
              <w:t>外观</w:t>
            </w:r>
          </w:p>
        </w:tc>
        <w:tc>
          <w:tcPr>
            <w:tcW w:w="3827" w:type="dxa"/>
            <w:vAlign w:val="center"/>
          </w:tcPr>
          <w:p w14:paraId="403F75E9">
            <w:pPr>
              <w:widowControl/>
              <w:spacing w:before="100" w:beforeAutospacing="1" w:after="100" w:afterAutospacing="1" w:line="276" w:lineRule="auto"/>
              <w:ind w:left="101" w:leftChars="56" w:firstLine="1"/>
              <w:jc w:val="left"/>
              <w:rPr>
                <w:rFonts w:ascii="黑体" w:hAnsi="黑体" w:cs="宋体"/>
                <w:kern w:val="0"/>
                <w:szCs w:val="18"/>
              </w:rPr>
            </w:pPr>
            <w:r>
              <w:rPr>
                <w:rFonts w:ascii="黑体" w:hAnsi="黑体" w:cs="宋体"/>
                <w:kern w:val="0"/>
                <w:szCs w:val="18"/>
              </w:rPr>
              <w:t>表面平整、光滑，无明显裂纹、色差、针孔、起壳、漏涂等缺陷</w:t>
            </w:r>
          </w:p>
        </w:tc>
        <w:tc>
          <w:tcPr>
            <w:tcW w:w="3420" w:type="dxa"/>
            <w:vAlign w:val="center"/>
          </w:tcPr>
          <w:p w14:paraId="6CECB4D1">
            <w:pPr>
              <w:widowControl/>
              <w:spacing w:before="100" w:beforeAutospacing="1" w:after="100" w:afterAutospacing="1" w:line="276" w:lineRule="auto"/>
              <w:ind w:left="101" w:leftChars="56" w:firstLine="1"/>
              <w:jc w:val="left"/>
              <w:rPr>
                <w:rFonts w:ascii="黑体" w:hAnsi="黑体" w:cs="宋体"/>
                <w:kern w:val="0"/>
                <w:szCs w:val="18"/>
              </w:rPr>
            </w:pPr>
            <w:r>
              <w:rPr>
                <w:rFonts w:ascii="黑体" w:hAnsi="黑体" w:cs="宋体"/>
                <w:kern w:val="0"/>
                <w:szCs w:val="18"/>
              </w:rPr>
              <w:t>距表面1m处垂直观察，至少90%的表面无肉眼可见的差异。</w:t>
            </w:r>
          </w:p>
        </w:tc>
      </w:tr>
      <w:tr w14:paraId="64241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7" w:hRule="atLeast"/>
          <w:tblCellSpacing w:w="0" w:type="dxa"/>
        </w:trPr>
        <w:tc>
          <w:tcPr>
            <w:tcW w:w="1273" w:type="dxa"/>
            <w:vAlign w:val="center"/>
          </w:tcPr>
          <w:p w14:paraId="4288B8BC">
            <w:pPr>
              <w:widowControl/>
              <w:spacing w:before="100" w:beforeAutospacing="1" w:after="100" w:afterAutospacing="1" w:line="276" w:lineRule="auto"/>
              <w:ind w:left="-2" w:leftChars="-1"/>
              <w:jc w:val="left"/>
              <w:rPr>
                <w:rFonts w:ascii="黑体" w:hAnsi="黑体" w:cs="宋体"/>
                <w:kern w:val="0"/>
                <w:szCs w:val="18"/>
              </w:rPr>
            </w:pPr>
            <w:r>
              <w:rPr>
                <w:rFonts w:ascii="黑体" w:hAnsi="黑体" w:cs="宋体"/>
                <w:kern w:val="0"/>
                <w:szCs w:val="18"/>
              </w:rPr>
              <w:t>表面平整度（mm）</w:t>
            </w:r>
          </w:p>
        </w:tc>
        <w:tc>
          <w:tcPr>
            <w:tcW w:w="3827" w:type="dxa"/>
            <w:vAlign w:val="center"/>
          </w:tcPr>
          <w:p w14:paraId="67AD9803">
            <w:pPr>
              <w:widowControl/>
              <w:spacing w:before="100" w:beforeAutospacing="1" w:after="100" w:afterAutospacing="1" w:line="276" w:lineRule="auto"/>
              <w:ind w:left="101" w:leftChars="56" w:firstLine="1"/>
              <w:jc w:val="left"/>
              <w:rPr>
                <w:rFonts w:ascii="黑体" w:hAnsi="黑体" w:cs="宋体"/>
                <w:kern w:val="0"/>
                <w:szCs w:val="18"/>
              </w:rPr>
            </w:pPr>
            <w:r>
              <w:rPr>
                <w:rFonts w:hint="eastAsia" w:ascii="黑体" w:hAnsi="黑体" w:cs="宋体"/>
                <w:kern w:val="0"/>
                <w:szCs w:val="18"/>
              </w:rPr>
              <w:t>3</w:t>
            </w:r>
          </w:p>
        </w:tc>
        <w:tc>
          <w:tcPr>
            <w:tcW w:w="3420" w:type="dxa"/>
            <w:vAlign w:val="center"/>
          </w:tcPr>
          <w:p w14:paraId="36A176EF">
            <w:pPr>
              <w:widowControl/>
              <w:spacing w:before="100" w:beforeAutospacing="1" w:after="100" w:afterAutospacing="1" w:line="276" w:lineRule="auto"/>
              <w:ind w:left="101" w:leftChars="56" w:firstLine="1"/>
              <w:jc w:val="left"/>
              <w:rPr>
                <w:rFonts w:ascii="黑体" w:hAnsi="黑体" w:cs="宋体"/>
                <w:kern w:val="0"/>
                <w:szCs w:val="18"/>
              </w:rPr>
            </w:pPr>
            <w:r>
              <w:rPr>
                <w:rFonts w:ascii="黑体" w:hAnsi="黑体" w:cs="宋体"/>
                <w:kern w:val="0"/>
                <w:szCs w:val="18"/>
              </w:rPr>
              <w:t>用2m靠尺和楔形塞尺检查</w:t>
            </w:r>
          </w:p>
        </w:tc>
      </w:tr>
      <w:tr w14:paraId="17E4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273" w:type="dxa"/>
            <w:vAlign w:val="center"/>
          </w:tcPr>
          <w:p w14:paraId="33810524">
            <w:pPr>
              <w:widowControl/>
              <w:spacing w:before="100" w:beforeAutospacing="1" w:after="100" w:afterAutospacing="1" w:line="276" w:lineRule="auto"/>
              <w:ind w:left="-2" w:leftChars="-1"/>
              <w:jc w:val="left"/>
              <w:rPr>
                <w:rFonts w:ascii="黑体" w:hAnsi="黑体" w:cs="宋体"/>
                <w:kern w:val="0"/>
                <w:szCs w:val="18"/>
              </w:rPr>
            </w:pPr>
            <w:r>
              <w:rPr>
                <w:rFonts w:ascii="黑体" w:hAnsi="黑体" w:cs="宋体"/>
                <w:kern w:val="0"/>
                <w:szCs w:val="18"/>
              </w:rPr>
              <w:t>空鼓</w:t>
            </w:r>
          </w:p>
        </w:tc>
        <w:tc>
          <w:tcPr>
            <w:tcW w:w="3827" w:type="dxa"/>
            <w:vAlign w:val="center"/>
          </w:tcPr>
          <w:p w14:paraId="2644E82B">
            <w:pPr>
              <w:widowControl/>
              <w:spacing w:before="100" w:beforeAutospacing="1" w:after="100" w:afterAutospacing="1" w:line="276" w:lineRule="auto"/>
              <w:ind w:left="101" w:leftChars="56" w:firstLine="1"/>
              <w:jc w:val="left"/>
              <w:rPr>
                <w:rFonts w:ascii="黑体" w:hAnsi="黑体" w:cs="宋体"/>
                <w:kern w:val="0"/>
                <w:szCs w:val="18"/>
              </w:rPr>
            </w:pPr>
            <w:r>
              <w:rPr>
                <w:rFonts w:hint="eastAsia" w:ascii="黑体" w:hAnsi="黑体" w:cs="宋体"/>
                <w:kern w:val="0"/>
                <w:szCs w:val="18"/>
              </w:rPr>
              <w:t>每20平方米地面，空鼓不得超过2处，每次空鼓面积不大于400平方厘米。</w:t>
            </w:r>
          </w:p>
        </w:tc>
        <w:tc>
          <w:tcPr>
            <w:tcW w:w="3420" w:type="dxa"/>
            <w:vAlign w:val="center"/>
          </w:tcPr>
          <w:p w14:paraId="7A6156E4">
            <w:pPr>
              <w:widowControl/>
              <w:spacing w:before="100" w:beforeAutospacing="1" w:after="100" w:afterAutospacing="1" w:line="276" w:lineRule="auto"/>
              <w:ind w:left="101" w:leftChars="56" w:firstLine="1"/>
              <w:jc w:val="left"/>
              <w:rPr>
                <w:rFonts w:ascii="黑体" w:hAnsi="黑体" w:cs="宋体"/>
                <w:kern w:val="0"/>
                <w:szCs w:val="18"/>
              </w:rPr>
            </w:pPr>
            <w:r>
              <w:rPr>
                <w:rFonts w:ascii="黑体" w:hAnsi="黑体" w:cs="宋体"/>
                <w:kern w:val="0"/>
                <w:szCs w:val="18"/>
              </w:rPr>
              <w:t>用小锤轻敲</w:t>
            </w:r>
          </w:p>
        </w:tc>
      </w:tr>
      <w:tr w14:paraId="1A91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1273" w:type="dxa"/>
            <w:vAlign w:val="center"/>
          </w:tcPr>
          <w:p w14:paraId="22F0F848">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厚度</w:t>
            </w:r>
          </w:p>
        </w:tc>
        <w:tc>
          <w:tcPr>
            <w:tcW w:w="3827" w:type="dxa"/>
            <w:vAlign w:val="center"/>
          </w:tcPr>
          <w:p w14:paraId="2799D16E">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平均厚度不小于设计值</w:t>
            </w:r>
          </w:p>
        </w:tc>
        <w:tc>
          <w:tcPr>
            <w:tcW w:w="3420" w:type="dxa"/>
            <w:vAlign w:val="center"/>
          </w:tcPr>
          <w:p w14:paraId="2D21DF06">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用钻孔、切割或在边角处选点测量，检测点数不少于5个</w:t>
            </w:r>
          </w:p>
        </w:tc>
      </w:tr>
    </w:tbl>
    <w:p w14:paraId="403EEDAF">
      <w:pPr>
        <w:widowControl/>
        <w:shd w:val="clear" w:color="auto" w:fill="FFFFFF"/>
        <w:spacing w:line="360" w:lineRule="auto"/>
        <w:jc w:val="left"/>
        <w:rPr>
          <w:rFonts w:ascii="黑体" w:hAnsi="黑体" w:cs="宋体"/>
          <w:kern w:val="0"/>
          <w:szCs w:val="18"/>
        </w:rPr>
      </w:pPr>
    </w:p>
    <w:p w14:paraId="09C7C483">
      <w:pPr>
        <w:widowControl/>
        <w:numPr>
          <w:ilvl w:val="1"/>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一般项目</w:t>
      </w:r>
    </w:p>
    <w:p w14:paraId="64C3BCAD">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环氧树脂地坪系统一般</w:t>
      </w:r>
      <w:r>
        <w:rPr>
          <w:rFonts w:ascii="黑体" w:hAnsi="黑体" w:cs="宋体"/>
          <w:kern w:val="0"/>
          <w:szCs w:val="18"/>
        </w:rPr>
        <w:t>项目</w:t>
      </w:r>
      <w:r>
        <w:rPr>
          <w:rFonts w:hint="eastAsia" w:ascii="黑体" w:hAnsi="黑体" w:cs="宋体"/>
          <w:kern w:val="0"/>
          <w:szCs w:val="18"/>
        </w:rPr>
        <w:t>的验收应符合表</w:t>
      </w:r>
      <w:r>
        <w:rPr>
          <w:rFonts w:ascii="黑体" w:hAnsi="黑体" w:cs="宋体"/>
          <w:kern w:val="0"/>
          <w:szCs w:val="18"/>
        </w:rPr>
        <w:t>2</w:t>
      </w:r>
      <w:r>
        <w:rPr>
          <w:rFonts w:hint="eastAsia" w:ascii="黑体" w:hAnsi="黑体" w:cs="宋体"/>
          <w:kern w:val="0"/>
          <w:szCs w:val="18"/>
        </w:rPr>
        <w:t>的规定。</w:t>
      </w:r>
    </w:p>
    <w:p w14:paraId="12EDE720">
      <w:pPr>
        <w:widowControl/>
        <w:shd w:val="clear" w:color="auto" w:fill="FFFFFF"/>
        <w:spacing w:line="360" w:lineRule="auto"/>
        <w:jc w:val="left"/>
        <w:rPr>
          <w:rFonts w:ascii="黑体" w:hAnsi="黑体" w:cs="宋体"/>
          <w:kern w:val="0"/>
          <w:szCs w:val="18"/>
        </w:rPr>
      </w:pPr>
    </w:p>
    <w:p w14:paraId="13B84F69">
      <w:pPr>
        <w:widowControl/>
        <w:shd w:val="clear" w:color="auto" w:fill="FFFFFF"/>
        <w:spacing w:line="360" w:lineRule="auto"/>
        <w:jc w:val="left"/>
        <w:rPr>
          <w:rFonts w:ascii="黑体" w:hAnsi="黑体" w:cs="宋体"/>
          <w:kern w:val="0"/>
          <w:szCs w:val="18"/>
        </w:rPr>
      </w:pPr>
      <w:r>
        <w:rPr>
          <w:rFonts w:hint="eastAsia" w:ascii="黑体" w:hAnsi="黑体" w:cs="宋体"/>
          <w:kern w:val="0"/>
          <w:szCs w:val="18"/>
        </w:rPr>
        <w:t>表</w:t>
      </w:r>
      <w:r>
        <w:rPr>
          <w:rFonts w:ascii="黑体" w:hAnsi="黑体" w:cs="宋体"/>
          <w:kern w:val="0"/>
          <w:szCs w:val="18"/>
        </w:rPr>
        <w:t>2</w:t>
      </w:r>
      <w:r>
        <w:rPr>
          <w:rFonts w:hint="eastAsia" w:ascii="黑体" w:hAnsi="黑体" w:cs="宋体"/>
          <w:kern w:val="0"/>
          <w:szCs w:val="18"/>
        </w:rPr>
        <w:t>: 环氧树脂地坪系统一般</w:t>
      </w:r>
      <w:r>
        <w:rPr>
          <w:rFonts w:ascii="黑体" w:hAnsi="黑体" w:cs="宋体"/>
          <w:kern w:val="0"/>
          <w:szCs w:val="18"/>
        </w:rPr>
        <w:t>项目</w:t>
      </w:r>
    </w:p>
    <w:tbl>
      <w:tblPr>
        <w:tblStyle w:val="36"/>
        <w:tblW w:w="852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9"/>
        <w:gridCol w:w="3544"/>
        <w:gridCol w:w="3827"/>
      </w:tblGrid>
      <w:tr w14:paraId="2BE9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trPr>
        <w:tc>
          <w:tcPr>
            <w:tcW w:w="1149" w:type="dxa"/>
            <w:vAlign w:val="center"/>
          </w:tcPr>
          <w:p w14:paraId="7E46603A">
            <w:pPr>
              <w:widowControl/>
              <w:spacing w:before="100" w:beforeAutospacing="1" w:after="100" w:afterAutospacing="1" w:line="360" w:lineRule="auto"/>
              <w:ind w:left="-2" w:leftChars="-1"/>
              <w:jc w:val="left"/>
              <w:rPr>
                <w:rFonts w:ascii="黑体" w:hAnsi="黑体" w:cs="宋体"/>
                <w:kern w:val="0"/>
                <w:szCs w:val="18"/>
              </w:rPr>
            </w:pPr>
            <w:r>
              <w:rPr>
                <w:rFonts w:ascii="黑体" w:hAnsi="黑体" w:cs="宋体"/>
                <w:kern w:val="0"/>
                <w:szCs w:val="18"/>
              </w:rPr>
              <w:t>项目</w:t>
            </w:r>
          </w:p>
        </w:tc>
        <w:tc>
          <w:tcPr>
            <w:tcW w:w="3544" w:type="dxa"/>
            <w:vAlign w:val="center"/>
          </w:tcPr>
          <w:p w14:paraId="45244CBD">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环氧树脂地坪系统</w:t>
            </w:r>
          </w:p>
        </w:tc>
        <w:tc>
          <w:tcPr>
            <w:tcW w:w="3827" w:type="dxa"/>
            <w:vAlign w:val="center"/>
          </w:tcPr>
          <w:p w14:paraId="1335AB1F">
            <w:pPr>
              <w:widowControl/>
              <w:spacing w:before="100" w:beforeAutospacing="1" w:after="100" w:afterAutospacing="1" w:line="360" w:lineRule="auto"/>
              <w:ind w:left="-2" w:leftChars="-1"/>
              <w:jc w:val="left"/>
              <w:rPr>
                <w:rFonts w:ascii="黑体" w:hAnsi="黑体" w:cs="宋体"/>
                <w:kern w:val="0"/>
                <w:szCs w:val="18"/>
              </w:rPr>
            </w:pPr>
            <w:r>
              <w:rPr>
                <w:rFonts w:ascii="黑体" w:hAnsi="黑体" w:cs="宋体"/>
                <w:kern w:val="0"/>
                <w:szCs w:val="18"/>
              </w:rPr>
              <w:t>检测方法</w:t>
            </w:r>
          </w:p>
        </w:tc>
      </w:tr>
      <w:tr w14:paraId="1C79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blCellSpacing w:w="0" w:type="dxa"/>
        </w:trPr>
        <w:tc>
          <w:tcPr>
            <w:tcW w:w="1149" w:type="dxa"/>
            <w:vAlign w:val="center"/>
          </w:tcPr>
          <w:p w14:paraId="3DD20422">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坡度</w:t>
            </w:r>
          </w:p>
        </w:tc>
        <w:tc>
          <w:tcPr>
            <w:tcW w:w="3544" w:type="dxa"/>
            <w:vAlign w:val="center"/>
          </w:tcPr>
          <w:p w14:paraId="649DA270">
            <w:pPr>
              <w:widowControl/>
              <w:spacing w:before="100" w:beforeAutospacing="1" w:after="100" w:afterAutospacing="1" w:line="276" w:lineRule="auto"/>
              <w:ind w:left="101" w:leftChars="56" w:firstLine="1"/>
              <w:jc w:val="left"/>
              <w:rPr>
                <w:rFonts w:ascii="黑体" w:hAnsi="黑体" w:cs="宋体"/>
                <w:kern w:val="0"/>
                <w:szCs w:val="18"/>
              </w:rPr>
            </w:pPr>
            <w:r>
              <w:rPr>
                <w:rFonts w:hint="eastAsia" w:ascii="黑体" w:hAnsi="黑体" w:cs="宋体"/>
                <w:kern w:val="0"/>
                <w:szCs w:val="18"/>
              </w:rPr>
              <w:t>符合设计要求</w:t>
            </w:r>
          </w:p>
        </w:tc>
        <w:tc>
          <w:tcPr>
            <w:tcW w:w="3827" w:type="dxa"/>
            <w:vAlign w:val="center"/>
          </w:tcPr>
          <w:p w14:paraId="5DE31297">
            <w:pPr>
              <w:widowControl/>
              <w:spacing w:before="100" w:beforeAutospacing="1" w:after="100" w:afterAutospacing="1" w:line="276" w:lineRule="auto"/>
              <w:ind w:left="101" w:leftChars="56" w:firstLine="1"/>
              <w:jc w:val="left"/>
              <w:rPr>
                <w:rFonts w:ascii="黑体" w:hAnsi="黑体" w:cs="宋体"/>
                <w:kern w:val="0"/>
                <w:szCs w:val="18"/>
              </w:rPr>
            </w:pPr>
            <w:r>
              <w:rPr>
                <w:rFonts w:hint="eastAsia" w:ascii="黑体" w:hAnsi="黑体" w:cs="宋体"/>
                <w:kern w:val="0"/>
                <w:szCs w:val="18"/>
              </w:rPr>
              <w:t>泼水或坡度尺</w:t>
            </w:r>
          </w:p>
        </w:tc>
      </w:tr>
      <w:tr w14:paraId="0EFBB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blCellSpacing w:w="0" w:type="dxa"/>
        </w:trPr>
        <w:tc>
          <w:tcPr>
            <w:tcW w:w="1149" w:type="dxa"/>
            <w:vAlign w:val="center"/>
          </w:tcPr>
          <w:p w14:paraId="334AE94F">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耐冲击性</w:t>
            </w:r>
          </w:p>
        </w:tc>
        <w:tc>
          <w:tcPr>
            <w:tcW w:w="3544" w:type="dxa"/>
            <w:vAlign w:val="center"/>
          </w:tcPr>
          <w:p w14:paraId="029C729D">
            <w:pPr>
              <w:widowControl/>
              <w:spacing w:before="100" w:beforeAutospacing="1" w:after="100" w:afterAutospacing="1" w:line="276" w:lineRule="auto"/>
              <w:ind w:left="101" w:leftChars="56" w:firstLine="1"/>
              <w:jc w:val="left"/>
              <w:rPr>
                <w:rFonts w:ascii="黑体" w:hAnsi="黑体" w:cs="宋体"/>
                <w:kern w:val="0"/>
                <w:szCs w:val="18"/>
              </w:rPr>
            </w:pPr>
            <w:r>
              <w:rPr>
                <w:rFonts w:hint="eastAsia" w:ascii="黑体" w:hAnsi="黑体" w:cs="宋体"/>
                <w:kern w:val="0"/>
                <w:szCs w:val="18"/>
              </w:rPr>
              <w:t>无裂纹、无剥落</w:t>
            </w:r>
          </w:p>
        </w:tc>
        <w:tc>
          <w:tcPr>
            <w:tcW w:w="3827" w:type="dxa"/>
            <w:vAlign w:val="center"/>
          </w:tcPr>
          <w:p w14:paraId="378E138A">
            <w:pPr>
              <w:widowControl/>
              <w:spacing w:before="100" w:beforeAutospacing="1" w:after="100" w:afterAutospacing="1" w:line="276" w:lineRule="auto"/>
              <w:ind w:left="101" w:leftChars="56" w:firstLine="1"/>
              <w:jc w:val="left"/>
              <w:rPr>
                <w:rFonts w:ascii="黑体" w:hAnsi="黑体" w:cs="宋体"/>
                <w:kern w:val="0"/>
                <w:szCs w:val="18"/>
              </w:rPr>
            </w:pPr>
            <w:r>
              <w:rPr>
                <w:rFonts w:hint="eastAsia" w:ascii="黑体" w:hAnsi="黑体" w:cs="宋体"/>
                <w:kern w:val="0"/>
                <w:szCs w:val="18"/>
              </w:rPr>
              <w:t>直径</w:t>
            </w:r>
            <w:r>
              <w:rPr>
                <w:rFonts w:ascii="黑体" w:hAnsi="黑体" w:cs="宋体"/>
                <w:kern w:val="0"/>
                <w:szCs w:val="18"/>
              </w:rPr>
              <w:t>50m</w:t>
            </w:r>
            <w:r>
              <w:rPr>
                <w:rFonts w:hint="eastAsia" w:ascii="黑体" w:hAnsi="黑体" w:cs="宋体"/>
                <w:kern w:val="0"/>
                <w:szCs w:val="18"/>
              </w:rPr>
              <w:t>m的钢球，距离面层</w:t>
            </w:r>
            <w:r>
              <w:rPr>
                <w:rFonts w:ascii="黑体" w:hAnsi="黑体" w:cs="宋体"/>
                <w:kern w:val="0"/>
                <w:szCs w:val="18"/>
              </w:rPr>
              <w:t>500mm</w:t>
            </w:r>
          </w:p>
        </w:tc>
      </w:tr>
    </w:tbl>
    <w:p w14:paraId="19BA1063">
      <w:pPr>
        <w:widowControl/>
        <w:numPr>
          <w:ilvl w:val="1"/>
          <w:numId w:val="104"/>
        </w:numPr>
        <w:shd w:val="clear" w:color="auto" w:fill="FFFFFF"/>
        <w:spacing w:line="360" w:lineRule="auto"/>
        <w:jc w:val="left"/>
        <w:rPr>
          <w:rFonts w:ascii="黑体" w:hAnsi="黑体" w:cs="宋体"/>
          <w:kern w:val="0"/>
          <w:szCs w:val="18"/>
        </w:rPr>
      </w:pPr>
      <w:r>
        <w:rPr>
          <w:rFonts w:ascii="黑体" w:hAnsi="黑体" w:cs="宋体"/>
          <w:kern w:val="0"/>
          <w:szCs w:val="18"/>
        </w:rPr>
        <w:t>验收</w:t>
      </w:r>
    </w:p>
    <w:p w14:paraId="6E7CD173">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环氧树脂地坪系统</w:t>
      </w:r>
      <w:r>
        <w:rPr>
          <w:rFonts w:ascii="黑体" w:hAnsi="黑体" w:cs="宋体"/>
          <w:kern w:val="0"/>
          <w:szCs w:val="18"/>
        </w:rPr>
        <w:t>工程的检验验收应在检验批质量检验合格的基础上，确认达到验收条件后方可进行。</w:t>
      </w:r>
    </w:p>
    <w:p w14:paraId="36AE8F01">
      <w:pPr>
        <w:widowControl/>
        <w:numPr>
          <w:ilvl w:val="2"/>
          <w:numId w:val="104"/>
        </w:numPr>
        <w:shd w:val="clear" w:color="auto" w:fill="FFFFFF"/>
        <w:spacing w:line="360" w:lineRule="auto"/>
        <w:jc w:val="left"/>
        <w:rPr>
          <w:rFonts w:ascii="黑体" w:hAnsi="黑体" w:cs="宋体"/>
          <w:kern w:val="0"/>
          <w:szCs w:val="18"/>
        </w:rPr>
      </w:pPr>
      <w:r>
        <w:rPr>
          <w:rFonts w:hint="eastAsia" w:ascii="黑体" w:hAnsi="黑体" w:cs="宋体"/>
          <w:kern w:val="0"/>
          <w:szCs w:val="18"/>
        </w:rPr>
        <w:t>环氧树脂地坪系统</w:t>
      </w:r>
      <w:r>
        <w:rPr>
          <w:rFonts w:ascii="黑体" w:hAnsi="黑体" w:cs="宋体"/>
          <w:kern w:val="0"/>
          <w:szCs w:val="18"/>
        </w:rPr>
        <w:t>工程验收合格应符合下列规定：</w:t>
      </w:r>
      <w:r>
        <w:rPr>
          <w:rFonts w:ascii="黑体" w:hAnsi="黑体" w:cs="宋体"/>
          <w:kern w:val="0"/>
          <w:szCs w:val="18"/>
        </w:rPr>
        <w:br w:type="textWrapping"/>
      </w:r>
      <w:r>
        <w:rPr>
          <w:rFonts w:ascii="黑体" w:hAnsi="黑体" w:cs="宋体"/>
          <w:kern w:val="0"/>
          <w:szCs w:val="18"/>
        </w:rPr>
        <w:t>1</w:t>
      </w:r>
      <w:r>
        <w:rPr>
          <w:rFonts w:hint="eastAsia" w:ascii="黑体" w:hAnsi="黑体" w:cs="宋体"/>
          <w:kern w:val="0"/>
          <w:szCs w:val="18"/>
        </w:rPr>
        <w:t>、</w:t>
      </w:r>
      <w:r>
        <w:rPr>
          <w:rFonts w:ascii="黑体" w:hAnsi="黑体" w:cs="宋体"/>
          <w:kern w:val="0"/>
          <w:szCs w:val="18"/>
        </w:rPr>
        <w:t>检验批应按主控项目和一般项目验收。</w:t>
      </w:r>
      <w:r>
        <w:rPr>
          <w:rFonts w:ascii="黑体" w:hAnsi="黑体" w:cs="宋体"/>
          <w:kern w:val="0"/>
          <w:szCs w:val="18"/>
        </w:rPr>
        <w:br w:type="textWrapping"/>
      </w:r>
      <w:r>
        <w:rPr>
          <w:rFonts w:ascii="黑体" w:hAnsi="黑体" w:cs="宋体"/>
          <w:kern w:val="0"/>
          <w:szCs w:val="18"/>
        </w:rPr>
        <w:t>2</w:t>
      </w:r>
      <w:r>
        <w:rPr>
          <w:rFonts w:hint="eastAsia" w:ascii="黑体" w:hAnsi="黑体" w:cs="宋体"/>
          <w:kern w:val="0"/>
          <w:szCs w:val="18"/>
        </w:rPr>
        <w:t>、</w:t>
      </w:r>
      <w:r>
        <w:rPr>
          <w:rFonts w:ascii="黑体" w:hAnsi="黑体" w:cs="宋体"/>
          <w:kern w:val="0"/>
          <w:szCs w:val="18"/>
        </w:rPr>
        <w:t>主控项目应全部合格。</w:t>
      </w:r>
      <w:r>
        <w:rPr>
          <w:rFonts w:ascii="黑体" w:hAnsi="黑体" w:cs="宋体"/>
          <w:kern w:val="0"/>
          <w:szCs w:val="18"/>
        </w:rPr>
        <w:br w:type="textWrapping"/>
      </w:r>
      <w:r>
        <w:rPr>
          <w:rFonts w:ascii="黑体" w:hAnsi="黑体" w:cs="宋体"/>
          <w:kern w:val="0"/>
          <w:szCs w:val="18"/>
        </w:rPr>
        <w:t>3</w:t>
      </w:r>
      <w:r>
        <w:rPr>
          <w:rFonts w:hint="eastAsia" w:ascii="黑体" w:hAnsi="黑体" w:cs="宋体"/>
          <w:kern w:val="0"/>
          <w:szCs w:val="18"/>
        </w:rPr>
        <w:t>、</w:t>
      </w:r>
      <w:r>
        <w:rPr>
          <w:rFonts w:ascii="黑体" w:hAnsi="黑体" w:cs="宋体"/>
          <w:kern w:val="0"/>
          <w:szCs w:val="18"/>
        </w:rPr>
        <w:t>一般项目至少应有80%以上的检验点合格，且不合格点不得影响使用。</w:t>
      </w:r>
      <w:r>
        <w:rPr>
          <w:rFonts w:ascii="黑体" w:hAnsi="黑体" w:cs="宋体"/>
          <w:kern w:val="0"/>
          <w:szCs w:val="18"/>
        </w:rPr>
        <w:br w:type="textWrapping"/>
      </w:r>
      <w:r>
        <w:rPr>
          <w:rFonts w:hint="eastAsia" w:ascii="黑体" w:hAnsi="黑体" w:cs="宋体"/>
          <w:kern w:val="0"/>
          <w:szCs w:val="18"/>
        </w:rPr>
        <w:t>4、</w:t>
      </w:r>
      <w:r>
        <w:rPr>
          <w:rFonts w:ascii="黑体" w:hAnsi="黑体" w:cs="宋体"/>
          <w:kern w:val="0"/>
          <w:szCs w:val="18"/>
        </w:rPr>
        <w:t>需提供材料进场时复检合格报告。</w:t>
      </w:r>
      <w:r>
        <w:rPr>
          <w:rFonts w:ascii="黑体" w:hAnsi="黑体" w:cs="宋体"/>
          <w:kern w:val="0"/>
          <w:szCs w:val="18"/>
        </w:rPr>
        <w:br w:type="textWrapping"/>
      </w:r>
      <w:r>
        <w:rPr>
          <w:rFonts w:hint="eastAsia" w:ascii="黑体" w:hAnsi="黑体" w:cs="宋体"/>
          <w:kern w:val="0"/>
          <w:szCs w:val="18"/>
        </w:rPr>
        <w:t>5、</w:t>
      </w:r>
      <w:r>
        <w:rPr>
          <w:rFonts w:ascii="黑体" w:hAnsi="黑体" w:cs="宋体"/>
          <w:kern w:val="0"/>
          <w:szCs w:val="18"/>
        </w:rPr>
        <w:t>施工方案和质量验收记录应完整。</w:t>
      </w:r>
      <w:r>
        <w:rPr>
          <w:rFonts w:ascii="黑体" w:hAnsi="黑体" w:cs="宋体"/>
          <w:kern w:val="0"/>
          <w:szCs w:val="18"/>
        </w:rPr>
        <w:br w:type="textWrapping"/>
      </w:r>
      <w:r>
        <w:rPr>
          <w:rFonts w:hint="eastAsia" w:ascii="黑体" w:hAnsi="黑体" w:cs="宋体"/>
          <w:kern w:val="0"/>
          <w:szCs w:val="18"/>
        </w:rPr>
        <w:t>6、涂料覆盖前</w:t>
      </w:r>
      <w:r>
        <w:rPr>
          <w:rFonts w:ascii="黑体" w:hAnsi="黑体" w:cs="宋体"/>
          <w:kern w:val="0"/>
          <w:szCs w:val="18"/>
        </w:rPr>
        <w:t>隐蔽工程施工质量记录应完整。</w:t>
      </w:r>
    </w:p>
    <w:p w14:paraId="3534E4A5">
      <w:pPr>
        <w:pStyle w:val="3"/>
        <w:jc w:val="left"/>
      </w:pPr>
      <w:bookmarkStart w:id="99" w:name="_Toc174556818"/>
      <w:r>
        <w:rPr>
          <w:rFonts w:hint="eastAsia"/>
        </w:rPr>
        <w:t>环氧防静电地坪</w:t>
      </w:r>
      <w:bookmarkEnd w:id="99"/>
    </w:p>
    <w:p w14:paraId="4C7AB5FC">
      <w:pPr>
        <w:jc w:val="left"/>
        <w:rPr>
          <w:rFonts w:ascii="黑体" w:hAnsi="黑体"/>
          <w:szCs w:val="18"/>
        </w:rPr>
      </w:pPr>
    </w:p>
    <w:p w14:paraId="3AF41D55">
      <w:pPr>
        <w:pStyle w:val="97"/>
      </w:pPr>
      <w:r>
        <w:rPr>
          <w:rFonts w:hint="eastAsia"/>
        </w:rPr>
        <w:t>适用范围</w:t>
      </w:r>
    </w:p>
    <w:p w14:paraId="3FAA8430">
      <w:pPr>
        <w:spacing w:line="276" w:lineRule="auto"/>
        <w:ind w:firstLine="420"/>
        <w:jc w:val="left"/>
        <w:rPr>
          <w:rFonts w:ascii="黑体" w:hAnsi="黑体" w:cs="宋体"/>
          <w:bCs/>
          <w:kern w:val="0"/>
          <w:szCs w:val="18"/>
        </w:rPr>
      </w:pPr>
      <w:r>
        <w:rPr>
          <w:rFonts w:hint="eastAsia" w:ascii="黑体" w:hAnsi="黑体" w:cs="宋体"/>
          <w:bCs/>
          <w:kern w:val="0"/>
          <w:szCs w:val="18"/>
        </w:rPr>
        <w:t>本技术要求适用于生产厂房等环境的防静电环氧树脂地坪系统，无尘室地坪不适用于本技术要求。</w:t>
      </w:r>
    </w:p>
    <w:p w14:paraId="6C252F1A">
      <w:pPr>
        <w:spacing w:line="276" w:lineRule="auto"/>
        <w:jc w:val="left"/>
        <w:rPr>
          <w:rFonts w:ascii="黑体" w:hAnsi="黑体" w:cs="宋体"/>
          <w:bCs/>
          <w:kern w:val="0"/>
          <w:szCs w:val="18"/>
        </w:rPr>
      </w:pPr>
    </w:p>
    <w:p w14:paraId="1CF84995">
      <w:pPr>
        <w:pStyle w:val="97"/>
      </w:pPr>
      <w:r>
        <w:rPr>
          <w:rFonts w:hint="eastAsia"/>
        </w:rPr>
        <w:t>相关标准及规范要求</w:t>
      </w:r>
    </w:p>
    <w:p w14:paraId="0F281313">
      <w:pPr>
        <w:pStyle w:val="111"/>
        <w:numPr>
          <w:ilvl w:val="0"/>
          <w:numId w:val="106"/>
        </w:numPr>
      </w:pPr>
      <w:r>
        <w:rPr>
          <w:rFonts w:hint="eastAsia"/>
        </w:rPr>
        <w:t>GB-T 22374（国标）《地坪涂装材料》</w:t>
      </w:r>
    </w:p>
    <w:p w14:paraId="0A11CC28">
      <w:pPr>
        <w:pStyle w:val="111"/>
        <w:numPr>
          <w:ilvl w:val="0"/>
          <w:numId w:val="106"/>
        </w:numPr>
      </w:pPr>
      <w:r>
        <w:rPr>
          <w:rFonts w:hint="eastAsia"/>
        </w:rPr>
        <w:t>JCT 1015 环氧树脂地面涂层材料</w:t>
      </w:r>
    </w:p>
    <w:p w14:paraId="2C5A0CD1">
      <w:pPr>
        <w:pStyle w:val="111"/>
        <w:numPr>
          <w:ilvl w:val="0"/>
          <w:numId w:val="106"/>
        </w:numPr>
      </w:pPr>
      <w:r>
        <w:rPr>
          <w:rFonts w:hint="eastAsia"/>
        </w:rPr>
        <w:t>JCT985</w:t>
      </w:r>
      <w:r>
        <w:t xml:space="preserve"> </w:t>
      </w:r>
      <w:r>
        <w:rPr>
          <w:rFonts w:hint="eastAsia"/>
        </w:rPr>
        <w:t>地面用水泥基自流平砂浆</w:t>
      </w:r>
    </w:p>
    <w:p w14:paraId="0A124FB6">
      <w:pPr>
        <w:pStyle w:val="111"/>
        <w:numPr>
          <w:ilvl w:val="0"/>
          <w:numId w:val="106"/>
        </w:numPr>
        <w:jc w:val="left"/>
      </w:pPr>
      <w:r>
        <w:rPr>
          <w:rFonts w:hint="eastAsia"/>
        </w:rPr>
        <w:t>SJ/T11294 《防静电地坪涂料通用规范》</w:t>
      </w:r>
    </w:p>
    <w:p w14:paraId="02030B48">
      <w:pPr>
        <w:pStyle w:val="111"/>
        <w:numPr>
          <w:ilvl w:val="0"/>
          <w:numId w:val="106"/>
        </w:numPr>
        <w:jc w:val="left"/>
      </w:pPr>
      <w:r>
        <w:t>GB50209</w:t>
      </w:r>
      <w:r>
        <w:rPr>
          <w:rFonts w:hint="eastAsia"/>
        </w:rPr>
        <w:t xml:space="preserve"> 《</w:t>
      </w:r>
      <w:r>
        <w:t>建筑地面工程施工质量验收规范</w:t>
      </w:r>
      <w:r>
        <w:rPr>
          <w:rFonts w:hint="eastAsia"/>
        </w:rPr>
        <w:t>》</w:t>
      </w:r>
    </w:p>
    <w:p w14:paraId="65691C59">
      <w:pPr>
        <w:pStyle w:val="111"/>
        <w:numPr>
          <w:ilvl w:val="0"/>
          <w:numId w:val="106"/>
        </w:numPr>
        <w:jc w:val="left"/>
      </w:pPr>
      <w:r>
        <w:t>GB50325</w:t>
      </w:r>
      <w:r>
        <w:rPr>
          <w:rFonts w:hint="eastAsia"/>
        </w:rPr>
        <w:t xml:space="preserve"> </w:t>
      </w:r>
      <w:r>
        <w:t>《民用建筑工程室内环境污染控制规范》</w:t>
      </w:r>
    </w:p>
    <w:p w14:paraId="6CCB102B">
      <w:pPr>
        <w:pStyle w:val="111"/>
        <w:numPr>
          <w:ilvl w:val="0"/>
          <w:numId w:val="106"/>
        </w:numPr>
        <w:jc w:val="left"/>
      </w:pPr>
      <w:r>
        <w:rPr>
          <w:rFonts w:hint="eastAsia"/>
        </w:rPr>
        <w:t>CECS 328: 《整体地坪工程技术规程》</w:t>
      </w:r>
    </w:p>
    <w:p w14:paraId="71C0837C">
      <w:pPr>
        <w:pStyle w:val="111"/>
        <w:numPr>
          <w:ilvl w:val="0"/>
          <w:numId w:val="106"/>
        </w:numPr>
        <w:jc w:val="left"/>
      </w:pPr>
      <w:bookmarkStart w:id="100" w:name="_MON_1360408716"/>
      <w:bookmarkEnd w:id="100"/>
      <w:bookmarkStart w:id="101" w:name="_MON_1360406100"/>
      <w:bookmarkEnd w:id="101"/>
      <w:r>
        <w:rPr>
          <w:rFonts w:hint="eastAsia"/>
        </w:rPr>
        <w:t>国家及项目所在地相关法律、法规、标准及规范的当前有效版本等</w:t>
      </w:r>
    </w:p>
    <w:p w14:paraId="7BCA5051">
      <w:pPr>
        <w:spacing w:line="276" w:lineRule="auto"/>
        <w:jc w:val="left"/>
        <w:rPr>
          <w:rFonts w:ascii="黑体" w:hAnsi="黑体" w:cs="宋体"/>
          <w:bCs/>
          <w:kern w:val="0"/>
          <w:szCs w:val="18"/>
        </w:rPr>
      </w:pPr>
    </w:p>
    <w:p w14:paraId="5D047F92">
      <w:pPr>
        <w:pStyle w:val="97"/>
      </w:pPr>
      <w:r>
        <w:t>基本</w:t>
      </w:r>
      <w:r>
        <w:rPr>
          <w:rFonts w:hint="eastAsia"/>
        </w:rPr>
        <w:t>要求</w:t>
      </w:r>
    </w:p>
    <w:p w14:paraId="6F81F071">
      <w:pPr>
        <w:pStyle w:val="111"/>
        <w:numPr>
          <w:ilvl w:val="3"/>
          <w:numId w:val="107"/>
        </w:numPr>
        <w:jc w:val="left"/>
      </w:pPr>
      <w:r>
        <w:rPr>
          <w:rFonts w:hint="eastAsia"/>
        </w:rPr>
        <w:t>本</w:t>
      </w:r>
      <w:r>
        <w:t>环氧</w:t>
      </w:r>
      <w:r>
        <w:rPr>
          <w:rFonts w:hint="eastAsia"/>
        </w:rPr>
        <w:t>树脂</w:t>
      </w:r>
      <w:r>
        <w:t>地坪系统</w:t>
      </w:r>
      <w:r>
        <w:rPr>
          <w:rFonts w:hint="eastAsia"/>
        </w:rPr>
        <w:t>所使用材料必须采用无溶剂配方。</w:t>
      </w:r>
    </w:p>
    <w:p w14:paraId="21EE24B8">
      <w:pPr>
        <w:pStyle w:val="111"/>
        <w:numPr>
          <w:ilvl w:val="3"/>
          <w:numId w:val="107"/>
        </w:numPr>
        <w:jc w:val="left"/>
      </w:pPr>
      <w:r>
        <w:rPr>
          <w:rFonts w:hint="eastAsia"/>
        </w:rPr>
        <w:t>本</w:t>
      </w:r>
      <w:r>
        <w:t>环氧</w:t>
      </w:r>
      <w:r>
        <w:rPr>
          <w:rFonts w:hint="eastAsia"/>
        </w:rPr>
        <w:t>树脂</w:t>
      </w:r>
      <w:r>
        <w:t>地坪系统</w:t>
      </w:r>
      <w:r>
        <w:rPr>
          <w:rFonts w:hint="eastAsia"/>
        </w:rPr>
        <w:t>设计正常使用年限为8年。</w:t>
      </w:r>
    </w:p>
    <w:p w14:paraId="4A6DA832">
      <w:pPr>
        <w:pStyle w:val="111"/>
        <w:numPr>
          <w:ilvl w:val="3"/>
          <w:numId w:val="107"/>
        </w:numPr>
        <w:jc w:val="left"/>
      </w:pPr>
      <w:r>
        <w:rPr>
          <w:rFonts w:hint="eastAsia"/>
        </w:rPr>
        <w:t>本环氧树脂地坪系统保修年限为：2年。</w:t>
      </w:r>
    </w:p>
    <w:p w14:paraId="0D06E521">
      <w:pPr>
        <w:pStyle w:val="111"/>
        <w:numPr>
          <w:ilvl w:val="3"/>
          <w:numId w:val="107"/>
        </w:numPr>
        <w:jc w:val="left"/>
      </w:pPr>
      <w:r>
        <w:rPr>
          <w:rFonts w:hint="eastAsia"/>
        </w:rPr>
        <w:t>本</w:t>
      </w:r>
      <w:r>
        <w:t>环氧</w:t>
      </w:r>
      <w:r>
        <w:rPr>
          <w:rFonts w:hint="eastAsia"/>
        </w:rPr>
        <w:t>树脂地坪系统总厚度见下表。</w:t>
      </w:r>
    </w:p>
    <w:p w14:paraId="03B933D8">
      <w:pPr>
        <w:spacing w:line="276" w:lineRule="auto"/>
        <w:ind w:left="567"/>
        <w:jc w:val="left"/>
        <w:rPr>
          <w:rFonts w:ascii="黑体" w:hAnsi="黑体" w:cs="宋体"/>
          <w:bCs/>
          <w:kern w:val="0"/>
          <w:szCs w:val="18"/>
        </w:rPr>
      </w:pPr>
    </w:p>
    <w:p w14:paraId="5B7FBDCC">
      <w:pPr>
        <w:spacing w:line="276" w:lineRule="auto"/>
        <w:ind w:firstLine="420"/>
        <w:jc w:val="left"/>
        <w:rPr>
          <w:rFonts w:ascii="黑体" w:hAnsi="黑体" w:cs="宋体"/>
          <w:b/>
          <w:bCs/>
          <w:kern w:val="0"/>
          <w:szCs w:val="18"/>
        </w:rPr>
      </w:pPr>
      <w:r>
        <w:rPr>
          <w:rFonts w:hint="eastAsia" w:ascii="黑体" w:hAnsi="黑体" w:cs="宋体"/>
          <w:b/>
          <w:bCs/>
          <w:kern w:val="0"/>
          <w:szCs w:val="18"/>
        </w:rPr>
        <w:t>环氧地坪系统技术要求表：</w:t>
      </w:r>
    </w:p>
    <w:tbl>
      <w:tblPr>
        <w:tblStyle w:val="36"/>
        <w:tblW w:w="7654" w:type="dxa"/>
        <w:tblCellSpacing w:w="0" w:type="dxa"/>
        <w:tblInd w:w="35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3843"/>
        <w:gridCol w:w="1827"/>
        <w:gridCol w:w="1984"/>
      </w:tblGrid>
      <w:tr w14:paraId="68D174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42" w:hRule="atLeast"/>
          <w:tblCellSpacing w:w="0" w:type="dxa"/>
        </w:trPr>
        <w:tc>
          <w:tcPr>
            <w:tcW w:w="3843" w:type="dxa"/>
            <w:vAlign w:val="center"/>
          </w:tcPr>
          <w:p w14:paraId="4271EF18">
            <w:pPr>
              <w:spacing w:line="276" w:lineRule="auto"/>
              <w:jc w:val="left"/>
              <w:rPr>
                <w:rFonts w:ascii="黑体" w:hAnsi="黑体" w:cs="宋体"/>
                <w:bCs/>
                <w:kern w:val="0"/>
                <w:szCs w:val="18"/>
              </w:rPr>
            </w:pPr>
            <w:r>
              <w:rPr>
                <w:rFonts w:hint="eastAsia" w:ascii="黑体" w:hAnsi="黑体" w:cs="宋体"/>
                <w:bCs/>
                <w:kern w:val="0"/>
                <w:szCs w:val="18"/>
              </w:rPr>
              <w:t>系统基本要求</w:t>
            </w:r>
          </w:p>
        </w:tc>
        <w:tc>
          <w:tcPr>
            <w:tcW w:w="1827" w:type="dxa"/>
            <w:vAlign w:val="center"/>
          </w:tcPr>
          <w:p w14:paraId="7D61CF80">
            <w:pPr>
              <w:spacing w:line="276" w:lineRule="auto"/>
              <w:jc w:val="left"/>
              <w:rPr>
                <w:rFonts w:ascii="黑体" w:hAnsi="黑体" w:cs="宋体"/>
                <w:bCs/>
                <w:kern w:val="0"/>
                <w:szCs w:val="18"/>
              </w:rPr>
            </w:pPr>
            <w:r>
              <w:rPr>
                <w:rFonts w:hint="eastAsia" w:ascii="黑体" w:hAnsi="黑体" w:cs="宋体"/>
                <w:bCs/>
                <w:kern w:val="0"/>
                <w:szCs w:val="18"/>
              </w:rPr>
              <w:t>适用部位</w:t>
            </w:r>
          </w:p>
        </w:tc>
        <w:tc>
          <w:tcPr>
            <w:tcW w:w="1984" w:type="dxa"/>
            <w:vAlign w:val="center"/>
          </w:tcPr>
          <w:p w14:paraId="61ABDD25">
            <w:pPr>
              <w:spacing w:line="276" w:lineRule="auto"/>
              <w:jc w:val="left"/>
              <w:rPr>
                <w:rFonts w:ascii="黑体" w:hAnsi="黑体" w:cs="宋体"/>
                <w:bCs/>
                <w:kern w:val="0"/>
                <w:szCs w:val="18"/>
              </w:rPr>
            </w:pPr>
            <w:r>
              <w:rPr>
                <w:rFonts w:hint="eastAsia" w:ascii="黑体" w:hAnsi="黑体" w:cs="宋体"/>
                <w:bCs/>
                <w:kern w:val="0"/>
                <w:szCs w:val="18"/>
              </w:rPr>
              <w:t>系统总厚度(mm)</w:t>
            </w:r>
          </w:p>
        </w:tc>
      </w:tr>
      <w:tr w14:paraId="2A8F33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40" w:hRule="atLeast"/>
          <w:tblCellSpacing w:w="0" w:type="dxa"/>
        </w:trPr>
        <w:tc>
          <w:tcPr>
            <w:tcW w:w="3843" w:type="dxa"/>
            <w:vMerge w:val="restart"/>
            <w:vAlign w:val="center"/>
          </w:tcPr>
          <w:p w14:paraId="383383C0">
            <w:pPr>
              <w:numPr>
                <w:ilvl w:val="0"/>
                <w:numId w:val="108"/>
              </w:numPr>
              <w:spacing w:line="276" w:lineRule="auto"/>
              <w:jc w:val="left"/>
              <w:rPr>
                <w:rFonts w:ascii="黑体" w:hAnsi="黑体" w:cs="宋体"/>
                <w:bCs/>
                <w:kern w:val="0"/>
                <w:szCs w:val="18"/>
              </w:rPr>
            </w:pPr>
            <w:r>
              <w:rPr>
                <w:rFonts w:hint="eastAsia" w:ascii="黑体" w:hAnsi="黑体" w:cs="宋体"/>
                <w:bCs/>
                <w:kern w:val="0"/>
                <w:szCs w:val="18"/>
              </w:rPr>
              <w:t>必须采用无溶剂配方；</w:t>
            </w:r>
          </w:p>
          <w:p w14:paraId="407768A4">
            <w:pPr>
              <w:numPr>
                <w:ilvl w:val="0"/>
                <w:numId w:val="108"/>
              </w:numPr>
              <w:spacing w:line="276" w:lineRule="auto"/>
              <w:jc w:val="left"/>
              <w:rPr>
                <w:rFonts w:ascii="黑体" w:hAnsi="黑体" w:cs="宋体"/>
                <w:bCs/>
                <w:kern w:val="0"/>
                <w:szCs w:val="18"/>
              </w:rPr>
            </w:pPr>
            <w:r>
              <w:rPr>
                <w:rFonts w:hint="eastAsia" w:ascii="黑体" w:hAnsi="黑体" w:cs="宋体"/>
                <w:bCs/>
                <w:kern w:val="0"/>
                <w:szCs w:val="18"/>
              </w:rPr>
              <w:t>设计正常使用年限为8年以上；</w:t>
            </w:r>
          </w:p>
          <w:p w14:paraId="3D4A2F06">
            <w:pPr>
              <w:numPr>
                <w:ilvl w:val="0"/>
                <w:numId w:val="108"/>
              </w:numPr>
              <w:spacing w:line="276" w:lineRule="auto"/>
              <w:jc w:val="left"/>
              <w:rPr>
                <w:rFonts w:ascii="黑体" w:hAnsi="黑体" w:cs="宋体"/>
                <w:bCs/>
                <w:kern w:val="0"/>
                <w:szCs w:val="18"/>
              </w:rPr>
            </w:pPr>
            <w:r>
              <w:rPr>
                <w:rFonts w:hint="eastAsia" w:ascii="黑体" w:hAnsi="黑体" w:cs="宋体"/>
                <w:bCs/>
                <w:kern w:val="0"/>
                <w:szCs w:val="18"/>
              </w:rPr>
              <w:t>保修年限为：2年</w:t>
            </w:r>
          </w:p>
        </w:tc>
        <w:tc>
          <w:tcPr>
            <w:tcW w:w="1827" w:type="dxa"/>
            <w:vAlign w:val="center"/>
          </w:tcPr>
          <w:p w14:paraId="7E157BC2">
            <w:pPr>
              <w:spacing w:line="276" w:lineRule="auto"/>
              <w:ind w:firstLine="186"/>
              <w:jc w:val="left"/>
              <w:rPr>
                <w:rFonts w:ascii="黑体" w:hAnsi="黑体" w:cs="宋体"/>
                <w:bCs/>
                <w:kern w:val="0"/>
                <w:szCs w:val="18"/>
              </w:rPr>
            </w:pPr>
            <w:r>
              <w:rPr>
                <w:rFonts w:hint="eastAsia" w:ascii="黑体" w:hAnsi="黑体" w:cs="宋体"/>
                <w:bCs/>
                <w:kern w:val="0"/>
                <w:szCs w:val="18"/>
              </w:rPr>
              <w:t>地面</w:t>
            </w:r>
          </w:p>
        </w:tc>
        <w:tc>
          <w:tcPr>
            <w:tcW w:w="1984" w:type="dxa"/>
            <w:vAlign w:val="center"/>
          </w:tcPr>
          <w:p w14:paraId="44E3B377">
            <w:pPr>
              <w:spacing w:line="276" w:lineRule="auto"/>
              <w:ind w:firstLine="186"/>
              <w:jc w:val="left"/>
              <w:rPr>
                <w:rFonts w:ascii="黑体" w:hAnsi="黑体" w:cs="宋体"/>
                <w:bCs/>
                <w:kern w:val="0"/>
                <w:szCs w:val="18"/>
              </w:rPr>
            </w:pPr>
            <w:r>
              <w:rPr>
                <w:rFonts w:hint="eastAsia" w:ascii="黑体" w:hAnsi="黑体" w:cs="宋体"/>
                <w:bCs/>
                <w:kern w:val="0"/>
                <w:szCs w:val="18"/>
              </w:rPr>
              <w:t>3.0mm</w:t>
            </w:r>
          </w:p>
        </w:tc>
      </w:tr>
      <w:tr w14:paraId="5DB1AF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55" w:hRule="atLeast"/>
          <w:tblCellSpacing w:w="0" w:type="dxa"/>
        </w:trPr>
        <w:tc>
          <w:tcPr>
            <w:tcW w:w="0" w:type="auto"/>
            <w:vMerge w:val="continue"/>
            <w:vAlign w:val="center"/>
          </w:tcPr>
          <w:p w14:paraId="5F8F63EB">
            <w:pPr>
              <w:spacing w:line="276" w:lineRule="auto"/>
              <w:jc w:val="left"/>
              <w:rPr>
                <w:rFonts w:ascii="黑体" w:hAnsi="黑体" w:cs="宋体"/>
                <w:bCs/>
                <w:kern w:val="0"/>
                <w:szCs w:val="18"/>
              </w:rPr>
            </w:pPr>
          </w:p>
        </w:tc>
        <w:tc>
          <w:tcPr>
            <w:tcW w:w="1827" w:type="dxa"/>
            <w:vAlign w:val="center"/>
          </w:tcPr>
          <w:p w14:paraId="16D0A6E3">
            <w:pPr>
              <w:spacing w:line="276" w:lineRule="auto"/>
              <w:ind w:firstLine="186"/>
              <w:jc w:val="left"/>
              <w:rPr>
                <w:rFonts w:ascii="黑体" w:hAnsi="黑体" w:cs="宋体"/>
                <w:bCs/>
                <w:kern w:val="0"/>
                <w:szCs w:val="18"/>
              </w:rPr>
            </w:pPr>
            <w:r>
              <w:rPr>
                <w:rFonts w:hint="eastAsia" w:ascii="黑体" w:hAnsi="黑体" w:cs="宋体"/>
                <w:bCs/>
                <w:kern w:val="0"/>
                <w:szCs w:val="18"/>
              </w:rPr>
              <w:t>踢脚</w:t>
            </w:r>
          </w:p>
        </w:tc>
        <w:tc>
          <w:tcPr>
            <w:tcW w:w="1984" w:type="dxa"/>
            <w:vAlign w:val="center"/>
          </w:tcPr>
          <w:p w14:paraId="2D88F70D">
            <w:pPr>
              <w:spacing w:line="276" w:lineRule="auto"/>
              <w:ind w:firstLine="186"/>
              <w:jc w:val="left"/>
              <w:rPr>
                <w:rFonts w:ascii="黑体" w:hAnsi="黑体" w:cs="宋体"/>
                <w:bCs/>
                <w:kern w:val="0"/>
                <w:szCs w:val="18"/>
              </w:rPr>
            </w:pPr>
            <w:r>
              <w:rPr>
                <w:rFonts w:hint="eastAsia" w:ascii="黑体" w:hAnsi="黑体" w:cs="宋体"/>
                <w:bCs/>
                <w:kern w:val="0"/>
                <w:szCs w:val="18"/>
              </w:rPr>
              <w:t>0.5mm</w:t>
            </w:r>
          </w:p>
        </w:tc>
      </w:tr>
      <w:tr w14:paraId="2F7778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3" w:hRule="atLeast"/>
          <w:tblCellSpacing w:w="0" w:type="dxa"/>
        </w:trPr>
        <w:tc>
          <w:tcPr>
            <w:tcW w:w="0" w:type="auto"/>
            <w:vMerge w:val="continue"/>
            <w:vAlign w:val="center"/>
          </w:tcPr>
          <w:p w14:paraId="5DB8771E">
            <w:pPr>
              <w:spacing w:line="276" w:lineRule="auto"/>
              <w:jc w:val="left"/>
              <w:rPr>
                <w:rFonts w:ascii="黑体" w:hAnsi="黑体" w:cs="宋体"/>
                <w:bCs/>
                <w:kern w:val="0"/>
                <w:szCs w:val="18"/>
              </w:rPr>
            </w:pPr>
          </w:p>
        </w:tc>
        <w:tc>
          <w:tcPr>
            <w:tcW w:w="1827" w:type="dxa"/>
            <w:vAlign w:val="center"/>
          </w:tcPr>
          <w:p w14:paraId="5CEDD4BB">
            <w:pPr>
              <w:spacing w:line="276" w:lineRule="auto"/>
              <w:ind w:firstLine="186"/>
              <w:jc w:val="left"/>
              <w:rPr>
                <w:rFonts w:ascii="黑体" w:hAnsi="黑体" w:cs="宋体"/>
                <w:bCs/>
                <w:kern w:val="0"/>
                <w:szCs w:val="18"/>
              </w:rPr>
            </w:pPr>
          </w:p>
        </w:tc>
        <w:tc>
          <w:tcPr>
            <w:tcW w:w="1984" w:type="dxa"/>
            <w:vAlign w:val="center"/>
          </w:tcPr>
          <w:p w14:paraId="17498189">
            <w:pPr>
              <w:spacing w:line="276" w:lineRule="auto"/>
              <w:ind w:firstLine="186"/>
              <w:jc w:val="left"/>
              <w:rPr>
                <w:rFonts w:ascii="黑体" w:hAnsi="黑体" w:cs="宋体"/>
                <w:bCs/>
                <w:kern w:val="0"/>
                <w:szCs w:val="18"/>
              </w:rPr>
            </w:pPr>
          </w:p>
        </w:tc>
      </w:tr>
      <w:tr w14:paraId="73DFB9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00" w:hRule="atLeast"/>
          <w:tblCellSpacing w:w="0" w:type="dxa"/>
        </w:trPr>
        <w:tc>
          <w:tcPr>
            <w:tcW w:w="0" w:type="auto"/>
            <w:vMerge w:val="continue"/>
            <w:vAlign w:val="center"/>
          </w:tcPr>
          <w:p w14:paraId="278A8E81">
            <w:pPr>
              <w:spacing w:line="276" w:lineRule="auto"/>
              <w:jc w:val="left"/>
              <w:rPr>
                <w:rFonts w:ascii="黑体" w:hAnsi="黑体" w:cs="宋体"/>
                <w:bCs/>
                <w:kern w:val="0"/>
                <w:szCs w:val="18"/>
              </w:rPr>
            </w:pPr>
          </w:p>
        </w:tc>
        <w:tc>
          <w:tcPr>
            <w:tcW w:w="1827" w:type="dxa"/>
            <w:vAlign w:val="center"/>
          </w:tcPr>
          <w:p w14:paraId="02A7E1E1">
            <w:pPr>
              <w:spacing w:line="276" w:lineRule="auto"/>
              <w:ind w:firstLine="186"/>
              <w:jc w:val="left"/>
              <w:rPr>
                <w:rFonts w:ascii="黑体" w:hAnsi="黑体" w:cs="宋体"/>
                <w:bCs/>
                <w:kern w:val="0"/>
                <w:szCs w:val="18"/>
              </w:rPr>
            </w:pPr>
          </w:p>
        </w:tc>
        <w:tc>
          <w:tcPr>
            <w:tcW w:w="1984" w:type="dxa"/>
            <w:vAlign w:val="center"/>
          </w:tcPr>
          <w:p w14:paraId="750E202F">
            <w:pPr>
              <w:spacing w:line="276" w:lineRule="auto"/>
              <w:ind w:firstLine="186"/>
              <w:jc w:val="left"/>
              <w:rPr>
                <w:rFonts w:ascii="黑体" w:hAnsi="黑体" w:cs="宋体"/>
                <w:bCs/>
                <w:kern w:val="0"/>
                <w:szCs w:val="18"/>
              </w:rPr>
            </w:pPr>
          </w:p>
        </w:tc>
      </w:tr>
    </w:tbl>
    <w:p w14:paraId="2BACE817">
      <w:pPr>
        <w:spacing w:line="276" w:lineRule="auto"/>
        <w:ind w:firstLine="360" w:firstLineChars="200"/>
        <w:jc w:val="left"/>
        <w:rPr>
          <w:rFonts w:ascii="黑体" w:hAnsi="黑体" w:cs="宋体"/>
          <w:bCs/>
          <w:kern w:val="0"/>
          <w:szCs w:val="18"/>
        </w:rPr>
      </w:pPr>
    </w:p>
    <w:p w14:paraId="65A2B656">
      <w:pPr>
        <w:pStyle w:val="97"/>
        <w:rPr>
          <w:b/>
        </w:rPr>
      </w:pPr>
      <w:r>
        <w:rPr>
          <w:rFonts w:hint="eastAsia"/>
          <w:b/>
        </w:rPr>
        <w:t>防静电环氧地坪使用场景及性能指标</w:t>
      </w:r>
    </w:p>
    <w:p w14:paraId="34F3D20B">
      <w:pPr>
        <w:pStyle w:val="111"/>
      </w:pPr>
      <w:r>
        <w:rPr>
          <w:rFonts w:hint="eastAsia"/>
        </w:rPr>
        <w:t>厂房生产区域（防静电环氧地坪）：</w:t>
      </w:r>
    </w:p>
    <w:p w14:paraId="46796743">
      <w:pPr>
        <w:spacing w:line="276" w:lineRule="auto"/>
        <w:jc w:val="left"/>
        <w:rPr>
          <w:rFonts w:ascii="黑体" w:hAnsi="黑体" w:cs="宋体"/>
          <w:bCs/>
          <w:kern w:val="0"/>
          <w:szCs w:val="18"/>
        </w:rPr>
      </w:pPr>
      <w:r>
        <w:rPr>
          <w:rFonts w:hint="eastAsia" w:ascii="黑体" w:hAnsi="黑体" w:cs="宋体"/>
          <w:bCs/>
          <w:kern w:val="0"/>
          <w:szCs w:val="18"/>
        </w:rPr>
        <w:t>厂房生产区域主要作为SMT单板加工、整机测试装配以及部分周转库房，地坪使用主要分为设备放置区域、货架及物料放置区域、人流/物流通道，需重点关注人流物流通道。其中通道区域主要为手动叉车（PU轮）、小电动叉车（PU轮为主/部分旧叉车使用橡胶轮）及AGV小车（PU轮）运输货物，货物重量约300KG~500KG，部分货物重量接近800KG，其中二三层防静电环氧地坪区域楼板荷载1T/M2，使用频次中度。</w:t>
      </w:r>
    </w:p>
    <w:p w14:paraId="6CB86F04">
      <w:pPr>
        <w:spacing w:line="276" w:lineRule="auto"/>
        <w:jc w:val="left"/>
        <w:rPr>
          <w:rFonts w:ascii="黑体" w:hAnsi="黑体" w:cs="宋体"/>
          <w:bCs/>
          <w:kern w:val="0"/>
          <w:szCs w:val="18"/>
        </w:rPr>
      </w:pPr>
      <w:r>
        <w:rPr>
          <w:rFonts w:hint="eastAsia" w:ascii="黑体" w:hAnsi="黑体" w:cs="宋体"/>
          <w:bCs/>
          <w:kern w:val="0"/>
          <w:szCs w:val="18"/>
        </w:rPr>
        <w:t>该区域防静电环氧地坪需要点关注以下问题：</w:t>
      </w:r>
    </w:p>
    <w:p w14:paraId="08E824FD">
      <w:pPr>
        <w:numPr>
          <w:ilvl w:val="0"/>
          <w:numId w:val="109"/>
        </w:numPr>
        <w:spacing w:line="276" w:lineRule="auto"/>
        <w:jc w:val="left"/>
        <w:rPr>
          <w:rFonts w:ascii="黑体" w:hAnsi="黑体" w:cs="宋体"/>
          <w:bCs/>
          <w:kern w:val="0"/>
          <w:szCs w:val="18"/>
        </w:rPr>
      </w:pPr>
      <w:r>
        <w:rPr>
          <w:rFonts w:hint="eastAsia" w:ascii="黑体" w:hAnsi="黑体" w:cs="宋体"/>
          <w:bCs/>
          <w:kern w:val="0"/>
          <w:szCs w:val="18"/>
        </w:rPr>
        <w:t>防静电性能指标：</w:t>
      </w:r>
    </w:p>
    <w:p w14:paraId="3C616263">
      <w:pPr>
        <w:spacing w:line="276" w:lineRule="auto"/>
        <w:jc w:val="left"/>
        <w:rPr>
          <w:rFonts w:ascii="黑体" w:hAnsi="黑体" w:cs="宋体"/>
          <w:bCs/>
          <w:kern w:val="0"/>
          <w:szCs w:val="18"/>
        </w:rPr>
      </w:pPr>
      <w:r>
        <w:rPr>
          <w:rFonts w:hint="eastAsia" w:ascii="黑体" w:hAnsi="黑体" w:cs="宋体"/>
          <w:bCs/>
          <w:kern w:val="0"/>
          <w:szCs w:val="18"/>
        </w:rPr>
        <w:t>接地电阻（Ω）：1×10</w:t>
      </w:r>
      <w:r>
        <w:rPr>
          <w:rFonts w:hint="eastAsia" w:ascii="黑体" w:hAnsi="黑体" w:cs="宋体"/>
          <w:bCs/>
          <w:kern w:val="0"/>
          <w:szCs w:val="18"/>
          <w:vertAlign w:val="superscript"/>
        </w:rPr>
        <w:t>4</w:t>
      </w:r>
      <w:r>
        <w:rPr>
          <w:rFonts w:hint="eastAsia" w:ascii="黑体" w:hAnsi="黑体" w:cs="宋体"/>
          <w:bCs/>
          <w:kern w:val="0"/>
          <w:szCs w:val="18"/>
        </w:rPr>
        <w:t>≤Rg＜3.5×10</w:t>
      </w:r>
      <w:r>
        <w:rPr>
          <w:rFonts w:hint="eastAsia" w:ascii="黑体" w:hAnsi="黑体" w:cs="宋体"/>
          <w:bCs/>
          <w:kern w:val="0"/>
          <w:szCs w:val="18"/>
          <w:vertAlign w:val="superscript"/>
        </w:rPr>
        <w:t>7</w:t>
      </w:r>
      <w:r>
        <w:rPr>
          <w:rFonts w:hint="eastAsia" w:ascii="黑体" w:hAnsi="黑体" w:cs="宋体"/>
          <w:bCs/>
          <w:kern w:val="0"/>
          <w:szCs w:val="18"/>
        </w:rPr>
        <w:t xml:space="preserve"> </w:t>
      </w:r>
    </w:p>
    <w:p w14:paraId="41189E76">
      <w:pPr>
        <w:spacing w:line="276" w:lineRule="auto"/>
        <w:jc w:val="left"/>
        <w:rPr>
          <w:rFonts w:ascii="黑体" w:hAnsi="黑体" w:cs="宋体"/>
          <w:bCs/>
          <w:kern w:val="0"/>
          <w:szCs w:val="18"/>
        </w:rPr>
      </w:pPr>
      <w:r>
        <w:rPr>
          <w:rFonts w:hint="eastAsia" w:ascii="黑体" w:hAnsi="黑体" w:cs="宋体"/>
          <w:bCs/>
          <w:kern w:val="0"/>
          <w:szCs w:val="18"/>
        </w:rPr>
        <w:t>表面电阻（Ω）：1×10</w:t>
      </w:r>
      <w:r>
        <w:rPr>
          <w:rFonts w:hint="eastAsia" w:ascii="黑体" w:hAnsi="黑体" w:cs="宋体"/>
          <w:bCs/>
          <w:kern w:val="0"/>
          <w:szCs w:val="18"/>
          <w:vertAlign w:val="superscript"/>
        </w:rPr>
        <w:t>4</w:t>
      </w:r>
      <w:r>
        <w:rPr>
          <w:rFonts w:hint="eastAsia" w:ascii="黑体" w:hAnsi="黑体" w:cs="宋体"/>
          <w:bCs/>
          <w:kern w:val="0"/>
          <w:szCs w:val="18"/>
        </w:rPr>
        <w:t>≤Rs＜3.5×10</w:t>
      </w:r>
      <w:r>
        <w:rPr>
          <w:rFonts w:hint="eastAsia" w:ascii="黑体" w:hAnsi="黑体" w:cs="宋体"/>
          <w:bCs/>
          <w:kern w:val="0"/>
          <w:szCs w:val="18"/>
          <w:vertAlign w:val="superscript"/>
        </w:rPr>
        <w:t xml:space="preserve">7 </w:t>
      </w:r>
    </w:p>
    <w:p w14:paraId="207C1A05">
      <w:pPr>
        <w:spacing w:line="276" w:lineRule="auto"/>
        <w:jc w:val="left"/>
        <w:rPr>
          <w:rFonts w:ascii="黑体" w:hAnsi="黑体" w:cs="宋体"/>
          <w:bCs/>
          <w:kern w:val="0"/>
          <w:szCs w:val="18"/>
        </w:rPr>
      </w:pPr>
      <w:r>
        <w:rPr>
          <w:rFonts w:hint="eastAsia" w:ascii="黑体" w:hAnsi="黑体" w:cs="宋体"/>
          <w:bCs/>
          <w:kern w:val="0"/>
          <w:szCs w:val="18"/>
        </w:rPr>
        <w:t>摩擦电压（V）＜100V</w:t>
      </w:r>
    </w:p>
    <w:p w14:paraId="18E94249">
      <w:pPr>
        <w:spacing w:line="276" w:lineRule="auto"/>
        <w:jc w:val="left"/>
        <w:rPr>
          <w:rFonts w:ascii="黑体" w:hAnsi="黑体" w:cs="宋体"/>
          <w:bCs/>
          <w:kern w:val="0"/>
          <w:szCs w:val="18"/>
        </w:rPr>
      </w:pPr>
    </w:p>
    <w:p w14:paraId="48852572">
      <w:pPr>
        <w:spacing w:line="276" w:lineRule="auto"/>
        <w:jc w:val="left"/>
        <w:rPr>
          <w:rFonts w:ascii="黑体" w:hAnsi="黑体" w:cs="宋体"/>
          <w:bCs/>
          <w:kern w:val="0"/>
          <w:szCs w:val="18"/>
        </w:rPr>
      </w:pPr>
      <w:r>
        <w:rPr>
          <w:rFonts w:hint="eastAsia" w:ascii="黑体" w:hAnsi="黑体" w:cs="宋体"/>
          <w:bCs/>
          <w:kern w:val="0"/>
          <w:szCs w:val="18"/>
        </w:rPr>
        <w:t>人体走动电压（</w:t>
      </w:r>
      <w:r>
        <w:rPr>
          <w:rFonts w:ascii="黑体" w:hAnsi="黑体" w:cs="宋体"/>
          <w:bCs/>
          <w:kern w:val="0"/>
          <w:szCs w:val="18"/>
        </w:rPr>
        <w:t>V</w:t>
      </w:r>
      <w:r>
        <w:rPr>
          <w:rFonts w:hint="eastAsia" w:ascii="黑体" w:hAnsi="黑体" w:cs="宋体"/>
          <w:bCs/>
          <w:kern w:val="0"/>
          <w:szCs w:val="18"/>
        </w:rPr>
        <w:t>）＜</w:t>
      </w:r>
      <w:r>
        <w:rPr>
          <w:rFonts w:ascii="黑体" w:hAnsi="黑体" w:cs="宋体"/>
          <w:bCs/>
          <w:kern w:val="0"/>
          <w:szCs w:val="18"/>
        </w:rPr>
        <w:t>100V</w:t>
      </w:r>
    </w:p>
    <w:p w14:paraId="1FECE9E5">
      <w:pPr>
        <w:spacing w:line="276" w:lineRule="auto"/>
        <w:jc w:val="left"/>
        <w:rPr>
          <w:rFonts w:ascii="黑体" w:hAnsi="黑体" w:cs="宋体"/>
          <w:bCs/>
          <w:kern w:val="0"/>
          <w:szCs w:val="18"/>
        </w:rPr>
      </w:pPr>
    </w:p>
    <w:p w14:paraId="3D506709">
      <w:pPr>
        <w:numPr>
          <w:ilvl w:val="0"/>
          <w:numId w:val="109"/>
        </w:numPr>
        <w:spacing w:line="276" w:lineRule="auto"/>
        <w:jc w:val="left"/>
        <w:rPr>
          <w:rFonts w:ascii="黑体" w:hAnsi="黑体" w:cs="宋体"/>
          <w:bCs/>
          <w:kern w:val="0"/>
          <w:szCs w:val="18"/>
        </w:rPr>
      </w:pPr>
      <w:r>
        <w:rPr>
          <w:rFonts w:hint="eastAsia" w:ascii="黑体" w:hAnsi="黑体" w:cs="宋体"/>
          <w:bCs/>
          <w:kern w:val="0"/>
          <w:szCs w:val="18"/>
        </w:rPr>
        <w:t>防静电环氧地坪平整度要求3mm高差/2m靠尺</w:t>
      </w:r>
    </w:p>
    <w:p w14:paraId="48A64FF7">
      <w:pPr>
        <w:numPr>
          <w:ilvl w:val="0"/>
          <w:numId w:val="109"/>
        </w:numPr>
        <w:spacing w:line="276" w:lineRule="auto"/>
        <w:jc w:val="left"/>
        <w:rPr>
          <w:rFonts w:ascii="黑体" w:hAnsi="黑体" w:cs="宋体"/>
          <w:bCs/>
          <w:kern w:val="0"/>
          <w:szCs w:val="18"/>
        </w:rPr>
      </w:pPr>
      <w:r>
        <w:rPr>
          <w:rFonts w:hint="eastAsia" w:ascii="黑体" w:hAnsi="黑体" w:cs="宋体"/>
          <w:bCs/>
          <w:kern w:val="0"/>
          <w:szCs w:val="18"/>
        </w:rPr>
        <w:t>防静电性能可靠性需要在产品生命周期内满足要求</w:t>
      </w:r>
    </w:p>
    <w:p w14:paraId="38A18ED3">
      <w:pPr>
        <w:spacing w:line="276" w:lineRule="auto"/>
        <w:jc w:val="left"/>
        <w:rPr>
          <w:rFonts w:ascii="黑体" w:hAnsi="黑体" w:cs="宋体"/>
          <w:bCs/>
          <w:kern w:val="0"/>
          <w:szCs w:val="18"/>
        </w:rPr>
      </w:pPr>
      <w:r>
        <w:rPr>
          <w:rFonts w:hint="eastAsia" w:ascii="黑体" w:hAnsi="黑体" w:cs="宋体"/>
          <w:bCs/>
          <w:kern w:val="0"/>
          <w:szCs w:val="18"/>
        </w:rPr>
        <w:drawing>
          <wp:inline distT="0" distB="0" distL="0" distR="0">
            <wp:extent cx="1651635" cy="1223645"/>
            <wp:effectExtent l="19050" t="0" r="5235"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49" cstate="print"/>
                    <a:srcRect l="16434" t="7514" r="16557" b="13006"/>
                    <a:stretch>
                      <a:fillRect/>
                    </a:stretch>
                  </pic:blipFill>
                  <pic:spPr>
                    <a:xfrm>
                      <a:off x="0" y="0"/>
                      <a:ext cx="1658881" cy="1228746"/>
                    </a:xfrm>
                    <a:prstGeom prst="rect">
                      <a:avLst/>
                    </a:prstGeom>
                    <a:noFill/>
                    <a:ln w="9525">
                      <a:noFill/>
                      <a:miter lim="800000"/>
                      <a:headEnd/>
                      <a:tailEnd/>
                    </a:ln>
                  </pic:spPr>
                </pic:pic>
              </a:graphicData>
            </a:graphic>
          </wp:inline>
        </w:drawing>
      </w:r>
      <w:r>
        <w:rPr>
          <w:rFonts w:hint="eastAsia" w:ascii="黑体" w:hAnsi="黑体" w:cs="宋体"/>
          <w:bCs/>
          <w:kern w:val="0"/>
          <w:szCs w:val="18"/>
        </w:rPr>
        <w:drawing>
          <wp:inline distT="0" distB="0" distL="0" distR="0">
            <wp:extent cx="1666875" cy="1223645"/>
            <wp:effectExtent l="1905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50" cstate="print"/>
                    <a:srcRect l="20588" t="11561" r="16205" b="14162"/>
                    <a:stretch>
                      <a:fillRect/>
                    </a:stretch>
                  </pic:blipFill>
                  <pic:spPr>
                    <a:xfrm>
                      <a:off x="0" y="0"/>
                      <a:ext cx="1666875" cy="1223963"/>
                    </a:xfrm>
                    <a:prstGeom prst="rect">
                      <a:avLst/>
                    </a:prstGeom>
                    <a:noFill/>
                    <a:ln w="9525">
                      <a:noFill/>
                      <a:miter lim="800000"/>
                      <a:headEnd/>
                      <a:tailEnd/>
                    </a:ln>
                  </pic:spPr>
                </pic:pic>
              </a:graphicData>
            </a:graphic>
          </wp:inline>
        </w:drawing>
      </w:r>
      <w:r>
        <w:rPr>
          <w:rFonts w:hint="eastAsia" w:ascii="黑体" w:hAnsi="黑体" w:cs="宋体"/>
          <w:bCs/>
          <w:kern w:val="0"/>
          <w:szCs w:val="18"/>
        </w:rPr>
        <w:drawing>
          <wp:inline distT="0" distB="0" distL="0" distR="0">
            <wp:extent cx="1819275" cy="1228725"/>
            <wp:effectExtent l="19050" t="0" r="952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51" cstate="print"/>
                    <a:srcRect l="37925" t="6004" r="25740" b="54625"/>
                    <a:stretch>
                      <a:fillRect/>
                    </a:stretch>
                  </pic:blipFill>
                  <pic:spPr>
                    <a:xfrm>
                      <a:off x="0" y="0"/>
                      <a:ext cx="1819275" cy="1228725"/>
                    </a:xfrm>
                    <a:prstGeom prst="rect">
                      <a:avLst/>
                    </a:prstGeom>
                    <a:noFill/>
                    <a:ln w="9525">
                      <a:noFill/>
                      <a:miter lim="800000"/>
                      <a:headEnd/>
                      <a:tailEnd/>
                    </a:ln>
                  </pic:spPr>
                </pic:pic>
              </a:graphicData>
            </a:graphic>
          </wp:inline>
        </w:drawing>
      </w:r>
    </w:p>
    <w:p w14:paraId="09EB6313">
      <w:pPr>
        <w:pStyle w:val="111"/>
        <w:ind w:left="0" w:firstLine="0"/>
        <w:jc w:val="left"/>
        <w:rPr>
          <w:rFonts w:cs="宋体"/>
          <w:bCs/>
        </w:rPr>
      </w:pPr>
      <w:r>
        <w:rPr>
          <w:rFonts w:hint="eastAsia" w:cs="宋体"/>
          <w:bCs/>
        </w:rPr>
        <w:t>厂房电梯口（耐磨防静电环氧地坪）</w:t>
      </w:r>
    </w:p>
    <w:p w14:paraId="297366D0">
      <w:pPr>
        <w:spacing w:line="276" w:lineRule="auto"/>
        <w:jc w:val="left"/>
        <w:rPr>
          <w:rFonts w:ascii="黑体" w:hAnsi="黑体" w:cs="宋体"/>
          <w:bCs/>
          <w:kern w:val="0"/>
          <w:szCs w:val="18"/>
        </w:rPr>
      </w:pPr>
      <w:r>
        <w:rPr>
          <w:rFonts w:hint="eastAsia" w:ascii="黑体" w:hAnsi="黑体" w:cs="宋体"/>
          <w:bCs/>
          <w:kern w:val="0"/>
          <w:szCs w:val="18"/>
        </w:rPr>
        <w:t>厂房电梯口作为物流周转运输重要区域，主要使用手动叉车（PU轮）、小电动叉车（PU轮为主/部分旧叉车使用橡胶轮），使用频次重度。该区域在满足防静电性能指标要求的同时，要求耐冲击性大于1.8kg.m，耐磨性小于0.06克。</w:t>
      </w:r>
    </w:p>
    <w:p w14:paraId="4C32B538">
      <w:pPr>
        <w:spacing w:line="276" w:lineRule="auto"/>
        <w:jc w:val="left"/>
        <w:rPr>
          <w:rFonts w:ascii="黑体" w:hAnsi="黑体" w:cs="宋体"/>
          <w:bCs/>
          <w:kern w:val="0"/>
          <w:szCs w:val="18"/>
        </w:rPr>
      </w:pPr>
    </w:p>
    <w:p w14:paraId="2A317E4E">
      <w:pPr>
        <w:spacing w:line="276" w:lineRule="auto"/>
        <w:jc w:val="left"/>
        <w:rPr>
          <w:rFonts w:ascii="黑体" w:hAnsi="黑体" w:cs="宋体"/>
          <w:bCs/>
          <w:kern w:val="0"/>
          <w:szCs w:val="18"/>
        </w:rPr>
      </w:pPr>
      <w:r>
        <w:rPr>
          <w:rFonts w:hint="eastAsia" w:ascii="黑体" w:hAnsi="黑体" w:cs="宋体"/>
          <w:bCs/>
          <w:kern w:val="0"/>
          <w:szCs w:val="18"/>
        </w:rPr>
        <w:drawing>
          <wp:inline distT="0" distB="0" distL="0" distR="0">
            <wp:extent cx="2488565" cy="1600200"/>
            <wp:effectExtent l="19050" t="0" r="6851"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52" cstate="print"/>
                    <a:srcRect l="18240" t="9827" r="21971" b="28613"/>
                    <a:stretch>
                      <a:fillRect/>
                    </a:stretch>
                  </pic:blipFill>
                  <pic:spPr>
                    <a:xfrm>
                      <a:off x="0" y="0"/>
                      <a:ext cx="2488699" cy="1600200"/>
                    </a:xfrm>
                    <a:prstGeom prst="rect">
                      <a:avLst/>
                    </a:prstGeom>
                    <a:noFill/>
                    <a:ln w="9525">
                      <a:noFill/>
                      <a:miter lim="800000"/>
                      <a:headEnd/>
                      <a:tailEnd/>
                    </a:ln>
                  </pic:spPr>
                </pic:pic>
              </a:graphicData>
            </a:graphic>
          </wp:inline>
        </w:drawing>
      </w:r>
      <w:r>
        <w:rPr>
          <w:rFonts w:hint="eastAsia" w:ascii="黑体" w:hAnsi="黑体" w:cs="宋体"/>
          <w:bCs/>
          <w:kern w:val="0"/>
          <w:szCs w:val="18"/>
        </w:rPr>
        <w:t xml:space="preserve"> </w:t>
      </w:r>
      <w:r>
        <w:rPr>
          <w:rFonts w:hint="eastAsia" w:ascii="黑体" w:hAnsi="黑体" w:cs="宋体"/>
          <w:bCs/>
          <w:kern w:val="0"/>
          <w:szCs w:val="18"/>
        </w:rPr>
        <w:drawing>
          <wp:inline distT="0" distB="0" distL="0" distR="0">
            <wp:extent cx="2348230" cy="164465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53" cstate="print"/>
                    <a:srcRect l="17517" t="9249" r="22693" b="23699"/>
                    <a:stretch>
                      <a:fillRect/>
                    </a:stretch>
                  </pic:blipFill>
                  <pic:spPr>
                    <a:xfrm>
                      <a:off x="0" y="0"/>
                      <a:ext cx="2351714" cy="1647004"/>
                    </a:xfrm>
                    <a:prstGeom prst="rect">
                      <a:avLst/>
                    </a:prstGeom>
                    <a:noFill/>
                    <a:ln w="9525">
                      <a:noFill/>
                      <a:miter lim="800000"/>
                      <a:headEnd/>
                      <a:tailEnd/>
                    </a:ln>
                  </pic:spPr>
                </pic:pic>
              </a:graphicData>
            </a:graphic>
          </wp:inline>
        </w:drawing>
      </w:r>
    </w:p>
    <w:p w14:paraId="3FE0318B">
      <w:pPr>
        <w:spacing w:line="276" w:lineRule="auto"/>
        <w:jc w:val="left"/>
        <w:rPr>
          <w:rFonts w:ascii="黑体" w:hAnsi="黑体" w:cs="宋体"/>
          <w:bCs/>
          <w:kern w:val="0"/>
          <w:szCs w:val="18"/>
        </w:rPr>
      </w:pPr>
    </w:p>
    <w:p w14:paraId="13B8E863">
      <w:pPr>
        <w:pStyle w:val="97"/>
        <w:rPr>
          <w:b/>
        </w:rPr>
      </w:pPr>
      <w:r>
        <w:rPr>
          <w:rFonts w:hint="eastAsia"/>
          <w:b/>
        </w:rPr>
        <w:t>统招方案及样板要求</w:t>
      </w:r>
    </w:p>
    <w:p w14:paraId="651D5DB7">
      <w:pPr>
        <w:pStyle w:val="111"/>
        <w:jc w:val="left"/>
        <w:rPr>
          <w:rFonts w:cs="宋体"/>
          <w:bCs/>
        </w:rPr>
      </w:pPr>
      <w:r>
        <w:rPr>
          <w:rFonts w:hint="eastAsia" w:cs="宋体"/>
          <w:bCs/>
        </w:rPr>
        <w:t>各单位需根据本技术要求，按照各自的工艺做法提供至少2个施工方案，其中至少1种方案适用于厂房电梯口（耐磨防静电环氧地坪）。</w:t>
      </w:r>
    </w:p>
    <w:p w14:paraId="02DF1378">
      <w:pPr>
        <w:pStyle w:val="111"/>
        <w:jc w:val="left"/>
        <w:rPr>
          <w:rFonts w:cs="宋体"/>
          <w:bCs/>
        </w:rPr>
      </w:pPr>
      <w:r>
        <w:rPr>
          <w:rFonts w:hint="eastAsia" w:cs="宋体"/>
          <w:bCs/>
        </w:rPr>
        <w:t>各单位需按照各自经过确认的方案，根据需要在业主指定的位置进行样板施工。</w:t>
      </w:r>
    </w:p>
    <w:p w14:paraId="1EEC9476">
      <w:pPr>
        <w:pStyle w:val="111"/>
        <w:jc w:val="left"/>
        <w:rPr>
          <w:rFonts w:cs="宋体"/>
          <w:bCs/>
        </w:rPr>
      </w:pPr>
      <w:r>
        <w:rPr>
          <w:rFonts w:hint="eastAsia" w:cs="宋体"/>
          <w:bCs/>
        </w:rPr>
        <w:t>样板颜色：浅灰</w:t>
      </w:r>
    </w:p>
    <w:p w14:paraId="33E12A2C">
      <w:pPr>
        <w:spacing w:line="276" w:lineRule="auto"/>
        <w:ind w:firstLine="1800" w:firstLineChars="1000"/>
        <w:jc w:val="left"/>
        <w:rPr>
          <w:rFonts w:ascii="黑体" w:hAnsi="黑体" w:cs="宋体"/>
          <w:bCs/>
          <w:kern w:val="0"/>
          <w:szCs w:val="18"/>
        </w:rPr>
      </w:pPr>
      <w:r>
        <w:rPr>
          <w:rFonts w:hint="eastAsia" w:ascii="黑体" w:hAnsi="黑体" w:cs="宋体"/>
          <w:bCs/>
          <w:kern w:val="0"/>
          <w:szCs w:val="18"/>
        </w:rPr>
        <w:t>附：环氧地坪标准色卡</w:t>
      </w:r>
    </w:p>
    <w:p w14:paraId="5C577BF7">
      <w:pPr>
        <w:spacing w:line="276" w:lineRule="auto"/>
        <w:ind w:firstLine="1440" w:firstLineChars="800"/>
        <w:jc w:val="left"/>
        <w:rPr>
          <w:rFonts w:ascii="黑体" w:hAnsi="黑体" w:cs="宋体"/>
          <w:bCs/>
          <w:kern w:val="0"/>
          <w:szCs w:val="18"/>
        </w:rPr>
      </w:pPr>
      <w:r>
        <w:rPr>
          <w:rFonts w:hint="eastAsia" w:ascii="黑体" w:hAnsi="黑体" w:cs="宋体"/>
          <w:bCs/>
          <w:kern w:val="0"/>
          <w:szCs w:val="18"/>
        </w:rPr>
        <w:drawing>
          <wp:inline distT="0" distB="0" distL="0" distR="0">
            <wp:extent cx="5274310" cy="236283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7" cstate="print"/>
                    <a:srcRect/>
                    <a:stretch>
                      <a:fillRect/>
                    </a:stretch>
                  </pic:blipFill>
                  <pic:spPr>
                    <a:xfrm>
                      <a:off x="0" y="0"/>
                      <a:ext cx="5274310" cy="2363165"/>
                    </a:xfrm>
                    <a:prstGeom prst="rect">
                      <a:avLst/>
                    </a:prstGeom>
                    <a:noFill/>
                    <a:ln w="9525">
                      <a:noFill/>
                      <a:miter lim="800000"/>
                      <a:headEnd/>
                      <a:tailEnd/>
                    </a:ln>
                  </pic:spPr>
                </pic:pic>
              </a:graphicData>
            </a:graphic>
          </wp:inline>
        </w:drawing>
      </w:r>
    </w:p>
    <w:p w14:paraId="1EEEFF58">
      <w:pPr>
        <w:pStyle w:val="111"/>
      </w:pPr>
      <w:r>
        <w:t>环氧地坪系统工程施工前应进行基层检查，并依据</w:t>
      </w:r>
      <w:r>
        <w:rPr>
          <w:rFonts w:hint="eastAsia"/>
        </w:rPr>
        <w:t>地坪施工单位对</w:t>
      </w:r>
      <w:r>
        <w:t>基层</w:t>
      </w:r>
      <w:r>
        <w:rPr>
          <w:rFonts w:hint="eastAsia"/>
        </w:rPr>
        <w:t>进行检查</w:t>
      </w:r>
      <w:r>
        <w:t>报告编制施工组织方案，经</w:t>
      </w:r>
      <w:r>
        <w:rPr>
          <w:rFonts w:hint="eastAsia"/>
        </w:rPr>
        <w:t>相关部门</w:t>
      </w:r>
      <w:r>
        <w:t>审定并进行技术交底后按方案组织施工。</w:t>
      </w:r>
    </w:p>
    <w:p w14:paraId="4F5934CE">
      <w:pPr>
        <w:pStyle w:val="111"/>
      </w:pPr>
      <w:r>
        <w:t>工程所用材料应具有产品质量证明文件，其质量不得低于国家现行标准的规定；当材料没有国家现行标准时，应符合本规程的规定。</w:t>
      </w:r>
    </w:p>
    <w:p w14:paraId="1BB349B1">
      <w:pPr>
        <w:pStyle w:val="111"/>
      </w:pPr>
      <w:r>
        <w:t>产品质量证明文件，应包括产品质量合格证及材料检测报告。</w:t>
      </w:r>
    </w:p>
    <w:p w14:paraId="13C0F8F2">
      <w:pPr>
        <w:pStyle w:val="111"/>
      </w:pPr>
      <w:r>
        <w:fldChar w:fldCharType="begin"/>
      </w:r>
      <w:r>
        <w:instrText xml:space="preserve"> HYPERLINK "http://www.dpwang.com" \t "_blank" </w:instrText>
      </w:r>
      <w:r>
        <w:fldChar w:fldCharType="separate"/>
      </w:r>
      <w:r>
        <w:t>环氧地坪</w:t>
      </w:r>
      <w:r>
        <w:fldChar w:fldCharType="end"/>
      </w:r>
      <w:r>
        <w:t>材料应贮存在阴凉、干燥、通风、远离火和热源的场所，不得露天存放和曝晒，贮存温度宜为10℃～25℃。</w:t>
      </w:r>
    </w:p>
    <w:p w14:paraId="11B672B4">
      <w:pPr>
        <w:pStyle w:val="111"/>
      </w:pPr>
      <w:r>
        <w:t>施工单位应建立各道工序的自检、互检和专职人员检验制度，并应有完整的施工检查记录。隐蔽工程施工检查记录应经业主代表或监理签字确认后，方可进行下道工序施工。</w:t>
      </w:r>
    </w:p>
    <w:p w14:paraId="6B856FD0">
      <w:pPr>
        <w:pStyle w:val="111"/>
      </w:pPr>
      <w:r>
        <w:t>施工现场应封闭，严禁交叉作业。</w:t>
      </w:r>
    </w:p>
    <w:p w14:paraId="482F3D26">
      <w:pPr>
        <w:pStyle w:val="111"/>
      </w:pPr>
      <w:r>
        <w:t>进行环氧树脂地坪系统工程施工时，应配备施工人员和设备的安全防护装置。</w:t>
      </w:r>
    </w:p>
    <w:p w14:paraId="21C7CE68">
      <w:pPr>
        <w:spacing w:line="276" w:lineRule="auto"/>
        <w:ind w:left="425"/>
        <w:jc w:val="left"/>
        <w:rPr>
          <w:rFonts w:ascii="黑体" w:hAnsi="黑体" w:cs="宋体"/>
          <w:bCs/>
          <w:kern w:val="0"/>
          <w:szCs w:val="18"/>
        </w:rPr>
      </w:pPr>
    </w:p>
    <w:p w14:paraId="58C8C16A">
      <w:pPr>
        <w:pStyle w:val="97"/>
        <w:rPr>
          <w:b/>
        </w:rPr>
      </w:pPr>
      <w:r>
        <w:rPr>
          <w:rFonts w:hint="eastAsia"/>
          <w:b/>
        </w:rPr>
        <w:t>施工要求</w:t>
      </w:r>
    </w:p>
    <w:p w14:paraId="65C5E1EE">
      <w:pPr>
        <w:pStyle w:val="111"/>
        <w:numPr>
          <w:ilvl w:val="3"/>
          <w:numId w:val="110"/>
        </w:numPr>
        <w:jc w:val="left"/>
        <w:rPr>
          <w:rFonts w:cs="宋体"/>
          <w:bCs/>
        </w:rPr>
      </w:pPr>
      <w:r>
        <w:rPr>
          <w:rFonts w:hint="eastAsia" w:cs="宋体"/>
          <w:bCs/>
        </w:rPr>
        <w:t xml:space="preserve">环氧树脂地坪系统施工及工艺要求应符合CECS 328《整体地坪工程技术规程》的规定。        </w:t>
      </w:r>
    </w:p>
    <w:p w14:paraId="44A21702">
      <w:pPr>
        <w:pStyle w:val="111"/>
        <w:numPr>
          <w:ilvl w:val="3"/>
          <w:numId w:val="110"/>
        </w:numPr>
        <w:jc w:val="left"/>
        <w:rPr>
          <w:rFonts w:cs="宋体"/>
          <w:bCs/>
        </w:rPr>
      </w:pPr>
      <w:r>
        <w:rPr>
          <w:rFonts w:hint="eastAsia" w:cs="宋体"/>
          <w:bCs/>
        </w:rPr>
        <w:t>在项目施工前，应结合项目具体情况，并结合本技术要求提供具体的深化设计和施工方案。</w:t>
      </w:r>
    </w:p>
    <w:p w14:paraId="064CD010">
      <w:pPr>
        <w:pStyle w:val="111"/>
        <w:numPr>
          <w:ilvl w:val="3"/>
          <w:numId w:val="110"/>
        </w:numPr>
        <w:jc w:val="left"/>
        <w:rPr>
          <w:rFonts w:cs="宋体"/>
          <w:bCs/>
        </w:rPr>
      </w:pPr>
      <w:r>
        <w:rPr>
          <w:rFonts w:cs="宋体"/>
          <w:bCs/>
        </w:rPr>
        <w:t>环氧地坪系统工程施工前应进行基层检查，并依据</w:t>
      </w:r>
      <w:r>
        <w:rPr>
          <w:rFonts w:hint="eastAsia" w:cs="宋体"/>
          <w:bCs/>
        </w:rPr>
        <w:t>地坪施工单位对</w:t>
      </w:r>
      <w:r>
        <w:rPr>
          <w:rFonts w:cs="宋体"/>
          <w:bCs/>
        </w:rPr>
        <w:t>基层</w:t>
      </w:r>
      <w:r>
        <w:rPr>
          <w:rFonts w:hint="eastAsia" w:cs="宋体"/>
          <w:bCs/>
        </w:rPr>
        <w:t>进行检查</w:t>
      </w:r>
      <w:r>
        <w:rPr>
          <w:rFonts w:cs="宋体"/>
          <w:bCs/>
        </w:rPr>
        <w:t>报告编制施工组织方案，经</w:t>
      </w:r>
      <w:r>
        <w:rPr>
          <w:rFonts w:hint="eastAsia" w:cs="宋体"/>
          <w:bCs/>
        </w:rPr>
        <w:t>相关部门</w:t>
      </w:r>
      <w:r>
        <w:rPr>
          <w:rFonts w:cs="宋体"/>
          <w:bCs/>
        </w:rPr>
        <w:t>审定并进行技术交底后按方案组织施工。</w:t>
      </w:r>
    </w:p>
    <w:p w14:paraId="4F580451">
      <w:pPr>
        <w:pStyle w:val="111"/>
        <w:numPr>
          <w:ilvl w:val="3"/>
          <w:numId w:val="110"/>
        </w:numPr>
        <w:jc w:val="left"/>
        <w:rPr>
          <w:rFonts w:cs="宋体"/>
          <w:bCs/>
        </w:rPr>
      </w:pPr>
      <w:r>
        <w:rPr>
          <w:rFonts w:cs="宋体"/>
          <w:bCs/>
        </w:rPr>
        <w:t>工程所用材料应具有产品质量证明文件，其质量不得低于国家现行标准的规定；当材料没有国家现行标准时，应符合本规程的规定。</w:t>
      </w:r>
    </w:p>
    <w:p w14:paraId="696201B9">
      <w:pPr>
        <w:pStyle w:val="111"/>
        <w:numPr>
          <w:ilvl w:val="3"/>
          <w:numId w:val="110"/>
        </w:numPr>
        <w:jc w:val="left"/>
        <w:rPr>
          <w:rFonts w:cs="宋体"/>
          <w:bCs/>
        </w:rPr>
      </w:pPr>
      <w:r>
        <w:rPr>
          <w:rFonts w:cs="宋体"/>
          <w:bCs/>
        </w:rPr>
        <w:t>产品质量证明文件，应包括产品质量合格证及材料检测报告。</w:t>
      </w:r>
    </w:p>
    <w:p w14:paraId="034BCB39">
      <w:pPr>
        <w:pStyle w:val="111"/>
        <w:numPr>
          <w:ilvl w:val="3"/>
          <w:numId w:val="110"/>
        </w:numPr>
        <w:jc w:val="left"/>
        <w:rPr>
          <w:rFonts w:cs="宋体"/>
          <w:bCs/>
        </w:rPr>
      </w:pPr>
      <w:r>
        <w:fldChar w:fldCharType="begin"/>
      </w:r>
      <w:r>
        <w:instrText xml:space="preserve"> HYPERLINK "http://www.dpwang.com" \t "_blank" </w:instrText>
      </w:r>
      <w:r>
        <w:fldChar w:fldCharType="separate"/>
      </w:r>
      <w:r>
        <w:rPr>
          <w:rFonts w:cs="宋体"/>
          <w:bCs/>
        </w:rPr>
        <w:t>环氧地坪</w:t>
      </w:r>
      <w:r>
        <w:rPr>
          <w:rFonts w:cs="宋体"/>
          <w:bCs/>
        </w:rPr>
        <w:fldChar w:fldCharType="end"/>
      </w:r>
      <w:r>
        <w:rPr>
          <w:rFonts w:cs="宋体"/>
          <w:bCs/>
        </w:rPr>
        <w:t>材料应贮存在阴凉、干燥、通风、远离火和热源的场所，不得露天存放和曝晒，贮存温度宜为10℃～25℃。</w:t>
      </w:r>
    </w:p>
    <w:p w14:paraId="67D7ED19">
      <w:pPr>
        <w:pStyle w:val="111"/>
        <w:numPr>
          <w:ilvl w:val="3"/>
          <w:numId w:val="110"/>
        </w:numPr>
        <w:jc w:val="left"/>
        <w:rPr>
          <w:rFonts w:cs="宋体"/>
          <w:bCs/>
        </w:rPr>
      </w:pPr>
      <w:r>
        <w:rPr>
          <w:rFonts w:cs="宋体"/>
          <w:bCs/>
        </w:rPr>
        <w:t>施工单位应建立各道工序的自检、互检和专职人员检验制度，并应有完整的施工检查记录。隐蔽工程施工检查记录应经业主代表或监理签字确认后，方可进行下道工序施工。</w:t>
      </w:r>
    </w:p>
    <w:p w14:paraId="797703BA">
      <w:pPr>
        <w:pStyle w:val="111"/>
        <w:numPr>
          <w:ilvl w:val="3"/>
          <w:numId w:val="110"/>
        </w:numPr>
        <w:jc w:val="left"/>
        <w:rPr>
          <w:rFonts w:cs="宋体"/>
          <w:bCs/>
        </w:rPr>
      </w:pPr>
      <w:r>
        <w:rPr>
          <w:rFonts w:cs="宋体"/>
          <w:bCs/>
        </w:rPr>
        <w:t>施工现场应封闭，严禁交叉作业。</w:t>
      </w:r>
    </w:p>
    <w:p w14:paraId="250E68A6">
      <w:pPr>
        <w:pStyle w:val="111"/>
        <w:numPr>
          <w:ilvl w:val="3"/>
          <w:numId w:val="110"/>
        </w:numPr>
        <w:jc w:val="left"/>
        <w:rPr>
          <w:rFonts w:cs="宋体"/>
          <w:bCs/>
        </w:rPr>
      </w:pPr>
      <w:r>
        <w:rPr>
          <w:rFonts w:cs="宋体"/>
          <w:bCs/>
        </w:rPr>
        <w:t>进行环氧树脂地坪系统工程施工时，应配备施工人员和设备的安全防护装置。</w:t>
      </w:r>
    </w:p>
    <w:p w14:paraId="42E3AB0C">
      <w:pPr>
        <w:spacing w:line="276" w:lineRule="auto"/>
        <w:jc w:val="left"/>
        <w:rPr>
          <w:rFonts w:ascii="黑体" w:hAnsi="黑体" w:cs="宋体"/>
          <w:bCs/>
          <w:kern w:val="0"/>
          <w:szCs w:val="18"/>
        </w:rPr>
      </w:pPr>
    </w:p>
    <w:p w14:paraId="3AC4C012">
      <w:pPr>
        <w:pStyle w:val="97"/>
        <w:rPr>
          <w:b/>
        </w:rPr>
      </w:pPr>
      <w:r>
        <w:rPr>
          <w:rFonts w:hint="eastAsia"/>
          <w:b/>
        </w:rPr>
        <w:t>基层要求及处理方式</w:t>
      </w:r>
    </w:p>
    <w:p w14:paraId="5BDBA5BC">
      <w:pPr>
        <w:pStyle w:val="111"/>
        <w:numPr>
          <w:ilvl w:val="3"/>
          <w:numId w:val="111"/>
        </w:numPr>
        <w:jc w:val="left"/>
        <w:rPr>
          <w:rFonts w:cs="宋体"/>
          <w:bCs/>
        </w:rPr>
      </w:pPr>
      <w:r>
        <w:rPr>
          <w:rFonts w:hint="eastAsia" w:cs="宋体"/>
          <w:bCs/>
        </w:rPr>
        <w:t>基层细石混凝土应采用商品混凝土，浇筑时的坍落度建议在</w:t>
      </w:r>
      <w:r>
        <w:rPr>
          <w:rFonts w:cs="宋体"/>
          <w:bCs/>
        </w:rPr>
        <w:t xml:space="preserve">160+/-20 mm, </w:t>
      </w:r>
      <w:r>
        <w:rPr>
          <w:rFonts w:hint="eastAsia" w:cs="宋体"/>
          <w:bCs/>
        </w:rPr>
        <w:t>建议粉煤灰加入量≤</w:t>
      </w:r>
      <w:r>
        <w:rPr>
          <w:rFonts w:cs="宋体"/>
          <w:bCs/>
        </w:rPr>
        <w:t>40kg</w:t>
      </w:r>
      <w:r>
        <w:rPr>
          <w:rFonts w:hint="eastAsia" w:cs="宋体"/>
          <w:bCs/>
        </w:rPr>
        <w:t>，应坚固、密实。抗压强度应不小于</w:t>
      </w:r>
      <w:r>
        <w:rPr>
          <w:rFonts w:cs="宋体"/>
          <w:bCs/>
        </w:rPr>
        <w:t>25 MP</w:t>
      </w:r>
      <w:r>
        <w:rPr>
          <w:rFonts w:hint="eastAsia" w:cs="宋体"/>
          <w:bCs/>
        </w:rPr>
        <w:t>，拉拔强度均值不低于</w:t>
      </w:r>
      <w:r>
        <w:rPr>
          <w:rFonts w:cs="宋体"/>
          <w:bCs/>
        </w:rPr>
        <w:t>1.5 MPa</w:t>
      </w:r>
      <w:r>
        <w:rPr>
          <w:rFonts w:hint="eastAsia" w:cs="宋体"/>
          <w:bCs/>
        </w:rPr>
        <w:t>，最低值不低于</w:t>
      </w:r>
      <w:r>
        <w:rPr>
          <w:rFonts w:cs="宋体"/>
          <w:bCs/>
        </w:rPr>
        <w:t>1.2MPa</w:t>
      </w:r>
      <w:r>
        <w:rPr>
          <w:rFonts w:hint="eastAsia" w:cs="宋体"/>
          <w:bCs/>
        </w:rPr>
        <w:t>，含水率≤</w:t>
      </w:r>
      <w:r>
        <w:rPr>
          <w:rFonts w:cs="宋体"/>
          <w:bCs/>
        </w:rPr>
        <w:t>6</w:t>
      </w:r>
      <w:r>
        <w:rPr>
          <w:rFonts w:hint="eastAsia" w:cs="宋体"/>
          <w:bCs/>
        </w:rPr>
        <w:t>%，混凝土基层的平整度、排水坡度应满设计规范或业主的要求；基层应平整，表面收光，清洁，无油脂、裂缝、空鼓、损坏或其他污染物。如现场基层不达要求，需采用其他方式进行补强、找平及其他基层处理措施。</w:t>
      </w:r>
    </w:p>
    <w:p w14:paraId="14B61DBD">
      <w:pPr>
        <w:pStyle w:val="111"/>
        <w:numPr>
          <w:ilvl w:val="3"/>
          <w:numId w:val="111"/>
        </w:numPr>
        <w:jc w:val="left"/>
        <w:rPr>
          <w:rFonts w:cs="宋体"/>
          <w:bCs/>
        </w:rPr>
      </w:pPr>
      <w:r>
        <w:rPr>
          <w:rFonts w:cs="宋体"/>
          <w:bCs/>
        </w:rPr>
        <w:t>除处于继续开展而未稳定的活动裂缝和渗水裂缝外，当</w:t>
      </w:r>
      <w:r>
        <w:rPr>
          <w:rFonts w:hint="eastAsia" w:cs="宋体"/>
          <w:bCs/>
        </w:rPr>
        <w:t>地面</w:t>
      </w:r>
      <w:r>
        <w:rPr>
          <w:rFonts w:cs="宋体"/>
          <w:bCs/>
        </w:rPr>
        <w:t>裂缝宽度大于0.5mm时，宜采用填充密封法，先采用机械切割的方式将裂缝切成20mm深，20mm宽的V型槽。环氧地坪系统工程应采用无溶剂环氧树脂填充。</w:t>
      </w:r>
    </w:p>
    <w:p w14:paraId="238169EA">
      <w:pPr>
        <w:pStyle w:val="111"/>
        <w:numPr>
          <w:ilvl w:val="3"/>
          <w:numId w:val="111"/>
        </w:numPr>
        <w:jc w:val="left"/>
        <w:rPr>
          <w:rFonts w:cs="宋体"/>
          <w:bCs/>
        </w:rPr>
      </w:pPr>
      <w:r>
        <w:rPr>
          <w:rFonts w:cs="宋体"/>
          <w:bCs/>
        </w:rPr>
        <w:t>当找平层与混凝土基层之间出现空鼓时，空鼓面积不大于1㎡时，可采用注浆法处理；当空鼓面积大于1㎡时，应剔除后重新施工找平层。</w:t>
      </w:r>
    </w:p>
    <w:p w14:paraId="52FA7E2F">
      <w:pPr>
        <w:pStyle w:val="111"/>
        <w:numPr>
          <w:ilvl w:val="3"/>
          <w:numId w:val="111"/>
        </w:numPr>
        <w:jc w:val="left"/>
        <w:rPr>
          <w:rFonts w:cs="宋体"/>
          <w:bCs/>
        </w:rPr>
      </w:pPr>
      <w:r>
        <w:rPr>
          <w:rFonts w:hint="eastAsia" w:cs="宋体"/>
          <w:bCs/>
        </w:rPr>
        <w:t>基层要求表面收光，清洁，干燥，无裂缝、空鼓、损坏，当基层出现起砂、浮浆、表面脱落现象时，应用机械清除。混凝土凝土基层应采用</w:t>
      </w:r>
      <w:r>
        <w:fldChar w:fldCharType="begin"/>
      </w:r>
      <w:r>
        <w:instrText xml:space="preserve"> HYPERLINK "http://www.dpwang.com/s/list/77/" \t "_blank" </w:instrText>
      </w:r>
      <w:r>
        <w:fldChar w:fldCharType="separate"/>
      </w:r>
      <w:r>
        <w:rPr>
          <w:rFonts w:hint="eastAsia" w:cs="宋体"/>
          <w:bCs/>
        </w:rPr>
        <w:t>铣刨</w:t>
      </w:r>
      <w:r>
        <w:rPr>
          <w:rFonts w:hint="eastAsia" w:cs="宋体"/>
          <w:bCs/>
        </w:rPr>
        <w:fldChar w:fldCharType="end"/>
      </w:r>
      <w:r>
        <w:rPr>
          <w:rFonts w:hint="eastAsia" w:cs="宋体"/>
          <w:bCs/>
        </w:rPr>
        <w:t>、抛丸或打磨方法进行处理，以增强与地坪系统的粘结强度。</w:t>
      </w:r>
    </w:p>
    <w:p w14:paraId="209074A2">
      <w:pPr>
        <w:pStyle w:val="111"/>
        <w:numPr>
          <w:ilvl w:val="3"/>
          <w:numId w:val="111"/>
        </w:numPr>
        <w:jc w:val="left"/>
        <w:rPr>
          <w:rFonts w:cs="宋体"/>
          <w:bCs/>
        </w:rPr>
      </w:pPr>
      <w:r>
        <w:rPr>
          <w:rFonts w:cs="宋体"/>
          <w:bCs/>
        </w:rPr>
        <w:t>当基层平整度用2m靠尺检查，空隙大于3mm时，应进行找平处理。</w:t>
      </w:r>
    </w:p>
    <w:p w14:paraId="21B07343">
      <w:pPr>
        <w:pStyle w:val="111"/>
        <w:numPr>
          <w:ilvl w:val="3"/>
          <w:numId w:val="111"/>
        </w:numPr>
        <w:jc w:val="left"/>
        <w:rPr>
          <w:rFonts w:cs="宋体"/>
          <w:bCs/>
        </w:rPr>
      </w:pPr>
      <w:r>
        <w:rPr>
          <w:rFonts w:hint="eastAsia" w:cs="宋体"/>
          <w:bCs/>
        </w:rPr>
        <w:t xml:space="preserve"> </w:t>
      </w:r>
      <w:r>
        <w:rPr>
          <w:rFonts w:cs="宋体"/>
          <w:bCs/>
        </w:rPr>
        <w:t>基层含水率在6-8%之间时，可采用通风、提高室内温度等方式降低混凝土含水率或采用防潮底涂进行封闭处理；大于8%时，应采用防潮层处理。</w:t>
      </w:r>
    </w:p>
    <w:p w14:paraId="53508009">
      <w:pPr>
        <w:pStyle w:val="111"/>
        <w:numPr>
          <w:ilvl w:val="3"/>
          <w:numId w:val="111"/>
        </w:numPr>
        <w:jc w:val="left"/>
        <w:rPr>
          <w:rFonts w:cs="宋体"/>
          <w:bCs/>
        </w:rPr>
      </w:pPr>
      <w:r>
        <w:rPr>
          <w:rFonts w:hint="eastAsia" w:cs="宋体"/>
          <w:bCs/>
        </w:rPr>
        <w:t xml:space="preserve">所有垂直和水平面的交会处，涂料应连续施工，并且在水平和垂直面的相交处应做成圆角。                                       </w:t>
      </w:r>
      <w:r>
        <w:rPr>
          <w:rFonts w:cs="宋体"/>
          <w:b/>
          <w:bCs/>
        </w:rPr>
        <w:t xml:space="preserve"> </w:t>
      </w:r>
    </w:p>
    <w:p w14:paraId="7751D5C7">
      <w:pPr>
        <w:pStyle w:val="97"/>
        <w:rPr>
          <w:b/>
        </w:rPr>
      </w:pPr>
      <w:r>
        <w:rPr>
          <w:b/>
        </w:rPr>
        <w:t>质量检验与验收</w:t>
      </w:r>
    </w:p>
    <w:p w14:paraId="019A3AA8">
      <w:pPr>
        <w:pStyle w:val="111"/>
      </w:pPr>
      <w:r>
        <w:rPr>
          <w:rFonts w:ascii="Calibri" w:hAnsi="Calibri" w:cs="Calibri"/>
        </w:rPr>
        <w:t> </w:t>
      </w:r>
      <w:r>
        <w:t>一般规定</w:t>
      </w:r>
    </w:p>
    <w:p w14:paraId="20F3149F">
      <w:pPr>
        <w:numPr>
          <w:ilvl w:val="2"/>
          <w:numId w:val="112"/>
        </w:numPr>
        <w:spacing w:line="276" w:lineRule="auto"/>
        <w:jc w:val="left"/>
        <w:rPr>
          <w:rFonts w:ascii="黑体" w:hAnsi="黑体" w:cs="宋体"/>
          <w:bCs/>
          <w:kern w:val="0"/>
          <w:szCs w:val="18"/>
        </w:rPr>
      </w:pPr>
      <w:r>
        <w:rPr>
          <w:rFonts w:hint="eastAsia" w:ascii="黑体" w:hAnsi="黑体" w:cs="宋体"/>
          <w:bCs/>
          <w:kern w:val="0"/>
          <w:szCs w:val="18"/>
        </w:rPr>
        <w:t>防静电性能指标须满足本技术要求4.1条规定。</w:t>
      </w:r>
    </w:p>
    <w:p w14:paraId="69B18687">
      <w:pPr>
        <w:numPr>
          <w:ilvl w:val="2"/>
          <w:numId w:val="112"/>
        </w:numPr>
        <w:spacing w:line="276" w:lineRule="auto"/>
        <w:jc w:val="left"/>
        <w:rPr>
          <w:rFonts w:ascii="黑体" w:hAnsi="黑体" w:cs="宋体"/>
          <w:bCs/>
          <w:kern w:val="0"/>
          <w:szCs w:val="18"/>
        </w:rPr>
      </w:pPr>
      <w:r>
        <w:rPr>
          <w:rFonts w:hint="eastAsia" w:ascii="黑体" w:hAnsi="黑体" w:cs="宋体"/>
          <w:bCs/>
          <w:kern w:val="0"/>
          <w:szCs w:val="18"/>
        </w:rPr>
        <w:t xml:space="preserve">质量检验与验收应符合CECS 328《整体地坪工程技术规程》的规定                                     </w:t>
      </w:r>
    </w:p>
    <w:p w14:paraId="5690ED0F">
      <w:pPr>
        <w:numPr>
          <w:ilvl w:val="2"/>
          <w:numId w:val="112"/>
        </w:numPr>
        <w:spacing w:line="276" w:lineRule="auto"/>
        <w:jc w:val="left"/>
        <w:rPr>
          <w:rFonts w:ascii="黑体" w:hAnsi="黑体" w:cs="宋体"/>
          <w:bCs/>
          <w:kern w:val="0"/>
          <w:szCs w:val="18"/>
        </w:rPr>
      </w:pPr>
      <w:r>
        <w:rPr>
          <w:rFonts w:hint="eastAsia" w:ascii="黑体" w:hAnsi="黑体" w:cs="宋体"/>
          <w:bCs/>
          <w:kern w:val="0"/>
          <w:szCs w:val="18"/>
        </w:rPr>
        <w:t>地坪</w:t>
      </w:r>
      <w:r>
        <w:rPr>
          <w:rFonts w:ascii="黑体" w:hAnsi="黑体" w:cs="宋体"/>
          <w:bCs/>
          <w:kern w:val="0"/>
          <w:szCs w:val="18"/>
        </w:rPr>
        <w:t>工程验收时应提供材料进场时的抽样复检合格报告</w:t>
      </w:r>
      <w:r>
        <w:rPr>
          <w:rFonts w:hint="eastAsia" w:ascii="黑体" w:hAnsi="黑体" w:cs="宋体"/>
          <w:bCs/>
          <w:kern w:val="0"/>
          <w:szCs w:val="18"/>
        </w:rPr>
        <w:t>，必须是无溶剂型配方。</w:t>
      </w:r>
    </w:p>
    <w:p w14:paraId="01728925">
      <w:pPr>
        <w:numPr>
          <w:ilvl w:val="2"/>
          <w:numId w:val="112"/>
        </w:numPr>
        <w:spacing w:line="276" w:lineRule="auto"/>
        <w:jc w:val="left"/>
        <w:rPr>
          <w:rFonts w:ascii="黑体" w:hAnsi="黑体" w:cs="宋体"/>
          <w:bCs/>
          <w:kern w:val="0"/>
          <w:szCs w:val="18"/>
        </w:rPr>
      </w:pPr>
      <w:r>
        <w:rPr>
          <w:rFonts w:hint="eastAsia" w:ascii="黑体" w:hAnsi="黑体" w:cs="宋体"/>
          <w:bCs/>
          <w:kern w:val="0"/>
          <w:szCs w:val="18"/>
        </w:rPr>
        <w:t>环氧地坪系统</w:t>
      </w:r>
      <w:r>
        <w:rPr>
          <w:rFonts w:ascii="黑体" w:hAnsi="黑体" w:cs="宋体"/>
          <w:bCs/>
          <w:kern w:val="0"/>
          <w:szCs w:val="18"/>
        </w:rPr>
        <w:t>工程质量检验与验收应符合现行国家标准《建筑地面工程施工质量验收规范》GB50209的规定。</w:t>
      </w:r>
    </w:p>
    <w:p w14:paraId="4D96EE7E">
      <w:pPr>
        <w:numPr>
          <w:ilvl w:val="2"/>
          <w:numId w:val="112"/>
        </w:numPr>
        <w:spacing w:line="276" w:lineRule="auto"/>
        <w:jc w:val="left"/>
        <w:rPr>
          <w:rFonts w:ascii="黑体" w:hAnsi="黑体" w:cs="宋体"/>
          <w:bCs/>
          <w:kern w:val="0"/>
          <w:szCs w:val="18"/>
        </w:rPr>
      </w:pPr>
      <w:r>
        <w:rPr>
          <w:rFonts w:hint="eastAsia" w:ascii="黑体" w:hAnsi="黑体" w:cs="宋体"/>
          <w:bCs/>
          <w:kern w:val="0"/>
          <w:szCs w:val="18"/>
        </w:rPr>
        <w:t>环氧地坪系统</w:t>
      </w:r>
      <w:r>
        <w:rPr>
          <w:rFonts w:ascii="黑体" w:hAnsi="黑体" w:cs="宋体"/>
          <w:bCs/>
          <w:kern w:val="0"/>
          <w:szCs w:val="18"/>
        </w:rPr>
        <w:t>工程使用的材料和施工完成后的室内空气质量应符合现行国家标准《民用建筑工程室内环境污染控制规范》GB50325的规定。</w:t>
      </w:r>
    </w:p>
    <w:p w14:paraId="7849D85D">
      <w:pPr>
        <w:numPr>
          <w:ilvl w:val="2"/>
          <w:numId w:val="112"/>
        </w:numPr>
        <w:spacing w:line="276" w:lineRule="auto"/>
        <w:jc w:val="left"/>
        <w:rPr>
          <w:rFonts w:ascii="黑体" w:hAnsi="黑体" w:cs="宋体"/>
          <w:bCs/>
          <w:kern w:val="0"/>
          <w:szCs w:val="18"/>
        </w:rPr>
      </w:pPr>
      <w:r>
        <w:rPr>
          <w:rFonts w:ascii="黑体" w:hAnsi="黑体" w:cs="宋体"/>
          <w:bCs/>
          <w:kern w:val="0"/>
          <w:szCs w:val="18"/>
        </w:rPr>
        <w:t>环氧树脂</w:t>
      </w:r>
      <w:r>
        <w:fldChar w:fldCharType="begin"/>
      </w:r>
      <w:r>
        <w:instrText xml:space="preserve"> HYPERLINK "http://www.dpwang.com" \t "_blank" </w:instrText>
      </w:r>
      <w:r>
        <w:fldChar w:fldCharType="separate"/>
      </w:r>
      <w:r>
        <w:rPr>
          <w:rFonts w:ascii="黑体" w:hAnsi="黑体" w:cs="宋体"/>
          <w:bCs/>
          <w:kern w:val="0"/>
          <w:szCs w:val="18"/>
        </w:rPr>
        <w:t>地坪材料</w:t>
      </w:r>
      <w:r>
        <w:rPr>
          <w:rFonts w:ascii="黑体" w:hAnsi="黑体" w:cs="宋体"/>
          <w:bCs/>
          <w:kern w:val="0"/>
          <w:szCs w:val="18"/>
        </w:rPr>
        <w:fldChar w:fldCharType="end"/>
      </w:r>
      <w:r>
        <w:rPr>
          <w:rFonts w:ascii="黑体" w:hAnsi="黑体" w:cs="宋体"/>
          <w:bCs/>
          <w:kern w:val="0"/>
          <w:szCs w:val="18"/>
        </w:rPr>
        <w:t>环保和性能指标应符合《地坪涂装材料》GBT22374的规定。</w:t>
      </w:r>
    </w:p>
    <w:p w14:paraId="4A67570A">
      <w:pPr>
        <w:numPr>
          <w:ilvl w:val="2"/>
          <w:numId w:val="112"/>
        </w:numPr>
        <w:spacing w:line="276" w:lineRule="auto"/>
        <w:jc w:val="left"/>
        <w:rPr>
          <w:rFonts w:ascii="黑体" w:hAnsi="黑体" w:cs="宋体"/>
          <w:bCs/>
          <w:kern w:val="0"/>
          <w:szCs w:val="18"/>
        </w:rPr>
      </w:pPr>
      <w:r>
        <w:rPr>
          <w:rFonts w:hint="eastAsia" w:ascii="黑体" w:hAnsi="黑体" w:cs="宋体"/>
          <w:bCs/>
          <w:kern w:val="0"/>
          <w:szCs w:val="18"/>
        </w:rPr>
        <w:t>环氧地坪系统</w:t>
      </w:r>
      <w:r>
        <w:rPr>
          <w:rFonts w:ascii="黑体" w:hAnsi="黑体" w:cs="宋体"/>
          <w:bCs/>
          <w:kern w:val="0"/>
          <w:szCs w:val="18"/>
        </w:rPr>
        <w:t>工程质量检验与验收批次应符合下列规定</w:t>
      </w:r>
    </w:p>
    <w:p w14:paraId="658653DD">
      <w:pPr>
        <w:numPr>
          <w:ilvl w:val="0"/>
          <w:numId w:val="105"/>
        </w:numPr>
        <w:spacing w:line="276" w:lineRule="auto"/>
        <w:jc w:val="left"/>
        <w:rPr>
          <w:rFonts w:ascii="黑体" w:hAnsi="黑体" w:cs="宋体"/>
          <w:bCs/>
          <w:kern w:val="0"/>
          <w:szCs w:val="18"/>
        </w:rPr>
      </w:pPr>
      <w:r>
        <w:rPr>
          <w:rFonts w:hint="eastAsia" w:ascii="黑体" w:hAnsi="黑体" w:cs="宋体"/>
          <w:bCs/>
          <w:kern w:val="0"/>
          <w:szCs w:val="18"/>
        </w:rPr>
        <w:t>应按每一层或每层施工段或变形缝作为一个检验批</w:t>
      </w:r>
    </w:p>
    <w:p w14:paraId="52371EBB">
      <w:pPr>
        <w:numPr>
          <w:ilvl w:val="0"/>
          <w:numId w:val="105"/>
        </w:numPr>
        <w:spacing w:line="276" w:lineRule="auto"/>
        <w:jc w:val="left"/>
        <w:rPr>
          <w:rFonts w:ascii="黑体" w:hAnsi="黑体" w:cs="宋体"/>
          <w:bCs/>
          <w:kern w:val="0"/>
          <w:szCs w:val="18"/>
        </w:rPr>
      </w:pPr>
      <w:r>
        <w:rPr>
          <w:rFonts w:ascii="黑体" w:hAnsi="黑体" w:cs="宋体"/>
          <w:bCs/>
          <w:kern w:val="0"/>
          <w:szCs w:val="18"/>
        </w:rPr>
        <w:t>每个检验批应按自然间或标准间随机检验，抽查数量不应少于3 间，不足3 间时，应全数检查。走廊（过道）应以10 延长米为1 间</w:t>
      </w:r>
      <w:r>
        <w:rPr>
          <w:rFonts w:hint="eastAsia" w:ascii="黑体" w:hAnsi="黑体" w:cs="宋体"/>
          <w:bCs/>
          <w:kern w:val="0"/>
          <w:szCs w:val="18"/>
        </w:rPr>
        <w:t>，车库、设备间应以两个轴线为</w:t>
      </w:r>
      <w:r>
        <w:rPr>
          <w:rFonts w:ascii="黑体" w:hAnsi="黑体" w:cs="宋体"/>
          <w:bCs/>
          <w:kern w:val="0"/>
          <w:szCs w:val="18"/>
        </w:rPr>
        <w:t xml:space="preserve">1 </w:t>
      </w:r>
      <w:r>
        <w:rPr>
          <w:rFonts w:hint="eastAsia" w:ascii="黑体" w:hAnsi="黑体" w:cs="宋体"/>
          <w:bCs/>
          <w:kern w:val="0"/>
          <w:szCs w:val="18"/>
        </w:rPr>
        <w:t>间计算。</w:t>
      </w:r>
    </w:p>
    <w:p w14:paraId="44BDF941">
      <w:pPr>
        <w:pStyle w:val="111"/>
      </w:pPr>
      <w:r>
        <w:t>防静电专项合格检测</w:t>
      </w:r>
    </w:p>
    <w:p w14:paraId="7B24B7DD">
      <w:pPr>
        <w:numPr>
          <w:ilvl w:val="2"/>
          <w:numId w:val="113"/>
        </w:numPr>
        <w:spacing w:line="276" w:lineRule="auto"/>
        <w:jc w:val="left"/>
        <w:rPr>
          <w:rFonts w:ascii="黑体" w:hAnsi="黑体" w:cs="宋体"/>
          <w:bCs/>
          <w:kern w:val="0"/>
          <w:szCs w:val="18"/>
        </w:rPr>
      </w:pPr>
      <w:r>
        <w:rPr>
          <w:rFonts w:ascii="黑体" w:hAnsi="黑体" w:cs="宋体"/>
          <w:bCs/>
          <w:kern w:val="0"/>
          <w:szCs w:val="18"/>
        </w:rPr>
        <w:t>检测环境。</w:t>
      </w:r>
      <w:r>
        <w:rPr>
          <w:rFonts w:hint="eastAsia" w:ascii="黑体" w:hAnsi="黑体" w:cs="宋体"/>
          <w:bCs/>
          <w:kern w:val="0"/>
          <w:szCs w:val="18"/>
        </w:rPr>
        <w:t>施工完干燥至少</w:t>
      </w:r>
      <w:r>
        <w:rPr>
          <w:rFonts w:ascii="黑体" w:hAnsi="黑体" w:cs="宋体"/>
          <w:bCs/>
          <w:kern w:val="0"/>
          <w:szCs w:val="18"/>
        </w:rPr>
        <w:t>28天，在相对湿度40%以下进行检测</w:t>
      </w:r>
    </w:p>
    <w:p w14:paraId="24B9C181">
      <w:pPr>
        <w:numPr>
          <w:ilvl w:val="2"/>
          <w:numId w:val="113"/>
        </w:numPr>
        <w:spacing w:line="276" w:lineRule="auto"/>
        <w:jc w:val="left"/>
        <w:rPr>
          <w:rFonts w:ascii="黑体" w:hAnsi="黑体" w:cs="宋体"/>
          <w:bCs/>
          <w:kern w:val="0"/>
          <w:szCs w:val="18"/>
        </w:rPr>
      </w:pPr>
      <w:r>
        <w:rPr>
          <w:rFonts w:hint="eastAsia" w:ascii="黑体" w:hAnsi="黑体" w:cs="宋体"/>
          <w:bCs/>
          <w:kern w:val="0"/>
          <w:szCs w:val="18"/>
        </w:rPr>
        <w:t>防静电地坪按照厂内</w:t>
      </w:r>
      <w:r>
        <w:rPr>
          <w:rFonts w:ascii="黑体" w:hAnsi="黑体" w:cs="宋体"/>
          <w:bCs/>
          <w:kern w:val="0"/>
          <w:szCs w:val="18"/>
        </w:rPr>
        <w:t>4个柱子(约144平米)围成的区域或按每150平米划分为一个测试方格,每个测试方格至少随机选取2个点进行测试。面积不足150平米的区域划分为一个测试方格，并至少随机选取5个点进行测试。如果有1个或几个测量点超过标准要求，则对应的测试方格的测量点数量应增加5个，这5个测量点应平均分布在整个测试区域内。同时应在超过要求的测量点周围再选取4个点进行测量，测试结果如出现下述四种情况之一,则判定此测试方格不合格。</w:t>
      </w:r>
    </w:p>
    <w:p w14:paraId="645929A4">
      <w:pPr>
        <w:numPr>
          <w:ilvl w:val="2"/>
          <w:numId w:val="113"/>
        </w:numPr>
        <w:spacing w:line="276" w:lineRule="auto"/>
        <w:jc w:val="left"/>
        <w:rPr>
          <w:rFonts w:ascii="黑体" w:hAnsi="黑体" w:cs="宋体"/>
          <w:bCs/>
          <w:kern w:val="0"/>
          <w:szCs w:val="18"/>
        </w:rPr>
      </w:pPr>
      <w:r>
        <w:rPr>
          <w:rFonts w:ascii="黑体" w:hAnsi="黑体" w:cs="宋体"/>
          <w:bCs/>
          <w:kern w:val="0"/>
          <w:szCs w:val="18"/>
        </w:rPr>
        <w:t>有两个及以上的测量点电阻R≥1GΩ；</w:t>
      </w:r>
    </w:p>
    <w:p w14:paraId="4F1743F3">
      <w:pPr>
        <w:numPr>
          <w:ilvl w:val="2"/>
          <w:numId w:val="113"/>
        </w:numPr>
        <w:spacing w:line="276" w:lineRule="auto"/>
        <w:jc w:val="left"/>
        <w:rPr>
          <w:rFonts w:ascii="黑体" w:hAnsi="黑体" w:cs="宋体"/>
          <w:bCs/>
          <w:kern w:val="0"/>
          <w:szCs w:val="18"/>
        </w:rPr>
      </w:pPr>
      <w:r>
        <w:rPr>
          <w:rFonts w:ascii="黑体" w:hAnsi="黑体" w:cs="宋体"/>
          <w:bCs/>
          <w:kern w:val="0"/>
          <w:szCs w:val="18"/>
        </w:rPr>
        <w:t>有三个及以上的测量点电阻100MΩ≤R＜1GΩ；</w:t>
      </w:r>
    </w:p>
    <w:p w14:paraId="65628E80">
      <w:pPr>
        <w:numPr>
          <w:ilvl w:val="2"/>
          <w:numId w:val="113"/>
        </w:numPr>
        <w:spacing w:line="276" w:lineRule="auto"/>
        <w:jc w:val="left"/>
        <w:rPr>
          <w:rFonts w:ascii="黑体" w:hAnsi="黑体" w:cs="宋体"/>
          <w:bCs/>
          <w:kern w:val="0"/>
          <w:szCs w:val="18"/>
        </w:rPr>
      </w:pPr>
      <w:r>
        <w:rPr>
          <w:rFonts w:ascii="黑体" w:hAnsi="黑体" w:cs="宋体"/>
          <w:bCs/>
          <w:kern w:val="0"/>
          <w:szCs w:val="18"/>
        </w:rPr>
        <w:t>有五个及以上的测量点电阻35MΩ≤R＜100MΩ；</w:t>
      </w:r>
    </w:p>
    <w:p w14:paraId="19141085">
      <w:pPr>
        <w:numPr>
          <w:ilvl w:val="2"/>
          <w:numId w:val="113"/>
        </w:numPr>
        <w:spacing w:line="276" w:lineRule="auto"/>
        <w:jc w:val="left"/>
        <w:rPr>
          <w:rFonts w:ascii="黑体" w:hAnsi="黑体" w:cs="宋体"/>
          <w:bCs/>
          <w:kern w:val="0"/>
          <w:szCs w:val="18"/>
        </w:rPr>
      </w:pPr>
      <w:r>
        <w:rPr>
          <w:rFonts w:ascii="黑体" w:hAnsi="黑体" w:cs="宋体"/>
          <w:bCs/>
          <w:kern w:val="0"/>
          <w:szCs w:val="18"/>
        </w:rPr>
        <w:t>总不合格点数≥5。</w:t>
      </w:r>
    </w:p>
    <w:p w14:paraId="58A6AB90">
      <w:pPr>
        <w:numPr>
          <w:ilvl w:val="2"/>
          <w:numId w:val="113"/>
        </w:numPr>
        <w:spacing w:line="276" w:lineRule="auto"/>
        <w:jc w:val="left"/>
        <w:rPr>
          <w:rFonts w:ascii="黑体" w:hAnsi="黑体" w:cs="宋体"/>
          <w:bCs/>
          <w:kern w:val="0"/>
          <w:szCs w:val="18"/>
        </w:rPr>
      </w:pPr>
      <w:r>
        <w:rPr>
          <w:rFonts w:ascii="黑体" w:hAnsi="黑体" w:cs="宋体"/>
          <w:bCs/>
          <w:kern w:val="0"/>
          <w:szCs w:val="18"/>
        </w:rPr>
        <w:t>整个验收区域符合性判断原则如下：</w:t>
      </w:r>
    </w:p>
    <w:p w14:paraId="06A36322">
      <w:pPr>
        <w:pStyle w:val="49"/>
        <w:numPr>
          <w:ilvl w:val="0"/>
          <w:numId w:val="114"/>
        </w:numPr>
        <w:spacing w:line="276" w:lineRule="auto"/>
        <w:ind w:firstLineChars="0"/>
        <w:jc w:val="left"/>
        <w:rPr>
          <w:rFonts w:ascii="黑体" w:hAnsi="黑体" w:cs="宋体"/>
          <w:bCs/>
          <w:kern w:val="0"/>
          <w:szCs w:val="18"/>
        </w:rPr>
      </w:pPr>
      <w:r>
        <w:rPr>
          <w:rFonts w:ascii="黑体" w:hAnsi="黑体" w:cs="宋体"/>
          <w:bCs/>
          <w:kern w:val="0"/>
          <w:szCs w:val="18"/>
        </w:rPr>
        <w:t>存在一个及以上的测试方格不合格，则验收不合格；</w:t>
      </w:r>
    </w:p>
    <w:p w14:paraId="51B0317D">
      <w:pPr>
        <w:pStyle w:val="49"/>
        <w:numPr>
          <w:ilvl w:val="0"/>
          <w:numId w:val="114"/>
        </w:numPr>
        <w:spacing w:line="276" w:lineRule="auto"/>
        <w:ind w:firstLineChars="0"/>
        <w:jc w:val="left"/>
        <w:rPr>
          <w:rFonts w:ascii="黑体" w:hAnsi="黑体" w:cs="宋体"/>
          <w:bCs/>
          <w:kern w:val="0"/>
          <w:szCs w:val="18"/>
        </w:rPr>
      </w:pPr>
      <w:r>
        <w:rPr>
          <w:rFonts w:ascii="黑体" w:hAnsi="黑体" w:cs="宋体"/>
          <w:bCs/>
          <w:kern w:val="0"/>
          <w:szCs w:val="18"/>
        </w:rPr>
        <w:t>当不合格测量点存在阻值R≥1GΩ,则按AQL1.5进行验收；</w:t>
      </w:r>
    </w:p>
    <w:p w14:paraId="5F126388">
      <w:pPr>
        <w:pStyle w:val="49"/>
        <w:numPr>
          <w:ilvl w:val="0"/>
          <w:numId w:val="114"/>
        </w:numPr>
        <w:spacing w:line="276" w:lineRule="auto"/>
        <w:ind w:firstLineChars="0"/>
        <w:jc w:val="left"/>
        <w:rPr>
          <w:rFonts w:ascii="黑体" w:hAnsi="黑体" w:cs="宋体"/>
          <w:bCs/>
          <w:kern w:val="0"/>
          <w:szCs w:val="18"/>
        </w:rPr>
      </w:pPr>
      <w:r>
        <w:rPr>
          <w:rFonts w:ascii="黑体" w:hAnsi="黑体" w:cs="宋体"/>
          <w:bCs/>
          <w:kern w:val="0"/>
          <w:szCs w:val="18"/>
        </w:rPr>
        <w:t>当不合格测量点的阻值在100MΩ≤R＜1GΩ,则按AQL2.5进行验收；</w:t>
      </w:r>
    </w:p>
    <w:p w14:paraId="24A21389">
      <w:pPr>
        <w:pStyle w:val="49"/>
        <w:numPr>
          <w:ilvl w:val="0"/>
          <w:numId w:val="114"/>
        </w:numPr>
        <w:spacing w:line="276" w:lineRule="auto"/>
        <w:ind w:firstLineChars="0"/>
        <w:jc w:val="left"/>
        <w:rPr>
          <w:rFonts w:ascii="黑体" w:hAnsi="黑体" w:cs="宋体"/>
          <w:bCs/>
          <w:kern w:val="0"/>
          <w:szCs w:val="18"/>
        </w:rPr>
      </w:pPr>
      <w:r>
        <w:rPr>
          <w:rFonts w:ascii="黑体" w:hAnsi="黑体" w:cs="宋体"/>
          <w:bCs/>
          <w:kern w:val="0"/>
          <w:szCs w:val="18"/>
        </w:rPr>
        <w:t>当不合格测量点的阻值均在35MΩ≤R＜100MΩ则按AQL4.0进行验收；</w:t>
      </w:r>
    </w:p>
    <w:p w14:paraId="6392B7E5">
      <w:pPr>
        <w:pStyle w:val="111"/>
      </w:pPr>
      <w:r>
        <w:rPr>
          <w:rFonts w:hint="eastAsia"/>
        </w:rPr>
        <w:t>主控项目</w:t>
      </w:r>
    </w:p>
    <w:p w14:paraId="5E343B23">
      <w:pPr>
        <w:spacing w:line="276" w:lineRule="auto"/>
        <w:ind w:left="1440" w:leftChars="800"/>
        <w:jc w:val="left"/>
        <w:rPr>
          <w:rFonts w:ascii="黑体" w:hAnsi="黑体" w:cs="宋体"/>
          <w:bCs/>
          <w:kern w:val="0"/>
          <w:szCs w:val="18"/>
        </w:rPr>
      </w:pPr>
      <w:r>
        <w:rPr>
          <w:rFonts w:hint="eastAsia" w:ascii="黑体" w:hAnsi="黑体" w:cs="宋体"/>
          <w:bCs/>
          <w:kern w:val="0"/>
          <w:szCs w:val="18"/>
        </w:rPr>
        <w:t>环氧树脂地坪系统主控</w:t>
      </w:r>
      <w:r>
        <w:rPr>
          <w:rFonts w:ascii="黑体" w:hAnsi="黑体" w:cs="宋体"/>
          <w:bCs/>
          <w:kern w:val="0"/>
          <w:szCs w:val="18"/>
        </w:rPr>
        <w:t>项目</w:t>
      </w:r>
      <w:r>
        <w:rPr>
          <w:rFonts w:hint="eastAsia" w:ascii="黑体" w:hAnsi="黑体" w:cs="宋体"/>
          <w:bCs/>
          <w:kern w:val="0"/>
          <w:szCs w:val="18"/>
        </w:rPr>
        <w:t>应符合表1的规定。</w:t>
      </w:r>
    </w:p>
    <w:p w14:paraId="020A0D8F">
      <w:pPr>
        <w:spacing w:line="276" w:lineRule="auto"/>
        <w:jc w:val="center"/>
        <w:rPr>
          <w:rFonts w:ascii="黑体" w:hAnsi="黑体" w:cs="宋体"/>
          <w:b/>
          <w:bCs/>
          <w:kern w:val="0"/>
          <w:szCs w:val="18"/>
        </w:rPr>
      </w:pPr>
      <w:r>
        <w:rPr>
          <w:rFonts w:hint="eastAsia" w:ascii="黑体" w:hAnsi="黑体" w:cs="宋体"/>
          <w:b/>
          <w:bCs/>
          <w:kern w:val="0"/>
          <w:szCs w:val="18"/>
        </w:rPr>
        <w:t>表1: 环氧树脂地坪系统主控</w:t>
      </w:r>
      <w:r>
        <w:rPr>
          <w:rFonts w:ascii="黑体" w:hAnsi="黑体" w:cs="宋体"/>
          <w:b/>
          <w:bCs/>
          <w:kern w:val="0"/>
          <w:szCs w:val="18"/>
        </w:rPr>
        <w:t>项目</w:t>
      </w:r>
    </w:p>
    <w:tbl>
      <w:tblPr>
        <w:tblStyle w:val="36"/>
        <w:tblW w:w="852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9"/>
        <w:gridCol w:w="3544"/>
        <w:gridCol w:w="3827"/>
      </w:tblGrid>
      <w:tr w14:paraId="11E2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blCellSpacing w:w="0" w:type="dxa"/>
          <w:jc w:val="center"/>
        </w:trPr>
        <w:tc>
          <w:tcPr>
            <w:tcW w:w="1149" w:type="dxa"/>
            <w:vAlign w:val="center"/>
          </w:tcPr>
          <w:p w14:paraId="5CC40438">
            <w:pPr>
              <w:spacing w:line="276" w:lineRule="auto"/>
              <w:jc w:val="left"/>
              <w:rPr>
                <w:rFonts w:ascii="黑体" w:hAnsi="黑体" w:cs="宋体"/>
                <w:bCs/>
                <w:kern w:val="0"/>
                <w:szCs w:val="18"/>
              </w:rPr>
            </w:pPr>
            <w:r>
              <w:rPr>
                <w:rFonts w:ascii="黑体" w:hAnsi="黑体" w:cs="宋体"/>
                <w:bCs/>
                <w:kern w:val="0"/>
                <w:szCs w:val="18"/>
              </w:rPr>
              <w:t>项目</w:t>
            </w:r>
          </w:p>
        </w:tc>
        <w:tc>
          <w:tcPr>
            <w:tcW w:w="3544" w:type="dxa"/>
            <w:vAlign w:val="center"/>
          </w:tcPr>
          <w:p w14:paraId="67165014">
            <w:pPr>
              <w:spacing w:line="276" w:lineRule="auto"/>
              <w:jc w:val="left"/>
              <w:rPr>
                <w:rFonts w:ascii="黑体" w:hAnsi="黑体" w:cs="宋体"/>
                <w:bCs/>
                <w:kern w:val="0"/>
                <w:szCs w:val="18"/>
              </w:rPr>
            </w:pPr>
            <w:r>
              <w:rPr>
                <w:rFonts w:hint="eastAsia" w:ascii="黑体" w:hAnsi="黑体" w:cs="宋体"/>
                <w:bCs/>
                <w:kern w:val="0"/>
                <w:szCs w:val="18"/>
              </w:rPr>
              <w:t>环氧地坪系统</w:t>
            </w:r>
          </w:p>
        </w:tc>
        <w:tc>
          <w:tcPr>
            <w:tcW w:w="3827" w:type="dxa"/>
            <w:vAlign w:val="center"/>
          </w:tcPr>
          <w:p w14:paraId="6F1A5DF7">
            <w:pPr>
              <w:spacing w:line="276" w:lineRule="auto"/>
              <w:jc w:val="left"/>
              <w:rPr>
                <w:rFonts w:ascii="黑体" w:hAnsi="黑体" w:cs="宋体"/>
                <w:bCs/>
                <w:kern w:val="0"/>
                <w:szCs w:val="18"/>
              </w:rPr>
            </w:pPr>
            <w:r>
              <w:rPr>
                <w:rFonts w:ascii="黑体" w:hAnsi="黑体" w:cs="宋体"/>
                <w:bCs/>
                <w:kern w:val="0"/>
                <w:szCs w:val="18"/>
              </w:rPr>
              <w:t>检测方法</w:t>
            </w:r>
          </w:p>
        </w:tc>
      </w:tr>
      <w:tr w14:paraId="7F0E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6" w:hRule="atLeast"/>
          <w:tblCellSpacing w:w="0" w:type="dxa"/>
          <w:jc w:val="center"/>
        </w:trPr>
        <w:tc>
          <w:tcPr>
            <w:tcW w:w="1149" w:type="dxa"/>
            <w:vAlign w:val="center"/>
          </w:tcPr>
          <w:p w14:paraId="0C9A78E8">
            <w:pPr>
              <w:spacing w:line="276" w:lineRule="auto"/>
              <w:jc w:val="left"/>
              <w:rPr>
                <w:rFonts w:ascii="黑体" w:hAnsi="黑体" w:cs="宋体"/>
                <w:bCs/>
                <w:kern w:val="0"/>
                <w:szCs w:val="18"/>
              </w:rPr>
            </w:pPr>
            <w:r>
              <w:rPr>
                <w:rFonts w:ascii="黑体" w:hAnsi="黑体" w:cs="宋体"/>
                <w:bCs/>
                <w:kern w:val="0"/>
                <w:szCs w:val="18"/>
              </w:rPr>
              <w:t>外观</w:t>
            </w:r>
          </w:p>
        </w:tc>
        <w:tc>
          <w:tcPr>
            <w:tcW w:w="3544" w:type="dxa"/>
            <w:vAlign w:val="center"/>
          </w:tcPr>
          <w:p w14:paraId="0C4E1E4D">
            <w:pPr>
              <w:spacing w:line="276" w:lineRule="auto"/>
              <w:ind w:left="88" w:leftChars="49" w:right="115" w:rightChars="64" w:firstLine="1"/>
              <w:jc w:val="left"/>
              <w:rPr>
                <w:rFonts w:ascii="黑体" w:hAnsi="黑体" w:cs="宋体"/>
                <w:bCs/>
                <w:kern w:val="0"/>
                <w:szCs w:val="18"/>
              </w:rPr>
            </w:pPr>
            <w:r>
              <w:rPr>
                <w:rFonts w:ascii="黑体" w:hAnsi="黑体" w:cs="宋体"/>
                <w:bCs/>
                <w:kern w:val="0"/>
                <w:szCs w:val="18"/>
              </w:rPr>
              <w:t>表面平整、光滑，无明显裂纹、色差、针孔、起壳、漏涂等缺陷</w:t>
            </w:r>
          </w:p>
        </w:tc>
        <w:tc>
          <w:tcPr>
            <w:tcW w:w="3827" w:type="dxa"/>
            <w:vAlign w:val="center"/>
          </w:tcPr>
          <w:p w14:paraId="6A890A28">
            <w:pPr>
              <w:spacing w:line="276" w:lineRule="auto"/>
              <w:ind w:left="88" w:leftChars="49" w:right="115" w:rightChars="64" w:firstLine="1"/>
              <w:jc w:val="left"/>
              <w:rPr>
                <w:rFonts w:ascii="黑体" w:hAnsi="黑体" w:cs="宋体"/>
                <w:bCs/>
                <w:kern w:val="0"/>
                <w:szCs w:val="18"/>
              </w:rPr>
            </w:pPr>
            <w:r>
              <w:rPr>
                <w:rFonts w:ascii="黑体" w:hAnsi="黑体" w:cs="宋体"/>
                <w:bCs/>
                <w:kern w:val="0"/>
                <w:szCs w:val="18"/>
              </w:rPr>
              <w:t>距表面1m处垂直观察，至少90%的表面无肉眼可见的差异。</w:t>
            </w:r>
          </w:p>
        </w:tc>
      </w:tr>
      <w:tr w14:paraId="6FBC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7" w:hRule="atLeast"/>
          <w:tblCellSpacing w:w="0" w:type="dxa"/>
          <w:jc w:val="center"/>
        </w:trPr>
        <w:tc>
          <w:tcPr>
            <w:tcW w:w="1149" w:type="dxa"/>
            <w:vAlign w:val="center"/>
          </w:tcPr>
          <w:p w14:paraId="60BA125F">
            <w:pPr>
              <w:spacing w:line="276" w:lineRule="auto"/>
              <w:jc w:val="left"/>
              <w:rPr>
                <w:rFonts w:ascii="黑体" w:hAnsi="黑体" w:cs="宋体"/>
                <w:bCs/>
                <w:kern w:val="0"/>
                <w:szCs w:val="18"/>
              </w:rPr>
            </w:pPr>
            <w:r>
              <w:rPr>
                <w:rFonts w:ascii="黑体" w:hAnsi="黑体" w:cs="宋体"/>
                <w:bCs/>
                <w:kern w:val="0"/>
                <w:szCs w:val="18"/>
              </w:rPr>
              <w:t>表面平整度（mm）</w:t>
            </w:r>
          </w:p>
        </w:tc>
        <w:tc>
          <w:tcPr>
            <w:tcW w:w="3544" w:type="dxa"/>
            <w:vAlign w:val="center"/>
          </w:tcPr>
          <w:p w14:paraId="056D0DA6">
            <w:pPr>
              <w:spacing w:line="276" w:lineRule="auto"/>
              <w:ind w:left="88" w:leftChars="49" w:firstLine="1"/>
              <w:jc w:val="left"/>
              <w:rPr>
                <w:rFonts w:ascii="黑体" w:hAnsi="黑体" w:cs="宋体"/>
                <w:bCs/>
                <w:kern w:val="0"/>
                <w:szCs w:val="18"/>
              </w:rPr>
            </w:pPr>
            <w:r>
              <w:rPr>
                <w:rFonts w:hint="eastAsia" w:ascii="黑体" w:hAnsi="黑体" w:cs="宋体"/>
                <w:bCs/>
                <w:kern w:val="0"/>
                <w:szCs w:val="18"/>
              </w:rPr>
              <w:t>3</w:t>
            </w:r>
          </w:p>
        </w:tc>
        <w:tc>
          <w:tcPr>
            <w:tcW w:w="3827" w:type="dxa"/>
            <w:vAlign w:val="center"/>
          </w:tcPr>
          <w:p w14:paraId="15DA1D7F">
            <w:pPr>
              <w:spacing w:line="276" w:lineRule="auto"/>
              <w:ind w:left="88" w:leftChars="49" w:firstLine="1"/>
              <w:jc w:val="left"/>
              <w:rPr>
                <w:rFonts w:ascii="黑体" w:hAnsi="黑体" w:cs="宋体"/>
                <w:bCs/>
                <w:kern w:val="0"/>
                <w:szCs w:val="18"/>
              </w:rPr>
            </w:pPr>
            <w:r>
              <w:rPr>
                <w:rFonts w:ascii="黑体" w:hAnsi="黑体" w:cs="宋体"/>
                <w:bCs/>
                <w:kern w:val="0"/>
                <w:szCs w:val="18"/>
              </w:rPr>
              <w:t>用2m靠尺和楔形塞尺检查</w:t>
            </w:r>
          </w:p>
        </w:tc>
      </w:tr>
      <w:tr w14:paraId="20AF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1149" w:type="dxa"/>
            <w:vAlign w:val="center"/>
          </w:tcPr>
          <w:p w14:paraId="68A8F321">
            <w:pPr>
              <w:spacing w:line="276" w:lineRule="auto"/>
              <w:jc w:val="left"/>
              <w:rPr>
                <w:rFonts w:ascii="黑体" w:hAnsi="黑体" w:cs="宋体"/>
                <w:bCs/>
                <w:kern w:val="0"/>
                <w:szCs w:val="18"/>
              </w:rPr>
            </w:pPr>
            <w:r>
              <w:rPr>
                <w:rFonts w:ascii="黑体" w:hAnsi="黑体" w:cs="宋体"/>
                <w:bCs/>
                <w:kern w:val="0"/>
                <w:szCs w:val="18"/>
              </w:rPr>
              <w:t>空鼓</w:t>
            </w:r>
          </w:p>
        </w:tc>
        <w:tc>
          <w:tcPr>
            <w:tcW w:w="3544" w:type="dxa"/>
            <w:vAlign w:val="center"/>
          </w:tcPr>
          <w:p w14:paraId="075D4D58">
            <w:pPr>
              <w:spacing w:line="276" w:lineRule="auto"/>
              <w:ind w:left="88" w:leftChars="49" w:right="115" w:rightChars="64" w:firstLine="1"/>
              <w:jc w:val="left"/>
              <w:rPr>
                <w:rFonts w:ascii="黑体" w:hAnsi="黑体" w:cs="宋体"/>
                <w:bCs/>
                <w:kern w:val="0"/>
                <w:szCs w:val="18"/>
              </w:rPr>
            </w:pPr>
            <w:r>
              <w:rPr>
                <w:rFonts w:hint="eastAsia" w:ascii="黑体" w:hAnsi="黑体" w:cs="宋体"/>
                <w:bCs/>
                <w:kern w:val="0"/>
                <w:szCs w:val="18"/>
              </w:rPr>
              <w:t>每20平方米地面，空鼓不得超过2处，每次空鼓面积不大于400平方厘米。</w:t>
            </w:r>
          </w:p>
        </w:tc>
        <w:tc>
          <w:tcPr>
            <w:tcW w:w="3827" w:type="dxa"/>
            <w:vAlign w:val="center"/>
          </w:tcPr>
          <w:p w14:paraId="6CF24B68">
            <w:pPr>
              <w:spacing w:line="276" w:lineRule="auto"/>
              <w:ind w:left="88" w:leftChars="49" w:firstLine="1"/>
              <w:jc w:val="left"/>
              <w:rPr>
                <w:rFonts w:ascii="黑体" w:hAnsi="黑体" w:cs="宋体"/>
                <w:bCs/>
                <w:kern w:val="0"/>
                <w:szCs w:val="18"/>
              </w:rPr>
            </w:pPr>
            <w:r>
              <w:rPr>
                <w:rFonts w:ascii="黑体" w:hAnsi="黑体" w:cs="宋体"/>
                <w:bCs/>
                <w:kern w:val="0"/>
                <w:szCs w:val="18"/>
              </w:rPr>
              <w:t>用小锤轻敲</w:t>
            </w:r>
          </w:p>
        </w:tc>
      </w:tr>
      <w:tr w14:paraId="0B57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1149" w:type="dxa"/>
            <w:vAlign w:val="center"/>
          </w:tcPr>
          <w:p w14:paraId="6A26C39F">
            <w:pPr>
              <w:spacing w:line="276" w:lineRule="auto"/>
              <w:jc w:val="left"/>
              <w:rPr>
                <w:rFonts w:ascii="黑体" w:hAnsi="黑体" w:cs="宋体"/>
                <w:bCs/>
                <w:kern w:val="0"/>
                <w:szCs w:val="18"/>
              </w:rPr>
            </w:pPr>
            <w:r>
              <w:rPr>
                <w:rFonts w:hint="eastAsia" w:ascii="黑体" w:hAnsi="黑体" w:cs="宋体"/>
                <w:bCs/>
                <w:kern w:val="0"/>
                <w:szCs w:val="18"/>
              </w:rPr>
              <w:t>厚度</w:t>
            </w:r>
          </w:p>
        </w:tc>
        <w:tc>
          <w:tcPr>
            <w:tcW w:w="3544" w:type="dxa"/>
            <w:vAlign w:val="center"/>
          </w:tcPr>
          <w:p w14:paraId="1362F27A">
            <w:pPr>
              <w:spacing w:line="276" w:lineRule="auto"/>
              <w:ind w:left="88" w:leftChars="49" w:firstLine="1"/>
              <w:jc w:val="left"/>
              <w:rPr>
                <w:rFonts w:ascii="黑体" w:hAnsi="黑体" w:cs="宋体"/>
                <w:bCs/>
                <w:kern w:val="0"/>
                <w:szCs w:val="18"/>
              </w:rPr>
            </w:pPr>
            <w:r>
              <w:rPr>
                <w:rFonts w:hint="eastAsia" w:ascii="黑体" w:hAnsi="黑体" w:cs="宋体"/>
                <w:bCs/>
                <w:kern w:val="0"/>
                <w:szCs w:val="18"/>
              </w:rPr>
              <w:t>平均厚度不小于设计值</w:t>
            </w:r>
          </w:p>
        </w:tc>
        <w:tc>
          <w:tcPr>
            <w:tcW w:w="3827" w:type="dxa"/>
            <w:vAlign w:val="center"/>
          </w:tcPr>
          <w:p w14:paraId="2149F7D6">
            <w:pPr>
              <w:spacing w:line="276" w:lineRule="auto"/>
              <w:ind w:left="88" w:leftChars="49" w:right="115" w:rightChars="64" w:firstLine="1"/>
              <w:jc w:val="left"/>
              <w:rPr>
                <w:rFonts w:ascii="黑体" w:hAnsi="黑体" w:cs="宋体"/>
                <w:bCs/>
                <w:kern w:val="0"/>
                <w:szCs w:val="18"/>
              </w:rPr>
            </w:pPr>
            <w:r>
              <w:rPr>
                <w:rFonts w:hint="eastAsia" w:ascii="黑体" w:hAnsi="黑体" w:cs="宋体"/>
                <w:bCs/>
                <w:kern w:val="0"/>
                <w:szCs w:val="18"/>
              </w:rPr>
              <w:t>用钻孔、切割或在边角处选点测量，检测点数不少于5个</w:t>
            </w:r>
          </w:p>
        </w:tc>
      </w:tr>
    </w:tbl>
    <w:p w14:paraId="5FAD41BF">
      <w:pPr>
        <w:spacing w:line="276" w:lineRule="auto"/>
        <w:ind w:firstLine="360" w:firstLineChars="200"/>
        <w:jc w:val="left"/>
        <w:rPr>
          <w:rFonts w:ascii="黑体" w:hAnsi="黑体" w:cs="宋体"/>
          <w:bCs/>
          <w:kern w:val="0"/>
          <w:szCs w:val="18"/>
        </w:rPr>
      </w:pPr>
    </w:p>
    <w:p w14:paraId="58A39E9D">
      <w:pPr>
        <w:pStyle w:val="111"/>
      </w:pPr>
      <w:r>
        <w:rPr>
          <w:rFonts w:hint="eastAsia"/>
        </w:rPr>
        <w:t>一般项目</w:t>
      </w:r>
    </w:p>
    <w:p w14:paraId="080180B9">
      <w:pPr>
        <w:spacing w:line="276" w:lineRule="auto"/>
        <w:ind w:left="1440" w:leftChars="800"/>
        <w:jc w:val="left"/>
        <w:rPr>
          <w:rFonts w:ascii="黑体" w:hAnsi="黑体" w:cs="宋体"/>
          <w:bCs/>
          <w:kern w:val="0"/>
          <w:szCs w:val="18"/>
        </w:rPr>
      </w:pPr>
      <w:r>
        <w:rPr>
          <w:rFonts w:hint="eastAsia" w:ascii="黑体" w:hAnsi="黑体" w:cs="宋体"/>
          <w:bCs/>
          <w:kern w:val="0"/>
          <w:szCs w:val="18"/>
        </w:rPr>
        <w:t>环氧树脂地坪系统一般</w:t>
      </w:r>
      <w:r>
        <w:rPr>
          <w:rFonts w:ascii="黑体" w:hAnsi="黑体" w:cs="宋体"/>
          <w:bCs/>
          <w:kern w:val="0"/>
          <w:szCs w:val="18"/>
        </w:rPr>
        <w:t>项目</w:t>
      </w:r>
      <w:r>
        <w:rPr>
          <w:rFonts w:hint="eastAsia" w:ascii="黑体" w:hAnsi="黑体" w:cs="宋体"/>
          <w:bCs/>
          <w:kern w:val="0"/>
          <w:szCs w:val="18"/>
        </w:rPr>
        <w:t>的验收应符合表2的规定。</w:t>
      </w:r>
    </w:p>
    <w:p w14:paraId="2ECC1635">
      <w:pPr>
        <w:spacing w:line="276" w:lineRule="auto"/>
        <w:jc w:val="left"/>
        <w:rPr>
          <w:rFonts w:ascii="黑体" w:hAnsi="黑体" w:cs="宋体"/>
          <w:bCs/>
          <w:kern w:val="0"/>
          <w:szCs w:val="18"/>
        </w:rPr>
      </w:pPr>
    </w:p>
    <w:p w14:paraId="2E5642F2">
      <w:pPr>
        <w:spacing w:line="276" w:lineRule="auto"/>
        <w:jc w:val="center"/>
        <w:rPr>
          <w:rFonts w:ascii="黑体" w:hAnsi="黑体" w:cs="宋体"/>
          <w:b/>
          <w:bCs/>
          <w:kern w:val="0"/>
          <w:szCs w:val="18"/>
        </w:rPr>
      </w:pPr>
      <w:r>
        <w:rPr>
          <w:rFonts w:hint="eastAsia" w:ascii="黑体" w:hAnsi="黑体" w:cs="宋体"/>
          <w:b/>
          <w:bCs/>
          <w:kern w:val="0"/>
          <w:szCs w:val="18"/>
        </w:rPr>
        <w:t>表2: 环氧树脂地坪系统一般</w:t>
      </w:r>
      <w:r>
        <w:rPr>
          <w:rFonts w:ascii="黑体" w:hAnsi="黑体" w:cs="宋体"/>
          <w:b/>
          <w:bCs/>
          <w:kern w:val="0"/>
          <w:szCs w:val="18"/>
        </w:rPr>
        <w:t>项目</w:t>
      </w:r>
    </w:p>
    <w:tbl>
      <w:tblPr>
        <w:tblStyle w:val="36"/>
        <w:tblW w:w="8520"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149"/>
        <w:gridCol w:w="3544"/>
        <w:gridCol w:w="3827"/>
      </w:tblGrid>
      <w:tr w14:paraId="43CF5C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28" w:hRule="atLeast"/>
          <w:tblCellSpacing w:w="0" w:type="dxa"/>
          <w:jc w:val="center"/>
        </w:trPr>
        <w:tc>
          <w:tcPr>
            <w:tcW w:w="1149" w:type="dxa"/>
            <w:vAlign w:val="center"/>
          </w:tcPr>
          <w:p w14:paraId="0FE3FE45">
            <w:pPr>
              <w:spacing w:line="276" w:lineRule="auto"/>
              <w:jc w:val="left"/>
              <w:rPr>
                <w:rFonts w:ascii="黑体" w:hAnsi="黑体" w:cs="宋体"/>
                <w:bCs/>
                <w:kern w:val="0"/>
                <w:szCs w:val="18"/>
              </w:rPr>
            </w:pPr>
            <w:r>
              <w:rPr>
                <w:rFonts w:ascii="黑体" w:hAnsi="黑体" w:cs="宋体"/>
                <w:bCs/>
                <w:kern w:val="0"/>
                <w:szCs w:val="18"/>
              </w:rPr>
              <w:t>项目</w:t>
            </w:r>
          </w:p>
        </w:tc>
        <w:tc>
          <w:tcPr>
            <w:tcW w:w="3544" w:type="dxa"/>
            <w:vAlign w:val="center"/>
          </w:tcPr>
          <w:p w14:paraId="50AF1511">
            <w:pPr>
              <w:spacing w:line="276" w:lineRule="auto"/>
              <w:jc w:val="left"/>
              <w:rPr>
                <w:rFonts w:ascii="黑体" w:hAnsi="黑体" w:cs="宋体"/>
                <w:bCs/>
                <w:kern w:val="0"/>
                <w:szCs w:val="18"/>
              </w:rPr>
            </w:pPr>
            <w:r>
              <w:rPr>
                <w:rFonts w:hint="eastAsia" w:ascii="黑体" w:hAnsi="黑体" w:cs="宋体"/>
                <w:bCs/>
                <w:kern w:val="0"/>
                <w:szCs w:val="18"/>
              </w:rPr>
              <w:t>环氧树脂地坪系统</w:t>
            </w:r>
          </w:p>
        </w:tc>
        <w:tc>
          <w:tcPr>
            <w:tcW w:w="3827" w:type="dxa"/>
            <w:vAlign w:val="center"/>
          </w:tcPr>
          <w:p w14:paraId="3EDD58C7">
            <w:pPr>
              <w:spacing w:line="276" w:lineRule="auto"/>
              <w:jc w:val="left"/>
              <w:rPr>
                <w:rFonts w:ascii="黑体" w:hAnsi="黑体" w:cs="宋体"/>
                <w:bCs/>
                <w:kern w:val="0"/>
                <w:szCs w:val="18"/>
              </w:rPr>
            </w:pPr>
            <w:r>
              <w:rPr>
                <w:rFonts w:ascii="黑体" w:hAnsi="黑体" w:cs="宋体"/>
                <w:bCs/>
                <w:kern w:val="0"/>
                <w:szCs w:val="18"/>
              </w:rPr>
              <w:t>检测方法</w:t>
            </w:r>
          </w:p>
        </w:tc>
      </w:tr>
      <w:tr w14:paraId="7CAF6D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92" w:hRule="atLeast"/>
          <w:tblCellSpacing w:w="0" w:type="dxa"/>
          <w:jc w:val="center"/>
        </w:trPr>
        <w:tc>
          <w:tcPr>
            <w:tcW w:w="1149" w:type="dxa"/>
            <w:vAlign w:val="center"/>
          </w:tcPr>
          <w:p w14:paraId="2064967E">
            <w:pPr>
              <w:spacing w:line="276" w:lineRule="auto"/>
              <w:jc w:val="left"/>
              <w:rPr>
                <w:rFonts w:ascii="黑体" w:hAnsi="黑体" w:cs="宋体"/>
                <w:bCs/>
                <w:kern w:val="0"/>
                <w:szCs w:val="18"/>
              </w:rPr>
            </w:pPr>
            <w:r>
              <w:rPr>
                <w:rFonts w:hint="eastAsia" w:ascii="黑体" w:hAnsi="黑体" w:cs="宋体"/>
                <w:bCs/>
                <w:kern w:val="0"/>
                <w:szCs w:val="18"/>
              </w:rPr>
              <w:t>坡度</w:t>
            </w:r>
          </w:p>
        </w:tc>
        <w:tc>
          <w:tcPr>
            <w:tcW w:w="3544" w:type="dxa"/>
            <w:vAlign w:val="center"/>
          </w:tcPr>
          <w:p w14:paraId="3CA69F3E">
            <w:pPr>
              <w:spacing w:line="276" w:lineRule="auto"/>
              <w:ind w:left="88" w:leftChars="49" w:right="9" w:rightChars="5" w:firstLine="1"/>
              <w:jc w:val="left"/>
              <w:rPr>
                <w:rFonts w:ascii="黑体" w:hAnsi="黑体" w:cs="宋体"/>
                <w:bCs/>
                <w:kern w:val="0"/>
                <w:szCs w:val="18"/>
              </w:rPr>
            </w:pPr>
            <w:r>
              <w:rPr>
                <w:rFonts w:hint="eastAsia" w:ascii="黑体" w:hAnsi="黑体" w:cs="宋体"/>
                <w:bCs/>
                <w:kern w:val="0"/>
                <w:szCs w:val="18"/>
              </w:rPr>
              <w:t>符合设计要求</w:t>
            </w:r>
          </w:p>
        </w:tc>
        <w:tc>
          <w:tcPr>
            <w:tcW w:w="3827" w:type="dxa"/>
            <w:vAlign w:val="center"/>
          </w:tcPr>
          <w:p w14:paraId="4F92155F">
            <w:pPr>
              <w:spacing w:line="276" w:lineRule="auto"/>
              <w:ind w:left="88" w:leftChars="49"/>
              <w:jc w:val="left"/>
              <w:rPr>
                <w:rFonts w:ascii="黑体" w:hAnsi="黑体" w:cs="宋体"/>
                <w:bCs/>
                <w:kern w:val="0"/>
                <w:szCs w:val="18"/>
              </w:rPr>
            </w:pPr>
            <w:r>
              <w:rPr>
                <w:rFonts w:hint="eastAsia" w:ascii="黑体" w:hAnsi="黑体" w:cs="宋体"/>
                <w:bCs/>
                <w:kern w:val="0"/>
                <w:szCs w:val="18"/>
              </w:rPr>
              <w:t>泼水或坡度尺</w:t>
            </w:r>
          </w:p>
        </w:tc>
      </w:tr>
      <w:tr w14:paraId="012EE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45" w:hRule="atLeast"/>
          <w:tblCellSpacing w:w="0" w:type="dxa"/>
          <w:jc w:val="center"/>
        </w:trPr>
        <w:tc>
          <w:tcPr>
            <w:tcW w:w="1149" w:type="dxa"/>
            <w:vAlign w:val="center"/>
          </w:tcPr>
          <w:p w14:paraId="5756E2B6">
            <w:pPr>
              <w:spacing w:line="276" w:lineRule="auto"/>
              <w:jc w:val="left"/>
              <w:rPr>
                <w:rFonts w:ascii="黑体" w:hAnsi="黑体" w:cs="宋体"/>
                <w:bCs/>
                <w:kern w:val="0"/>
                <w:szCs w:val="18"/>
              </w:rPr>
            </w:pPr>
            <w:r>
              <w:rPr>
                <w:rFonts w:hint="eastAsia" w:ascii="黑体" w:hAnsi="黑体" w:cs="宋体"/>
                <w:bCs/>
                <w:kern w:val="0"/>
                <w:szCs w:val="18"/>
              </w:rPr>
              <w:t>耐冲击性</w:t>
            </w:r>
          </w:p>
        </w:tc>
        <w:tc>
          <w:tcPr>
            <w:tcW w:w="3544" w:type="dxa"/>
            <w:vAlign w:val="center"/>
          </w:tcPr>
          <w:p w14:paraId="02CA7635">
            <w:pPr>
              <w:spacing w:line="276" w:lineRule="auto"/>
              <w:ind w:left="88" w:leftChars="49"/>
              <w:jc w:val="left"/>
              <w:rPr>
                <w:rFonts w:ascii="黑体" w:hAnsi="黑体" w:cs="宋体"/>
                <w:bCs/>
                <w:kern w:val="0"/>
                <w:szCs w:val="18"/>
              </w:rPr>
            </w:pPr>
            <w:r>
              <w:rPr>
                <w:rFonts w:hint="eastAsia" w:ascii="黑体" w:hAnsi="黑体" w:cs="宋体"/>
                <w:bCs/>
                <w:kern w:val="0"/>
                <w:szCs w:val="18"/>
              </w:rPr>
              <w:t>无裂纹、无剥落</w:t>
            </w:r>
          </w:p>
        </w:tc>
        <w:tc>
          <w:tcPr>
            <w:tcW w:w="3827" w:type="dxa"/>
            <w:vAlign w:val="center"/>
          </w:tcPr>
          <w:p w14:paraId="2DBEE3CA">
            <w:pPr>
              <w:spacing w:line="276" w:lineRule="auto"/>
              <w:ind w:left="88" w:leftChars="49"/>
              <w:jc w:val="left"/>
              <w:rPr>
                <w:rFonts w:ascii="黑体" w:hAnsi="黑体" w:cs="宋体"/>
                <w:bCs/>
                <w:kern w:val="0"/>
                <w:szCs w:val="18"/>
              </w:rPr>
            </w:pPr>
            <w:r>
              <w:rPr>
                <w:rFonts w:hint="eastAsia" w:ascii="黑体" w:hAnsi="黑体" w:cs="宋体"/>
                <w:bCs/>
                <w:kern w:val="0"/>
                <w:szCs w:val="18"/>
              </w:rPr>
              <w:t>直径</w:t>
            </w:r>
            <w:r>
              <w:rPr>
                <w:rFonts w:ascii="黑体" w:hAnsi="黑体" w:cs="宋体"/>
                <w:bCs/>
                <w:kern w:val="0"/>
                <w:szCs w:val="18"/>
              </w:rPr>
              <w:t>50m</w:t>
            </w:r>
            <w:r>
              <w:rPr>
                <w:rFonts w:hint="eastAsia" w:ascii="黑体" w:hAnsi="黑体" w:cs="宋体"/>
                <w:bCs/>
                <w:kern w:val="0"/>
                <w:szCs w:val="18"/>
              </w:rPr>
              <w:t>m的钢球，距离面层</w:t>
            </w:r>
            <w:r>
              <w:rPr>
                <w:rFonts w:ascii="黑体" w:hAnsi="黑体" w:cs="宋体"/>
                <w:bCs/>
                <w:kern w:val="0"/>
                <w:szCs w:val="18"/>
              </w:rPr>
              <w:t>500mm</w:t>
            </w:r>
          </w:p>
        </w:tc>
      </w:tr>
    </w:tbl>
    <w:p w14:paraId="467DEB65">
      <w:pPr>
        <w:spacing w:line="276" w:lineRule="auto"/>
        <w:jc w:val="left"/>
        <w:rPr>
          <w:rFonts w:ascii="黑体" w:hAnsi="黑体" w:cs="宋体"/>
          <w:bCs/>
          <w:kern w:val="0"/>
          <w:szCs w:val="18"/>
        </w:rPr>
      </w:pPr>
    </w:p>
    <w:p w14:paraId="651FFB56">
      <w:pPr>
        <w:pStyle w:val="111"/>
      </w:pPr>
      <w:r>
        <w:t>验收</w:t>
      </w:r>
    </w:p>
    <w:p w14:paraId="78745AE7">
      <w:pPr>
        <w:numPr>
          <w:ilvl w:val="2"/>
          <w:numId w:val="115"/>
        </w:numPr>
        <w:spacing w:line="276" w:lineRule="auto"/>
        <w:jc w:val="left"/>
        <w:rPr>
          <w:rFonts w:ascii="黑体" w:hAnsi="黑体" w:cs="宋体"/>
          <w:bCs/>
          <w:kern w:val="0"/>
          <w:szCs w:val="18"/>
        </w:rPr>
      </w:pPr>
      <w:r>
        <w:rPr>
          <w:rFonts w:hint="eastAsia" w:ascii="黑体" w:hAnsi="黑体" w:cs="宋体"/>
          <w:bCs/>
          <w:kern w:val="0"/>
          <w:szCs w:val="18"/>
        </w:rPr>
        <w:t>环氧树脂地坪系统</w:t>
      </w:r>
      <w:r>
        <w:rPr>
          <w:rFonts w:ascii="黑体" w:hAnsi="黑体" w:cs="宋体"/>
          <w:bCs/>
          <w:kern w:val="0"/>
          <w:szCs w:val="18"/>
        </w:rPr>
        <w:t>工程的检验验收应在检验批质量检验合格的基础上，确认达到验收条件后方可进行。</w:t>
      </w:r>
    </w:p>
    <w:p w14:paraId="4451C88C">
      <w:pPr>
        <w:numPr>
          <w:ilvl w:val="2"/>
          <w:numId w:val="115"/>
        </w:numPr>
        <w:spacing w:line="276" w:lineRule="auto"/>
        <w:jc w:val="left"/>
        <w:rPr>
          <w:rFonts w:ascii="黑体" w:hAnsi="黑体" w:cs="宋体"/>
          <w:bCs/>
          <w:kern w:val="0"/>
          <w:szCs w:val="18"/>
        </w:rPr>
      </w:pPr>
      <w:r>
        <w:rPr>
          <w:rFonts w:hint="eastAsia" w:ascii="黑体" w:hAnsi="黑体" w:cs="宋体"/>
          <w:bCs/>
          <w:kern w:val="0"/>
          <w:szCs w:val="18"/>
        </w:rPr>
        <w:t>环氧树脂地坪系统</w:t>
      </w:r>
      <w:r>
        <w:rPr>
          <w:rFonts w:ascii="黑体" w:hAnsi="黑体" w:cs="宋体"/>
          <w:bCs/>
          <w:kern w:val="0"/>
          <w:szCs w:val="18"/>
        </w:rPr>
        <w:t>工程验收合格应符合下列规定：</w:t>
      </w:r>
      <w:r>
        <w:rPr>
          <w:rFonts w:ascii="黑体" w:hAnsi="黑体" w:cs="宋体"/>
          <w:bCs/>
          <w:kern w:val="0"/>
          <w:szCs w:val="18"/>
        </w:rPr>
        <w:br w:type="textWrapping"/>
      </w:r>
      <w:r>
        <w:rPr>
          <w:rFonts w:ascii="黑体" w:hAnsi="黑体" w:cs="宋体"/>
          <w:bCs/>
          <w:kern w:val="0"/>
          <w:szCs w:val="18"/>
        </w:rPr>
        <w:t>1</w:t>
      </w:r>
      <w:r>
        <w:rPr>
          <w:rFonts w:hint="eastAsia" w:ascii="黑体" w:hAnsi="黑体" w:cs="宋体"/>
          <w:bCs/>
          <w:kern w:val="0"/>
          <w:szCs w:val="18"/>
        </w:rPr>
        <w:t>、</w:t>
      </w:r>
      <w:r>
        <w:rPr>
          <w:rFonts w:ascii="黑体" w:hAnsi="黑体" w:cs="宋体"/>
          <w:bCs/>
          <w:kern w:val="0"/>
          <w:szCs w:val="18"/>
        </w:rPr>
        <w:t>检验批应按主控项目和一般项目验收。</w:t>
      </w:r>
      <w:r>
        <w:rPr>
          <w:rFonts w:ascii="黑体" w:hAnsi="黑体" w:cs="宋体"/>
          <w:bCs/>
          <w:kern w:val="0"/>
          <w:szCs w:val="18"/>
        </w:rPr>
        <w:br w:type="textWrapping"/>
      </w:r>
      <w:r>
        <w:rPr>
          <w:rFonts w:ascii="黑体" w:hAnsi="黑体" w:cs="宋体"/>
          <w:bCs/>
          <w:kern w:val="0"/>
          <w:szCs w:val="18"/>
        </w:rPr>
        <w:t>2</w:t>
      </w:r>
      <w:r>
        <w:rPr>
          <w:rFonts w:hint="eastAsia" w:ascii="黑体" w:hAnsi="黑体" w:cs="宋体"/>
          <w:bCs/>
          <w:kern w:val="0"/>
          <w:szCs w:val="18"/>
        </w:rPr>
        <w:t>、</w:t>
      </w:r>
      <w:r>
        <w:rPr>
          <w:rFonts w:ascii="黑体" w:hAnsi="黑体" w:cs="宋体"/>
          <w:bCs/>
          <w:kern w:val="0"/>
          <w:szCs w:val="18"/>
        </w:rPr>
        <w:t>主控项目应全部合格。</w:t>
      </w:r>
      <w:r>
        <w:rPr>
          <w:rFonts w:ascii="黑体" w:hAnsi="黑体" w:cs="宋体"/>
          <w:bCs/>
          <w:kern w:val="0"/>
          <w:szCs w:val="18"/>
        </w:rPr>
        <w:br w:type="textWrapping"/>
      </w:r>
      <w:r>
        <w:rPr>
          <w:rFonts w:ascii="黑体" w:hAnsi="黑体" w:cs="宋体"/>
          <w:bCs/>
          <w:kern w:val="0"/>
          <w:szCs w:val="18"/>
        </w:rPr>
        <w:t>3</w:t>
      </w:r>
      <w:r>
        <w:rPr>
          <w:rFonts w:hint="eastAsia" w:ascii="黑体" w:hAnsi="黑体" w:cs="宋体"/>
          <w:bCs/>
          <w:kern w:val="0"/>
          <w:szCs w:val="18"/>
        </w:rPr>
        <w:t>、</w:t>
      </w:r>
      <w:r>
        <w:rPr>
          <w:rFonts w:ascii="黑体" w:hAnsi="黑体" w:cs="宋体"/>
          <w:bCs/>
          <w:kern w:val="0"/>
          <w:szCs w:val="18"/>
        </w:rPr>
        <w:t>一般项目至少应有80%以上的检验点合格，且不合格点不得影响使用。</w:t>
      </w:r>
      <w:r>
        <w:rPr>
          <w:rFonts w:ascii="黑体" w:hAnsi="黑体" w:cs="宋体"/>
          <w:bCs/>
          <w:kern w:val="0"/>
          <w:szCs w:val="18"/>
        </w:rPr>
        <w:br w:type="textWrapping"/>
      </w:r>
      <w:r>
        <w:rPr>
          <w:rFonts w:hint="eastAsia" w:ascii="黑体" w:hAnsi="黑体" w:cs="宋体"/>
          <w:bCs/>
          <w:kern w:val="0"/>
          <w:szCs w:val="18"/>
        </w:rPr>
        <w:t>4、</w:t>
      </w:r>
      <w:r>
        <w:rPr>
          <w:rFonts w:ascii="黑体" w:hAnsi="黑体" w:cs="宋体"/>
          <w:bCs/>
          <w:kern w:val="0"/>
          <w:szCs w:val="18"/>
        </w:rPr>
        <w:t>需提供材料进场时复检合格报告。</w:t>
      </w:r>
      <w:r>
        <w:rPr>
          <w:rFonts w:ascii="黑体" w:hAnsi="黑体" w:cs="宋体"/>
          <w:bCs/>
          <w:kern w:val="0"/>
          <w:szCs w:val="18"/>
        </w:rPr>
        <w:br w:type="textWrapping"/>
      </w:r>
      <w:r>
        <w:rPr>
          <w:rFonts w:hint="eastAsia" w:ascii="黑体" w:hAnsi="黑体" w:cs="宋体"/>
          <w:bCs/>
          <w:kern w:val="0"/>
          <w:szCs w:val="18"/>
        </w:rPr>
        <w:t>5、</w:t>
      </w:r>
      <w:r>
        <w:rPr>
          <w:rFonts w:ascii="黑体" w:hAnsi="黑体" w:cs="宋体"/>
          <w:bCs/>
          <w:kern w:val="0"/>
          <w:szCs w:val="18"/>
        </w:rPr>
        <w:t>施工方案和质量验收记录应完整。</w:t>
      </w:r>
      <w:r>
        <w:rPr>
          <w:rFonts w:ascii="黑体" w:hAnsi="黑体" w:cs="宋体"/>
          <w:bCs/>
          <w:kern w:val="0"/>
          <w:szCs w:val="18"/>
        </w:rPr>
        <w:br w:type="textWrapping"/>
      </w:r>
      <w:r>
        <w:rPr>
          <w:rFonts w:hint="eastAsia" w:ascii="黑体" w:hAnsi="黑体" w:cs="宋体"/>
          <w:bCs/>
          <w:kern w:val="0"/>
          <w:szCs w:val="18"/>
        </w:rPr>
        <w:t>6、涂料覆盖前</w:t>
      </w:r>
      <w:r>
        <w:rPr>
          <w:rFonts w:ascii="黑体" w:hAnsi="黑体" w:cs="宋体"/>
          <w:bCs/>
          <w:kern w:val="0"/>
          <w:szCs w:val="18"/>
        </w:rPr>
        <w:t>隐蔽工程施工质量记录应完整。</w:t>
      </w:r>
    </w:p>
    <w:p w14:paraId="5A6E88C2">
      <w:pPr>
        <w:spacing w:line="276" w:lineRule="auto"/>
        <w:jc w:val="left"/>
        <w:rPr>
          <w:rFonts w:ascii="黑体" w:hAnsi="黑体" w:cs="宋体"/>
          <w:bCs/>
          <w:kern w:val="0"/>
          <w:szCs w:val="18"/>
        </w:rPr>
      </w:pPr>
    </w:p>
    <w:p w14:paraId="3B5C190F">
      <w:pPr>
        <w:jc w:val="left"/>
        <w:rPr>
          <w:rFonts w:ascii="黑体" w:hAnsi="黑体"/>
          <w:szCs w:val="18"/>
        </w:rPr>
      </w:pPr>
    </w:p>
    <w:p w14:paraId="7DCD948F">
      <w:pPr>
        <w:pStyle w:val="3"/>
        <w:jc w:val="left"/>
      </w:pPr>
      <w:bookmarkStart w:id="102" w:name="_Toc174556819"/>
      <w:r>
        <w:rPr>
          <w:rFonts w:hint="eastAsia"/>
        </w:rPr>
        <w:t>花岗石地面</w:t>
      </w:r>
      <w:bookmarkEnd w:id="102"/>
    </w:p>
    <w:p w14:paraId="177D4FB2">
      <w:pPr>
        <w:jc w:val="left"/>
        <w:rPr>
          <w:rFonts w:ascii="黑体" w:hAnsi="黑体"/>
          <w:szCs w:val="18"/>
        </w:rPr>
      </w:pPr>
    </w:p>
    <w:p w14:paraId="2D5BCB98">
      <w:pPr>
        <w:pStyle w:val="97"/>
        <w:rPr>
          <w:b/>
        </w:rPr>
      </w:pPr>
      <w:r>
        <w:rPr>
          <w:rFonts w:hint="eastAsia"/>
          <w:b/>
        </w:rPr>
        <w:t>使用部位</w:t>
      </w:r>
    </w:p>
    <w:p w14:paraId="7F187417">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地库坡道、建筑物周边散水、出入口台阶等</w:t>
      </w:r>
    </w:p>
    <w:p w14:paraId="0DAED675">
      <w:pPr>
        <w:pStyle w:val="49"/>
        <w:spacing w:line="360" w:lineRule="auto"/>
        <w:ind w:left="426" w:hanging="426" w:firstLineChars="0"/>
        <w:jc w:val="left"/>
        <w:rPr>
          <w:rFonts w:ascii="黑体" w:hAnsi="黑体" w:cs="宋体"/>
          <w:kern w:val="0"/>
          <w:szCs w:val="18"/>
        </w:rPr>
      </w:pPr>
    </w:p>
    <w:p w14:paraId="06FE4E0A">
      <w:pPr>
        <w:pStyle w:val="97"/>
        <w:rPr>
          <w:b/>
        </w:rPr>
      </w:pPr>
      <w:r>
        <w:rPr>
          <w:b/>
        </w:rPr>
        <w:t>技术规范</w:t>
      </w:r>
      <w:r>
        <w:rPr>
          <w:rFonts w:hint="eastAsia"/>
          <w:b/>
        </w:rPr>
        <w:t>、规程、要求</w:t>
      </w:r>
    </w:p>
    <w:p w14:paraId="2B6C0E7A">
      <w:pPr>
        <w:pStyle w:val="49"/>
        <w:spacing w:line="360" w:lineRule="auto"/>
        <w:ind w:left="729" w:leftChars="405" w:firstLine="0" w:firstLineChars="0"/>
        <w:jc w:val="left"/>
        <w:rPr>
          <w:rFonts w:ascii="黑体" w:hAnsi="黑体" w:cs="宋体"/>
          <w:kern w:val="0"/>
          <w:szCs w:val="18"/>
        </w:rPr>
      </w:pPr>
      <w:r>
        <w:rPr>
          <w:rFonts w:hint="eastAsia" w:ascii="黑体" w:hAnsi="黑体" w:cs="宋体"/>
          <w:kern w:val="0"/>
          <w:szCs w:val="18"/>
        </w:rPr>
        <w:t>同8.3干挂、湿贴石材</w:t>
      </w:r>
    </w:p>
    <w:p w14:paraId="7C2E8DA1">
      <w:pPr>
        <w:pStyle w:val="49"/>
        <w:spacing w:line="360" w:lineRule="auto"/>
        <w:ind w:firstLine="0" w:firstLineChars="0"/>
        <w:jc w:val="left"/>
        <w:rPr>
          <w:rFonts w:ascii="黑体" w:hAnsi="黑体" w:cs="宋体"/>
          <w:kern w:val="0"/>
          <w:szCs w:val="18"/>
        </w:rPr>
      </w:pPr>
    </w:p>
    <w:p w14:paraId="6F0843F6">
      <w:pPr>
        <w:pStyle w:val="97"/>
        <w:rPr>
          <w:b/>
        </w:rPr>
      </w:pPr>
      <w:r>
        <w:rPr>
          <w:rFonts w:hint="eastAsia"/>
          <w:b/>
        </w:rPr>
        <w:t>材料要求</w:t>
      </w:r>
    </w:p>
    <w:p w14:paraId="32E460F3">
      <w:pPr>
        <w:pStyle w:val="111"/>
        <w:jc w:val="left"/>
      </w:pPr>
      <w:r>
        <w:t>产</w:t>
      </w:r>
      <w:r>
        <w:rPr>
          <w:rFonts w:hint="eastAsia"/>
        </w:rPr>
        <w:t>品类型：天然花岗石建筑板材</w:t>
      </w:r>
    </w:p>
    <w:p w14:paraId="7F150CBC">
      <w:pPr>
        <w:pStyle w:val="111"/>
        <w:jc w:val="left"/>
      </w:pPr>
      <w:r>
        <w:rPr>
          <w:rFonts w:hint="eastAsia"/>
        </w:rPr>
        <w:t>颜色：地库汽车及自行车坡道，中灰；其余，按设计</w:t>
      </w:r>
    </w:p>
    <w:p w14:paraId="4D69D9BD">
      <w:pPr>
        <w:pStyle w:val="111"/>
        <w:jc w:val="left"/>
      </w:pPr>
      <w:r>
        <w:rPr>
          <w:rFonts w:hint="eastAsia"/>
        </w:rPr>
        <w:t>火烧面</w:t>
      </w:r>
    </w:p>
    <w:p w14:paraId="684EDE7C">
      <w:pPr>
        <w:pStyle w:val="111"/>
        <w:jc w:val="left"/>
      </w:pPr>
      <w:r>
        <w:rPr>
          <w:rFonts w:hint="eastAsia"/>
        </w:rPr>
        <w:t>性能要求：</w:t>
      </w:r>
    </w:p>
    <w:p w14:paraId="7C45881A">
      <w:pPr>
        <w:pStyle w:val="18"/>
        <w:spacing w:line="360" w:lineRule="auto"/>
        <w:ind w:left="851" w:right="259" w:rightChars="144"/>
        <w:jc w:val="left"/>
        <w:rPr>
          <w:rFonts w:ascii="黑体" w:hAnsi="黑体"/>
          <w:szCs w:val="18"/>
        </w:rPr>
      </w:pPr>
      <w:r>
        <w:rPr>
          <w:rFonts w:hint="eastAsia" w:ascii="黑体" w:hAnsi="黑体"/>
          <w:szCs w:val="18"/>
        </w:rPr>
        <w:t>厚度：地库汽车及自行车坡道，100mm，其余，40mm；火烧面，表面开凹槽，具体详施工图。</w:t>
      </w:r>
    </w:p>
    <w:p w14:paraId="00DBEAEB">
      <w:pPr>
        <w:spacing w:line="360" w:lineRule="auto"/>
        <w:ind w:left="729" w:leftChars="405"/>
        <w:jc w:val="left"/>
        <w:rPr>
          <w:rFonts w:ascii="黑体" w:hAnsi="黑体" w:cs="宋体"/>
          <w:kern w:val="0"/>
          <w:szCs w:val="18"/>
        </w:rPr>
      </w:pPr>
      <w:r>
        <w:rPr>
          <w:rFonts w:hint="eastAsia" w:ascii="黑体" w:hAnsi="黑体"/>
          <w:szCs w:val="18"/>
        </w:rPr>
        <w:t>其余同</w:t>
      </w:r>
      <w:r>
        <w:rPr>
          <w:rFonts w:hint="eastAsia" w:ascii="黑体" w:hAnsi="黑体" w:cs="宋体"/>
          <w:kern w:val="0"/>
          <w:szCs w:val="18"/>
        </w:rPr>
        <w:t>8.3干挂、湿贴石材</w:t>
      </w:r>
    </w:p>
    <w:p w14:paraId="19830076">
      <w:pPr>
        <w:pStyle w:val="49"/>
        <w:spacing w:line="360" w:lineRule="auto"/>
        <w:ind w:firstLine="0" w:firstLineChars="0"/>
        <w:jc w:val="left"/>
        <w:rPr>
          <w:rFonts w:ascii="黑体" w:hAnsi="黑体" w:cs="宋体"/>
          <w:kern w:val="0"/>
          <w:szCs w:val="18"/>
        </w:rPr>
      </w:pPr>
    </w:p>
    <w:p w14:paraId="251F7E93">
      <w:pPr>
        <w:pStyle w:val="97"/>
        <w:rPr>
          <w:b/>
        </w:rPr>
      </w:pPr>
      <w:r>
        <w:rPr>
          <w:b/>
        </w:rPr>
        <w:t>提交资料</w:t>
      </w:r>
    </w:p>
    <w:p w14:paraId="28D45934">
      <w:pPr>
        <w:pStyle w:val="49"/>
        <w:spacing w:line="360" w:lineRule="auto"/>
        <w:ind w:left="729" w:leftChars="405" w:firstLine="0" w:firstLineChars="0"/>
        <w:jc w:val="left"/>
        <w:rPr>
          <w:rFonts w:ascii="黑体" w:hAnsi="黑体" w:cs="宋体"/>
          <w:kern w:val="0"/>
          <w:szCs w:val="18"/>
        </w:rPr>
      </w:pPr>
      <w:r>
        <w:rPr>
          <w:rFonts w:hint="eastAsia" w:ascii="黑体" w:hAnsi="黑体" w:cs="宋体"/>
          <w:kern w:val="0"/>
          <w:szCs w:val="18"/>
        </w:rPr>
        <w:t>同8.3干挂、湿贴石材</w:t>
      </w:r>
    </w:p>
    <w:p w14:paraId="155BC2FD">
      <w:pPr>
        <w:pStyle w:val="49"/>
        <w:spacing w:line="360" w:lineRule="auto"/>
        <w:ind w:firstLineChars="0"/>
        <w:jc w:val="left"/>
        <w:rPr>
          <w:rFonts w:ascii="黑体" w:hAnsi="黑体" w:cs="宋体"/>
          <w:kern w:val="0"/>
          <w:szCs w:val="18"/>
        </w:rPr>
      </w:pPr>
    </w:p>
    <w:p w14:paraId="2F0B8D98">
      <w:pPr>
        <w:pStyle w:val="97"/>
        <w:rPr>
          <w:b/>
        </w:rPr>
      </w:pPr>
      <w:r>
        <w:rPr>
          <w:b/>
        </w:rPr>
        <w:t xml:space="preserve">质量保证 </w:t>
      </w:r>
    </w:p>
    <w:p w14:paraId="0BA238E6">
      <w:pPr>
        <w:pStyle w:val="111"/>
        <w:jc w:val="left"/>
      </w:pPr>
      <w:r>
        <w:t>安装施工人员的资格：施工人员必须由产品供应商认可。</w:t>
      </w:r>
    </w:p>
    <w:p w14:paraId="6335A774">
      <w:pPr>
        <w:pStyle w:val="111"/>
        <w:jc w:val="left"/>
      </w:pPr>
      <w:r>
        <w:t>产品来源：材料必须由同一产品供应商提供</w:t>
      </w:r>
      <w:r>
        <w:rPr>
          <w:rFonts w:hint="eastAsia"/>
        </w:rPr>
        <w:t>。</w:t>
      </w:r>
    </w:p>
    <w:p w14:paraId="43266403">
      <w:pPr>
        <w:pStyle w:val="111"/>
        <w:jc w:val="left"/>
      </w:pPr>
      <w:r>
        <w:t>样板制作：在</w:t>
      </w:r>
      <w:r>
        <w:rPr>
          <w:rFonts w:hint="eastAsia"/>
        </w:rPr>
        <w:t>50~100㎡</w:t>
      </w:r>
      <w:r>
        <w:t>的区域按照设计厚度和要求进行样板区域的施工：如果样板区域施工达不到设计师要求，必须重新施工直到设计认可</w:t>
      </w:r>
      <w:r>
        <w:rPr>
          <w:rFonts w:hint="eastAsia"/>
        </w:rPr>
        <w:t>，</w:t>
      </w:r>
      <w:r>
        <w:t>样板区域可作为最后</w:t>
      </w:r>
      <w:r>
        <w:rPr>
          <w:rFonts w:hint="eastAsia"/>
        </w:rPr>
        <w:t>石材地面</w:t>
      </w:r>
      <w:r>
        <w:t>工程的一部分</w:t>
      </w:r>
      <w:r>
        <w:rPr>
          <w:rFonts w:hint="eastAsia"/>
        </w:rPr>
        <w:t>。</w:t>
      </w:r>
    </w:p>
    <w:p w14:paraId="213D97F6">
      <w:pPr>
        <w:pStyle w:val="49"/>
        <w:spacing w:line="360" w:lineRule="auto"/>
        <w:ind w:firstLineChars="0"/>
        <w:jc w:val="left"/>
        <w:rPr>
          <w:rFonts w:ascii="黑体" w:hAnsi="黑体" w:cs="宋体"/>
          <w:kern w:val="0"/>
          <w:szCs w:val="18"/>
        </w:rPr>
      </w:pPr>
    </w:p>
    <w:p w14:paraId="5E3CAA4F">
      <w:pPr>
        <w:pStyle w:val="3"/>
        <w:jc w:val="left"/>
      </w:pPr>
      <w:bookmarkStart w:id="103" w:name="_Toc174556820"/>
      <w:bookmarkStart w:id="104" w:name="_Toc399689013"/>
      <w:r>
        <w:rPr>
          <w:rFonts w:hint="eastAsia"/>
        </w:rPr>
        <w:t>陶瓷地砖</w:t>
      </w:r>
      <w:bookmarkEnd w:id="103"/>
      <w:bookmarkEnd w:id="104"/>
    </w:p>
    <w:p w14:paraId="71291EFD">
      <w:pPr>
        <w:pStyle w:val="97"/>
        <w:rPr>
          <w:b/>
        </w:rPr>
      </w:pPr>
      <w:r>
        <w:rPr>
          <w:rFonts w:hint="eastAsia"/>
          <w:b/>
        </w:rPr>
        <w:t>使用部位</w:t>
      </w:r>
    </w:p>
    <w:p w14:paraId="54A21B22">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非精装区的走道、管理用房</w:t>
      </w:r>
    </w:p>
    <w:p w14:paraId="5F8A2DA5">
      <w:pPr>
        <w:pStyle w:val="49"/>
        <w:spacing w:line="360" w:lineRule="auto"/>
        <w:ind w:left="284" w:firstLine="0" w:firstLineChars="0"/>
        <w:jc w:val="left"/>
        <w:rPr>
          <w:rFonts w:ascii="黑体" w:hAnsi="黑体" w:cs="宋体"/>
          <w:kern w:val="0"/>
          <w:szCs w:val="18"/>
        </w:rPr>
      </w:pPr>
    </w:p>
    <w:p w14:paraId="4DF254E7">
      <w:pPr>
        <w:pStyle w:val="97"/>
        <w:rPr>
          <w:b/>
        </w:rPr>
      </w:pPr>
      <w:r>
        <w:rPr>
          <w:b/>
        </w:rPr>
        <w:t>技术规范</w:t>
      </w:r>
      <w:r>
        <w:rPr>
          <w:rFonts w:hint="eastAsia"/>
          <w:b/>
        </w:rPr>
        <w:t>、规程、要求</w:t>
      </w:r>
    </w:p>
    <w:p w14:paraId="14FCAD7B">
      <w:pPr>
        <w:pStyle w:val="111"/>
        <w:jc w:val="left"/>
      </w:pPr>
      <w:r>
        <w:rPr>
          <w:rFonts w:hint="eastAsia"/>
        </w:rPr>
        <w:t>相关技术规范规程</w:t>
      </w:r>
    </w:p>
    <w:p w14:paraId="123B0E7E">
      <w:pPr>
        <w:numPr>
          <w:ilvl w:val="0"/>
          <w:numId w:val="116"/>
        </w:numPr>
        <w:spacing w:line="360" w:lineRule="auto"/>
        <w:ind w:left="788" w:leftChars="202" w:hanging="424" w:hangingChars="236"/>
        <w:jc w:val="left"/>
        <w:rPr>
          <w:rFonts w:ascii="黑体" w:hAnsi="黑体" w:cs="Arial"/>
          <w:szCs w:val="18"/>
        </w:rPr>
      </w:pPr>
      <w:r>
        <w:rPr>
          <w:rFonts w:hint="eastAsia" w:ascii="黑体" w:hAnsi="黑体" w:cs="Arial"/>
          <w:szCs w:val="18"/>
        </w:rPr>
        <w:t>《</w:t>
      </w:r>
      <w:r>
        <w:rPr>
          <w:rFonts w:ascii="黑体" w:hAnsi="黑体" w:cs="Arial"/>
          <w:szCs w:val="18"/>
        </w:rPr>
        <w:t>建筑地面工程施工质量验收规范</w:t>
      </w:r>
      <w:r>
        <w:rPr>
          <w:rFonts w:hint="eastAsia" w:ascii="黑体" w:hAnsi="黑体" w:cs="Arial"/>
          <w:szCs w:val="18"/>
        </w:rPr>
        <w:t>》（</w:t>
      </w:r>
      <w:r>
        <w:rPr>
          <w:rFonts w:ascii="黑体" w:hAnsi="黑体" w:cs="Arial"/>
          <w:szCs w:val="18"/>
        </w:rPr>
        <w:t>GB50209</w:t>
      </w:r>
      <w:r>
        <w:rPr>
          <w:rFonts w:hint="eastAsia" w:ascii="黑体" w:hAnsi="黑体" w:cs="Arial"/>
          <w:szCs w:val="18"/>
        </w:rPr>
        <w:t>）</w:t>
      </w:r>
    </w:p>
    <w:p w14:paraId="6909964F">
      <w:pPr>
        <w:numPr>
          <w:ilvl w:val="0"/>
          <w:numId w:val="116"/>
        </w:numPr>
        <w:spacing w:line="360" w:lineRule="auto"/>
        <w:ind w:left="788" w:leftChars="202" w:hanging="424" w:hangingChars="236"/>
        <w:jc w:val="left"/>
        <w:rPr>
          <w:rFonts w:ascii="黑体" w:hAnsi="黑体" w:cs="Arial"/>
          <w:szCs w:val="18"/>
        </w:rPr>
      </w:pPr>
      <w:r>
        <w:rPr>
          <w:rFonts w:hint="eastAsia" w:ascii="黑体" w:hAnsi="黑体" w:cs="Arial"/>
          <w:szCs w:val="18"/>
        </w:rPr>
        <w:t>《建筑地面设计规范》（GB50037）</w:t>
      </w:r>
    </w:p>
    <w:p w14:paraId="79AB5A45">
      <w:pPr>
        <w:numPr>
          <w:ilvl w:val="0"/>
          <w:numId w:val="116"/>
        </w:numPr>
        <w:spacing w:line="360" w:lineRule="auto"/>
        <w:ind w:left="788" w:leftChars="202" w:hanging="424" w:hangingChars="236"/>
        <w:jc w:val="left"/>
        <w:rPr>
          <w:rFonts w:ascii="黑体" w:hAnsi="黑体" w:cs="Arial"/>
          <w:szCs w:val="18"/>
        </w:rPr>
      </w:pPr>
      <w:r>
        <w:rPr>
          <w:rFonts w:hint="eastAsia" w:ascii="黑体" w:hAnsi="黑体" w:cs="Arial"/>
          <w:szCs w:val="18"/>
        </w:rPr>
        <w:t>《建筑内部装修设计防火规范》（GB500222）</w:t>
      </w:r>
    </w:p>
    <w:p w14:paraId="2425C326">
      <w:pPr>
        <w:numPr>
          <w:ilvl w:val="0"/>
          <w:numId w:val="116"/>
        </w:numPr>
        <w:spacing w:line="360" w:lineRule="auto"/>
        <w:ind w:left="788" w:leftChars="202" w:hanging="424" w:hangingChars="236"/>
        <w:jc w:val="left"/>
        <w:rPr>
          <w:rFonts w:ascii="黑体" w:hAnsi="黑体" w:cs="Arial"/>
          <w:szCs w:val="18"/>
        </w:rPr>
      </w:pPr>
      <w:r>
        <w:rPr>
          <w:rFonts w:hint="eastAsia" w:ascii="黑体" w:hAnsi="黑体" w:cs="Arial"/>
          <w:szCs w:val="18"/>
        </w:rPr>
        <w:t>《民用建筑工程室内环境污染控制规范》(GB50325)</w:t>
      </w:r>
    </w:p>
    <w:p w14:paraId="5294C22A">
      <w:pPr>
        <w:numPr>
          <w:ilvl w:val="0"/>
          <w:numId w:val="116"/>
        </w:numPr>
        <w:spacing w:line="360" w:lineRule="auto"/>
        <w:ind w:left="788" w:leftChars="202" w:hanging="424" w:hangingChars="236"/>
        <w:jc w:val="left"/>
        <w:rPr>
          <w:rFonts w:ascii="黑体" w:hAnsi="黑体" w:cs="Arial"/>
          <w:szCs w:val="18"/>
        </w:rPr>
      </w:pPr>
      <w:r>
        <w:rPr>
          <w:rFonts w:ascii="黑体" w:hAnsi="黑体" w:cs="Arial"/>
          <w:szCs w:val="18"/>
        </w:rPr>
        <w:t>《陶瓷砖》GB/T 4100</w:t>
      </w:r>
    </w:p>
    <w:p w14:paraId="4DCBD573">
      <w:pPr>
        <w:numPr>
          <w:ilvl w:val="0"/>
          <w:numId w:val="116"/>
        </w:numPr>
        <w:spacing w:line="360" w:lineRule="auto"/>
        <w:ind w:left="788" w:leftChars="202" w:hanging="424" w:hangingChars="236"/>
        <w:jc w:val="left"/>
        <w:rPr>
          <w:rFonts w:ascii="黑体" w:hAnsi="黑体" w:cs="Arial"/>
          <w:szCs w:val="18"/>
        </w:rPr>
      </w:pPr>
      <w:r>
        <w:rPr>
          <w:rFonts w:ascii="黑体" w:hAnsi="黑体" w:cs="Arial"/>
          <w:szCs w:val="18"/>
        </w:rPr>
        <w:t>《陶瓷墙地砖胶粘剂》JC/T 547</w:t>
      </w:r>
    </w:p>
    <w:p w14:paraId="4C4CD5A1">
      <w:pPr>
        <w:numPr>
          <w:ilvl w:val="0"/>
          <w:numId w:val="116"/>
        </w:numPr>
        <w:spacing w:line="360" w:lineRule="auto"/>
        <w:ind w:left="788" w:leftChars="202" w:hanging="424" w:hangingChars="236"/>
        <w:jc w:val="left"/>
        <w:rPr>
          <w:rFonts w:ascii="黑体" w:hAnsi="黑体" w:cs="Arial"/>
          <w:szCs w:val="18"/>
        </w:rPr>
      </w:pPr>
      <w:r>
        <w:rPr>
          <w:rFonts w:ascii="黑体" w:hAnsi="黑体" w:cs="Arial"/>
          <w:szCs w:val="18"/>
        </w:rPr>
        <w:t xml:space="preserve">《建筑工程饰面砖粘结强度检验标准》JGJ11 </w:t>
      </w:r>
    </w:p>
    <w:p w14:paraId="291B91F6">
      <w:pPr>
        <w:pStyle w:val="96"/>
        <w:ind w:left="846" w:firstLine="0"/>
        <w:jc w:val="left"/>
        <w:rPr>
          <w:b w:val="0"/>
          <w:sz w:val="18"/>
        </w:rPr>
      </w:pPr>
    </w:p>
    <w:p w14:paraId="3B0C0A2E">
      <w:pPr>
        <w:pStyle w:val="97"/>
        <w:rPr>
          <w:b/>
        </w:rPr>
      </w:pPr>
      <w:r>
        <w:rPr>
          <w:rFonts w:hint="eastAsia"/>
          <w:b/>
        </w:rPr>
        <w:t>材料要求</w:t>
      </w:r>
    </w:p>
    <w:p w14:paraId="04178F9C">
      <w:pPr>
        <w:pStyle w:val="111"/>
        <w:jc w:val="left"/>
      </w:pPr>
      <w:r>
        <w:t xml:space="preserve">产品类型：同质砖 </w:t>
      </w:r>
    </w:p>
    <w:p w14:paraId="74532CDA">
      <w:pPr>
        <w:pStyle w:val="111"/>
        <w:jc w:val="left"/>
      </w:pPr>
      <w:r>
        <w:t>颜色</w:t>
      </w:r>
      <w:r>
        <w:rPr>
          <w:rFonts w:hint="eastAsia"/>
        </w:rPr>
        <w:t>：按设计</w:t>
      </w:r>
    </w:p>
    <w:p w14:paraId="6F330BA7">
      <w:pPr>
        <w:pStyle w:val="111"/>
        <w:jc w:val="left"/>
      </w:pPr>
      <w:r>
        <w:rPr>
          <w:rFonts w:hint="eastAsia"/>
        </w:rPr>
        <w:t>规格</w:t>
      </w:r>
      <w:r>
        <w:t>：</w:t>
      </w:r>
      <w:r>
        <w:rPr>
          <w:rFonts w:hint="eastAsia"/>
        </w:rPr>
        <w:t xml:space="preserve"> 600*600*10或</w:t>
      </w:r>
      <w:r>
        <w:t>按设计</w:t>
      </w:r>
    </w:p>
    <w:p w14:paraId="6B927FC8">
      <w:pPr>
        <w:pStyle w:val="111"/>
        <w:jc w:val="left"/>
      </w:pPr>
      <w:r>
        <w:t xml:space="preserve">外观质量：大小方砖表面平整，不得有裂缝，色彩均匀、棱角整齐 </w:t>
      </w:r>
    </w:p>
    <w:p w14:paraId="63875019">
      <w:pPr>
        <w:pStyle w:val="111"/>
        <w:jc w:val="left"/>
      </w:pPr>
      <w:r>
        <w:t xml:space="preserve">表面质量：主要区域无明显缺陷 </w:t>
      </w:r>
    </w:p>
    <w:p w14:paraId="5DBD265E">
      <w:pPr>
        <w:pStyle w:val="111"/>
        <w:jc w:val="left"/>
      </w:pPr>
      <w:r>
        <w:t xml:space="preserve">尺寸允许偏差：满足GB/T 4100-2006 相关规定的要求 </w:t>
      </w:r>
    </w:p>
    <w:p w14:paraId="647F3FD6">
      <w:pPr>
        <w:pStyle w:val="111"/>
        <w:jc w:val="left"/>
      </w:pPr>
      <w:r>
        <w:t xml:space="preserve"> 吸水率：≤0.5% </w:t>
      </w:r>
    </w:p>
    <w:p w14:paraId="37CC61E1">
      <w:pPr>
        <w:pStyle w:val="111"/>
        <w:jc w:val="left"/>
      </w:pPr>
      <w:r>
        <w:t xml:space="preserve">物理机械性能 </w:t>
      </w:r>
    </w:p>
    <w:p w14:paraId="2D18BE81">
      <w:pPr>
        <w:pStyle w:val="18"/>
        <w:spacing w:line="360" w:lineRule="auto"/>
        <w:ind w:left="851" w:right="259" w:rightChars="144"/>
        <w:jc w:val="left"/>
        <w:rPr>
          <w:rFonts w:ascii="黑体" w:hAnsi="黑体"/>
          <w:szCs w:val="18"/>
        </w:rPr>
      </w:pPr>
      <w:r>
        <w:rPr>
          <w:rFonts w:ascii="黑体" w:hAnsi="黑体"/>
          <w:szCs w:val="18"/>
        </w:rPr>
        <w:t xml:space="preserve">破坏强度：平均值≥1300N </w:t>
      </w:r>
    </w:p>
    <w:p w14:paraId="3F2F2AB8">
      <w:pPr>
        <w:pStyle w:val="18"/>
        <w:spacing w:line="360" w:lineRule="auto"/>
        <w:ind w:left="851" w:right="259" w:rightChars="144"/>
        <w:jc w:val="left"/>
        <w:rPr>
          <w:rFonts w:ascii="黑体" w:hAnsi="黑体"/>
          <w:szCs w:val="18"/>
        </w:rPr>
      </w:pPr>
      <w:r>
        <w:rPr>
          <w:rFonts w:ascii="黑体" w:hAnsi="黑体"/>
          <w:szCs w:val="18"/>
        </w:rPr>
        <w:t xml:space="preserve">断裂模数：平均值≥35MPa，单个最小值≥32MPa </w:t>
      </w:r>
    </w:p>
    <w:p w14:paraId="43F8D168">
      <w:pPr>
        <w:pStyle w:val="18"/>
        <w:spacing w:line="360" w:lineRule="auto"/>
        <w:ind w:left="851" w:right="259" w:rightChars="144"/>
        <w:jc w:val="left"/>
        <w:rPr>
          <w:rFonts w:ascii="黑体" w:hAnsi="黑体"/>
          <w:szCs w:val="18"/>
        </w:rPr>
      </w:pPr>
      <w:r>
        <w:rPr>
          <w:rFonts w:ascii="黑体" w:hAnsi="黑体"/>
          <w:szCs w:val="18"/>
        </w:rPr>
        <w:t xml:space="preserve">耐磨性：耐磨损体积≤175(1/mm3) </w:t>
      </w:r>
    </w:p>
    <w:p w14:paraId="55222D5B">
      <w:pPr>
        <w:pStyle w:val="111"/>
        <w:jc w:val="left"/>
      </w:pPr>
      <w:r>
        <w:t xml:space="preserve">耐污染性：大于等于3 级 </w:t>
      </w:r>
    </w:p>
    <w:p w14:paraId="76904C60">
      <w:pPr>
        <w:pStyle w:val="111"/>
        <w:jc w:val="left"/>
      </w:pPr>
      <w:r>
        <w:t xml:space="preserve">抗化学腐蚀性 </w:t>
      </w:r>
    </w:p>
    <w:p w14:paraId="0EBBD3AF">
      <w:pPr>
        <w:pStyle w:val="18"/>
        <w:spacing w:line="360" w:lineRule="auto"/>
        <w:ind w:left="851" w:right="259" w:rightChars="144"/>
        <w:jc w:val="left"/>
        <w:rPr>
          <w:rFonts w:ascii="黑体" w:hAnsi="黑体"/>
          <w:szCs w:val="18"/>
        </w:rPr>
      </w:pPr>
      <w:r>
        <w:rPr>
          <w:rFonts w:ascii="黑体" w:hAnsi="黑体"/>
          <w:szCs w:val="18"/>
        </w:rPr>
        <w:t xml:space="preserve">耐低浓度酸和碱测试：通过 </w:t>
      </w:r>
    </w:p>
    <w:p w14:paraId="10B3BC51">
      <w:pPr>
        <w:pStyle w:val="18"/>
        <w:spacing w:line="360" w:lineRule="auto"/>
        <w:ind w:left="851" w:right="259" w:rightChars="144"/>
        <w:jc w:val="left"/>
        <w:rPr>
          <w:rFonts w:ascii="黑体" w:hAnsi="黑体"/>
          <w:szCs w:val="18"/>
        </w:rPr>
      </w:pPr>
      <w:r>
        <w:rPr>
          <w:rFonts w:ascii="黑体" w:hAnsi="黑体"/>
          <w:szCs w:val="18"/>
        </w:rPr>
        <w:t xml:space="preserve">耐家庭化学试剂：不低于UB 级 </w:t>
      </w:r>
    </w:p>
    <w:p w14:paraId="5F2DE048">
      <w:pPr>
        <w:pStyle w:val="111"/>
        <w:jc w:val="left"/>
      </w:pPr>
      <w:r>
        <w:t xml:space="preserve">放射性：符合GB6566 中A 类装修材料相关规定的要求，IRa≤1.0，Iγ≤1.3 </w:t>
      </w:r>
    </w:p>
    <w:p w14:paraId="4C56BFEE">
      <w:pPr>
        <w:pStyle w:val="111"/>
        <w:jc w:val="left"/>
      </w:pPr>
      <w:r>
        <w:t xml:space="preserve">防滑性能：地面砖COF≥0.5，走道、坡道≥0.6，局部≥0.8（根据设计要求） </w:t>
      </w:r>
    </w:p>
    <w:p w14:paraId="0BA01921">
      <w:pPr>
        <w:pStyle w:val="111"/>
        <w:jc w:val="left"/>
      </w:pPr>
      <w:r>
        <w:t xml:space="preserve">切边及特殊形状:为满足场地条件及设计要求的地方提供内角、外角，孔边和其它边条及特殊形状的瓷砖。 </w:t>
      </w:r>
    </w:p>
    <w:p w14:paraId="1D25D17D">
      <w:pPr>
        <w:pStyle w:val="111"/>
        <w:jc w:val="left"/>
      </w:pPr>
      <w:r>
        <w:t xml:space="preserve">胶粘剂 </w:t>
      </w:r>
    </w:p>
    <w:p w14:paraId="27AD0B62">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使用专用墙地砖成品粘结砂浆，C2T普通型，聚合物的单组份瓷砖胶粘剂 </w:t>
      </w:r>
    </w:p>
    <w:p w14:paraId="66086FE4">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拉伸胶粘原强度：≥1.0MPa </w:t>
      </w:r>
    </w:p>
    <w:p w14:paraId="00EBA922">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浸水后的拉伸胶粘强度：≥0.8MPa </w:t>
      </w:r>
    </w:p>
    <w:p w14:paraId="1DDD7852">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热老化后的拉伸胶粘强度：≥0.8MPa </w:t>
      </w:r>
    </w:p>
    <w:p w14:paraId="53C30103">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冻融循环后的拉伸胶粘强度：≥0.8MPa </w:t>
      </w:r>
    </w:p>
    <w:p w14:paraId="32B94972">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晾置时间20min拉伸胶粘强度：≥0.8MPa </w:t>
      </w:r>
    </w:p>
    <w:p w14:paraId="37F129AB">
      <w:pPr>
        <w:pStyle w:val="111"/>
        <w:jc w:val="left"/>
      </w:pPr>
      <w:r>
        <w:t xml:space="preserve">填缝剂 </w:t>
      </w:r>
    </w:p>
    <w:p w14:paraId="7A357051">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使用专用墙地砖成品填缝剂，符合《陶瓷墙地砖填缝剂》JC/T1004-2006 相关规定的要求 </w:t>
      </w:r>
    </w:p>
    <w:p w14:paraId="17874517">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耐磨损性：＜2000mm3 </w:t>
      </w:r>
    </w:p>
    <w:p w14:paraId="0238AE95">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收缩值：＜3.0mm/m </w:t>
      </w:r>
    </w:p>
    <w:p w14:paraId="32162062">
      <w:pPr>
        <w:pStyle w:val="18"/>
        <w:numPr>
          <w:ilvl w:val="0"/>
          <w:numId w:val="117"/>
        </w:numPr>
        <w:autoSpaceDE/>
        <w:autoSpaceDN/>
        <w:adjustRightInd/>
        <w:spacing w:line="360" w:lineRule="auto"/>
        <w:ind w:right="259" w:rightChars="144"/>
        <w:jc w:val="left"/>
        <w:rPr>
          <w:rFonts w:ascii="黑体" w:hAnsi="黑体"/>
          <w:szCs w:val="18"/>
        </w:rPr>
      </w:pPr>
      <w:r>
        <w:rPr>
          <w:rFonts w:ascii="黑体" w:hAnsi="黑体"/>
          <w:szCs w:val="18"/>
        </w:rPr>
        <w:t xml:space="preserve">吸水量：＜5.0%（30min）；＜10.0%（240min） </w:t>
      </w:r>
    </w:p>
    <w:p w14:paraId="7FFBCE7D">
      <w:pPr>
        <w:pStyle w:val="49"/>
        <w:spacing w:line="360" w:lineRule="auto"/>
        <w:ind w:firstLine="0" w:firstLineChars="0"/>
        <w:jc w:val="left"/>
        <w:rPr>
          <w:rFonts w:ascii="黑体" w:hAnsi="黑体" w:cs="宋体"/>
          <w:kern w:val="0"/>
          <w:szCs w:val="18"/>
        </w:rPr>
      </w:pPr>
    </w:p>
    <w:p w14:paraId="6ED6690A">
      <w:pPr>
        <w:pStyle w:val="97"/>
        <w:rPr>
          <w:b/>
        </w:rPr>
      </w:pPr>
      <w:r>
        <w:rPr>
          <w:b/>
        </w:rPr>
        <w:t>提交资料</w:t>
      </w:r>
    </w:p>
    <w:p w14:paraId="0EE19A87">
      <w:pPr>
        <w:pStyle w:val="111"/>
        <w:jc w:val="left"/>
      </w:pPr>
      <w:r>
        <w:t xml:space="preserve">数据：指定的每种产品的规格、性能数据 </w:t>
      </w:r>
    </w:p>
    <w:p w14:paraId="649B8C07">
      <w:pPr>
        <w:pStyle w:val="111"/>
        <w:jc w:val="left"/>
      </w:pPr>
      <w:r>
        <w:t xml:space="preserve">确认样品：每种类型、颜色和装饰的带有胶粘剂和填缝剂的组装样品，至少600mm*600mm，并且安装在硬板上。 </w:t>
      </w:r>
    </w:p>
    <w:p w14:paraId="2F49C8A7">
      <w:pPr>
        <w:pStyle w:val="111"/>
        <w:jc w:val="left"/>
      </w:pPr>
      <w:r>
        <w:t>产品说明书：有产品生产商签署的每种规格型号</w:t>
      </w:r>
      <w:r>
        <w:rPr>
          <w:rFonts w:hint="eastAsia"/>
        </w:rPr>
        <w:t>。</w:t>
      </w:r>
    </w:p>
    <w:p w14:paraId="4CBFF78F">
      <w:pPr>
        <w:pStyle w:val="49"/>
        <w:spacing w:line="360" w:lineRule="auto"/>
        <w:ind w:left="420" w:firstLine="0" w:firstLineChars="0"/>
        <w:jc w:val="left"/>
        <w:rPr>
          <w:rFonts w:ascii="黑体" w:hAnsi="黑体" w:cs="宋体"/>
          <w:kern w:val="0"/>
          <w:szCs w:val="18"/>
        </w:rPr>
      </w:pPr>
    </w:p>
    <w:p w14:paraId="624E506B">
      <w:pPr>
        <w:pStyle w:val="97"/>
        <w:rPr>
          <w:b/>
        </w:rPr>
      </w:pPr>
      <w:r>
        <w:rPr>
          <w:b/>
        </w:rPr>
        <w:t xml:space="preserve">质量保证 </w:t>
      </w:r>
    </w:p>
    <w:p w14:paraId="27A747E4">
      <w:pPr>
        <w:pStyle w:val="111"/>
        <w:jc w:val="left"/>
      </w:pPr>
      <w:r>
        <w:t xml:space="preserve">安装人员要求：采用完全了解瓷砖制造商安装要求，并且经过培训的熟练工人对实际的剪裁和铺设进行操作。 </w:t>
      </w:r>
    </w:p>
    <w:p w14:paraId="03C7070C">
      <w:pPr>
        <w:pStyle w:val="111"/>
        <w:jc w:val="left"/>
      </w:pPr>
      <w:r>
        <w:t xml:space="preserve">制造商建议：瓷砖制造商的安装做法，得到了设计师认可后，作为工作实际采用的安装方法的合理性判断依据。 </w:t>
      </w:r>
    </w:p>
    <w:p w14:paraId="65917210">
      <w:pPr>
        <w:pStyle w:val="111"/>
        <w:jc w:val="left"/>
      </w:pPr>
      <w:r>
        <w:t>进货要求：陶瓷砖应由一家供应商提供，除非有特殊说明。胶粘剂和填缝剂具有统一质量品质，由一家供应商提供</w:t>
      </w:r>
      <w:r>
        <w:rPr>
          <w:rFonts w:hint="eastAsia"/>
        </w:rPr>
        <w:t>。</w:t>
      </w:r>
      <w:r>
        <w:t xml:space="preserve"> </w:t>
      </w:r>
    </w:p>
    <w:p w14:paraId="5D785393">
      <w:pPr>
        <w:pStyle w:val="111"/>
        <w:jc w:val="left"/>
        <w:rPr>
          <w:rFonts w:cs="宋体"/>
        </w:rPr>
      </w:pPr>
      <w:r>
        <w:t>现场样板/测试：</w:t>
      </w:r>
      <w:r>
        <w:rPr>
          <w:rFonts w:cs="宋体"/>
        </w:rPr>
        <w:t xml:space="preserve"> </w:t>
      </w:r>
    </w:p>
    <w:p w14:paraId="6A765428">
      <w:pPr>
        <w:pStyle w:val="49"/>
        <w:numPr>
          <w:ilvl w:val="0"/>
          <w:numId w:val="118"/>
        </w:numPr>
        <w:spacing w:line="360" w:lineRule="auto"/>
        <w:ind w:firstLineChars="0"/>
        <w:jc w:val="left"/>
        <w:rPr>
          <w:rFonts w:ascii="黑体" w:hAnsi="黑体" w:cs="宋体"/>
          <w:kern w:val="0"/>
          <w:szCs w:val="18"/>
        </w:rPr>
      </w:pPr>
      <w:r>
        <w:rPr>
          <w:rFonts w:ascii="黑体" w:hAnsi="黑体" w:cs="宋体"/>
          <w:kern w:val="0"/>
          <w:szCs w:val="18"/>
        </w:rPr>
        <w:t xml:space="preserve">在设计师指定的区域铺设瓷砖。 </w:t>
      </w:r>
    </w:p>
    <w:p w14:paraId="22C5A6F4">
      <w:pPr>
        <w:pStyle w:val="49"/>
        <w:numPr>
          <w:ilvl w:val="0"/>
          <w:numId w:val="118"/>
        </w:numPr>
        <w:spacing w:line="360" w:lineRule="auto"/>
        <w:ind w:firstLineChars="0"/>
        <w:jc w:val="left"/>
        <w:rPr>
          <w:rFonts w:ascii="黑体" w:hAnsi="黑体" w:cs="宋体"/>
          <w:kern w:val="0"/>
          <w:szCs w:val="18"/>
        </w:rPr>
      </w:pPr>
      <w:r>
        <w:rPr>
          <w:rFonts w:ascii="黑体" w:hAnsi="黑体" w:cs="宋体"/>
          <w:kern w:val="0"/>
          <w:szCs w:val="18"/>
        </w:rPr>
        <w:t>样板面积</w:t>
      </w:r>
      <w:r>
        <w:rPr>
          <w:rFonts w:hint="eastAsia" w:ascii="黑体" w:hAnsi="黑体" w:cs="宋体"/>
          <w:kern w:val="0"/>
          <w:szCs w:val="18"/>
        </w:rPr>
        <w:t>50~100㎡。</w:t>
      </w:r>
    </w:p>
    <w:p w14:paraId="67D256DF">
      <w:pPr>
        <w:pStyle w:val="49"/>
        <w:numPr>
          <w:ilvl w:val="0"/>
          <w:numId w:val="118"/>
        </w:numPr>
        <w:spacing w:line="360" w:lineRule="auto"/>
        <w:ind w:firstLineChars="0"/>
        <w:jc w:val="left"/>
        <w:rPr>
          <w:rFonts w:ascii="黑体" w:hAnsi="黑体" w:cs="宋体"/>
          <w:kern w:val="0"/>
          <w:szCs w:val="18"/>
        </w:rPr>
      </w:pPr>
      <w:r>
        <w:rPr>
          <w:rFonts w:ascii="黑体" w:hAnsi="黑体" w:cs="宋体"/>
          <w:kern w:val="0"/>
          <w:szCs w:val="18"/>
        </w:rPr>
        <w:t xml:space="preserve">每种类型，等级和颜色的瓷砖按照本规定要求制作一个现场样板。 </w:t>
      </w:r>
    </w:p>
    <w:p w14:paraId="4CA6C289">
      <w:pPr>
        <w:pStyle w:val="49"/>
        <w:numPr>
          <w:ilvl w:val="0"/>
          <w:numId w:val="118"/>
        </w:numPr>
        <w:spacing w:line="360" w:lineRule="auto"/>
        <w:ind w:firstLineChars="0"/>
        <w:jc w:val="left"/>
        <w:rPr>
          <w:rFonts w:ascii="黑体" w:hAnsi="黑体" w:cs="宋体"/>
          <w:kern w:val="0"/>
          <w:szCs w:val="18"/>
        </w:rPr>
      </w:pPr>
      <w:r>
        <w:rPr>
          <w:rFonts w:ascii="黑体" w:hAnsi="黑体" w:cs="宋体"/>
          <w:kern w:val="0"/>
          <w:szCs w:val="18"/>
        </w:rPr>
        <w:t xml:space="preserve">在设计师批准的情况下，此样板可作为工程的一部分，并可包含在装饰工程中。 </w:t>
      </w:r>
    </w:p>
    <w:p w14:paraId="547BD3C8">
      <w:pPr>
        <w:pStyle w:val="49"/>
        <w:numPr>
          <w:ilvl w:val="0"/>
          <w:numId w:val="118"/>
        </w:numPr>
        <w:spacing w:line="360" w:lineRule="auto"/>
        <w:ind w:firstLineChars="0"/>
        <w:jc w:val="left"/>
        <w:rPr>
          <w:rFonts w:ascii="黑体" w:hAnsi="黑体" w:cs="宋体"/>
          <w:kern w:val="0"/>
          <w:szCs w:val="18"/>
        </w:rPr>
      </w:pPr>
      <w:r>
        <w:rPr>
          <w:rFonts w:ascii="黑体" w:hAnsi="黑体" w:cs="宋体"/>
          <w:kern w:val="0"/>
          <w:szCs w:val="18"/>
        </w:rPr>
        <w:t xml:space="preserve">根据设计师的要求做必要的修改。 </w:t>
      </w:r>
    </w:p>
    <w:p w14:paraId="32A7823E">
      <w:pPr>
        <w:pStyle w:val="49"/>
        <w:numPr>
          <w:ilvl w:val="0"/>
          <w:numId w:val="118"/>
        </w:numPr>
        <w:spacing w:line="360" w:lineRule="auto"/>
        <w:ind w:firstLineChars="0"/>
        <w:jc w:val="left"/>
        <w:rPr>
          <w:rFonts w:ascii="黑体" w:hAnsi="黑体" w:cs="宋体"/>
          <w:kern w:val="0"/>
          <w:szCs w:val="18"/>
        </w:rPr>
      </w:pPr>
      <w:r>
        <w:rPr>
          <w:rFonts w:ascii="黑体" w:hAnsi="黑体" w:cs="宋体"/>
          <w:kern w:val="0"/>
          <w:szCs w:val="18"/>
        </w:rPr>
        <w:t xml:space="preserve">现场样板得到设计师的认可后，可作为本规定涉及工作中剩余瓷砖铺贴工作是否合格的参照标准。 </w:t>
      </w:r>
    </w:p>
    <w:p w14:paraId="051AC9D8">
      <w:pPr>
        <w:pStyle w:val="49"/>
        <w:spacing w:line="360" w:lineRule="auto"/>
        <w:ind w:left="851" w:firstLine="0" w:firstLineChars="0"/>
        <w:jc w:val="left"/>
        <w:rPr>
          <w:rFonts w:ascii="黑体" w:hAnsi="黑体" w:cs="宋体"/>
          <w:kern w:val="0"/>
          <w:szCs w:val="18"/>
        </w:rPr>
      </w:pPr>
      <w:r>
        <w:rPr>
          <w:rFonts w:ascii="黑体" w:hAnsi="黑体" w:cs="宋体"/>
          <w:kern w:val="0"/>
          <w:szCs w:val="18"/>
        </w:rPr>
        <w:t>如果样板未得到设计师的认可，在瓷砖铺贴工作结束和验收通过时需完全拆除。</w:t>
      </w:r>
    </w:p>
    <w:p w14:paraId="486D91CD">
      <w:pPr>
        <w:pStyle w:val="49"/>
        <w:spacing w:line="360" w:lineRule="auto"/>
        <w:ind w:firstLine="0" w:firstLineChars="0"/>
        <w:jc w:val="left"/>
        <w:rPr>
          <w:rFonts w:ascii="黑体" w:hAnsi="黑体" w:cs="宋体"/>
          <w:kern w:val="0"/>
          <w:szCs w:val="18"/>
        </w:rPr>
      </w:pPr>
    </w:p>
    <w:p w14:paraId="71BD142A">
      <w:pPr>
        <w:pStyle w:val="97"/>
        <w:rPr>
          <w:b/>
        </w:rPr>
      </w:pPr>
      <w:r>
        <w:rPr>
          <w:rFonts w:hint="eastAsia"/>
          <w:b/>
        </w:rPr>
        <w:t>施工</w:t>
      </w:r>
    </w:p>
    <w:p w14:paraId="024D1767">
      <w:pPr>
        <w:spacing w:line="360" w:lineRule="auto"/>
        <w:ind w:left="729" w:leftChars="405"/>
        <w:jc w:val="left"/>
        <w:rPr>
          <w:rFonts w:ascii="黑体" w:hAnsi="黑体" w:cs="Arial"/>
          <w:szCs w:val="18"/>
        </w:rPr>
      </w:pPr>
      <w:r>
        <w:rPr>
          <w:rFonts w:hint="eastAsia" w:ascii="黑体" w:hAnsi="黑体" w:cs="宋体"/>
          <w:kern w:val="0"/>
          <w:szCs w:val="18"/>
        </w:rPr>
        <w:t>参见</w:t>
      </w:r>
      <w:r>
        <w:rPr>
          <w:rFonts w:hint="eastAsia" w:ascii="黑体" w:hAnsi="黑体" w:cs="Arial"/>
          <w:szCs w:val="18"/>
        </w:rPr>
        <w:t>《内装修楼（地）面装修》（13J502-3</w:t>
      </w:r>
      <w:r>
        <w:rPr>
          <w:rFonts w:ascii="黑体" w:hAnsi="黑体" w:cs="Arial"/>
          <w:szCs w:val="18"/>
        </w:rPr>
        <w:t>）</w:t>
      </w:r>
      <w:r>
        <w:rPr>
          <w:rFonts w:hint="eastAsia" w:ascii="黑体" w:hAnsi="黑体" w:cs="Arial"/>
          <w:szCs w:val="18"/>
        </w:rPr>
        <w:t>-C03第3.1条。</w:t>
      </w:r>
    </w:p>
    <w:p w14:paraId="38F24148">
      <w:pPr>
        <w:pStyle w:val="49"/>
        <w:spacing w:line="360" w:lineRule="auto"/>
        <w:ind w:firstLineChars="0"/>
        <w:jc w:val="left"/>
        <w:rPr>
          <w:rFonts w:ascii="黑体" w:hAnsi="黑体" w:cs="宋体"/>
          <w:kern w:val="0"/>
          <w:szCs w:val="18"/>
        </w:rPr>
      </w:pPr>
    </w:p>
    <w:p w14:paraId="03EE56BB">
      <w:pPr>
        <w:pStyle w:val="3"/>
        <w:jc w:val="left"/>
      </w:pPr>
      <w:bookmarkStart w:id="105" w:name="_Toc174556821"/>
      <w:bookmarkStart w:id="106" w:name="_Toc399689014"/>
      <w:r>
        <w:rPr>
          <w:rFonts w:hint="eastAsia"/>
        </w:rPr>
        <w:t>防静电架空地板</w:t>
      </w:r>
      <w:bookmarkEnd w:id="105"/>
      <w:bookmarkEnd w:id="106"/>
    </w:p>
    <w:p w14:paraId="1C7BAE7A">
      <w:pPr>
        <w:pStyle w:val="97"/>
        <w:rPr>
          <w:b/>
        </w:rPr>
      </w:pPr>
      <w:r>
        <w:rPr>
          <w:rFonts w:hint="eastAsia"/>
          <w:b/>
        </w:rPr>
        <w:t>技术规格</w:t>
      </w:r>
    </w:p>
    <w:p w14:paraId="464BFA7A">
      <w:pPr>
        <w:pStyle w:val="14"/>
        <w:kinsoku w:val="0"/>
        <w:overflowPunct w:val="0"/>
        <w:spacing w:line="273" w:lineRule="auto"/>
        <w:ind w:left="220" w:right="684" w:firstLine="360" w:firstLineChars="200"/>
        <w:jc w:val="left"/>
        <w:rPr>
          <w:rFonts w:ascii="黑体" w:hAnsi="黑体"/>
          <w:szCs w:val="18"/>
        </w:rPr>
      </w:pPr>
      <w:r>
        <w:rPr>
          <w:rFonts w:hint="eastAsia" w:ascii="黑体" w:hAnsi="黑体"/>
          <w:szCs w:val="18"/>
        </w:rPr>
        <w:t>请注意以下技术规格模板内容仅供参考，请根据实际项目标书要求修改，完成后请与供应商确认，需要供应商报价时必须提供针对本项目的物料清单和技术规格书。</w:t>
      </w:r>
    </w:p>
    <w:p w14:paraId="5368E2B0">
      <w:pPr>
        <w:pStyle w:val="111"/>
        <w:ind w:left="1134" w:hanging="424"/>
        <w:jc w:val="left"/>
      </w:pPr>
      <w:r>
        <w:rPr>
          <w:rFonts w:hint="eastAsia"/>
          <w:b/>
        </w:rPr>
        <w:t>硫酸钙防静电地板技术规格</w:t>
      </w:r>
    </w:p>
    <w:tbl>
      <w:tblPr>
        <w:tblStyle w:val="36"/>
        <w:tblW w:w="0" w:type="auto"/>
        <w:tblInd w:w="211" w:type="dxa"/>
        <w:tblLayout w:type="fixed"/>
        <w:tblCellMar>
          <w:top w:w="0" w:type="dxa"/>
          <w:left w:w="0" w:type="dxa"/>
          <w:bottom w:w="0" w:type="dxa"/>
          <w:right w:w="0" w:type="dxa"/>
        </w:tblCellMar>
      </w:tblPr>
      <w:tblGrid>
        <w:gridCol w:w="725"/>
        <w:gridCol w:w="1133"/>
        <w:gridCol w:w="144"/>
        <w:gridCol w:w="5104"/>
        <w:gridCol w:w="1417"/>
        <w:gridCol w:w="979"/>
      </w:tblGrid>
      <w:tr w14:paraId="40A9DE38">
        <w:tblPrEx>
          <w:tblCellMar>
            <w:top w:w="0" w:type="dxa"/>
            <w:left w:w="0" w:type="dxa"/>
            <w:bottom w:w="0" w:type="dxa"/>
            <w:right w:w="0" w:type="dxa"/>
          </w:tblCellMar>
        </w:tblPrEx>
        <w:trPr>
          <w:trHeight w:val="820" w:hRule="atLeast"/>
        </w:trPr>
        <w:tc>
          <w:tcPr>
            <w:tcW w:w="725" w:type="dxa"/>
            <w:tcBorders>
              <w:top w:val="single" w:color="000000" w:sz="4" w:space="0"/>
              <w:left w:val="single" w:color="000000" w:sz="4" w:space="0"/>
              <w:bottom w:val="single" w:color="000000" w:sz="4" w:space="0"/>
              <w:right w:val="single" w:color="000000" w:sz="4" w:space="0"/>
            </w:tcBorders>
            <w:shd w:val="clear" w:color="auto" w:fill="DBE4F0"/>
          </w:tcPr>
          <w:p w14:paraId="33275DBD">
            <w:pPr>
              <w:pStyle w:val="132"/>
              <w:kinsoku w:val="0"/>
              <w:overflowPunct w:val="0"/>
              <w:spacing w:before="8"/>
              <w:rPr>
                <w:rFonts w:ascii="黑体" w:hAnsi="黑体" w:eastAsia="黑体"/>
                <w:b/>
                <w:bCs/>
                <w:sz w:val="18"/>
                <w:szCs w:val="18"/>
              </w:rPr>
            </w:pPr>
          </w:p>
          <w:p w14:paraId="0FA9C6D5">
            <w:pPr>
              <w:pStyle w:val="132"/>
              <w:kinsoku w:val="0"/>
              <w:overflowPunct w:val="0"/>
              <w:ind w:left="97" w:right="93"/>
              <w:rPr>
                <w:rFonts w:ascii="黑体" w:hAnsi="黑体" w:eastAsia="黑体"/>
                <w:b/>
                <w:bCs/>
                <w:sz w:val="18"/>
                <w:szCs w:val="18"/>
              </w:rPr>
            </w:pPr>
            <w:r>
              <w:rPr>
                <w:rFonts w:hint="eastAsia" w:ascii="黑体" w:hAnsi="黑体" w:eastAsia="黑体"/>
                <w:b/>
                <w:bCs/>
                <w:sz w:val="18"/>
                <w:szCs w:val="18"/>
              </w:rPr>
              <w:t>序号</w:t>
            </w:r>
          </w:p>
        </w:tc>
        <w:tc>
          <w:tcPr>
            <w:tcW w:w="1133" w:type="dxa"/>
            <w:tcBorders>
              <w:top w:val="single" w:color="000000" w:sz="4" w:space="0"/>
              <w:left w:val="single" w:color="000000" w:sz="4" w:space="0"/>
              <w:bottom w:val="single" w:color="000000" w:sz="4" w:space="0"/>
              <w:right w:val="single" w:color="000000" w:sz="4" w:space="0"/>
            </w:tcBorders>
            <w:shd w:val="clear" w:color="auto" w:fill="DBE4F0"/>
          </w:tcPr>
          <w:p w14:paraId="783CCC70">
            <w:pPr>
              <w:pStyle w:val="132"/>
              <w:kinsoku w:val="0"/>
              <w:overflowPunct w:val="0"/>
              <w:spacing w:before="8"/>
              <w:rPr>
                <w:rFonts w:ascii="黑体" w:hAnsi="黑体" w:eastAsia="黑体"/>
                <w:b/>
                <w:bCs/>
                <w:sz w:val="18"/>
                <w:szCs w:val="18"/>
              </w:rPr>
            </w:pPr>
          </w:p>
          <w:p w14:paraId="236FFE82">
            <w:pPr>
              <w:pStyle w:val="132"/>
              <w:kinsoku w:val="0"/>
              <w:overflowPunct w:val="0"/>
              <w:ind w:left="136" w:right="126"/>
              <w:rPr>
                <w:rFonts w:ascii="黑体" w:hAnsi="黑体" w:eastAsia="黑体"/>
                <w:b/>
                <w:bCs/>
                <w:sz w:val="18"/>
                <w:szCs w:val="18"/>
              </w:rPr>
            </w:pPr>
            <w:r>
              <w:rPr>
                <w:rFonts w:hint="eastAsia" w:ascii="黑体" w:hAnsi="黑体" w:eastAsia="黑体"/>
                <w:b/>
                <w:bCs/>
                <w:sz w:val="18"/>
                <w:szCs w:val="18"/>
              </w:rPr>
              <w:t>项目</w:t>
            </w:r>
          </w:p>
        </w:tc>
        <w:tc>
          <w:tcPr>
            <w:tcW w:w="5248" w:type="dxa"/>
            <w:gridSpan w:val="2"/>
            <w:tcBorders>
              <w:top w:val="single" w:color="000000" w:sz="4" w:space="0"/>
              <w:left w:val="single" w:color="000000" w:sz="4" w:space="0"/>
              <w:bottom w:val="single" w:color="000000" w:sz="4" w:space="0"/>
              <w:right w:val="single" w:color="000000" w:sz="4" w:space="0"/>
            </w:tcBorders>
            <w:shd w:val="clear" w:color="auto" w:fill="DBE4F0"/>
          </w:tcPr>
          <w:p w14:paraId="1D93D23C">
            <w:pPr>
              <w:pStyle w:val="132"/>
              <w:kinsoku w:val="0"/>
              <w:overflowPunct w:val="0"/>
              <w:spacing w:before="8"/>
              <w:rPr>
                <w:rFonts w:ascii="黑体" w:hAnsi="黑体" w:eastAsia="黑体"/>
                <w:b/>
                <w:bCs/>
                <w:sz w:val="18"/>
                <w:szCs w:val="18"/>
              </w:rPr>
            </w:pPr>
          </w:p>
          <w:p w14:paraId="4BBDFCD8">
            <w:pPr>
              <w:pStyle w:val="132"/>
              <w:kinsoku w:val="0"/>
              <w:overflowPunct w:val="0"/>
              <w:ind w:left="2240" w:right="2234"/>
              <w:rPr>
                <w:rFonts w:ascii="黑体" w:hAnsi="黑体" w:eastAsia="黑体"/>
                <w:b/>
                <w:bCs/>
                <w:sz w:val="18"/>
                <w:szCs w:val="18"/>
              </w:rPr>
            </w:pPr>
            <w:r>
              <w:rPr>
                <w:rFonts w:hint="eastAsia" w:ascii="黑体" w:hAnsi="黑体" w:eastAsia="黑体"/>
                <w:b/>
                <w:bCs/>
                <w:sz w:val="18"/>
                <w:szCs w:val="18"/>
              </w:rPr>
              <w:t>项目说明</w:t>
            </w:r>
          </w:p>
        </w:tc>
        <w:tc>
          <w:tcPr>
            <w:tcW w:w="1417" w:type="dxa"/>
            <w:tcBorders>
              <w:top w:val="single" w:color="000000" w:sz="4" w:space="0"/>
              <w:left w:val="single" w:color="000000" w:sz="4" w:space="0"/>
              <w:bottom w:val="single" w:color="000000" w:sz="4" w:space="0"/>
              <w:right w:val="single" w:color="000000" w:sz="4" w:space="0"/>
            </w:tcBorders>
            <w:shd w:val="clear" w:color="auto" w:fill="DBE4F0"/>
          </w:tcPr>
          <w:p w14:paraId="1F7BF81B">
            <w:pPr>
              <w:pStyle w:val="132"/>
              <w:kinsoku w:val="0"/>
              <w:overflowPunct w:val="0"/>
              <w:spacing w:before="8"/>
              <w:rPr>
                <w:rFonts w:ascii="黑体" w:hAnsi="黑体" w:eastAsia="黑体"/>
                <w:b/>
                <w:bCs/>
                <w:sz w:val="18"/>
                <w:szCs w:val="18"/>
              </w:rPr>
            </w:pPr>
          </w:p>
          <w:p w14:paraId="57688FCC">
            <w:pPr>
              <w:pStyle w:val="132"/>
              <w:kinsoku w:val="0"/>
              <w:overflowPunct w:val="0"/>
              <w:ind w:left="341"/>
              <w:rPr>
                <w:rFonts w:ascii="黑体" w:hAnsi="黑体" w:eastAsia="黑体"/>
                <w:b/>
                <w:bCs/>
                <w:sz w:val="18"/>
                <w:szCs w:val="18"/>
              </w:rPr>
            </w:pPr>
            <w:r>
              <w:rPr>
                <w:rFonts w:hint="eastAsia" w:ascii="黑体" w:hAnsi="黑体" w:eastAsia="黑体"/>
                <w:b/>
                <w:bCs/>
                <w:sz w:val="18"/>
                <w:szCs w:val="18"/>
              </w:rPr>
              <w:t>厂商答复</w:t>
            </w:r>
          </w:p>
        </w:tc>
        <w:tc>
          <w:tcPr>
            <w:tcW w:w="979" w:type="dxa"/>
            <w:tcBorders>
              <w:top w:val="single" w:color="000000" w:sz="4" w:space="0"/>
              <w:left w:val="single" w:color="000000" w:sz="4" w:space="0"/>
              <w:bottom w:val="single" w:color="000000" w:sz="4" w:space="0"/>
              <w:right w:val="single" w:color="000000" w:sz="4" w:space="0"/>
            </w:tcBorders>
            <w:shd w:val="clear" w:color="auto" w:fill="DBE4F0"/>
          </w:tcPr>
          <w:p w14:paraId="77946492">
            <w:pPr>
              <w:pStyle w:val="132"/>
              <w:kinsoku w:val="0"/>
              <w:overflowPunct w:val="0"/>
              <w:spacing w:before="60" w:line="242" w:lineRule="auto"/>
              <w:ind w:left="125" w:right="111"/>
              <w:rPr>
                <w:rFonts w:ascii="黑体" w:hAnsi="黑体" w:eastAsia="黑体"/>
                <w:b/>
                <w:bCs/>
                <w:sz w:val="18"/>
                <w:szCs w:val="18"/>
              </w:rPr>
            </w:pPr>
            <w:r>
              <w:rPr>
                <w:rFonts w:hint="eastAsia" w:ascii="黑体" w:hAnsi="黑体" w:eastAsia="黑体"/>
                <w:b/>
                <w:bCs/>
                <w:sz w:val="18"/>
                <w:szCs w:val="18"/>
              </w:rPr>
              <w:t>请填写贵司的性能参数</w:t>
            </w:r>
          </w:p>
        </w:tc>
      </w:tr>
      <w:tr w14:paraId="58CD2BAF">
        <w:tblPrEx>
          <w:tblCellMar>
            <w:top w:w="0" w:type="dxa"/>
            <w:left w:w="0" w:type="dxa"/>
            <w:bottom w:w="0" w:type="dxa"/>
            <w:right w:w="0" w:type="dxa"/>
          </w:tblCellMar>
        </w:tblPrEx>
        <w:trPr>
          <w:trHeight w:val="896" w:hRule="atLeast"/>
        </w:trPr>
        <w:tc>
          <w:tcPr>
            <w:tcW w:w="725" w:type="dxa"/>
            <w:tcBorders>
              <w:top w:val="single" w:color="000000" w:sz="4" w:space="0"/>
              <w:left w:val="single" w:color="000000" w:sz="4" w:space="0"/>
              <w:bottom w:val="single" w:color="000000" w:sz="4" w:space="0"/>
              <w:right w:val="single" w:color="000000" w:sz="4" w:space="0"/>
            </w:tcBorders>
          </w:tcPr>
          <w:p w14:paraId="76D0BFC0">
            <w:pPr>
              <w:pStyle w:val="132"/>
              <w:kinsoku w:val="0"/>
              <w:overflowPunct w:val="0"/>
              <w:rPr>
                <w:rFonts w:ascii="黑体" w:hAnsi="黑体" w:eastAsia="黑体"/>
                <w:b/>
                <w:bCs/>
                <w:sz w:val="18"/>
                <w:szCs w:val="18"/>
              </w:rPr>
            </w:pPr>
          </w:p>
          <w:p w14:paraId="53B15B17">
            <w:pPr>
              <w:pStyle w:val="132"/>
              <w:kinsoku w:val="0"/>
              <w:overflowPunct w:val="0"/>
              <w:spacing w:before="2"/>
              <w:rPr>
                <w:rFonts w:ascii="黑体" w:hAnsi="黑体" w:eastAsia="黑体"/>
                <w:b/>
                <w:bCs/>
                <w:sz w:val="18"/>
                <w:szCs w:val="18"/>
              </w:rPr>
            </w:pPr>
          </w:p>
          <w:p w14:paraId="3199CB22">
            <w:pPr>
              <w:pStyle w:val="132"/>
              <w:kinsoku w:val="0"/>
              <w:overflowPunct w:val="0"/>
              <w:ind w:left="158" w:right="67"/>
              <w:rPr>
                <w:rFonts w:ascii="黑体" w:hAnsi="黑体" w:eastAsia="黑体"/>
                <w:sz w:val="18"/>
                <w:szCs w:val="18"/>
              </w:rPr>
            </w:pPr>
            <w:r>
              <w:rPr>
                <w:rFonts w:ascii="黑体" w:hAnsi="黑体" w:eastAsia="黑体"/>
                <w:sz w:val="18"/>
                <w:szCs w:val="18"/>
              </w:rPr>
              <w:t xml:space="preserve">1 </w:t>
            </w:r>
          </w:p>
        </w:tc>
        <w:tc>
          <w:tcPr>
            <w:tcW w:w="1133" w:type="dxa"/>
            <w:tcBorders>
              <w:top w:val="single" w:color="000000" w:sz="4" w:space="0"/>
              <w:left w:val="single" w:color="000000" w:sz="4" w:space="0"/>
              <w:bottom w:val="single" w:color="000000" w:sz="4" w:space="0"/>
              <w:right w:val="single" w:color="000000" w:sz="4" w:space="0"/>
            </w:tcBorders>
          </w:tcPr>
          <w:p w14:paraId="2AFED191">
            <w:pPr>
              <w:pStyle w:val="132"/>
              <w:kinsoku w:val="0"/>
              <w:overflowPunct w:val="0"/>
              <w:spacing w:before="144"/>
              <w:ind w:left="105" w:right="55"/>
              <w:rPr>
                <w:rFonts w:ascii="黑体" w:hAnsi="黑体" w:eastAsia="黑体"/>
                <w:b/>
                <w:bCs/>
                <w:sz w:val="18"/>
                <w:szCs w:val="18"/>
              </w:rPr>
            </w:pPr>
            <w:r>
              <w:rPr>
                <w:rFonts w:hint="eastAsia" w:ascii="黑体" w:hAnsi="黑体" w:eastAsia="黑体"/>
                <w:b/>
                <w:bCs/>
                <w:sz w:val="18"/>
                <w:szCs w:val="18"/>
              </w:rPr>
              <w:t>需求物料名称</w:t>
            </w:r>
            <w:r>
              <w:rPr>
                <w:rFonts w:ascii="黑体" w:hAnsi="黑体" w:eastAsia="黑体"/>
                <w:b/>
                <w:bCs/>
                <w:sz w:val="18"/>
                <w:szCs w:val="18"/>
              </w:rPr>
              <w:t xml:space="preserve"> </w:t>
            </w:r>
          </w:p>
        </w:tc>
        <w:tc>
          <w:tcPr>
            <w:tcW w:w="5248" w:type="dxa"/>
            <w:gridSpan w:val="2"/>
            <w:tcBorders>
              <w:top w:val="single" w:color="000000" w:sz="4" w:space="0"/>
              <w:left w:val="single" w:color="000000" w:sz="4" w:space="0"/>
              <w:bottom w:val="single" w:color="000000" w:sz="4" w:space="0"/>
              <w:right w:val="single" w:color="000000" w:sz="4" w:space="0"/>
            </w:tcBorders>
          </w:tcPr>
          <w:p w14:paraId="6454E573">
            <w:pPr>
              <w:pStyle w:val="132"/>
              <w:kinsoku w:val="0"/>
              <w:overflowPunct w:val="0"/>
              <w:spacing w:line="218" w:lineRule="exact"/>
              <w:ind w:left="105"/>
              <w:rPr>
                <w:rFonts w:ascii="黑体" w:hAnsi="黑体" w:eastAsia="黑体"/>
                <w:sz w:val="18"/>
                <w:szCs w:val="18"/>
              </w:rPr>
            </w:pPr>
            <w:r>
              <w:rPr>
                <w:rFonts w:hint="eastAsia" w:ascii="黑体" w:hAnsi="黑体" w:eastAsia="黑体"/>
                <w:sz w:val="18"/>
                <w:szCs w:val="18"/>
              </w:rPr>
              <w:t>硫酸钙防静电地板及其配套件（</w:t>
            </w:r>
            <w:r>
              <w:rPr>
                <w:rFonts w:ascii="黑体" w:hAnsi="黑体" w:eastAsia="黑体"/>
                <w:sz w:val="18"/>
                <w:szCs w:val="18"/>
              </w:rPr>
              <w:t xml:space="preserve"> </w:t>
            </w:r>
            <w:r>
              <w:rPr>
                <w:rFonts w:ascii="黑体" w:hAnsi="黑体" w:eastAsia="黑体" w:cs="Calibri"/>
                <w:sz w:val="18"/>
                <w:szCs w:val="18"/>
              </w:rPr>
              <w:t xml:space="preserve">600mm*600mm </w:t>
            </w:r>
            <w:r>
              <w:rPr>
                <w:rFonts w:hint="eastAsia" w:ascii="黑体" w:hAnsi="黑体" w:eastAsia="黑体"/>
                <w:sz w:val="18"/>
                <w:szCs w:val="18"/>
              </w:rPr>
              <w:t>，厚度为</w:t>
            </w:r>
          </w:p>
          <w:p w14:paraId="0B667A53">
            <w:pPr>
              <w:pStyle w:val="132"/>
              <w:kinsoku w:val="0"/>
              <w:overflowPunct w:val="0"/>
              <w:spacing w:before="4"/>
              <w:ind w:left="105"/>
              <w:rPr>
                <w:rFonts w:ascii="黑体" w:hAnsi="黑体" w:eastAsia="黑体"/>
                <w:sz w:val="18"/>
                <w:szCs w:val="18"/>
              </w:rPr>
            </w:pPr>
            <w:r>
              <w:rPr>
                <w:rFonts w:ascii="黑体" w:hAnsi="黑体" w:eastAsia="黑体" w:cs="Calibri"/>
                <w:sz w:val="18"/>
                <w:szCs w:val="18"/>
              </w:rPr>
              <w:t>32mm</w:t>
            </w:r>
            <w:r>
              <w:rPr>
                <w:rFonts w:hint="eastAsia" w:ascii="黑体" w:hAnsi="黑体" w:eastAsia="黑体"/>
                <w:sz w:val="18"/>
                <w:szCs w:val="18"/>
              </w:rPr>
              <w:t>）</w:t>
            </w:r>
          </w:p>
        </w:tc>
        <w:tc>
          <w:tcPr>
            <w:tcW w:w="1417" w:type="dxa"/>
            <w:tcBorders>
              <w:top w:val="single" w:color="000000" w:sz="4" w:space="0"/>
              <w:left w:val="single" w:color="000000" w:sz="4" w:space="0"/>
              <w:bottom w:val="single" w:color="000000" w:sz="4" w:space="0"/>
              <w:right w:val="single" w:color="000000" w:sz="4" w:space="0"/>
            </w:tcBorders>
          </w:tcPr>
          <w:p w14:paraId="4869E754">
            <w:pPr>
              <w:pStyle w:val="132"/>
              <w:kinsoku w:val="0"/>
              <w:overflowPunct w:val="0"/>
              <w:spacing w:before="2"/>
              <w:rPr>
                <w:rFonts w:ascii="黑体" w:hAnsi="黑体" w:eastAsia="黑体"/>
                <w:b/>
                <w:bCs/>
                <w:sz w:val="18"/>
                <w:szCs w:val="18"/>
              </w:rPr>
            </w:pPr>
          </w:p>
          <w:p w14:paraId="53AFFEF1">
            <w:pPr>
              <w:pStyle w:val="132"/>
              <w:kinsoku w:val="0"/>
              <w:overflowPunct w:val="0"/>
              <w:spacing w:line="231" w:lineRule="exact"/>
              <w:ind w:left="106"/>
              <w:rPr>
                <w:rFonts w:ascii="黑体" w:hAnsi="黑体" w:eastAsia="黑体"/>
                <w:b/>
                <w:bCs/>
                <w:sz w:val="18"/>
                <w:szCs w:val="18"/>
              </w:rPr>
            </w:pPr>
            <w:r>
              <w:rPr>
                <w:rFonts w:hint="eastAsia" w:ascii="黑体" w:hAnsi="黑体" w:eastAsia="黑体"/>
                <w:b/>
                <w:bCs/>
                <w:sz w:val="18"/>
                <w:szCs w:val="18"/>
              </w:rPr>
              <w:t>□满足</w:t>
            </w:r>
          </w:p>
          <w:p w14:paraId="588ED3F1">
            <w:pPr>
              <w:pStyle w:val="132"/>
              <w:kinsoku w:val="0"/>
              <w:overflowPunct w:val="0"/>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031DB9BD">
            <w:pPr>
              <w:pStyle w:val="132"/>
              <w:kinsoku w:val="0"/>
              <w:overflowPunct w:val="0"/>
              <w:rPr>
                <w:rFonts w:ascii="黑体" w:hAnsi="黑体" w:eastAsia="黑体" w:cs="Times New Roman"/>
                <w:sz w:val="18"/>
                <w:szCs w:val="18"/>
              </w:rPr>
            </w:pPr>
          </w:p>
        </w:tc>
      </w:tr>
      <w:tr w14:paraId="15245CE6">
        <w:tblPrEx>
          <w:tblCellMar>
            <w:top w:w="0" w:type="dxa"/>
            <w:left w:w="0" w:type="dxa"/>
            <w:bottom w:w="0" w:type="dxa"/>
            <w:right w:w="0" w:type="dxa"/>
          </w:tblCellMar>
        </w:tblPrEx>
        <w:trPr>
          <w:trHeight w:val="1689" w:hRule="atLeast"/>
        </w:trPr>
        <w:tc>
          <w:tcPr>
            <w:tcW w:w="725" w:type="dxa"/>
            <w:tcBorders>
              <w:top w:val="single" w:color="000000" w:sz="4" w:space="0"/>
              <w:left w:val="single" w:color="000000" w:sz="4" w:space="0"/>
              <w:bottom w:val="single" w:color="000000" w:sz="4" w:space="0"/>
              <w:right w:val="single" w:color="000000" w:sz="4" w:space="0"/>
            </w:tcBorders>
          </w:tcPr>
          <w:p w14:paraId="1278E96A">
            <w:pPr>
              <w:pStyle w:val="132"/>
              <w:kinsoku w:val="0"/>
              <w:overflowPunct w:val="0"/>
              <w:rPr>
                <w:rFonts w:ascii="黑体" w:hAnsi="黑体" w:eastAsia="黑体"/>
                <w:b/>
                <w:bCs/>
                <w:sz w:val="18"/>
                <w:szCs w:val="18"/>
              </w:rPr>
            </w:pPr>
          </w:p>
          <w:p w14:paraId="789CDCA2">
            <w:pPr>
              <w:pStyle w:val="132"/>
              <w:kinsoku w:val="0"/>
              <w:overflowPunct w:val="0"/>
              <w:rPr>
                <w:rFonts w:ascii="黑体" w:hAnsi="黑体" w:eastAsia="黑体"/>
                <w:b/>
                <w:bCs/>
                <w:sz w:val="18"/>
                <w:szCs w:val="18"/>
              </w:rPr>
            </w:pPr>
          </w:p>
          <w:p w14:paraId="0B404226">
            <w:pPr>
              <w:pStyle w:val="132"/>
              <w:kinsoku w:val="0"/>
              <w:overflowPunct w:val="0"/>
              <w:rPr>
                <w:rFonts w:ascii="黑体" w:hAnsi="黑体" w:eastAsia="黑体"/>
                <w:b/>
                <w:bCs/>
                <w:sz w:val="18"/>
                <w:szCs w:val="18"/>
              </w:rPr>
            </w:pPr>
          </w:p>
          <w:p w14:paraId="5B7E0FCB">
            <w:pPr>
              <w:pStyle w:val="132"/>
              <w:kinsoku w:val="0"/>
              <w:overflowPunct w:val="0"/>
              <w:spacing w:before="9"/>
              <w:rPr>
                <w:rFonts w:ascii="黑体" w:hAnsi="黑体" w:eastAsia="黑体"/>
                <w:b/>
                <w:bCs/>
                <w:sz w:val="18"/>
                <w:szCs w:val="18"/>
              </w:rPr>
            </w:pPr>
          </w:p>
          <w:p w14:paraId="59119119">
            <w:pPr>
              <w:pStyle w:val="132"/>
              <w:kinsoku w:val="0"/>
              <w:overflowPunct w:val="0"/>
              <w:ind w:left="158" w:right="67"/>
              <w:rPr>
                <w:rFonts w:ascii="黑体" w:hAnsi="黑体" w:eastAsia="黑体"/>
                <w:sz w:val="18"/>
                <w:szCs w:val="18"/>
              </w:rPr>
            </w:pPr>
            <w:r>
              <w:rPr>
                <w:rFonts w:ascii="黑体" w:hAnsi="黑体" w:eastAsia="黑体"/>
                <w:sz w:val="18"/>
                <w:szCs w:val="18"/>
              </w:rPr>
              <w:t xml:space="preserve">2 </w:t>
            </w:r>
          </w:p>
        </w:tc>
        <w:tc>
          <w:tcPr>
            <w:tcW w:w="1133" w:type="dxa"/>
            <w:tcBorders>
              <w:top w:val="single" w:color="000000" w:sz="4" w:space="0"/>
              <w:left w:val="single" w:color="000000" w:sz="4" w:space="0"/>
              <w:bottom w:val="single" w:color="000000" w:sz="4" w:space="0"/>
              <w:right w:val="single" w:color="000000" w:sz="4" w:space="0"/>
            </w:tcBorders>
          </w:tcPr>
          <w:p w14:paraId="6E33470F">
            <w:pPr>
              <w:pStyle w:val="132"/>
              <w:kinsoku w:val="0"/>
              <w:overflowPunct w:val="0"/>
              <w:rPr>
                <w:rFonts w:ascii="黑体" w:hAnsi="黑体" w:eastAsia="黑体"/>
                <w:b/>
                <w:bCs/>
                <w:sz w:val="18"/>
                <w:szCs w:val="18"/>
              </w:rPr>
            </w:pPr>
          </w:p>
          <w:p w14:paraId="6159BC0D">
            <w:pPr>
              <w:pStyle w:val="132"/>
              <w:kinsoku w:val="0"/>
              <w:overflowPunct w:val="0"/>
              <w:rPr>
                <w:rFonts w:ascii="黑体" w:hAnsi="黑体" w:eastAsia="黑体"/>
                <w:b/>
                <w:bCs/>
                <w:sz w:val="18"/>
                <w:szCs w:val="18"/>
              </w:rPr>
            </w:pPr>
          </w:p>
          <w:p w14:paraId="4214AC33">
            <w:pPr>
              <w:pStyle w:val="132"/>
              <w:kinsoku w:val="0"/>
              <w:overflowPunct w:val="0"/>
              <w:rPr>
                <w:rFonts w:ascii="黑体" w:hAnsi="黑体" w:eastAsia="黑体"/>
                <w:b/>
                <w:bCs/>
                <w:sz w:val="18"/>
                <w:szCs w:val="18"/>
              </w:rPr>
            </w:pPr>
          </w:p>
          <w:p w14:paraId="2D76AFD4">
            <w:pPr>
              <w:pStyle w:val="132"/>
              <w:kinsoku w:val="0"/>
              <w:overflowPunct w:val="0"/>
              <w:spacing w:before="7"/>
              <w:rPr>
                <w:rFonts w:ascii="黑体" w:hAnsi="黑体" w:eastAsia="黑体"/>
                <w:b/>
                <w:bCs/>
                <w:sz w:val="18"/>
                <w:szCs w:val="18"/>
              </w:rPr>
            </w:pPr>
          </w:p>
          <w:p w14:paraId="69ED19DE">
            <w:pPr>
              <w:pStyle w:val="132"/>
              <w:kinsoku w:val="0"/>
              <w:overflowPunct w:val="0"/>
              <w:ind w:left="136" w:right="142"/>
              <w:rPr>
                <w:rFonts w:ascii="黑体" w:hAnsi="黑体" w:eastAsia="黑体"/>
                <w:b/>
                <w:bCs/>
                <w:sz w:val="18"/>
                <w:szCs w:val="18"/>
              </w:rPr>
            </w:pPr>
            <w:r>
              <w:rPr>
                <w:rFonts w:hint="eastAsia" w:ascii="黑体" w:hAnsi="黑体" w:eastAsia="黑体"/>
                <w:b/>
                <w:bCs/>
                <w:sz w:val="18"/>
                <w:szCs w:val="18"/>
              </w:rPr>
              <w:t>总体要求</w:t>
            </w:r>
            <w:r>
              <w:rPr>
                <w:rFonts w:ascii="黑体" w:hAnsi="黑体" w:eastAsia="黑体"/>
                <w:b/>
                <w:bCs/>
                <w:sz w:val="18"/>
                <w:szCs w:val="18"/>
              </w:rPr>
              <w:t xml:space="preserve"> </w:t>
            </w:r>
          </w:p>
        </w:tc>
        <w:tc>
          <w:tcPr>
            <w:tcW w:w="5248" w:type="dxa"/>
            <w:gridSpan w:val="2"/>
            <w:tcBorders>
              <w:top w:val="single" w:color="000000" w:sz="4" w:space="0"/>
              <w:left w:val="single" w:color="000000" w:sz="4" w:space="0"/>
              <w:bottom w:val="single" w:color="000000" w:sz="4" w:space="0"/>
              <w:right w:val="single" w:color="000000" w:sz="4" w:space="0"/>
            </w:tcBorders>
          </w:tcPr>
          <w:p w14:paraId="1F6F9495">
            <w:pPr>
              <w:pStyle w:val="132"/>
              <w:numPr>
                <w:ilvl w:val="0"/>
                <w:numId w:val="119"/>
              </w:numPr>
              <w:tabs>
                <w:tab w:val="left" w:pos="486"/>
              </w:tabs>
              <w:kinsoku w:val="0"/>
              <w:overflowPunct w:val="0"/>
              <w:ind w:right="104" w:firstLine="0"/>
              <w:rPr>
                <w:rFonts w:ascii="黑体" w:hAnsi="黑体" w:eastAsia="黑体"/>
                <w:sz w:val="18"/>
                <w:szCs w:val="18"/>
              </w:rPr>
            </w:pPr>
            <w:r>
              <w:rPr>
                <w:rFonts w:hint="eastAsia" w:ascii="黑体" w:hAnsi="黑体" w:eastAsia="黑体"/>
                <w:spacing w:val="1"/>
                <w:sz w:val="18"/>
                <w:szCs w:val="18"/>
              </w:rPr>
              <w:t>地板铺设区域单机柜满配后最大重量</w:t>
            </w:r>
            <w:r>
              <w:rPr>
                <w:rFonts w:hint="eastAsia" w:ascii="黑体" w:hAnsi="黑体" w:eastAsia="黑体"/>
                <w:spacing w:val="4"/>
                <w:sz w:val="18"/>
                <w:szCs w:val="18"/>
              </w:rPr>
              <w:t>（</w:t>
            </w:r>
            <w:r>
              <w:rPr>
                <w:rFonts w:hint="eastAsia" w:ascii="黑体" w:hAnsi="黑体" w:eastAsia="黑体"/>
                <w:spacing w:val="1"/>
                <w:sz w:val="18"/>
                <w:szCs w:val="18"/>
              </w:rPr>
              <w:t>根据各项目使用部</w:t>
            </w:r>
            <w:r>
              <w:rPr>
                <w:rFonts w:hint="eastAsia" w:ascii="黑体" w:hAnsi="黑体" w:eastAsia="黑体"/>
                <w:spacing w:val="-3"/>
                <w:sz w:val="18"/>
                <w:szCs w:val="18"/>
              </w:rPr>
              <w:t>门需求拟定</w:t>
            </w:r>
            <w:r>
              <w:rPr>
                <w:rFonts w:hint="eastAsia" w:ascii="黑体" w:hAnsi="黑体" w:eastAsia="黑体"/>
                <w:spacing w:val="-5"/>
                <w:sz w:val="18"/>
                <w:szCs w:val="18"/>
              </w:rPr>
              <w:t>）</w:t>
            </w:r>
            <w:r>
              <w:rPr>
                <w:rFonts w:hint="eastAsia" w:ascii="黑体" w:hAnsi="黑体" w:eastAsia="黑体"/>
                <w:sz w:val="18"/>
                <w:szCs w:val="18"/>
              </w:rPr>
              <w:t>。</w:t>
            </w:r>
          </w:p>
          <w:p w14:paraId="3E05B080">
            <w:pPr>
              <w:pStyle w:val="132"/>
              <w:numPr>
                <w:ilvl w:val="0"/>
                <w:numId w:val="119"/>
              </w:numPr>
              <w:tabs>
                <w:tab w:val="left" w:pos="466"/>
              </w:tabs>
              <w:kinsoku w:val="0"/>
              <w:overflowPunct w:val="0"/>
              <w:ind w:left="465" w:hanging="361"/>
              <w:rPr>
                <w:rFonts w:ascii="黑体" w:hAnsi="黑体" w:eastAsia="黑体"/>
                <w:spacing w:val="-5"/>
                <w:sz w:val="18"/>
                <w:szCs w:val="18"/>
              </w:rPr>
            </w:pPr>
            <w:r>
              <w:rPr>
                <w:rFonts w:hint="eastAsia" w:ascii="黑体" w:hAnsi="黑体" w:eastAsia="黑体"/>
                <w:spacing w:val="-5"/>
                <w:sz w:val="18"/>
                <w:szCs w:val="18"/>
              </w:rPr>
              <w:t>考虑项目满配机柜有并列靠紧布放场景需求。</w:t>
            </w:r>
          </w:p>
          <w:p w14:paraId="26A1D09F">
            <w:pPr>
              <w:pStyle w:val="132"/>
              <w:numPr>
                <w:ilvl w:val="0"/>
                <w:numId w:val="119"/>
              </w:numPr>
              <w:tabs>
                <w:tab w:val="left" w:pos="381"/>
              </w:tabs>
              <w:kinsoku w:val="0"/>
              <w:overflowPunct w:val="0"/>
              <w:ind w:left="380" w:hanging="276"/>
              <w:rPr>
                <w:rFonts w:ascii="黑体" w:hAnsi="黑体" w:eastAsia="黑体"/>
                <w:spacing w:val="-18"/>
                <w:sz w:val="18"/>
                <w:szCs w:val="18"/>
              </w:rPr>
            </w:pPr>
            <w:r>
              <w:rPr>
                <w:rFonts w:hint="eastAsia" w:ascii="黑体" w:hAnsi="黑体" w:eastAsia="黑体"/>
                <w:spacing w:val="1"/>
                <w:sz w:val="18"/>
                <w:szCs w:val="18"/>
              </w:rPr>
              <w:t>地板阻燃等级要求</w:t>
            </w:r>
            <w:r>
              <w:rPr>
                <w:rFonts w:ascii="黑体" w:hAnsi="黑体" w:eastAsia="黑体"/>
                <w:sz w:val="18"/>
                <w:szCs w:val="18"/>
              </w:rPr>
              <w:t>A</w:t>
            </w:r>
            <w:r>
              <w:rPr>
                <w:rFonts w:ascii="黑体" w:hAnsi="黑体" w:eastAsia="黑体"/>
                <w:spacing w:val="-18"/>
                <w:sz w:val="18"/>
                <w:szCs w:val="18"/>
              </w:rPr>
              <w:t xml:space="preserve"> </w:t>
            </w:r>
            <w:r>
              <w:rPr>
                <w:rFonts w:hint="eastAsia" w:ascii="黑体" w:hAnsi="黑体" w:eastAsia="黑体"/>
                <w:spacing w:val="-18"/>
                <w:sz w:val="18"/>
                <w:szCs w:val="18"/>
              </w:rPr>
              <w:t>级。</w:t>
            </w:r>
          </w:p>
          <w:p w14:paraId="2812C598">
            <w:pPr>
              <w:pStyle w:val="132"/>
              <w:numPr>
                <w:ilvl w:val="0"/>
                <w:numId w:val="119"/>
              </w:numPr>
              <w:tabs>
                <w:tab w:val="left" w:pos="381"/>
              </w:tabs>
              <w:kinsoku w:val="0"/>
              <w:overflowPunct w:val="0"/>
              <w:spacing w:before="1" w:line="244" w:lineRule="auto"/>
              <w:ind w:right="102" w:firstLine="0"/>
              <w:rPr>
                <w:rFonts w:ascii="黑体" w:hAnsi="黑体" w:eastAsia="黑体"/>
                <w:spacing w:val="-3"/>
                <w:sz w:val="18"/>
                <w:szCs w:val="18"/>
              </w:rPr>
            </w:pPr>
            <w:r>
              <w:rPr>
                <w:rFonts w:hint="eastAsia" w:ascii="黑体" w:hAnsi="黑体" w:eastAsia="黑体"/>
                <w:spacing w:val="-4"/>
                <w:sz w:val="18"/>
                <w:szCs w:val="18"/>
              </w:rPr>
              <w:t>在最大重量</w:t>
            </w:r>
            <w:r>
              <w:rPr>
                <w:rFonts w:hint="eastAsia" w:ascii="黑体" w:hAnsi="黑体" w:eastAsia="黑体"/>
                <w:sz w:val="18"/>
                <w:szCs w:val="18"/>
              </w:rPr>
              <w:t>（</w:t>
            </w:r>
            <w:r>
              <w:rPr>
                <w:rFonts w:hint="eastAsia" w:ascii="黑体" w:hAnsi="黑体" w:eastAsia="黑体"/>
                <w:spacing w:val="-5"/>
                <w:sz w:val="18"/>
                <w:szCs w:val="18"/>
              </w:rPr>
              <w:t>根据上述</w:t>
            </w:r>
            <w:r>
              <w:rPr>
                <w:rFonts w:ascii="黑体" w:hAnsi="黑体" w:eastAsia="黑体"/>
                <w:spacing w:val="-5"/>
                <w:sz w:val="18"/>
                <w:szCs w:val="18"/>
              </w:rPr>
              <w:t xml:space="preserve"> </w:t>
            </w:r>
            <w:r>
              <w:rPr>
                <w:rFonts w:ascii="黑体" w:hAnsi="黑体" w:eastAsia="黑体"/>
                <w:sz w:val="18"/>
                <w:szCs w:val="18"/>
              </w:rPr>
              <w:t>1</w:t>
            </w:r>
            <w:r>
              <w:rPr>
                <w:rFonts w:ascii="黑体" w:hAnsi="黑体" w:eastAsia="黑体"/>
                <w:spacing w:val="-7"/>
                <w:sz w:val="18"/>
                <w:szCs w:val="18"/>
              </w:rPr>
              <w:t xml:space="preserve"> </w:t>
            </w:r>
            <w:r>
              <w:rPr>
                <w:rFonts w:hint="eastAsia" w:ascii="黑体" w:hAnsi="黑体" w:eastAsia="黑体"/>
                <w:spacing w:val="-7"/>
                <w:sz w:val="18"/>
                <w:szCs w:val="18"/>
              </w:rPr>
              <w:t>总体要求</w:t>
            </w:r>
            <w:r>
              <w:rPr>
                <w:rFonts w:hint="eastAsia" w:ascii="黑体" w:hAnsi="黑体" w:eastAsia="黑体"/>
                <w:sz w:val="18"/>
                <w:szCs w:val="18"/>
              </w:rPr>
              <w:t>）</w:t>
            </w:r>
            <w:r>
              <w:rPr>
                <w:rFonts w:hint="eastAsia" w:ascii="黑体" w:hAnsi="黑体" w:eastAsia="黑体"/>
                <w:spacing w:val="-5"/>
                <w:sz w:val="18"/>
                <w:szCs w:val="18"/>
              </w:rPr>
              <w:t>基础上考虑</w:t>
            </w:r>
            <w:r>
              <w:rPr>
                <w:rFonts w:ascii="黑体" w:hAnsi="黑体" w:eastAsia="黑体"/>
                <w:spacing w:val="-5"/>
                <w:sz w:val="18"/>
                <w:szCs w:val="18"/>
              </w:rPr>
              <w:t xml:space="preserve"> </w:t>
            </w:r>
            <w:r>
              <w:rPr>
                <w:rFonts w:ascii="黑体" w:hAnsi="黑体" w:eastAsia="黑体"/>
                <w:sz w:val="18"/>
                <w:szCs w:val="18"/>
              </w:rPr>
              <w:t>1.5</w:t>
            </w:r>
            <w:r>
              <w:rPr>
                <w:rFonts w:ascii="黑体" w:hAnsi="黑体" w:eastAsia="黑体"/>
                <w:spacing w:val="-11"/>
                <w:sz w:val="18"/>
                <w:szCs w:val="18"/>
              </w:rPr>
              <w:t xml:space="preserve"> </w:t>
            </w:r>
            <w:r>
              <w:rPr>
                <w:rFonts w:hint="eastAsia" w:ascii="黑体" w:hAnsi="黑体" w:eastAsia="黑体"/>
                <w:spacing w:val="-11"/>
                <w:sz w:val="18"/>
                <w:szCs w:val="18"/>
              </w:rPr>
              <w:t>倍的安</w:t>
            </w:r>
            <w:r>
              <w:rPr>
                <w:rFonts w:hint="eastAsia" w:ascii="黑体" w:hAnsi="黑体" w:eastAsia="黑体"/>
                <w:spacing w:val="-3"/>
                <w:sz w:val="18"/>
                <w:szCs w:val="18"/>
              </w:rPr>
              <w:t>全承重系数。</w:t>
            </w:r>
          </w:p>
          <w:p w14:paraId="5E02D692">
            <w:pPr>
              <w:pStyle w:val="132"/>
              <w:numPr>
                <w:ilvl w:val="0"/>
                <w:numId w:val="119"/>
              </w:numPr>
              <w:tabs>
                <w:tab w:val="left" w:pos="381"/>
              </w:tabs>
              <w:kinsoku w:val="0"/>
              <w:overflowPunct w:val="0"/>
              <w:spacing w:before="1" w:line="217" w:lineRule="exact"/>
              <w:ind w:left="380" w:hanging="276"/>
              <w:rPr>
                <w:rFonts w:ascii="黑体" w:hAnsi="黑体" w:eastAsia="黑体"/>
                <w:spacing w:val="-5"/>
                <w:sz w:val="18"/>
                <w:szCs w:val="18"/>
              </w:rPr>
            </w:pPr>
            <w:r>
              <w:rPr>
                <w:rFonts w:hint="eastAsia" w:ascii="黑体" w:hAnsi="黑体" w:eastAsia="黑体"/>
                <w:spacing w:val="-5"/>
                <w:sz w:val="18"/>
                <w:szCs w:val="18"/>
              </w:rPr>
              <w:t>考虑是否涉及通风地板。</w:t>
            </w:r>
          </w:p>
        </w:tc>
        <w:tc>
          <w:tcPr>
            <w:tcW w:w="1417" w:type="dxa"/>
            <w:tcBorders>
              <w:top w:val="single" w:color="000000" w:sz="4" w:space="0"/>
              <w:left w:val="single" w:color="000000" w:sz="4" w:space="0"/>
              <w:bottom w:val="single" w:color="000000" w:sz="4" w:space="0"/>
              <w:right w:val="single" w:color="000000" w:sz="4" w:space="0"/>
            </w:tcBorders>
          </w:tcPr>
          <w:p w14:paraId="67894E46">
            <w:pPr>
              <w:pStyle w:val="132"/>
              <w:kinsoku w:val="0"/>
              <w:overflowPunct w:val="0"/>
              <w:rPr>
                <w:rFonts w:ascii="黑体" w:hAnsi="黑体" w:eastAsia="黑体"/>
                <w:b/>
                <w:bCs/>
                <w:sz w:val="18"/>
                <w:szCs w:val="18"/>
              </w:rPr>
            </w:pPr>
          </w:p>
          <w:p w14:paraId="30CE4352">
            <w:pPr>
              <w:pStyle w:val="132"/>
              <w:kinsoku w:val="0"/>
              <w:overflowPunct w:val="0"/>
              <w:rPr>
                <w:rFonts w:ascii="黑体" w:hAnsi="黑体" w:eastAsia="黑体"/>
                <w:b/>
                <w:bCs/>
                <w:sz w:val="18"/>
                <w:szCs w:val="18"/>
              </w:rPr>
            </w:pPr>
          </w:p>
          <w:p w14:paraId="11F40EE4">
            <w:pPr>
              <w:pStyle w:val="132"/>
              <w:kinsoku w:val="0"/>
              <w:overflowPunct w:val="0"/>
              <w:rPr>
                <w:rFonts w:ascii="黑体" w:hAnsi="黑体" w:eastAsia="黑体"/>
                <w:b/>
                <w:bCs/>
                <w:sz w:val="18"/>
                <w:szCs w:val="18"/>
              </w:rPr>
            </w:pPr>
          </w:p>
          <w:p w14:paraId="7D268E12">
            <w:pPr>
              <w:pStyle w:val="132"/>
              <w:kinsoku w:val="0"/>
              <w:overflowPunct w:val="0"/>
              <w:spacing w:before="9"/>
              <w:rPr>
                <w:rFonts w:ascii="黑体" w:hAnsi="黑体" w:eastAsia="黑体"/>
                <w:b/>
                <w:bCs/>
                <w:sz w:val="18"/>
                <w:szCs w:val="18"/>
              </w:rPr>
            </w:pPr>
          </w:p>
          <w:p w14:paraId="4FEEF8D3">
            <w:pPr>
              <w:pStyle w:val="132"/>
              <w:kinsoku w:val="0"/>
              <w:overflowPunct w:val="0"/>
              <w:spacing w:line="231" w:lineRule="exact"/>
              <w:ind w:left="106"/>
              <w:rPr>
                <w:rFonts w:ascii="黑体" w:hAnsi="黑体" w:eastAsia="黑体"/>
                <w:b/>
                <w:bCs/>
                <w:sz w:val="18"/>
                <w:szCs w:val="18"/>
              </w:rPr>
            </w:pPr>
            <w:r>
              <w:rPr>
                <w:rFonts w:hint="eastAsia" w:ascii="黑体" w:hAnsi="黑体" w:eastAsia="黑体"/>
                <w:b/>
                <w:bCs/>
                <w:sz w:val="18"/>
                <w:szCs w:val="18"/>
              </w:rPr>
              <w:t>□满足</w:t>
            </w:r>
          </w:p>
          <w:p w14:paraId="4A49F153">
            <w:pPr>
              <w:pStyle w:val="132"/>
              <w:kinsoku w:val="0"/>
              <w:overflowPunct w:val="0"/>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1C3C1A51">
            <w:pPr>
              <w:pStyle w:val="132"/>
              <w:kinsoku w:val="0"/>
              <w:overflowPunct w:val="0"/>
              <w:rPr>
                <w:rFonts w:ascii="黑体" w:hAnsi="黑体" w:eastAsia="黑体" w:cs="Times New Roman"/>
                <w:sz w:val="18"/>
                <w:szCs w:val="18"/>
              </w:rPr>
            </w:pPr>
          </w:p>
        </w:tc>
      </w:tr>
      <w:tr w14:paraId="4C396125">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0FDB7ADC">
            <w:pPr>
              <w:pStyle w:val="132"/>
              <w:kinsoku w:val="0"/>
              <w:overflowPunct w:val="0"/>
              <w:spacing w:before="112"/>
              <w:ind w:left="158" w:right="62"/>
              <w:rPr>
                <w:rFonts w:ascii="黑体" w:hAnsi="黑体" w:eastAsia="黑体"/>
                <w:sz w:val="18"/>
                <w:szCs w:val="18"/>
              </w:rPr>
            </w:pPr>
            <w:r>
              <w:rPr>
                <w:rFonts w:ascii="黑体" w:hAnsi="黑体" w:eastAsia="黑体"/>
                <w:sz w:val="18"/>
                <w:szCs w:val="18"/>
              </w:rPr>
              <w:t xml:space="preserve">2.1 </w:t>
            </w:r>
          </w:p>
        </w:tc>
        <w:tc>
          <w:tcPr>
            <w:tcW w:w="6381" w:type="dxa"/>
            <w:gridSpan w:val="3"/>
            <w:tcBorders>
              <w:top w:val="single" w:color="000000" w:sz="4" w:space="0"/>
              <w:left w:val="single" w:color="000000" w:sz="4" w:space="0"/>
              <w:bottom w:val="single" w:color="000000" w:sz="4" w:space="0"/>
              <w:right w:val="single" w:color="000000" w:sz="4" w:space="0"/>
            </w:tcBorders>
          </w:tcPr>
          <w:p w14:paraId="3AE335BA">
            <w:pPr>
              <w:pStyle w:val="132"/>
              <w:kinsoku w:val="0"/>
              <w:overflowPunct w:val="0"/>
              <w:ind w:left="105" w:right="94"/>
              <w:rPr>
                <w:rFonts w:ascii="黑体" w:hAnsi="黑体" w:eastAsia="黑体"/>
                <w:spacing w:val="-5"/>
                <w:sz w:val="18"/>
                <w:szCs w:val="18"/>
              </w:rPr>
            </w:pPr>
            <w:r>
              <w:rPr>
                <w:rFonts w:hint="eastAsia" w:ascii="黑体" w:hAnsi="黑体" w:eastAsia="黑体"/>
                <w:spacing w:val="-6"/>
                <w:sz w:val="18"/>
                <w:szCs w:val="18"/>
              </w:rPr>
              <w:t>防静电地板及其配套件的外形和尺寸应符合行业产品的要求，外形和尺寸公差</w:t>
            </w:r>
            <w:r>
              <w:rPr>
                <w:rFonts w:hint="eastAsia" w:ascii="黑体" w:hAnsi="黑体" w:eastAsia="黑体"/>
                <w:spacing w:val="-5"/>
                <w:sz w:val="18"/>
                <w:szCs w:val="18"/>
              </w:rPr>
              <w:t>应符合图纸及有关规定，安装结构件应尺寸准确，安全牢固。</w:t>
            </w:r>
          </w:p>
        </w:tc>
        <w:tc>
          <w:tcPr>
            <w:tcW w:w="1417" w:type="dxa"/>
            <w:tcBorders>
              <w:top w:val="single" w:color="000000" w:sz="4" w:space="0"/>
              <w:left w:val="single" w:color="000000" w:sz="4" w:space="0"/>
              <w:bottom w:val="single" w:color="000000" w:sz="4" w:space="0"/>
              <w:right w:val="single" w:color="000000" w:sz="4" w:space="0"/>
            </w:tcBorders>
          </w:tcPr>
          <w:p w14:paraId="2B448239">
            <w:pPr>
              <w:pStyle w:val="132"/>
              <w:kinsoku w:val="0"/>
              <w:overflowPunct w:val="0"/>
              <w:spacing w:line="228" w:lineRule="exact"/>
              <w:ind w:left="106"/>
              <w:rPr>
                <w:rFonts w:ascii="黑体" w:hAnsi="黑体" w:eastAsia="黑体"/>
                <w:b/>
                <w:bCs/>
                <w:sz w:val="18"/>
                <w:szCs w:val="18"/>
              </w:rPr>
            </w:pPr>
            <w:r>
              <w:rPr>
                <w:rFonts w:hint="eastAsia" w:ascii="黑体" w:hAnsi="黑体" w:eastAsia="黑体"/>
                <w:b/>
                <w:bCs/>
                <w:sz w:val="18"/>
                <w:szCs w:val="18"/>
              </w:rPr>
              <w:t>□满足</w:t>
            </w:r>
          </w:p>
          <w:p w14:paraId="679E6891">
            <w:pPr>
              <w:pStyle w:val="132"/>
              <w:kinsoku w:val="0"/>
              <w:overflowPunct w:val="0"/>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1A600DE7">
            <w:pPr>
              <w:pStyle w:val="132"/>
              <w:kinsoku w:val="0"/>
              <w:overflowPunct w:val="0"/>
              <w:rPr>
                <w:rFonts w:ascii="黑体" w:hAnsi="黑体" w:eastAsia="黑体" w:cs="Times New Roman"/>
                <w:sz w:val="18"/>
                <w:szCs w:val="18"/>
              </w:rPr>
            </w:pPr>
          </w:p>
        </w:tc>
      </w:tr>
      <w:tr w14:paraId="63C8F423">
        <w:tblPrEx>
          <w:tblCellMar>
            <w:top w:w="0" w:type="dxa"/>
            <w:left w:w="0" w:type="dxa"/>
            <w:bottom w:w="0" w:type="dxa"/>
            <w:right w:w="0" w:type="dxa"/>
          </w:tblCellMar>
        </w:tblPrEx>
        <w:trPr>
          <w:trHeight w:val="1132" w:hRule="atLeast"/>
        </w:trPr>
        <w:tc>
          <w:tcPr>
            <w:tcW w:w="725" w:type="dxa"/>
            <w:tcBorders>
              <w:top w:val="single" w:color="000000" w:sz="4" w:space="0"/>
              <w:left w:val="single" w:color="000000" w:sz="4" w:space="0"/>
              <w:bottom w:val="single" w:color="000000" w:sz="4" w:space="0"/>
              <w:right w:val="single" w:color="000000" w:sz="4" w:space="0"/>
            </w:tcBorders>
          </w:tcPr>
          <w:p w14:paraId="22DBE791">
            <w:pPr>
              <w:pStyle w:val="132"/>
              <w:kinsoku w:val="0"/>
              <w:overflowPunct w:val="0"/>
              <w:rPr>
                <w:rFonts w:ascii="黑体" w:hAnsi="黑体" w:eastAsia="黑体"/>
                <w:b/>
                <w:bCs/>
                <w:sz w:val="18"/>
                <w:szCs w:val="18"/>
              </w:rPr>
            </w:pPr>
          </w:p>
          <w:p w14:paraId="57E608F8">
            <w:pPr>
              <w:pStyle w:val="132"/>
              <w:kinsoku w:val="0"/>
              <w:overflowPunct w:val="0"/>
              <w:spacing w:before="117"/>
              <w:ind w:left="158" w:right="62"/>
              <w:rPr>
                <w:rFonts w:ascii="黑体" w:hAnsi="黑体" w:eastAsia="黑体"/>
                <w:sz w:val="18"/>
                <w:szCs w:val="18"/>
              </w:rPr>
            </w:pPr>
            <w:r>
              <w:rPr>
                <w:rFonts w:ascii="黑体" w:hAnsi="黑体" w:eastAsia="黑体"/>
                <w:sz w:val="18"/>
                <w:szCs w:val="18"/>
              </w:rPr>
              <w:t xml:space="preserve">2.2 </w:t>
            </w:r>
          </w:p>
        </w:tc>
        <w:tc>
          <w:tcPr>
            <w:tcW w:w="6381" w:type="dxa"/>
            <w:gridSpan w:val="3"/>
            <w:tcBorders>
              <w:top w:val="single" w:color="000000" w:sz="4" w:space="0"/>
              <w:left w:val="single" w:color="000000" w:sz="4" w:space="0"/>
              <w:bottom w:val="single" w:color="000000" w:sz="4" w:space="0"/>
              <w:right w:val="single" w:color="000000" w:sz="4" w:space="0"/>
            </w:tcBorders>
          </w:tcPr>
          <w:p w14:paraId="6F6AB55C">
            <w:pPr>
              <w:pStyle w:val="132"/>
              <w:kinsoku w:val="0"/>
              <w:overflowPunct w:val="0"/>
              <w:ind w:left="105" w:right="95"/>
              <w:rPr>
                <w:rFonts w:ascii="黑体" w:hAnsi="黑体" w:eastAsia="黑体"/>
                <w:spacing w:val="-1"/>
                <w:sz w:val="18"/>
                <w:szCs w:val="18"/>
              </w:rPr>
            </w:pPr>
            <w:r>
              <w:rPr>
                <w:rFonts w:hint="eastAsia" w:ascii="黑体" w:hAnsi="黑体" w:eastAsia="黑体"/>
                <w:spacing w:val="3"/>
                <w:sz w:val="18"/>
                <w:szCs w:val="18"/>
              </w:rPr>
              <w:t>防静电地板产品应符合</w:t>
            </w:r>
            <w:r>
              <w:rPr>
                <w:rFonts w:ascii="黑体" w:hAnsi="黑体" w:eastAsia="黑体"/>
                <w:spacing w:val="3"/>
                <w:sz w:val="18"/>
                <w:szCs w:val="18"/>
              </w:rPr>
              <w:t xml:space="preserve"> </w:t>
            </w:r>
            <w:r>
              <w:rPr>
                <w:rFonts w:ascii="黑体" w:hAnsi="黑体" w:eastAsia="黑体" w:cs="Calibri"/>
                <w:sz w:val="18"/>
                <w:szCs w:val="18"/>
              </w:rPr>
              <w:t>GBT</w:t>
            </w:r>
            <w:r>
              <w:rPr>
                <w:rFonts w:ascii="黑体" w:hAnsi="黑体" w:eastAsia="黑体" w:cs="Calibri"/>
                <w:spacing w:val="14"/>
                <w:sz w:val="18"/>
                <w:szCs w:val="18"/>
              </w:rPr>
              <w:t xml:space="preserve"> </w:t>
            </w:r>
            <w:r>
              <w:rPr>
                <w:rFonts w:ascii="黑体" w:hAnsi="黑体" w:eastAsia="黑体" w:cs="Calibri"/>
                <w:sz w:val="18"/>
                <w:szCs w:val="18"/>
              </w:rPr>
              <w:t>36340-2018</w:t>
            </w:r>
            <w:r>
              <w:rPr>
                <w:rFonts w:hint="eastAsia" w:ascii="黑体" w:hAnsi="黑体" w:eastAsia="黑体"/>
                <w:sz w:val="18"/>
                <w:szCs w:val="18"/>
              </w:rPr>
              <w:t>《防静电活动地板通用规范》，</w:t>
            </w:r>
            <w:r>
              <w:rPr>
                <w:rFonts w:ascii="黑体" w:hAnsi="黑体" w:eastAsia="黑体"/>
                <w:spacing w:val="40"/>
                <w:sz w:val="18"/>
                <w:szCs w:val="18"/>
              </w:rPr>
              <w:t xml:space="preserve"> </w:t>
            </w:r>
            <w:r>
              <w:rPr>
                <w:rFonts w:ascii="黑体" w:hAnsi="黑体" w:eastAsia="黑体" w:cs="Calibri"/>
                <w:spacing w:val="-4"/>
                <w:sz w:val="18"/>
                <w:szCs w:val="18"/>
              </w:rPr>
              <w:t xml:space="preserve">GB- </w:t>
            </w:r>
            <w:r>
              <w:rPr>
                <w:rFonts w:ascii="黑体" w:hAnsi="黑体" w:eastAsia="黑体" w:cs="Calibri"/>
                <w:sz w:val="18"/>
                <w:szCs w:val="18"/>
              </w:rPr>
              <w:t>T</w:t>
            </w:r>
            <w:r>
              <w:rPr>
                <w:rFonts w:ascii="黑体" w:hAnsi="黑体" w:eastAsia="黑体" w:cs="Calibri"/>
                <w:spacing w:val="10"/>
                <w:sz w:val="18"/>
                <w:szCs w:val="18"/>
              </w:rPr>
              <w:t xml:space="preserve">  </w:t>
            </w:r>
            <w:r>
              <w:rPr>
                <w:rFonts w:ascii="黑体" w:hAnsi="黑体" w:eastAsia="黑体" w:cs="Calibri"/>
                <w:sz w:val="18"/>
                <w:szCs w:val="18"/>
              </w:rPr>
              <w:t>7911-2013</w:t>
            </w:r>
            <w:r>
              <w:rPr>
                <w:rFonts w:hint="eastAsia" w:ascii="黑体" w:hAnsi="黑体" w:eastAsia="黑体"/>
                <w:sz w:val="18"/>
                <w:szCs w:val="18"/>
              </w:rPr>
              <w:t>《防静电贴面板通用规范》，</w:t>
            </w:r>
            <w:r>
              <w:rPr>
                <w:rFonts w:ascii="黑体" w:hAnsi="黑体" w:eastAsia="黑体" w:cs="Calibri"/>
                <w:sz w:val="18"/>
                <w:szCs w:val="18"/>
              </w:rPr>
              <w:t>SJ/T</w:t>
            </w:r>
            <w:r>
              <w:rPr>
                <w:rFonts w:ascii="黑体" w:hAnsi="黑体" w:eastAsia="黑体" w:cs="Calibri"/>
                <w:spacing w:val="8"/>
                <w:sz w:val="18"/>
                <w:szCs w:val="18"/>
              </w:rPr>
              <w:t xml:space="preserve">  </w:t>
            </w:r>
            <w:r>
              <w:rPr>
                <w:rFonts w:ascii="黑体" w:hAnsi="黑体" w:eastAsia="黑体" w:cs="Calibri"/>
                <w:sz w:val="18"/>
                <w:szCs w:val="18"/>
              </w:rPr>
              <w:t>11159-1998</w:t>
            </w:r>
            <w:r>
              <w:rPr>
                <w:rFonts w:hint="eastAsia" w:ascii="黑体" w:hAnsi="黑体" w:eastAsia="黑体"/>
                <w:sz w:val="18"/>
                <w:szCs w:val="18"/>
              </w:rPr>
              <w:t>《地板覆盖层和装</w:t>
            </w:r>
            <w:r>
              <w:rPr>
                <w:rFonts w:hint="eastAsia" w:ascii="黑体" w:hAnsi="黑体" w:eastAsia="黑体"/>
                <w:spacing w:val="4"/>
                <w:sz w:val="18"/>
                <w:szCs w:val="18"/>
              </w:rPr>
              <w:t>配地板静电性能的试验方法》，</w:t>
            </w:r>
            <w:r>
              <w:rPr>
                <w:rFonts w:ascii="黑体" w:hAnsi="黑体" w:eastAsia="黑体"/>
                <w:spacing w:val="4"/>
                <w:sz w:val="18"/>
                <w:szCs w:val="18"/>
              </w:rPr>
              <w:t xml:space="preserve"> </w:t>
            </w:r>
            <w:r>
              <w:rPr>
                <w:rFonts w:ascii="黑体" w:hAnsi="黑体" w:eastAsia="黑体" w:cs="Calibri"/>
                <w:sz w:val="18"/>
                <w:szCs w:val="18"/>
              </w:rPr>
              <w:t>GB</w:t>
            </w:r>
            <w:r>
              <w:rPr>
                <w:rFonts w:ascii="黑体" w:hAnsi="黑体" w:eastAsia="黑体" w:cs="Calibri"/>
                <w:spacing w:val="30"/>
                <w:sz w:val="18"/>
                <w:szCs w:val="18"/>
              </w:rPr>
              <w:t xml:space="preserve"> </w:t>
            </w:r>
            <w:r>
              <w:rPr>
                <w:rFonts w:ascii="黑体" w:hAnsi="黑体" w:eastAsia="黑体" w:cs="Calibri"/>
                <w:sz w:val="18"/>
                <w:szCs w:val="18"/>
              </w:rPr>
              <w:t>8624-2012</w:t>
            </w:r>
            <w:r>
              <w:rPr>
                <w:rFonts w:hint="eastAsia" w:ascii="黑体" w:hAnsi="黑体" w:eastAsia="黑体"/>
                <w:spacing w:val="-2"/>
                <w:sz w:val="18"/>
                <w:szCs w:val="18"/>
              </w:rPr>
              <w:t>《建筑材料及制品燃烧性能分</w:t>
            </w:r>
            <w:r>
              <w:rPr>
                <w:rFonts w:hint="eastAsia" w:ascii="黑体" w:hAnsi="黑体" w:eastAsia="黑体"/>
                <w:spacing w:val="3"/>
                <w:sz w:val="18"/>
                <w:szCs w:val="18"/>
              </w:rPr>
              <w:t>级》，</w:t>
            </w:r>
            <w:r>
              <w:rPr>
                <w:rFonts w:ascii="黑体" w:hAnsi="黑体" w:eastAsia="黑体"/>
                <w:spacing w:val="3"/>
                <w:sz w:val="18"/>
                <w:szCs w:val="18"/>
              </w:rPr>
              <w:t xml:space="preserve"> </w:t>
            </w:r>
            <w:r>
              <w:rPr>
                <w:rFonts w:ascii="黑体" w:hAnsi="黑体" w:eastAsia="黑体" w:cs="Calibri"/>
                <w:sz w:val="18"/>
                <w:szCs w:val="18"/>
              </w:rPr>
              <w:t>GB</w:t>
            </w:r>
            <w:r>
              <w:rPr>
                <w:rFonts w:ascii="黑体" w:hAnsi="黑体" w:eastAsia="黑体" w:cs="Calibri"/>
                <w:spacing w:val="23"/>
                <w:sz w:val="18"/>
                <w:szCs w:val="18"/>
              </w:rPr>
              <w:t xml:space="preserve"> </w:t>
            </w:r>
            <w:r>
              <w:rPr>
                <w:rFonts w:ascii="黑体" w:hAnsi="黑体" w:eastAsia="黑体" w:cs="Calibri"/>
                <w:sz w:val="18"/>
                <w:szCs w:val="18"/>
              </w:rPr>
              <w:t>50325-2014</w:t>
            </w:r>
            <w:r>
              <w:rPr>
                <w:rFonts w:hint="eastAsia" w:ascii="黑体" w:hAnsi="黑体" w:eastAsia="黑体"/>
                <w:spacing w:val="-1"/>
                <w:sz w:val="18"/>
                <w:szCs w:val="18"/>
              </w:rPr>
              <w:t>《中国民用建筑工程室内环境污染控制规范》等标准的</w:t>
            </w:r>
          </w:p>
          <w:p w14:paraId="24CA761D">
            <w:pPr>
              <w:pStyle w:val="132"/>
              <w:kinsoku w:val="0"/>
              <w:overflowPunct w:val="0"/>
              <w:spacing w:line="191" w:lineRule="exact"/>
              <w:ind w:left="105"/>
              <w:rPr>
                <w:rFonts w:ascii="黑体" w:hAnsi="黑体" w:eastAsia="黑体"/>
                <w:sz w:val="18"/>
                <w:szCs w:val="18"/>
              </w:rPr>
            </w:pPr>
            <w:r>
              <w:rPr>
                <w:rFonts w:hint="eastAsia" w:ascii="黑体" w:hAnsi="黑体" w:eastAsia="黑体"/>
                <w:sz w:val="18"/>
                <w:szCs w:val="18"/>
              </w:rPr>
              <w:t>规定。</w:t>
            </w:r>
          </w:p>
        </w:tc>
        <w:tc>
          <w:tcPr>
            <w:tcW w:w="1417" w:type="dxa"/>
            <w:tcBorders>
              <w:top w:val="single" w:color="000000" w:sz="4" w:space="0"/>
              <w:left w:val="single" w:color="000000" w:sz="4" w:space="0"/>
              <w:bottom w:val="single" w:color="000000" w:sz="4" w:space="0"/>
              <w:right w:val="single" w:color="000000" w:sz="4" w:space="0"/>
            </w:tcBorders>
          </w:tcPr>
          <w:p w14:paraId="5377D7CB">
            <w:pPr>
              <w:pStyle w:val="132"/>
              <w:kinsoku w:val="0"/>
              <w:overflowPunct w:val="0"/>
              <w:spacing w:before="10"/>
              <w:rPr>
                <w:rFonts w:ascii="黑体" w:hAnsi="黑体" w:eastAsia="黑体"/>
                <w:b/>
                <w:bCs/>
                <w:sz w:val="18"/>
                <w:szCs w:val="18"/>
              </w:rPr>
            </w:pPr>
          </w:p>
          <w:p w14:paraId="0B353DD4">
            <w:pPr>
              <w:pStyle w:val="132"/>
              <w:kinsoku w:val="0"/>
              <w:overflowPunct w:val="0"/>
              <w:ind w:left="106"/>
              <w:rPr>
                <w:rFonts w:ascii="黑体" w:hAnsi="黑体" w:eastAsia="黑体"/>
                <w:b/>
                <w:bCs/>
                <w:sz w:val="18"/>
                <w:szCs w:val="18"/>
              </w:rPr>
            </w:pPr>
            <w:r>
              <w:rPr>
                <w:rFonts w:hint="eastAsia" w:ascii="黑体" w:hAnsi="黑体" w:eastAsia="黑体"/>
                <w:b/>
                <w:bCs/>
                <w:sz w:val="18"/>
                <w:szCs w:val="18"/>
              </w:rPr>
              <w:t>□满足</w:t>
            </w:r>
          </w:p>
          <w:p w14:paraId="1659A718">
            <w:pPr>
              <w:pStyle w:val="132"/>
              <w:kinsoku w:val="0"/>
              <w:overflowPunct w:val="0"/>
              <w:spacing w:before="5"/>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5B816083">
            <w:pPr>
              <w:pStyle w:val="132"/>
              <w:kinsoku w:val="0"/>
              <w:overflowPunct w:val="0"/>
              <w:rPr>
                <w:rFonts w:ascii="黑体" w:hAnsi="黑体" w:eastAsia="黑体" w:cs="Times New Roman"/>
                <w:sz w:val="18"/>
                <w:szCs w:val="18"/>
              </w:rPr>
            </w:pPr>
          </w:p>
        </w:tc>
      </w:tr>
      <w:tr w14:paraId="43CCEF2C">
        <w:tblPrEx>
          <w:tblCellMar>
            <w:top w:w="0" w:type="dxa"/>
            <w:left w:w="0" w:type="dxa"/>
            <w:bottom w:w="0" w:type="dxa"/>
            <w:right w:w="0" w:type="dxa"/>
          </w:tblCellMar>
        </w:tblPrEx>
        <w:trPr>
          <w:trHeight w:val="1132" w:hRule="atLeast"/>
        </w:trPr>
        <w:tc>
          <w:tcPr>
            <w:tcW w:w="725" w:type="dxa"/>
            <w:tcBorders>
              <w:top w:val="single" w:color="000000" w:sz="4" w:space="0"/>
              <w:left w:val="single" w:color="000000" w:sz="4" w:space="0"/>
              <w:bottom w:val="single" w:color="000000" w:sz="4" w:space="0"/>
              <w:right w:val="single" w:color="000000" w:sz="4" w:space="0"/>
            </w:tcBorders>
          </w:tcPr>
          <w:p w14:paraId="6F779E31">
            <w:pPr>
              <w:pStyle w:val="132"/>
              <w:kinsoku w:val="0"/>
              <w:overflowPunct w:val="0"/>
              <w:rPr>
                <w:rFonts w:ascii="黑体" w:hAnsi="黑体" w:eastAsia="黑体"/>
                <w:b/>
                <w:bCs/>
                <w:sz w:val="18"/>
                <w:szCs w:val="18"/>
              </w:rPr>
            </w:pPr>
          </w:p>
          <w:p w14:paraId="42F770D4">
            <w:pPr>
              <w:pStyle w:val="132"/>
              <w:kinsoku w:val="0"/>
              <w:overflowPunct w:val="0"/>
              <w:spacing w:before="117"/>
              <w:ind w:left="158" w:right="62"/>
              <w:rPr>
                <w:rFonts w:ascii="黑体" w:hAnsi="黑体" w:eastAsia="黑体"/>
                <w:sz w:val="18"/>
                <w:szCs w:val="18"/>
              </w:rPr>
            </w:pPr>
            <w:r>
              <w:rPr>
                <w:rFonts w:ascii="黑体" w:hAnsi="黑体" w:eastAsia="黑体"/>
                <w:sz w:val="18"/>
                <w:szCs w:val="18"/>
              </w:rPr>
              <w:t xml:space="preserve">2.3 </w:t>
            </w:r>
          </w:p>
        </w:tc>
        <w:tc>
          <w:tcPr>
            <w:tcW w:w="6381" w:type="dxa"/>
            <w:gridSpan w:val="3"/>
            <w:tcBorders>
              <w:top w:val="single" w:color="000000" w:sz="4" w:space="0"/>
              <w:left w:val="single" w:color="000000" w:sz="4" w:space="0"/>
              <w:bottom w:val="single" w:color="000000" w:sz="4" w:space="0"/>
              <w:right w:val="single" w:color="000000" w:sz="4" w:space="0"/>
            </w:tcBorders>
          </w:tcPr>
          <w:p w14:paraId="228F3D3C">
            <w:pPr>
              <w:pStyle w:val="132"/>
              <w:kinsoku w:val="0"/>
              <w:overflowPunct w:val="0"/>
              <w:spacing w:line="242" w:lineRule="auto"/>
              <w:ind w:left="105" w:right="93"/>
              <w:rPr>
                <w:rFonts w:ascii="黑体" w:hAnsi="黑体" w:eastAsia="黑体"/>
                <w:sz w:val="18"/>
                <w:szCs w:val="18"/>
              </w:rPr>
            </w:pPr>
            <w:r>
              <w:rPr>
                <w:rFonts w:hint="eastAsia" w:ascii="黑体" w:hAnsi="黑体" w:eastAsia="黑体"/>
                <w:sz w:val="18"/>
                <w:szCs w:val="18"/>
              </w:rPr>
              <w:t>防静电地板应符合</w:t>
            </w:r>
            <w:r>
              <w:rPr>
                <w:rFonts w:ascii="黑体" w:hAnsi="黑体" w:eastAsia="黑体"/>
                <w:sz w:val="18"/>
                <w:szCs w:val="18"/>
              </w:rPr>
              <w:t xml:space="preserve"> </w:t>
            </w:r>
            <w:r>
              <w:rPr>
                <w:rFonts w:ascii="黑体" w:hAnsi="黑体" w:eastAsia="黑体" w:cs="Calibri"/>
                <w:sz w:val="18"/>
                <w:szCs w:val="18"/>
              </w:rPr>
              <w:t>GB 6650-86</w:t>
            </w:r>
            <w:r>
              <w:rPr>
                <w:rFonts w:hint="eastAsia" w:ascii="黑体" w:hAnsi="黑体" w:eastAsia="黑体"/>
                <w:sz w:val="18"/>
                <w:szCs w:val="18"/>
              </w:rPr>
              <w:t>《计算机机房用活动地板技术条件》，</w:t>
            </w:r>
            <w:r>
              <w:rPr>
                <w:rFonts w:ascii="黑体" w:hAnsi="黑体" w:eastAsia="黑体"/>
                <w:sz w:val="18"/>
                <w:szCs w:val="18"/>
              </w:rPr>
              <w:t xml:space="preserve"> </w:t>
            </w:r>
            <w:r>
              <w:rPr>
                <w:rFonts w:ascii="黑体" w:hAnsi="黑体" w:eastAsia="黑体" w:cs="Calibri"/>
                <w:sz w:val="18"/>
                <w:szCs w:val="18"/>
              </w:rPr>
              <w:t>SJT 31469-2002</w:t>
            </w:r>
            <w:r>
              <w:rPr>
                <w:rFonts w:hint="eastAsia" w:ascii="黑体" w:hAnsi="黑体" w:eastAsia="黑体"/>
                <w:sz w:val="18"/>
                <w:szCs w:val="18"/>
              </w:rPr>
              <w:t>《防静电地板施工及验收规范》，</w:t>
            </w:r>
            <w:r>
              <w:rPr>
                <w:rFonts w:ascii="黑体" w:hAnsi="黑体" w:eastAsia="黑体"/>
                <w:sz w:val="18"/>
                <w:szCs w:val="18"/>
              </w:rPr>
              <w:t xml:space="preserve"> </w:t>
            </w:r>
            <w:r>
              <w:rPr>
                <w:rFonts w:ascii="黑体" w:hAnsi="黑体" w:eastAsia="黑体" w:cs="Calibri"/>
                <w:sz w:val="18"/>
                <w:szCs w:val="18"/>
              </w:rPr>
              <w:t>GB 50174-2017</w:t>
            </w:r>
            <w:r>
              <w:rPr>
                <w:rFonts w:hint="eastAsia" w:ascii="黑体" w:hAnsi="黑体" w:eastAsia="黑体"/>
                <w:sz w:val="18"/>
                <w:szCs w:val="18"/>
              </w:rPr>
              <w:t>《电子信息系统机房设计规范》，</w:t>
            </w:r>
            <w:r>
              <w:rPr>
                <w:rFonts w:ascii="黑体" w:hAnsi="黑体" w:eastAsia="黑体"/>
                <w:sz w:val="18"/>
                <w:szCs w:val="18"/>
              </w:rPr>
              <w:t xml:space="preserve"> </w:t>
            </w:r>
            <w:r>
              <w:rPr>
                <w:rFonts w:ascii="黑体" w:hAnsi="黑体" w:eastAsia="黑体" w:cs="Calibri"/>
                <w:sz w:val="18"/>
                <w:szCs w:val="18"/>
              </w:rPr>
              <w:t>GB50222-2017</w:t>
            </w:r>
            <w:r>
              <w:rPr>
                <w:rFonts w:hint="eastAsia" w:ascii="黑体" w:hAnsi="黑体" w:eastAsia="黑体"/>
                <w:sz w:val="18"/>
                <w:szCs w:val="18"/>
              </w:rPr>
              <w:t>《建筑内部装修设计防火规范》等设计施工标准的要求。</w:t>
            </w:r>
          </w:p>
        </w:tc>
        <w:tc>
          <w:tcPr>
            <w:tcW w:w="1417" w:type="dxa"/>
            <w:tcBorders>
              <w:top w:val="single" w:color="000000" w:sz="4" w:space="0"/>
              <w:left w:val="single" w:color="000000" w:sz="4" w:space="0"/>
              <w:bottom w:val="single" w:color="000000" w:sz="4" w:space="0"/>
              <w:right w:val="single" w:color="000000" w:sz="4" w:space="0"/>
            </w:tcBorders>
          </w:tcPr>
          <w:p w14:paraId="46895AEE">
            <w:pPr>
              <w:pStyle w:val="132"/>
              <w:kinsoku w:val="0"/>
              <w:overflowPunct w:val="0"/>
              <w:spacing w:before="1"/>
              <w:rPr>
                <w:rFonts w:ascii="黑体" w:hAnsi="黑体" w:eastAsia="黑体"/>
                <w:b/>
                <w:bCs/>
                <w:sz w:val="18"/>
                <w:szCs w:val="18"/>
              </w:rPr>
            </w:pPr>
          </w:p>
          <w:p w14:paraId="6A85B3C8">
            <w:pPr>
              <w:pStyle w:val="132"/>
              <w:kinsoku w:val="0"/>
              <w:overflowPunct w:val="0"/>
              <w:spacing w:before="1" w:line="231" w:lineRule="exact"/>
              <w:ind w:left="106"/>
              <w:rPr>
                <w:rFonts w:ascii="黑体" w:hAnsi="黑体" w:eastAsia="黑体"/>
                <w:b/>
                <w:bCs/>
                <w:sz w:val="18"/>
                <w:szCs w:val="18"/>
              </w:rPr>
            </w:pPr>
            <w:r>
              <w:rPr>
                <w:rFonts w:hint="eastAsia" w:ascii="黑体" w:hAnsi="黑体" w:eastAsia="黑体"/>
                <w:b/>
                <w:bCs/>
                <w:sz w:val="18"/>
                <w:szCs w:val="18"/>
              </w:rPr>
              <w:t>□满足</w:t>
            </w:r>
          </w:p>
          <w:p w14:paraId="5FCF3D73">
            <w:pPr>
              <w:pStyle w:val="132"/>
              <w:kinsoku w:val="0"/>
              <w:overflowPunct w:val="0"/>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01A25090">
            <w:pPr>
              <w:pStyle w:val="132"/>
              <w:kinsoku w:val="0"/>
              <w:overflowPunct w:val="0"/>
              <w:rPr>
                <w:rFonts w:ascii="黑体" w:hAnsi="黑体" w:eastAsia="黑体" w:cs="Times New Roman"/>
                <w:sz w:val="18"/>
                <w:szCs w:val="18"/>
              </w:rPr>
            </w:pPr>
          </w:p>
        </w:tc>
      </w:tr>
      <w:tr w14:paraId="304A21D1">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4175B25E">
            <w:pPr>
              <w:pStyle w:val="132"/>
              <w:kinsoku w:val="0"/>
              <w:overflowPunct w:val="0"/>
              <w:spacing w:before="117"/>
              <w:ind w:left="158" w:right="62"/>
              <w:rPr>
                <w:rFonts w:ascii="黑体" w:hAnsi="黑体" w:eastAsia="黑体"/>
                <w:sz w:val="18"/>
                <w:szCs w:val="18"/>
              </w:rPr>
            </w:pPr>
            <w:r>
              <w:rPr>
                <w:rFonts w:ascii="黑体" w:hAnsi="黑体" w:eastAsia="黑体"/>
                <w:sz w:val="18"/>
                <w:szCs w:val="18"/>
              </w:rPr>
              <w:t xml:space="preserve">2.4 </w:t>
            </w:r>
          </w:p>
        </w:tc>
        <w:tc>
          <w:tcPr>
            <w:tcW w:w="6381" w:type="dxa"/>
            <w:gridSpan w:val="3"/>
            <w:tcBorders>
              <w:top w:val="single" w:color="000000" w:sz="4" w:space="0"/>
              <w:left w:val="single" w:color="000000" w:sz="4" w:space="0"/>
              <w:bottom w:val="single" w:color="000000" w:sz="4" w:space="0"/>
              <w:right w:val="single" w:color="000000" w:sz="4" w:space="0"/>
            </w:tcBorders>
          </w:tcPr>
          <w:p w14:paraId="5EA162A5">
            <w:pPr>
              <w:pStyle w:val="132"/>
              <w:kinsoku w:val="0"/>
              <w:overflowPunct w:val="0"/>
              <w:spacing w:line="244" w:lineRule="auto"/>
              <w:ind w:left="105" w:right="94"/>
              <w:rPr>
                <w:rFonts w:ascii="黑体" w:hAnsi="黑体" w:eastAsia="黑体"/>
                <w:spacing w:val="-5"/>
                <w:sz w:val="18"/>
                <w:szCs w:val="18"/>
              </w:rPr>
            </w:pPr>
            <w:r>
              <w:rPr>
                <w:rFonts w:hint="eastAsia" w:ascii="黑体" w:hAnsi="黑体" w:eastAsia="黑体"/>
                <w:spacing w:val="-6"/>
                <w:sz w:val="18"/>
                <w:szCs w:val="18"/>
              </w:rPr>
              <w:t>防静电地板产品必须通过国家信息产业部防静电产品质量监督监测中心和国家</w:t>
            </w:r>
            <w:r>
              <w:rPr>
                <w:rFonts w:hint="eastAsia" w:ascii="黑体" w:hAnsi="黑体" w:eastAsia="黑体"/>
                <w:spacing w:val="-5"/>
                <w:sz w:val="18"/>
                <w:szCs w:val="18"/>
              </w:rPr>
              <w:t>建筑材料测试中心的检测，并可提供第三方机构盖章的检测报告证明文件。</w:t>
            </w:r>
          </w:p>
        </w:tc>
        <w:tc>
          <w:tcPr>
            <w:tcW w:w="1417" w:type="dxa"/>
            <w:tcBorders>
              <w:top w:val="single" w:color="000000" w:sz="4" w:space="0"/>
              <w:left w:val="single" w:color="000000" w:sz="4" w:space="0"/>
              <w:bottom w:val="single" w:color="000000" w:sz="4" w:space="0"/>
              <w:right w:val="single" w:color="000000" w:sz="4" w:space="0"/>
            </w:tcBorders>
          </w:tcPr>
          <w:p w14:paraId="161BEB46">
            <w:pPr>
              <w:pStyle w:val="132"/>
              <w:kinsoku w:val="0"/>
              <w:overflowPunct w:val="0"/>
              <w:spacing w:line="228" w:lineRule="exact"/>
              <w:ind w:left="106"/>
              <w:rPr>
                <w:rFonts w:ascii="黑体" w:hAnsi="黑体" w:eastAsia="黑体"/>
                <w:b/>
                <w:bCs/>
                <w:sz w:val="18"/>
                <w:szCs w:val="18"/>
              </w:rPr>
            </w:pPr>
            <w:r>
              <w:rPr>
                <w:rFonts w:hint="eastAsia" w:ascii="黑体" w:hAnsi="黑体" w:eastAsia="黑体"/>
                <w:b/>
                <w:bCs/>
                <w:sz w:val="18"/>
                <w:szCs w:val="18"/>
              </w:rPr>
              <w:t>□满足</w:t>
            </w:r>
          </w:p>
          <w:p w14:paraId="57E4CCE4">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6F67F7EB">
            <w:pPr>
              <w:pStyle w:val="132"/>
              <w:kinsoku w:val="0"/>
              <w:overflowPunct w:val="0"/>
              <w:rPr>
                <w:rFonts w:ascii="黑体" w:hAnsi="黑体" w:eastAsia="黑体" w:cs="Times New Roman"/>
                <w:sz w:val="18"/>
                <w:szCs w:val="18"/>
              </w:rPr>
            </w:pPr>
          </w:p>
        </w:tc>
      </w:tr>
      <w:tr w14:paraId="26B5F632">
        <w:tblPrEx>
          <w:tblCellMar>
            <w:top w:w="0" w:type="dxa"/>
            <w:left w:w="0" w:type="dxa"/>
            <w:bottom w:w="0" w:type="dxa"/>
            <w:right w:w="0" w:type="dxa"/>
          </w:tblCellMar>
        </w:tblPrEx>
        <w:trPr>
          <w:trHeight w:val="701" w:hRule="atLeast"/>
        </w:trPr>
        <w:tc>
          <w:tcPr>
            <w:tcW w:w="725" w:type="dxa"/>
            <w:tcBorders>
              <w:top w:val="single" w:color="000000" w:sz="4" w:space="0"/>
              <w:left w:val="single" w:color="000000" w:sz="4" w:space="0"/>
              <w:bottom w:val="single" w:color="000000" w:sz="4" w:space="0"/>
              <w:right w:val="single" w:color="000000" w:sz="4" w:space="0"/>
            </w:tcBorders>
          </w:tcPr>
          <w:p w14:paraId="37413673">
            <w:pPr>
              <w:pStyle w:val="132"/>
              <w:kinsoku w:val="0"/>
              <w:overflowPunct w:val="0"/>
              <w:spacing w:before="131"/>
              <w:ind w:left="158" w:right="62"/>
              <w:rPr>
                <w:rFonts w:ascii="黑体" w:hAnsi="黑体" w:eastAsia="黑体"/>
                <w:sz w:val="18"/>
                <w:szCs w:val="18"/>
              </w:rPr>
            </w:pPr>
            <w:r>
              <w:rPr>
                <w:rFonts w:ascii="黑体" w:hAnsi="黑体" w:eastAsia="黑体"/>
                <w:sz w:val="18"/>
                <w:szCs w:val="18"/>
              </w:rPr>
              <w:t xml:space="preserve">2.5 </w:t>
            </w:r>
          </w:p>
        </w:tc>
        <w:tc>
          <w:tcPr>
            <w:tcW w:w="6381" w:type="dxa"/>
            <w:gridSpan w:val="3"/>
            <w:tcBorders>
              <w:top w:val="single" w:color="000000" w:sz="4" w:space="0"/>
              <w:left w:val="single" w:color="000000" w:sz="4" w:space="0"/>
              <w:bottom w:val="single" w:color="000000" w:sz="4" w:space="0"/>
              <w:right w:val="single" w:color="000000" w:sz="4" w:space="0"/>
            </w:tcBorders>
          </w:tcPr>
          <w:p w14:paraId="66F8A7C9">
            <w:pPr>
              <w:pStyle w:val="132"/>
              <w:kinsoku w:val="0"/>
              <w:overflowPunct w:val="0"/>
              <w:spacing w:line="244" w:lineRule="auto"/>
              <w:ind w:left="105" w:right="90"/>
              <w:rPr>
                <w:rFonts w:ascii="黑体" w:hAnsi="黑体" w:eastAsia="黑体"/>
                <w:sz w:val="18"/>
                <w:szCs w:val="18"/>
              </w:rPr>
            </w:pPr>
            <w:r>
              <w:rPr>
                <w:rFonts w:hint="eastAsia" w:ascii="黑体" w:hAnsi="黑体" w:eastAsia="黑体"/>
                <w:sz w:val="18"/>
                <w:szCs w:val="18"/>
              </w:rPr>
              <w:t>防静电地板应组装精细，接缝整齐严密，粘接牢固，无破损，不开胶，不起皮，色差小，板面覆盖层应柔光、耐污、不打滑、无明显的可见色差、起泡及</w:t>
            </w:r>
          </w:p>
          <w:p w14:paraId="1B99C89E">
            <w:pPr>
              <w:pStyle w:val="132"/>
              <w:kinsoku w:val="0"/>
              <w:overflowPunct w:val="0"/>
              <w:spacing w:line="213" w:lineRule="exact"/>
              <w:ind w:left="105"/>
              <w:rPr>
                <w:rFonts w:ascii="黑体" w:hAnsi="黑体" w:eastAsia="黑体"/>
                <w:sz w:val="18"/>
                <w:szCs w:val="18"/>
              </w:rPr>
            </w:pPr>
            <w:r>
              <w:rPr>
                <w:rFonts w:hint="eastAsia" w:ascii="黑体" w:hAnsi="黑体" w:eastAsia="黑体"/>
                <w:sz w:val="18"/>
                <w:szCs w:val="18"/>
              </w:rPr>
              <w:t>疵点。</w:t>
            </w:r>
            <w:r>
              <w:rPr>
                <w:rFonts w:ascii="黑体" w:hAnsi="黑体" w:eastAsia="黑体"/>
                <w:sz w:val="18"/>
                <w:szCs w:val="18"/>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6C7E9463">
            <w:pPr>
              <w:pStyle w:val="132"/>
              <w:kinsoku w:val="0"/>
              <w:overflowPunct w:val="0"/>
              <w:spacing w:before="16"/>
              <w:ind w:left="106"/>
              <w:rPr>
                <w:rFonts w:ascii="黑体" w:hAnsi="黑体" w:eastAsia="黑体"/>
                <w:b/>
                <w:bCs/>
                <w:sz w:val="18"/>
                <w:szCs w:val="18"/>
              </w:rPr>
            </w:pPr>
            <w:r>
              <w:rPr>
                <w:rFonts w:hint="eastAsia" w:ascii="黑体" w:hAnsi="黑体" w:eastAsia="黑体"/>
                <w:b/>
                <w:bCs/>
                <w:sz w:val="18"/>
                <w:szCs w:val="18"/>
              </w:rPr>
              <w:t>□满足</w:t>
            </w:r>
          </w:p>
          <w:p w14:paraId="665A0687">
            <w:pPr>
              <w:pStyle w:val="132"/>
              <w:kinsoku w:val="0"/>
              <w:overflowPunct w:val="0"/>
              <w:spacing w:before="5"/>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1BF20C7D">
            <w:pPr>
              <w:pStyle w:val="132"/>
              <w:kinsoku w:val="0"/>
              <w:overflowPunct w:val="0"/>
              <w:rPr>
                <w:rFonts w:ascii="黑体" w:hAnsi="黑体" w:eastAsia="黑体" w:cs="Times New Roman"/>
                <w:sz w:val="18"/>
                <w:szCs w:val="18"/>
              </w:rPr>
            </w:pPr>
          </w:p>
        </w:tc>
      </w:tr>
      <w:tr w14:paraId="1204E6F9">
        <w:tblPrEx>
          <w:tblCellMar>
            <w:top w:w="0" w:type="dxa"/>
            <w:left w:w="0" w:type="dxa"/>
            <w:bottom w:w="0" w:type="dxa"/>
            <w:right w:w="0" w:type="dxa"/>
          </w:tblCellMar>
        </w:tblPrEx>
        <w:trPr>
          <w:trHeight w:val="901" w:hRule="atLeast"/>
        </w:trPr>
        <w:tc>
          <w:tcPr>
            <w:tcW w:w="725" w:type="dxa"/>
            <w:tcBorders>
              <w:top w:val="single" w:color="000000" w:sz="4" w:space="0"/>
              <w:left w:val="single" w:color="000000" w:sz="4" w:space="0"/>
              <w:bottom w:val="single" w:color="000000" w:sz="4" w:space="0"/>
              <w:right w:val="single" w:color="000000" w:sz="4" w:space="0"/>
            </w:tcBorders>
          </w:tcPr>
          <w:p w14:paraId="422BE386">
            <w:pPr>
              <w:pStyle w:val="132"/>
              <w:kinsoku w:val="0"/>
              <w:overflowPunct w:val="0"/>
              <w:spacing w:before="1"/>
              <w:rPr>
                <w:rFonts w:ascii="黑体" w:hAnsi="黑体" w:eastAsia="黑体"/>
                <w:b/>
                <w:bCs/>
                <w:sz w:val="18"/>
                <w:szCs w:val="18"/>
              </w:rPr>
            </w:pPr>
          </w:p>
          <w:p w14:paraId="1B6EFBD6">
            <w:pPr>
              <w:pStyle w:val="132"/>
              <w:kinsoku w:val="0"/>
              <w:overflowPunct w:val="0"/>
              <w:spacing w:before="1"/>
              <w:ind w:left="158" w:right="62"/>
              <w:rPr>
                <w:rFonts w:ascii="黑体" w:hAnsi="黑体" w:eastAsia="黑体"/>
                <w:sz w:val="18"/>
                <w:szCs w:val="18"/>
              </w:rPr>
            </w:pPr>
            <w:r>
              <w:rPr>
                <w:rFonts w:ascii="黑体" w:hAnsi="黑体" w:eastAsia="黑体"/>
                <w:sz w:val="18"/>
                <w:szCs w:val="18"/>
              </w:rPr>
              <w:t xml:space="preserve">2.6 </w:t>
            </w:r>
          </w:p>
        </w:tc>
        <w:tc>
          <w:tcPr>
            <w:tcW w:w="6381" w:type="dxa"/>
            <w:gridSpan w:val="3"/>
            <w:tcBorders>
              <w:top w:val="single" w:color="000000" w:sz="4" w:space="0"/>
              <w:left w:val="single" w:color="000000" w:sz="4" w:space="0"/>
              <w:bottom w:val="single" w:color="000000" w:sz="4" w:space="0"/>
              <w:right w:val="single" w:color="000000" w:sz="4" w:space="0"/>
            </w:tcBorders>
          </w:tcPr>
          <w:p w14:paraId="24E91B1A">
            <w:pPr>
              <w:pStyle w:val="132"/>
              <w:kinsoku w:val="0"/>
              <w:overflowPunct w:val="0"/>
              <w:spacing w:line="244" w:lineRule="auto"/>
              <w:ind w:left="105" w:right="92"/>
              <w:rPr>
                <w:rFonts w:ascii="黑体" w:hAnsi="黑体" w:eastAsia="黑体"/>
                <w:sz w:val="18"/>
                <w:szCs w:val="18"/>
              </w:rPr>
            </w:pPr>
            <w:r>
              <w:rPr>
                <w:rFonts w:hint="eastAsia" w:ascii="黑体" w:hAnsi="黑体" w:eastAsia="黑体"/>
                <w:sz w:val="18"/>
                <w:szCs w:val="18"/>
              </w:rPr>
              <w:t>在下列环境能够保证防静电地板长期正常工作：工作温度范围</w:t>
            </w:r>
            <w:r>
              <w:rPr>
                <w:rFonts w:ascii="黑体" w:hAnsi="黑体" w:eastAsia="黑体"/>
                <w:sz w:val="18"/>
                <w:szCs w:val="18"/>
              </w:rPr>
              <w:t xml:space="preserve"> </w:t>
            </w:r>
            <w:r>
              <w:rPr>
                <w:rFonts w:ascii="黑体" w:hAnsi="黑体" w:eastAsia="黑体" w:cs="Calibri"/>
                <w:sz w:val="18"/>
                <w:szCs w:val="18"/>
              </w:rPr>
              <w:t>15</w:t>
            </w:r>
            <w:r>
              <w:rPr>
                <w:rFonts w:hint="eastAsia" w:ascii="黑体" w:hAnsi="黑体" w:eastAsia="黑体"/>
                <w:sz w:val="18"/>
                <w:szCs w:val="18"/>
              </w:rPr>
              <w:t>℃～</w:t>
            </w:r>
            <w:r>
              <w:rPr>
                <w:rFonts w:ascii="黑体" w:hAnsi="黑体" w:eastAsia="黑体"/>
                <w:sz w:val="18"/>
                <w:szCs w:val="18"/>
              </w:rPr>
              <w:t>35</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工作环境相对温度范围</w:t>
            </w:r>
            <w:r>
              <w:rPr>
                <w:rFonts w:ascii="黑体" w:hAnsi="黑体" w:eastAsia="黑体"/>
                <w:sz w:val="18"/>
                <w:szCs w:val="18"/>
              </w:rPr>
              <w:t xml:space="preserve"> 35%</w:t>
            </w:r>
            <w:r>
              <w:rPr>
                <w:rFonts w:hint="eastAsia" w:ascii="黑体" w:hAnsi="黑体" w:eastAsia="黑体"/>
                <w:sz w:val="18"/>
                <w:szCs w:val="18"/>
              </w:rPr>
              <w:t>～</w:t>
            </w:r>
            <w:r>
              <w:rPr>
                <w:rFonts w:ascii="黑体" w:hAnsi="黑体" w:eastAsia="黑体" w:cs="Calibri"/>
                <w:sz w:val="18"/>
                <w:szCs w:val="18"/>
              </w:rPr>
              <w:t>75%</w:t>
            </w:r>
            <w:r>
              <w:rPr>
                <w:rFonts w:hint="eastAsia" w:ascii="黑体" w:hAnsi="黑体" w:eastAsia="黑体"/>
                <w:sz w:val="18"/>
                <w:szCs w:val="18"/>
              </w:rPr>
              <w:t>；大气压力范围</w:t>
            </w:r>
            <w:r>
              <w:rPr>
                <w:rFonts w:ascii="黑体" w:hAnsi="黑体" w:eastAsia="黑体"/>
                <w:sz w:val="18"/>
                <w:szCs w:val="18"/>
              </w:rPr>
              <w:t xml:space="preserve"> </w:t>
            </w:r>
            <w:r>
              <w:rPr>
                <w:rFonts w:ascii="黑体" w:hAnsi="黑体" w:eastAsia="黑体" w:cs="Calibri"/>
                <w:sz w:val="18"/>
                <w:szCs w:val="18"/>
              </w:rPr>
              <w:t>86</w:t>
            </w:r>
            <w:r>
              <w:rPr>
                <w:rFonts w:hint="eastAsia" w:ascii="黑体" w:hAnsi="黑体" w:eastAsia="黑体"/>
                <w:sz w:val="18"/>
                <w:szCs w:val="18"/>
              </w:rPr>
              <w:t>～</w:t>
            </w:r>
            <w:r>
              <w:rPr>
                <w:rFonts w:ascii="黑体" w:hAnsi="黑体" w:eastAsia="黑体" w:cs="Calibri"/>
                <w:sz w:val="18"/>
                <w:szCs w:val="18"/>
              </w:rPr>
              <w:t>106KPa</w:t>
            </w:r>
            <w:r>
              <w:rPr>
                <w:rFonts w:hint="eastAsia" w:ascii="黑体" w:hAnsi="黑体" w:eastAsia="黑体"/>
                <w:sz w:val="18"/>
                <w:szCs w:val="18"/>
              </w:rPr>
              <w:t>，室内无酸、碱等腐蚀性气体。</w:t>
            </w:r>
          </w:p>
        </w:tc>
        <w:tc>
          <w:tcPr>
            <w:tcW w:w="1417" w:type="dxa"/>
            <w:tcBorders>
              <w:top w:val="single" w:color="000000" w:sz="4" w:space="0"/>
              <w:left w:val="single" w:color="000000" w:sz="4" w:space="0"/>
              <w:bottom w:val="single" w:color="000000" w:sz="4" w:space="0"/>
              <w:right w:val="single" w:color="000000" w:sz="4" w:space="0"/>
            </w:tcBorders>
          </w:tcPr>
          <w:p w14:paraId="0BD564FA">
            <w:pPr>
              <w:pStyle w:val="132"/>
              <w:kinsoku w:val="0"/>
              <w:overflowPunct w:val="0"/>
              <w:spacing w:before="117" w:line="231" w:lineRule="exact"/>
              <w:ind w:left="106"/>
              <w:rPr>
                <w:rFonts w:ascii="黑体" w:hAnsi="黑体" w:eastAsia="黑体"/>
                <w:b/>
                <w:bCs/>
                <w:sz w:val="18"/>
                <w:szCs w:val="18"/>
              </w:rPr>
            </w:pPr>
            <w:r>
              <w:rPr>
                <w:rFonts w:hint="eastAsia" w:ascii="黑体" w:hAnsi="黑体" w:eastAsia="黑体"/>
                <w:b/>
                <w:bCs/>
                <w:sz w:val="18"/>
                <w:szCs w:val="18"/>
              </w:rPr>
              <w:t>□满足</w:t>
            </w:r>
          </w:p>
          <w:p w14:paraId="5E46ECBB">
            <w:pPr>
              <w:pStyle w:val="132"/>
              <w:kinsoku w:val="0"/>
              <w:overflowPunct w:val="0"/>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3FBD9B87">
            <w:pPr>
              <w:pStyle w:val="132"/>
              <w:kinsoku w:val="0"/>
              <w:overflowPunct w:val="0"/>
              <w:rPr>
                <w:rFonts w:ascii="黑体" w:hAnsi="黑体" w:eastAsia="黑体" w:cs="Times New Roman"/>
                <w:sz w:val="18"/>
                <w:szCs w:val="18"/>
              </w:rPr>
            </w:pPr>
          </w:p>
        </w:tc>
      </w:tr>
      <w:tr w14:paraId="70821FDF">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6AAA7AFD">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 </w:t>
            </w:r>
          </w:p>
        </w:tc>
        <w:tc>
          <w:tcPr>
            <w:tcW w:w="1277" w:type="dxa"/>
            <w:gridSpan w:val="2"/>
            <w:tcBorders>
              <w:top w:val="single" w:color="000000" w:sz="4" w:space="0"/>
              <w:left w:val="single" w:color="000000" w:sz="4" w:space="0"/>
              <w:bottom w:val="single" w:color="000000" w:sz="4" w:space="0"/>
              <w:right w:val="single" w:color="000000" w:sz="4" w:space="0"/>
            </w:tcBorders>
          </w:tcPr>
          <w:p w14:paraId="4E405A58">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性能要求</w:t>
            </w:r>
            <w:r>
              <w:rPr>
                <w:rFonts w:ascii="黑体" w:hAnsi="黑体" w:eastAsia="黑体"/>
                <w:b/>
                <w:bCs/>
                <w:sz w:val="18"/>
                <w:szCs w:val="18"/>
              </w:rPr>
              <w:t xml:space="preserve"> </w:t>
            </w:r>
          </w:p>
        </w:tc>
        <w:tc>
          <w:tcPr>
            <w:tcW w:w="5104" w:type="dxa"/>
            <w:tcBorders>
              <w:top w:val="single" w:color="000000" w:sz="4" w:space="0"/>
              <w:left w:val="single" w:color="000000" w:sz="4" w:space="0"/>
              <w:bottom w:val="single" w:color="000000" w:sz="4" w:space="0"/>
              <w:right w:val="single" w:color="000000" w:sz="4" w:space="0"/>
            </w:tcBorders>
          </w:tcPr>
          <w:p w14:paraId="778A6FB0">
            <w:pPr>
              <w:pStyle w:val="132"/>
              <w:kinsoku w:val="0"/>
              <w:overflowPunct w:val="0"/>
              <w:rPr>
                <w:rFonts w:ascii="黑体" w:hAnsi="黑体" w:eastAsia="黑体" w:cs="Times New Roman"/>
                <w:sz w:val="18"/>
                <w:szCs w:val="18"/>
              </w:rPr>
            </w:pPr>
          </w:p>
        </w:tc>
        <w:tc>
          <w:tcPr>
            <w:tcW w:w="1417" w:type="dxa"/>
            <w:tcBorders>
              <w:top w:val="single" w:color="000000" w:sz="4" w:space="0"/>
              <w:left w:val="single" w:color="000000" w:sz="4" w:space="0"/>
              <w:bottom w:val="single" w:color="000000" w:sz="4" w:space="0"/>
              <w:right w:val="single" w:color="000000" w:sz="4" w:space="0"/>
            </w:tcBorders>
          </w:tcPr>
          <w:p w14:paraId="015438E3">
            <w:pPr>
              <w:pStyle w:val="132"/>
              <w:kinsoku w:val="0"/>
              <w:overflowPunct w:val="0"/>
              <w:spacing w:before="112"/>
              <w:ind w:left="106"/>
              <w:rPr>
                <w:rFonts w:ascii="黑体" w:hAnsi="黑体" w:eastAsia="黑体"/>
                <w:b/>
                <w:bCs/>
                <w:sz w:val="18"/>
                <w:szCs w:val="18"/>
              </w:rPr>
            </w:pPr>
          </w:p>
        </w:tc>
        <w:tc>
          <w:tcPr>
            <w:tcW w:w="979" w:type="dxa"/>
            <w:tcBorders>
              <w:top w:val="single" w:color="000000" w:sz="4" w:space="0"/>
              <w:left w:val="single" w:color="000000" w:sz="4" w:space="0"/>
              <w:bottom w:val="single" w:color="000000" w:sz="4" w:space="0"/>
              <w:right w:val="single" w:color="000000" w:sz="4" w:space="0"/>
            </w:tcBorders>
          </w:tcPr>
          <w:p w14:paraId="3550BA71">
            <w:pPr>
              <w:pStyle w:val="132"/>
              <w:kinsoku w:val="0"/>
              <w:overflowPunct w:val="0"/>
              <w:rPr>
                <w:rFonts w:ascii="黑体" w:hAnsi="黑体" w:eastAsia="黑体" w:cs="Times New Roman"/>
                <w:sz w:val="18"/>
                <w:szCs w:val="18"/>
              </w:rPr>
            </w:pPr>
          </w:p>
        </w:tc>
      </w:tr>
      <w:tr w14:paraId="322CC119">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7E25243C">
            <w:pPr>
              <w:pStyle w:val="132"/>
              <w:kinsoku w:val="0"/>
              <w:overflowPunct w:val="0"/>
              <w:spacing w:before="11"/>
              <w:ind w:left="158" w:right="67"/>
              <w:rPr>
                <w:rFonts w:ascii="黑体" w:hAnsi="黑体" w:eastAsia="黑体"/>
                <w:sz w:val="18"/>
                <w:szCs w:val="18"/>
              </w:rPr>
            </w:pPr>
          </w:p>
          <w:p w14:paraId="60ECE1BE">
            <w:pPr>
              <w:pStyle w:val="132"/>
              <w:kinsoku w:val="0"/>
              <w:overflowPunct w:val="0"/>
              <w:spacing w:before="11"/>
              <w:ind w:left="158" w:right="67"/>
              <w:rPr>
                <w:rFonts w:ascii="黑体" w:hAnsi="黑体" w:eastAsia="黑体"/>
                <w:sz w:val="18"/>
                <w:szCs w:val="18"/>
              </w:rPr>
            </w:pPr>
          </w:p>
          <w:p w14:paraId="72F55F10">
            <w:pPr>
              <w:pStyle w:val="132"/>
              <w:kinsoku w:val="0"/>
              <w:overflowPunct w:val="0"/>
              <w:spacing w:before="11"/>
              <w:ind w:left="158" w:right="67"/>
              <w:rPr>
                <w:rFonts w:ascii="黑体" w:hAnsi="黑体" w:eastAsia="黑体"/>
                <w:sz w:val="18"/>
                <w:szCs w:val="18"/>
              </w:rPr>
            </w:pPr>
          </w:p>
          <w:p w14:paraId="1EE56695">
            <w:pPr>
              <w:pStyle w:val="132"/>
              <w:kinsoku w:val="0"/>
              <w:overflowPunct w:val="0"/>
              <w:spacing w:before="11"/>
              <w:ind w:left="158" w:right="67"/>
              <w:rPr>
                <w:rFonts w:ascii="黑体" w:hAnsi="黑体" w:eastAsia="黑体"/>
                <w:sz w:val="18"/>
                <w:szCs w:val="18"/>
              </w:rPr>
            </w:pPr>
          </w:p>
          <w:p w14:paraId="5C38DD96">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3.1 </w:t>
            </w:r>
          </w:p>
        </w:tc>
        <w:tc>
          <w:tcPr>
            <w:tcW w:w="1277" w:type="dxa"/>
            <w:gridSpan w:val="2"/>
            <w:tcBorders>
              <w:top w:val="single" w:color="000000" w:sz="4" w:space="0"/>
              <w:left w:val="single" w:color="000000" w:sz="4" w:space="0"/>
              <w:bottom w:val="single" w:color="000000" w:sz="4" w:space="0"/>
              <w:right w:val="single" w:color="000000" w:sz="4" w:space="0"/>
            </w:tcBorders>
          </w:tcPr>
          <w:p w14:paraId="6C811C0B">
            <w:pPr>
              <w:pStyle w:val="132"/>
              <w:kinsoku w:val="0"/>
              <w:overflowPunct w:val="0"/>
              <w:spacing w:line="253" w:lineRule="exact"/>
              <w:ind w:left="105"/>
              <w:rPr>
                <w:rFonts w:ascii="黑体" w:hAnsi="黑体" w:eastAsia="黑体"/>
                <w:b/>
                <w:bCs/>
                <w:sz w:val="18"/>
                <w:szCs w:val="18"/>
              </w:rPr>
            </w:pPr>
          </w:p>
          <w:p w14:paraId="613E9D70">
            <w:pPr>
              <w:pStyle w:val="132"/>
              <w:kinsoku w:val="0"/>
              <w:overflowPunct w:val="0"/>
              <w:spacing w:line="253" w:lineRule="exact"/>
              <w:ind w:left="105"/>
              <w:rPr>
                <w:rFonts w:ascii="黑体" w:hAnsi="黑体" w:eastAsia="黑体"/>
                <w:b/>
                <w:bCs/>
                <w:sz w:val="18"/>
                <w:szCs w:val="18"/>
              </w:rPr>
            </w:pPr>
          </w:p>
          <w:p w14:paraId="33171767">
            <w:pPr>
              <w:pStyle w:val="132"/>
              <w:kinsoku w:val="0"/>
              <w:overflowPunct w:val="0"/>
              <w:spacing w:line="253" w:lineRule="exact"/>
              <w:ind w:left="105"/>
              <w:rPr>
                <w:rFonts w:ascii="黑体" w:hAnsi="黑体" w:eastAsia="黑体"/>
                <w:b/>
                <w:bCs/>
                <w:sz w:val="18"/>
                <w:szCs w:val="18"/>
              </w:rPr>
            </w:pPr>
          </w:p>
          <w:p w14:paraId="14FFCB22">
            <w:pPr>
              <w:pStyle w:val="132"/>
              <w:kinsoku w:val="0"/>
              <w:overflowPunct w:val="0"/>
              <w:spacing w:line="253" w:lineRule="exact"/>
              <w:ind w:left="105"/>
              <w:rPr>
                <w:rFonts w:ascii="黑体" w:hAnsi="黑体" w:eastAsia="黑体"/>
                <w:b/>
                <w:bCs/>
                <w:sz w:val="18"/>
                <w:szCs w:val="18"/>
              </w:rPr>
            </w:pPr>
            <w:r>
              <w:rPr>
                <w:rFonts w:ascii="黑体" w:hAnsi="黑体" w:eastAsia="黑体"/>
                <w:b/>
                <w:bCs/>
                <w:sz w:val="18"/>
                <w:szCs w:val="18"/>
              </w:rPr>
              <w:t xml:space="preserve">HPL </w:t>
            </w:r>
            <w:r>
              <w:rPr>
                <w:rFonts w:hint="eastAsia" w:ascii="黑体" w:hAnsi="黑体" w:eastAsia="黑体"/>
                <w:b/>
                <w:bCs/>
                <w:sz w:val="18"/>
                <w:szCs w:val="18"/>
              </w:rPr>
              <w:t>防静电贴面性能要求</w:t>
            </w:r>
            <w:r>
              <w:rPr>
                <w:rFonts w:ascii="黑体" w:hAnsi="黑体" w:eastAsia="黑体"/>
                <w:b/>
                <w:bCs/>
                <w:sz w:val="18"/>
                <w:szCs w:val="18"/>
              </w:rPr>
              <w:t xml:space="preserve"> </w:t>
            </w:r>
          </w:p>
        </w:tc>
        <w:tc>
          <w:tcPr>
            <w:tcW w:w="5104" w:type="dxa"/>
            <w:tcBorders>
              <w:top w:val="single" w:color="000000" w:sz="4" w:space="0"/>
              <w:left w:val="single" w:color="000000" w:sz="4" w:space="0"/>
              <w:bottom w:val="single" w:color="000000" w:sz="4" w:space="0"/>
              <w:right w:val="single" w:color="000000" w:sz="4" w:space="0"/>
            </w:tcBorders>
          </w:tcPr>
          <w:p w14:paraId="756EB9BC">
            <w:pPr>
              <w:pStyle w:val="132"/>
              <w:numPr>
                <w:ilvl w:val="0"/>
                <w:numId w:val="120"/>
              </w:numPr>
              <w:tabs>
                <w:tab w:val="left" w:pos="382"/>
              </w:tabs>
              <w:kinsoku w:val="0"/>
              <w:overflowPunct w:val="0"/>
              <w:spacing w:before="7"/>
              <w:ind w:hanging="277"/>
              <w:rPr>
                <w:rFonts w:ascii="黑体" w:hAnsi="黑体" w:eastAsia="黑体" w:cs="Times New Roman"/>
                <w:sz w:val="18"/>
                <w:szCs w:val="18"/>
              </w:rPr>
            </w:pPr>
            <w:r>
              <w:rPr>
                <w:rFonts w:ascii="黑体" w:hAnsi="黑体" w:eastAsia="黑体" w:cs="Times New Roman"/>
                <w:sz w:val="18"/>
                <w:szCs w:val="18"/>
              </w:rPr>
              <w:t xml:space="preserve">HPL </w:t>
            </w:r>
            <w:r>
              <w:rPr>
                <w:rFonts w:hint="eastAsia" w:ascii="黑体" w:hAnsi="黑体" w:eastAsia="黑体" w:cs="Times New Roman"/>
                <w:sz w:val="18"/>
                <w:szCs w:val="18"/>
              </w:rPr>
              <w:t>贴面应防静电、耐磨、防潮耐酸，贴面厚度≥</w:t>
            </w:r>
            <w:r>
              <w:rPr>
                <w:rFonts w:ascii="黑体" w:hAnsi="黑体" w:eastAsia="黑体" w:cs="Times New Roman"/>
                <w:sz w:val="18"/>
                <w:szCs w:val="18"/>
              </w:rPr>
              <w:t>1.0mm</w:t>
            </w:r>
          </w:p>
          <w:p w14:paraId="63F72A16">
            <w:pPr>
              <w:pStyle w:val="132"/>
              <w:kinsoku w:val="0"/>
              <w:overflowPunct w:val="0"/>
              <w:rPr>
                <w:rFonts w:ascii="黑体" w:hAnsi="黑体" w:eastAsia="黑体" w:cs="Times New Roman"/>
                <w:sz w:val="18"/>
                <w:szCs w:val="18"/>
              </w:rPr>
            </w:pPr>
            <w:r>
              <w:rPr>
                <w:rFonts w:hint="eastAsia" w:ascii="黑体" w:hAnsi="黑体" w:eastAsia="黑体" w:cs="Times New Roman"/>
                <w:sz w:val="18"/>
                <w:szCs w:val="18"/>
              </w:rPr>
              <w:t>（北方地区必须≥</w:t>
            </w:r>
            <w:r>
              <w:rPr>
                <w:rFonts w:ascii="黑体" w:hAnsi="黑体" w:eastAsia="黑体" w:cs="Times New Roman"/>
                <w:sz w:val="18"/>
                <w:szCs w:val="18"/>
              </w:rPr>
              <w:t>1.5mm</w:t>
            </w:r>
            <w:r>
              <w:rPr>
                <w:rFonts w:hint="eastAsia" w:ascii="黑体" w:hAnsi="黑体" w:eastAsia="黑体" w:cs="Times New Roman"/>
                <w:sz w:val="18"/>
                <w:szCs w:val="18"/>
              </w:rPr>
              <w:t>）；</w:t>
            </w:r>
          </w:p>
          <w:p w14:paraId="5669C489">
            <w:pPr>
              <w:pStyle w:val="132"/>
              <w:numPr>
                <w:ilvl w:val="0"/>
                <w:numId w:val="120"/>
              </w:numPr>
              <w:tabs>
                <w:tab w:val="left" w:pos="396"/>
              </w:tabs>
              <w:kinsoku w:val="0"/>
              <w:overflowPunct w:val="0"/>
              <w:spacing w:before="10"/>
              <w:ind w:left="395" w:hanging="291"/>
              <w:rPr>
                <w:rFonts w:ascii="黑体" w:hAnsi="黑体" w:eastAsia="黑体" w:cs="Times New Roman"/>
                <w:sz w:val="18"/>
                <w:szCs w:val="18"/>
              </w:rPr>
            </w:pPr>
            <w:r>
              <w:rPr>
                <w:rFonts w:hint="eastAsia" w:ascii="黑体" w:hAnsi="黑体" w:eastAsia="黑体" w:cs="Times New Roman"/>
                <w:sz w:val="18"/>
                <w:szCs w:val="18"/>
              </w:rPr>
              <w:t>耐磨性能应符合</w:t>
            </w:r>
            <w:r>
              <w:rPr>
                <w:rFonts w:ascii="黑体" w:hAnsi="黑体" w:eastAsia="黑体" w:cs="Times New Roman"/>
                <w:sz w:val="18"/>
                <w:szCs w:val="18"/>
              </w:rPr>
              <w:t xml:space="preserve"> GB-T 7911-2013 </w:t>
            </w:r>
            <w:r>
              <w:rPr>
                <w:rFonts w:hint="eastAsia" w:ascii="黑体" w:hAnsi="黑体" w:eastAsia="黑体" w:cs="Times New Roman"/>
                <w:sz w:val="18"/>
                <w:szCs w:val="18"/>
              </w:rPr>
              <w:t>标准要求，磨耗值≤</w:t>
            </w:r>
            <w:r>
              <w:rPr>
                <w:rFonts w:ascii="黑体" w:hAnsi="黑体" w:eastAsia="黑体" w:cs="Times New Roman"/>
                <w:sz w:val="18"/>
                <w:szCs w:val="18"/>
              </w:rPr>
              <w:t xml:space="preserve"> </w:t>
            </w:r>
          </w:p>
          <w:p w14:paraId="1DCFDA28">
            <w:pPr>
              <w:pStyle w:val="132"/>
              <w:kinsoku w:val="0"/>
              <w:overflowPunct w:val="0"/>
              <w:rPr>
                <w:rFonts w:ascii="黑体" w:hAnsi="黑体" w:eastAsia="黑体" w:cs="Times New Roman"/>
                <w:sz w:val="18"/>
                <w:szCs w:val="18"/>
              </w:rPr>
            </w:pPr>
            <w:r>
              <w:rPr>
                <w:rFonts w:ascii="黑体" w:hAnsi="黑体" w:eastAsia="黑体" w:cs="Times New Roman"/>
                <w:sz w:val="18"/>
                <w:szCs w:val="18"/>
              </w:rPr>
              <w:t>0.080g/cm2</w:t>
            </w:r>
            <w:r>
              <w:rPr>
                <w:rFonts w:hint="eastAsia" w:ascii="黑体" w:hAnsi="黑体" w:eastAsia="黑体" w:cs="Times New Roman"/>
                <w:sz w:val="18"/>
                <w:szCs w:val="18"/>
              </w:rPr>
              <w:t>（</w:t>
            </w:r>
            <w:r>
              <w:rPr>
                <w:rFonts w:ascii="黑体" w:hAnsi="黑体" w:eastAsia="黑体" w:cs="Times New Roman"/>
                <w:sz w:val="18"/>
                <w:szCs w:val="18"/>
              </w:rPr>
              <w:t>1000r</w:t>
            </w:r>
            <w:r>
              <w:rPr>
                <w:rFonts w:hint="eastAsia" w:ascii="黑体" w:hAnsi="黑体" w:eastAsia="黑体" w:cs="Times New Roman"/>
                <w:sz w:val="18"/>
                <w:szCs w:val="18"/>
              </w:rPr>
              <w:t>），高耐磨性（≥</w:t>
            </w:r>
            <w:r>
              <w:rPr>
                <w:rFonts w:ascii="黑体" w:hAnsi="黑体" w:eastAsia="黑体" w:cs="Times New Roman"/>
                <w:sz w:val="18"/>
                <w:szCs w:val="18"/>
              </w:rPr>
              <w:t>3000r</w:t>
            </w:r>
            <w:r>
              <w:rPr>
                <w:rFonts w:hint="eastAsia" w:ascii="黑体" w:hAnsi="黑体" w:eastAsia="黑体" w:cs="Times New Roman"/>
                <w:sz w:val="18"/>
                <w:szCs w:val="18"/>
              </w:rPr>
              <w:t>）；</w:t>
            </w:r>
          </w:p>
          <w:p w14:paraId="1726F9B9">
            <w:pPr>
              <w:pStyle w:val="132"/>
              <w:numPr>
                <w:ilvl w:val="0"/>
                <w:numId w:val="121"/>
              </w:numPr>
              <w:tabs>
                <w:tab w:val="left" w:pos="381"/>
              </w:tabs>
              <w:kinsoku w:val="0"/>
              <w:overflowPunct w:val="0"/>
              <w:spacing w:before="10" w:line="249" w:lineRule="auto"/>
              <w:ind w:right="92" w:hanging="183"/>
              <w:rPr>
                <w:rFonts w:ascii="黑体" w:hAnsi="黑体" w:eastAsia="黑体" w:cs="Times New Roman"/>
                <w:sz w:val="18"/>
                <w:szCs w:val="18"/>
              </w:rPr>
            </w:pPr>
            <w:r>
              <w:rPr>
                <w:rFonts w:hint="eastAsia" w:ascii="黑体" w:hAnsi="黑体" w:eastAsia="黑体" w:cs="Times New Roman"/>
                <w:sz w:val="18"/>
                <w:szCs w:val="18"/>
              </w:rPr>
              <w:t>防火性能应符合</w:t>
            </w:r>
            <w:r>
              <w:rPr>
                <w:rFonts w:ascii="黑体" w:hAnsi="黑体" w:eastAsia="黑体" w:cs="Times New Roman"/>
                <w:sz w:val="18"/>
                <w:szCs w:val="18"/>
              </w:rPr>
              <w:t xml:space="preserve"> GB-T 7911-2013 </w:t>
            </w:r>
            <w:r>
              <w:rPr>
                <w:rFonts w:hint="eastAsia" w:ascii="黑体" w:hAnsi="黑体" w:eastAsia="黑体" w:cs="Times New Roman"/>
                <w:sz w:val="18"/>
                <w:szCs w:val="18"/>
              </w:rPr>
              <w:t>标准要求，达到</w:t>
            </w:r>
            <w:r>
              <w:rPr>
                <w:rFonts w:ascii="黑体" w:hAnsi="黑体" w:eastAsia="黑体" w:cs="Times New Roman"/>
                <w:sz w:val="18"/>
                <w:szCs w:val="18"/>
              </w:rPr>
              <w:t xml:space="preserve"> FV-1 </w:t>
            </w:r>
            <w:r>
              <w:rPr>
                <w:rFonts w:hint="eastAsia" w:ascii="黑体" w:hAnsi="黑体" w:eastAsia="黑体" w:cs="Times New Roman"/>
                <w:sz w:val="18"/>
                <w:szCs w:val="18"/>
              </w:rPr>
              <w:t>防火等级（≤</w:t>
            </w:r>
            <w:r>
              <w:rPr>
                <w:rFonts w:ascii="黑体" w:hAnsi="黑体" w:eastAsia="黑体" w:cs="Times New Roman"/>
                <w:sz w:val="18"/>
                <w:szCs w:val="18"/>
              </w:rPr>
              <w:t>30s</w:t>
            </w:r>
            <w:r>
              <w:rPr>
                <w:rFonts w:hint="eastAsia" w:ascii="黑体" w:hAnsi="黑体" w:eastAsia="黑体" w:cs="Times New Roman"/>
                <w:sz w:val="18"/>
                <w:szCs w:val="18"/>
              </w:rPr>
              <w:t>）；</w:t>
            </w:r>
          </w:p>
          <w:p w14:paraId="6AE0F2FC">
            <w:pPr>
              <w:pStyle w:val="132"/>
              <w:numPr>
                <w:ilvl w:val="0"/>
                <w:numId w:val="121"/>
              </w:numPr>
              <w:tabs>
                <w:tab w:val="left" w:pos="381"/>
              </w:tabs>
              <w:kinsoku w:val="0"/>
              <w:overflowPunct w:val="0"/>
              <w:spacing w:line="213" w:lineRule="exact"/>
              <w:ind w:left="380" w:hanging="276"/>
              <w:rPr>
                <w:rFonts w:ascii="黑体" w:hAnsi="黑体" w:eastAsia="黑体" w:cs="Times New Roman"/>
                <w:sz w:val="18"/>
                <w:szCs w:val="18"/>
              </w:rPr>
            </w:pPr>
            <w:r>
              <w:rPr>
                <w:rFonts w:hint="eastAsia" w:ascii="黑体" w:hAnsi="黑体" w:eastAsia="黑体" w:cs="Times New Roman"/>
                <w:sz w:val="18"/>
                <w:szCs w:val="18"/>
              </w:rPr>
              <w:t>防静电性能：表面电阻为</w:t>
            </w:r>
            <w:r>
              <w:rPr>
                <w:rFonts w:ascii="黑体" w:hAnsi="黑体" w:eastAsia="黑体" w:cs="Times New Roman"/>
                <w:sz w:val="18"/>
                <w:szCs w:val="18"/>
              </w:rPr>
              <w:t xml:space="preserve"> 1.0X106</w:t>
            </w:r>
            <w:r>
              <w:rPr>
                <w:rFonts w:hint="eastAsia" w:ascii="黑体" w:hAnsi="黑体" w:eastAsia="黑体" w:cs="Times New Roman"/>
                <w:sz w:val="18"/>
                <w:szCs w:val="18"/>
              </w:rPr>
              <w:t>Ω</w:t>
            </w:r>
            <w:r>
              <w:rPr>
                <w:rFonts w:ascii="黑体" w:hAnsi="黑体" w:eastAsia="黑体" w:cs="Times New Roman"/>
                <w:sz w:val="18"/>
                <w:szCs w:val="18"/>
              </w:rPr>
              <w:t>~1.0X109</w:t>
            </w:r>
            <w:r>
              <w:rPr>
                <w:rFonts w:hint="eastAsia" w:ascii="黑体" w:hAnsi="黑体" w:eastAsia="黑体" w:cs="Times New Roman"/>
                <w:sz w:val="18"/>
                <w:szCs w:val="18"/>
              </w:rPr>
              <w:t>Ω。</w:t>
            </w:r>
          </w:p>
        </w:tc>
        <w:tc>
          <w:tcPr>
            <w:tcW w:w="1417" w:type="dxa"/>
            <w:tcBorders>
              <w:top w:val="single" w:color="000000" w:sz="4" w:space="0"/>
              <w:left w:val="single" w:color="000000" w:sz="4" w:space="0"/>
              <w:bottom w:val="single" w:color="000000" w:sz="4" w:space="0"/>
              <w:right w:val="single" w:color="000000" w:sz="4" w:space="0"/>
            </w:tcBorders>
          </w:tcPr>
          <w:p w14:paraId="64D342EC">
            <w:pPr>
              <w:pStyle w:val="132"/>
              <w:kinsoku w:val="0"/>
              <w:overflowPunct w:val="0"/>
              <w:spacing w:before="112"/>
              <w:ind w:left="106"/>
              <w:rPr>
                <w:rFonts w:ascii="黑体" w:hAnsi="黑体" w:eastAsia="黑体"/>
                <w:b/>
                <w:bCs/>
                <w:sz w:val="18"/>
                <w:szCs w:val="18"/>
              </w:rPr>
            </w:pPr>
          </w:p>
          <w:p w14:paraId="04C65391">
            <w:pPr>
              <w:pStyle w:val="132"/>
              <w:kinsoku w:val="0"/>
              <w:overflowPunct w:val="0"/>
              <w:spacing w:before="112"/>
              <w:ind w:left="106"/>
              <w:rPr>
                <w:rFonts w:ascii="黑体" w:hAnsi="黑体" w:eastAsia="黑体"/>
                <w:b/>
                <w:bCs/>
                <w:sz w:val="18"/>
                <w:szCs w:val="18"/>
              </w:rPr>
            </w:pPr>
          </w:p>
          <w:p w14:paraId="0F8C8884">
            <w:pPr>
              <w:pStyle w:val="132"/>
              <w:kinsoku w:val="0"/>
              <w:overflowPunct w:val="0"/>
              <w:spacing w:before="112"/>
              <w:ind w:left="106"/>
              <w:rPr>
                <w:rFonts w:ascii="黑体" w:hAnsi="黑体" w:eastAsia="黑体"/>
                <w:b/>
                <w:bCs/>
                <w:sz w:val="18"/>
                <w:szCs w:val="18"/>
              </w:rPr>
            </w:pPr>
          </w:p>
          <w:p w14:paraId="19664052">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3C33B430">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7AA543DE">
            <w:pPr>
              <w:pStyle w:val="132"/>
              <w:kinsoku w:val="0"/>
              <w:overflowPunct w:val="0"/>
              <w:rPr>
                <w:rFonts w:ascii="黑体" w:hAnsi="黑体" w:eastAsia="黑体" w:cs="Times New Roman"/>
                <w:sz w:val="18"/>
                <w:szCs w:val="18"/>
              </w:rPr>
            </w:pPr>
          </w:p>
        </w:tc>
      </w:tr>
      <w:tr w14:paraId="5D63A86E">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6517E39A">
            <w:pPr>
              <w:pStyle w:val="132"/>
              <w:kinsoku w:val="0"/>
              <w:overflowPunct w:val="0"/>
              <w:spacing w:before="11"/>
              <w:ind w:left="158" w:right="67"/>
              <w:rPr>
                <w:rFonts w:ascii="黑体" w:hAnsi="黑体" w:eastAsia="黑体"/>
                <w:sz w:val="18"/>
                <w:szCs w:val="18"/>
              </w:rPr>
            </w:pPr>
          </w:p>
          <w:p w14:paraId="2A705114">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3.2 </w:t>
            </w:r>
          </w:p>
        </w:tc>
        <w:tc>
          <w:tcPr>
            <w:tcW w:w="1277" w:type="dxa"/>
            <w:gridSpan w:val="2"/>
            <w:tcBorders>
              <w:top w:val="single" w:color="000000" w:sz="4" w:space="0"/>
              <w:left w:val="single" w:color="000000" w:sz="4" w:space="0"/>
              <w:bottom w:val="single" w:color="000000" w:sz="4" w:space="0"/>
              <w:right w:val="single" w:color="000000" w:sz="4" w:space="0"/>
            </w:tcBorders>
          </w:tcPr>
          <w:p w14:paraId="4CAA5149">
            <w:pPr>
              <w:pStyle w:val="132"/>
              <w:kinsoku w:val="0"/>
              <w:overflowPunct w:val="0"/>
              <w:spacing w:line="253" w:lineRule="exact"/>
              <w:ind w:left="105"/>
              <w:rPr>
                <w:rFonts w:ascii="黑体" w:hAnsi="黑体" w:eastAsia="黑体"/>
                <w:b/>
                <w:bCs/>
                <w:sz w:val="18"/>
                <w:szCs w:val="18"/>
              </w:rPr>
            </w:pPr>
          </w:p>
          <w:p w14:paraId="5D32792C">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板芯性能要求</w:t>
            </w:r>
          </w:p>
        </w:tc>
        <w:tc>
          <w:tcPr>
            <w:tcW w:w="5104" w:type="dxa"/>
            <w:tcBorders>
              <w:top w:val="single" w:color="000000" w:sz="4" w:space="0"/>
              <w:left w:val="single" w:color="000000" w:sz="4" w:space="0"/>
              <w:bottom w:val="single" w:color="000000" w:sz="4" w:space="0"/>
              <w:right w:val="single" w:color="000000" w:sz="4" w:space="0"/>
            </w:tcBorders>
          </w:tcPr>
          <w:p w14:paraId="4685A7F3">
            <w:pPr>
              <w:pStyle w:val="132"/>
              <w:numPr>
                <w:ilvl w:val="0"/>
                <w:numId w:val="122"/>
              </w:numPr>
              <w:tabs>
                <w:tab w:val="left" w:pos="389"/>
              </w:tabs>
              <w:kinsoku w:val="0"/>
              <w:overflowPunct w:val="0"/>
              <w:spacing w:before="2" w:line="244" w:lineRule="auto"/>
              <w:ind w:right="97" w:firstLine="0"/>
              <w:rPr>
                <w:rFonts w:ascii="黑体" w:hAnsi="黑体" w:eastAsia="黑体" w:cs="Times New Roman"/>
                <w:sz w:val="18"/>
                <w:szCs w:val="18"/>
              </w:rPr>
            </w:pPr>
            <w:r>
              <w:rPr>
                <w:rFonts w:hint="eastAsia" w:ascii="黑体" w:hAnsi="黑体" w:eastAsia="黑体" w:cs="Times New Roman"/>
                <w:sz w:val="18"/>
                <w:szCs w:val="18"/>
              </w:rPr>
              <w:t>采用优质硫酸钙基材，</w:t>
            </w:r>
            <w:r>
              <w:rPr>
                <w:rFonts w:ascii="黑体" w:hAnsi="黑体" w:eastAsia="黑体" w:cs="Times New Roman"/>
                <w:sz w:val="18"/>
                <w:szCs w:val="18"/>
              </w:rPr>
              <w:t xml:space="preserve"> </w:t>
            </w:r>
          </w:p>
          <w:p w14:paraId="72A533D5">
            <w:pPr>
              <w:pStyle w:val="132"/>
              <w:numPr>
                <w:ilvl w:val="0"/>
                <w:numId w:val="122"/>
              </w:numPr>
              <w:tabs>
                <w:tab w:val="left" w:pos="381"/>
              </w:tabs>
              <w:kinsoku w:val="0"/>
              <w:overflowPunct w:val="0"/>
              <w:spacing w:line="226" w:lineRule="exact"/>
              <w:ind w:left="380" w:hanging="276"/>
              <w:rPr>
                <w:rFonts w:ascii="黑体" w:hAnsi="黑体" w:eastAsia="黑体" w:cs="Times New Roman"/>
                <w:sz w:val="18"/>
                <w:szCs w:val="18"/>
              </w:rPr>
            </w:pPr>
            <w:r>
              <w:rPr>
                <w:rFonts w:hint="eastAsia" w:ascii="黑体" w:hAnsi="黑体" w:eastAsia="黑体" w:cs="Times New Roman"/>
                <w:sz w:val="18"/>
                <w:szCs w:val="18"/>
              </w:rPr>
              <w:t>板芯防火性能要求：符合</w:t>
            </w:r>
            <w:r>
              <w:rPr>
                <w:rFonts w:ascii="黑体" w:hAnsi="黑体" w:eastAsia="黑体" w:cs="Times New Roman"/>
                <w:sz w:val="18"/>
                <w:szCs w:val="18"/>
              </w:rPr>
              <w:t xml:space="preserve"> GB 8624-2012</w:t>
            </w:r>
            <w:r>
              <w:rPr>
                <w:rFonts w:hint="eastAsia" w:ascii="黑体" w:hAnsi="黑体" w:eastAsia="黑体" w:cs="Times New Roman"/>
                <w:sz w:val="18"/>
                <w:szCs w:val="18"/>
              </w:rPr>
              <w:t>《建筑材料及制品</w:t>
            </w:r>
          </w:p>
          <w:p w14:paraId="4DAE4847">
            <w:pPr>
              <w:pStyle w:val="132"/>
              <w:kinsoku w:val="0"/>
              <w:overflowPunct w:val="0"/>
              <w:rPr>
                <w:rFonts w:ascii="黑体" w:hAnsi="黑体" w:eastAsia="黑体" w:cs="Times New Roman"/>
                <w:sz w:val="18"/>
                <w:szCs w:val="18"/>
              </w:rPr>
            </w:pPr>
            <w:r>
              <w:rPr>
                <w:rFonts w:hint="eastAsia" w:ascii="黑体" w:hAnsi="黑体" w:eastAsia="黑体" w:cs="Times New Roman"/>
                <w:sz w:val="18"/>
                <w:szCs w:val="18"/>
              </w:rPr>
              <w:t>燃烧性能分级》标准，达到</w:t>
            </w:r>
            <w:r>
              <w:rPr>
                <w:rFonts w:ascii="黑体" w:hAnsi="黑体" w:eastAsia="黑体" w:cs="Times New Roman"/>
                <w:sz w:val="18"/>
                <w:szCs w:val="18"/>
              </w:rPr>
              <w:t xml:space="preserve">A1f1 </w:t>
            </w:r>
            <w:r>
              <w:rPr>
                <w:rFonts w:hint="eastAsia" w:ascii="黑体" w:hAnsi="黑体" w:eastAsia="黑体" w:cs="Times New Roman"/>
                <w:sz w:val="18"/>
                <w:szCs w:val="18"/>
              </w:rPr>
              <w:t>级不燃材料防火等级要求。</w:t>
            </w:r>
          </w:p>
        </w:tc>
        <w:tc>
          <w:tcPr>
            <w:tcW w:w="1417" w:type="dxa"/>
            <w:tcBorders>
              <w:top w:val="single" w:color="000000" w:sz="4" w:space="0"/>
              <w:left w:val="single" w:color="000000" w:sz="4" w:space="0"/>
              <w:bottom w:val="single" w:color="000000" w:sz="4" w:space="0"/>
              <w:right w:val="single" w:color="000000" w:sz="4" w:space="0"/>
            </w:tcBorders>
          </w:tcPr>
          <w:p w14:paraId="5B50D44C">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048C42D5">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7E3E93AC">
            <w:pPr>
              <w:pStyle w:val="132"/>
              <w:kinsoku w:val="0"/>
              <w:overflowPunct w:val="0"/>
              <w:rPr>
                <w:rFonts w:ascii="黑体" w:hAnsi="黑体" w:eastAsia="黑体" w:cs="Times New Roman"/>
                <w:sz w:val="18"/>
                <w:szCs w:val="18"/>
              </w:rPr>
            </w:pPr>
          </w:p>
        </w:tc>
      </w:tr>
      <w:tr w14:paraId="612F21CA">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72B01E3F">
            <w:pPr>
              <w:pStyle w:val="132"/>
              <w:kinsoku w:val="0"/>
              <w:overflowPunct w:val="0"/>
              <w:spacing w:before="11"/>
              <w:ind w:left="158" w:right="67"/>
              <w:rPr>
                <w:rFonts w:ascii="黑体" w:hAnsi="黑体" w:eastAsia="黑体"/>
                <w:sz w:val="18"/>
                <w:szCs w:val="18"/>
              </w:rPr>
            </w:pPr>
          </w:p>
          <w:p w14:paraId="4A820982">
            <w:pPr>
              <w:pStyle w:val="132"/>
              <w:kinsoku w:val="0"/>
              <w:overflowPunct w:val="0"/>
              <w:spacing w:before="11"/>
              <w:ind w:left="158" w:right="67"/>
              <w:rPr>
                <w:rFonts w:ascii="黑体" w:hAnsi="黑体" w:eastAsia="黑体"/>
                <w:sz w:val="18"/>
                <w:szCs w:val="18"/>
              </w:rPr>
            </w:pPr>
          </w:p>
          <w:p w14:paraId="31B7E1C8">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3.3 </w:t>
            </w:r>
          </w:p>
        </w:tc>
        <w:tc>
          <w:tcPr>
            <w:tcW w:w="1277" w:type="dxa"/>
            <w:gridSpan w:val="2"/>
            <w:tcBorders>
              <w:top w:val="single" w:color="000000" w:sz="4" w:space="0"/>
              <w:left w:val="single" w:color="000000" w:sz="4" w:space="0"/>
              <w:bottom w:val="single" w:color="000000" w:sz="4" w:space="0"/>
              <w:right w:val="single" w:color="000000" w:sz="4" w:space="0"/>
            </w:tcBorders>
          </w:tcPr>
          <w:p w14:paraId="6AB8DBF3">
            <w:pPr>
              <w:pStyle w:val="132"/>
              <w:kinsoku w:val="0"/>
              <w:overflowPunct w:val="0"/>
              <w:spacing w:line="253" w:lineRule="exact"/>
              <w:ind w:left="105"/>
              <w:rPr>
                <w:rFonts w:ascii="黑体" w:hAnsi="黑体" w:eastAsia="黑体"/>
                <w:b/>
                <w:bCs/>
                <w:sz w:val="18"/>
                <w:szCs w:val="18"/>
              </w:rPr>
            </w:pPr>
          </w:p>
          <w:p w14:paraId="7452B5F5">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镀锌钢板性能要求</w:t>
            </w:r>
          </w:p>
        </w:tc>
        <w:tc>
          <w:tcPr>
            <w:tcW w:w="5104" w:type="dxa"/>
            <w:tcBorders>
              <w:top w:val="single" w:color="000000" w:sz="4" w:space="0"/>
              <w:left w:val="single" w:color="000000" w:sz="4" w:space="0"/>
              <w:bottom w:val="single" w:color="000000" w:sz="4" w:space="0"/>
              <w:right w:val="single" w:color="000000" w:sz="4" w:space="0"/>
            </w:tcBorders>
          </w:tcPr>
          <w:p w14:paraId="4FF1203C">
            <w:pPr>
              <w:pStyle w:val="132"/>
              <w:numPr>
                <w:ilvl w:val="0"/>
                <w:numId w:val="123"/>
              </w:numPr>
              <w:tabs>
                <w:tab w:val="left" w:pos="381"/>
              </w:tabs>
              <w:kinsoku w:val="0"/>
              <w:overflowPunct w:val="0"/>
              <w:spacing w:line="228" w:lineRule="exact"/>
              <w:ind w:hanging="276"/>
              <w:rPr>
                <w:rFonts w:ascii="黑体" w:hAnsi="黑体" w:eastAsia="黑体" w:cs="Times New Roman"/>
                <w:sz w:val="18"/>
                <w:szCs w:val="18"/>
              </w:rPr>
            </w:pPr>
            <w:r>
              <w:rPr>
                <w:rFonts w:hint="eastAsia" w:ascii="黑体" w:hAnsi="黑体" w:eastAsia="黑体" w:cs="Times New Roman"/>
                <w:sz w:val="18"/>
                <w:szCs w:val="18"/>
              </w:rPr>
              <w:t>镀锌钢板厚度≥</w:t>
            </w:r>
            <w:r>
              <w:rPr>
                <w:rFonts w:ascii="黑体" w:hAnsi="黑体" w:eastAsia="黑体" w:cs="Times New Roman"/>
                <w:sz w:val="18"/>
                <w:szCs w:val="18"/>
              </w:rPr>
              <w:t>0.5mm</w:t>
            </w:r>
            <w:r>
              <w:rPr>
                <w:rFonts w:hint="eastAsia" w:ascii="黑体" w:hAnsi="黑体" w:eastAsia="黑体" w:cs="Times New Roman"/>
                <w:sz w:val="18"/>
                <w:szCs w:val="18"/>
              </w:rPr>
              <w:t>；</w:t>
            </w:r>
          </w:p>
          <w:p w14:paraId="1A489BBB">
            <w:pPr>
              <w:pStyle w:val="132"/>
              <w:numPr>
                <w:ilvl w:val="0"/>
                <w:numId w:val="123"/>
              </w:numPr>
              <w:tabs>
                <w:tab w:val="left" w:pos="381"/>
              </w:tabs>
              <w:kinsoku w:val="0"/>
              <w:overflowPunct w:val="0"/>
              <w:spacing w:before="5" w:line="242" w:lineRule="auto"/>
              <w:ind w:left="105" w:right="83" w:firstLine="0"/>
              <w:rPr>
                <w:rFonts w:ascii="黑体" w:hAnsi="黑体" w:eastAsia="黑体" w:cs="Times New Roman"/>
                <w:sz w:val="18"/>
                <w:szCs w:val="18"/>
              </w:rPr>
            </w:pPr>
            <w:r>
              <w:rPr>
                <w:rFonts w:hint="eastAsia" w:ascii="黑体" w:hAnsi="黑体" w:eastAsia="黑体" w:cs="Times New Roman"/>
                <w:sz w:val="18"/>
                <w:szCs w:val="18"/>
              </w:rPr>
              <w:t>电镀白锌表面处理要求：涂层厚度</w:t>
            </w:r>
            <w:r>
              <w:rPr>
                <w:rFonts w:ascii="黑体" w:hAnsi="黑体" w:eastAsia="黑体" w:cs="Times New Roman"/>
                <w:sz w:val="18"/>
                <w:szCs w:val="18"/>
              </w:rPr>
              <w:t xml:space="preserve"> 5~8</w:t>
            </w:r>
            <w:r>
              <w:rPr>
                <w:rFonts w:hint="eastAsia" w:ascii="黑体" w:hAnsi="黑体" w:eastAsia="黑体" w:cs="Times New Roman"/>
                <w:sz w:val="18"/>
                <w:szCs w:val="18"/>
              </w:rPr>
              <w:t>μ</w:t>
            </w:r>
            <w:r>
              <w:rPr>
                <w:rFonts w:ascii="黑体" w:hAnsi="黑体" w:eastAsia="黑体" w:cs="Times New Roman"/>
                <w:sz w:val="18"/>
                <w:szCs w:val="18"/>
              </w:rPr>
              <w:t>m</w:t>
            </w:r>
            <w:r>
              <w:rPr>
                <w:rFonts w:hint="eastAsia" w:ascii="黑体" w:hAnsi="黑体" w:eastAsia="黑体" w:cs="Times New Roman"/>
                <w:sz w:val="18"/>
                <w:szCs w:val="18"/>
              </w:rPr>
              <w:t>；按</w:t>
            </w:r>
            <w:r>
              <w:rPr>
                <w:rFonts w:ascii="黑体" w:hAnsi="黑体" w:eastAsia="黑体" w:cs="Times New Roman"/>
                <w:sz w:val="18"/>
                <w:szCs w:val="18"/>
              </w:rPr>
              <w:t xml:space="preserve"> GB/T 9286 </w:t>
            </w:r>
            <w:r>
              <w:rPr>
                <w:rFonts w:hint="eastAsia" w:ascii="黑体" w:hAnsi="黑体" w:eastAsia="黑体" w:cs="Times New Roman"/>
                <w:sz w:val="18"/>
                <w:szCs w:val="18"/>
              </w:rPr>
              <w:t>进行涂层附着力试验，要求所有试样上的涂层都应</w:t>
            </w:r>
            <w:r>
              <w:rPr>
                <w:rFonts w:ascii="黑体" w:hAnsi="黑体" w:eastAsia="黑体" w:cs="Times New Roman"/>
                <w:sz w:val="18"/>
                <w:szCs w:val="18"/>
              </w:rPr>
              <w:t xml:space="preserve"> 100</w:t>
            </w:r>
            <w:r>
              <w:rPr>
                <w:rFonts w:hint="eastAsia" w:ascii="黑体" w:hAnsi="黑体" w:eastAsia="黑体" w:cs="Times New Roman"/>
                <w:sz w:val="18"/>
                <w:szCs w:val="18"/>
              </w:rPr>
              <w:t>％附着；按</w:t>
            </w:r>
            <w:r>
              <w:rPr>
                <w:rFonts w:ascii="黑体" w:hAnsi="黑体" w:eastAsia="黑体" w:cs="Times New Roman"/>
                <w:sz w:val="18"/>
                <w:szCs w:val="18"/>
              </w:rPr>
              <w:t xml:space="preserve">GB/T 2423.17 </w:t>
            </w:r>
            <w:r>
              <w:rPr>
                <w:rFonts w:hint="eastAsia" w:ascii="黑体" w:hAnsi="黑体" w:eastAsia="黑体" w:cs="Times New Roman"/>
                <w:sz w:val="18"/>
                <w:szCs w:val="18"/>
              </w:rPr>
              <w:t>标准通过</w:t>
            </w:r>
            <w:r>
              <w:rPr>
                <w:rFonts w:ascii="黑体" w:hAnsi="黑体" w:eastAsia="黑体" w:cs="Times New Roman"/>
                <w:sz w:val="18"/>
                <w:szCs w:val="18"/>
              </w:rPr>
              <w:t xml:space="preserve"> 24h </w:t>
            </w:r>
            <w:r>
              <w:rPr>
                <w:rFonts w:hint="eastAsia" w:ascii="黑体" w:hAnsi="黑体" w:eastAsia="黑体" w:cs="Times New Roman"/>
                <w:sz w:val="18"/>
                <w:szCs w:val="18"/>
              </w:rPr>
              <w:t>盐雾试验；涂层应光洁白亮</w:t>
            </w:r>
          </w:p>
          <w:p w14:paraId="638982E5">
            <w:pPr>
              <w:pStyle w:val="132"/>
              <w:tabs>
                <w:tab w:val="left" w:pos="389"/>
              </w:tabs>
              <w:kinsoku w:val="0"/>
              <w:overflowPunct w:val="0"/>
              <w:spacing w:before="2" w:line="244" w:lineRule="auto"/>
              <w:ind w:left="105" w:right="97"/>
              <w:rPr>
                <w:rFonts w:ascii="黑体" w:hAnsi="黑体" w:eastAsia="黑体" w:cs="Times New Roman"/>
                <w:sz w:val="18"/>
                <w:szCs w:val="18"/>
              </w:rPr>
            </w:pPr>
            <w:r>
              <w:rPr>
                <w:rFonts w:hint="eastAsia" w:ascii="黑体" w:hAnsi="黑体" w:eastAsia="黑体" w:cs="Times New Roman"/>
                <w:sz w:val="18"/>
                <w:szCs w:val="18"/>
              </w:rPr>
              <w:t>无疵点。</w:t>
            </w:r>
          </w:p>
        </w:tc>
        <w:tc>
          <w:tcPr>
            <w:tcW w:w="1417" w:type="dxa"/>
            <w:tcBorders>
              <w:top w:val="single" w:color="000000" w:sz="4" w:space="0"/>
              <w:left w:val="single" w:color="000000" w:sz="4" w:space="0"/>
              <w:bottom w:val="single" w:color="000000" w:sz="4" w:space="0"/>
              <w:right w:val="single" w:color="000000" w:sz="4" w:space="0"/>
            </w:tcBorders>
          </w:tcPr>
          <w:p w14:paraId="70C7CD46">
            <w:pPr>
              <w:pStyle w:val="132"/>
              <w:kinsoku w:val="0"/>
              <w:overflowPunct w:val="0"/>
              <w:spacing w:before="112"/>
              <w:ind w:left="106"/>
              <w:rPr>
                <w:rFonts w:ascii="黑体" w:hAnsi="黑体" w:eastAsia="黑体"/>
                <w:b/>
                <w:bCs/>
                <w:sz w:val="18"/>
                <w:szCs w:val="18"/>
              </w:rPr>
            </w:pPr>
          </w:p>
          <w:p w14:paraId="27F93D49">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12BCA8A6">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6488153D">
            <w:pPr>
              <w:pStyle w:val="132"/>
              <w:kinsoku w:val="0"/>
              <w:overflowPunct w:val="0"/>
              <w:rPr>
                <w:rFonts w:ascii="黑体" w:hAnsi="黑体" w:eastAsia="黑体" w:cs="Times New Roman"/>
                <w:sz w:val="18"/>
                <w:szCs w:val="18"/>
              </w:rPr>
            </w:pPr>
          </w:p>
        </w:tc>
      </w:tr>
      <w:tr w14:paraId="368B5D81">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096F417B">
            <w:pPr>
              <w:pStyle w:val="132"/>
              <w:kinsoku w:val="0"/>
              <w:overflowPunct w:val="0"/>
              <w:spacing w:before="11"/>
              <w:ind w:left="158" w:right="67"/>
              <w:rPr>
                <w:rFonts w:ascii="黑体" w:hAnsi="黑体" w:eastAsia="黑体"/>
                <w:sz w:val="18"/>
                <w:szCs w:val="18"/>
              </w:rPr>
            </w:pPr>
          </w:p>
          <w:p w14:paraId="74AC6C40">
            <w:pPr>
              <w:pStyle w:val="132"/>
              <w:kinsoku w:val="0"/>
              <w:overflowPunct w:val="0"/>
              <w:spacing w:before="11"/>
              <w:ind w:left="158" w:right="67"/>
              <w:rPr>
                <w:rFonts w:ascii="黑体" w:hAnsi="黑体" w:eastAsia="黑体"/>
                <w:sz w:val="18"/>
                <w:szCs w:val="18"/>
              </w:rPr>
            </w:pPr>
          </w:p>
          <w:p w14:paraId="3ED4E71B">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3.4 </w:t>
            </w:r>
          </w:p>
        </w:tc>
        <w:tc>
          <w:tcPr>
            <w:tcW w:w="1277" w:type="dxa"/>
            <w:gridSpan w:val="2"/>
            <w:tcBorders>
              <w:top w:val="single" w:color="000000" w:sz="4" w:space="0"/>
              <w:left w:val="single" w:color="000000" w:sz="4" w:space="0"/>
              <w:bottom w:val="single" w:color="000000" w:sz="4" w:space="0"/>
              <w:right w:val="single" w:color="000000" w:sz="4" w:space="0"/>
            </w:tcBorders>
          </w:tcPr>
          <w:p w14:paraId="09655941">
            <w:pPr>
              <w:pStyle w:val="132"/>
              <w:kinsoku w:val="0"/>
              <w:overflowPunct w:val="0"/>
              <w:spacing w:line="253" w:lineRule="exact"/>
              <w:ind w:left="105"/>
              <w:rPr>
                <w:rFonts w:ascii="黑体" w:hAnsi="黑体" w:eastAsia="黑体"/>
                <w:b/>
                <w:bCs/>
                <w:sz w:val="18"/>
                <w:szCs w:val="18"/>
              </w:rPr>
            </w:pPr>
          </w:p>
          <w:p w14:paraId="0BF47A04">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地板载荷性能要求（</w:t>
            </w:r>
            <w:r>
              <w:rPr>
                <w:rFonts w:ascii="黑体" w:hAnsi="黑体" w:eastAsia="黑体"/>
                <w:b/>
                <w:bCs/>
                <w:sz w:val="18"/>
                <w:szCs w:val="18"/>
              </w:rPr>
              <w:t xml:space="preserve">Z </w:t>
            </w:r>
            <w:r>
              <w:rPr>
                <w:rFonts w:hint="eastAsia" w:ascii="黑体" w:hAnsi="黑体" w:eastAsia="黑体"/>
                <w:b/>
                <w:bCs/>
                <w:sz w:val="18"/>
                <w:szCs w:val="18"/>
              </w:rPr>
              <w:t>型承载）</w:t>
            </w:r>
          </w:p>
        </w:tc>
        <w:tc>
          <w:tcPr>
            <w:tcW w:w="5104" w:type="dxa"/>
            <w:tcBorders>
              <w:top w:val="single" w:color="000000" w:sz="4" w:space="0"/>
              <w:left w:val="single" w:color="000000" w:sz="4" w:space="0"/>
              <w:bottom w:val="single" w:color="000000" w:sz="4" w:space="0"/>
              <w:right w:val="single" w:color="000000" w:sz="4" w:space="0"/>
            </w:tcBorders>
          </w:tcPr>
          <w:p w14:paraId="6BCA3D12">
            <w:pPr>
              <w:pStyle w:val="132"/>
              <w:numPr>
                <w:ilvl w:val="0"/>
                <w:numId w:val="124"/>
              </w:numPr>
              <w:tabs>
                <w:tab w:val="left" w:pos="466"/>
              </w:tabs>
              <w:kinsoku w:val="0"/>
              <w:overflowPunct w:val="0"/>
              <w:spacing w:line="228" w:lineRule="exact"/>
              <w:ind w:hanging="361"/>
              <w:rPr>
                <w:rFonts w:ascii="黑体" w:hAnsi="黑体" w:eastAsia="黑体" w:cs="Times New Roman"/>
                <w:sz w:val="18"/>
                <w:szCs w:val="18"/>
              </w:rPr>
            </w:pPr>
            <w:r>
              <w:rPr>
                <w:rFonts w:hint="eastAsia" w:ascii="黑体" w:hAnsi="黑体" w:eastAsia="黑体" w:cs="Times New Roman"/>
                <w:sz w:val="18"/>
                <w:szCs w:val="18"/>
              </w:rPr>
              <w:t>集中载荷≥</w:t>
            </w:r>
            <w:r>
              <w:rPr>
                <w:rFonts w:ascii="黑体" w:hAnsi="黑体" w:eastAsia="黑体" w:cs="Times New Roman"/>
                <w:sz w:val="18"/>
                <w:szCs w:val="18"/>
              </w:rPr>
              <w:t>5560N</w:t>
            </w:r>
            <w:r>
              <w:rPr>
                <w:rFonts w:hint="eastAsia" w:ascii="黑体" w:hAnsi="黑体" w:eastAsia="黑体" w:cs="Times New Roman"/>
                <w:sz w:val="18"/>
                <w:szCs w:val="18"/>
              </w:rPr>
              <w:t>，挠度≤</w:t>
            </w:r>
            <w:r>
              <w:rPr>
                <w:rFonts w:ascii="黑体" w:hAnsi="黑体" w:eastAsia="黑体" w:cs="Times New Roman"/>
                <w:sz w:val="18"/>
                <w:szCs w:val="18"/>
              </w:rPr>
              <w:t>2mm</w:t>
            </w:r>
            <w:r>
              <w:rPr>
                <w:rFonts w:hint="eastAsia" w:ascii="黑体" w:hAnsi="黑体" w:eastAsia="黑体" w:cs="Times New Roman"/>
                <w:sz w:val="18"/>
                <w:szCs w:val="18"/>
              </w:rPr>
              <w:t>，永久变形≤</w:t>
            </w:r>
            <w:r>
              <w:rPr>
                <w:rFonts w:ascii="黑体" w:hAnsi="黑体" w:eastAsia="黑体" w:cs="Times New Roman"/>
                <w:sz w:val="18"/>
                <w:szCs w:val="18"/>
              </w:rPr>
              <w:t>0.25mm</w:t>
            </w:r>
            <w:r>
              <w:rPr>
                <w:rFonts w:hint="eastAsia" w:ascii="黑体" w:hAnsi="黑体" w:eastAsia="黑体" w:cs="Times New Roman"/>
                <w:sz w:val="18"/>
                <w:szCs w:val="18"/>
              </w:rPr>
              <w:t>；</w:t>
            </w:r>
          </w:p>
          <w:p w14:paraId="1CFD632A">
            <w:pPr>
              <w:pStyle w:val="132"/>
              <w:numPr>
                <w:ilvl w:val="0"/>
                <w:numId w:val="124"/>
              </w:numPr>
              <w:tabs>
                <w:tab w:val="left" w:pos="466"/>
              </w:tabs>
              <w:kinsoku w:val="0"/>
              <w:overflowPunct w:val="0"/>
              <w:spacing w:before="4"/>
              <w:ind w:hanging="361"/>
              <w:rPr>
                <w:rFonts w:ascii="黑体" w:hAnsi="黑体" w:eastAsia="黑体" w:cs="Times New Roman"/>
                <w:sz w:val="18"/>
                <w:szCs w:val="18"/>
              </w:rPr>
            </w:pPr>
            <w:r>
              <w:rPr>
                <w:rFonts w:hint="eastAsia" w:ascii="黑体" w:hAnsi="黑体" w:eastAsia="黑体" w:cs="Times New Roman"/>
                <w:sz w:val="18"/>
                <w:szCs w:val="18"/>
              </w:rPr>
              <w:t>滚动载荷≥</w:t>
            </w:r>
            <w:r>
              <w:rPr>
                <w:rFonts w:ascii="黑体" w:hAnsi="黑体" w:eastAsia="黑体" w:cs="Times New Roman"/>
                <w:sz w:val="18"/>
                <w:szCs w:val="18"/>
              </w:rPr>
              <w:t>4450N</w:t>
            </w:r>
            <w:r>
              <w:rPr>
                <w:rFonts w:hint="eastAsia" w:ascii="黑体" w:hAnsi="黑体" w:eastAsia="黑体" w:cs="Times New Roman"/>
                <w:sz w:val="18"/>
                <w:szCs w:val="18"/>
              </w:rPr>
              <w:t>，挠度≤</w:t>
            </w:r>
            <w:r>
              <w:rPr>
                <w:rFonts w:ascii="黑体" w:hAnsi="黑体" w:eastAsia="黑体" w:cs="Times New Roman"/>
                <w:sz w:val="18"/>
                <w:szCs w:val="18"/>
              </w:rPr>
              <w:t>2mm</w:t>
            </w:r>
            <w:r>
              <w:rPr>
                <w:rFonts w:hint="eastAsia" w:ascii="黑体" w:hAnsi="黑体" w:eastAsia="黑体" w:cs="Times New Roman"/>
                <w:sz w:val="18"/>
                <w:szCs w:val="18"/>
              </w:rPr>
              <w:t>，永久变形≤</w:t>
            </w:r>
            <w:r>
              <w:rPr>
                <w:rFonts w:ascii="黑体" w:hAnsi="黑体" w:eastAsia="黑体" w:cs="Times New Roman"/>
                <w:sz w:val="18"/>
                <w:szCs w:val="18"/>
              </w:rPr>
              <w:t>0.5mm</w:t>
            </w:r>
            <w:r>
              <w:rPr>
                <w:rFonts w:hint="eastAsia" w:ascii="黑体" w:hAnsi="黑体" w:eastAsia="黑体" w:cs="Times New Roman"/>
                <w:sz w:val="18"/>
                <w:szCs w:val="18"/>
              </w:rPr>
              <w:t>；</w:t>
            </w:r>
          </w:p>
          <w:p w14:paraId="3B229FDA">
            <w:pPr>
              <w:pStyle w:val="132"/>
              <w:tabs>
                <w:tab w:val="left" w:pos="381"/>
              </w:tabs>
              <w:kinsoku w:val="0"/>
              <w:overflowPunct w:val="0"/>
              <w:spacing w:line="228" w:lineRule="exact"/>
              <w:ind w:left="380" w:hanging="276"/>
              <w:rPr>
                <w:rFonts w:ascii="黑体" w:hAnsi="黑体" w:eastAsia="黑体" w:cs="Times New Roman"/>
                <w:sz w:val="18"/>
                <w:szCs w:val="18"/>
              </w:rPr>
            </w:pPr>
            <w:r>
              <w:rPr>
                <w:rFonts w:ascii="黑体" w:hAnsi="黑体" w:eastAsia="黑体" w:cs="Times New Roman"/>
                <w:sz w:val="18"/>
                <w:szCs w:val="18"/>
              </w:rPr>
              <w:t>3</w:t>
            </w:r>
            <w:r>
              <w:rPr>
                <w:rFonts w:hint="eastAsia" w:ascii="黑体" w:hAnsi="黑体" w:eastAsia="黑体" w:cs="Times New Roman"/>
                <w:sz w:val="18"/>
                <w:szCs w:val="18"/>
              </w:rPr>
              <w:t>）</w:t>
            </w:r>
            <w:r>
              <w:rPr>
                <w:rFonts w:ascii="黑体" w:hAnsi="黑体" w:eastAsia="黑体" w:cs="Times New Roman"/>
                <w:sz w:val="18"/>
                <w:szCs w:val="18"/>
              </w:rPr>
              <w:t xml:space="preserve"> </w:t>
            </w:r>
            <w:r>
              <w:rPr>
                <w:rFonts w:hint="eastAsia" w:ascii="黑体" w:hAnsi="黑体" w:eastAsia="黑体" w:cs="Times New Roman"/>
                <w:sz w:val="18"/>
                <w:szCs w:val="18"/>
              </w:rPr>
              <w:t>均布载荷≥</w:t>
            </w:r>
            <w:r>
              <w:rPr>
                <w:rFonts w:ascii="黑体" w:hAnsi="黑体" w:eastAsia="黑体" w:cs="Times New Roman"/>
                <w:sz w:val="18"/>
                <w:szCs w:val="18"/>
              </w:rPr>
              <w:t>33000N/m2</w:t>
            </w:r>
            <w:r>
              <w:rPr>
                <w:rFonts w:hint="eastAsia" w:ascii="黑体" w:hAnsi="黑体" w:eastAsia="黑体" w:cs="Times New Roman"/>
                <w:sz w:val="18"/>
                <w:szCs w:val="18"/>
              </w:rPr>
              <w:t>，挠度≤</w:t>
            </w:r>
            <w:r>
              <w:rPr>
                <w:rFonts w:ascii="黑体" w:hAnsi="黑体" w:eastAsia="黑体" w:cs="Times New Roman"/>
                <w:sz w:val="18"/>
                <w:szCs w:val="18"/>
              </w:rPr>
              <w:t>2mm</w:t>
            </w:r>
            <w:r>
              <w:rPr>
                <w:rFonts w:hint="eastAsia" w:ascii="黑体" w:hAnsi="黑体" w:eastAsia="黑体" w:cs="Times New Roman"/>
                <w:sz w:val="18"/>
                <w:szCs w:val="18"/>
              </w:rPr>
              <w:t>；</w:t>
            </w:r>
          </w:p>
          <w:p w14:paraId="6BB330CA">
            <w:pPr>
              <w:pStyle w:val="132"/>
              <w:numPr>
                <w:ilvl w:val="0"/>
                <w:numId w:val="125"/>
              </w:numPr>
              <w:tabs>
                <w:tab w:val="left" w:pos="466"/>
              </w:tabs>
              <w:kinsoku w:val="0"/>
              <w:overflowPunct w:val="0"/>
              <w:ind w:hanging="361"/>
              <w:rPr>
                <w:rFonts w:ascii="黑体" w:hAnsi="黑体" w:eastAsia="黑体" w:cs="Times New Roman"/>
                <w:sz w:val="18"/>
                <w:szCs w:val="18"/>
              </w:rPr>
            </w:pPr>
            <w:r>
              <w:rPr>
                <w:rFonts w:hint="eastAsia" w:ascii="黑体" w:hAnsi="黑体" w:eastAsia="黑体" w:cs="Times New Roman"/>
                <w:sz w:val="18"/>
                <w:szCs w:val="18"/>
              </w:rPr>
              <w:t>集中极限载荷≥</w:t>
            </w:r>
            <w:r>
              <w:rPr>
                <w:rFonts w:ascii="黑体" w:hAnsi="黑体" w:eastAsia="黑体" w:cs="Times New Roman"/>
                <w:sz w:val="18"/>
                <w:szCs w:val="18"/>
              </w:rPr>
              <w:t>16680N</w:t>
            </w:r>
          </w:p>
          <w:p w14:paraId="57F352A0">
            <w:pPr>
              <w:pStyle w:val="132"/>
              <w:numPr>
                <w:ilvl w:val="0"/>
                <w:numId w:val="125"/>
              </w:numPr>
              <w:tabs>
                <w:tab w:val="left" w:pos="466"/>
              </w:tabs>
              <w:kinsoku w:val="0"/>
              <w:overflowPunct w:val="0"/>
              <w:spacing w:before="5"/>
              <w:ind w:hanging="361"/>
              <w:rPr>
                <w:rFonts w:ascii="黑体" w:hAnsi="黑体" w:eastAsia="黑体" w:cs="Times New Roman"/>
                <w:sz w:val="18"/>
                <w:szCs w:val="18"/>
              </w:rPr>
            </w:pPr>
            <w:r>
              <w:rPr>
                <w:rFonts w:hint="eastAsia" w:ascii="黑体" w:hAnsi="黑体" w:eastAsia="黑体" w:cs="Times New Roman"/>
                <w:sz w:val="18"/>
                <w:szCs w:val="18"/>
              </w:rPr>
              <w:t>具体承载选型根据使用部门需求进行要求</w:t>
            </w:r>
          </w:p>
          <w:p w14:paraId="4E323756">
            <w:pPr>
              <w:pStyle w:val="132"/>
              <w:numPr>
                <w:ilvl w:val="0"/>
                <w:numId w:val="125"/>
              </w:numPr>
              <w:tabs>
                <w:tab w:val="left" w:pos="466"/>
              </w:tabs>
              <w:kinsoku w:val="0"/>
              <w:overflowPunct w:val="0"/>
              <w:spacing w:before="4"/>
              <w:ind w:hanging="361"/>
              <w:rPr>
                <w:rFonts w:ascii="黑体" w:hAnsi="黑体" w:eastAsia="黑体" w:cs="Times New Roman"/>
                <w:sz w:val="18"/>
                <w:szCs w:val="18"/>
              </w:rPr>
            </w:pPr>
            <w:r>
              <w:rPr>
                <w:rFonts w:hint="eastAsia" w:ascii="黑体" w:hAnsi="黑体" w:eastAsia="黑体" w:cs="Times New Roman"/>
                <w:sz w:val="18"/>
                <w:szCs w:val="18"/>
              </w:rPr>
              <w:t>地板铺设区域最大重量且要考虑</w:t>
            </w:r>
            <w:r>
              <w:rPr>
                <w:rFonts w:ascii="黑体" w:hAnsi="黑体" w:eastAsia="黑体" w:cs="Times New Roman"/>
                <w:sz w:val="18"/>
                <w:szCs w:val="18"/>
              </w:rPr>
              <w:t xml:space="preserve"> 1.5 </w:t>
            </w:r>
            <w:r>
              <w:rPr>
                <w:rFonts w:hint="eastAsia" w:ascii="黑体" w:hAnsi="黑体" w:eastAsia="黑体" w:cs="Times New Roman"/>
                <w:sz w:val="18"/>
                <w:szCs w:val="18"/>
              </w:rPr>
              <w:t>倍的安全承重系数</w:t>
            </w:r>
          </w:p>
        </w:tc>
        <w:tc>
          <w:tcPr>
            <w:tcW w:w="1417" w:type="dxa"/>
            <w:tcBorders>
              <w:top w:val="single" w:color="000000" w:sz="4" w:space="0"/>
              <w:left w:val="single" w:color="000000" w:sz="4" w:space="0"/>
              <w:bottom w:val="single" w:color="000000" w:sz="4" w:space="0"/>
              <w:right w:val="single" w:color="000000" w:sz="4" w:space="0"/>
            </w:tcBorders>
          </w:tcPr>
          <w:p w14:paraId="738D244A">
            <w:pPr>
              <w:pStyle w:val="132"/>
              <w:kinsoku w:val="0"/>
              <w:overflowPunct w:val="0"/>
              <w:spacing w:before="112"/>
              <w:ind w:left="106"/>
              <w:rPr>
                <w:rFonts w:ascii="黑体" w:hAnsi="黑体" w:eastAsia="黑体"/>
                <w:b/>
                <w:bCs/>
                <w:sz w:val="18"/>
                <w:szCs w:val="18"/>
              </w:rPr>
            </w:pPr>
          </w:p>
          <w:p w14:paraId="422C01FE">
            <w:pPr>
              <w:pStyle w:val="132"/>
              <w:kinsoku w:val="0"/>
              <w:overflowPunct w:val="0"/>
              <w:spacing w:before="112"/>
              <w:ind w:left="106"/>
              <w:rPr>
                <w:rFonts w:ascii="黑体" w:hAnsi="黑体" w:eastAsia="黑体"/>
                <w:b/>
                <w:bCs/>
                <w:sz w:val="18"/>
                <w:szCs w:val="18"/>
              </w:rPr>
            </w:pPr>
          </w:p>
          <w:p w14:paraId="3F187AA7">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22158D66">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364D60D8">
            <w:pPr>
              <w:pStyle w:val="132"/>
              <w:kinsoku w:val="0"/>
              <w:overflowPunct w:val="0"/>
              <w:rPr>
                <w:rFonts w:ascii="黑体" w:hAnsi="黑体" w:eastAsia="黑体" w:cs="Times New Roman"/>
                <w:sz w:val="18"/>
                <w:szCs w:val="18"/>
              </w:rPr>
            </w:pPr>
          </w:p>
        </w:tc>
      </w:tr>
      <w:tr w14:paraId="35A2308A">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2FF8E9B5">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3.5 </w:t>
            </w:r>
          </w:p>
        </w:tc>
        <w:tc>
          <w:tcPr>
            <w:tcW w:w="1277" w:type="dxa"/>
            <w:gridSpan w:val="2"/>
            <w:tcBorders>
              <w:top w:val="single" w:color="000000" w:sz="4" w:space="0"/>
              <w:left w:val="single" w:color="000000" w:sz="4" w:space="0"/>
              <w:bottom w:val="single" w:color="000000" w:sz="4" w:space="0"/>
              <w:right w:val="single" w:color="000000" w:sz="4" w:space="0"/>
            </w:tcBorders>
          </w:tcPr>
          <w:p w14:paraId="4985F906">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地板尺寸允许偏差</w:t>
            </w:r>
          </w:p>
        </w:tc>
        <w:tc>
          <w:tcPr>
            <w:tcW w:w="5104" w:type="dxa"/>
            <w:tcBorders>
              <w:top w:val="single" w:color="000000" w:sz="4" w:space="0"/>
              <w:left w:val="single" w:color="000000" w:sz="4" w:space="0"/>
              <w:bottom w:val="single" w:color="000000" w:sz="4" w:space="0"/>
              <w:right w:val="single" w:color="000000" w:sz="4" w:space="0"/>
            </w:tcBorders>
          </w:tcPr>
          <w:p w14:paraId="5316774E">
            <w:pPr>
              <w:pStyle w:val="132"/>
              <w:tabs>
                <w:tab w:val="left" w:pos="381"/>
              </w:tabs>
              <w:kinsoku w:val="0"/>
              <w:overflowPunct w:val="0"/>
              <w:spacing w:line="228" w:lineRule="exact"/>
              <w:ind w:left="380" w:hanging="276"/>
              <w:rPr>
                <w:rFonts w:ascii="黑体" w:hAnsi="黑体" w:eastAsia="黑体" w:cs="Times New Roman"/>
                <w:sz w:val="18"/>
                <w:szCs w:val="18"/>
              </w:rPr>
            </w:pPr>
            <w:r>
              <w:rPr>
                <w:rFonts w:hint="eastAsia" w:ascii="黑体" w:hAnsi="黑体" w:eastAsia="黑体" w:cs="Times New Roman"/>
                <w:sz w:val="18"/>
                <w:szCs w:val="18"/>
              </w:rPr>
              <w:t>边长公差范围</w:t>
            </w:r>
            <w:r>
              <w:rPr>
                <w:rFonts w:ascii="黑体" w:hAnsi="黑体" w:eastAsia="黑体" w:cs="Times New Roman"/>
                <w:sz w:val="18"/>
                <w:szCs w:val="18"/>
              </w:rPr>
              <w:t xml:space="preserve"> 0~-0.4mm</w:t>
            </w:r>
            <w:r>
              <w:rPr>
                <w:rFonts w:hint="eastAsia" w:ascii="黑体" w:hAnsi="黑体" w:eastAsia="黑体" w:cs="Times New Roman"/>
                <w:sz w:val="18"/>
                <w:szCs w:val="18"/>
              </w:rPr>
              <w:t>；板厚公差范围±</w:t>
            </w:r>
            <w:r>
              <w:rPr>
                <w:rFonts w:ascii="黑体" w:hAnsi="黑体" w:eastAsia="黑体" w:cs="Times New Roman"/>
                <w:sz w:val="18"/>
                <w:szCs w:val="18"/>
              </w:rPr>
              <w:t>0.3mm</w:t>
            </w:r>
            <w:r>
              <w:rPr>
                <w:rFonts w:hint="eastAsia" w:ascii="黑体" w:hAnsi="黑体" w:eastAsia="黑体" w:cs="Times New Roman"/>
                <w:sz w:val="18"/>
                <w:szCs w:val="18"/>
              </w:rPr>
              <w:t>；表面平面度≤</w:t>
            </w:r>
            <w:r>
              <w:rPr>
                <w:rFonts w:ascii="黑体" w:hAnsi="黑体" w:eastAsia="黑体" w:cs="Times New Roman"/>
                <w:sz w:val="18"/>
                <w:szCs w:val="18"/>
              </w:rPr>
              <w:t>0.6mm</w:t>
            </w:r>
            <w:r>
              <w:rPr>
                <w:rFonts w:hint="eastAsia" w:ascii="黑体" w:hAnsi="黑体" w:eastAsia="黑体" w:cs="Times New Roman"/>
                <w:sz w:val="18"/>
                <w:szCs w:val="18"/>
              </w:rPr>
              <w:t>；邻边垂直度≤</w:t>
            </w:r>
            <w:r>
              <w:rPr>
                <w:rFonts w:ascii="黑体" w:hAnsi="黑体" w:eastAsia="黑体" w:cs="Times New Roman"/>
                <w:sz w:val="18"/>
                <w:szCs w:val="18"/>
              </w:rPr>
              <w:t>0.3mm</w:t>
            </w:r>
          </w:p>
        </w:tc>
        <w:tc>
          <w:tcPr>
            <w:tcW w:w="1417" w:type="dxa"/>
            <w:tcBorders>
              <w:top w:val="single" w:color="000000" w:sz="4" w:space="0"/>
              <w:left w:val="single" w:color="000000" w:sz="4" w:space="0"/>
              <w:bottom w:val="single" w:color="000000" w:sz="4" w:space="0"/>
              <w:right w:val="single" w:color="000000" w:sz="4" w:space="0"/>
            </w:tcBorders>
          </w:tcPr>
          <w:p w14:paraId="40001ACD">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5270ECEE">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7191556E">
            <w:pPr>
              <w:pStyle w:val="132"/>
              <w:kinsoku w:val="0"/>
              <w:overflowPunct w:val="0"/>
              <w:rPr>
                <w:rFonts w:ascii="黑体" w:hAnsi="黑体" w:eastAsia="黑体" w:cs="Times New Roman"/>
                <w:sz w:val="18"/>
                <w:szCs w:val="18"/>
              </w:rPr>
            </w:pPr>
          </w:p>
        </w:tc>
      </w:tr>
      <w:tr w14:paraId="0B271B15">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369F5B4F">
            <w:pPr>
              <w:pStyle w:val="132"/>
              <w:kinsoku w:val="0"/>
              <w:overflowPunct w:val="0"/>
              <w:spacing w:before="11"/>
              <w:ind w:left="158" w:right="67"/>
              <w:rPr>
                <w:rFonts w:ascii="黑体" w:hAnsi="黑体" w:eastAsia="黑体"/>
                <w:sz w:val="18"/>
                <w:szCs w:val="18"/>
              </w:rPr>
            </w:pPr>
          </w:p>
          <w:p w14:paraId="692B5C64">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3.6 </w:t>
            </w:r>
          </w:p>
        </w:tc>
        <w:tc>
          <w:tcPr>
            <w:tcW w:w="1277" w:type="dxa"/>
            <w:gridSpan w:val="2"/>
            <w:tcBorders>
              <w:top w:val="single" w:color="000000" w:sz="4" w:space="0"/>
              <w:left w:val="single" w:color="000000" w:sz="4" w:space="0"/>
              <w:bottom w:val="single" w:color="000000" w:sz="4" w:space="0"/>
              <w:right w:val="single" w:color="000000" w:sz="4" w:space="0"/>
            </w:tcBorders>
          </w:tcPr>
          <w:p w14:paraId="3289AD70">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地板电性能要求</w:t>
            </w:r>
          </w:p>
        </w:tc>
        <w:tc>
          <w:tcPr>
            <w:tcW w:w="5104" w:type="dxa"/>
            <w:tcBorders>
              <w:top w:val="single" w:color="000000" w:sz="4" w:space="0"/>
              <w:left w:val="single" w:color="000000" w:sz="4" w:space="0"/>
              <w:bottom w:val="single" w:color="000000" w:sz="4" w:space="0"/>
              <w:right w:val="single" w:color="000000" w:sz="4" w:space="0"/>
            </w:tcBorders>
          </w:tcPr>
          <w:p w14:paraId="2C11A974">
            <w:pPr>
              <w:pStyle w:val="132"/>
              <w:tabs>
                <w:tab w:val="left" w:pos="381"/>
              </w:tabs>
              <w:kinsoku w:val="0"/>
              <w:overflowPunct w:val="0"/>
              <w:spacing w:line="228" w:lineRule="exact"/>
              <w:ind w:left="380" w:hanging="276"/>
              <w:rPr>
                <w:rFonts w:ascii="黑体" w:hAnsi="黑体" w:eastAsia="黑体" w:cs="Times New Roman"/>
                <w:sz w:val="18"/>
                <w:szCs w:val="18"/>
              </w:rPr>
            </w:pPr>
            <w:r>
              <w:rPr>
                <w:rFonts w:hint="eastAsia" w:ascii="黑体" w:hAnsi="黑体" w:eastAsia="黑体" w:cs="Times New Roman"/>
                <w:sz w:val="18"/>
                <w:szCs w:val="18"/>
              </w:rPr>
              <w:t>在室内温度为</w:t>
            </w:r>
            <w:r>
              <w:rPr>
                <w:rFonts w:ascii="黑体" w:hAnsi="黑体" w:eastAsia="黑体" w:cs="Times New Roman"/>
                <w:sz w:val="18"/>
                <w:szCs w:val="18"/>
              </w:rPr>
              <w:t>(23</w:t>
            </w:r>
            <w:r>
              <w:rPr>
                <w:rFonts w:hint="eastAsia" w:ascii="黑体" w:hAnsi="黑体" w:eastAsia="黑体" w:cs="Times New Roman"/>
                <w:sz w:val="18"/>
                <w:szCs w:val="18"/>
              </w:rPr>
              <w:t>±</w:t>
            </w:r>
            <w:r>
              <w:rPr>
                <w:rFonts w:ascii="黑体" w:hAnsi="黑体" w:eastAsia="黑体" w:cs="Times New Roman"/>
                <w:sz w:val="18"/>
                <w:szCs w:val="18"/>
              </w:rPr>
              <w:t>2)</w:t>
            </w:r>
            <w:r>
              <w:rPr>
                <w:rFonts w:hint="eastAsia" w:ascii="黑体" w:hAnsi="黑体" w:eastAsia="黑体" w:cs="Times New Roman"/>
                <w:sz w:val="18"/>
                <w:szCs w:val="18"/>
              </w:rPr>
              <w:t>℃，相对湿度为</w:t>
            </w:r>
            <w:r>
              <w:rPr>
                <w:rFonts w:ascii="黑体" w:hAnsi="黑体" w:eastAsia="黑体" w:cs="Times New Roman"/>
                <w:sz w:val="18"/>
                <w:szCs w:val="18"/>
              </w:rPr>
              <w:t xml:space="preserve"> 45%RH~55%RH</w:t>
            </w:r>
            <w:r>
              <w:rPr>
                <w:rFonts w:hint="eastAsia" w:ascii="黑体" w:hAnsi="黑体" w:eastAsia="黑体" w:cs="Times New Roman"/>
                <w:sz w:val="18"/>
                <w:szCs w:val="18"/>
              </w:rPr>
              <w:t>，测试电压</w:t>
            </w:r>
            <w:r>
              <w:rPr>
                <w:rFonts w:ascii="黑体" w:hAnsi="黑体" w:eastAsia="黑体" w:cs="Times New Roman"/>
                <w:sz w:val="18"/>
                <w:szCs w:val="18"/>
              </w:rPr>
              <w:t xml:space="preserve"> 100V </w:t>
            </w:r>
            <w:r>
              <w:rPr>
                <w:rFonts w:hint="eastAsia" w:ascii="黑体" w:hAnsi="黑体" w:eastAsia="黑体" w:cs="Times New Roman"/>
                <w:sz w:val="18"/>
                <w:szCs w:val="18"/>
              </w:rPr>
              <w:t>时，活动地板系统电阻为</w:t>
            </w:r>
            <w:r>
              <w:rPr>
                <w:rFonts w:ascii="黑体" w:hAnsi="黑体" w:eastAsia="黑体" w:cs="Times New Roman"/>
                <w:sz w:val="18"/>
                <w:szCs w:val="18"/>
              </w:rPr>
              <w:t xml:space="preserve"> 1.0X106</w:t>
            </w:r>
            <w:r>
              <w:rPr>
                <w:rFonts w:hint="eastAsia" w:ascii="黑体" w:hAnsi="黑体" w:eastAsia="黑体" w:cs="Times New Roman"/>
                <w:sz w:val="18"/>
                <w:szCs w:val="18"/>
              </w:rPr>
              <w:t>Ω</w:t>
            </w:r>
            <w:r>
              <w:rPr>
                <w:rFonts w:ascii="黑体" w:hAnsi="黑体" w:eastAsia="黑体" w:cs="Times New Roman"/>
                <w:sz w:val="18"/>
                <w:szCs w:val="18"/>
              </w:rPr>
              <w:t>~1.0X1010</w:t>
            </w:r>
            <w:r>
              <w:rPr>
                <w:rFonts w:hint="eastAsia" w:ascii="黑体" w:hAnsi="黑体" w:eastAsia="黑体" w:cs="Times New Roman"/>
                <w:sz w:val="18"/>
                <w:szCs w:val="18"/>
              </w:rPr>
              <w:t>Ω（静电耗散型）。</w:t>
            </w:r>
          </w:p>
        </w:tc>
        <w:tc>
          <w:tcPr>
            <w:tcW w:w="1417" w:type="dxa"/>
            <w:tcBorders>
              <w:top w:val="single" w:color="000000" w:sz="4" w:space="0"/>
              <w:left w:val="single" w:color="000000" w:sz="4" w:space="0"/>
              <w:bottom w:val="single" w:color="000000" w:sz="4" w:space="0"/>
              <w:right w:val="single" w:color="000000" w:sz="4" w:space="0"/>
            </w:tcBorders>
          </w:tcPr>
          <w:p w14:paraId="19084D08">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60BEDB87">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4FD28EBC">
            <w:pPr>
              <w:pStyle w:val="132"/>
              <w:kinsoku w:val="0"/>
              <w:overflowPunct w:val="0"/>
              <w:rPr>
                <w:rFonts w:ascii="黑体" w:hAnsi="黑体" w:eastAsia="黑体" w:cs="Times New Roman"/>
                <w:sz w:val="18"/>
                <w:szCs w:val="18"/>
              </w:rPr>
            </w:pPr>
          </w:p>
        </w:tc>
      </w:tr>
      <w:tr w14:paraId="31E070CF">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7A43856F">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3.7 </w:t>
            </w:r>
          </w:p>
        </w:tc>
        <w:tc>
          <w:tcPr>
            <w:tcW w:w="1277" w:type="dxa"/>
            <w:gridSpan w:val="2"/>
            <w:tcBorders>
              <w:top w:val="single" w:color="000000" w:sz="4" w:space="0"/>
              <w:left w:val="single" w:color="000000" w:sz="4" w:space="0"/>
              <w:bottom w:val="single" w:color="000000" w:sz="4" w:space="0"/>
              <w:right w:val="single" w:color="000000" w:sz="4" w:space="0"/>
            </w:tcBorders>
          </w:tcPr>
          <w:p w14:paraId="2C84B5D6">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地板耐冲击能要求</w:t>
            </w:r>
          </w:p>
        </w:tc>
        <w:tc>
          <w:tcPr>
            <w:tcW w:w="5104" w:type="dxa"/>
            <w:tcBorders>
              <w:top w:val="single" w:color="000000" w:sz="4" w:space="0"/>
              <w:left w:val="single" w:color="000000" w:sz="4" w:space="0"/>
              <w:bottom w:val="single" w:color="000000" w:sz="4" w:space="0"/>
              <w:right w:val="single" w:color="000000" w:sz="4" w:space="0"/>
            </w:tcBorders>
          </w:tcPr>
          <w:p w14:paraId="56B1CD30">
            <w:pPr>
              <w:pStyle w:val="132"/>
              <w:tabs>
                <w:tab w:val="left" w:pos="381"/>
              </w:tabs>
              <w:kinsoku w:val="0"/>
              <w:overflowPunct w:val="0"/>
              <w:spacing w:line="228" w:lineRule="exact"/>
              <w:ind w:left="380" w:hanging="276"/>
              <w:rPr>
                <w:rFonts w:ascii="黑体" w:hAnsi="黑体" w:eastAsia="黑体" w:cs="Times New Roman"/>
                <w:sz w:val="18"/>
                <w:szCs w:val="18"/>
              </w:rPr>
            </w:pPr>
            <w:r>
              <w:rPr>
                <w:rFonts w:hint="eastAsia" w:ascii="黑体" w:hAnsi="黑体" w:eastAsia="黑体" w:cs="Times New Roman"/>
                <w:sz w:val="18"/>
                <w:szCs w:val="18"/>
              </w:rPr>
              <w:t>地板冲击性能试验后，地板板面永久变形应≤</w:t>
            </w:r>
            <w:r>
              <w:rPr>
                <w:rFonts w:ascii="黑体" w:hAnsi="黑体" w:eastAsia="黑体" w:cs="Times New Roman"/>
                <w:sz w:val="18"/>
                <w:szCs w:val="18"/>
              </w:rPr>
              <w:t>1.5 mm</w:t>
            </w:r>
            <w:r>
              <w:rPr>
                <w:rFonts w:hint="eastAsia" w:ascii="黑体" w:hAnsi="黑体" w:eastAsia="黑体" w:cs="Times New Roman"/>
                <w:sz w:val="18"/>
                <w:szCs w:val="18"/>
              </w:rPr>
              <w:t>，不能有破损。</w:t>
            </w:r>
          </w:p>
        </w:tc>
        <w:tc>
          <w:tcPr>
            <w:tcW w:w="1417" w:type="dxa"/>
            <w:tcBorders>
              <w:top w:val="single" w:color="000000" w:sz="4" w:space="0"/>
              <w:left w:val="single" w:color="000000" w:sz="4" w:space="0"/>
              <w:bottom w:val="single" w:color="000000" w:sz="4" w:space="0"/>
              <w:right w:val="single" w:color="000000" w:sz="4" w:space="0"/>
            </w:tcBorders>
          </w:tcPr>
          <w:p w14:paraId="6765AF38">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49EACE59">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36C2A652">
            <w:pPr>
              <w:pStyle w:val="132"/>
              <w:kinsoku w:val="0"/>
              <w:overflowPunct w:val="0"/>
              <w:rPr>
                <w:rFonts w:ascii="黑体" w:hAnsi="黑体" w:eastAsia="黑体" w:cs="Times New Roman"/>
                <w:sz w:val="18"/>
                <w:szCs w:val="18"/>
              </w:rPr>
            </w:pPr>
          </w:p>
        </w:tc>
      </w:tr>
      <w:tr w14:paraId="517EE99E">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55E82B51">
            <w:pPr>
              <w:pStyle w:val="132"/>
              <w:kinsoku w:val="0"/>
              <w:overflowPunct w:val="0"/>
              <w:spacing w:before="11"/>
              <w:ind w:left="158" w:right="67"/>
              <w:rPr>
                <w:rFonts w:ascii="黑体" w:hAnsi="黑体" w:eastAsia="黑体"/>
                <w:sz w:val="18"/>
                <w:szCs w:val="18"/>
              </w:rPr>
            </w:pPr>
          </w:p>
          <w:p w14:paraId="4EBD0BE5">
            <w:pPr>
              <w:pStyle w:val="132"/>
              <w:kinsoku w:val="0"/>
              <w:overflowPunct w:val="0"/>
              <w:spacing w:before="11"/>
              <w:ind w:left="158" w:right="67"/>
              <w:rPr>
                <w:rFonts w:ascii="黑体" w:hAnsi="黑体" w:eastAsia="黑体"/>
                <w:sz w:val="18"/>
                <w:szCs w:val="18"/>
              </w:rPr>
            </w:pPr>
          </w:p>
          <w:p w14:paraId="06D65B0E">
            <w:pPr>
              <w:pStyle w:val="132"/>
              <w:kinsoku w:val="0"/>
              <w:overflowPunct w:val="0"/>
              <w:spacing w:before="11"/>
              <w:ind w:left="158" w:right="67"/>
              <w:rPr>
                <w:rFonts w:ascii="黑体" w:hAnsi="黑体" w:eastAsia="黑体"/>
                <w:sz w:val="18"/>
                <w:szCs w:val="18"/>
              </w:rPr>
            </w:pPr>
          </w:p>
          <w:p w14:paraId="744C5F7E">
            <w:pPr>
              <w:pStyle w:val="132"/>
              <w:kinsoku w:val="0"/>
              <w:overflowPunct w:val="0"/>
              <w:spacing w:before="11"/>
              <w:ind w:left="158" w:right="67"/>
              <w:rPr>
                <w:rFonts w:ascii="黑体" w:hAnsi="黑体" w:eastAsia="黑体"/>
                <w:sz w:val="18"/>
                <w:szCs w:val="18"/>
              </w:rPr>
            </w:pPr>
          </w:p>
          <w:p w14:paraId="2283E6FB">
            <w:pPr>
              <w:pStyle w:val="132"/>
              <w:kinsoku w:val="0"/>
              <w:overflowPunct w:val="0"/>
              <w:spacing w:before="11"/>
              <w:ind w:left="158" w:right="67"/>
              <w:rPr>
                <w:rFonts w:ascii="黑体" w:hAnsi="黑体" w:eastAsia="黑体"/>
                <w:sz w:val="18"/>
                <w:szCs w:val="18"/>
              </w:rPr>
            </w:pPr>
          </w:p>
          <w:p w14:paraId="1EDF5D5C">
            <w:pPr>
              <w:pStyle w:val="132"/>
              <w:kinsoku w:val="0"/>
              <w:overflowPunct w:val="0"/>
              <w:spacing w:before="11"/>
              <w:ind w:left="158" w:right="67"/>
              <w:rPr>
                <w:rFonts w:ascii="黑体" w:hAnsi="黑体" w:eastAsia="黑体"/>
                <w:sz w:val="18"/>
                <w:szCs w:val="18"/>
              </w:rPr>
            </w:pPr>
          </w:p>
          <w:p w14:paraId="4B134FFB">
            <w:pPr>
              <w:pStyle w:val="132"/>
              <w:kinsoku w:val="0"/>
              <w:overflowPunct w:val="0"/>
              <w:spacing w:before="11"/>
              <w:ind w:left="158" w:right="67"/>
              <w:rPr>
                <w:rFonts w:ascii="黑体" w:hAnsi="黑体" w:eastAsia="黑体"/>
                <w:sz w:val="18"/>
                <w:szCs w:val="18"/>
              </w:rPr>
            </w:pPr>
          </w:p>
          <w:p w14:paraId="5773A851">
            <w:pPr>
              <w:pStyle w:val="132"/>
              <w:kinsoku w:val="0"/>
              <w:overflowPunct w:val="0"/>
              <w:spacing w:before="11"/>
              <w:ind w:left="158" w:right="67"/>
              <w:rPr>
                <w:rFonts w:ascii="黑体" w:hAnsi="黑体" w:eastAsia="黑体"/>
                <w:sz w:val="18"/>
                <w:szCs w:val="18"/>
              </w:rPr>
            </w:pPr>
          </w:p>
          <w:p w14:paraId="5957280A">
            <w:pPr>
              <w:pStyle w:val="132"/>
              <w:kinsoku w:val="0"/>
              <w:overflowPunct w:val="0"/>
              <w:spacing w:before="11"/>
              <w:ind w:left="158" w:right="67"/>
              <w:rPr>
                <w:rFonts w:ascii="黑体" w:hAnsi="黑体" w:eastAsia="黑体"/>
                <w:sz w:val="18"/>
                <w:szCs w:val="18"/>
              </w:rPr>
            </w:pPr>
          </w:p>
          <w:p w14:paraId="4CF16AFA">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3.8 </w:t>
            </w:r>
          </w:p>
        </w:tc>
        <w:tc>
          <w:tcPr>
            <w:tcW w:w="1277" w:type="dxa"/>
            <w:gridSpan w:val="2"/>
            <w:tcBorders>
              <w:top w:val="single" w:color="000000" w:sz="4" w:space="0"/>
              <w:left w:val="single" w:color="000000" w:sz="4" w:space="0"/>
              <w:bottom w:val="single" w:color="000000" w:sz="4" w:space="0"/>
              <w:right w:val="single" w:color="000000" w:sz="4" w:space="0"/>
            </w:tcBorders>
          </w:tcPr>
          <w:p w14:paraId="0760174B">
            <w:pPr>
              <w:pStyle w:val="132"/>
              <w:kinsoku w:val="0"/>
              <w:overflowPunct w:val="0"/>
              <w:spacing w:line="253" w:lineRule="exact"/>
              <w:ind w:left="105"/>
              <w:rPr>
                <w:rFonts w:ascii="黑体" w:hAnsi="黑体" w:eastAsia="黑体"/>
                <w:b/>
                <w:bCs/>
                <w:sz w:val="18"/>
                <w:szCs w:val="18"/>
              </w:rPr>
            </w:pPr>
          </w:p>
          <w:p w14:paraId="49D6F299">
            <w:pPr>
              <w:pStyle w:val="132"/>
              <w:kinsoku w:val="0"/>
              <w:overflowPunct w:val="0"/>
              <w:spacing w:line="253" w:lineRule="exact"/>
              <w:ind w:left="105"/>
              <w:rPr>
                <w:rFonts w:ascii="黑体" w:hAnsi="黑体" w:eastAsia="黑体"/>
                <w:b/>
                <w:bCs/>
                <w:sz w:val="18"/>
                <w:szCs w:val="18"/>
              </w:rPr>
            </w:pPr>
          </w:p>
          <w:p w14:paraId="73BAC8FA">
            <w:pPr>
              <w:pStyle w:val="132"/>
              <w:kinsoku w:val="0"/>
              <w:overflowPunct w:val="0"/>
              <w:spacing w:line="253" w:lineRule="exact"/>
              <w:ind w:left="105"/>
              <w:rPr>
                <w:rFonts w:ascii="黑体" w:hAnsi="黑体" w:eastAsia="黑体"/>
                <w:b/>
                <w:bCs/>
                <w:sz w:val="18"/>
                <w:szCs w:val="18"/>
              </w:rPr>
            </w:pPr>
          </w:p>
          <w:p w14:paraId="1B33F986">
            <w:pPr>
              <w:pStyle w:val="132"/>
              <w:kinsoku w:val="0"/>
              <w:overflowPunct w:val="0"/>
              <w:spacing w:line="253" w:lineRule="exact"/>
              <w:ind w:left="105"/>
              <w:rPr>
                <w:rFonts w:ascii="黑体" w:hAnsi="黑体" w:eastAsia="黑体"/>
                <w:b/>
                <w:bCs/>
                <w:sz w:val="18"/>
                <w:szCs w:val="18"/>
              </w:rPr>
            </w:pPr>
          </w:p>
          <w:p w14:paraId="308C21FB">
            <w:pPr>
              <w:pStyle w:val="132"/>
              <w:kinsoku w:val="0"/>
              <w:overflowPunct w:val="0"/>
              <w:spacing w:line="253" w:lineRule="exact"/>
              <w:ind w:left="105"/>
              <w:rPr>
                <w:rFonts w:ascii="黑体" w:hAnsi="黑体" w:eastAsia="黑体"/>
                <w:b/>
                <w:bCs/>
                <w:sz w:val="18"/>
                <w:szCs w:val="18"/>
              </w:rPr>
            </w:pPr>
          </w:p>
          <w:p w14:paraId="50754E85">
            <w:pPr>
              <w:pStyle w:val="132"/>
              <w:kinsoku w:val="0"/>
              <w:overflowPunct w:val="0"/>
              <w:spacing w:line="253" w:lineRule="exact"/>
              <w:ind w:left="105"/>
              <w:rPr>
                <w:rFonts w:ascii="黑体" w:hAnsi="黑体" w:eastAsia="黑体"/>
                <w:b/>
                <w:bCs/>
                <w:sz w:val="18"/>
                <w:szCs w:val="18"/>
              </w:rPr>
            </w:pPr>
          </w:p>
          <w:p w14:paraId="7AD10F95">
            <w:pPr>
              <w:pStyle w:val="132"/>
              <w:kinsoku w:val="0"/>
              <w:overflowPunct w:val="0"/>
              <w:spacing w:line="253" w:lineRule="exact"/>
              <w:ind w:left="105"/>
              <w:rPr>
                <w:rFonts w:ascii="黑体" w:hAnsi="黑体" w:eastAsia="黑体"/>
                <w:b/>
                <w:bCs/>
                <w:sz w:val="18"/>
                <w:szCs w:val="18"/>
              </w:rPr>
            </w:pPr>
          </w:p>
          <w:p w14:paraId="62727E99">
            <w:pPr>
              <w:pStyle w:val="132"/>
              <w:kinsoku w:val="0"/>
              <w:overflowPunct w:val="0"/>
              <w:spacing w:line="253" w:lineRule="exact"/>
              <w:ind w:left="105"/>
              <w:rPr>
                <w:rFonts w:ascii="黑体" w:hAnsi="黑体" w:eastAsia="黑体"/>
                <w:b/>
                <w:bCs/>
                <w:sz w:val="18"/>
                <w:szCs w:val="18"/>
              </w:rPr>
            </w:pPr>
          </w:p>
          <w:p w14:paraId="3FBC5693">
            <w:pPr>
              <w:pStyle w:val="132"/>
              <w:kinsoku w:val="0"/>
              <w:overflowPunct w:val="0"/>
              <w:spacing w:line="253" w:lineRule="exact"/>
              <w:ind w:left="105"/>
              <w:rPr>
                <w:rFonts w:ascii="黑体" w:hAnsi="黑体" w:eastAsia="黑体"/>
                <w:b/>
                <w:bCs/>
                <w:sz w:val="18"/>
                <w:szCs w:val="18"/>
              </w:rPr>
            </w:pPr>
          </w:p>
          <w:p w14:paraId="57AEB78F">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支撑架性能要求</w:t>
            </w:r>
          </w:p>
        </w:tc>
        <w:tc>
          <w:tcPr>
            <w:tcW w:w="5104" w:type="dxa"/>
            <w:tcBorders>
              <w:top w:val="single" w:color="000000" w:sz="4" w:space="0"/>
              <w:left w:val="single" w:color="000000" w:sz="4" w:space="0"/>
              <w:bottom w:val="single" w:color="000000" w:sz="4" w:space="0"/>
              <w:right w:val="single" w:color="000000" w:sz="4" w:space="0"/>
            </w:tcBorders>
          </w:tcPr>
          <w:p w14:paraId="72252F7B">
            <w:pPr>
              <w:pStyle w:val="132"/>
              <w:numPr>
                <w:ilvl w:val="0"/>
                <w:numId w:val="126"/>
              </w:numPr>
              <w:tabs>
                <w:tab w:val="left" w:pos="382"/>
              </w:tabs>
              <w:kinsoku w:val="0"/>
              <w:overflowPunct w:val="0"/>
              <w:spacing w:before="12" w:line="235" w:lineRule="auto"/>
              <w:ind w:right="151" w:firstLine="0"/>
              <w:rPr>
                <w:rFonts w:ascii="黑体" w:hAnsi="黑体" w:eastAsia="黑体" w:cs="Times New Roman"/>
                <w:sz w:val="18"/>
                <w:szCs w:val="18"/>
              </w:rPr>
            </w:pPr>
            <w:r>
              <w:rPr>
                <w:rFonts w:hint="eastAsia" w:ascii="黑体" w:hAnsi="黑体" w:eastAsia="黑体" w:cs="Times New Roman"/>
                <w:sz w:val="18"/>
                <w:szCs w:val="18"/>
              </w:rPr>
              <w:t>支撑架含支架、垫片、横梁、螺丝、接地抱箍、胶水、斜撑（若有）、收边角钢（若有）等辅材，每套支撑架的辅材配比应满足安装使用要求；</w:t>
            </w:r>
          </w:p>
          <w:p w14:paraId="01ABB588">
            <w:pPr>
              <w:pStyle w:val="132"/>
              <w:numPr>
                <w:ilvl w:val="0"/>
                <w:numId w:val="126"/>
              </w:numPr>
              <w:tabs>
                <w:tab w:val="left" w:pos="386"/>
              </w:tabs>
              <w:kinsoku w:val="0"/>
              <w:overflowPunct w:val="0"/>
              <w:spacing w:before="8" w:line="230" w:lineRule="exact"/>
              <w:ind w:left="385" w:hanging="281"/>
              <w:rPr>
                <w:rFonts w:ascii="黑体" w:hAnsi="黑体" w:eastAsia="黑体" w:cs="Times New Roman"/>
                <w:sz w:val="18"/>
                <w:szCs w:val="18"/>
              </w:rPr>
            </w:pPr>
            <w:r>
              <w:rPr>
                <w:rFonts w:hint="eastAsia" w:ascii="黑体" w:hAnsi="黑体" w:eastAsia="黑体" w:cs="Times New Roman"/>
                <w:sz w:val="18"/>
                <w:szCs w:val="18"/>
              </w:rPr>
              <w:t>架空地板高度≤</w:t>
            </w:r>
            <w:r>
              <w:rPr>
                <w:rFonts w:ascii="黑体" w:hAnsi="黑体" w:eastAsia="黑体" w:cs="Times New Roman"/>
                <w:sz w:val="18"/>
                <w:szCs w:val="18"/>
              </w:rPr>
              <w:t xml:space="preserve">600mm </w:t>
            </w:r>
            <w:r>
              <w:rPr>
                <w:rFonts w:hint="eastAsia" w:ascii="黑体" w:hAnsi="黑体" w:eastAsia="黑体" w:cs="Times New Roman"/>
                <w:sz w:val="18"/>
                <w:szCs w:val="18"/>
              </w:rPr>
              <w:t>时支架中柱管径≥</w:t>
            </w:r>
            <w:r>
              <w:rPr>
                <w:rFonts w:ascii="黑体" w:hAnsi="黑体" w:eastAsia="黑体" w:cs="Times New Roman"/>
                <w:sz w:val="18"/>
                <w:szCs w:val="18"/>
              </w:rPr>
              <w:t>25mm</w:t>
            </w:r>
            <w:r>
              <w:rPr>
                <w:rFonts w:hint="eastAsia" w:ascii="黑体" w:hAnsi="黑体" w:eastAsia="黑体" w:cs="Times New Roman"/>
                <w:sz w:val="18"/>
                <w:szCs w:val="18"/>
              </w:rPr>
              <w:t>；高度＞</w:t>
            </w:r>
          </w:p>
          <w:p w14:paraId="4543F5C6">
            <w:pPr>
              <w:pStyle w:val="132"/>
              <w:tabs>
                <w:tab w:val="left" w:pos="381"/>
              </w:tabs>
              <w:kinsoku w:val="0"/>
              <w:overflowPunct w:val="0"/>
              <w:spacing w:line="228" w:lineRule="exact"/>
              <w:ind w:left="380" w:hanging="276"/>
              <w:rPr>
                <w:rFonts w:ascii="黑体" w:hAnsi="黑体" w:eastAsia="黑体" w:cs="Times New Roman"/>
                <w:sz w:val="18"/>
                <w:szCs w:val="18"/>
              </w:rPr>
            </w:pPr>
            <w:r>
              <w:rPr>
                <w:rFonts w:ascii="黑体" w:hAnsi="黑体" w:eastAsia="黑体" w:cs="Times New Roman"/>
                <w:sz w:val="18"/>
                <w:szCs w:val="18"/>
              </w:rPr>
              <w:t>600mm</w:t>
            </w:r>
          </w:p>
          <w:p w14:paraId="06A722DA">
            <w:pPr>
              <w:pStyle w:val="132"/>
              <w:tabs>
                <w:tab w:val="left" w:pos="381"/>
              </w:tabs>
              <w:kinsoku w:val="0"/>
              <w:overflowPunct w:val="0"/>
              <w:spacing w:line="228" w:lineRule="exact"/>
              <w:ind w:left="380" w:hanging="276"/>
              <w:rPr>
                <w:rFonts w:ascii="黑体" w:hAnsi="黑体" w:eastAsia="黑体" w:cs="Times New Roman"/>
                <w:sz w:val="18"/>
                <w:szCs w:val="18"/>
              </w:rPr>
            </w:pPr>
            <w:r>
              <w:rPr>
                <w:rFonts w:hint="eastAsia" w:ascii="黑体" w:hAnsi="黑体" w:eastAsia="黑体" w:cs="Times New Roman"/>
                <w:sz w:val="18"/>
                <w:szCs w:val="18"/>
              </w:rPr>
              <w:t>时中柱管径≥</w:t>
            </w:r>
            <w:r>
              <w:rPr>
                <w:rFonts w:ascii="黑体" w:hAnsi="黑体" w:eastAsia="黑体" w:cs="Times New Roman"/>
                <w:sz w:val="18"/>
                <w:szCs w:val="18"/>
              </w:rPr>
              <w:t>32mm</w:t>
            </w:r>
            <w:r>
              <w:rPr>
                <w:rFonts w:hint="eastAsia" w:ascii="黑体" w:hAnsi="黑体" w:eastAsia="黑体" w:cs="Times New Roman"/>
                <w:sz w:val="18"/>
                <w:szCs w:val="18"/>
              </w:rPr>
              <w:t>；</w:t>
            </w:r>
          </w:p>
          <w:p w14:paraId="73B56A3B">
            <w:pPr>
              <w:pStyle w:val="132"/>
              <w:numPr>
                <w:ilvl w:val="0"/>
                <w:numId w:val="126"/>
              </w:numPr>
              <w:tabs>
                <w:tab w:val="left" w:pos="381"/>
              </w:tabs>
              <w:kinsoku w:val="0"/>
              <w:overflowPunct w:val="0"/>
              <w:spacing w:before="4"/>
              <w:ind w:left="374" w:right="92" w:hanging="269"/>
              <w:rPr>
                <w:rFonts w:ascii="黑体" w:hAnsi="黑体" w:eastAsia="黑体" w:cs="Times New Roman"/>
                <w:sz w:val="18"/>
                <w:szCs w:val="18"/>
              </w:rPr>
            </w:pPr>
            <w:r>
              <w:rPr>
                <w:rFonts w:hint="eastAsia" w:ascii="黑体" w:hAnsi="黑体" w:eastAsia="黑体" w:cs="Times New Roman"/>
                <w:sz w:val="18"/>
                <w:szCs w:val="18"/>
              </w:rPr>
              <w:t>架空地板高度≤</w:t>
            </w:r>
            <w:r>
              <w:rPr>
                <w:rFonts w:ascii="黑体" w:hAnsi="黑体" w:eastAsia="黑体" w:cs="Times New Roman"/>
                <w:sz w:val="18"/>
                <w:szCs w:val="18"/>
              </w:rPr>
              <w:t xml:space="preserve">800mm </w:t>
            </w:r>
            <w:r>
              <w:rPr>
                <w:rFonts w:hint="eastAsia" w:ascii="黑体" w:hAnsi="黑体" w:eastAsia="黑体" w:cs="Times New Roman"/>
                <w:sz w:val="18"/>
                <w:szCs w:val="18"/>
              </w:rPr>
              <w:t>时支架中柱壁厚≥</w:t>
            </w:r>
            <w:r>
              <w:rPr>
                <w:rFonts w:ascii="黑体" w:hAnsi="黑体" w:eastAsia="黑体" w:cs="Times New Roman"/>
                <w:sz w:val="18"/>
                <w:szCs w:val="18"/>
              </w:rPr>
              <w:t>1.5mm</w:t>
            </w:r>
            <w:r>
              <w:rPr>
                <w:rFonts w:hint="eastAsia" w:ascii="黑体" w:hAnsi="黑体" w:eastAsia="黑体" w:cs="Times New Roman"/>
                <w:sz w:val="18"/>
                <w:szCs w:val="18"/>
              </w:rPr>
              <w:t>；架空地板高度＞</w:t>
            </w:r>
            <w:r>
              <w:rPr>
                <w:rFonts w:ascii="黑体" w:hAnsi="黑体" w:eastAsia="黑体" w:cs="Times New Roman"/>
                <w:sz w:val="18"/>
                <w:szCs w:val="18"/>
              </w:rPr>
              <w:t xml:space="preserve">800mm </w:t>
            </w:r>
            <w:r>
              <w:rPr>
                <w:rFonts w:hint="eastAsia" w:ascii="黑体" w:hAnsi="黑体" w:eastAsia="黑体" w:cs="Times New Roman"/>
                <w:sz w:val="18"/>
                <w:szCs w:val="18"/>
              </w:rPr>
              <w:t>时中柱壁厚≥</w:t>
            </w:r>
            <w:r>
              <w:rPr>
                <w:rFonts w:ascii="黑体" w:hAnsi="黑体" w:eastAsia="黑体" w:cs="Times New Roman"/>
                <w:sz w:val="18"/>
                <w:szCs w:val="18"/>
              </w:rPr>
              <w:t>2.0mm</w:t>
            </w:r>
            <w:r>
              <w:rPr>
                <w:rFonts w:hint="eastAsia" w:ascii="黑体" w:hAnsi="黑体" w:eastAsia="黑体" w:cs="Times New Roman"/>
                <w:sz w:val="18"/>
                <w:szCs w:val="18"/>
              </w:rPr>
              <w:t>；</w:t>
            </w:r>
          </w:p>
          <w:p w14:paraId="68575015">
            <w:pPr>
              <w:pStyle w:val="132"/>
              <w:numPr>
                <w:ilvl w:val="0"/>
                <w:numId w:val="126"/>
              </w:numPr>
              <w:tabs>
                <w:tab w:val="left" w:pos="389"/>
              </w:tabs>
              <w:kinsoku w:val="0"/>
              <w:overflowPunct w:val="0"/>
              <w:spacing w:before="5"/>
              <w:ind w:left="388" w:hanging="284"/>
              <w:rPr>
                <w:rFonts w:ascii="黑体" w:hAnsi="黑体" w:eastAsia="黑体" w:cs="Times New Roman"/>
                <w:sz w:val="18"/>
                <w:szCs w:val="18"/>
              </w:rPr>
            </w:pPr>
            <w:r>
              <w:rPr>
                <w:rFonts w:hint="eastAsia" w:ascii="黑体" w:hAnsi="黑体" w:eastAsia="黑体" w:cs="Times New Roman"/>
                <w:sz w:val="18"/>
                <w:szCs w:val="18"/>
              </w:rPr>
              <w:t>配套件中涉及金属件均进行电镀彩锌表面处理：涂层厚度</w:t>
            </w:r>
          </w:p>
          <w:p w14:paraId="3C4FF260">
            <w:pPr>
              <w:pStyle w:val="132"/>
              <w:tabs>
                <w:tab w:val="left" w:pos="381"/>
              </w:tabs>
              <w:kinsoku w:val="0"/>
              <w:overflowPunct w:val="0"/>
              <w:spacing w:line="228" w:lineRule="exact"/>
              <w:ind w:left="380" w:hanging="276"/>
              <w:rPr>
                <w:rFonts w:ascii="黑体" w:hAnsi="黑体" w:eastAsia="黑体" w:cs="Times New Roman"/>
                <w:sz w:val="18"/>
                <w:szCs w:val="18"/>
              </w:rPr>
            </w:pPr>
            <w:r>
              <w:rPr>
                <w:rFonts w:ascii="黑体" w:hAnsi="黑体" w:eastAsia="黑体" w:cs="Times New Roman"/>
                <w:sz w:val="18"/>
                <w:szCs w:val="18"/>
              </w:rPr>
              <w:t>8~12</w:t>
            </w:r>
            <w:r>
              <w:rPr>
                <w:rFonts w:hint="eastAsia" w:ascii="黑体" w:hAnsi="黑体" w:eastAsia="黑体" w:cs="Times New Roman"/>
                <w:sz w:val="18"/>
                <w:szCs w:val="18"/>
              </w:rPr>
              <w:t>μ</w:t>
            </w:r>
            <w:r>
              <w:rPr>
                <w:rFonts w:ascii="黑体" w:hAnsi="黑体" w:eastAsia="黑体" w:cs="Times New Roman"/>
                <w:sz w:val="18"/>
                <w:szCs w:val="18"/>
              </w:rPr>
              <w:t>m</w:t>
            </w:r>
            <w:r>
              <w:rPr>
                <w:rFonts w:hint="eastAsia" w:ascii="黑体" w:hAnsi="黑体" w:eastAsia="黑体" w:cs="Times New Roman"/>
                <w:sz w:val="18"/>
                <w:szCs w:val="18"/>
              </w:rPr>
              <w:t>；按</w:t>
            </w:r>
            <w:r>
              <w:rPr>
                <w:rFonts w:ascii="黑体" w:hAnsi="黑体" w:eastAsia="黑体" w:cs="Times New Roman"/>
                <w:sz w:val="18"/>
                <w:szCs w:val="18"/>
              </w:rPr>
              <w:t xml:space="preserve"> GB/T 9286 </w:t>
            </w:r>
            <w:r>
              <w:rPr>
                <w:rFonts w:hint="eastAsia" w:ascii="黑体" w:hAnsi="黑体" w:eastAsia="黑体" w:cs="Times New Roman"/>
                <w:sz w:val="18"/>
                <w:szCs w:val="18"/>
              </w:rPr>
              <w:t>进行涂层附着力试验，要求所有试样上的涂层都应</w:t>
            </w:r>
            <w:r>
              <w:rPr>
                <w:rFonts w:ascii="黑体" w:hAnsi="黑体" w:eastAsia="黑体" w:cs="Times New Roman"/>
                <w:sz w:val="18"/>
                <w:szCs w:val="18"/>
              </w:rPr>
              <w:t xml:space="preserve"> 100</w:t>
            </w:r>
            <w:r>
              <w:rPr>
                <w:rFonts w:hint="eastAsia" w:ascii="黑体" w:hAnsi="黑体" w:eastAsia="黑体" w:cs="Times New Roman"/>
                <w:sz w:val="18"/>
                <w:szCs w:val="18"/>
              </w:rPr>
              <w:t>％附着；按</w:t>
            </w:r>
            <w:r>
              <w:rPr>
                <w:rFonts w:ascii="黑体" w:hAnsi="黑体" w:eastAsia="黑体" w:cs="Times New Roman"/>
                <w:sz w:val="18"/>
                <w:szCs w:val="18"/>
              </w:rPr>
              <w:t xml:space="preserve"> GB/T 2423.17 </w:t>
            </w:r>
            <w:r>
              <w:rPr>
                <w:rFonts w:hint="eastAsia" w:ascii="黑体" w:hAnsi="黑体" w:eastAsia="黑体" w:cs="Times New Roman"/>
                <w:sz w:val="18"/>
                <w:szCs w:val="18"/>
              </w:rPr>
              <w:t>标准通过</w:t>
            </w:r>
            <w:r>
              <w:rPr>
                <w:rFonts w:ascii="黑体" w:hAnsi="黑体" w:eastAsia="黑体" w:cs="Times New Roman"/>
                <w:sz w:val="18"/>
                <w:szCs w:val="18"/>
              </w:rPr>
              <w:t xml:space="preserve"> 72h </w:t>
            </w:r>
            <w:r>
              <w:rPr>
                <w:rFonts w:hint="eastAsia" w:ascii="黑体" w:hAnsi="黑体" w:eastAsia="黑体" w:cs="Times New Roman"/>
                <w:sz w:val="18"/>
                <w:szCs w:val="18"/>
              </w:rPr>
              <w:t>盐雾试验；焊接牢固，金属件表面防锈层无脱落，无明显疵点；</w:t>
            </w:r>
          </w:p>
          <w:p w14:paraId="7634A367">
            <w:pPr>
              <w:pStyle w:val="132"/>
              <w:numPr>
                <w:ilvl w:val="0"/>
                <w:numId w:val="126"/>
              </w:numPr>
              <w:tabs>
                <w:tab w:val="left" w:pos="381"/>
              </w:tabs>
              <w:kinsoku w:val="0"/>
              <w:overflowPunct w:val="0"/>
              <w:spacing w:line="230" w:lineRule="exact"/>
              <w:ind w:left="380"/>
              <w:rPr>
                <w:rFonts w:ascii="黑体" w:hAnsi="黑体" w:eastAsia="黑体" w:cs="Times New Roman"/>
                <w:sz w:val="18"/>
                <w:szCs w:val="18"/>
              </w:rPr>
            </w:pPr>
            <w:r>
              <w:rPr>
                <w:rFonts w:hint="eastAsia" w:ascii="黑体" w:hAnsi="黑体" w:eastAsia="黑体" w:cs="Times New Roman"/>
                <w:sz w:val="18"/>
                <w:szCs w:val="18"/>
              </w:rPr>
              <w:t>支架可上下调整</w:t>
            </w:r>
            <w:r>
              <w:rPr>
                <w:rFonts w:ascii="黑体" w:hAnsi="黑体" w:eastAsia="黑体" w:cs="Times New Roman"/>
                <w:sz w:val="18"/>
                <w:szCs w:val="18"/>
              </w:rPr>
              <w:t xml:space="preserve"> 20mm </w:t>
            </w:r>
            <w:r>
              <w:rPr>
                <w:rFonts w:hint="eastAsia" w:ascii="黑体" w:hAnsi="黑体" w:eastAsia="黑体" w:cs="Times New Roman"/>
                <w:sz w:val="18"/>
                <w:szCs w:val="18"/>
              </w:rPr>
              <w:t>以保证地板安装高度一致；</w:t>
            </w:r>
          </w:p>
          <w:p w14:paraId="4615732E">
            <w:pPr>
              <w:pStyle w:val="132"/>
              <w:numPr>
                <w:ilvl w:val="0"/>
                <w:numId w:val="126"/>
              </w:numPr>
              <w:tabs>
                <w:tab w:val="left" w:pos="381"/>
              </w:tabs>
              <w:kinsoku w:val="0"/>
              <w:overflowPunct w:val="0"/>
              <w:spacing w:before="6" w:line="231" w:lineRule="exact"/>
              <w:ind w:left="380"/>
              <w:rPr>
                <w:rFonts w:ascii="黑体" w:hAnsi="黑体" w:eastAsia="黑体" w:cs="Times New Roman"/>
                <w:sz w:val="18"/>
                <w:szCs w:val="18"/>
              </w:rPr>
            </w:pPr>
            <w:r>
              <w:rPr>
                <w:rFonts w:hint="eastAsia" w:ascii="黑体" w:hAnsi="黑体" w:eastAsia="黑体" w:cs="Times New Roman"/>
                <w:sz w:val="18"/>
                <w:szCs w:val="18"/>
              </w:rPr>
              <w:t>承重要求：</w:t>
            </w:r>
            <w:r>
              <w:rPr>
                <w:rFonts w:ascii="黑体" w:hAnsi="黑体" w:eastAsia="黑体" w:cs="Times New Roman"/>
                <w:sz w:val="18"/>
                <w:szCs w:val="18"/>
              </w:rPr>
              <w:t xml:space="preserve">20KN </w:t>
            </w:r>
            <w:r>
              <w:rPr>
                <w:rFonts w:hint="eastAsia" w:ascii="黑体" w:hAnsi="黑体" w:eastAsia="黑体" w:cs="Times New Roman"/>
                <w:sz w:val="18"/>
                <w:szCs w:val="18"/>
              </w:rPr>
              <w:t>力保持一分钟支架应完好如初；</w:t>
            </w:r>
          </w:p>
          <w:p w14:paraId="29CF8932">
            <w:pPr>
              <w:pStyle w:val="132"/>
              <w:numPr>
                <w:ilvl w:val="0"/>
                <w:numId w:val="126"/>
              </w:numPr>
              <w:tabs>
                <w:tab w:val="left" w:pos="381"/>
              </w:tabs>
              <w:kinsoku w:val="0"/>
              <w:overflowPunct w:val="0"/>
              <w:ind w:left="380"/>
              <w:rPr>
                <w:rFonts w:ascii="黑体" w:hAnsi="黑体" w:eastAsia="黑体" w:cs="Times New Roman"/>
                <w:sz w:val="18"/>
                <w:szCs w:val="18"/>
              </w:rPr>
            </w:pPr>
            <w:r>
              <w:rPr>
                <w:rFonts w:hint="eastAsia" w:ascii="黑体" w:hAnsi="黑体" w:eastAsia="黑体" w:cs="Times New Roman"/>
                <w:sz w:val="18"/>
                <w:szCs w:val="18"/>
              </w:rPr>
              <w:t>架空地板高度≥</w:t>
            </w:r>
            <w:r>
              <w:rPr>
                <w:rFonts w:ascii="黑体" w:hAnsi="黑体" w:eastAsia="黑体" w:cs="Times New Roman"/>
                <w:sz w:val="18"/>
                <w:szCs w:val="18"/>
              </w:rPr>
              <w:t xml:space="preserve">1000mm </w:t>
            </w:r>
            <w:r>
              <w:rPr>
                <w:rFonts w:hint="eastAsia" w:ascii="黑体" w:hAnsi="黑体" w:eastAsia="黑体" w:cs="Times New Roman"/>
                <w:sz w:val="18"/>
                <w:szCs w:val="18"/>
              </w:rPr>
              <w:t>时建议使用斜拉撑（带抱箍）；</w:t>
            </w:r>
          </w:p>
          <w:p w14:paraId="06148FA4">
            <w:pPr>
              <w:pStyle w:val="132"/>
              <w:numPr>
                <w:ilvl w:val="0"/>
                <w:numId w:val="126"/>
              </w:numPr>
              <w:tabs>
                <w:tab w:val="left" w:pos="389"/>
              </w:tabs>
              <w:kinsoku w:val="0"/>
              <w:overflowPunct w:val="0"/>
              <w:spacing w:before="4" w:line="244" w:lineRule="auto"/>
              <w:ind w:left="374" w:right="97" w:hanging="269"/>
              <w:rPr>
                <w:rFonts w:ascii="黑体" w:hAnsi="黑体" w:eastAsia="黑体" w:cs="Times New Roman"/>
                <w:sz w:val="18"/>
                <w:szCs w:val="18"/>
              </w:rPr>
            </w:pPr>
            <w:r>
              <w:rPr>
                <w:rFonts w:hint="eastAsia" w:ascii="黑体" w:hAnsi="黑体" w:eastAsia="黑体" w:cs="Times New Roman"/>
                <w:sz w:val="18"/>
                <w:szCs w:val="18"/>
              </w:rPr>
              <w:t>硫酸钙防静电地板需要配置垫片，主要作用为减震，导静电，限位，垫片材质为带导电炭黑的</w:t>
            </w:r>
            <w:r>
              <w:rPr>
                <w:rFonts w:ascii="黑体" w:hAnsi="黑体" w:eastAsia="黑体" w:cs="Times New Roman"/>
                <w:sz w:val="18"/>
                <w:szCs w:val="18"/>
              </w:rPr>
              <w:t xml:space="preserve">PVC </w:t>
            </w:r>
            <w:r>
              <w:rPr>
                <w:rFonts w:hint="eastAsia" w:ascii="黑体" w:hAnsi="黑体" w:eastAsia="黑体" w:cs="Times New Roman"/>
                <w:sz w:val="18"/>
                <w:szCs w:val="18"/>
              </w:rPr>
              <w:t>材料；</w:t>
            </w:r>
          </w:p>
          <w:p w14:paraId="69931270">
            <w:pPr>
              <w:pStyle w:val="132"/>
              <w:numPr>
                <w:ilvl w:val="0"/>
                <w:numId w:val="126"/>
              </w:numPr>
              <w:tabs>
                <w:tab w:val="left" w:pos="389"/>
              </w:tabs>
              <w:kinsoku w:val="0"/>
              <w:overflowPunct w:val="0"/>
              <w:spacing w:line="226" w:lineRule="exact"/>
              <w:ind w:left="388" w:hanging="284"/>
              <w:rPr>
                <w:rFonts w:ascii="黑体" w:hAnsi="黑体" w:eastAsia="黑体" w:cs="Times New Roman"/>
                <w:sz w:val="18"/>
                <w:szCs w:val="18"/>
              </w:rPr>
            </w:pPr>
            <w:r>
              <w:rPr>
                <w:rFonts w:hint="eastAsia" w:ascii="黑体" w:hAnsi="黑体" w:eastAsia="黑体" w:cs="Times New Roman"/>
                <w:sz w:val="18"/>
                <w:szCs w:val="18"/>
              </w:rPr>
              <w:t>根据实际现场环境需要可提供角铁，木工板，橡塑棉，发</w:t>
            </w:r>
          </w:p>
          <w:p w14:paraId="57D8E830">
            <w:pPr>
              <w:pStyle w:val="132"/>
              <w:tabs>
                <w:tab w:val="left" w:pos="381"/>
              </w:tabs>
              <w:kinsoku w:val="0"/>
              <w:overflowPunct w:val="0"/>
              <w:spacing w:line="228" w:lineRule="exact"/>
              <w:ind w:left="380" w:hanging="276"/>
              <w:rPr>
                <w:rFonts w:ascii="黑体" w:hAnsi="黑体" w:eastAsia="黑体" w:cs="Times New Roman"/>
                <w:sz w:val="18"/>
                <w:szCs w:val="18"/>
              </w:rPr>
            </w:pPr>
            <w:r>
              <w:rPr>
                <w:rFonts w:hint="eastAsia" w:ascii="黑体" w:hAnsi="黑体" w:eastAsia="黑体" w:cs="Times New Roman"/>
                <w:sz w:val="18"/>
                <w:szCs w:val="18"/>
              </w:rPr>
              <w:t>泡胶等支撑架可替代方案。</w:t>
            </w:r>
          </w:p>
        </w:tc>
        <w:tc>
          <w:tcPr>
            <w:tcW w:w="1417" w:type="dxa"/>
            <w:tcBorders>
              <w:top w:val="single" w:color="000000" w:sz="4" w:space="0"/>
              <w:left w:val="single" w:color="000000" w:sz="4" w:space="0"/>
              <w:bottom w:val="single" w:color="000000" w:sz="4" w:space="0"/>
              <w:right w:val="single" w:color="000000" w:sz="4" w:space="0"/>
            </w:tcBorders>
          </w:tcPr>
          <w:p w14:paraId="1C7C3857">
            <w:pPr>
              <w:pStyle w:val="132"/>
              <w:kinsoku w:val="0"/>
              <w:overflowPunct w:val="0"/>
              <w:spacing w:before="112"/>
              <w:ind w:left="106"/>
              <w:rPr>
                <w:rFonts w:ascii="黑体" w:hAnsi="黑体" w:eastAsia="黑体"/>
                <w:b/>
                <w:bCs/>
                <w:sz w:val="18"/>
                <w:szCs w:val="18"/>
              </w:rPr>
            </w:pPr>
          </w:p>
          <w:p w14:paraId="18C0DCD9">
            <w:pPr>
              <w:pStyle w:val="132"/>
              <w:kinsoku w:val="0"/>
              <w:overflowPunct w:val="0"/>
              <w:spacing w:before="112"/>
              <w:ind w:left="106"/>
              <w:rPr>
                <w:rFonts w:ascii="黑体" w:hAnsi="黑体" w:eastAsia="黑体"/>
                <w:b/>
                <w:bCs/>
                <w:sz w:val="18"/>
                <w:szCs w:val="18"/>
              </w:rPr>
            </w:pPr>
          </w:p>
          <w:p w14:paraId="41EE4321">
            <w:pPr>
              <w:pStyle w:val="132"/>
              <w:kinsoku w:val="0"/>
              <w:overflowPunct w:val="0"/>
              <w:spacing w:before="112"/>
              <w:ind w:left="106"/>
              <w:rPr>
                <w:rFonts w:ascii="黑体" w:hAnsi="黑体" w:eastAsia="黑体"/>
                <w:b/>
                <w:bCs/>
                <w:sz w:val="18"/>
                <w:szCs w:val="18"/>
              </w:rPr>
            </w:pPr>
          </w:p>
          <w:p w14:paraId="4FD29DA6">
            <w:pPr>
              <w:pStyle w:val="132"/>
              <w:kinsoku w:val="0"/>
              <w:overflowPunct w:val="0"/>
              <w:spacing w:before="112"/>
              <w:ind w:left="106"/>
              <w:rPr>
                <w:rFonts w:ascii="黑体" w:hAnsi="黑体" w:eastAsia="黑体"/>
                <w:b/>
                <w:bCs/>
                <w:sz w:val="18"/>
                <w:szCs w:val="18"/>
              </w:rPr>
            </w:pPr>
          </w:p>
          <w:p w14:paraId="7EB00FF5">
            <w:pPr>
              <w:pStyle w:val="132"/>
              <w:kinsoku w:val="0"/>
              <w:overflowPunct w:val="0"/>
              <w:spacing w:before="112"/>
              <w:ind w:left="106"/>
              <w:rPr>
                <w:rFonts w:ascii="黑体" w:hAnsi="黑体" w:eastAsia="黑体"/>
                <w:b/>
                <w:bCs/>
                <w:sz w:val="18"/>
                <w:szCs w:val="18"/>
              </w:rPr>
            </w:pPr>
          </w:p>
          <w:p w14:paraId="1FD18F43">
            <w:pPr>
              <w:pStyle w:val="132"/>
              <w:kinsoku w:val="0"/>
              <w:overflowPunct w:val="0"/>
              <w:spacing w:before="112"/>
              <w:ind w:left="106"/>
              <w:rPr>
                <w:rFonts w:ascii="黑体" w:hAnsi="黑体" w:eastAsia="黑体"/>
                <w:b/>
                <w:bCs/>
                <w:sz w:val="18"/>
                <w:szCs w:val="18"/>
              </w:rPr>
            </w:pPr>
          </w:p>
          <w:p w14:paraId="77445C9B">
            <w:pPr>
              <w:pStyle w:val="132"/>
              <w:kinsoku w:val="0"/>
              <w:overflowPunct w:val="0"/>
              <w:spacing w:before="112"/>
              <w:ind w:left="106"/>
              <w:rPr>
                <w:rFonts w:ascii="黑体" w:hAnsi="黑体" w:eastAsia="黑体"/>
                <w:b/>
                <w:bCs/>
                <w:sz w:val="18"/>
                <w:szCs w:val="18"/>
              </w:rPr>
            </w:pPr>
          </w:p>
          <w:p w14:paraId="0161CA57">
            <w:pPr>
              <w:pStyle w:val="132"/>
              <w:kinsoku w:val="0"/>
              <w:overflowPunct w:val="0"/>
              <w:spacing w:before="112"/>
              <w:ind w:left="106"/>
              <w:rPr>
                <w:rFonts w:ascii="黑体" w:hAnsi="黑体" w:eastAsia="黑体"/>
                <w:b/>
                <w:bCs/>
                <w:sz w:val="18"/>
                <w:szCs w:val="18"/>
              </w:rPr>
            </w:pPr>
          </w:p>
          <w:p w14:paraId="58069C06">
            <w:pPr>
              <w:pStyle w:val="132"/>
              <w:kinsoku w:val="0"/>
              <w:overflowPunct w:val="0"/>
              <w:spacing w:before="112"/>
              <w:ind w:left="106"/>
              <w:rPr>
                <w:rFonts w:ascii="黑体" w:hAnsi="黑体" w:eastAsia="黑体"/>
                <w:b/>
                <w:bCs/>
                <w:sz w:val="18"/>
                <w:szCs w:val="18"/>
              </w:rPr>
            </w:pPr>
          </w:p>
          <w:p w14:paraId="574F242F">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□满足</w:t>
            </w:r>
          </w:p>
          <w:p w14:paraId="53F59D41">
            <w:pPr>
              <w:pStyle w:val="132"/>
              <w:kinsoku w:val="0"/>
              <w:overflowPunct w:val="0"/>
              <w:spacing w:before="112"/>
              <w:ind w:left="106"/>
              <w:rPr>
                <w:rFonts w:ascii="黑体" w:hAnsi="黑体" w:eastAsia="黑体"/>
                <w:b/>
                <w:bCs/>
                <w:sz w:val="18"/>
                <w:szCs w:val="18"/>
              </w:rPr>
            </w:pPr>
            <w:r>
              <w:rPr>
                <w:rFonts w:hint="eastAsia" w:ascii="黑体" w:hAnsi="黑体" w:eastAsia="黑体"/>
                <w:b/>
                <w:bCs/>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3820EA98">
            <w:pPr>
              <w:pStyle w:val="132"/>
              <w:kinsoku w:val="0"/>
              <w:overflowPunct w:val="0"/>
              <w:rPr>
                <w:rFonts w:ascii="黑体" w:hAnsi="黑体" w:eastAsia="黑体" w:cs="Times New Roman"/>
                <w:sz w:val="18"/>
                <w:szCs w:val="18"/>
              </w:rPr>
            </w:pPr>
          </w:p>
        </w:tc>
      </w:tr>
    </w:tbl>
    <w:p w14:paraId="0C69F151">
      <w:pPr>
        <w:jc w:val="left"/>
        <w:rPr>
          <w:rFonts w:ascii="黑体" w:hAnsi="黑体"/>
          <w:b/>
          <w:bCs/>
          <w:szCs w:val="18"/>
        </w:rPr>
        <w:sectPr>
          <w:footerReference r:id="rId8" w:type="default"/>
          <w:pgSz w:w="11910" w:h="16840"/>
          <w:pgMar w:top="1661" w:right="697" w:bottom="1338" w:left="1219" w:header="1758" w:footer="1145" w:gutter="0"/>
          <w:pgNumType w:fmt="decimal"/>
          <w:cols w:space="720" w:num="1"/>
          <w:docGrid w:linePitch="245" w:charSpace="0"/>
        </w:sectPr>
      </w:pPr>
    </w:p>
    <w:p w14:paraId="2A15C7E2">
      <w:pPr>
        <w:pStyle w:val="14"/>
        <w:kinsoku w:val="0"/>
        <w:overflowPunct w:val="0"/>
        <w:spacing w:before="1"/>
        <w:jc w:val="left"/>
        <w:rPr>
          <w:rFonts w:ascii="黑体" w:hAnsi="黑体"/>
          <w:b/>
          <w:bCs/>
          <w:szCs w:val="18"/>
        </w:rPr>
      </w:pPr>
    </w:p>
    <w:tbl>
      <w:tblPr>
        <w:tblStyle w:val="36"/>
        <w:tblW w:w="0" w:type="auto"/>
        <w:tblInd w:w="211" w:type="dxa"/>
        <w:tblLayout w:type="fixed"/>
        <w:tblCellMar>
          <w:top w:w="0" w:type="dxa"/>
          <w:left w:w="0" w:type="dxa"/>
          <w:bottom w:w="0" w:type="dxa"/>
          <w:right w:w="0" w:type="dxa"/>
        </w:tblCellMar>
      </w:tblPr>
      <w:tblGrid>
        <w:gridCol w:w="725"/>
        <w:gridCol w:w="1277"/>
        <w:gridCol w:w="5104"/>
        <w:gridCol w:w="1417"/>
        <w:gridCol w:w="979"/>
      </w:tblGrid>
      <w:tr w14:paraId="5BF23599">
        <w:tblPrEx>
          <w:tblCellMar>
            <w:top w:w="0" w:type="dxa"/>
            <w:left w:w="0" w:type="dxa"/>
            <w:bottom w:w="0" w:type="dxa"/>
            <w:right w:w="0" w:type="dxa"/>
          </w:tblCellMar>
        </w:tblPrEx>
        <w:trPr>
          <w:trHeight w:val="798" w:hRule="atLeast"/>
        </w:trPr>
        <w:tc>
          <w:tcPr>
            <w:tcW w:w="725" w:type="dxa"/>
            <w:tcBorders>
              <w:top w:val="single" w:color="000000" w:sz="4" w:space="0"/>
              <w:left w:val="single" w:color="000000" w:sz="4" w:space="0"/>
              <w:bottom w:val="single" w:color="000000" w:sz="4" w:space="0"/>
              <w:right w:val="single" w:color="000000" w:sz="4" w:space="0"/>
            </w:tcBorders>
          </w:tcPr>
          <w:p w14:paraId="3A867B55">
            <w:pPr>
              <w:pStyle w:val="132"/>
              <w:kinsoku w:val="0"/>
              <w:overflowPunct w:val="0"/>
              <w:spacing w:before="11"/>
              <w:rPr>
                <w:rFonts w:ascii="黑体" w:hAnsi="黑体" w:eastAsia="黑体"/>
                <w:b/>
                <w:bCs/>
                <w:sz w:val="18"/>
                <w:szCs w:val="18"/>
              </w:rPr>
            </w:pPr>
          </w:p>
          <w:p w14:paraId="5B0AF7A6">
            <w:pPr>
              <w:pStyle w:val="132"/>
              <w:kinsoku w:val="0"/>
              <w:overflowPunct w:val="0"/>
              <w:ind w:left="158" w:right="62"/>
              <w:rPr>
                <w:rFonts w:ascii="黑体" w:hAnsi="黑体" w:eastAsia="黑体"/>
                <w:sz w:val="18"/>
                <w:szCs w:val="18"/>
              </w:rPr>
            </w:pPr>
            <w:r>
              <w:rPr>
                <w:rFonts w:ascii="黑体" w:hAnsi="黑体" w:eastAsia="黑体"/>
                <w:sz w:val="18"/>
                <w:szCs w:val="18"/>
              </w:rPr>
              <w:t xml:space="preserve">3.9 </w:t>
            </w:r>
          </w:p>
        </w:tc>
        <w:tc>
          <w:tcPr>
            <w:tcW w:w="1277" w:type="dxa"/>
            <w:tcBorders>
              <w:top w:val="single" w:color="000000" w:sz="4" w:space="0"/>
              <w:left w:val="single" w:color="000000" w:sz="4" w:space="0"/>
              <w:bottom w:val="single" w:color="000000" w:sz="4" w:space="0"/>
              <w:right w:val="single" w:color="000000" w:sz="4" w:space="0"/>
            </w:tcBorders>
          </w:tcPr>
          <w:p w14:paraId="3B5F3905">
            <w:pPr>
              <w:pStyle w:val="132"/>
              <w:kinsoku w:val="0"/>
              <w:overflowPunct w:val="0"/>
              <w:spacing w:before="122" w:line="244" w:lineRule="auto"/>
              <w:ind w:left="105" w:right="55"/>
              <w:rPr>
                <w:rFonts w:ascii="黑体" w:hAnsi="黑体" w:eastAsia="黑体"/>
                <w:sz w:val="18"/>
                <w:szCs w:val="18"/>
              </w:rPr>
            </w:pPr>
            <w:r>
              <w:rPr>
                <w:rFonts w:hint="eastAsia" w:ascii="黑体" w:hAnsi="黑体" w:eastAsia="黑体"/>
                <w:sz w:val="18"/>
                <w:szCs w:val="18"/>
              </w:rPr>
              <w:t>防静电接地要求</w:t>
            </w:r>
          </w:p>
        </w:tc>
        <w:tc>
          <w:tcPr>
            <w:tcW w:w="5104" w:type="dxa"/>
            <w:tcBorders>
              <w:top w:val="single" w:color="000000" w:sz="4" w:space="0"/>
              <w:left w:val="single" w:color="000000" w:sz="4" w:space="0"/>
              <w:bottom w:val="single" w:color="000000" w:sz="4" w:space="0"/>
              <w:right w:val="single" w:color="000000" w:sz="4" w:space="0"/>
            </w:tcBorders>
          </w:tcPr>
          <w:p w14:paraId="635FF2A4">
            <w:pPr>
              <w:pStyle w:val="132"/>
              <w:kinsoku w:val="0"/>
              <w:overflowPunct w:val="0"/>
              <w:spacing w:before="122" w:line="244" w:lineRule="auto"/>
              <w:ind w:left="105" w:right="94"/>
              <w:rPr>
                <w:rFonts w:ascii="黑体" w:hAnsi="黑体" w:eastAsia="黑体"/>
                <w:spacing w:val="-5"/>
                <w:sz w:val="18"/>
                <w:szCs w:val="18"/>
              </w:rPr>
            </w:pPr>
            <w:r>
              <w:rPr>
                <w:rFonts w:hint="eastAsia" w:ascii="黑体" w:hAnsi="黑体" w:eastAsia="黑体"/>
                <w:spacing w:val="-6"/>
                <w:sz w:val="18"/>
                <w:szCs w:val="18"/>
              </w:rPr>
              <w:t>需满足防静电接地要求，需提前预留接地抱箍连接接地线缆或</w:t>
            </w:r>
            <w:r>
              <w:rPr>
                <w:rFonts w:hint="eastAsia" w:ascii="黑体" w:hAnsi="黑体" w:eastAsia="黑体"/>
                <w:spacing w:val="-5"/>
                <w:sz w:val="18"/>
                <w:szCs w:val="18"/>
              </w:rPr>
              <w:t>安装时将支架底部落在铜箔网格十字交叉处。</w:t>
            </w:r>
          </w:p>
        </w:tc>
        <w:tc>
          <w:tcPr>
            <w:tcW w:w="1417" w:type="dxa"/>
            <w:tcBorders>
              <w:top w:val="single" w:color="000000" w:sz="4" w:space="0"/>
              <w:left w:val="single" w:color="000000" w:sz="4" w:space="0"/>
              <w:bottom w:val="single" w:color="000000" w:sz="4" w:space="0"/>
              <w:right w:val="single" w:color="000000" w:sz="4" w:space="0"/>
            </w:tcBorders>
          </w:tcPr>
          <w:p w14:paraId="7B540E03">
            <w:pPr>
              <w:pStyle w:val="132"/>
              <w:kinsoku w:val="0"/>
              <w:overflowPunct w:val="0"/>
              <w:spacing w:before="122"/>
              <w:ind w:left="106"/>
              <w:rPr>
                <w:rFonts w:ascii="黑体" w:hAnsi="黑体" w:eastAsia="黑体"/>
                <w:b/>
                <w:bCs/>
                <w:sz w:val="18"/>
                <w:szCs w:val="18"/>
              </w:rPr>
            </w:pPr>
            <w:r>
              <w:rPr>
                <w:rFonts w:hint="eastAsia" w:ascii="黑体" w:hAnsi="黑体" w:eastAsia="黑体"/>
                <w:b/>
                <w:bCs/>
                <w:sz w:val="18"/>
                <w:szCs w:val="18"/>
              </w:rPr>
              <w:t>□满足</w:t>
            </w:r>
          </w:p>
          <w:p w14:paraId="33BD4B11">
            <w:pPr>
              <w:pStyle w:val="132"/>
              <w:kinsoku w:val="0"/>
              <w:overflowPunct w:val="0"/>
              <w:spacing w:before="5"/>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5D5051C9">
            <w:pPr>
              <w:pStyle w:val="132"/>
              <w:kinsoku w:val="0"/>
              <w:overflowPunct w:val="0"/>
              <w:rPr>
                <w:rFonts w:ascii="黑体" w:hAnsi="黑体" w:eastAsia="黑体" w:cs="Times New Roman"/>
                <w:sz w:val="18"/>
                <w:szCs w:val="18"/>
              </w:rPr>
            </w:pPr>
          </w:p>
        </w:tc>
      </w:tr>
      <w:tr w14:paraId="1A2F642C">
        <w:tblPrEx>
          <w:tblCellMar>
            <w:top w:w="0" w:type="dxa"/>
            <w:left w:w="0" w:type="dxa"/>
            <w:bottom w:w="0" w:type="dxa"/>
            <w:right w:w="0" w:type="dxa"/>
          </w:tblCellMar>
        </w:tblPrEx>
        <w:trPr>
          <w:trHeight w:val="798" w:hRule="atLeast"/>
        </w:trPr>
        <w:tc>
          <w:tcPr>
            <w:tcW w:w="725" w:type="dxa"/>
            <w:tcBorders>
              <w:top w:val="single" w:color="000000" w:sz="4" w:space="0"/>
              <w:left w:val="single" w:color="000000" w:sz="4" w:space="0"/>
              <w:bottom w:val="single" w:color="000000" w:sz="4" w:space="0"/>
              <w:right w:val="single" w:color="000000" w:sz="4" w:space="0"/>
            </w:tcBorders>
          </w:tcPr>
          <w:p w14:paraId="6741C17D">
            <w:pPr>
              <w:pStyle w:val="132"/>
              <w:kinsoku w:val="0"/>
              <w:overflowPunct w:val="0"/>
              <w:spacing w:before="112"/>
              <w:ind w:left="158" w:right="67"/>
              <w:rPr>
                <w:rFonts w:ascii="黑体" w:hAnsi="黑体" w:eastAsia="黑体"/>
                <w:sz w:val="18"/>
                <w:szCs w:val="18"/>
              </w:rPr>
            </w:pPr>
            <w:r>
              <w:rPr>
                <w:rFonts w:ascii="黑体" w:hAnsi="黑体" w:eastAsia="黑体"/>
                <w:sz w:val="18"/>
                <w:szCs w:val="18"/>
              </w:rPr>
              <w:t xml:space="preserve">3.10 </w:t>
            </w:r>
          </w:p>
        </w:tc>
        <w:tc>
          <w:tcPr>
            <w:tcW w:w="1277" w:type="dxa"/>
            <w:tcBorders>
              <w:top w:val="single" w:color="000000" w:sz="4" w:space="0"/>
              <w:left w:val="single" w:color="000000" w:sz="4" w:space="0"/>
              <w:bottom w:val="single" w:color="000000" w:sz="4" w:space="0"/>
              <w:right w:val="single" w:color="000000" w:sz="4" w:space="0"/>
            </w:tcBorders>
          </w:tcPr>
          <w:p w14:paraId="1DF1B1D7">
            <w:pPr>
              <w:pStyle w:val="132"/>
              <w:kinsoku w:val="0"/>
              <w:overflowPunct w:val="0"/>
              <w:spacing w:before="112"/>
              <w:ind w:left="105"/>
              <w:rPr>
                <w:rFonts w:ascii="黑体" w:hAnsi="黑体" w:eastAsia="黑体"/>
                <w:sz w:val="18"/>
                <w:szCs w:val="18"/>
              </w:rPr>
            </w:pPr>
            <w:r>
              <w:rPr>
                <w:rFonts w:hint="eastAsia" w:ascii="黑体" w:hAnsi="黑体" w:eastAsia="黑体"/>
                <w:sz w:val="18"/>
                <w:szCs w:val="18"/>
              </w:rPr>
              <w:t>环保要求</w:t>
            </w:r>
          </w:p>
        </w:tc>
        <w:tc>
          <w:tcPr>
            <w:tcW w:w="5104" w:type="dxa"/>
            <w:tcBorders>
              <w:top w:val="single" w:color="000000" w:sz="4" w:space="0"/>
              <w:left w:val="single" w:color="000000" w:sz="4" w:space="0"/>
              <w:bottom w:val="single" w:color="000000" w:sz="4" w:space="0"/>
              <w:right w:val="single" w:color="000000" w:sz="4" w:space="0"/>
            </w:tcBorders>
          </w:tcPr>
          <w:p w14:paraId="43516D89">
            <w:pPr>
              <w:pStyle w:val="132"/>
              <w:kinsoku w:val="0"/>
              <w:overflowPunct w:val="0"/>
              <w:spacing w:before="112"/>
              <w:ind w:left="105"/>
              <w:rPr>
                <w:rFonts w:ascii="黑体" w:hAnsi="黑体" w:eastAsia="黑体"/>
                <w:sz w:val="18"/>
                <w:szCs w:val="18"/>
              </w:rPr>
            </w:pPr>
            <w:r>
              <w:rPr>
                <w:rFonts w:hint="eastAsia" w:ascii="黑体" w:hAnsi="黑体" w:eastAsia="黑体"/>
                <w:sz w:val="18"/>
                <w:szCs w:val="18"/>
              </w:rPr>
              <w:t>通过权威机构的相关环保认证，并有测试报告或认证证书</w:t>
            </w:r>
          </w:p>
        </w:tc>
        <w:tc>
          <w:tcPr>
            <w:tcW w:w="1417" w:type="dxa"/>
            <w:tcBorders>
              <w:top w:val="single" w:color="000000" w:sz="4" w:space="0"/>
              <w:left w:val="single" w:color="000000" w:sz="4" w:space="0"/>
              <w:bottom w:val="single" w:color="000000" w:sz="4" w:space="0"/>
              <w:right w:val="single" w:color="000000" w:sz="4" w:space="0"/>
            </w:tcBorders>
          </w:tcPr>
          <w:p w14:paraId="11566372">
            <w:pPr>
              <w:pStyle w:val="132"/>
              <w:kinsoku w:val="0"/>
              <w:overflowPunct w:val="0"/>
              <w:spacing w:line="228" w:lineRule="exact"/>
              <w:ind w:left="106"/>
              <w:rPr>
                <w:rFonts w:ascii="黑体" w:hAnsi="黑体" w:eastAsia="黑体"/>
                <w:b/>
                <w:bCs/>
                <w:sz w:val="18"/>
                <w:szCs w:val="18"/>
              </w:rPr>
            </w:pPr>
            <w:r>
              <w:rPr>
                <w:rFonts w:hint="eastAsia" w:ascii="黑体" w:hAnsi="黑体" w:eastAsia="黑体"/>
                <w:b/>
                <w:bCs/>
                <w:sz w:val="18"/>
                <w:szCs w:val="18"/>
              </w:rPr>
              <w:t>□满足</w:t>
            </w:r>
          </w:p>
          <w:p w14:paraId="6F68B42D">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0D5C0816">
            <w:pPr>
              <w:pStyle w:val="132"/>
              <w:kinsoku w:val="0"/>
              <w:overflowPunct w:val="0"/>
              <w:rPr>
                <w:rFonts w:ascii="黑体" w:hAnsi="黑体" w:eastAsia="黑体" w:cs="Times New Roman"/>
                <w:sz w:val="18"/>
                <w:szCs w:val="18"/>
              </w:rPr>
            </w:pPr>
          </w:p>
        </w:tc>
      </w:tr>
      <w:tr w14:paraId="730441E5">
        <w:tblPrEx>
          <w:tblCellMar>
            <w:top w:w="0" w:type="dxa"/>
            <w:left w:w="0" w:type="dxa"/>
            <w:bottom w:w="0" w:type="dxa"/>
            <w:right w:w="0" w:type="dxa"/>
          </w:tblCellMar>
        </w:tblPrEx>
        <w:trPr>
          <w:trHeight w:val="798" w:hRule="atLeast"/>
        </w:trPr>
        <w:tc>
          <w:tcPr>
            <w:tcW w:w="725" w:type="dxa"/>
            <w:tcBorders>
              <w:top w:val="single" w:color="000000" w:sz="4" w:space="0"/>
              <w:left w:val="single" w:color="000000" w:sz="4" w:space="0"/>
              <w:bottom w:val="single" w:color="000000" w:sz="4" w:space="0"/>
              <w:right w:val="single" w:color="000000" w:sz="4" w:space="0"/>
            </w:tcBorders>
          </w:tcPr>
          <w:p w14:paraId="3F900539">
            <w:pPr>
              <w:pStyle w:val="132"/>
              <w:kinsoku w:val="0"/>
              <w:overflowPunct w:val="0"/>
              <w:spacing w:before="112"/>
              <w:ind w:left="158" w:right="29"/>
              <w:rPr>
                <w:rFonts w:ascii="黑体" w:hAnsi="黑体" w:eastAsia="黑体"/>
                <w:sz w:val="18"/>
                <w:szCs w:val="18"/>
              </w:rPr>
            </w:pPr>
            <w:r>
              <w:rPr>
                <w:rFonts w:ascii="黑体" w:hAnsi="黑体" w:eastAsia="黑体"/>
                <w:sz w:val="18"/>
                <w:szCs w:val="18"/>
              </w:rPr>
              <w:t xml:space="preserve">3.11 </w:t>
            </w:r>
          </w:p>
        </w:tc>
        <w:tc>
          <w:tcPr>
            <w:tcW w:w="1277" w:type="dxa"/>
            <w:tcBorders>
              <w:top w:val="single" w:color="000000" w:sz="4" w:space="0"/>
              <w:left w:val="single" w:color="000000" w:sz="4" w:space="0"/>
              <w:bottom w:val="single" w:color="000000" w:sz="4" w:space="0"/>
              <w:right w:val="single" w:color="000000" w:sz="4" w:space="0"/>
            </w:tcBorders>
          </w:tcPr>
          <w:p w14:paraId="3C1BA621">
            <w:pPr>
              <w:pStyle w:val="132"/>
              <w:kinsoku w:val="0"/>
              <w:overflowPunct w:val="0"/>
              <w:spacing w:line="244" w:lineRule="auto"/>
              <w:ind w:left="105" w:right="55"/>
              <w:rPr>
                <w:rFonts w:ascii="黑体" w:hAnsi="黑体" w:eastAsia="黑体"/>
                <w:sz w:val="18"/>
                <w:szCs w:val="18"/>
              </w:rPr>
            </w:pPr>
            <w:r>
              <w:rPr>
                <w:rFonts w:hint="eastAsia" w:ascii="黑体" w:hAnsi="黑体" w:eastAsia="黑体"/>
                <w:sz w:val="18"/>
                <w:szCs w:val="18"/>
              </w:rPr>
              <w:t>抗震加固要求</w:t>
            </w:r>
          </w:p>
        </w:tc>
        <w:tc>
          <w:tcPr>
            <w:tcW w:w="5104" w:type="dxa"/>
            <w:tcBorders>
              <w:top w:val="single" w:color="000000" w:sz="4" w:space="0"/>
              <w:left w:val="single" w:color="000000" w:sz="4" w:space="0"/>
              <w:bottom w:val="single" w:color="000000" w:sz="4" w:space="0"/>
              <w:right w:val="single" w:color="000000" w:sz="4" w:space="0"/>
            </w:tcBorders>
          </w:tcPr>
          <w:p w14:paraId="73A71486">
            <w:pPr>
              <w:pStyle w:val="132"/>
              <w:kinsoku w:val="0"/>
              <w:overflowPunct w:val="0"/>
              <w:spacing w:line="244" w:lineRule="auto"/>
              <w:ind w:left="105" w:right="92"/>
              <w:rPr>
                <w:rFonts w:ascii="黑体" w:hAnsi="黑体" w:eastAsia="黑体"/>
                <w:sz w:val="18"/>
                <w:szCs w:val="18"/>
              </w:rPr>
            </w:pPr>
            <w:r>
              <w:rPr>
                <w:rFonts w:hint="eastAsia" w:ascii="黑体" w:hAnsi="黑体" w:eastAsia="黑体"/>
                <w:sz w:val="18"/>
                <w:szCs w:val="18"/>
              </w:rPr>
              <w:t>安装内容中涉及抗震加固部分应按照</w:t>
            </w:r>
            <w:r>
              <w:rPr>
                <w:rFonts w:ascii="黑体" w:hAnsi="黑体" w:eastAsia="黑体" w:cs="Calibri"/>
                <w:sz w:val="18"/>
                <w:szCs w:val="18"/>
              </w:rPr>
              <w:t>YD 5059-2005</w:t>
            </w:r>
            <w:r>
              <w:rPr>
                <w:rFonts w:hint="eastAsia" w:ascii="黑体" w:hAnsi="黑体" w:eastAsia="黑体"/>
                <w:sz w:val="18"/>
                <w:szCs w:val="18"/>
              </w:rPr>
              <w:t>《电信设备安装抗震设计规范》有关规定执行。</w:t>
            </w:r>
          </w:p>
        </w:tc>
        <w:tc>
          <w:tcPr>
            <w:tcW w:w="1417" w:type="dxa"/>
            <w:tcBorders>
              <w:top w:val="single" w:color="000000" w:sz="4" w:space="0"/>
              <w:left w:val="single" w:color="000000" w:sz="4" w:space="0"/>
              <w:bottom w:val="single" w:color="000000" w:sz="4" w:space="0"/>
              <w:right w:val="single" w:color="000000" w:sz="4" w:space="0"/>
            </w:tcBorders>
          </w:tcPr>
          <w:p w14:paraId="1FDC6B73">
            <w:pPr>
              <w:pStyle w:val="132"/>
              <w:kinsoku w:val="0"/>
              <w:overflowPunct w:val="0"/>
              <w:spacing w:line="228" w:lineRule="exact"/>
              <w:ind w:left="106"/>
              <w:rPr>
                <w:rFonts w:ascii="黑体" w:hAnsi="黑体" w:eastAsia="黑体"/>
                <w:b/>
                <w:bCs/>
                <w:sz w:val="18"/>
                <w:szCs w:val="18"/>
              </w:rPr>
            </w:pPr>
            <w:r>
              <w:rPr>
                <w:rFonts w:hint="eastAsia" w:ascii="黑体" w:hAnsi="黑体" w:eastAsia="黑体"/>
                <w:b/>
                <w:bCs/>
                <w:sz w:val="18"/>
                <w:szCs w:val="18"/>
              </w:rPr>
              <w:t>□满足</w:t>
            </w:r>
          </w:p>
          <w:p w14:paraId="044E9CD3">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p>
        </w:tc>
        <w:tc>
          <w:tcPr>
            <w:tcW w:w="979" w:type="dxa"/>
            <w:tcBorders>
              <w:top w:val="single" w:color="000000" w:sz="4" w:space="0"/>
              <w:left w:val="single" w:color="000000" w:sz="4" w:space="0"/>
              <w:bottom w:val="single" w:color="000000" w:sz="4" w:space="0"/>
              <w:right w:val="single" w:color="000000" w:sz="4" w:space="0"/>
            </w:tcBorders>
          </w:tcPr>
          <w:p w14:paraId="6250AB5C">
            <w:pPr>
              <w:pStyle w:val="132"/>
              <w:kinsoku w:val="0"/>
              <w:overflowPunct w:val="0"/>
              <w:rPr>
                <w:rFonts w:ascii="黑体" w:hAnsi="黑体" w:eastAsia="黑体" w:cs="Times New Roman"/>
                <w:sz w:val="18"/>
                <w:szCs w:val="18"/>
              </w:rPr>
            </w:pPr>
          </w:p>
        </w:tc>
      </w:tr>
    </w:tbl>
    <w:p w14:paraId="77D61521">
      <w:pPr>
        <w:jc w:val="left"/>
        <w:rPr>
          <w:rFonts w:ascii="黑体" w:hAnsi="黑体"/>
          <w:b/>
          <w:bCs/>
          <w:szCs w:val="18"/>
        </w:rPr>
        <w:sectPr>
          <w:pgSz w:w="11910" w:h="16840"/>
          <w:pgMar w:top="1660" w:right="700" w:bottom="1340" w:left="1220" w:header="1757" w:footer="1146" w:gutter="0"/>
          <w:pgNumType w:fmt="decimal"/>
          <w:cols w:space="720" w:num="1"/>
          <w:docGrid w:linePitch="245" w:charSpace="0"/>
        </w:sectPr>
      </w:pPr>
    </w:p>
    <w:p w14:paraId="46F1357A">
      <w:pPr>
        <w:pStyle w:val="111"/>
        <w:ind w:left="1134" w:hanging="424"/>
        <w:jc w:val="left"/>
        <w:rPr>
          <w:b/>
        </w:rPr>
      </w:pPr>
      <w:r>
        <w:rPr>
          <w:rFonts w:hint="eastAsia"/>
          <w:b/>
        </w:rPr>
        <w:t>全钢通风防静电地板技术规格</w:t>
      </w:r>
    </w:p>
    <w:tbl>
      <w:tblPr>
        <w:tblStyle w:val="36"/>
        <w:tblW w:w="0" w:type="auto"/>
        <w:tblInd w:w="211" w:type="dxa"/>
        <w:tblLayout w:type="fixed"/>
        <w:tblCellMar>
          <w:top w:w="0" w:type="dxa"/>
          <w:left w:w="0" w:type="dxa"/>
          <w:bottom w:w="0" w:type="dxa"/>
          <w:right w:w="0" w:type="dxa"/>
        </w:tblCellMar>
      </w:tblPr>
      <w:tblGrid>
        <w:gridCol w:w="725"/>
        <w:gridCol w:w="1277"/>
        <w:gridCol w:w="283"/>
        <w:gridCol w:w="4677"/>
        <w:gridCol w:w="1277"/>
        <w:gridCol w:w="1263"/>
      </w:tblGrid>
      <w:tr w14:paraId="4F66D008">
        <w:tblPrEx>
          <w:tblCellMar>
            <w:top w:w="0" w:type="dxa"/>
            <w:left w:w="0" w:type="dxa"/>
            <w:bottom w:w="0" w:type="dxa"/>
            <w:right w:w="0" w:type="dxa"/>
          </w:tblCellMar>
        </w:tblPrEx>
        <w:trPr>
          <w:trHeight w:val="5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DBE4F0"/>
          </w:tcPr>
          <w:p w14:paraId="73D5D155">
            <w:pPr>
              <w:pStyle w:val="132"/>
              <w:kinsoku w:val="0"/>
              <w:overflowPunct w:val="0"/>
              <w:spacing w:before="8"/>
              <w:rPr>
                <w:rFonts w:ascii="黑体" w:hAnsi="黑体" w:eastAsia="黑体"/>
                <w:b/>
                <w:bCs/>
                <w:sz w:val="18"/>
                <w:szCs w:val="18"/>
              </w:rPr>
            </w:pPr>
          </w:p>
          <w:p w14:paraId="394A0185">
            <w:pPr>
              <w:pStyle w:val="132"/>
              <w:kinsoku w:val="0"/>
              <w:overflowPunct w:val="0"/>
              <w:ind w:left="97" w:right="93"/>
              <w:rPr>
                <w:rFonts w:ascii="黑体" w:hAnsi="黑体" w:eastAsia="黑体"/>
                <w:b/>
                <w:bCs/>
                <w:sz w:val="18"/>
                <w:szCs w:val="18"/>
              </w:rPr>
            </w:pPr>
            <w:r>
              <w:rPr>
                <w:rFonts w:hint="eastAsia" w:ascii="黑体" w:hAnsi="黑体" w:eastAsia="黑体"/>
                <w:b/>
                <w:bCs/>
                <w:sz w:val="18"/>
                <w:szCs w:val="18"/>
              </w:rPr>
              <w:t>序号</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DBE4F0"/>
          </w:tcPr>
          <w:p w14:paraId="0F0477F6">
            <w:pPr>
              <w:pStyle w:val="132"/>
              <w:kinsoku w:val="0"/>
              <w:overflowPunct w:val="0"/>
              <w:spacing w:before="8"/>
              <w:rPr>
                <w:rFonts w:ascii="黑体" w:hAnsi="黑体" w:eastAsia="黑体"/>
                <w:b/>
                <w:bCs/>
                <w:sz w:val="18"/>
                <w:szCs w:val="18"/>
              </w:rPr>
            </w:pPr>
          </w:p>
          <w:p w14:paraId="40950C6B">
            <w:pPr>
              <w:pStyle w:val="132"/>
              <w:kinsoku w:val="0"/>
              <w:overflowPunct w:val="0"/>
              <w:ind w:left="576" w:right="571"/>
              <w:rPr>
                <w:rFonts w:ascii="黑体" w:hAnsi="黑体" w:eastAsia="黑体"/>
                <w:b/>
                <w:bCs/>
                <w:sz w:val="18"/>
                <w:szCs w:val="18"/>
              </w:rPr>
            </w:pPr>
            <w:r>
              <w:rPr>
                <w:rFonts w:hint="eastAsia" w:ascii="黑体" w:hAnsi="黑体" w:eastAsia="黑体"/>
                <w:b/>
                <w:bCs/>
                <w:sz w:val="18"/>
                <w:szCs w:val="18"/>
              </w:rPr>
              <w:t>项目</w:t>
            </w:r>
          </w:p>
        </w:tc>
        <w:tc>
          <w:tcPr>
            <w:tcW w:w="4677" w:type="dxa"/>
            <w:tcBorders>
              <w:top w:val="single" w:color="000000" w:sz="4" w:space="0"/>
              <w:left w:val="single" w:color="000000" w:sz="4" w:space="0"/>
              <w:bottom w:val="single" w:color="000000" w:sz="4" w:space="0"/>
              <w:right w:val="single" w:color="000000" w:sz="4" w:space="0"/>
            </w:tcBorders>
            <w:shd w:val="clear" w:color="auto" w:fill="DBE4F0"/>
          </w:tcPr>
          <w:p w14:paraId="7005ED51">
            <w:pPr>
              <w:pStyle w:val="132"/>
              <w:kinsoku w:val="0"/>
              <w:overflowPunct w:val="0"/>
              <w:spacing w:before="8"/>
              <w:rPr>
                <w:rFonts w:ascii="黑体" w:hAnsi="黑体" w:eastAsia="黑体"/>
                <w:b/>
                <w:bCs/>
                <w:sz w:val="18"/>
                <w:szCs w:val="18"/>
              </w:rPr>
            </w:pPr>
          </w:p>
          <w:p w14:paraId="32146A23">
            <w:pPr>
              <w:pStyle w:val="132"/>
              <w:kinsoku w:val="0"/>
              <w:overflowPunct w:val="0"/>
              <w:ind w:left="1957" w:right="1946"/>
              <w:rPr>
                <w:rFonts w:ascii="黑体" w:hAnsi="黑体" w:eastAsia="黑体"/>
                <w:b/>
                <w:bCs/>
                <w:sz w:val="18"/>
                <w:szCs w:val="18"/>
              </w:rPr>
            </w:pPr>
            <w:r>
              <w:rPr>
                <w:rFonts w:hint="eastAsia" w:ascii="黑体" w:hAnsi="黑体" w:eastAsia="黑体"/>
                <w:b/>
                <w:bCs/>
                <w:sz w:val="18"/>
                <w:szCs w:val="18"/>
              </w:rPr>
              <w:t>项目说明</w:t>
            </w:r>
          </w:p>
        </w:tc>
        <w:tc>
          <w:tcPr>
            <w:tcW w:w="1277" w:type="dxa"/>
            <w:tcBorders>
              <w:top w:val="single" w:color="000000" w:sz="4" w:space="0"/>
              <w:left w:val="single" w:color="000000" w:sz="4" w:space="0"/>
              <w:bottom w:val="single" w:color="000000" w:sz="4" w:space="0"/>
              <w:right w:val="single" w:color="000000" w:sz="4" w:space="0"/>
            </w:tcBorders>
            <w:shd w:val="clear" w:color="auto" w:fill="DBE4F0"/>
          </w:tcPr>
          <w:p w14:paraId="67A851C9">
            <w:pPr>
              <w:pStyle w:val="132"/>
              <w:kinsoku w:val="0"/>
              <w:overflowPunct w:val="0"/>
              <w:spacing w:before="8"/>
              <w:rPr>
                <w:rFonts w:ascii="黑体" w:hAnsi="黑体" w:eastAsia="黑体"/>
                <w:b/>
                <w:bCs/>
                <w:sz w:val="18"/>
                <w:szCs w:val="18"/>
              </w:rPr>
            </w:pPr>
          </w:p>
          <w:p w14:paraId="7340A3DB">
            <w:pPr>
              <w:pStyle w:val="132"/>
              <w:kinsoku w:val="0"/>
              <w:overflowPunct w:val="0"/>
              <w:ind w:left="279"/>
              <w:rPr>
                <w:rFonts w:ascii="黑体" w:hAnsi="黑体" w:eastAsia="黑体"/>
                <w:b/>
                <w:bCs/>
                <w:sz w:val="18"/>
                <w:szCs w:val="18"/>
              </w:rPr>
            </w:pPr>
            <w:r>
              <w:rPr>
                <w:rFonts w:hint="eastAsia" w:ascii="黑体" w:hAnsi="黑体" w:eastAsia="黑体"/>
                <w:b/>
                <w:bCs/>
                <w:sz w:val="18"/>
                <w:szCs w:val="18"/>
              </w:rPr>
              <w:t>厂商答复</w:t>
            </w:r>
          </w:p>
        </w:tc>
        <w:tc>
          <w:tcPr>
            <w:tcW w:w="1263" w:type="dxa"/>
            <w:tcBorders>
              <w:top w:val="single" w:color="000000" w:sz="4" w:space="0"/>
              <w:left w:val="single" w:color="000000" w:sz="4" w:space="0"/>
              <w:bottom w:val="single" w:color="000000" w:sz="4" w:space="0"/>
              <w:right w:val="single" w:color="000000" w:sz="4" w:space="0"/>
            </w:tcBorders>
            <w:shd w:val="clear" w:color="auto" w:fill="DBE4F0"/>
          </w:tcPr>
          <w:p w14:paraId="46A76716">
            <w:pPr>
              <w:pStyle w:val="132"/>
              <w:kinsoku w:val="0"/>
              <w:overflowPunct w:val="0"/>
              <w:spacing w:before="64"/>
              <w:ind w:left="179" w:right="164"/>
              <w:rPr>
                <w:rFonts w:ascii="黑体" w:hAnsi="黑体" w:eastAsia="黑体"/>
                <w:b/>
                <w:bCs/>
                <w:sz w:val="18"/>
                <w:szCs w:val="18"/>
              </w:rPr>
            </w:pPr>
            <w:r>
              <w:rPr>
                <w:rFonts w:hint="eastAsia" w:ascii="黑体" w:hAnsi="黑体" w:eastAsia="黑体"/>
                <w:b/>
                <w:bCs/>
                <w:sz w:val="18"/>
                <w:szCs w:val="18"/>
              </w:rPr>
              <w:t>请填写贵司的性能参数</w:t>
            </w:r>
          </w:p>
        </w:tc>
      </w:tr>
      <w:tr w14:paraId="6FE3AE85">
        <w:tblPrEx>
          <w:tblCellMar>
            <w:top w:w="0" w:type="dxa"/>
            <w:left w:w="0" w:type="dxa"/>
            <w:bottom w:w="0" w:type="dxa"/>
            <w:right w:w="0" w:type="dxa"/>
          </w:tblCellMar>
        </w:tblPrEx>
        <w:trPr>
          <w:trHeight w:val="667" w:hRule="atLeast"/>
        </w:trPr>
        <w:tc>
          <w:tcPr>
            <w:tcW w:w="725" w:type="dxa"/>
            <w:tcBorders>
              <w:top w:val="single" w:color="000000" w:sz="4" w:space="0"/>
              <w:left w:val="single" w:color="000000" w:sz="4" w:space="0"/>
              <w:bottom w:val="single" w:color="000000" w:sz="4" w:space="0"/>
              <w:right w:val="single" w:color="000000" w:sz="4" w:space="0"/>
            </w:tcBorders>
          </w:tcPr>
          <w:p w14:paraId="1B7C1663">
            <w:pPr>
              <w:pStyle w:val="132"/>
              <w:kinsoku w:val="0"/>
              <w:overflowPunct w:val="0"/>
              <w:spacing w:before="113"/>
              <w:ind w:left="158" w:right="67"/>
              <w:rPr>
                <w:rFonts w:ascii="黑体" w:hAnsi="黑体" w:eastAsia="黑体"/>
                <w:sz w:val="18"/>
                <w:szCs w:val="18"/>
              </w:rPr>
            </w:pPr>
            <w:r>
              <w:rPr>
                <w:rFonts w:ascii="黑体" w:hAnsi="黑体" w:eastAsia="黑体"/>
                <w:sz w:val="18"/>
                <w:szCs w:val="18"/>
              </w:rPr>
              <w:t xml:space="preserve">1 </w:t>
            </w:r>
          </w:p>
        </w:tc>
        <w:tc>
          <w:tcPr>
            <w:tcW w:w="1560" w:type="dxa"/>
            <w:gridSpan w:val="2"/>
            <w:tcBorders>
              <w:top w:val="single" w:color="000000" w:sz="4" w:space="0"/>
              <w:left w:val="single" w:color="000000" w:sz="4" w:space="0"/>
              <w:bottom w:val="single" w:color="000000" w:sz="4" w:space="0"/>
              <w:right w:val="single" w:color="000000" w:sz="4" w:space="0"/>
            </w:tcBorders>
          </w:tcPr>
          <w:p w14:paraId="2452140E">
            <w:pPr>
              <w:pStyle w:val="132"/>
              <w:kinsoku w:val="0"/>
              <w:overflowPunct w:val="0"/>
              <w:spacing w:before="103"/>
              <w:ind w:left="105"/>
              <w:rPr>
                <w:rFonts w:ascii="黑体" w:hAnsi="黑体" w:eastAsia="黑体"/>
                <w:b/>
                <w:bCs/>
                <w:sz w:val="18"/>
                <w:szCs w:val="18"/>
              </w:rPr>
            </w:pPr>
            <w:r>
              <w:rPr>
                <w:rFonts w:hint="eastAsia" w:ascii="黑体" w:hAnsi="黑体" w:eastAsia="黑体"/>
                <w:b/>
                <w:bCs/>
                <w:sz w:val="18"/>
                <w:szCs w:val="18"/>
              </w:rPr>
              <w:t>需求物料名称</w:t>
            </w:r>
            <w:r>
              <w:rPr>
                <w:rFonts w:ascii="黑体" w:hAnsi="黑体" w:eastAsia="黑体"/>
                <w:b/>
                <w:bCs/>
                <w:sz w:val="18"/>
                <w:szCs w:val="18"/>
              </w:rPr>
              <w:t xml:space="preserve"> </w:t>
            </w:r>
          </w:p>
        </w:tc>
        <w:tc>
          <w:tcPr>
            <w:tcW w:w="4677" w:type="dxa"/>
            <w:tcBorders>
              <w:top w:val="single" w:color="000000" w:sz="4" w:space="0"/>
              <w:left w:val="single" w:color="000000" w:sz="4" w:space="0"/>
              <w:bottom w:val="single" w:color="000000" w:sz="4" w:space="0"/>
              <w:right w:val="single" w:color="000000" w:sz="4" w:space="0"/>
            </w:tcBorders>
          </w:tcPr>
          <w:p w14:paraId="128E7E58">
            <w:pPr>
              <w:pStyle w:val="132"/>
              <w:kinsoku w:val="0"/>
              <w:overflowPunct w:val="0"/>
              <w:spacing w:line="244" w:lineRule="auto"/>
              <w:ind w:left="106" w:right="92"/>
              <w:rPr>
                <w:rFonts w:ascii="黑体" w:hAnsi="黑体" w:eastAsia="黑体"/>
                <w:sz w:val="18"/>
                <w:szCs w:val="18"/>
              </w:rPr>
            </w:pPr>
            <w:r>
              <w:rPr>
                <w:rFonts w:hint="eastAsia" w:ascii="黑体" w:hAnsi="黑体" w:eastAsia="黑体"/>
                <w:sz w:val="18"/>
                <w:szCs w:val="18"/>
              </w:rPr>
              <w:t>全钢通风防静电地板及其配套件（</w:t>
            </w:r>
            <w:r>
              <w:rPr>
                <w:rFonts w:ascii="黑体" w:hAnsi="黑体" w:eastAsia="黑体" w:cs="Calibri"/>
                <w:sz w:val="18"/>
                <w:szCs w:val="18"/>
              </w:rPr>
              <w:t>600mm*600mm</w:t>
            </w:r>
            <w:r>
              <w:rPr>
                <w:rFonts w:hint="eastAsia" w:ascii="黑体" w:hAnsi="黑体" w:eastAsia="黑体"/>
                <w:sz w:val="18"/>
                <w:szCs w:val="18"/>
              </w:rPr>
              <w:t>，厚度与主用地板保持一致，包括可调，不可调两种）</w:t>
            </w:r>
          </w:p>
        </w:tc>
        <w:tc>
          <w:tcPr>
            <w:tcW w:w="1277" w:type="dxa"/>
            <w:tcBorders>
              <w:top w:val="single" w:color="000000" w:sz="4" w:space="0"/>
              <w:left w:val="single" w:color="000000" w:sz="4" w:space="0"/>
              <w:bottom w:val="single" w:color="000000" w:sz="4" w:space="0"/>
              <w:right w:val="single" w:color="000000" w:sz="4" w:space="0"/>
            </w:tcBorders>
          </w:tcPr>
          <w:p w14:paraId="7EF8CF71">
            <w:pPr>
              <w:pStyle w:val="132"/>
              <w:kinsoku w:val="0"/>
              <w:overflowPunct w:val="0"/>
              <w:spacing w:line="229" w:lineRule="exact"/>
              <w:ind w:left="111"/>
              <w:rPr>
                <w:rFonts w:ascii="黑体" w:hAnsi="黑体" w:eastAsia="黑体"/>
                <w:b/>
                <w:bCs/>
                <w:sz w:val="18"/>
                <w:szCs w:val="18"/>
              </w:rPr>
            </w:pPr>
            <w:r>
              <w:rPr>
                <w:rFonts w:hint="eastAsia" w:ascii="黑体" w:hAnsi="黑体" w:eastAsia="黑体"/>
                <w:b/>
                <w:bCs/>
                <w:sz w:val="18"/>
                <w:szCs w:val="18"/>
              </w:rPr>
              <w:t>□满足</w:t>
            </w:r>
          </w:p>
          <w:p w14:paraId="51349383">
            <w:pPr>
              <w:pStyle w:val="132"/>
              <w:kinsoku w:val="0"/>
              <w:overflowPunct w:val="0"/>
              <w:spacing w:before="4"/>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3EF54772">
            <w:pPr>
              <w:pStyle w:val="132"/>
              <w:kinsoku w:val="0"/>
              <w:overflowPunct w:val="0"/>
              <w:rPr>
                <w:rFonts w:ascii="黑体" w:hAnsi="黑体" w:eastAsia="黑体" w:cs="Times New Roman"/>
                <w:sz w:val="18"/>
                <w:szCs w:val="18"/>
              </w:rPr>
            </w:pPr>
          </w:p>
        </w:tc>
      </w:tr>
      <w:tr w14:paraId="2BDC4BEF">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75279053">
            <w:pPr>
              <w:pStyle w:val="132"/>
              <w:kinsoku w:val="0"/>
              <w:overflowPunct w:val="0"/>
              <w:spacing w:before="112"/>
              <w:ind w:left="158" w:right="67"/>
              <w:rPr>
                <w:rFonts w:ascii="黑体" w:hAnsi="黑体" w:eastAsia="黑体"/>
                <w:sz w:val="18"/>
                <w:szCs w:val="18"/>
              </w:rPr>
            </w:pPr>
            <w:r>
              <w:rPr>
                <w:rFonts w:ascii="黑体" w:hAnsi="黑体" w:eastAsia="黑体"/>
                <w:sz w:val="18"/>
                <w:szCs w:val="18"/>
              </w:rPr>
              <w:t xml:space="preserve">2 </w:t>
            </w:r>
          </w:p>
        </w:tc>
        <w:tc>
          <w:tcPr>
            <w:tcW w:w="1560" w:type="dxa"/>
            <w:gridSpan w:val="2"/>
            <w:tcBorders>
              <w:top w:val="single" w:color="000000" w:sz="4" w:space="0"/>
              <w:left w:val="single" w:color="000000" w:sz="4" w:space="0"/>
              <w:bottom w:val="single" w:color="000000" w:sz="4" w:space="0"/>
              <w:right w:val="single" w:color="000000" w:sz="4" w:space="0"/>
            </w:tcBorders>
          </w:tcPr>
          <w:p w14:paraId="4CC1CAFD">
            <w:pPr>
              <w:pStyle w:val="132"/>
              <w:kinsoku w:val="0"/>
              <w:overflowPunct w:val="0"/>
              <w:spacing w:before="102"/>
              <w:ind w:left="105"/>
              <w:rPr>
                <w:rFonts w:ascii="黑体" w:hAnsi="黑体" w:eastAsia="黑体"/>
                <w:b/>
                <w:bCs/>
                <w:sz w:val="18"/>
                <w:szCs w:val="18"/>
              </w:rPr>
            </w:pPr>
            <w:r>
              <w:rPr>
                <w:rFonts w:hint="eastAsia" w:ascii="黑体" w:hAnsi="黑体" w:eastAsia="黑体"/>
                <w:b/>
                <w:bCs/>
                <w:sz w:val="18"/>
                <w:szCs w:val="18"/>
              </w:rPr>
              <w:t>总体要求</w:t>
            </w:r>
            <w:r>
              <w:rPr>
                <w:rFonts w:ascii="黑体" w:hAnsi="黑体" w:eastAsia="黑体"/>
                <w:b/>
                <w:bCs/>
                <w:sz w:val="18"/>
                <w:szCs w:val="18"/>
              </w:rPr>
              <w:t xml:space="preserve"> </w:t>
            </w:r>
          </w:p>
        </w:tc>
        <w:tc>
          <w:tcPr>
            <w:tcW w:w="4677" w:type="dxa"/>
            <w:tcBorders>
              <w:top w:val="single" w:color="000000" w:sz="4" w:space="0"/>
              <w:left w:val="single" w:color="000000" w:sz="4" w:space="0"/>
              <w:bottom w:val="single" w:color="000000" w:sz="4" w:space="0"/>
              <w:right w:val="single" w:color="000000" w:sz="4" w:space="0"/>
            </w:tcBorders>
          </w:tcPr>
          <w:p w14:paraId="78003362">
            <w:pPr>
              <w:pStyle w:val="132"/>
              <w:kinsoku w:val="0"/>
              <w:overflowPunct w:val="0"/>
              <w:rPr>
                <w:rFonts w:ascii="黑体" w:hAnsi="黑体" w:eastAsia="黑体" w:cs="Times New Roman"/>
                <w:sz w:val="18"/>
                <w:szCs w:val="18"/>
              </w:rPr>
            </w:pPr>
          </w:p>
        </w:tc>
        <w:tc>
          <w:tcPr>
            <w:tcW w:w="1277" w:type="dxa"/>
            <w:tcBorders>
              <w:top w:val="single" w:color="000000" w:sz="4" w:space="0"/>
              <w:left w:val="single" w:color="000000" w:sz="4" w:space="0"/>
              <w:bottom w:val="single" w:color="000000" w:sz="4" w:space="0"/>
              <w:right w:val="single" w:color="000000" w:sz="4" w:space="0"/>
            </w:tcBorders>
          </w:tcPr>
          <w:p w14:paraId="2CD61DE8">
            <w:pPr>
              <w:pStyle w:val="132"/>
              <w:kinsoku w:val="0"/>
              <w:overflowPunct w:val="0"/>
              <w:spacing w:line="228" w:lineRule="exact"/>
              <w:ind w:left="111"/>
              <w:rPr>
                <w:rFonts w:ascii="黑体" w:hAnsi="黑体" w:eastAsia="黑体"/>
                <w:b/>
                <w:bCs/>
                <w:sz w:val="18"/>
                <w:szCs w:val="18"/>
              </w:rPr>
            </w:pPr>
            <w:r>
              <w:rPr>
                <w:rFonts w:hint="eastAsia" w:ascii="黑体" w:hAnsi="黑体" w:eastAsia="黑体"/>
                <w:b/>
                <w:bCs/>
                <w:sz w:val="18"/>
                <w:szCs w:val="18"/>
              </w:rPr>
              <w:t>□满足</w:t>
            </w:r>
          </w:p>
          <w:p w14:paraId="4A6CB2A5">
            <w:pPr>
              <w:pStyle w:val="132"/>
              <w:kinsoku w:val="0"/>
              <w:overflowPunct w:val="0"/>
              <w:spacing w:before="4"/>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4E950766">
            <w:pPr>
              <w:pStyle w:val="132"/>
              <w:kinsoku w:val="0"/>
              <w:overflowPunct w:val="0"/>
              <w:rPr>
                <w:rFonts w:ascii="黑体" w:hAnsi="黑体" w:eastAsia="黑体" w:cs="Times New Roman"/>
                <w:sz w:val="18"/>
                <w:szCs w:val="18"/>
              </w:rPr>
            </w:pPr>
          </w:p>
        </w:tc>
      </w:tr>
      <w:tr w14:paraId="10C62FAA">
        <w:tblPrEx>
          <w:tblCellMar>
            <w:top w:w="0" w:type="dxa"/>
            <w:left w:w="0" w:type="dxa"/>
            <w:bottom w:w="0" w:type="dxa"/>
            <w:right w:w="0" w:type="dxa"/>
          </w:tblCellMar>
        </w:tblPrEx>
        <w:trPr>
          <w:trHeight w:val="667" w:hRule="atLeast"/>
        </w:trPr>
        <w:tc>
          <w:tcPr>
            <w:tcW w:w="725" w:type="dxa"/>
            <w:tcBorders>
              <w:top w:val="single" w:color="000000" w:sz="4" w:space="0"/>
              <w:left w:val="single" w:color="000000" w:sz="4" w:space="0"/>
              <w:bottom w:val="single" w:color="000000" w:sz="4" w:space="0"/>
              <w:right w:val="single" w:color="000000" w:sz="4" w:space="0"/>
            </w:tcBorders>
          </w:tcPr>
          <w:p w14:paraId="53F8754B">
            <w:pPr>
              <w:pStyle w:val="132"/>
              <w:kinsoku w:val="0"/>
              <w:overflowPunct w:val="0"/>
              <w:spacing w:before="112"/>
              <w:ind w:left="158" w:right="62"/>
              <w:rPr>
                <w:rFonts w:ascii="黑体" w:hAnsi="黑体" w:eastAsia="黑体"/>
                <w:sz w:val="18"/>
                <w:szCs w:val="18"/>
              </w:rPr>
            </w:pPr>
            <w:r>
              <w:rPr>
                <w:rFonts w:ascii="黑体" w:hAnsi="黑体" w:eastAsia="黑体"/>
                <w:sz w:val="18"/>
                <w:szCs w:val="18"/>
              </w:rPr>
              <w:t xml:space="preserve">2.1 </w:t>
            </w:r>
          </w:p>
        </w:tc>
        <w:tc>
          <w:tcPr>
            <w:tcW w:w="6237" w:type="dxa"/>
            <w:gridSpan w:val="3"/>
            <w:tcBorders>
              <w:top w:val="single" w:color="000000" w:sz="4" w:space="0"/>
              <w:left w:val="single" w:color="000000" w:sz="4" w:space="0"/>
              <w:bottom w:val="single" w:color="000000" w:sz="4" w:space="0"/>
              <w:right w:val="single" w:color="000000" w:sz="4" w:space="0"/>
            </w:tcBorders>
          </w:tcPr>
          <w:p w14:paraId="0C7C026C">
            <w:pPr>
              <w:pStyle w:val="132"/>
              <w:kinsoku w:val="0"/>
              <w:overflowPunct w:val="0"/>
              <w:spacing w:line="244" w:lineRule="auto"/>
              <w:ind w:left="105" w:right="90"/>
              <w:rPr>
                <w:rFonts w:ascii="黑体" w:hAnsi="黑体" w:eastAsia="黑体"/>
                <w:sz w:val="18"/>
                <w:szCs w:val="18"/>
              </w:rPr>
            </w:pPr>
            <w:r>
              <w:rPr>
                <w:rFonts w:hint="eastAsia" w:ascii="黑体" w:hAnsi="黑体" w:eastAsia="黑体"/>
                <w:sz w:val="18"/>
                <w:szCs w:val="18"/>
              </w:rPr>
              <w:t>防静电地板及其配套件的外形和尺寸应符合行业产品的要求，外形和尺寸公差应符合图纸及有关规定，安装结构件应尺寸准确，安全牢固。</w:t>
            </w:r>
          </w:p>
        </w:tc>
        <w:tc>
          <w:tcPr>
            <w:tcW w:w="1277" w:type="dxa"/>
            <w:tcBorders>
              <w:top w:val="single" w:color="000000" w:sz="4" w:space="0"/>
              <w:left w:val="single" w:color="000000" w:sz="4" w:space="0"/>
              <w:bottom w:val="single" w:color="000000" w:sz="4" w:space="0"/>
              <w:right w:val="single" w:color="000000" w:sz="4" w:space="0"/>
            </w:tcBorders>
          </w:tcPr>
          <w:p w14:paraId="76251A48">
            <w:pPr>
              <w:pStyle w:val="132"/>
              <w:kinsoku w:val="0"/>
              <w:overflowPunct w:val="0"/>
              <w:spacing w:line="228" w:lineRule="exact"/>
              <w:ind w:left="111"/>
              <w:rPr>
                <w:rFonts w:ascii="黑体" w:hAnsi="黑体" w:eastAsia="黑体"/>
                <w:b/>
                <w:bCs/>
                <w:sz w:val="18"/>
                <w:szCs w:val="18"/>
              </w:rPr>
            </w:pPr>
            <w:r>
              <w:rPr>
                <w:rFonts w:hint="eastAsia" w:ascii="黑体" w:hAnsi="黑体" w:eastAsia="黑体"/>
                <w:b/>
                <w:bCs/>
                <w:sz w:val="18"/>
                <w:szCs w:val="18"/>
              </w:rPr>
              <w:t>□满足</w:t>
            </w:r>
          </w:p>
          <w:p w14:paraId="1D598770">
            <w:pPr>
              <w:pStyle w:val="132"/>
              <w:kinsoku w:val="0"/>
              <w:overflowPunct w:val="0"/>
              <w:spacing w:before="4"/>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1E9C65E3">
            <w:pPr>
              <w:pStyle w:val="132"/>
              <w:kinsoku w:val="0"/>
              <w:overflowPunct w:val="0"/>
              <w:rPr>
                <w:rFonts w:ascii="黑体" w:hAnsi="黑体" w:eastAsia="黑体" w:cs="Times New Roman"/>
                <w:sz w:val="18"/>
                <w:szCs w:val="18"/>
              </w:rPr>
            </w:pPr>
          </w:p>
        </w:tc>
      </w:tr>
      <w:tr w14:paraId="2AAC4BFB">
        <w:tblPrEx>
          <w:tblCellMar>
            <w:top w:w="0" w:type="dxa"/>
            <w:left w:w="0" w:type="dxa"/>
            <w:bottom w:w="0" w:type="dxa"/>
            <w:right w:w="0" w:type="dxa"/>
          </w:tblCellMar>
        </w:tblPrEx>
        <w:trPr>
          <w:trHeight w:val="1365" w:hRule="atLeast"/>
        </w:trPr>
        <w:tc>
          <w:tcPr>
            <w:tcW w:w="725" w:type="dxa"/>
            <w:tcBorders>
              <w:top w:val="single" w:color="000000" w:sz="4" w:space="0"/>
              <w:left w:val="single" w:color="000000" w:sz="4" w:space="0"/>
              <w:bottom w:val="single" w:color="000000" w:sz="6" w:space="0"/>
              <w:right w:val="single" w:color="000000" w:sz="4" w:space="0"/>
            </w:tcBorders>
          </w:tcPr>
          <w:p w14:paraId="7B4D115E">
            <w:pPr>
              <w:pStyle w:val="132"/>
              <w:kinsoku w:val="0"/>
              <w:overflowPunct w:val="0"/>
              <w:rPr>
                <w:rFonts w:ascii="黑体" w:hAnsi="黑体" w:eastAsia="黑体"/>
                <w:b/>
                <w:bCs/>
                <w:sz w:val="18"/>
                <w:szCs w:val="18"/>
              </w:rPr>
            </w:pPr>
          </w:p>
          <w:p w14:paraId="619F83E5">
            <w:pPr>
              <w:pStyle w:val="132"/>
              <w:kinsoku w:val="0"/>
              <w:overflowPunct w:val="0"/>
              <w:spacing w:before="1"/>
              <w:rPr>
                <w:rFonts w:ascii="黑体" w:hAnsi="黑体" w:eastAsia="黑体"/>
                <w:b/>
                <w:bCs/>
                <w:sz w:val="18"/>
                <w:szCs w:val="18"/>
              </w:rPr>
            </w:pPr>
          </w:p>
          <w:p w14:paraId="59813B5D">
            <w:pPr>
              <w:pStyle w:val="132"/>
              <w:kinsoku w:val="0"/>
              <w:overflowPunct w:val="0"/>
              <w:ind w:left="158" w:right="62"/>
              <w:rPr>
                <w:rFonts w:ascii="黑体" w:hAnsi="黑体" w:eastAsia="黑体"/>
                <w:sz w:val="18"/>
                <w:szCs w:val="18"/>
              </w:rPr>
            </w:pPr>
            <w:r>
              <w:rPr>
                <w:rFonts w:ascii="黑体" w:hAnsi="黑体" w:eastAsia="黑体"/>
                <w:sz w:val="18"/>
                <w:szCs w:val="18"/>
              </w:rPr>
              <w:t xml:space="preserve">2.2 </w:t>
            </w:r>
          </w:p>
        </w:tc>
        <w:tc>
          <w:tcPr>
            <w:tcW w:w="6237" w:type="dxa"/>
            <w:gridSpan w:val="3"/>
            <w:tcBorders>
              <w:top w:val="single" w:color="000000" w:sz="4" w:space="0"/>
              <w:left w:val="single" w:color="000000" w:sz="4" w:space="0"/>
              <w:bottom w:val="single" w:color="000000" w:sz="6" w:space="0"/>
              <w:right w:val="single" w:color="000000" w:sz="4" w:space="0"/>
            </w:tcBorders>
          </w:tcPr>
          <w:p w14:paraId="1E0DC204">
            <w:pPr>
              <w:pStyle w:val="132"/>
              <w:kinsoku w:val="0"/>
              <w:overflowPunct w:val="0"/>
              <w:spacing w:line="217" w:lineRule="exact"/>
              <w:ind w:left="105"/>
              <w:rPr>
                <w:rFonts w:ascii="黑体" w:hAnsi="黑体" w:eastAsia="黑体"/>
                <w:sz w:val="18"/>
                <w:szCs w:val="18"/>
              </w:rPr>
            </w:pPr>
            <w:r>
              <w:rPr>
                <w:rFonts w:hint="eastAsia" w:ascii="黑体" w:hAnsi="黑体" w:eastAsia="黑体"/>
                <w:sz w:val="18"/>
                <w:szCs w:val="18"/>
              </w:rPr>
              <w:t>防静电地板产品应符合</w:t>
            </w:r>
            <w:r>
              <w:rPr>
                <w:rFonts w:ascii="黑体" w:hAnsi="黑体" w:eastAsia="黑体"/>
                <w:sz w:val="18"/>
                <w:szCs w:val="18"/>
              </w:rPr>
              <w:t xml:space="preserve"> </w:t>
            </w:r>
            <w:r>
              <w:rPr>
                <w:rFonts w:ascii="黑体" w:hAnsi="黑体" w:eastAsia="黑体" w:cs="Calibri"/>
                <w:sz w:val="18"/>
                <w:szCs w:val="18"/>
              </w:rPr>
              <w:t>GBT 36340-2018</w:t>
            </w:r>
            <w:r>
              <w:rPr>
                <w:rFonts w:hint="eastAsia" w:ascii="黑体" w:hAnsi="黑体" w:eastAsia="黑体"/>
                <w:sz w:val="18"/>
                <w:szCs w:val="18"/>
              </w:rPr>
              <w:t>《防静电活动地板通用规范》，</w:t>
            </w:r>
            <w:r>
              <w:rPr>
                <w:rFonts w:ascii="黑体" w:hAnsi="黑体" w:eastAsia="黑体"/>
                <w:sz w:val="18"/>
                <w:szCs w:val="18"/>
              </w:rPr>
              <w:t xml:space="preserve"> </w:t>
            </w:r>
            <w:r>
              <w:rPr>
                <w:rFonts w:ascii="黑体" w:hAnsi="黑体" w:eastAsia="黑体" w:cs="Calibri"/>
                <w:sz w:val="18"/>
                <w:szCs w:val="18"/>
              </w:rPr>
              <w:t>GB-</w:t>
            </w:r>
          </w:p>
          <w:p w14:paraId="79ACC453">
            <w:pPr>
              <w:pStyle w:val="132"/>
              <w:kinsoku w:val="0"/>
              <w:overflowPunct w:val="0"/>
              <w:spacing w:before="2" w:line="242" w:lineRule="auto"/>
              <w:ind w:left="105" w:right="93"/>
              <w:rPr>
                <w:rFonts w:ascii="黑体" w:hAnsi="黑体" w:eastAsia="黑体"/>
                <w:sz w:val="18"/>
                <w:szCs w:val="18"/>
              </w:rPr>
            </w:pPr>
            <w:r>
              <w:rPr>
                <w:rFonts w:ascii="黑体" w:hAnsi="黑体" w:eastAsia="黑体" w:cs="Calibri"/>
                <w:sz w:val="18"/>
                <w:szCs w:val="18"/>
              </w:rPr>
              <w:t>T 7911-2013</w:t>
            </w:r>
            <w:r>
              <w:rPr>
                <w:rFonts w:hint="eastAsia" w:ascii="黑体" w:hAnsi="黑体" w:eastAsia="黑体"/>
                <w:sz w:val="18"/>
                <w:szCs w:val="18"/>
              </w:rPr>
              <w:t>《防静电贴面板通用规范》，</w:t>
            </w:r>
            <w:r>
              <w:rPr>
                <w:rFonts w:ascii="黑体" w:hAnsi="黑体" w:eastAsia="黑体" w:cs="Calibri"/>
                <w:sz w:val="18"/>
                <w:szCs w:val="18"/>
              </w:rPr>
              <w:t>SJ/T 11159-1998</w:t>
            </w:r>
            <w:r>
              <w:rPr>
                <w:rFonts w:hint="eastAsia" w:ascii="黑体" w:hAnsi="黑体" w:eastAsia="黑体"/>
                <w:sz w:val="18"/>
                <w:szCs w:val="18"/>
              </w:rPr>
              <w:t>《地板覆盖层和装配地板静电性能的试验方法》，</w:t>
            </w:r>
            <w:r>
              <w:rPr>
                <w:rFonts w:ascii="黑体" w:hAnsi="黑体" w:eastAsia="黑体"/>
                <w:sz w:val="18"/>
                <w:szCs w:val="18"/>
              </w:rPr>
              <w:t xml:space="preserve"> </w:t>
            </w:r>
            <w:r>
              <w:rPr>
                <w:rFonts w:ascii="黑体" w:hAnsi="黑体" w:eastAsia="黑体" w:cs="Calibri"/>
                <w:sz w:val="18"/>
                <w:szCs w:val="18"/>
              </w:rPr>
              <w:t>GB 8624-2012</w:t>
            </w:r>
            <w:r>
              <w:rPr>
                <w:rFonts w:hint="eastAsia" w:ascii="黑体" w:hAnsi="黑体" w:eastAsia="黑体"/>
                <w:sz w:val="18"/>
                <w:szCs w:val="18"/>
              </w:rPr>
              <w:t>《建筑材料及制品燃烧性能分级》，</w:t>
            </w:r>
            <w:r>
              <w:rPr>
                <w:rFonts w:ascii="黑体" w:hAnsi="黑体" w:eastAsia="黑体"/>
                <w:sz w:val="18"/>
                <w:szCs w:val="18"/>
              </w:rPr>
              <w:t xml:space="preserve">  </w:t>
            </w:r>
            <w:r>
              <w:rPr>
                <w:rFonts w:ascii="黑体" w:hAnsi="黑体" w:eastAsia="黑体" w:cs="Calibri"/>
                <w:sz w:val="18"/>
                <w:szCs w:val="18"/>
              </w:rPr>
              <w:t>GB  50325-2014</w:t>
            </w:r>
            <w:r>
              <w:rPr>
                <w:rFonts w:hint="eastAsia" w:ascii="黑体" w:hAnsi="黑体" w:eastAsia="黑体"/>
                <w:sz w:val="18"/>
                <w:szCs w:val="18"/>
              </w:rPr>
              <w:t>《中国民用建筑工程室内环境污染控制规范》等标准的规定。</w:t>
            </w:r>
          </w:p>
        </w:tc>
        <w:tc>
          <w:tcPr>
            <w:tcW w:w="1277" w:type="dxa"/>
            <w:tcBorders>
              <w:top w:val="single" w:color="000000" w:sz="4" w:space="0"/>
              <w:left w:val="single" w:color="000000" w:sz="4" w:space="0"/>
              <w:bottom w:val="single" w:color="000000" w:sz="6" w:space="0"/>
              <w:right w:val="single" w:color="000000" w:sz="4" w:space="0"/>
            </w:tcBorders>
          </w:tcPr>
          <w:p w14:paraId="55263CCC">
            <w:pPr>
              <w:pStyle w:val="132"/>
              <w:kinsoku w:val="0"/>
              <w:overflowPunct w:val="0"/>
              <w:rPr>
                <w:rFonts w:ascii="黑体" w:hAnsi="黑体" w:eastAsia="黑体"/>
                <w:b/>
                <w:bCs/>
                <w:sz w:val="18"/>
                <w:szCs w:val="18"/>
              </w:rPr>
            </w:pPr>
          </w:p>
          <w:p w14:paraId="3070811C">
            <w:pPr>
              <w:pStyle w:val="132"/>
              <w:kinsoku w:val="0"/>
              <w:overflowPunct w:val="0"/>
              <w:spacing w:before="117"/>
              <w:ind w:left="111"/>
              <w:rPr>
                <w:rFonts w:ascii="黑体" w:hAnsi="黑体" w:eastAsia="黑体"/>
                <w:b/>
                <w:bCs/>
                <w:sz w:val="18"/>
                <w:szCs w:val="18"/>
              </w:rPr>
            </w:pPr>
            <w:r>
              <w:rPr>
                <w:rFonts w:hint="eastAsia" w:ascii="黑体" w:hAnsi="黑体" w:eastAsia="黑体"/>
                <w:b/>
                <w:bCs/>
                <w:sz w:val="18"/>
                <w:szCs w:val="18"/>
              </w:rPr>
              <w:t>□满足</w:t>
            </w:r>
          </w:p>
          <w:p w14:paraId="77EBCEEA">
            <w:pPr>
              <w:pStyle w:val="132"/>
              <w:kinsoku w:val="0"/>
              <w:overflowPunct w:val="0"/>
              <w:spacing w:before="4"/>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6" w:space="0"/>
              <w:right w:val="single" w:color="000000" w:sz="4" w:space="0"/>
            </w:tcBorders>
          </w:tcPr>
          <w:p w14:paraId="4CE07954">
            <w:pPr>
              <w:pStyle w:val="132"/>
              <w:kinsoku w:val="0"/>
              <w:overflowPunct w:val="0"/>
              <w:rPr>
                <w:rFonts w:ascii="黑体" w:hAnsi="黑体" w:eastAsia="黑体" w:cs="Times New Roman"/>
                <w:sz w:val="18"/>
                <w:szCs w:val="18"/>
              </w:rPr>
            </w:pPr>
          </w:p>
        </w:tc>
      </w:tr>
      <w:tr w14:paraId="5D890FA2">
        <w:tblPrEx>
          <w:tblCellMar>
            <w:top w:w="0" w:type="dxa"/>
            <w:left w:w="0" w:type="dxa"/>
            <w:bottom w:w="0" w:type="dxa"/>
            <w:right w:w="0" w:type="dxa"/>
          </w:tblCellMar>
        </w:tblPrEx>
        <w:trPr>
          <w:trHeight w:val="1130" w:hRule="atLeast"/>
        </w:trPr>
        <w:tc>
          <w:tcPr>
            <w:tcW w:w="725" w:type="dxa"/>
            <w:tcBorders>
              <w:top w:val="single" w:color="000000" w:sz="6" w:space="0"/>
              <w:left w:val="single" w:color="000000" w:sz="4" w:space="0"/>
              <w:bottom w:val="single" w:color="000000" w:sz="4" w:space="0"/>
              <w:right w:val="single" w:color="000000" w:sz="4" w:space="0"/>
            </w:tcBorders>
          </w:tcPr>
          <w:p w14:paraId="534EB3DC">
            <w:pPr>
              <w:pStyle w:val="132"/>
              <w:kinsoku w:val="0"/>
              <w:overflowPunct w:val="0"/>
              <w:spacing w:before="12"/>
              <w:rPr>
                <w:rFonts w:ascii="黑体" w:hAnsi="黑体" w:eastAsia="黑体"/>
                <w:b/>
                <w:bCs/>
                <w:sz w:val="18"/>
                <w:szCs w:val="18"/>
              </w:rPr>
            </w:pPr>
          </w:p>
          <w:p w14:paraId="5DD413D4">
            <w:pPr>
              <w:pStyle w:val="132"/>
              <w:kinsoku w:val="0"/>
              <w:overflowPunct w:val="0"/>
              <w:ind w:left="158" w:right="62"/>
              <w:rPr>
                <w:rFonts w:ascii="黑体" w:hAnsi="黑体" w:eastAsia="黑体"/>
                <w:sz w:val="18"/>
                <w:szCs w:val="18"/>
              </w:rPr>
            </w:pPr>
            <w:r>
              <w:rPr>
                <w:rFonts w:ascii="黑体" w:hAnsi="黑体" w:eastAsia="黑体"/>
                <w:sz w:val="18"/>
                <w:szCs w:val="18"/>
              </w:rPr>
              <w:t xml:space="preserve">2.3 </w:t>
            </w:r>
          </w:p>
        </w:tc>
        <w:tc>
          <w:tcPr>
            <w:tcW w:w="6237" w:type="dxa"/>
            <w:gridSpan w:val="3"/>
            <w:tcBorders>
              <w:top w:val="single" w:color="000000" w:sz="6" w:space="0"/>
              <w:left w:val="single" w:color="000000" w:sz="4" w:space="0"/>
              <w:bottom w:val="single" w:color="000000" w:sz="4" w:space="0"/>
              <w:right w:val="single" w:color="000000" w:sz="4" w:space="0"/>
            </w:tcBorders>
          </w:tcPr>
          <w:p w14:paraId="3D5F6D11">
            <w:pPr>
              <w:pStyle w:val="132"/>
              <w:kinsoku w:val="0"/>
              <w:overflowPunct w:val="0"/>
              <w:spacing w:line="242" w:lineRule="auto"/>
              <w:ind w:left="105" w:right="93"/>
              <w:rPr>
                <w:rFonts w:ascii="黑体" w:hAnsi="黑体" w:eastAsia="黑体"/>
                <w:spacing w:val="-4"/>
                <w:sz w:val="18"/>
                <w:szCs w:val="18"/>
              </w:rPr>
            </w:pPr>
            <w:r>
              <w:rPr>
                <w:rFonts w:hint="eastAsia" w:ascii="黑体" w:hAnsi="黑体" w:eastAsia="黑体"/>
                <w:spacing w:val="11"/>
                <w:sz w:val="18"/>
                <w:szCs w:val="18"/>
              </w:rPr>
              <w:t>防静电地板应符合</w:t>
            </w:r>
            <w:r>
              <w:rPr>
                <w:rFonts w:ascii="黑体" w:hAnsi="黑体" w:eastAsia="黑体"/>
                <w:spacing w:val="11"/>
                <w:sz w:val="18"/>
                <w:szCs w:val="18"/>
              </w:rPr>
              <w:t xml:space="preserve"> </w:t>
            </w:r>
            <w:r>
              <w:rPr>
                <w:rFonts w:ascii="黑体" w:hAnsi="黑体" w:eastAsia="黑体" w:cs="Calibri"/>
                <w:spacing w:val="-3"/>
                <w:sz w:val="18"/>
                <w:szCs w:val="18"/>
              </w:rPr>
              <w:t xml:space="preserve">GB </w:t>
            </w:r>
            <w:r>
              <w:rPr>
                <w:rFonts w:ascii="黑体" w:hAnsi="黑体" w:eastAsia="黑体" w:cs="Calibri"/>
                <w:sz w:val="18"/>
                <w:szCs w:val="18"/>
              </w:rPr>
              <w:t>6650-86</w:t>
            </w:r>
            <w:r>
              <w:rPr>
                <w:rFonts w:hint="eastAsia" w:ascii="黑体" w:hAnsi="黑体" w:eastAsia="黑体"/>
                <w:spacing w:val="4"/>
                <w:sz w:val="18"/>
                <w:szCs w:val="18"/>
              </w:rPr>
              <w:t>《计算机机房用活动地板技术条件》，</w:t>
            </w:r>
            <w:r>
              <w:rPr>
                <w:rFonts w:ascii="黑体" w:hAnsi="黑体" w:eastAsia="黑体" w:cs="Calibri"/>
                <w:sz w:val="18"/>
                <w:szCs w:val="18"/>
              </w:rPr>
              <w:t>SJT 31469-2002</w:t>
            </w:r>
            <w:r>
              <w:rPr>
                <w:rFonts w:hint="eastAsia" w:ascii="黑体" w:hAnsi="黑体" w:eastAsia="黑体"/>
                <w:spacing w:val="-6"/>
                <w:sz w:val="18"/>
                <w:szCs w:val="18"/>
              </w:rPr>
              <w:t>《防静电地板施工及验收规范》，</w:t>
            </w:r>
            <w:r>
              <w:rPr>
                <w:rFonts w:ascii="黑体" w:hAnsi="黑体" w:eastAsia="黑体"/>
                <w:spacing w:val="-6"/>
                <w:sz w:val="18"/>
                <w:szCs w:val="18"/>
              </w:rPr>
              <w:t xml:space="preserve"> </w:t>
            </w:r>
            <w:r>
              <w:rPr>
                <w:rFonts w:ascii="黑体" w:hAnsi="黑体" w:eastAsia="黑体" w:cs="Calibri"/>
                <w:spacing w:val="-3"/>
                <w:sz w:val="18"/>
                <w:szCs w:val="18"/>
              </w:rPr>
              <w:t>GB 50174-2017</w:t>
            </w:r>
            <w:r>
              <w:rPr>
                <w:rFonts w:hint="eastAsia" w:ascii="黑体" w:hAnsi="黑体" w:eastAsia="黑体"/>
                <w:spacing w:val="-4"/>
                <w:sz w:val="18"/>
                <w:szCs w:val="18"/>
              </w:rPr>
              <w:t>《电子信息系统</w:t>
            </w:r>
            <w:r>
              <w:rPr>
                <w:rFonts w:hint="eastAsia" w:ascii="黑体" w:hAnsi="黑体" w:eastAsia="黑体"/>
                <w:spacing w:val="1"/>
                <w:sz w:val="18"/>
                <w:szCs w:val="18"/>
              </w:rPr>
              <w:t>机房设计规范》，</w:t>
            </w:r>
            <w:r>
              <w:rPr>
                <w:rFonts w:ascii="黑体" w:hAnsi="黑体" w:eastAsia="黑体"/>
                <w:spacing w:val="1"/>
                <w:sz w:val="18"/>
                <w:szCs w:val="18"/>
              </w:rPr>
              <w:t xml:space="preserve"> </w:t>
            </w:r>
            <w:r>
              <w:rPr>
                <w:rFonts w:ascii="黑体" w:hAnsi="黑体" w:eastAsia="黑体" w:cs="Calibri"/>
                <w:spacing w:val="-3"/>
                <w:sz w:val="18"/>
                <w:szCs w:val="18"/>
              </w:rPr>
              <w:t>GB50222-2017</w:t>
            </w:r>
            <w:r>
              <w:rPr>
                <w:rFonts w:hint="eastAsia" w:ascii="黑体" w:hAnsi="黑体" w:eastAsia="黑体"/>
                <w:spacing w:val="-5"/>
                <w:sz w:val="18"/>
                <w:szCs w:val="18"/>
              </w:rPr>
              <w:t>《建筑内部装修设计防火规范》等设计施工</w:t>
            </w:r>
            <w:r>
              <w:rPr>
                <w:rFonts w:hint="eastAsia" w:ascii="黑体" w:hAnsi="黑体" w:eastAsia="黑体"/>
                <w:spacing w:val="-4"/>
                <w:sz w:val="18"/>
                <w:szCs w:val="18"/>
              </w:rPr>
              <w:t>标准的要求。</w:t>
            </w:r>
          </w:p>
        </w:tc>
        <w:tc>
          <w:tcPr>
            <w:tcW w:w="1277" w:type="dxa"/>
            <w:tcBorders>
              <w:top w:val="single" w:color="000000" w:sz="6" w:space="0"/>
              <w:left w:val="single" w:color="000000" w:sz="4" w:space="0"/>
              <w:bottom w:val="single" w:color="000000" w:sz="4" w:space="0"/>
              <w:right w:val="single" w:color="000000" w:sz="4" w:space="0"/>
            </w:tcBorders>
          </w:tcPr>
          <w:p w14:paraId="2059452D">
            <w:pPr>
              <w:pStyle w:val="132"/>
              <w:kinsoku w:val="0"/>
              <w:overflowPunct w:val="0"/>
              <w:spacing w:before="7"/>
              <w:rPr>
                <w:rFonts w:ascii="黑体" w:hAnsi="黑体" w:eastAsia="黑体"/>
                <w:b/>
                <w:bCs/>
                <w:sz w:val="18"/>
                <w:szCs w:val="18"/>
              </w:rPr>
            </w:pPr>
          </w:p>
          <w:p w14:paraId="52B8A584">
            <w:pPr>
              <w:pStyle w:val="132"/>
              <w:kinsoku w:val="0"/>
              <w:overflowPunct w:val="0"/>
              <w:ind w:left="111"/>
              <w:rPr>
                <w:rFonts w:ascii="黑体" w:hAnsi="黑体" w:eastAsia="黑体"/>
                <w:b/>
                <w:bCs/>
                <w:sz w:val="18"/>
                <w:szCs w:val="18"/>
              </w:rPr>
            </w:pPr>
            <w:r>
              <w:rPr>
                <w:rFonts w:hint="eastAsia" w:ascii="黑体" w:hAnsi="黑体" w:eastAsia="黑体"/>
                <w:b/>
                <w:bCs/>
                <w:sz w:val="18"/>
                <w:szCs w:val="18"/>
              </w:rPr>
              <w:t>□满足</w:t>
            </w:r>
          </w:p>
          <w:p w14:paraId="19B8C2F3">
            <w:pPr>
              <w:pStyle w:val="132"/>
              <w:kinsoku w:val="0"/>
              <w:overflowPunct w:val="0"/>
              <w:spacing w:before="5"/>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6" w:space="0"/>
              <w:left w:val="single" w:color="000000" w:sz="4" w:space="0"/>
              <w:bottom w:val="single" w:color="000000" w:sz="4" w:space="0"/>
              <w:right w:val="single" w:color="000000" w:sz="4" w:space="0"/>
            </w:tcBorders>
          </w:tcPr>
          <w:p w14:paraId="553A28EF">
            <w:pPr>
              <w:pStyle w:val="132"/>
              <w:kinsoku w:val="0"/>
              <w:overflowPunct w:val="0"/>
              <w:rPr>
                <w:rFonts w:ascii="黑体" w:hAnsi="黑体" w:eastAsia="黑体" w:cs="Times New Roman"/>
                <w:sz w:val="18"/>
                <w:szCs w:val="18"/>
              </w:rPr>
            </w:pPr>
          </w:p>
        </w:tc>
      </w:tr>
      <w:tr w14:paraId="257FA1F3">
        <w:tblPrEx>
          <w:tblCellMar>
            <w:top w:w="0" w:type="dxa"/>
            <w:left w:w="0" w:type="dxa"/>
            <w:bottom w:w="0" w:type="dxa"/>
            <w:right w:w="0" w:type="dxa"/>
          </w:tblCellMar>
        </w:tblPrEx>
        <w:trPr>
          <w:trHeight w:val="667" w:hRule="atLeast"/>
        </w:trPr>
        <w:tc>
          <w:tcPr>
            <w:tcW w:w="725" w:type="dxa"/>
            <w:tcBorders>
              <w:top w:val="single" w:color="000000" w:sz="4" w:space="0"/>
              <w:left w:val="single" w:color="000000" w:sz="4" w:space="0"/>
              <w:bottom w:val="single" w:color="000000" w:sz="4" w:space="0"/>
              <w:right w:val="single" w:color="000000" w:sz="4" w:space="0"/>
            </w:tcBorders>
          </w:tcPr>
          <w:p w14:paraId="0A54199A">
            <w:pPr>
              <w:pStyle w:val="132"/>
              <w:kinsoku w:val="0"/>
              <w:overflowPunct w:val="0"/>
              <w:spacing w:before="112"/>
              <w:ind w:left="158" w:right="62"/>
              <w:rPr>
                <w:rFonts w:ascii="黑体" w:hAnsi="黑体" w:eastAsia="黑体"/>
                <w:sz w:val="18"/>
                <w:szCs w:val="18"/>
              </w:rPr>
            </w:pPr>
            <w:r>
              <w:rPr>
                <w:rFonts w:ascii="黑体" w:hAnsi="黑体" w:eastAsia="黑体"/>
                <w:sz w:val="18"/>
                <w:szCs w:val="18"/>
              </w:rPr>
              <w:t xml:space="preserve">2.4 </w:t>
            </w:r>
          </w:p>
        </w:tc>
        <w:tc>
          <w:tcPr>
            <w:tcW w:w="6237" w:type="dxa"/>
            <w:gridSpan w:val="3"/>
            <w:tcBorders>
              <w:top w:val="single" w:color="000000" w:sz="4" w:space="0"/>
              <w:left w:val="single" w:color="000000" w:sz="4" w:space="0"/>
              <w:bottom w:val="single" w:color="000000" w:sz="4" w:space="0"/>
              <w:right w:val="single" w:color="000000" w:sz="4" w:space="0"/>
            </w:tcBorders>
          </w:tcPr>
          <w:p w14:paraId="6153A648">
            <w:pPr>
              <w:pStyle w:val="132"/>
              <w:kinsoku w:val="0"/>
              <w:overflowPunct w:val="0"/>
              <w:spacing w:line="244" w:lineRule="auto"/>
              <w:ind w:left="105" w:right="89"/>
              <w:rPr>
                <w:rFonts w:ascii="黑体" w:hAnsi="黑体" w:eastAsia="黑体"/>
                <w:sz w:val="18"/>
                <w:szCs w:val="18"/>
              </w:rPr>
            </w:pPr>
            <w:r>
              <w:rPr>
                <w:rFonts w:hint="eastAsia" w:ascii="黑体" w:hAnsi="黑体" w:eastAsia="黑体"/>
                <w:sz w:val="18"/>
                <w:szCs w:val="18"/>
              </w:rPr>
              <w:t>防静电地板产品必须通过国家信息产业部防静电产品质量监督监测中心的检测，并可提供第三方机构盖章的检测报告证明文件。</w:t>
            </w:r>
          </w:p>
        </w:tc>
        <w:tc>
          <w:tcPr>
            <w:tcW w:w="1277" w:type="dxa"/>
            <w:tcBorders>
              <w:top w:val="single" w:color="000000" w:sz="4" w:space="0"/>
              <w:left w:val="single" w:color="000000" w:sz="4" w:space="0"/>
              <w:bottom w:val="single" w:color="000000" w:sz="4" w:space="0"/>
              <w:right w:val="single" w:color="000000" w:sz="4" w:space="0"/>
            </w:tcBorders>
          </w:tcPr>
          <w:p w14:paraId="0B0D4676">
            <w:pPr>
              <w:pStyle w:val="132"/>
              <w:kinsoku w:val="0"/>
              <w:overflowPunct w:val="0"/>
              <w:spacing w:line="228" w:lineRule="exact"/>
              <w:ind w:left="111"/>
              <w:rPr>
                <w:rFonts w:ascii="黑体" w:hAnsi="黑体" w:eastAsia="黑体"/>
                <w:b/>
                <w:bCs/>
                <w:sz w:val="18"/>
                <w:szCs w:val="18"/>
              </w:rPr>
            </w:pPr>
            <w:r>
              <w:rPr>
                <w:rFonts w:hint="eastAsia" w:ascii="黑体" w:hAnsi="黑体" w:eastAsia="黑体"/>
                <w:b/>
                <w:bCs/>
                <w:sz w:val="18"/>
                <w:szCs w:val="18"/>
              </w:rPr>
              <w:t>□满足</w:t>
            </w:r>
          </w:p>
          <w:p w14:paraId="61C24762">
            <w:pPr>
              <w:pStyle w:val="132"/>
              <w:kinsoku w:val="0"/>
              <w:overflowPunct w:val="0"/>
              <w:spacing w:before="4"/>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0E637B16">
            <w:pPr>
              <w:pStyle w:val="132"/>
              <w:kinsoku w:val="0"/>
              <w:overflowPunct w:val="0"/>
              <w:rPr>
                <w:rFonts w:ascii="黑体" w:hAnsi="黑体" w:eastAsia="黑体" w:cs="Times New Roman"/>
                <w:sz w:val="18"/>
                <w:szCs w:val="18"/>
              </w:rPr>
            </w:pPr>
          </w:p>
        </w:tc>
      </w:tr>
      <w:tr w14:paraId="36B8A2FF">
        <w:tblPrEx>
          <w:tblCellMar>
            <w:top w:w="0" w:type="dxa"/>
            <w:left w:w="0" w:type="dxa"/>
            <w:bottom w:w="0" w:type="dxa"/>
            <w:right w:w="0" w:type="dxa"/>
          </w:tblCellMar>
        </w:tblPrEx>
        <w:trPr>
          <w:trHeight w:val="700" w:hRule="atLeast"/>
        </w:trPr>
        <w:tc>
          <w:tcPr>
            <w:tcW w:w="725" w:type="dxa"/>
            <w:tcBorders>
              <w:top w:val="single" w:color="000000" w:sz="4" w:space="0"/>
              <w:left w:val="single" w:color="000000" w:sz="4" w:space="0"/>
              <w:bottom w:val="single" w:color="000000" w:sz="4" w:space="0"/>
              <w:right w:val="single" w:color="000000" w:sz="4" w:space="0"/>
            </w:tcBorders>
          </w:tcPr>
          <w:p w14:paraId="2BE2D977">
            <w:pPr>
              <w:pStyle w:val="132"/>
              <w:kinsoku w:val="0"/>
              <w:overflowPunct w:val="0"/>
              <w:spacing w:before="132"/>
              <w:ind w:left="158" w:right="62"/>
              <w:rPr>
                <w:rFonts w:ascii="黑体" w:hAnsi="黑体" w:eastAsia="黑体"/>
                <w:sz w:val="18"/>
                <w:szCs w:val="18"/>
              </w:rPr>
            </w:pPr>
            <w:r>
              <w:rPr>
                <w:rFonts w:ascii="黑体" w:hAnsi="黑体" w:eastAsia="黑体"/>
                <w:sz w:val="18"/>
                <w:szCs w:val="18"/>
              </w:rPr>
              <w:t xml:space="preserve">2.5 </w:t>
            </w:r>
          </w:p>
        </w:tc>
        <w:tc>
          <w:tcPr>
            <w:tcW w:w="6237" w:type="dxa"/>
            <w:gridSpan w:val="3"/>
            <w:tcBorders>
              <w:top w:val="single" w:color="000000" w:sz="4" w:space="0"/>
              <w:left w:val="single" w:color="000000" w:sz="4" w:space="0"/>
              <w:bottom w:val="single" w:color="000000" w:sz="4" w:space="0"/>
              <w:right w:val="single" w:color="000000" w:sz="4" w:space="0"/>
            </w:tcBorders>
          </w:tcPr>
          <w:p w14:paraId="473C375B">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防静电地板应组装精细，接缝整齐严密，粘接牢固，无破损，不开胶，不起</w:t>
            </w:r>
          </w:p>
          <w:p w14:paraId="5C75497A">
            <w:pPr>
              <w:pStyle w:val="132"/>
              <w:kinsoku w:val="0"/>
              <w:overflowPunct w:val="0"/>
              <w:spacing w:line="230" w:lineRule="exact"/>
              <w:ind w:left="105" w:right="90"/>
              <w:rPr>
                <w:rFonts w:ascii="黑体" w:hAnsi="黑体" w:eastAsia="黑体"/>
                <w:sz w:val="18"/>
                <w:szCs w:val="18"/>
              </w:rPr>
            </w:pPr>
            <w:r>
              <w:rPr>
                <w:rFonts w:hint="eastAsia" w:ascii="黑体" w:hAnsi="黑体" w:eastAsia="黑体"/>
                <w:sz w:val="18"/>
                <w:szCs w:val="18"/>
              </w:rPr>
              <w:t>皮，色差小，板面覆盖层应柔光、耐污、不打滑、无明显的可见色差、起泡及疵点。</w:t>
            </w:r>
            <w:r>
              <w:rPr>
                <w:rFonts w:ascii="黑体" w:hAnsi="黑体" w:eastAsia="黑体"/>
                <w:sz w:val="18"/>
                <w:szCs w:val="18"/>
              </w:rPr>
              <w:t xml:space="preserve"> </w:t>
            </w:r>
          </w:p>
        </w:tc>
        <w:tc>
          <w:tcPr>
            <w:tcW w:w="1277" w:type="dxa"/>
            <w:tcBorders>
              <w:top w:val="single" w:color="000000" w:sz="4" w:space="0"/>
              <w:left w:val="single" w:color="000000" w:sz="4" w:space="0"/>
              <w:bottom w:val="single" w:color="000000" w:sz="4" w:space="0"/>
              <w:right w:val="single" w:color="000000" w:sz="4" w:space="0"/>
            </w:tcBorders>
          </w:tcPr>
          <w:p w14:paraId="1E241F73">
            <w:pPr>
              <w:pStyle w:val="132"/>
              <w:kinsoku w:val="0"/>
              <w:overflowPunct w:val="0"/>
              <w:spacing w:before="16" w:line="231" w:lineRule="exact"/>
              <w:ind w:left="111"/>
              <w:rPr>
                <w:rFonts w:ascii="黑体" w:hAnsi="黑体" w:eastAsia="黑体"/>
                <w:b/>
                <w:bCs/>
                <w:sz w:val="18"/>
                <w:szCs w:val="18"/>
              </w:rPr>
            </w:pPr>
            <w:r>
              <w:rPr>
                <w:rFonts w:hint="eastAsia" w:ascii="黑体" w:hAnsi="黑体" w:eastAsia="黑体"/>
                <w:b/>
                <w:bCs/>
                <w:sz w:val="18"/>
                <w:szCs w:val="18"/>
              </w:rPr>
              <w:t>□满足</w:t>
            </w:r>
          </w:p>
          <w:p w14:paraId="2F834048">
            <w:pPr>
              <w:pStyle w:val="132"/>
              <w:kinsoku w:val="0"/>
              <w:overflowPunct w:val="0"/>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47836E88">
            <w:pPr>
              <w:pStyle w:val="132"/>
              <w:kinsoku w:val="0"/>
              <w:overflowPunct w:val="0"/>
              <w:rPr>
                <w:rFonts w:ascii="黑体" w:hAnsi="黑体" w:eastAsia="黑体" w:cs="Times New Roman"/>
                <w:sz w:val="18"/>
                <w:szCs w:val="18"/>
              </w:rPr>
            </w:pPr>
          </w:p>
        </w:tc>
      </w:tr>
      <w:tr w14:paraId="45F50081">
        <w:tblPrEx>
          <w:tblCellMar>
            <w:top w:w="0" w:type="dxa"/>
            <w:left w:w="0" w:type="dxa"/>
            <w:bottom w:w="0" w:type="dxa"/>
            <w:right w:w="0" w:type="dxa"/>
          </w:tblCellMar>
        </w:tblPrEx>
        <w:trPr>
          <w:trHeight w:val="902" w:hRule="atLeast"/>
        </w:trPr>
        <w:tc>
          <w:tcPr>
            <w:tcW w:w="725" w:type="dxa"/>
            <w:tcBorders>
              <w:top w:val="single" w:color="000000" w:sz="4" w:space="0"/>
              <w:left w:val="single" w:color="000000" w:sz="4" w:space="0"/>
              <w:bottom w:val="single" w:color="000000" w:sz="4" w:space="0"/>
              <w:right w:val="single" w:color="000000" w:sz="4" w:space="0"/>
            </w:tcBorders>
          </w:tcPr>
          <w:p w14:paraId="5FB56D10">
            <w:pPr>
              <w:pStyle w:val="132"/>
              <w:kinsoku w:val="0"/>
              <w:overflowPunct w:val="0"/>
              <w:spacing w:before="1"/>
              <w:rPr>
                <w:rFonts w:ascii="黑体" w:hAnsi="黑体" w:eastAsia="黑体"/>
                <w:b/>
                <w:bCs/>
                <w:sz w:val="18"/>
                <w:szCs w:val="18"/>
              </w:rPr>
            </w:pPr>
          </w:p>
          <w:p w14:paraId="0F9F72B4">
            <w:pPr>
              <w:pStyle w:val="132"/>
              <w:kinsoku w:val="0"/>
              <w:overflowPunct w:val="0"/>
              <w:spacing w:before="1"/>
              <w:ind w:left="158" w:right="62"/>
              <w:rPr>
                <w:rFonts w:ascii="黑体" w:hAnsi="黑体" w:eastAsia="黑体"/>
                <w:sz w:val="18"/>
                <w:szCs w:val="18"/>
              </w:rPr>
            </w:pPr>
            <w:r>
              <w:rPr>
                <w:rFonts w:ascii="黑体" w:hAnsi="黑体" w:eastAsia="黑体"/>
                <w:sz w:val="18"/>
                <w:szCs w:val="18"/>
              </w:rPr>
              <w:t xml:space="preserve">2.6 </w:t>
            </w:r>
          </w:p>
        </w:tc>
        <w:tc>
          <w:tcPr>
            <w:tcW w:w="6237" w:type="dxa"/>
            <w:gridSpan w:val="3"/>
            <w:tcBorders>
              <w:top w:val="single" w:color="000000" w:sz="4" w:space="0"/>
              <w:left w:val="single" w:color="000000" w:sz="4" w:space="0"/>
              <w:bottom w:val="single" w:color="000000" w:sz="4" w:space="0"/>
              <w:right w:val="single" w:color="000000" w:sz="4" w:space="0"/>
            </w:tcBorders>
          </w:tcPr>
          <w:p w14:paraId="53A370EE">
            <w:pPr>
              <w:pStyle w:val="132"/>
              <w:kinsoku w:val="0"/>
              <w:overflowPunct w:val="0"/>
              <w:spacing w:line="242" w:lineRule="auto"/>
              <w:ind w:left="105" w:right="93"/>
              <w:rPr>
                <w:rFonts w:ascii="黑体" w:hAnsi="黑体" w:eastAsia="黑体"/>
                <w:spacing w:val="-5"/>
                <w:sz w:val="18"/>
                <w:szCs w:val="18"/>
              </w:rPr>
            </w:pPr>
            <w:r>
              <w:rPr>
                <w:rFonts w:hint="eastAsia" w:ascii="黑体" w:hAnsi="黑体" w:eastAsia="黑体"/>
                <w:spacing w:val="-3"/>
                <w:sz w:val="18"/>
                <w:szCs w:val="18"/>
              </w:rPr>
              <w:t>在下列环境能够保证防静电地板长期正常工作：工作温度范围</w:t>
            </w:r>
            <w:r>
              <w:rPr>
                <w:rFonts w:ascii="黑体" w:hAnsi="黑体" w:eastAsia="黑体"/>
                <w:spacing w:val="-3"/>
                <w:sz w:val="18"/>
                <w:szCs w:val="18"/>
              </w:rPr>
              <w:t xml:space="preserve"> </w:t>
            </w:r>
            <w:r>
              <w:rPr>
                <w:rFonts w:ascii="黑体" w:hAnsi="黑体" w:eastAsia="黑体" w:cs="Calibri"/>
                <w:spacing w:val="-3"/>
                <w:sz w:val="18"/>
                <w:szCs w:val="18"/>
              </w:rPr>
              <w:t>15</w:t>
            </w:r>
            <w:r>
              <w:rPr>
                <w:rFonts w:hint="eastAsia" w:ascii="黑体" w:hAnsi="黑体" w:eastAsia="黑体"/>
                <w:spacing w:val="-3"/>
                <w:sz w:val="18"/>
                <w:szCs w:val="18"/>
              </w:rPr>
              <w:t>℃～</w:t>
            </w:r>
            <w:r>
              <w:rPr>
                <w:rFonts w:ascii="黑体" w:hAnsi="黑体" w:eastAsia="黑体" w:cs="Calibri"/>
                <w:spacing w:val="-3"/>
                <w:sz w:val="18"/>
                <w:szCs w:val="18"/>
              </w:rPr>
              <w:t>45</w:t>
            </w:r>
            <w:r>
              <w:rPr>
                <w:rFonts w:hint="eastAsia" w:ascii="黑体" w:hAnsi="黑体" w:eastAsia="黑体"/>
                <w:spacing w:val="-3"/>
                <w:sz w:val="18"/>
                <w:szCs w:val="18"/>
              </w:rPr>
              <w:t>℃；</w:t>
            </w:r>
            <w:r>
              <w:rPr>
                <w:rFonts w:ascii="黑体" w:hAnsi="黑体" w:eastAsia="黑体"/>
                <w:spacing w:val="-3"/>
                <w:sz w:val="18"/>
                <w:szCs w:val="18"/>
              </w:rPr>
              <w:t xml:space="preserve"> </w:t>
            </w:r>
            <w:r>
              <w:rPr>
                <w:rFonts w:hint="eastAsia" w:ascii="黑体" w:hAnsi="黑体" w:eastAsia="黑体"/>
                <w:spacing w:val="-2"/>
                <w:sz w:val="18"/>
                <w:szCs w:val="18"/>
              </w:rPr>
              <w:t>工作环境相对温度范围</w:t>
            </w:r>
            <w:r>
              <w:rPr>
                <w:rFonts w:ascii="黑体" w:hAnsi="黑体" w:eastAsia="黑体"/>
                <w:spacing w:val="-2"/>
                <w:sz w:val="18"/>
                <w:szCs w:val="18"/>
              </w:rPr>
              <w:t xml:space="preserve"> </w:t>
            </w:r>
            <w:r>
              <w:rPr>
                <w:rFonts w:ascii="黑体" w:hAnsi="黑体" w:eastAsia="黑体" w:cs="Calibri"/>
                <w:spacing w:val="-3"/>
                <w:sz w:val="18"/>
                <w:szCs w:val="18"/>
              </w:rPr>
              <w:t>45%</w:t>
            </w:r>
            <w:r>
              <w:rPr>
                <w:rFonts w:hint="eastAsia" w:ascii="黑体" w:hAnsi="黑体" w:eastAsia="黑体"/>
                <w:spacing w:val="-3"/>
                <w:sz w:val="18"/>
                <w:szCs w:val="18"/>
              </w:rPr>
              <w:t>～</w:t>
            </w:r>
            <w:r>
              <w:rPr>
                <w:rFonts w:ascii="黑体" w:hAnsi="黑体" w:eastAsia="黑体" w:cs="Calibri"/>
                <w:spacing w:val="-3"/>
                <w:sz w:val="18"/>
                <w:szCs w:val="18"/>
              </w:rPr>
              <w:t>75%</w:t>
            </w:r>
            <w:r>
              <w:rPr>
                <w:rFonts w:hint="eastAsia" w:ascii="黑体" w:hAnsi="黑体" w:eastAsia="黑体"/>
                <w:sz w:val="18"/>
                <w:szCs w:val="18"/>
              </w:rPr>
              <w:t>；大气压力范围</w:t>
            </w:r>
            <w:r>
              <w:rPr>
                <w:rFonts w:ascii="黑体" w:hAnsi="黑体" w:eastAsia="黑体"/>
                <w:sz w:val="18"/>
                <w:szCs w:val="18"/>
              </w:rPr>
              <w:t xml:space="preserve"> </w:t>
            </w:r>
            <w:r>
              <w:rPr>
                <w:rFonts w:ascii="黑体" w:hAnsi="黑体" w:eastAsia="黑体" w:cs="Calibri"/>
                <w:spacing w:val="-3"/>
                <w:sz w:val="18"/>
                <w:szCs w:val="18"/>
              </w:rPr>
              <w:t>86</w:t>
            </w:r>
            <w:r>
              <w:rPr>
                <w:rFonts w:hint="eastAsia" w:ascii="黑体" w:hAnsi="黑体" w:eastAsia="黑体"/>
                <w:spacing w:val="-3"/>
                <w:sz w:val="18"/>
                <w:szCs w:val="18"/>
              </w:rPr>
              <w:t>～</w:t>
            </w:r>
            <w:r>
              <w:rPr>
                <w:rFonts w:ascii="黑体" w:hAnsi="黑体" w:eastAsia="黑体" w:cs="Calibri"/>
                <w:spacing w:val="-3"/>
                <w:sz w:val="18"/>
                <w:szCs w:val="18"/>
              </w:rPr>
              <w:t>106KPa</w:t>
            </w:r>
            <w:r>
              <w:rPr>
                <w:rFonts w:hint="eastAsia" w:ascii="黑体" w:hAnsi="黑体" w:eastAsia="黑体"/>
                <w:spacing w:val="-4"/>
                <w:sz w:val="18"/>
                <w:szCs w:val="18"/>
              </w:rPr>
              <w:t>，室内无酸、</w:t>
            </w:r>
            <w:r>
              <w:rPr>
                <w:rFonts w:hint="eastAsia" w:ascii="黑体" w:hAnsi="黑体" w:eastAsia="黑体"/>
                <w:spacing w:val="-5"/>
                <w:sz w:val="18"/>
                <w:szCs w:val="18"/>
              </w:rPr>
              <w:t>碱等腐蚀性气体。</w:t>
            </w:r>
          </w:p>
        </w:tc>
        <w:tc>
          <w:tcPr>
            <w:tcW w:w="1277" w:type="dxa"/>
            <w:tcBorders>
              <w:top w:val="single" w:color="000000" w:sz="4" w:space="0"/>
              <w:left w:val="single" w:color="000000" w:sz="4" w:space="0"/>
              <w:bottom w:val="single" w:color="000000" w:sz="4" w:space="0"/>
              <w:right w:val="single" w:color="000000" w:sz="4" w:space="0"/>
            </w:tcBorders>
          </w:tcPr>
          <w:p w14:paraId="01547415">
            <w:pPr>
              <w:pStyle w:val="132"/>
              <w:kinsoku w:val="0"/>
              <w:overflowPunct w:val="0"/>
              <w:spacing w:before="112"/>
              <w:ind w:left="111"/>
              <w:rPr>
                <w:rFonts w:ascii="黑体" w:hAnsi="黑体" w:eastAsia="黑体"/>
                <w:b/>
                <w:bCs/>
                <w:sz w:val="18"/>
                <w:szCs w:val="18"/>
              </w:rPr>
            </w:pPr>
            <w:r>
              <w:rPr>
                <w:rFonts w:hint="eastAsia" w:ascii="黑体" w:hAnsi="黑体" w:eastAsia="黑体"/>
                <w:b/>
                <w:bCs/>
                <w:sz w:val="18"/>
                <w:szCs w:val="18"/>
              </w:rPr>
              <w:t>□满足</w:t>
            </w:r>
          </w:p>
          <w:p w14:paraId="36323A0F">
            <w:pPr>
              <w:pStyle w:val="132"/>
              <w:kinsoku w:val="0"/>
              <w:overflowPunct w:val="0"/>
              <w:spacing w:before="5"/>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59954E3B">
            <w:pPr>
              <w:pStyle w:val="132"/>
              <w:kinsoku w:val="0"/>
              <w:overflowPunct w:val="0"/>
              <w:rPr>
                <w:rFonts w:ascii="黑体" w:hAnsi="黑体" w:eastAsia="黑体" w:cs="Times New Roman"/>
                <w:sz w:val="18"/>
                <w:szCs w:val="18"/>
              </w:rPr>
            </w:pPr>
          </w:p>
        </w:tc>
      </w:tr>
      <w:tr w14:paraId="1030A465">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40AE1B23">
            <w:pPr>
              <w:pStyle w:val="132"/>
              <w:kinsoku w:val="0"/>
              <w:overflowPunct w:val="0"/>
              <w:spacing w:before="112"/>
              <w:ind w:left="158" w:right="67"/>
              <w:rPr>
                <w:rFonts w:ascii="黑体" w:hAnsi="黑体" w:eastAsia="黑体"/>
                <w:sz w:val="18"/>
                <w:szCs w:val="18"/>
              </w:rPr>
            </w:pPr>
            <w:r>
              <w:rPr>
                <w:rFonts w:ascii="黑体" w:hAnsi="黑体" w:eastAsia="黑体"/>
                <w:sz w:val="18"/>
                <w:szCs w:val="18"/>
              </w:rPr>
              <w:t xml:space="preserve">3 </w:t>
            </w:r>
          </w:p>
        </w:tc>
        <w:tc>
          <w:tcPr>
            <w:tcW w:w="1277" w:type="dxa"/>
            <w:tcBorders>
              <w:top w:val="single" w:color="000000" w:sz="4" w:space="0"/>
              <w:left w:val="single" w:color="000000" w:sz="4" w:space="0"/>
              <w:bottom w:val="single" w:color="000000" w:sz="4" w:space="0"/>
              <w:right w:val="single" w:color="000000" w:sz="4" w:space="0"/>
            </w:tcBorders>
          </w:tcPr>
          <w:p w14:paraId="663AF2D0">
            <w:pPr>
              <w:pStyle w:val="132"/>
              <w:kinsoku w:val="0"/>
              <w:overflowPunct w:val="0"/>
              <w:spacing w:before="97"/>
              <w:ind w:left="105"/>
              <w:rPr>
                <w:rFonts w:ascii="黑体" w:hAnsi="黑体" w:eastAsia="黑体"/>
                <w:b/>
                <w:bCs/>
                <w:sz w:val="18"/>
                <w:szCs w:val="18"/>
              </w:rPr>
            </w:pPr>
            <w:r>
              <w:rPr>
                <w:rFonts w:hint="eastAsia" w:ascii="黑体" w:hAnsi="黑体" w:eastAsia="黑体"/>
                <w:b/>
                <w:bCs/>
                <w:sz w:val="18"/>
                <w:szCs w:val="18"/>
              </w:rPr>
              <w:t>性能要求</w:t>
            </w:r>
            <w:r>
              <w:rPr>
                <w:rFonts w:ascii="黑体" w:hAnsi="黑体" w:eastAsia="黑体"/>
                <w:b/>
                <w:bCs/>
                <w:sz w:val="18"/>
                <w:szCs w:val="18"/>
              </w:rPr>
              <w:t xml:space="preserve"> </w:t>
            </w:r>
          </w:p>
        </w:tc>
        <w:tc>
          <w:tcPr>
            <w:tcW w:w="4960" w:type="dxa"/>
            <w:gridSpan w:val="2"/>
            <w:tcBorders>
              <w:top w:val="single" w:color="000000" w:sz="4" w:space="0"/>
              <w:left w:val="single" w:color="000000" w:sz="4" w:space="0"/>
              <w:bottom w:val="single" w:color="000000" w:sz="4" w:space="0"/>
              <w:right w:val="single" w:color="000000" w:sz="4" w:space="0"/>
            </w:tcBorders>
          </w:tcPr>
          <w:p w14:paraId="31D3BA12">
            <w:pPr>
              <w:pStyle w:val="132"/>
              <w:kinsoku w:val="0"/>
              <w:overflowPunct w:val="0"/>
              <w:rPr>
                <w:rFonts w:ascii="黑体" w:hAnsi="黑体" w:eastAsia="黑体" w:cs="Times New Roman"/>
                <w:sz w:val="18"/>
                <w:szCs w:val="18"/>
              </w:rPr>
            </w:pPr>
          </w:p>
        </w:tc>
        <w:tc>
          <w:tcPr>
            <w:tcW w:w="1277" w:type="dxa"/>
            <w:tcBorders>
              <w:top w:val="single" w:color="000000" w:sz="4" w:space="0"/>
              <w:left w:val="single" w:color="000000" w:sz="4" w:space="0"/>
              <w:bottom w:val="single" w:color="000000" w:sz="4" w:space="0"/>
              <w:right w:val="single" w:color="000000" w:sz="4" w:space="0"/>
            </w:tcBorders>
          </w:tcPr>
          <w:p w14:paraId="45FB421A">
            <w:pPr>
              <w:pStyle w:val="132"/>
              <w:kinsoku w:val="0"/>
              <w:overflowPunct w:val="0"/>
              <w:ind w:left="111"/>
              <w:rPr>
                <w:rFonts w:ascii="黑体" w:hAnsi="黑体" w:eastAsia="黑体"/>
                <w:sz w:val="18"/>
                <w:szCs w:val="18"/>
              </w:rPr>
            </w:pPr>
          </w:p>
        </w:tc>
        <w:tc>
          <w:tcPr>
            <w:tcW w:w="1263" w:type="dxa"/>
            <w:tcBorders>
              <w:top w:val="single" w:color="000000" w:sz="4" w:space="0"/>
              <w:left w:val="single" w:color="000000" w:sz="4" w:space="0"/>
              <w:bottom w:val="single" w:color="000000" w:sz="4" w:space="0"/>
              <w:right w:val="single" w:color="000000" w:sz="4" w:space="0"/>
            </w:tcBorders>
          </w:tcPr>
          <w:p w14:paraId="04881A58">
            <w:pPr>
              <w:pStyle w:val="132"/>
              <w:kinsoku w:val="0"/>
              <w:overflowPunct w:val="0"/>
              <w:rPr>
                <w:rFonts w:ascii="黑体" w:hAnsi="黑体" w:eastAsia="黑体" w:cs="Times New Roman"/>
                <w:sz w:val="18"/>
                <w:szCs w:val="18"/>
              </w:rPr>
            </w:pPr>
          </w:p>
        </w:tc>
      </w:tr>
      <w:tr w14:paraId="607906F1">
        <w:tblPrEx>
          <w:tblCellMar>
            <w:top w:w="0" w:type="dxa"/>
            <w:left w:w="0" w:type="dxa"/>
            <w:bottom w:w="0" w:type="dxa"/>
            <w:right w:w="0" w:type="dxa"/>
          </w:tblCellMar>
        </w:tblPrEx>
        <w:trPr>
          <w:trHeight w:val="2160" w:hRule="atLeast"/>
        </w:trPr>
        <w:tc>
          <w:tcPr>
            <w:tcW w:w="725" w:type="dxa"/>
            <w:tcBorders>
              <w:top w:val="single" w:color="000000" w:sz="4" w:space="0"/>
              <w:left w:val="single" w:color="000000" w:sz="4" w:space="0"/>
              <w:bottom w:val="single" w:color="000000" w:sz="4" w:space="0"/>
              <w:right w:val="single" w:color="000000" w:sz="4" w:space="0"/>
            </w:tcBorders>
          </w:tcPr>
          <w:p w14:paraId="2074F109">
            <w:pPr>
              <w:pStyle w:val="132"/>
              <w:kinsoku w:val="0"/>
              <w:overflowPunct w:val="0"/>
              <w:rPr>
                <w:rFonts w:ascii="黑体" w:hAnsi="黑体" w:eastAsia="黑体"/>
                <w:b/>
                <w:bCs/>
                <w:sz w:val="18"/>
                <w:szCs w:val="18"/>
              </w:rPr>
            </w:pPr>
          </w:p>
          <w:p w14:paraId="39141B20">
            <w:pPr>
              <w:pStyle w:val="132"/>
              <w:kinsoku w:val="0"/>
              <w:overflowPunct w:val="0"/>
              <w:rPr>
                <w:rFonts w:ascii="黑体" w:hAnsi="黑体" w:eastAsia="黑体"/>
                <w:b/>
                <w:bCs/>
                <w:sz w:val="18"/>
                <w:szCs w:val="18"/>
              </w:rPr>
            </w:pPr>
          </w:p>
          <w:p w14:paraId="5114682C">
            <w:pPr>
              <w:pStyle w:val="132"/>
              <w:kinsoku w:val="0"/>
              <w:overflowPunct w:val="0"/>
              <w:rPr>
                <w:rFonts w:ascii="黑体" w:hAnsi="黑体" w:eastAsia="黑体"/>
                <w:b/>
                <w:bCs/>
                <w:sz w:val="18"/>
                <w:szCs w:val="18"/>
              </w:rPr>
            </w:pPr>
          </w:p>
          <w:p w14:paraId="3D04FD40">
            <w:pPr>
              <w:pStyle w:val="132"/>
              <w:kinsoku w:val="0"/>
              <w:overflowPunct w:val="0"/>
              <w:spacing w:before="3"/>
              <w:rPr>
                <w:rFonts w:ascii="黑体" w:hAnsi="黑体" w:eastAsia="黑体"/>
                <w:b/>
                <w:bCs/>
                <w:sz w:val="18"/>
                <w:szCs w:val="18"/>
              </w:rPr>
            </w:pPr>
          </w:p>
          <w:p w14:paraId="07D9C279">
            <w:pPr>
              <w:pStyle w:val="132"/>
              <w:kinsoku w:val="0"/>
              <w:overflowPunct w:val="0"/>
              <w:ind w:left="158" w:right="62"/>
              <w:rPr>
                <w:rFonts w:ascii="黑体" w:hAnsi="黑体" w:eastAsia="黑体"/>
                <w:sz w:val="18"/>
                <w:szCs w:val="18"/>
              </w:rPr>
            </w:pPr>
            <w:r>
              <w:rPr>
                <w:rFonts w:ascii="黑体" w:hAnsi="黑体" w:eastAsia="黑体"/>
                <w:sz w:val="18"/>
                <w:szCs w:val="18"/>
              </w:rPr>
              <w:t xml:space="preserve">3.1 </w:t>
            </w:r>
          </w:p>
        </w:tc>
        <w:tc>
          <w:tcPr>
            <w:tcW w:w="1277" w:type="dxa"/>
            <w:tcBorders>
              <w:top w:val="single" w:color="000000" w:sz="4" w:space="0"/>
              <w:left w:val="single" w:color="000000" w:sz="4" w:space="0"/>
              <w:bottom w:val="single" w:color="000000" w:sz="4" w:space="0"/>
              <w:right w:val="single" w:color="000000" w:sz="4" w:space="0"/>
            </w:tcBorders>
          </w:tcPr>
          <w:p w14:paraId="1A0EF2C7">
            <w:pPr>
              <w:pStyle w:val="132"/>
              <w:kinsoku w:val="0"/>
              <w:overflowPunct w:val="0"/>
              <w:rPr>
                <w:rFonts w:ascii="黑体" w:hAnsi="黑体" w:eastAsia="黑体"/>
                <w:b/>
                <w:bCs/>
                <w:sz w:val="18"/>
                <w:szCs w:val="18"/>
              </w:rPr>
            </w:pPr>
          </w:p>
          <w:p w14:paraId="7EEDE033">
            <w:pPr>
              <w:pStyle w:val="132"/>
              <w:kinsoku w:val="0"/>
              <w:overflowPunct w:val="0"/>
              <w:rPr>
                <w:rFonts w:ascii="黑体" w:hAnsi="黑体" w:eastAsia="黑体"/>
                <w:b/>
                <w:bCs/>
                <w:sz w:val="18"/>
                <w:szCs w:val="18"/>
              </w:rPr>
            </w:pPr>
          </w:p>
          <w:p w14:paraId="7653E7F8">
            <w:pPr>
              <w:pStyle w:val="132"/>
              <w:kinsoku w:val="0"/>
              <w:overflowPunct w:val="0"/>
              <w:spacing w:before="11"/>
              <w:rPr>
                <w:rFonts w:ascii="黑体" w:hAnsi="黑体" w:eastAsia="黑体"/>
                <w:b/>
                <w:bCs/>
                <w:sz w:val="18"/>
                <w:szCs w:val="18"/>
              </w:rPr>
            </w:pPr>
          </w:p>
          <w:p w14:paraId="3FC9AB7A">
            <w:pPr>
              <w:pStyle w:val="132"/>
              <w:kinsoku w:val="0"/>
              <w:overflowPunct w:val="0"/>
              <w:spacing w:line="244" w:lineRule="auto"/>
              <w:ind w:left="105" w:right="93"/>
              <w:rPr>
                <w:rFonts w:ascii="黑体" w:hAnsi="黑体" w:eastAsia="黑体"/>
                <w:b/>
                <w:bCs/>
                <w:sz w:val="18"/>
                <w:szCs w:val="18"/>
              </w:rPr>
            </w:pPr>
            <w:r>
              <w:rPr>
                <w:rFonts w:ascii="黑体" w:hAnsi="黑体" w:eastAsia="黑体" w:cs="Calibri"/>
                <w:sz w:val="18"/>
                <w:szCs w:val="18"/>
              </w:rPr>
              <w:t xml:space="preserve">HPL </w:t>
            </w:r>
            <w:r>
              <w:rPr>
                <w:rFonts w:hint="eastAsia" w:ascii="黑体" w:hAnsi="黑体" w:eastAsia="黑体"/>
                <w:sz w:val="18"/>
                <w:szCs w:val="18"/>
              </w:rPr>
              <w:t>防静电贴面性能要求</w:t>
            </w:r>
            <w:r>
              <w:rPr>
                <w:rFonts w:ascii="黑体" w:hAnsi="黑体" w:eastAsia="黑体"/>
                <w:b/>
                <w:bCs/>
                <w:sz w:val="18"/>
                <w:szCs w:val="18"/>
              </w:rPr>
              <w:t xml:space="preserve"> </w:t>
            </w:r>
          </w:p>
        </w:tc>
        <w:tc>
          <w:tcPr>
            <w:tcW w:w="4960" w:type="dxa"/>
            <w:gridSpan w:val="2"/>
            <w:tcBorders>
              <w:top w:val="single" w:color="000000" w:sz="4" w:space="0"/>
              <w:left w:val="single" w:color="000000" w:sz="4" w:space="0"/>
              <w:bottom w:val="single" w:color="000000" w:sz="4" w:space="0"/>
              <w:right w:val="single" w:color="000000" w:sz="4" w:space="0"/>
            </w:tcBorders>
          </w:tcPr>
          <w:p w14:paraId="35813CCF">
            <w:pPr>
              <w:pStyle w:val="132"/>
              <w:numPr>
                <w:ilvl w:val="0"/>
                <w:numId w:val="127"/>
              </w:numPr>
              <w:tabs>
                <w:tab w:val="left" w:pos="382"/>
              </w:tabs>
              <w:kinsoku w:val="0"/>
              <w:overflowPunct w:val="0"/>
              <w:spacing w:before="7"/>
              <w:ind w:hanging="277"/>
              <w:rPr>
                <w:rFonts w:ascii="黑体" w:hAnsi="黑体" w:eastAsia="黑体" w:cs="Calibri"/>
                <w:sz w:val="18"/>
                <w:szCs w:val="18"/>
              </w:rPr>
            </w:pPr>
            <w:r>
              <w:rPr>
                <w:rFonts w:ascii="黑体" w:hAnsi="黑体" w:eastAsia="黑体" w:cs="Calibri"/>
                <w:sz w:val="18"/>
                <w:szCs w:val="18"/>
              </w:rPr>
              <w:t>HPL</w:t>
            </w:r>
            <w:r>
              <w:rPr>
                <w:rFonts w:ascii="黑体" w:hAnsi="黑体" w:eastAsia="黑体" w:cs="Calibri"/>
                <w:spacing w:val="20"/>
                <w:sz w:val="18"/>
                <w:szCs w:val="18"/>
              </w:rPr>
              <w:t xml:space="preserve"> </w:t>
            </w:r>
            <w:r>
              <w:rPr>
                <w:rFonts w:hint="eastAsia" w:ascii="黑体" w:hAnsi="黑体" w:eastAsia="黑体"/>
                <w:sz w:val="18"/>
                <w:szCs w:val="18"/>
              </w:rPr>
              <w:t>贴面应防静电、耐磨、防潮耐酸，贴面厚度≥</w:t>
            </w:r>
            <w:r>
              <w:rPr>
                <w:rFonts w:ascii="黑体" w:hAnsi="黑体" w:eastAsia="黑体" w:cs="Calibri"/>
                <w:sz w:val="18"/>
                <w:szCs w:val="18"/>
              </w:rPr>
              <w:t>1.0mm</w:t>
            </w:r>
          </w:p>
          <w:p w14:paraId="55B3D4C6">
            <w:pPr>
              <w:pStyle w:val="132"/>
              <w:kinsoku w:val="0"/>
              <w:overflowPunct w:val="0"/>
              <w:spacing w:before="9"/>
              <w:ind w:left="105"/>
              <w:rPr>
                <w:rFonts w:ascii="黑体" w:hAnsi="黑体" w:eastAsia="黑体"/>
                <w:sz w:val="18"/>
                <w:szCs w:val="18"/>
              </w:rPr>
            </w:pPr>
            <w:r>
              <w:rPr>
                <w:rFonts w:hint="eastAsia" w:ascii="黑体" w:hAnsi="黑体" w:eastAsia="黑体"/>
                <w:sz w:val="18"/>
                <w:szCs w:val="18"/>
              </w:rPr>
              <w:t>（北方地</w:t>
            </w:r>
            <w:r>
              <w:rPr>
                <w:rFonts w:ascii="黑体" w:hAnsi="黑体" w:eastAsia="黑体"/>
                <w:sz w:val="18"/>
                <w:szCs w:val="18"/>
              </w:rPr>
              <w:t xml:space="preserve"> </w:t>
            </w:r>
            <w:r>
              <w:rPr>
                <w:rFonts w:hint="eastAsia" w:ascii="黑体" w:hAnsi="黑体" w:eastAsia="黑体"/>
                <w:sz w:val="18"/>
                <w:szCs w:val="18"/>
              </w:rPr>
              <w:t>区必须≥</w:t>
            </w:r>
            <w:r>
              <w:rPr>
                <w:rFonts w:ascii="黑体" w:hAnsi="黑体" w:eastAsia="黑体" w:cs="Calibri"/>
                <w:sz w:val="18"/>
                <w:szCs w:val="18"/>
              </w:rPr>
              <w:t>1.5mm</w:t>
            </w:r>
            <w:r>
              <w:rPr>
                <w:rFonts w:hint="eastAsia" w:ascii="黑体" w:hAnsi="黑体" w:eastAsia="黑体"/>
                <w:sz w:val="18"/>
                <w:szCs w:val="18"/>
              </w:rPr>
              <w:t>）；</w:t>
            </w:r>
          </w:p>
          <w:p w14:paraId="6607DD4A">
            <w:pPr>
              <w:pStyle w:val="132"/>
              <w:numPr>
                <w:ilvl w:val="0"/>
                <w:numId w:val="127"/>
              </w:numPr>
              <w:tabs>
                <w:tab w:val="left" w:pos="382"/>
              </w:tabs>
              <w:kinsoku w:val="0"/>
              <w:overflowPunct w:val="0"/>
              <w:spacing w:before="10"/>
              <w:ind w:hanging="277"/>
              <w:rPr>
                <w:rFonts w:ascii="黑体" w:hAnsi="黑体" w:eastAsia="黑体"/>
                <w:sz w:val="18"/>
                <w:szCs w:val="18"/>
              </w:rPr>
            </w:pPr>
            <w:r>
              <w:rPr>
                <w:rFonts w:hint="eastAsia" w:ascii="黑体" w:hAnsi="黑体" w:eastAsia="黑体"/>
                <w:spacing w:val="1"/>
                <w:sz w:val="18"/>
                <w:szCs w:val="18"/>
              </w:rPr>
              <w:t>耐磨性能应符合</w:t>
            </w:r>
            <w:r>
              <w:rPr>
                <w:rFonts w:ascii="黑体" w:hAnsi="黑体" w:eastAsia="黑体"/>
                <w:spacing w:val="1"/>
                <w:sz w:val="18"/>
                <w:szCs w:val="18"/>
              </w:rPr>
              <w:t xml:space="preserve"> </w:t>
            </w:r>
            <w:r>
              <w:rPr>
                <w:rFonts w:ascii="黑体" w:hAnsi="黑体" w:eastAsia="黑体" w:cs="Calibri"/>
                <w:spacing w:val="-3"/>
                <w:sz w:val="18"/>
                <w:szCs w:val="18"/>
              </w:rPr>
              <w:t>GB-T</w:t>
            </w:r>
            <w:r>
              <w:rPr>
                <w:rFonts w:ascii="黑体" w:hAnsi="黑体" w:eastAsia="黑体" w:cs="Calibri"/>
                <w:spacing w:val="4"/>
                <w:sz w:val="18"/>
                <w:szCs w:val="18"/>
              </w:rPr>
              <w:t xml:space="preserve"> </w:t>
            </w:r>
            <w:r>
              <w:rPr>
                <w:rFonts w:ascii="黑体" w:hAnsi="黑体" w:eastAsia="黑体" w:cs="Calibri"/>
                <w:sz w:val="18"/>
                <w:szCs w:val="18"/>
              </w:rPr>
              <w:t>7911-2013</w:t>
            </w:r>
            <w:r>
              <w:rPr>
                <w:rFonts w:ascii="黑体" w:hAnsi="黑体" w:eastAsia="黑体" w:cs="Calibri"/>
                <w:spacing w:val="2"/>
                <w:sz w:val="18"/>
                <w:szCs w:val="18"/>
              </w:rPr>
              <w:t xml:space="preserve"> </w:t>
            </w:r>
            <w:r>
              <w:rPr>
                <w:rFonts w:hint="eastAsia" w:ascii="黑体" w:hAnsi="黑体" w:eastAsia="黑体"/>
                <w:sz w:val="18"/>
                <w:szCs w:val="18"/>
              </w:rPr>
              <w:t>标准要求，磨耗值≤</w:t>
            </w:r>
            <w:r>
              <w:rPr>
                <w:rFonts w:ascii="黑体" w:hAnsi="黑体" w:eastAsia="黑体"/>
                <w:sz w:val="18"/>
                <w:szCs w:val="18"/>
              </w:rPr>
              <w:t xml:space="preserve"> </w:t>
            </w:r>
          </w:p>
          <w:p w14:paraId="11C8E559">
            <w:pPr>
              <w:pStyle w:val="132"/>
              <w:tabs>
                <w:tab w:val="left" w:pos="1815"/>
                <w:tab w:val="left" w:pos="3182"/>
              </w:tabs>
              <w:kinsoku w:val="0"/>
              <w:overflowPunct w:val="0"/>
              <w:spacing w:before="17"/>
              <w:ind w:left="105"/>
              <w:rPr>
                <w:rFonts w:ascii="黑体" w:hAnsi="黑体" w:eastAsia="黑体" w:cs="Calibri"/>
                <w:position w:val="5"/>
                <w:sz w:val="18"/>
                <w:szCs w:val="18"/>
              </w:rPr>
            </w:pPr>
            <w:r>
              <w:rPr>
                <w:rFonts w:ascii="黑体" w:hAnsi="黑体" w:eastAsia="黑体" w:cs="Calibri"/>
                <w:sz w:val="18"/>
                <w:szCs w:val="18"/>
              </w:rPr>
              <w:t>0.080g/cm</w:t>
            </w:r>
            <w:r>
              <w:rPr>
                <w:rFonts w:ascii="黑体" w:hAnsi="黑体" w:eastAsia="黑体" w:cs="Calibri"/>
                <w:position w:val="5"/>
                <w:sz w:val="18"/>
                <w:szCs w:val="18"/>
              </w:rPr>
              <w:t>2</w:t>
            </w:r>
            <w:r>
              <w:rPr>
                <w:rFonts w:hint="eastAsia" w:ascii="黑体" w:hAnsi="黑体" w:eastAsia="黑体"/>
                <w:sz w:val="18"/>
                <w:szCs w:val="18"/>
              </w:rPr>
              <w:t>（</w:t>
            </w:r>
            <w:r>
              <w:rPr>
                <w:rFonts w:ascii="黑体" w:hAnsi="黑体" w:eastAsia="黑体" w:cs="Calibri"/>
                <w:sz w:val="18"/>
                <w:szCs w:val="18"/>
              </w:rPr>
              <w:t>1000r</w:t>
            </w:r>
            <w:r>
              <w:rPr>
                <w:rFonts w:hint="eastAsia" w:ascii="黑体" w:hAnsi="黑体" w:eastAsia="黑体"/>
                <w:sz w:val="18"/>
                <w:szCs w:val="18"/>
              </w:rPr>
              <w:t>），高耐磨性（≥</w:t>
            </w:r>
            <w:r>
              <w:rPr>
                <w:rFonts w:ascii="黑体" w:hAnsi="黑体" w:eastAsia="黑体" w:cs="Calibri"/>
                <w:sz w:val="18"/>
                <w:szCs w:val="18"/>
              </w:rPr>
              <w:t>1000r</w:t>
            </w:r>
            <w:r>
              <w:rPr>
                <w:rFonts w:hint="eastAsia" w:ascii="黑体" w:hAnsi="黑体" w:eastAsia="黑体"/>
                <w:sz w:val="18"/>
                <w:szCs w:val="18"/>
              </w:rPr>
              <w:t>）；</w:t>
            </w:r>
          </w:p>
          <w:p w14:paraId="2F9B6E0A">
            <w:pPr>
              <w:pStyle w:val="132"/>
              <w:numPr>
                <w:ilvl w:val="0"/>
                <w:numId w:val="128"/>
              </w:numPr>
              <w:tabs>
                <w:tab w:val="left" w:pos="381"/>
              </w:tabs>
              <w:kinsoku w:val="0"/>
              <w:overflowPunct w:val="0"/>
              <w:spacing w:before="10" w:line="249" w:lineRule="auto"/>
              <w:ind w:right="92" w:hanging="183"/>
              <w:rPr>
                <w:rFonts w:ascii="黑体" w:hAnsi="黑体" w:eastAsia="黑体"/>
                <w:spacing w:val="-3"/>
                <w:sz w:val="18"/>
                <w:szCs w:val="18"/>
              </w:rPr>
            </w:pPr>
            <w:r>
              <w:rPr>
                <w:rFonts w:hint="eastAsia" w:ascii="黑体" w:hAnsi="黑体" w:eastAsia="黑体"/>
                <w:spacing w:val="-5"/>
                <w:sz w:val="18"/>
                <w:szCs w:val="18"/>
              </w:rPr>
              <w:t>防火性能应符合</w:t>
            </w:r>
            <w:r>
              <w:rPr>
                <w:rFonts w:ascii="黑体" w:hAnsi="黑体" w:eastAsia="黑体"/>
                <w:spacing w:val="-33"/>
                <w:sz w:val="18"/>
                <w:szCs w:val="18"/>
              </w:rPr>
              <w:t xml:space="preserve"> </w:t>
            </w:r>
            <w:r>
              <w:rPr>
                <w:rFonts w:ascii="黑体" w:hAnsi="黑体" w:eastAsia="黑体" w:cs="Calibri"/>
                <w:sz w:val="18"/>
                <w:szCs w:val="18"/>
              </w:rPr>
              <w:t>GB-T</w:t>
            </w:r>
            <w:r>
              <w:rPr>
                <w:rFonts w:ascii="黑体" w:hAnsi="黑体" w:eastAsia="黑体" w:cs="Calibri"/>
                <w:spacing w:val="25"/>
                <w:sz w:val="18"/>
                <w:szCs w:val="18"/>
              </w:rPr>
              <w:t xml:space="preserve"> </w:t>
            </w:r>
            <w:r>
              <w:rPr>
                <w:rFonts w:ascii="黑体" w:hAnsi="黑体" w:eastAsia="黑体" w:cs="Calibri"/>
                <w:sz w:val="18"/>
                <w:szCs w:val="18"/>
              </w:rPr>
              <w:t>7911-2013</w:t>
            </w:r>
            <w:r>
              <w:rPr>
                <w:rFonts w:ascii="黑体" w:hAnsi="黑体" w:eastAsia="黑体" w:cs="Calibri"/>
                <w:spacing w:val="15"/>
                <w:sz w:val="18"/>
                <w:szCs w:val="18"/>
              </w:rPr>
              <w:t xml:space="preserve"> </w:t>
            </w:r>
            <w:r>
              <w:rPr>
                <w:rFonts w:hint="eastAsia" w:ascii="黑体" w:hAnsi="黑体" w:eastAsia="黑体"/>
                <w:spacing w:val="-8"/>
                <w:sz w:val="18"/>
                <w:szCs w:val="18"/>
              </w:rPr>
              <w:t>标准要求，达到</w:t>
            </w:r>
            <w:r>
              <w:rPr>
                <w:rFonts w:ascii="黑体" w:hAnsi="黑体" w:eastAsia="黑体"/>
                <w:spacing w:val="-8"/>
                <w:sz w:val="18"/>
                <w:szCs w:val="18"/>
              </w:rPr>
              <w:t xml:space="preserve"> </w:t>
            </w:r>
            <w:r>
              <w:rPr>
                <w:rFonts w:ascii="黑体" w:hAnsi="黑体" w:eastAsia="黑体" w:cs="Calibri"/>
                <w:sz w:val="18"/>
                <w:szCs w:val="18"/>
              </w:rPr>
              <w:t>FV-1</w:t>
            </w:r>
            <w:r>
              <w:rPr>
                <w:rFonts w:ascii="黑体" w:hAnsi="黑体" w:eastAsia="黑体" w:cs="Calibri"/>
                <w:spacing w:val="10"/>
                <w:sz w:val="18"/>
                <w:szCs w:val="18"/>
              </w:rPr>
              <w:t xml:space="preserve"> </w:t>
            </w:r>
            <w:r>
              <w:rPr>
                <w:rFonts w:hint="eastAsia" w:ascii="黑体" w:hAnsi="黑体" w:eastAsia="黑体"/>
                <w:sz w:val="18"/>
                <w:szCs w:val="18"/>
              </w:rPr>
              <w:t>防</w:t>
            </w:r>
            <w:r>
              <w:rPr>
                <w:rFonts w:hint="eastAsia" w:ascii="黑体" w:hAnsi="黑体" w:eastAsia="黑体"/>
                <w:spacing w:val="-2"/>
                <w:sz w:val="18"/>
                <w:szCs w:val="18"/>
              </w:rPr>
              <w:t>火等级</w:t>
            </w:r>
            <w:r>
              <w:rPr>
                <w:rFonts w:hint="eastAsia" w:ascii="黑体" w:hAnsi="黑体" w:eastAsia="黑体"/>
                <w:spacing w:val="-3"/>
                <w:sz w:val="18"/>
                <w:szCs w:val="18"/>
              </w:rPr>
              <w:t>（≤</w:t>
            </w:r>
            <w:r>
              <w:rPr>
                <w:rFonts w:ascii="黑体" w:hAnsi="黑体" w:eastAsia="黑体" w:cs="Calibri"/>
                <w:spacing w:val="-3"/>
                <w:sz w:val="18"/>
                <w:szCs w:val="18"/>
              </w:rPr>
              <w:t>30s</w:t>
            </w:r>
            <w:r>
              <w:rPr>
                <w:rFonts w:hint="eastAsia" w:ascii="黑体" w:hAnsi="黑体" w:eastAsia="黑体"/>
                <w:spacing w:val="-3"/>
                <w:sz w:val="18"/>
                <w:szCs w:val="18"/>
              </w:rPr>
              <w:t>）；</w:t>
            </w:r>
          </w:p>
          <w:p w14:paraId="2F9D6426">
            <w:pPr>
              <w:pStyle w:val="132"/>
              <w:numPr>
                <w:ilvl w:val="0"/>
                <w:numId w:val="128"/>
              </w:numPr>
              <w:tabs>
                <w:tab w:val="left" w:pos="381"/>
              </w:tabs>
              <w:kinsoku w:val="0"/>
              <w:overflowPunct w:val="0"/>
              <w:spacing w:line="213" w:lineRule="exact"/>
              <w:ind w:left="380" w:hanging="276"/>
              <w:rPr>
                <w:rFonts w:ascii="黑体" w:hAnsi="黑体" w:eastAsia="黑体"/>
                <w:sz w:val="18"/>
                <w:szCs w:val="18"/>
              </w:rPr>
            </w:pPr>
            <w:r>
              <w:rPr>
                <w:rFonts w:hint="eastAsia" w:ascii="黑体" w:hAnsi="黑体" w:eastAsia="黑体"/>
                <w:spacing w:val="-9"/>
                <w:sz w:val="18"/>
                <w:szCs w:val="18"/>
              </w:rPr>
              <w:t>防静电性能：表面电阻为</w:t>
            </w:r>
            <w:r>
              <w:rPr>
                <w:rFonts w:ascii="黑体" w:hAnsi="黑体" w:eastAsia="黑体"/>
                <w:spacing w:val="-9"/>
                <w:sz w:val="18"/>
                <w:szCs w:val="18"/>
              </w:rPr>
              <w:t xml:space="preserve"> </w:t>
            </w:r>
            <w:r>
              <w:rPr>
                <w:rFonts w:ascii="黑体" w:hAnsi="黑体" w:eastAsia="黑体" w:cs="Calibri"/>
                <w:sz w:val="18"/>
                <w:szCs w:val="18"/>
              </w:rPr>
              <w:t>1.0X10</w:t>
            </w:r>
            <w:r>
              <w:rPr>
                <w:rFonts w:ascii="黑体" w:hAnsi="黑体" w:eastAsia="黑体" w:cs="Calibri"/>
                <w:position w:val="5"/>
                <w:sz w:val="18"/>
                <w:szCs w:val="18"/>
              </w:rPr>
              <w:t>6</w:t>
            </w:r>
            <w:r>
              <w:rPr>
                <w:rFonts w:hint="eastAsia" w:ascii="黑体" w:hAnsi="黑体" w:eastAsia="黑体"/>
                <w:sz w:val="18"/>
                <w:szCs w:val="18"/>
              </w:rPr>
              <w:t>Ω</w:t>
            </w:r>
            <w:r>
              <w:rPr>
                <w:rFonts w:ascii="黑体" w:hAnsi="黑体" w:eastAsia="黑体" w:cs="Calibri"/>
                <w:sz w:val="18"/>
                <w:szCs w:val="18"/>
              </w:rPr>
              <w:t>~1.0X10</w:t>
            </w:r>
            <w:r>
              <w:rPr>
                <w:rFonts w:ascii="黑体" w:hAnsi="黑体" w:eastAsia="黑体" w:cs="Calibri"/>
                <w:position w:val="5"/>
                <w:sz w:val="18"/>
                <w:szCs w:val="18"/>
              </w:rPr>
              <w:t>9</w:t>
            </w:r>
            <w:r>
              <w:rPr>
                <w:rFonts w:hint="eastAsia" w:ascii="黑体" w:hAnsi="黑体" w:eastAsia="黑体"/>
                <w:sz w:val="18"/>
                <w:szCs w:val="18"/>
              </w:rPr>
              <w:t>Ω。</w:t>
            </w:r>
          </w:p>
        </w:tc>
        <w:tc>
          <w:tcPr>
            <w:tcW w:w="1277" w:type="dxa"/>
            <w:tcBorders>
              <w:top w:val="single" w:color="000000" w:sz="4" w:space="0"/>
              <w:left w:val="single" w:color="000000" w:sz="4" w:space="0"/>
              <w:bottom w:val="single" w:color="000000" w:sz="4" w:space="0"/>
              <w:right w:val="single" w:color="000000" w:sz="4" w:space="0"/>
            </w:tcBorders>
          </w:tcPr>
          <w:p w14:paraId="34D189EC">
            <w:pPr>
              <w:pStyle w:val="132"/>
              <w:kinsoku w:val="0"/>
              <w:overflowPunct w:val="0"/>
              <w:rPr>
                <w:rFonts w:ascii="黑体" w:hAnsi="黑体" w:eastAsia="黑体"/>
                <w:b/>
                <w:bCs/>
                <w:sz w:val="18"/>
                <w:szCs w:val="18"/>
              </w:rPr>
            </w:pPr>
          </w:p>
          <w:p w14:paraId="5F65F246">
            <w:pPr>
              <w:pStyle w:val="132"/>
              <w:kinsoku w:val="0"/>
              <w:overflowPunct w:val="0"/>
              <w:rPr>
                <w:rFonts w:ascii="黑体" w:hAnsi="黑体" w:eastAsia="黑体"/>
                <w:b/>
                <w:bCs/>
                <w:sz w:val="18"/>
                <w:szCs w:val="18"/>
              </w:rPr>
            </w:pPr>
          </w:p>
          <w:p w14:paraId="1127C31D">
            <w:pPr>
              <w:pStyle w:val="132"/>
              <w:kinsoku w:val="0"/>
              <w:overflowPunct w:val="0"/>
              <w:spacing w:before="11"/>
              <w:rPr>
                <w:rFonts w:ascii="黑体" w:hAnsi="黑体" w:eastAsia="黑体"/>
                <w:b/>
                <w:bCs/>
                <w:sz w:val="18"/>
                <w:szCs w:val="18"/>
              </w:rPr>
            </w:pPr>
          </w:p>
          <w:p w14:paraId="128CDB5A">
            <w:pPr>
              <w:pStyle w:val="132"/>
              <w:kinsoku w:val="0"/>
              <w:overflowPunct w:val="0"/>
              <w:ind w:left="111"/>
              <w:rPr>
                <w:rFonts w:ascii="黑体" w:hAnsi="黑体" w:eastAsia="黑体"/>
                <w:b/>
                <w:bCs/>
                <w:sz w:val="18"/>
                <w:szCs w:val="18"/>
              </w:rPr>
            </w:pPr>
            <w:r>
              <w:rPr>
                <w:rFonts w:hint="eastAsia" w:ascii="黑体" w:hAnsi="黑体" w:eastAsia="黑体"/>
                <w:b/>
                <w:bCs/>
                <w:sz w:val="18"/>
                <w:szCs w:val="18"/>
              </w:rPr>
              <w:t>□满足</w:t>
            </w:r>
          </w:p>
          <w:p w14:paraId="59C2575F">
            <w:pPr>
              <w:pStyle w:val="132"/>
              <w:kinsoku w:val="0"/>
              <w:overflowPunct w:val="0"/>
              <w:spacing w:before="5"/>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2B9656C4">
            <w:pPr>
              <w:pStyle w:val="132"/>
              <w:kinsoku w:val="0"/>
              <w:overflowPunct w:val="0"/>
              <w:rPr>
                <w:rFonts w:ascii="黑体" w:hAnsi="黑体" w:eastAsia="黑体" w:cs="Times New Roman"/>
                <w:sz w:val="18"/>
                <w:szCs w:val="18"/>
              </w:rPr>
            </w:pPr>
          </w:p>
        </w:tc>
      </w:tr>
      <w:tr w14:paraId="3BC82E8A">
        <w:tblPrEx>
          <w:tblCellMar>
            <w:top w:w="0" w:type="dxa"/>
            <w:left w:w="0" w:type="dxa"/>
            <w:bottom w:w="0" w:type="dxa"/>
            <w:right w:w="0" w:type="dxa"/>
          </w:tblCellMar>
        </w:tblPrEx>
        <w:trPr>
          <w:trHeight w:val="2160" w:hRule="atLeast"/>
        </w:trPr>
        <w:tc>
          <w:tcPr>
            <w:tcW w:w="725" w:type="dxa"/>
            <w:tcBorders>
              <w:top w:val="single" w:color="000000" w:sz="4" w:space="0"/>
              <w:left w:val="single" w:color="000000" w:sz="4" w:space="0"/>
              <w:bottom w:val="single" w:color="000000" w:sz="4" w:space="0"/>
              <w:right w:val="single" w:color="000000" w:sz="4" w:space="0"/>
            </w:tcBorders>
          </w:tcPr>
          <w:p w14:paraId="617FC83F">
            <w:pPr>
              <w:pStyle w:val="132"/>
              <w:kinsoku w:val="0"/>
              <w:overflowPunct w:val="0"/>
              <w:rPr>
                <w:rFonts w:ascii="黑体" w:hAnsi="黑体" w:eastAsia="黑体"/>
                <w:b/>
                <w:bCs/>
                <w:sz w:val="18"/>
                <w:szCs w:val="18"/>
              </w:rPr>
            </w:pPr>
          </w:p>
          <w:p w14:paraId="1CD9F945">
            <w:pPr>
              <w:pStyle w:val="132"/>
              <w:kinsoku w:val="0"/>
              <w:overflowPunct w:val="0"/>
              <w:rPr>
                <w:rFonts w:ascii="黑体" w:hAnsi="黑体" w:eastAsia="黑体"/>
                <w:b/>
                <w:bCs/>
                <w:sz w:val="18"/>
                <w:szCs w:val="18"/>
              </w:rPr>
            </w:pPr>
          </w:p>
          <w:p w14:paraId="6B16DF94">
            <w:pPr>
              <w:pStyle w:val="132"/>
              <w:kinsoku w:val="0"/>
              <w:overflowPunct w:val="0"/>
              <w:rPr>
                <w:rFonts w:ascii="黑体" w:hAnsi="黑体" w:eastAsia="黑体"/>
                <w:b/>
                <w:bCs/>
                <w:sz w:val="18"/>
                <w:szCs w:val="18"/>
              </w:rPr>
            </w:pPr>
          </w:p>
          <w:p w14:paraId="44AF9AA2">
            <w:pPr>
              <w:pStyle w:val="132"/>
              <w:kinsoku w:val="0"/>
              <w:overflowPunct w:val="0"/>
              <w:spacing w:before="5"/>
              <w:rPr>
                <w:rFonts w:ascii="黑体" w:hAnsi="黑体" w:eastAsia="黑体"/>
                <w:b/>
                <w:bCs/>
                <w:sz w:val="18"/>
                <w:szCs w:val="18"/>
              </w:rPr>
            </w:pPr>
          </w:p>
          <w:p w14:paraId="7490AC62">
            <w:pPr>
              <w:pStyle w:val="132"/>
              <w:kinsoku w:val="0"/>
              <w:overflowPunct w:val="0"/>
              <w:ind w:left="225"/>
              <w:rPr>
                <w:rFonts w:ascii="黑体" w:hAnsi="黑体" w:eastAsia="黑体"/>
                <w:sz w:val="18"/>
                <w:szCs w:val="18"/>
              </w:rPr>
            </w:pPr>
            <w:r>
              <w:rPr>
                <w:rFonts w:ascii="黑体" w:hAnsi="黑体" w:eastAsia="黑体"/>
                <w:sz w:val="18"/>
                <w:szCs w:val="18"/>
              </w:rPr>
              <w:t xml:space="preserve">3.2 </w:t>
            </w:r>
          </w:p>
        </w:tc>
        <w:tc>
          <w:tcPr>
            <w:tcW w:w="1277" w:type="dxa"/>
            <w:tcBorders>
              <w:top w:val="single" w:color="000000" w:sz="4" w:space="0"/>
              <w:left w:val="single" w:color="000000" w:sz="4" w:space="0"/>
              <w:bottom w:val="single" w:color="000000" w:sz="4" w:space="0"/>
              <w:right w:val="single" w:color="000000" w:sz="4" w:space="0"/>
            </w:tcBorders>
          </w:tcPr>
          <w:p w14:paraId="729C4A25">
            <w:pPr>
              <w:pStyle w:val="132"/>
              <w:kinsoku w:val="0"/>
              <w:overflowPunct w:val="0"/>
              <w:rPr>
                <w:rFonts w:ascii="黑体" w:hAnsi="黑体" w:eastAsia="黑体"/>
                <w:b/>
                <w:bCs/>
                <w:sz w:val="18"/>
                <w:szCs w:val="18"/>
              </w:rPr>
            </w:pPr>
          </w:p>
          <w:p w14:paraId="38D22D1F">
            <w:pPr>
              <w:pStyle w:val="132"/>
              <w:kinsoku w:val="0"/>
              <w:overflowPunct w:val="0"/>
              <w:rPr>
                <w:rFonts w:ascii="黑体" w:hAnsi="黑体" w:eastAsia="黑体"/>
                <w:b/>
                <w:bCs/>
                <w:sz w:val="18"/>
                <w:szCs w:val="18"/>
              </w:rPr>
            </w:pPr>
          </w:p>
          <w:p w14:paraId="524D9012">
            <w:pPr>
              <w:pStyle w:val="132"/>
              <w:kinsoku w:val="0"/>
              <w:overflowPunct w:val="0"/>
              <w:spacing w:before="6"/>
              <w:rPr>
                <w:rFonts w:ascii="黑体" w:hAnsi="黑体" w:eastAsia="黑体"/>
                <w:b/>
                <w:bCs/>
                <w:sz w:val="18"/>
                <w:szCs w:val="18"/>
              </w:rPr>
            </w:pPr>
          </w:p>
          <w:p w14:paraId="20C3B324">
            <w:pPr>
              <w:pStyle w:val="132"/>
              <w:kinsoku w:val="0"/>
              <w:overflowPunct w:val="0"/>
              <w:spacing w:before="1"/>
              <w:ind w:left="105" w:right="55"/>
              <w:rPr>
                <w:rFonts w:ascii="黑体" w:hAnsi="黑体" w:eastAsia="黑体"/>
                <w:sz w:val="18"/>
                <w:szCs w:val="18"/>
              </w:rPr>
            </w:pPr>
            <w:r>
              <w:rPr>
                <w:rFonts w:hint="eastAsia" w:ascii="黑体" w:hAnsi="黑体" w:eastAsia="黑体"/>
                <w:sz w:val="18"/>
                <w:szCs w:val="18"/>
              </w:rPr>
              <w:t>全钢带孔面板性能要求</w:t>
            </w:r>
          </w:p>
        </w:tc>
        <w:tc>
          <w:tcPr>
            <w:tcW w:w="4960" w:type="dxa"/>
            <w:gridSpan w:val="2"/>
            <w:tcBorders>
              <w:top w:val="single" w:color="000000" w:sz="4" w:space="0"/>
              <w:left w:val="single" w:color="000000" w:sz="4" w:space="0"/>
              <w:bottom w:val="single" w:color="000000" w:sz="4" w:space="0"/>
              <w:right w:val="single" w:color="000000" w:sz="4" w:space="0"/>
            </w:tcBorders>
          </w:tcPr>
          <w:p w14:paraId="5A02B181">
            <w:pPr>
              <w:pStyle w:val="132"/>
              <w:numPr>
                <w:ilvl w:val="0"/>
                <w:numId w:val="129"/>
              </w:numPr>
              <w:tabs>
                <w:tab w:val="left" w:pos="466"/>
              </w:tabs>
              <w:kinsoku w:val="0"/>
              <w:overflowPunct w:val="0"/>
              <w:ind w:right="92"/>
              <w:rPr>
                <w:rFonts w:ascii="黑体" w:hAnsi="黑体" w:eastAsia="黑体"/>
                <w:spacing w:val="-5"/>
                <w:sz w:val="18"/>
                <w:szCs w:val="18"/>
              </w:rPr>
            </w:pPr>
            <w:r>
              <w:rPr>
                <w:rFonts w:hint="eastAsia" w:ascii="黑体" w:hAnsi="黑体" w:eastAsia="黑体"/>
                <w:spacing w:val="-1"/>
                <w:sz w:val="18"/>
                <w:szCs w:val="18"/>
              </w:rPr>
              <w:t>由涂上导电粉末的优质钢架及全碳钢板的框架结构焊接</w:t>
            </w:r>
            <w:r>
              <w:rPr>
                <w:rFonts w:hint="eastAsia" w:ascii="黑体" w:hAnsi="黑体" w:eastAsia="黑体"/>
                <w:spacing w:val="-5"/>
                <w:sz w:val="18"/>
                <w:szCs w:val="18"/>
              </w:rPr>
              <w:t>成，可按需焊接通风率调节装置；</w:t>
            </w:r>
          </w:p>
          <w:p w14:paraId="7531ECC0">
            <w:pPr>
              <w:pStyle w:val="132"/>
              <w:numPr>
                <w:ilvl w:val="0"/>
                <w:numId w:val="129"/>
              </w:numPr>
              <w:tabs>
                <w:tab w:val="left" w:pos="466"/>
              </w:tabs>
              <w:kinsoku w:val="0"/>
              <w:overflowPunct w:val="0"/>
              <w:spacing w:before="2" w:line="244" w:lineRule="auto"/>
              <w:ind w:right="93"/>
              <w:rPr>
                <w:rFonts w:ascii="黑体" w:hAnsi="黑体" w:eastAsia="黑体"/>
                <w:spacing w:val="-5"/>
                <w:position w:val="2"/>
                <w:sz w:val="18"/>
                <w:szCs w:val="18"/>
              </w:rPr>
            </w:pPr>
            <w:r>
              <w:rPr>
                <w:rFonts w:hint="eastAsia" w:ascii="黑体" w:hAnsi="黑体" w:eastAsia="黑体"/>
                <w:sz w:val="18"/>
                <w:szCs w:val="18"/>
              </w:rPr>
              <w:t>符合</w:t>
            </w:r>
            <w:r>
              <w:rPr>
                <w:rFonts w:ascii="黑体" w:hAnsi="黑体" w:eastAsia="黑体"/>
                <w:spacing w:val="-19"/>
                <w:sz w:val="18"/>
                <w:szCs w:val="18"/>
              </w:rPr>
              <w:t xml:space="preserve"> </w:t>
            </w:r>
            <w:r>
              <w:rPr>
                <w:rFonts w:ascii="黑体" w:hAnsi="黑体" w:eastAsia="黑体" w:cs="Calibri"/>
                <w:spacing w:val="-3"/>
                <w:sz w:val="18"/>
                <w:szCs w:val="18"/>
              </w:rPr>
              <w:t>GB</w:t>
            </w:r>
            <w:r>
              <w:rPr>
                <w:rFonts w:ascii="黑体" w:hAnsi="黑体" w:eastAsia="黑体" w:cs="Calibri"/>
                <w:spacing w:val="15"/>
                <w:sz w:val="18"/>
                <w:szCs w:val="18"/>
              </w:rPr>
              <w:t xml:space="preserve"> </w:t>
            </w:r>
            <w:r>
              <w:rPr>
                <w:rFonts w:ascii="黑体" w:hAnsi="黑体" w:eastAsia="黑体" w:cs="Calibri"/>
                <w:spacing w:val="-2"/>
                <w:sz w:val="18"/>
                <w:szCs w:val="18"/>
              </w:rPr>
              <w:t>8624-2012</w:t>
            </w:r>
            <w:r>
              <w:rPr>
                <w:rFonts w:hint="eastAsia" w:ascii="黑体" w:hAnsi="黑体" w:eastAsia="黑体"/>
                <w:spacing w:val="-5"/>
                <w:sz w:val="18"/>
                <w:szCs w:val="18"/>
              </w:rPr>
              <w:t>《建筑材料及制品燃烧性能分级》标</w:t>
            </w:r>
            <w:r>
              <w:rPr>
                <w:rFonts w:hint="eastAsia" w:ascii="黑体" w:hAnsi="黑体" w:eastAsia="黑体"/>
                <w:spacing w:val="7"/>
                <w:position w:val="2"/>
                <w:sz w:val="18"/>
                <w:szCs w:val="18"/>
              </w:rPr>
              <w:t>准，达到</w:t>
            </w:r>
            <w:r>
              <w:rPr>
                <w:rFonts w:ascii="黑体" w:hAnsi="黑体" w:eastAsia="黑体" w:cs="Calibri"/>
                <w:position w:val="2"/>
                <w:sz w:val="18"/>
                <w:szCs w:val="18"/>
              </w:rPr>
              <w:t>A1</w:t>
            </w:r>
            <w:r>
              <w:rPr>
                <w:rFonts w:ascii="黑体" w:hAnsi="黑体" w:eastAsia="黑体" w:cs="Calibri"/>
                <w:sz w:val="18"/>
                <w:szCs w:val="18"/>
              </w:rPr>
              <w:t>f1</w:t>
            </w:r>
            <w:r>
              <w:rPr>
                <w:rFonts w:ascii="黑体" w:hAnsi="黑体" w:eastAsia="黑体" w:cs="Calibri"/>
                <w:spacing w:val="3"/>
                <w:sz w:val="18"/>
                <w:szCs w:val="18"/>
              </w:rPr>
              <w:t xml:space="preserve"> </w:t>
            </w:r>
            <w:r>
              <w:rPr>
                <w:rFonts w:hint="eastAsia" w:ascii="黑体" w:hAnsi="黑体" w:eastAsia="黑体"/>
                <w:spacing w:val="-5"/>
                <w:position w:val="2"/>
                <w:sz w:val="18"/>
                <w:szCs w:val="18"/>
              </w:rPr>
              <w:t>级不燃材料防火等级要求；</w:t>
            </w:r>
          </w:p>
          <w:p w14:paraId="045F8B76">
            <w:pPr>
              <w:pStyle w:val="132"/>
              <w:numPr>
                <w:ilvl w:val="0"/>
                <w:numId w:val="129"/>
              </w:numPr>
              <w:tabs>
                <w:tab w:val="left" w:pos="466"/>
              </w:tabs>
              <w:kinsoku w:val="0"/>
              <w:overflowPunct w:val="0"/>
              <w:spacing w:line="224" w:lineRule="exact"/>
              <w:ind w:hanging="361"/>
              <w:rPr>
                <w:rFonts w:ascii="黑体" w:hAnsi="黑体" w:eastAsia="黑体"/>
                <w:spacing w:val="4"/>
                <w:sz w:val="18"/>
                <w:szCs w:val="18"/>
              </w:rPr>
            </w:pPr>
            <w:r>
              <w:rPr>
                <w:rFonts w:hint="eastAsia" w:ascii="黑体" w:hAnsi="黑体" w:eastAsia="黑体"/>
                <w:spacing w:val="4"/>
                <w:sz w:val="18"/>
                <w:szCs w:val="18"/>
              </w:rPr>
              <w:t>通孔率要求：根据制冷通风量需求，可提供通风率≥</w:t>
            </w:r>
          </w:p>
          <w:p w14:paraId="7FAB6630">
            <w:pPr>
              <w:pStyle w:val="132"/>
              <w:kinsoku w:val="0"/>
              <w:overflowPunct w:val="0"/>
              <w:spacing w:before="5"/>
              <w:ind w:left="465"/>
              <w:rPr>
                <w:rFonts w:ascii="黑体" w:hAnsi="黑体" w:eastAsia="黑体"/>
                <w:sz w:val="18"/>
                <w:szCs w:val="18"/>
              </w:rPr>
            </w:pPr>
            <w:r>
              <w:rPr>
                <w:rFonts w:ascii="黑体" w:hAnsi="黑体" w:eastAsia="黑体" w:cs="Calibri"/>
                <w:sz w:val="18"/>
                <w:szCs w:val="18"/>
              </w:rPr>
              <w:t>25%</w:t>
            </w:r>
            <w:r>
              <w:rPr>
                <w:rFonts w:hint="eastAsia" w:ascii="黑体" w:hAnsi="黑体" w:eastAsia="黑体"/>
                <w:sz w:val="18"/>
                <w:szCs w:val="18"/>
              </w:rPr>
              <w:t>和通风率≥</w:t>
            </w:r>
            <w:r>
              <w:rPr>
                <w:rFonts w:ascii="黑体" w:hAnsi="黑体" w:eastAsia="黑体" w:cs="Calibri"/>
                <w:sz w:val="18"/>
                <w:szCs w:val="18"/>
              </w:rPr>
              <w:t>50%</w:t>
            </w:r>
            <w:r>
              <w:rPr>
                <w:rFonts w:hint="eastAsia" w:ascii="黑体" w:hAnsi="黑体" w:eastAsia="黑体"/>
                <w:sz w:val="18"/>
                <w:szCs w:val="18"/>
              </w:rPr>
              <w:t>两种可选；</w:t>
            </w:r>
          </w:p>
          <w:p w14:paraId="37BE6036">
            <w:pPr>
              <w:pStyle w:val="132"/>
              <w:numPr>
                <w:ilvl w:val="0"/>
                <w:numId w:val="129"/>
              </w:numPr>
              <w:tabs>
                <w:tab w:val="left" w:pos="466"/>
              </w:tabs>
              <w:kinsoku w:val="0"/>
              <w:overflowPunct w:val="0"/>
              <w:spacing w:before="4"/>
              <w:ind w:right="93"/>
              <w:rPr>
                <w:rFonts w:ascii="黑体" w:hAnsi="黑体" w:eastAsia="黑体"/>
                <w:spacing w:val="-2"/>
                <w:sz w:val="18"/>
                <w:szCs w:val="18"/>
              </w:rPr>
            </w:pPr>
            <w:r>
              <w:rPr>
                <w:rFonts w:hint="eastAsia" w:ascii="黑体" w:hAnsi="黑体" w:eastAsia="黑体"/>
                <w:spacing w:val="-1"/>
                <w:sz w:val="18"/>
                <w:szCs w:val="18"/>
              </w:rPr>
              <w:t>通风地板可与普通防静电地板、玻璃地板任意进行互换</w:t>
            </w:r>
            <w:r>
              <w:rPr>
                <w:rFonts w:hint="eastAsia" w:ascii="黑体" w:hAnsi="黑体" w:eastAsia="黑体"/>
                <w:spacing w:val="-2"/>
                <w:sz w:val="18"/>
                <w:szCs w:val="18"/>
              </w:rPr>
              <w:t>安装。</w:t>
            </w:r>
          </w:p>
        </w:tc>
        <w:tc>
          <w:tcPr>
            <w:tcW w:w="1277" w:type="dxa"/>
            <w:tcBorders>
              <w:top w:val="single" w:color="000000" w:sz="4" w:space="0"/>
              <w:left w:val="single" w:color="000000" w:sz="4" w:space="0"/>
              <w:bottom w:val="single" w:color="000000" w:sz="4" w:space="0"/>
              <w:right w:val="single" w:color="000000" w:sz="4" w:space="0"/>
            </w:tcBorders>
          </w:tcPr>
          <w:p w14:paraId="7A77665C">
            <w:pPr>
              <w:pStyle w:val="132"/>
              <w:kinsoku w:val="0"/>
              <w:overflowPunct w:val="0"/>
              <w:rPr>
                <w:rFonts w:ascii="黑体" w:hAnsi="黑体" w:eastAsia="黑体"/>
                <w:b/>
                <w:bCs/>
                <w:sz w:val="18"/>
                <w:szCs w:val="18"/>
              </w:rPr>
            </w:pPr>
          </w:p>
          <w:p w14:paraId="086F5A27">
            <w:pPr>
              <w:pStyle w:val="132"/>
              <w:kinsoku w:val="0"/>
              <w:overflowPunct w:val="0"/>
              <w:rPr>
                <w:rFonts w:ascii="黑体" w:hAnsi="黑体" w:eastAsia="黑体"/>
                <w:b/>
                <w:bCs/>
                <w:sz w:val="18"/>
                <w:szCs w:val="18"/>
              </w:rPr>
            </w:pPr>
          </w:p>
          <w:p w14:paraId="1DC78872">
            <w:pPr>
              <w:pStyle w:val="132"/>
              <w:kinsoku w:val="0"/>
              <w:overflowPunct w:val="0"/>
              <w:spacing w:before="6"/>
              <w:rPr>
                <w:rFonts w:ascii="黑体" w:hAnsi="黑体" w:eastAsia="黑体"/>
                <w:b/>
                <w:bCs/>
                <w:sz w:val="18"/>
                <w:szCs w:val="18"/>
              </w:rPr>
            </w:pPr>
          </w:p>
          <w:p w14:paraId="14BD9C2C">
            <w:pPr>
              <w:pStyle w:val="132"/>
              <w:kinsoku w:val="0"/>
              <w:overflowPunct w:val="0"/>
              <w:spacing w:before="1" w:line="231" w:lineRule="exact"/>
              <w:ind w:left="111"/>
              <w:rPr>
                <w:rFonts w:ascii="黑体" w:hAnsi="黑体" w:eastAsia="黑体"/>
                <w:b/>
                <w:bCs/>
                <w:sz w:val="18"/>
                <w:szCs w:val="18"/>
              </w:rPr>
            </w:pPr>
            <w:r>
              <w:rPr>
                <w:rFonts w:hint="eastAsia" w:ascii="黑体" w:hAnsi="黑体" w:eastAsia="黑体"/>
                <w:b/>
                <w:bCs/>
                <w:sz w:val="18"/>
                <w:szCs w:val="18"/>
              </w:rPr>
              <w:t>□满足</w:t>
            </w:r>
          </w:p>
          <w:p w14:paraId="5E01D040">
            <w:pPr>
              <w:pStyle w:val="132"/>
              <w:kinsoku w:val="0"/>
              <w:overflowPunct w:val="0"/>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37EA9CAD">
            <w:pPr>
              <w:pStyle w:val="132"/>
              <w:kinsoku w:val="0"/>
              <w:overflowPunct w:val="0"/>
              <w:rPr>
                <w:rFonts w:ascii="黑体" w:hAnsi="黑体" w:eastAsia="黑体" w:cs="Times New Roman"/>
                <w:sz w:val="18"/>
                <w:szCs w:val="18"/>
              </w:rPr>
            </w:pPr>
          </w:p>
        </w:tc>
      </w:tr>
    </w:tbl>
    <w:p w14:paraId="3DDE064D">
      <w:pPr>
        <w:jc w:val="left"/>
        <w:rPr>
          <w:rFonts w:ascii="黑体" w:hAnsi="黑体"/>
          <w:b/>
          <w:bCs/>
          <w:szCs w:val="18"/>
        </w:rPr>
        <w:sectPr>
          <w:pgSz w:w="11910" w:h="16840"/>
          <w:pgMar w:top="1660" w:right="700" w:bottom="1340" w:left="1220" w:header="720" w:footer="1146" w:gutter="0"/>
          <w:pgNumType w:fmt="decimal"/>
          <w:cols w:space="720" w:num="1"/>
        </w:sectPr>
      </w:pPr>
    </w:p>
    <w:tbl>
      <w:tblPr>
        <w:tblStyle w:val="36"/>
        <w:tblW w:w="0" w:type="auto"/>
        <w:tblInd w:w="211" w:type="dxa"/>
        <w:tblLayout w:type="fixed"/>
        <w:tblCellMar>
          <w:top w:w="0" w:type="dxa"/>
          <w:left w:w="0" w:type="dxa"/>
          <w:bottom w:w="0" w:type="dxa"/>
          <w:right w:w="0" w:type="dxa"/>
        </w:tblCellMar>
      </w:tblPr>
      <w:tblGrid>
        <w:gridCol w:w="725"/>
        <w:gridCol w:w="1277"/>
        <w:gridCol w:w="4960"/>
        <w:gridCol w:w="1277"/>
        <w:gridCol w:w="1263"/>
      </w:tblGrid>
      <w:tr w14:paraId="1BBB991B">
        <w:trPr>
          <w:trHeight w:val="1132" w:hRule="atLeast"/>
        </w:trPr>
        <w:tc>
          <w:tcPr>
            <w:tcW w:w="725" w:type="dxa"/>
            <w:tcBorders>
              <w:top w:val="single" w:color="000000" w:sz="4" w:space="0"/>
              <w:left w:val="single" w:color="000000" w:sz="4" w:space="0"/>
              <w:bottom w:val="single" w:color="000000" w:sz="4" w:space="0"/>
              <w:right w:val="single" w:color="000000" w:sz="4" w:space="0"/>
            </w:tcBorders>
          </w:tcPr>
          <w:p w14:paraId="35FC0F24">
            <w:pPr>
              <w:pStyle w:val="132"/>
              <w:kinsoku w:val="0"/>
              <w:overflowPunct w:val="0"/>
              <w:rPr>
                <w:rFonts w:ascii="黑体" w:hAnsi="黑体" w:eastAsia="黑体"/>
                <w:b/>
                <w:bCs/>
                <w:sz w:val="18"/>
                <w:szCs w:val="18"/>
              </w:rPr>
            </w:pPr>
          </w:p>
          <w:p w14:paraId="4C8B3724">
            <w:pPr>
              <w:pStyle w:val="132"/>
              <w:kinsoku w:val="0"/>
              <w:overflowPunct w:val="0"/>
              <w:spacing w:before="117"/>
              <w:ind w:left="196"/>
              <w:rPr>
                <w:rFonts w:ascii="黑体" w:hAnsi="黑体" w:eastAsia="黑体"/>
                <w:sz w:val="18"/>
                <w:szCs w:val="18"/>
              </w:rPr>
            </w:pPr>
            <w:r>
              <w:rPr>
                <w:rFonts w:ascii="黑体" w:hAnsi="黑体" w:eastAsia="黑体"/>
                <w:sz w:val="18"/>
                <w:szCs w:val="18"/>
              </w:rPr>
              <w:t xml:space="preserve">3.3 </w:t>
            </w:r>
          </w:p>
        </w:tc>
        <w:tc>
          <w:tcPr>
            <w:tcW w:w="1277" w:type="dxa"/>
            <w:tcBorders>
              <w:top w:val="single" w:color="000000" w:sz="4" w:space="0"/>
              <w:left w:val="single" w:color="000000" w:sz="4" w:space="0"/>
              <w:bottom w:val="single" w:color="000000" w:sz="4" w:space="0"/>
              <w:right w:val="single" w:color="000000" w:sz="4" w:space="0"/>
            </w:tcBorders>
          </w:tcPr>
          <w:p w14:paraId="67196C7E">
            <w:pPr>
              <w:pStyle w:val="132"/>
              <w:kinsoku w:val="0"/>
              <w:overflowPunct w:val="0"/>
              <w:spacing w:before="113" w:line="242" w:lineRule="auto"/>
              <w:ind w:left="105" w:right="55"/>
              <w:rPr>
                <w:rFonts w:ascii="黑体" w:hAnsi="黑体" w:eastAsia="黑体"/>
                <w:sz w:val="18"/>
                <w:szCs w:val="18"/>
              </w:rPr>
            </w:pPr>
            <w:r>
              <w:rPr>
                <w:rFonts w:hint="eastAsia" w:ascii="黑体" w:hAnsi="黑体" w:eastAsia="黑体"/>
                <w:spacing w:val="30"/>
                <w:sz w:val="18"/>
                <w:szCs w:val="18"/>
              </w:rPr>
              <w:t>地板载荷性</w:t>
            </w:r>
            <w:r>
              <w:rPr>
                <w:rFonts w:hint="eastAsia" w:ascii="黑体" w:hAnsi="黑体" w:eastAsia="黑体"/>
                <w:spacing w:val="52"/>
                <w:sz w:val="18"/>
                <w:szCs w:val="18"/>
              </w:rPr>
              <w:t>能要求</w:t>
            </w:r>
            <w:r>
              <w:rPr>
                <w:rFonts w:hint="eastAsia" w:ascii="黑体" w:hAnsi="黑体" w:eastAsia="黑体"/>
                <w:sz w:val="18"/>
                <w:szCs w:val="18"/>
              </w:rPr>
              <w:t>（</w:t>
            </w:r>
            <w:r>
              <w:rPr>
                <w:rFonts w:ascii="黑体" w:hAnsi="黑体" w:eastAsia="黑体"/>
                <w:sz w:val="18"/>
                <w:szCs w:val="18"/>
              </w:rPr>
              <w:t xml:space="preserve"> </w:t>
            </w:r>
            <w:r>
              <w:rPr>
                <w:rFonts w:ascii="黑体" w:hAnsi="黑体" w:eastAsia="黑体" w:cs="Calibri"/>
                <w:sz w:val="18"/>
                <w:szCs w:val="18"/>
              </w:rPr>
              <w:t xml:space="preserve">Z </w:t>
            </w:r>
            <w:r>
              <w:rPr>
                <w:rFonts w:hint="eastAsia" w:ascii="黑体" w:hAnsi="黑体" w:eastAsia="黑体"/>
                <w:spacing w:val="-2"/>
                <w:sz w:val="18"/>
                <w:szCs w:val="18"/>
              </w:rPr>
              <w:t>型承载</w:t>
            </w:r>
            <w:r>
              <w:rPr>
                <w:rFonts w:hint="eastAsia" w:ascii="黑体" w:hAnsi="黑体" w:eastAsia="黑体"/>
                <w:sz w:val="18"/>
                <w:szCs w:val="18"/>
              </w:rPr>
              <w:t>）</w:t>
            </w:r>
          </w:p>
        </w:tc>
        <w:tc>
          <w:tcPr>
            <w:tcW w:w="4960" w:type="dxa"/>
            <w:tcBorders>
              <w:top w:val="single" w:color="000000" w:sz="4" w:space="0"/>
              <w:left w:val="single" w:color="000000" w:sz="4" w:space="0"/>
              <w:bottom w:val="single" w:color="000000" w:sz="4" w:space="0"/>
              <w:right w:val="single" w:color="000000" w:sz="4" w:space="0"/>
            </w:tcBorders>
          </w:tcPr>
          <w:p w14:paraId="2599B59B">
            <w:pPr>
              <w:pStyle w:val="132"/>
              <w:numPr>
                <w:ilvl w:val="0"/>
                <w:numId w:val="130"/>
              </w:numPr>
              <w:tabs>
                <w:tab w:val="left" w:pos="466"/>
              </w:tabs>
              <w:kinsoku w:val="0"/>
              <w:overflowPunct w:val="0"/>
              <w:spacing w:line="228" w:lineRule="exact"/>
              <w:ind w:hanging="361"/>
              <w:rPr>
                <w:rFonts w:ascii="黑体" w:hAnsi="黑体" w:eastAsia="黑体"/>
                <w:spacing w:val="-3"/>
                <w:sz w:val="18"/>
                <w:szCs w:val="18"/>
              </w:rPr>
            </w:pPr>
            <w:r>
              <w:rPr>
                <w:rFonts w:hint="eastAsia" w:ascii="黑体" w:hAnsi="黑体" w:eastAsia="黑体"/>
                <w:spacing w:val="-3"/>
                <w:sz w:val="18"/>
                <w:szCs w:val="18"/>
              </w:rPr>
              <w:t>集中载荷≥</w:t>
            </w:r>
            <w:r>
              <w:rPr>
                <w:rFonts w:ascii="黑体" w:hAnsi="黑体" w:eastAsia="黑体" w:cs="Calibri"/>
                <w:sz w:val="18"/>
                <w:szCs w:val="18"/>
              </w:rPr>
              <w:t>5560N</w:t>
            </w:r>
            <w:r>
              <w:rPr>
                <w:rFonts w:hint="eastAsia" w:ascii="黑体" w:hAnsi="黑体" w:eastAsia="黑体"/>
                <w:spacing w:val="-3"/>
                <w:sz w:val="18"/>
                <w:szCs w:val="18"/>
              </w:rPr>
              <w:t>，挠度≤</w:t>
            </w:r>
            <w:r>
              <w:rPr>
                <w:rFonts w:ascii="黑体" w:hAnsi="黑体" w:eastAsia="黑体" w:cs="Calibri"/>
                <w:spacing w:val="-3"/>
                <w:sz w:val="18"/>
                <w:szCs w:val="18"/>
              </w:rPr>
              <w:t>2mm</w:t>
            </w:r>
            <w:r>
              <w:rPr>
                <w:rFonts w:hint="eastAsia" w:ascii="黑体" w:hAnsi="黑体" w:eastAsia="黑体"/>
                <w:spacing w:val="-4"/>
                <w:sz w:val="18"/>
                <w:szCs w:val="18"/>
              </w:rPr>
              <w:t>，永久变形≤</w:t>
            </w:r>
            <w:r>
              <w:rPr>
                <w:rFonts w:ascii="黑体" w:hAnsi="黑体" w:eastAsia="黑体" w:cs="Calibri"/>
                <w:spacing w:val="-3"/>
                <w:sz w:val="18"/>
                <w:szCs w:val="18"/>
              </w:rPr>
              <w:t>0.25mm</w:t>
            </w:r>
            <w:r>
              <w:rPr>
                <w:rFonts w:hint="eastAsia" w:ascii="黑体" w:hAnsi="黑体" w:eastAsia="黑体"/>
                <w:spacing w:val="-3"/>
                <w:sz w:val="18"/>
                <w:szCs w:val="18"/>
              </w:rPr>
              <w:t>；</w:t>
            </w:r>
          </w:p>
          <w:p w14:paraId="75FD1C05">
            <w:pPr>
              <w:pStyle w:val="132"/>
              <w:numPr>
                <w:ilvl w:val="0"/>
                <w:numId w:val="130"/>
              </w:numPr>
              <w:tabs>
                <w:tab w:val="left" w:pos="466"/>
              </w:tabs>
              <w:kinsoku w:val="0"/>
              <w:overflowPunct w:val="0"/>
              <w:ind w:hanging="361"/>
              <w:rPr>
                <w:rFonts w:ascii="黑体" w:hAnsi="黑体" w:eastAsia="黑体"/>
                <w:spacing w:val="-3"/>
                <w:sz w:val="18"/>
                <w:szCs w:val="18"/>
              </w:rPr>
            </w:pPr>
            <w:r>
              <w:rPr>
                <w:rFonts w:hint="eastAsia" w:ascii="黑体" w:hAnsi="黑体" w:eastAsia="黑体"/>
                <w:spacing w:val="-3"/>
                <w:sz w:val="18"/>
                <w:szCs w:val="18"/>
              </w:rPr>
              <w:t>滚动载荷≥</w:t>
            </w:r>
            <w:r>
              <w:rPr>
                <w:rFonts w:ascii="黑体" w:hAnsi="黑体" w:eastAsia="黑体" w:cs="Calibri"/>
                <w:sz w:val="18"/>
                <w:szCs w:val="18"/>
              </w:rPr>
              <w:t>4450N</w:t>
            </w:r>
            <w:r>
              <w:rPr>
                <w:rFonts w:hint="eastAsia" w:ascii="黑体" w:hAnsi="黑体" w:eastAsia="黑体"/>
                <w:spacing w:val="-3"/>
                <w:sz w:val="18"/>
                <w:szCs w:val="18"/>
              </w:rPr>
              <w:t>，挠度≤</w:t>
            </w:r>
            <w:r>
              <w:rPr>
                <w:rFonts w:ascii="黑体" w:hAnsi="黑体" w:eastAsia="黑体" w:cs="Calibri"/>
                <w:spacing w:val="-3"/>
                <w:sz w:val="18"/>
                <w:szCs w:val="18"/>
              </w:rPr>
              <w:t>2mm</w:t>
            </w:r>
            <w:r>
              <w:rPr>
                <w:rFonts w:hint="eastAsia" w:ascii="黑体" w:hAnsi="黑体" w:eastAsia="黑体"/>
                <w:spacing w:val="-4"/>
                <w:sz w:val="18"/>
                <w:szCs w:val="18"/>
              </w:rPr>
              <w:t>，永久变形≤</w:t>
            </w:r>
            <w:r>
              <w:rPr>
                <w:rFonts w:ascii="黑体" w:hAnsi="黑体" w:eastAsia="黑体" w:cs="Calibri"/>
                <w:spacing w:val="-3"/>
                <w:sz w:val="18"/>
                <w:szCs w:val="18"/>
              </w:rPr>
              <w:t>0.5mm</w:t>
            </w:r>
            <w:r>
              <w:rPr>
                <w:rFonts w:hint="eastAsia" w:ascii="黑体" w:hAnsi="黑体" w:eastAsia="黑体"/>
                <w:spacing w:val="-3"/>
                <w:sz w:val="18"/>
                <w:szCs w:val="18"/>
              </w:rPr>
              <w:t>；</w:t>
            </w:r>
          </w:p>
          <w:p w14:paraId="692BFBF6">
            <w:pPr>
              <w:pStyle w:val="132"/>
              <w:kinsoku w:val="0"/>
              <w:overflowPunct w:val="0"/>
              <w:spacing w:before="4"/>
              <w:ind w:left="105"/>
              <w:rPr>
                <w:rFonts w:ascii="黑体" w:hAnsi="黑体" w:eastAsia="黑体"/>
                <w:sz w:val="18"/>
                <w:szCs w:val="18"/>
              </w:rPr>
            </w:pPr>
            <w:r>
              <w:rPr>
                <w:rFonts w:ascii="黑体" w:hAnsi="黑体" w:eastAsia="黑体" w:cs="Calibri"/>
                <w:sz w:val="18"/>
                <w:szCs w:val="18"/>
              </w:rPr>
              <w:t>3</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均布载荷≥</w:t>
            </w:r>
            <w:r>
              <w:rPr>
                <w:rFonts w:ascii="黑体" w:hAnsi="黑体" w:eastAsia="黑体" w:cs="Calibri"/>
                <w:sz w:val="18"/>
                <w:szCs w:val="18"/>
              </w:rPr>
              <w:t>33000N/m</w:t>
            </w:r>
            <w:r>
              <w:rPr>
                <w:rFonts w:ascii="黑体" w:hAnsi="黑体" w:eastAsia="黑体" w:cs="Calibri"/>
                <w:position w:val="5"/>
                <w:sz w:val="18"/>
                <w:szCs w:val="18"/>
              </w:rPr>
              <w:t>2</w:t>
            </w:r>
            <w:r>
              <w:rPr>
                <w:rFonts w:hint="eastAsia" w:ascii="黑体" w:hAnsi="黑体" w:eastAsia="黑体"/>
                <w:sz w:val="18"/>
                <w:szCs w:val="18"/>
              </w:rPr>
              <w:t>，挠度≤</w:t>
            </w:r>
            <w:r>
              <w:rPr>
                <w:rFonts w:ascii="黑体" w:hAnsi="黑体" w:eastAsia="黑体" w:cs="Calibri"/>
                <w:sz w:val="18"/>
                <w:szCs w:val="18"/>
              </w:rPr>
              <w:t>2mm</w:t>
            </w:r>
            <w:r>
              <w:rPr>
                <w:rFonts w:hint="eastAsia" w:ascii="黑体" w:hAnsi="黑体" w:eastAsia="黑体"/>
                <w:sz w:val="18"/>
                <w:szCs w:val="18"/>
              </w:rPr>
              <w:t>；</w:t>
            </w:r>
          </w:p>
          <w:p w14:paraId="1518FE6B">
            <w:pPr>
              <w:pStyle w:val="132"/>
              <w:kinsoku w:val="0"/>
              <w:overflowPunct w:val="0"/>
              <w:spacing w:before="5"/>
              <w:ind w:left="105"/>
              <w:rPr>
                <w:rFonts w:ascii="黑体" w:hAnsi="黑体" w:eastAsia="黑体" w:cs="Calibri"/>
                <w:sz w:val="18"/>
                <w:szCs w:val="18"/>
              </w:rPr>
            </w:pPr>
            <w:r>
              <w:rPr>
                <w:rFonts w:ascii="黑体" w:hAnsi="黑体" w:eastAsia="黑体" w:cs="Calibri"/>
                <w:sz w:val="18"/>
                <w:szCs w:val="18"/>
              </w:rPr>
              <w:t>4</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集中极限载荷≥</w:t>
            </w:r>
            <w:r>
              <w:rPr>
                <w:rFonts w:ascii="黑体" w:hAnsi="黑体" w:eastAsia="黑体" w:cs="Calibri"/>
                <w:sz w:val="18"/>
                <w:szCs w:val="18"/>
              </w:rPr>
              <w:t>16680N</w:t>
            </w:r>
          </w:p>
        </w:tc>
        <w:tc>
          <w:tcPr>
            <w:tcW w:w="1277" w:type="dxa"/>
            <w:tcBorders>
              <w:top w:val="single" w:color="000000" w:sz="4" w:space="0"/>
              <w:left w:val="single" w:color="000000" w:sz="4" w:space="0"/>
              <w:bottom w:val="single" w:color="000000" w:sz="4" w:space="0"/>
              <w:right w:val="single" w:color="000000" w:sz="4" w:space="0"/>
            </w:tcBorders>
          </w:tcPr>
          <w:p w14:paraId="662216F6">
            <w:pPr>
              <w:pStyle w:val="132"/>
              <w:kinsoku w:val="0"/>
              <w:overflowPunct w:val="0"/>
              <w:spacing w:before="10"/>
              <w:rPr>
                <w:rFonts w:ascii="黑体" w:hAnsi="黑体" w:eastAsia="黑体"/>
                <w:b/>
                <w:bCs/>
                <w:sz w:val="18"/>
                <w:szCs w:val="18"/>
              </w:rPr>
            </w:pPr>
          </w:p>
          <w:p w14:paraId="5A0C8302">
            <w:pPr>
              <w:pStyle w:val="132"/>
              <w:kinsoku w:val="0"/>
              <w:overflowPunct w:val="0"/>
              <w:ind w:left="111"/>
              <w:rPr>
                <w:rFonts w:ascii="黑体" w:hAnsi="黑体" w:eastAsia="黑体"/>
                <w:b/>
                <w:bCs/>
                <w:sz w:val="18"/>
                <w:szCs w:val="18"/>
              </w:rPr>
            </w:pPr>
            <w:r>
              <w:rPr>
                <w:rFonts w:hint="eastAsia" w:ascii="黑体" w:hAnsi="黑体" w:eastAsia="黑体"/>
                <w:b/>
                <w:bCs/>
                <w:sz w:val="18"/>
                <w:szCs w:val="18"/>
              </w:rPr>
              <w:t>□满足</w:t>
            </w:r>
          </w:p>
          <w:p w14:paraId="43D19FF0">
            <w:pPr>
              <w:pStyle w:val="132"/>
              <w:kinsoku w:val="0"/>
              <w:overflowPunct w:val="0"/>
              <w:spacing w:before="5"/>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50AA5D17">
            <w:pPr>
              <w:pStyle w:val="132"/>
              <w:kinsoku w:val="0"/>
              <w:overflowPunct w:val="0"/>
              <w:rPr>
                <w:rFonts w:ascii="黑体" w:hAnsi="黑体" w:eastAsia="黑体" w:cs="Times New Roman"/>
                <w:sz w:val="18"/>
                <w:szCs w:val="18"/>
              </w:rPr>
            </w:pPr>
          </w:p>
        </w:tc>
      </w:tr>
      <w:tr w14:paraId="30AB98CF">
        <w:tblPrEx>
          <w:tblCellMar>
            <w:top w:w="0" w:type="dxa"/>
            <w:left w:w="0" w:type="dxa"/>
            <w:bottom w:w="0" w:type="dxa"/>
            <w:right w:w="0" w:type="dxa"/>
          </w:tblCellMar>
        </w:tblPrEx>
        <w:trPr>
          <w:trHeight w:val="667" w:hRule="atLeast"/>
        </w:trPr>
        <w:tc>
          <w:tcPr>
            <w:tcW w:w="725" w:type="dxa"/>
            <w:tcBorders>
              <w:top w:val="single" w:color="000000" w:sz="4" w:space="0"/>
              <w:left w:val="single" w:color="000000" w:sz="4" w:space="0"/>
              <w:bottom w:val="single" w:color="000000" w:sz="4" w:space="0"/>
              <w:right w:val="single" w:color="000000" w:sz="4" w:space="0"/>
            </w:tcBorders>
          </w:tcPr>
          <w:p w14:paraId="2ECA4366">
            <w:pPr>
              <w:pStyle w:val="132"/>
              <w:kinsoku w:val="0"/>
              <w:overflowPunct w:val="0"/>
              <w:spacing w:before="112"/>
              <w:ind w:left="196"/>
              <w:rPr>
                <w:rFonts w:ascii="黑体" w:hAnsi="黑体" w:eastAsia="黑体"/>
                <w:sz w:val="18"/>
                <w:szCs w:val="18"/>
              </w:rPr>
            </w:pPr>
            <w:r>
              <w:rPr>
                <w:rFonts w:ascii="黑体" w:hAnsi="黑体" w:eastAsia="黑体"/>
                <w:sz w:val="18"/>
                <w:szCs w:val="18"/>
              </w:rPr>
              <w:t xml:space="preserve">3.4 </w:t>
            </w:r>
          </w:p>
        </w:tc>
        <w:tc>
          <w:tcPr>
            <w:tcW w:w="1277" w:type="dxa"/>
            <w:tcBorders>
              <w:top w:val="single" w:color="000000" w:sz="4" w:space="0"/>
              <w:left w:val="single" w:color="000000" w:sz="4" w:space="0"/>
              <w:bottom w:val="single" w:color="000000" w:sz="4" w:space="0"/>
              <w:right w:val="single" w:color="000000" w:sz="4" w:space="0"/>
            </w:tcBorders>
          </w:tcPr>
          <w:p w14:paraId="6CA14460">
            <w:pPr>
              <w:pStyle w:val="132"/>
              <w:kinsoku w:val="0"/>
              <w:overflowPunct w:val="0"/>
              <w:spacing w:line="244" w:lineRule="auto"/>
              <w:ind w:left="105" w:right="55"/>
              <w:rPr>
                <w:rFonts w:ascii="黑体" w:hAnsi="黑体" w:eastAsia="黑体"/>
                <w:sz w:val="18"/>
                <w:szCs w:val="18"/>
              </w:rPr>
            </w:pPr>
            <w:r>
              <w:rPr>
                <w:rFonts w:hint="eastAsia" w:ascii="黑体" w:hAnsi="黑体" w:eastAsia="黑体"/>
                <w:sz w:val="18"/>
                <w:szCs w:val="18"/>
              </w:rPr>
              <w:t>地板尺寸允许偏差</w:t>
            </w:r>
          </w:p>
        </w:tc>
        <w:tc>
          <w:tcPr>
            <w:tcW w:w="4960" w:type="dxa"/>
            <w:tcBorders>
              <w:top w:val="single" w:color="000000" w:sz="4" w:space="0"/>
              <w:left w:val="single" w:color="000000" w:sz="4" w:space="0"/>
              <w:bottom w:val="single" w:color="000000" w:sz="4" w:space="0"/>
              <w:right w:val="single" w:color="000000" w:sz="4" w:space="0"/>
            </w:tcBorders>
          </w:tcPr>
          <w:p w14:paraId="762D6067">
            <w:pPr>
              <w:pStyle w:val="132"/>
              <w:kinsoku w:val="0"/>
              <w:overflowPunct w:val="0"/>
              <w:spacing w:line="244" w:lineRule="auto"/>
              <w:ind w:left="105" w:right="40"/>
              <w:rPr>
                <w:rFonts w:ascii="黑体" w:hAnsi="黑体" w:eastAsia="黑体" w:cs="Calibri"/>
                <w:sz w:val="18"/>
                <w:szCs w:val="18"/>
              </w:rPr>
            </w:pPr>
            <w:r>
              <w:rPr>
                <w:rFonts w:hint="eastAsia" w:ascii="黑体" w:hAnsi="黑体" w:eastAsia="黑体"/>
                <w:sz w:val="18"/>
                <w:szCs w:val="18"/>
              </w:rPr>
              <w:t>边长公差范围</w:t>
            </w:r>
            <w:r>
              <w:rPr>
                <w:rFonts w:ascii="黑体" w:hAnsi="黑体" w:eastAsia="黑体"/>
                <w:sz w:val="18"/>
                <w:szCs w:val="18"/>
              </w:rPr>
              <w:t xml:space="preserve"> </w:t>
            </w:r>
            <w:r>
              <w:rPr>
                <w:rFonts w:ascii="黑体" w:hAnsi="黑体" w:eastAsia="黑体" w:cs="Calibri"/>
                <w:sz w:val="18"/>
                <w:szCs w:val="18"/>
              </w:rPr>
              <w:t>0~-0.4mm</w:t>
            </w:r>
            <w:r>
              <w:rPr>
                <w:rFonts w:hint="eastAsia" w:ascii="黑体" w:hAnsi="黑体" w:eastAsia="黑体"/>
                <w:sz w:val="18"/>
                <w:szCs w:val="18"/>
              </w:rPr>
              <w:t>；板厚公差范围±</w:t>
            </w:r>
            <w:r>
              <w:rPr>
                <w:rFonts w:ascii="黑体" w:hAnsi="黑体" w:eastAsia="黑体" w:cs="Calibri"/>
                <w:sz w:val="18"/>
                <w:szCs w:val="18"/>
              </w:rPr>
              <w:t>0.3mm</w:t>
            </w:r>
            <w:r>
              <w:rPr>
                <w:rFonts w:hint="eastAsia" w:ascii="黑体" w:hAnsi="黑体" w:eastAsia="黑体"/>
                <w:sz w:val="18"/>
                <w:szCs w:val="18"/>
              </w:rPr>
              <w:t>；表面平面度≤</w:t>
            </w:r>
            <w:r>
              <w:rPr>
                <w:rFonts w:ascii="黑体" w:hAnsi="黑体" w:eastAsia="黑体" w:cs="Calibri"/>
                <w:sz w:val="18"/>
                <w:szCs w:val="18"/>
              </w:rPr>
              <w:t>0.6mm</w:t>
            </w:r>
            <w:r>
              <w:rPr>
                <w:rFonts w:hint="eastAsia" w:ascii="黑体" w:hAnsi="黑体" w:eastAsia="黑体"/>
                <w:sz w:val="18"/>
                <w:szCs w:val="18"/>
              </w:rPr>
              <w:t>；邻边垂直度≤</w:t>
            </w:r>
            <w:r>
              <w:rPr>
                <w:rFonts w:ascii="黑体" w:hAnsi="黑体" w:eastAsia="黑体" w:cs="Calibri"/>
                <w:sz w:val="18"/>
                <w:szCs w:val="18"/>
              </w:rPr>
              <w:t>0.3mm</w:t>
            </w:r>
          </w:p>
        </w:tc>
        <w:tc>
          <w:tcPr>
            <w:tcW w:w="1277" w:type="dxa"/>
            <w:tcBorders>
              <w:top w:val="single" w:color="000000" w:sz="4" w:space="0"/>
              <w:left w:val="single" w:color="000000" w:sz="4" w:space="0"/>
              <w:bottom w:val="single" w:color="000000" w:sz="4" w:space="0"/>
              <w:right w:val="single" w:color="000000" w:sz="4" w:space="0"/>
            </w:tcBorders>
          </w:tcPr>
          <w:p w14:paraId="3D0286F7">
            <w:pPr>
              <w:pStyle w:val="132"/>
              <w:kinsoku w:val="0"/>
              <w:overflowPunct w:val="0"/>
              <w:spacing w:line="228" w:lineRule="exact"/>
              <w:ind w:left="111"/>
              <w:rPr>
                <w:rFonts w:ascii="黑体" w:hAnsi="黑体" w:eastAsia="黑体"/>
                <w:b/>
                <w:bCs/>
                <w:sz w:val="18"/>
                <w:szCs w:val="18"/>
              </w:rPr>
            </w:pPr>
            <w:r>
              <w:rPr>
                <w:rFonts w:hint="eastAsia" w:ascii="黑体" w:hAnsi="黑体" w:eastAsia="黑体"/>
                <w:b/>
                <w:bCs/>
                <w:sz w:val="18"/>
                <w:szCs w:val="18"/>
              </w:rPr>
              <w:t>□满足</w:t>
            </w:r>
          </w:p>
          <w:p w14:paraId="45216167">
            <w:pPr>
              <w:pStyle w:val="132"/>
              <w:kinsoku w:val="0"/>
              <w:overflowPunct w:val="0"/>
              <w:spacing w:before="4"/>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05559B2F">
            <w:pPr>
              <w:pStyle w:val="132"/>
              <w:kinsoku w:val="0"/>
              <w:overflowPunct w:val="0"/>
              <w:rPr>
                <w:rFonts w:ascii="黑体" w:hAnsi="黑体" w:eastAsia="黑体" w:cs="Times New Roman"/>
                <w:sz w:val="18"/>
                <w:szCs w:val="18"/>
              </w:rPr>
            </w:pPr>
          </w:p>
        </w:tc>
      </w:tr>
      <w:tr w14:paraId="13F654B1">
        <w:tblPrEx>
          <w:tblCellMar>
            <w:top w:w="0" w:type="dxa"/>
            <w:left w:w="0" w:type="dxa"/>
            <w:bottom w:w="0" w:type="dxa"/>
            <w:right w:w="0" w:type="dxa"/>
          </w:tblCellMar>
        </w:tblPrEx>
        <w:trPr>
          <w:trHeight w:val="902" w:hRule="atLeast"/>
        </w:trPr>
        <w:tc>
          <w:tcPr>
            <w:tcW w:w="725" w:type="dxa"/>
            <w:tcBorders>
              <w:top w:val="single" w:color="000000" w:sz="4" w:space="0"/>
              <w:left w:val="single" w:color="000000" w:sz="4" w:space="0"/>
              <w:bottom w:val="single" w:color="000000" w:sz="4" w:space="0"/>
              <w:right w:val="single" w:color="000000" w:sz="4" w:space="0"/>
            </w:tcBorders>
          </w:tcPr>
          <w:p w14:paraId="66AD6953">
            <w:pPr>
              <w:pStyle w:val="132"/>
              <w:kinsoku w:val="0"/>
              <w:overflowPunct w:val="0"/>
              <w:spacing w:before="1"/>
              <w:rPr>
                <w:rFonts w:ascii="黑体" w:hAnsi="黑体" w:eastAsia="黑体"/>
                <w:b/>
                <w:bCs/>
                <w:sz w:val="18"/>
                <w:szCs w:val="18"/>
              </w:rPr>
            </w:pPr>
          </w:p>
          <w:p w14:paraId="44E0ADD7">
            <w:pPr>
              <w:pStyle w:val="132"/>
              <w:kinsoku w:val="0"/>
              <w:overflowPunct w:val="0"/>
              <w:spacing w:before="1"/>
              <w:ind w:left="196"/>
              <w:rPr>
                <w:rFonts w:ascii="黑体" w:hAnsi="黑体" w:eastAsia="黑体"/>
                <w:sz w:val="18"/>
                <w:szCs w:val="18"/>
              </w:rPr>
            </w:pPr>
            <w:r>
              <w:rPr>
                <w:rFonts w:ascii="黑体" w:hAnsi="黑体" w:eastAsia="黑体"/>
                <w:sz w:val="18"/>
                <w:szCs w:val="18"/>
              </w:rPr>
              <w:t xml:space="preserve">3.5 </w:t>
            </w:r>
          </w:p>
        </w:tc>
        <w:tc>
          <w:tcPr>
            <w:tcW w:w="1277" w:type="dxa"/>
            <w:tcBorders>
              <w:top w:val="single" w:color="000000" w:sz="4" w:space="0"/>
              <w:left w:val="single" w:color="000000" w:sz="4" w:space="0"/>
              <w:bottom w:val="single" w:color="000000" w:sz="4" w:space="0"/>
              <w:right w:val="single" w:color="000000" w:sz="4" w:space="0"/>
            </w:tcBorders>
          </w:tcPr>
          <w:p w14:paraId="1D8B4067">
            <w:pPr>
              <w:pStyle w:val="132"/>
              <w:kinsoku w:val="0"/>
              <w:overflowPunct w:val="0"/>
              <w:spacing w:before="112" w:line="244" w:lineRule="auto"/>
              <w:ind w:left="105" w:right="55"/>
              <w:rPr>
                <w:rFonts w:ascii="黑体" w:hAnsi="黑体" w:eastAsia="黑体"/>
                <w:sz w:val="18"/>
                <w:szCs w:val="18"/>
              </w:rPr>
            </w:pPr>
            <w:r>
              <w:rPr>
                <w:rFonts w:hint="eastAsia" w:ascii="黑体" w:hAnsi="黑体" w:eastAsia="黑体"/>
                <w:sz w:val="18"/>
                <w:szCs w:val="18"/>
              </w:rPr>
              <w:t>地板电性能要求</w:t>
            </w:r>
          </w:p>
        </w:tc>
        <w:tc>
          <w:tcPr>
            <w:tcW w:w="4960" w:type="dxa"/>
            <w:tcBorders>
              <w:top w:val="single" w:color="000000" w:sz="4" w:space="0"/>
              <w:left w:val="single" w:color="000000" w:sz="4" w:space="0"/>
              <w:bottom w:val="single" w:color="000000" w:sz="4" w:space="0"/>
              <w:right w:val="single" w:color="000000" w:sz="4" w:space="0"/>
            </w:tcBorders>
          </w:tcPr>
          <w:p w14:paraId="4011C1A8">
            <w:pPr>
              <w:pStyle w:val="132"/>
              <w:kinsoku w:val="0"/>
              <w:overflowPunct w:val="0"/>
              <w:spacing w:line="244" w:lineRule="auto"/>
              <w:ind w:left="105" w:right="92"/>
              <w:rPr>
                <w:rFonts w:ascii="黑体" w:hAnsi="黑体" w:eastAsia="黑体"/>
                <w:sz w:val="18"/>
                <w:szCs w:val="18"/>
              </w:rPr>
            </w:pPr>
            <w:r>
              <w:rPr>
                <w:rFonts w:hint="eastAsia" w:ascii="黑体" w:hAnsi="黑体" w:eastAsia="黑体"/>
                <w:sz w:val="18"/>
                <w:szCs w:val="18"/>
              </w:rPr>
              <w:t>在室内温度为</w:t>
            </w:r>
            <w:r>
              <w:rPr>
                <w:rFonts w:ascii="黑体" w:hAnsi="黑体" w:eastAsia="黑体" w:cs="Calibri"/>
                <w:sz w:val="18"/>
                <w:szCs w:val="18"/>
              </w:rPr>
              <w:t>(23</w:t>
            </w:r>
            <w:r>
              <w:rPr>
                <w:rFonts w:hint="eastAsia" w:ascii="黑体" w:hAnsi="黑体" w:eastAsia="黑体"/>
                <w:sz w:val="18"/>
                <w:szCs w:val="18"/>
              </w:rPr>
              <w:t>±</w:t>
            </w:r>
            <w:r>
              <w:rPr>
                <w:rFonts w:ascii="黑体" w:hAnsi="黑体" w:eastAsia="黑体" w:cs="Calibri"/>
                <w:sz w:val="18"/>
                <w:szCs w:val="18"/>
              </w:rPr>
              <w:t>2)</w:t>
            </w:r>
            <w:r>
              <w:rPr>
                <w:rFonts w:hint="eastAsia" w:ascii="黑体" w:hAnsi="黑体" w:eastAsia="黑体"/>
                <w:sz w:val="18"/>
                <w:szCs w:val="18"/>
              </w:rPr>
              <w:t>℃，相对湿度为</w:t>
            </w:r>
            <w:r>
              <w:rPr>
                <w:rFonts w:ascii="黑体" w:hAnsi="黑体" w:eastAsia="黑体"/>
                <w:sz w:val="18"/>
                <w:szCs w:val="18"/>
              </w:rPr>
              <w:t xml:space="preserve"> </w:t>
            </w:r>
            <w:r>
              <w:rPr>
                <w:rFonts w:ascii="黑体" w:hAnsi="黑体" w:eastAsia="黑体" w:cs="Calibri"/>
                <w:sz w:val="18"/>
                <w:szCs w:val="18"/>
              </w:rPr>
              <w:t>45%RH~55%RH</w:t>
            </w:r>
            <w:r>
              <w:rPr>
                <w:rFonts w:hint="eastAsia" w:ascii="黑体" w:hAnsi="黑体" w:eastAsia="黑体"/>
                <w:sz w:val="18"/>
                <w:szCs w:val="18"/>
              </w:rPr>
              <w:t>，测试电压</w:t>
            </w:r>
            <w:r>
              <w:rPr>
                <w:rFonts w:ascii="黑体" w:hAnsi="黑体" w:eastAsia="黑体"/>
                <w:sz w:val="18"/>
                <w:szCs w:val="18"/>
              </w:rPr>
              <w:t xml:space="preserve"> </w:t>
            </w:r>
            <w:r>
              <w:rPr>
                <w:rFonts w:ascii="黑体" w:hAnsi="黑体" w:eastAsia="黑体" w:cs="Calibri"/>
                <w:sz w:val="18"/>
                <w:szCs w:val="18"/>
              </w:rPr>
              <w:t xml:space="preserve">100V </w:t>
            </w:r>
            <w:r>
              <w:rPr>
                <w:rFonts w:hint="eastAsia" w:ascii="黑体" w:hAnsi="黑体" w:eastAsia="黑体"/>
                <w:sz w:val="18"/>
                <w:szCs w:val="18"/>
              </w:rPr>
              <w:t>时，活动地板系统电阻为</w:t>
            </w:r>
            <w:r>
              <w:rPr>
                <w:rFonts w:ascii="黑体" w:hAnsi="黑体" w:eastAsia="黑体"/>
                <w:sz w:val="18"/>
                <w:szCs w:val="18"/>
              </w:rPr>
              <w:t xml:space="preserve"> </w:t>
            </w:r>
            <w:r>
              <w:rPr>
                <w:rFonts w:ascii="黑体" w:hAnsi="黑体" w:eastAsia="黑体" w:cs="Calibri"/>
                <w:sz w:val="18"/>
                <w:szCs w:val="18"/>
              </w:rPr>
              <w:t>1.0X10</w:t>
            </w:r>
            <w:r>
              <w:rPr>
                <w:rFonts w:ascii="黑体" w:hAnsi="黑体" w:eastAsia="黑体" w:cs="Calibri"/>
                <w:position w:val="5"/>
                <w:sz w:val="18"/>
                <w:szCs w:val="18"/>
              </w:rPr>
              <w:t>6</w:t>
            </w:r>
            <w:r>
              <w:rPr>
                <w:rFonts w:hint="eastAsia" w:ascii="黑体" w:hAnsi="黑体" w:eastAsia="黑体"/>
                <w:sz w:val="18"/>
                <w:szCs w:val="18"/>
              </w:rPr>
              <w:t>Ω</w:t>
            </w:r>
            <w:r>
              <w:rPr>
                <w:rFonts w:ascii="黑体" w:hAnsi="黑体" w:eastAsia="黑体" w:cs="Calibri"/>
                <w:sz w:val="18"/>
                <w:szCs w:val="18"/>
              </w:rPr>
              <w:t>~1. 0X10</w:t>
            </w:r>
            <w:r>
              <w:rPr>
                <w:rFonts w:ascii="黑体" w:hAnsi="黑体" w:eastAsia="黑体" w:cs="Calibri"/>
                <w:position w:val="5"/>
                <w:sz w:val="18"/>
                <w:szCs w:val="18"/>
              </w:rPr>
              <w:t>9</w:t>
            </w:r>
            <w:r>
              <w:rPr>
                <w:rFonts w:hint="eastAsia" w:ascii="黑体" w:hAnsi="黑体" w:eastAsia="黑体"/>
                <w:sz w:val="18"/>
                <w:szCs w:val="18"/>
              </w:rPr>
              <w:t>Ω</w:t>
            </w:r>
          </w:p>
          <w:p w14:paraId="37AB3F26">
            <w:pPr>
              <w:pStyle w:val="132"/>
              <w:kinsoku w:val="0"/>
              <w:overflowPunct w:val="0"/>
              <w:spacing w:line="226" w:lineRule="exact"/>
              <w:ind w:left="105"/>
              <w:rPr>
                <w:rFonts w:ascii="黑体" w:hAnsi="黑体" w:eastAsia="黑体"/>
                <w:sz w:val="18"/>
                <w:szCs w:val="18"/>
              </w:rPr>
            </w:pPr>
            <w:r>
              <w:rPr>
                <w:rFonts w:hint="eastAsia" w:ascii="黑体" w:hAnsi="黑体" w:eastAsia="黑体"/>
                <w:sz w:val="18"/>
                <w:szCs w:val="18"/>
              </w:rPr>
              <w:t>（静电耗散型）。</w:t>
            </w:r>
          </w:p>
        </w:tc>
        <w:tc>
          <w:tcPr>
            <w:tcW w:w="1277" w:type="dxa"/>
            <w:tcBorders>
              <w:top w:val="single" w:color="000000" w:sz="4" w:space="0"/>
              <w:left w:val="single" w:color="000000" w:sz="4" w:space="0"/>
              <w:bottom w:val="single" w:color="000000" w:sz="4" w:space="0"/>
              <w:right w:val="single" w:color="000000" w:sz="4" w:space="0"/>
            </w:tcBorders>
          </w:tcPr>
          <w:p w14:paraId="4599F8BB">
            <w:pPr>
              <w:pStyle w:val="132"/>
              <w:kinsoku w:val="0"/>
              <w:overflowPunct w:val="0"/>
              <w:spacing w:before="112"/>
              <w:ind w:left="111"/>
              <w:rPr>
                <w:rFonts w:ascii="黑体" w:hAnsi="黑体" w:eastAsia="黑体"/>
                <w:b/>
                <w:bCs/>
                <w:sz w:val="18"/>
                <w:szCs w:val="18"/>
              </w:rPr>
            </w:pPr>
            <w:r>
              <w:rPr>
                <w:rFonts w:hint="eastAsia" w:ascii="黑体" w:hAnsi="黑体" w:eastAsia="黑体"/>
                <w:b/>
                <w:bCs/>
                <w:sz w:val="18"/>
                <w:szCs w:val="18"/>
              </w:rPr>
              <w:t>□满足</w:t>
            </w:r>
          </w:p>
          <w:p w14:paraId="51C605AC">
            <w:pPr>
              <w:pStyle w:val="132"/>
              <w:kinsoku w:val="0"/>
              <w:overflowPunct w:val="0"/>
              <w:spacing w:before="5"/>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00A6F444">
            <w:pPr>
              <w:pStyle w:val="132"/>
              <w:kinsoku w:val="0"/>
              <w:overflowPunct w:val="0"/>
              <w:rPr>
                <w:rFonts w:ascii="黑体" w:hAnsi="黑体" w:eastAsia="黑体" w:cs="Times New Roman"/>
                <w:sz w:val="18"/>
                <w:szCs w:val="18"/>
              </w:rPr>
            </w:pPr>
          </w:p>
        </w:tc>
      </w:tr>
      <w:tr w14:paraId="07A7974B">
        <w:tblPrEx>
          <w:tblCellMar>
            <w:top w:w="0" w:type="dxa"/>
            <w:left w:w="0" w:type="dxa"/>
            <w:bottom w:w="0" w:type="dxa"/>
            <w:right w:w="0" w:type="dxa"/>
          </w:tblCellMar>
        </w:tblPrEx>
        <w:trPr>
          <w:trHeight w:val="667" w:hRule="atLeast"/>
        </w:trPr>
        <w:tc>
          <w:tcPr>
            <w:tcW w:w="725" w:type="dxa"/>
            <w:tcBorders>
              <w:top w:val="single" w:color="000000" w:sz="4" w:space="0"/>
              <w:left w:val="single" w:color="000000" w:sz="4" w:space="0"/>
              <w:bottom w:val="single" w:color="000000" w:sz="4" w:space="0"/>
              <w:right w:val="single" w:color="000000" w:sz="4" w:space="0"/>
            </w:tcBorders>
          </w:tcPr>
          <w:p w14:paraId="50C18BA9">
            <w:pPr>
              <w:pStyle w:val="132"/>
              <w:kinsoku w:val="0"/>
              <w:overflowPunct w:val="0"/>
              <w:spacing w:before="112"/>
              <w:ind w:left="196"/>
              <w:rPr>
                <w:rFonts w:ascii="黑体" w:hAnsi="黑体" w:eastAsia="黑体"/>
                <w:sz w:val="18"/>
                <w:szCs w:val="18"/>
              </w:rPr>
            </w:pPr>
            <w:r>
              <w:rPr>
                <w:rFonts w:ascii="黑体" w:hAnsi="黑体" w:eastAsia="黑体"/>
                <w:sz w:val="18"/>
                <w:szCs w:val="18"/>
              </w:rPr>
              <w:t xml:space="preserve">3.6 </w:t>
            </w:r>
          </w:p>
        </w:tc>
        <w:tc>
          <w:tcPr>
            <w:tcW w:w="1277" w:type="dxa"/>
            <w:tcBorders>
              <w:top w:val="single" w:color="000000" w:sz="4" w:space="0"/>
              <w:left w:val="single" w:color="000000" w:sz="4" w:space="0"/>
              <w:bottom w:val="single" w:color="000000" w:sz="4" w:space="0"/>
              <w:right w:val="single" w:color="000000" w:sz="4" w:space="0"/>
            </w:tcBorders>
          </w:tcPr>
          <w:p w14:paraId="1A67BE7E">
            <w:pPr>
              <w:pStyle w:val="132"/>
              <w:kinsoku w:val="0"/>
              <w:overflowPunct w:val="0"/>
              <w:ind w:left="105" w:right="55"/>
              <w:rPr>
                <w:rFonts w:ascii="黑体" w:hAnsi="黑体" w:eastAsia="黑体"/>
                <w:sz w:val="18"/>
                <w:szCs w:val="18"/>
              </w:rPr>
            </w:pPr>
            <w:r>
              <w:rPr>
                <w:rFonts w:hint="eastAsia" w:ascii="黑体" w:hAnsi="黑体" w:eastAsia="黑体"/>
                <w:sz w:val="18"/>
                <w:szCs w:val="18"/>
              </w:rPr>
              <w:t>地板耐冲击能要求</w:t>
            </w:r>
          </w:p>
        </w:tc>
        <w:tc>
          <w:tcPr>
            <w:tcW w:w="4960" w:type="dxa"/>
            <w:tcBorders>
              <w:top w:val="single" w:color="000000" w:sz="4" w:space="0"/>
              <w:left w:val="single" w:color="000000" w:sz="4" w:space="0"/>
              <w:bottom w:val="single" w:color="000000" w:sz="4" w:space="0"/>
              <w:right w:val="single" w:color="000000" w:sz="4" w:space="0"/>
            </w:tcBorders>
          </w:tcPr>
          <w:p w14:paraId="0AEC4326">
            <w:pPr>
              <w:pStyle w:val="132"/>
              <w:kinsoku w:val="0"/>
              <w:overflowPunct w:val="0"/>
              <w:ind w:left="105" w:right="92"/>
              <w:rPr>
                <w:rFonts w:ascii="黑体" w:hAnsi="黑体" w:eastAsia="黑体"/>
                <w:sz w:val="18"/>
                <w:szCs w:val="18"/>
              </w:rPr>
            </w:pPr>
            <w:r>
              <w:rPr>
                <w:rFonts w:hint="eastAsia" w:ascii="黑体" w:hAnsi="黑体" w:eastAsia="黑体"/>
                <w:sz w:val="18"/>
                <w:szCs w:val="18"/>
              </w:rPr>
              <w:t>地板冲击性能试验后，地板板面永久变形应≤</w:t>
            </w:r>
            <w:r>
              <w:rPr>
                <w:rFonts w:ascii="黑体" w:hAnsi="黑体" w:eastAsia="黑体" w:cs="Calibri"/>
                <w:sz w:val="18"/>
                <w:szCs w:val="18"/>
              </w:rPr>
              <w:t>1.5 mm</w:t>
            </w:r>
            <w:r>
              <w:rPr>
                <w:rFonts w:hint="eastAsia" w:ascii="黑体" w:hAnsi="黑体" w:eastAsia="黑体"/>
                <w:sz w:val="18"/>
                <w:szCs w:val="18"/>
              </w:rPr>
              <w:t>，不能有破损。</w:t>
            </w:r>
          </w:p>
        </w:tc>
        <w:tc>
          <w:tcPr>
            <w:tcW w:w="1277" w:type="dxa"/>
            <w:tcBorders>
              <w:top w:val="single" w:color="000000" w:sz="4" w:space="0"/>
              <w:left w:val="single" w:color="000000" w:sz="4" w:space="0"/>
              <w:bottom w:val="single" w:color="000000" w:sz="4" w:space="0"/>
              <w:right w:val="single" w:color="000000" w:sz="4" w:space="0"/>
            </w:tcBorders>
          </w:tcPr>
          <w:p w14:paraId="4708AF3C">
            <w:pPr>
              <w:pStyle w:val="132"/>
              <w:kinsoku w:val="0"/>
              <w:overflowPunct w:val="0"/>
              <w:spacing w:line="228" w:lineRule="exact"/>
              <w:ind w:left="111"/>
              <w:rPr>
                <w:rFonts w:ascii="黑体" w:hAnsi="黑体" w:eastAsia="黑体"/>
                <w:b/>
                <w:bCs/>
                <w:sz w:val="18"/>
                <w:szCs w:val="18"/>
              </w:rPr>
            </w:pPr>
            <w:r>
              <w:rPr>
                <w:rFonts w:hint="eastAsia" w:ascii="黑体" w:hAnsi="黑体" w:eastAsia="黑体"/>
                <w:b/>
                <w:bCs/>
                <w:sz w:val="18"/>
                <w:szCs w:val="18"/>
              </w:rPr>
              <w:t>□满足</w:t>
            </w:r>
          </w:p>
          <w:p w14:paraId="739D9EC4">
            <w:pPr>
              <w:pStyle w:val="132"/>
              <w:kinsoku w:val="0"/>
              <w:overflowPunct w:val="0"/>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1644E8DA">
            <w:pPr>
              <w:pStyle w:val="132"/>
              <w:kinsoku w:val="0"/>
              <w:overflowPunct w:val="0"/>
              <w:rPr>
                <w:rFonts w:ascii="黑体" w:hAnsi="黑体" w:eastAsia="黑体" w:cs="Times New Roman"/>
                <w:sz w:val="18"/>
                <w:szCs w:val="18"/>
              </w:rPr>
            </w:pPr>
          </w:p>
        </w:tc>
      </w:tr>
      <w:tr w14:paraId="09914AD2">
        <w:tblPrEx>
          <w:tblCellMar>
            <w:top w:w="0" w:type="dxa"/>
            <w:left w:w="0" w:type="dxa"/>
            <w:bottom w:w="0" w:type="dxa"/>
            <w:right w:w="0" w:type="dxa"/>
          </w:tblCellMar>
        </w:tblPrEx>
        <w:trPr>
          <w:trHeight w:val="4651" w:hRule="atLeast"/>
        </w:trPr>
        <w:tc>
          <w:tcPr>
            <w:tcW w:w="725" w:type="dxa"/>
            <w:tcBorders>
              <w:top w:val="single" w:color="000000" w:sz="4" w:space="0"/>
              <w:left w:val="single" w:color="000000" w:sz="4" w:space="0"/>
              <w:bottom w:val="single" w:color="000000" w:sz="4" w:space="0"/>
              <w:right w:val="single" w:color="000000" w:sz="4" w:space="0"/>
            </w:tcBorders>
          </w:tcPr>
          <w:p w14:paraId="2ACEE7BD">
            <w:pPr>
              <w:pStyle w:val="132"/>
              <w:kinsoku w:val="0"/>
              <w:overflowPunct w:val="0"/>
              <w:rPr>
                <w:rFonts w:ascii="黑体" w:hAnsi="黑体" w:eastAsia="黑体"/>
                <w:b/>
                <w:bCs/>
                <w:sz w:val="18"/>
                <w:szCs w:val="18"/>
              </w:rPr>
            </w:pPr>
          </w:p>
          <w:p w14:paraId="182C4DE1">
            <w:pPr>
              <w:pStyle w:val="132"/>
              <w:kinsoku w:val="0"/>
              <w:overflowPunct w:val="0"/>
              <w:rPr>
                <w:rFonts w:ascii="黑体" w:hAnsi="黑体" w:eastAsia="黑体"/>
                <w:b/>
                <w:bCs/>
                <w:sz w:val="18"/>
                <w:szCs w:val="18"/>
              </w:rPr>
            </w:pPr>
          </w:p>
          <w:p w14:paraId="73B6F1EB">
            <w:pPr>
              <w:pStyle w:val="132"/>
              <w:kinsoku w:val="0"/>
              <w:overflowPunct w:val="0"/>
              <w:rPr>
                <w:rFonts w:ascii="黑体" w:hAnsi="黑体" w:eastAsia="黑体"/>
                <w:b/>
                <w:bCs/>
                <w:sz w:val="18"/>
                <w:szCs w:val="18"/>
              </w:rPr>
            </w:pPr>
          </w:p>
          <w:p w14:paraId="286188FF">
            <w:pPr>
              <w:pStyle w:val="132"/>
              <w:kinsoku w:val="0"/>
              <w:overflowPunct w:val="0"/>
              <w:rPr>
                <w:rFonts w:ascii="黑体" w:hAnsi="黑体" w:eastAsia="黑体"/>
                <w:b/>
                <w:bCs/>
                <w:sz w:val="18"/>
                <w:szCs w:val="18"/>
              </w:rPr>
            </w:pPr>
          </w:p>
          <w:p w14:paraId="71473357">
            <w:pPr>
              <w:pStyle w:val="132"/>
              <w:kinsoku w:val="0"/>
              <w:overflowPunct w:val="0"/>
              <w:rPr>
                <w:rFonts w:ascii="黑体" w:hAnsi="黑体" w:eastAsia="黑体"/>
                <w:b/>
                <w:bCs/>
                <w:sz w:val="18"/>
                <w:szCs w:val="18"/>
              </w:rPr>
            </w:pPr>
          </w:p>
          <w:p w14:paraId="5BA9A2AF">
            <w:pPr>
              <w:pStyle w:val="132"/>
              <w:kinsoku w:val="0"/>
              <w:overflowPunct w:val="0"/>
              <w:rPr>
                <w:rFonts w:ascii="黑体" w:hAnsi="黑体" w:eastAsia="黑体"/>
                <w:b/>
                <w:bCs/>
                <w:sz w:val="18"/>
                <w:szCs w:val="18"/>
              </w:rPr>
            </w:pPr>
          </w:p>
          <w:p w14:paraId="569D645E">
            <w:pPr>
              <w:pStyle w:val="132"/>
              <w:kinsoku w:val="0"/>
              <w:overflowPunct w:val="0"/>
              <w:rPr>
                <w:rFonts w:ascii="黑体" w:hAnsi="黑体" w:eastAsia="黑体"/>
                <w:b/>
                <w:bCs/>
                <w:sz w:val="18"/>
                <w:szCs w:val="18"/>
              </w:rPr>
            </w:pPr>
          </w:p>
          <w:p w14:paraId="195C4E57">
            <w:pPr>
              <w:pStyle w:val="132"/>
              <w:kinsoku w:val="0"/>
              <w:overflowPunct w:val="0"/>
              <w:rPr>
                <w:rFonts w:ascii="黑体" w:hAnsi="黑体" w:eastAsia="黑体"/>
                <w:b/>
                <w:bCs/>
                <w:sz w:val="18"/>
                <w:szCs w:val="18"/>
              </w:rPr>
            </w:pPr>
          </w:p>
          <w:p w14:paraId="0263624C">
            <w:pPr>
              <w:pStyle w:val="132"/>
              <w:kinsoku w:val="0"/>
              <w:overflowPunct w:val="0"/>
              <w:rPr>
                <w:rFonts w:ascii="黑体" w:hAnsi="黑体" w:eastAsia="黑体"/>
                <w:b/>
                <w:bCs/>
                <w:sz w:val="18"/>
                <w:szCs w:val="18"/>
              </w:rPr>
            </w:pPr>
          </w:p>
          <w:p w14:paraId="7041D213">
            <w:pPr>
              <w:pStyle w:val="132"/>
              <w:kinsoku w:val="0"/>
              <w:overflowPunct w:val="0"/>
              <w:spacing w:before="130"/>
              <w:ind w:left="225"/>
              <w:rPr>
                <w:rFonts w:ascii="黑体" w:hAnsi="黑体" w:eastAsia="黑体"/>
                <w:sz w:val="18"/>
                <w:szCs w:val="18"/>
              </w:rPr>
            </w:pPr>
            <w:r>
              <w:rPr>
                <w:rFonts w:ascii="黑体" w:hAnsi="黑体" w:eastAsia="黑体"/>
                <w:sz w:val="18"/>
                <w:szCs w:val="18"/>
              </w:rPr>
              <w:t xml:space="preserve">3.8 </w:t>
            </w:r>
          </w:p>
        </w:tc>
        <w:tc>
          <w:tcPr>
            <w:tcW w:w="1277" w:type="dxa"/>
            <w:tcBorders>
              <w:top w:val="single" w:color="000000" w:sz="4" w:space="0"/>
              <w:left w:val="single" w:color="000000" w:sz="4" w:space="0"/>
              <w:bottom w:val="single" w:color="000000" w:sz="4" w:space="0"/>
              <w:right w:val="single" w:color="000000" w:sz="4" w:space="0"/>
            </w:tcBorders>
          </w:tcPr>
          <w:p w14:paraId="08EBC536">
            <w:pPr>
              <w:pStyle w:val="132"/>
              <w:kinsoku w:val="0"/>
              <w:overflowPunct w:val="0"/>
              <w:rPr>
                <w:rFonts w:ascii="黑体" w:hAnsi="黑体" w:eastAsia="黑体"/>
                <w:b/>
                <w:bCs/>
                <w:sz w:val="18"/>
                <w:szCs w:val="18"/>
              </w:rPr>
            </w:pPr>
          </w:p>
          <w:p w14:paraId="3D194C23">
            <w:pPr>
              <w:pStyle w:val="132"/>
              <w:kinsoku w:val="0"/>
              <w:overflowPunct w:val="0"/>
              <w:rPr>
                <w:rFonts w:ascii="黑体" w:hAnsi="黑体" w:eastAsia="黑体"/>
                <w:b/>
                <w:bCs/>
                <w:sz w:val="18"/>
                <w:szCs w:val="18"/>
              </w:rPr>
            </w:pPr>
          </w:p>
          <w:p w14:paraId="2E05AA34">
            <w:pPr>
              <w:pStyle w:val="132"/>
              <w:kinsoku w:val="0"/>
              <w:overflowPunct w:val="0"/>
              <w:rPr>
                <w:rFonts w:ascii="黑体" w:hAnsi="黑体" w:eastAsia="黑体"/>
                <w:b/>
                <w:bCs/>
                <w:sz w:val="18"/>
                <w:szCs w:val="18"/>
              </w:rPr>
            </w:pPr>
          </w:p>
          <w:p w14:paraId="51DC2F4D">
            <w:pPr>
              <w:pStyle w:val="132"/>
              <w:kinsoku w:val="0"/>
              <w:overflowPunct w:val="0"/>
              <w:rPr>
                <w:rFonts w:ascii="黑体" w:hAnsi="黑体" w:eastAsia="黑体"/>
                <w:b/>
                <w:bCs/>
                <w:sz w:val="18"/>
                <w:szCs w:val="18"/>
              </w:rPr>
            </w:pPr>
          </w:p>
          <w:p w14:paraId="425FD2A8">
            <w:pPr>
              <w:pStyle w:val="132"/>
              <w:kinsoku w:val="0"/>
              <w:overflowPunct w:val="0"/>
              <w:rPr>
                <w:rFonts w:ascii="黑体" w:hAnsi="黑体" w:eastAsia="黑体"/>
                <w:b/>
                <w:bCs/>
                <w:sz w:val="18"/>
                <w:szCs w:val="18"/>
              </w:rPr>
            </w:pPr>
          </w:p>
          <w:p w14:paraId="618EF51E">
            <w:pPr>
              <w:pStyle w:val="132"/>
              <w:kinsoku w:val="0"/>
              <w:overflowPunct w:val="0"/>
              <w:rPr>
                <w:rFonts w:ascii="黑体" w:hAnsi="黑体" w:eastAsia="黑体"/>
                <w:b/>
                <w:bCs/>
                <w:sz w:val="18"/>
                <w:szCs w:val="18"/>
              </w:rPr>
            </w:pPr>
          </w:p>
          <w:p w14:paraId="16BEFDDC">
            <w:pPr>
              <w:pStyle w:val="132"/>
              <w:kinsoku w:val="0"/>
              <w:overflowPunct w:val="0"/>
              <w:rPr>
                <w:rFonts w:ascii="黑体" w:hAnsi="黑体" w:eastAsia="黑体"/>
                <w:b/>
                <w:bCs/>
                <w:sz w:val="18"/>
                <w:szCs w:val="18"/>
              </w:rPr>
            </w:pPr>
          </w:p>
          <w:p w14:paraId="4EFEEF6F">
            <w:pPr>
              <w:pStyle w:val="132"/>
              <w:kinsoku w:val="0"/>
              <w:overflowPunct w:val="0"/>
              <w:rPr>
                <w:rFonts w:ascii="黑体" w:hAnsi="黑体" w:eastAsia="黑体"/>
                <w:b/>
                <w:bCs/>
                <w:sz w:val="18"/>
                <w:szCs w:val="18"/>
              </w:rPr>
            </w:pPr>
          </w:p>
          <w:p w14:paraId="2BDBE1E4">
            <w:pPr>
              <w:pStyle w:val="132"/>
              <w:kinsoku w:val="0"/>
              <w:overflowPunct w:val="0"/>
              <w:spacing w:before="2"/>
              <w:rPr>
                <w:rFonts w:ascii="黑体" w:hAnsi="黑体" w:eastAsia="黑体"/>
                <w:b/>
                <w:bCs/>
                <w:sz w:val="18"/>
                <w:szCs w:val="18"/>
              </w:rPr>
            </w:pPr>
          </w:p>
          <w:p w14:paraId="645012DB">
            <w:pPr>
              <w:pStyle w:val="132"/>
              <w:kinsoku w:val="0"/>
              <w:overflowPunct w:val="0"/>
              <w:spacing w:line="244" w:lineRule="auto"/>
              <w:ind w:left="105" w:right="55"/>
              <w:rPr>
                <w:rFonts w:ascii="黑体" w:hAnsi="黑体" w:eastAsia="黑体"/>
                <w:sz w:val="18"/>
                <w:szCs w:val="18"/>
              </w:rPr>
            </w:pPr>
            <w:r>
              <w:rPr>
                <w:rFonts w:hint="eastAsia" w:ascii="黑体" w:hAnsi="黑体" w:eastAsia="黑体"/>
                <w:sz w:val="18"/>
                <w:szCs w:val="18"/>
              </w:rPr>
              <w:t>支撑架性能要求</w:t>
            </w:r>
          </w:p>
        </w:tc>
        <w:tc>
          <w:tcPr>
            <w:tcW w:w="4960" w:type="dxa"/>
            <w:tcBorders>
              <w:top w:val="single" w:color="000000" w:sz="4" w:space="0"/>
              <w:left w:val="single" w:color="000000" w:sz="4" w:space="0"/>
              <w:bottom w:val="single" w:color="000000" w:sz="4" w:space="0"/>
              <w:right w:val="single" w:color="000000" w:sz="4" w:space="0"/>
            </w:tcBorders>
          </w:tcPr>
          <w:p w14:paraId="1ECA0DAF">
            <w:pPr>
              <w:pStyle w:val="132"/>
              <w:numPr>
                <w:ilvl w:val="0"/>
                <w:numId w:val="131"/>
              </w:numPr>
              <w:tabs>
                <w:tab w:val="left" w:pos="389"/>
              </w:tabs>
              <w:kinsoku w:val="0"/>
              <w:overflowPunct w:val="0"/>
              <w:ind w:right="99" w:firstLine="0"/>
              <w:rPr>
                <w:rFonts w:ascii="黑体" w:hAnsi="黑体" w:eastAsia="黑体"/>
                <w:spacing w:val="-2"/>
                <w:sz w:val="18"/>
                <w:szCs w:val="18"/>
              </w:rPr>
            </w:pPr>
            <w:r>
              <w:rPr>
                <w:rFonts w:hint="eastAsia" w:ascii="黑体" w:hAnsi="黑体" w:eastAsia="黑体"/>
                <w:spacing w:val="-1"/>
                <w:sz w:val="18"/>
                <w:szCs w:val="18"/>
              </w:rPr>
              <w:t>支撑架含支架、垫片、横梁、螺丝、接地抱箍、胶水、斜</w:t>
            </w:r>
            <w:r>
              <w:rPr>
                <w:rFonts w:hint="eastAsia" w:ascii="黑体" w:hAnsi="黑体" w:eastAsia="黑体"/>
                <w:sz w:val="18"/>
                <w:szCs w:val="18"/>
              </w:rPr>
              <w:t>撑（若有）、收边角钢（若有）等辅材，每套支撑架的辅材配比应满足安装使用要求；</w:t>
            </w:r>
          </w:p>
          <w:p w14:paraId="69D0E444">
            <w:pPr>
              <w:pStyle w:val="132"/>
              <w:numPr>
                <w:ilvl w:val="0"/>
                <w:numId w:val="131"/>
              </w:numPr>
              <w:tabs>
                <w:tab w:val="left" w:pos="389"/>
              </w:tabs>
              <w:kinsoku w:val="0"/>
              <w:overflowPunct w:val="0"/>
              <w:spacing w:before="5"/>
              <w:ind w:right="93" w:firstLine="0"/>
              <w:rPr>
                <w:rFonts w:ascii="黑体" w:hAnsi="黑体" w:eastAsia="黑体" w:cs="Calibri"/>
                <w:sz w:val="18"/>
                <w:szCs w:val="18"/>
              </w:rPr>
            </w:pPr>
            <w:r>
              <w:rPr>
                <w:rFonts w:hint="eastAsia" w:ascii="黑体" w:hAnsi="黑体" w:eastAsia="黑体"/>
                <w:sz w:val="18"/>
                <w:szCs w:val="18"/>
              </w:rPr>
              <w:t>架空地板高度≤</w:t>
            </w:r>
            <w:r>
              <w:rPr>
                <w:rFonts w:ascii="黑体" w:hAnsi="黑体" w:eastAsia="黑体" w:cs="Calibri"/>
                <w:sz w:val="18"/>
                <w:szCs w:val="18"/>
              </w:rPr>
              <w:t>600mm</w:t>
            </w:r>
            <w:r>
              <w:rPr>
                <w:rFonts w:ascii="黑体" w:hAnsi="黑体" w:eastAsia="黑体" w:cs="Calibri"/>
                <w:spacing w:val="21"/>
                <w:sz w:val="18"/>
                <w:szCs w:val="18"/>
              </w:rPr>
              <w:t xml:space="preserve"> </w:t>
            </w:r>
            <w:r>
              <w:rPr>
                <w:rFonts w:hint="eastAsia" w:ascii="黑体" w:hAnsi="黑体" w:eastAsia="黑体"/>
                <w:sz w:val="18"/>
                <w:szCs w:val="18"/>
              </w:rPr>
              <w:t>时支架管径≥</w:t>
            </w:r>
            <w:r>
              <w:rPr>
                <w:rFonts w:ascii="黑体" w:hAnsi="黑体" w:eastAsia="黑体" w:cs="Calibri"/>
                <w:sz w:val="18"/>
                <w:szCs w:val="18"/>
              </w:rPr>
              <w:t>25mm</w:t>
            </w:r>
            <w:r>
              <w:rPr>
                <w:rFonts w:hint="eastAsia" w:ascii="黑体" w:hAnsi="黑体" w:eastAsia="黑体"/>
                <w:sz w:val="18"/>
                <w:szCs w:val="18"/>
              </w:rPr>
              <w:t>；架空地板</w:t>
            </w:r>
            <w:r>
              <w:rPr>
                <w:rFonts w:hint="eastAsia" w:ascii="黑体" w:hAnsi="黑体" w:eastAsia="黑体"/>
                <w:spacing w:val="-2"/>
                <w:sz w:val="18"/>
                <w:szCs w:val="18"/>
              </w:rPr>
              <w:t>高度≥</w:t>
            </w:r>
            <w:r>
              <w:rPr>
                <w:rFonts w:ascii="黑体" w:hAnsi="黑体" w:eastAsia="黑体" w:cs="Calibri"/>
                <w:sz w:val="18"/>
                <w:szCs w:val="18"/>
              </w:rPr>
              <w:t>600</w:t>
            </w:r>
          </w:p>
          <w:p w14:paraId="3EB7A9DD">
            <w:pPr>
              <w:pStyle w:val="132"/>
              <w:kinsoku w:val="0"/>
              <w:overflowPunct w:val="0"/>
              <w:spacing w:before="4" w:line="231" w:lineRule="exact"/>
              <w:ind w:left="374"/>
              <w:rPr>
                <w:rFonts w:ascii="黑体" w:hAnsi="黑体" w:eastAsia="黑体"/>
                <w:sz w:val="18"/>
                <w:szCs w:val="18"/>
              </w:rPr>
            </w:pPr>
            <w:r>
              <w:rPr>
                <w:rFonts w:ascii="黑体" w:hAnsi="黑体" w:eastAsia="黑体" w:cs="Calibri"/>
                <w:sz w:val="18"/>
                <w:szCs w:val="18"/>
              </w:rPr>
              <w:t xml:space="preserve">mm </w:t>
            </w:r>
            <w:r>
              <w:rPr>
                <w:rFonts w:hint="eastAsia" w:ascii="黑体" w:hAnsi="黑体" w:eastAsia="黑体"/>
                <w:sz w:val="18"/>
                <w:szCs w:val="18"/>
              </w:rPr>
              <w:t>时支架管径≥</w:t>
            </w:r>
            <w:r>
              <w:rPr>
                <w:rFonts w:ascii="黑体" w:hAnsi="黑体" w:eastAsia="黑体" w:cs="Calibri"/>
                <w:sz w:val="18"/>
                <w:szCs w:val="18"/>
              </w:rPr>
              <w:t>32mm</w:t>
            </w:r>
            <w:r>
              <w:rPr>
                <w:rFonts w:hint="eastAsia" w:ascii="黑体" w:hAnsi="黑体" w:eastAsia="黑体"/>
                <w:sz w:val="18"/>
                <w:szCs w:val="18"/>
              </w:rPr>
              <w:t>；</w:t>
            </w:r>
          </w:p>
          <w:p w14:paraId="0407F218">
            <w:pPr>
              <w:pStyle w:val="132"/>
              <w:numPr>
                <w:ilvl w:val="0"/>
                <w:numId w:val="131"/>
              </w:numPr>
              <w:tabs>
                <w:tab w:val="left" w:pos="386"/>
              </w:tabs>
              <w:kinsoku w:val="0"/>
              <w:overflowPunct w:val="0"/>
              <w:spacing w:line="244" w:lineRule="auto"/>
              <w:ind w:left="374" w:right="92" w:hanging="269"/>
              <w:rPr>
                <w:rFonts w:ascii="黑体" w:hAnsi="黑体" w:eastAsia="黑体"/>
                <w:sz w:val="18"/>
                <w:szCs w:val="18"/>
              </w:rPr>
            </w:pPr>
            <w:r>
              <w:rPr>
                <w:rFonts w:hint="eastAsia" w:ascii="黑体" w:hAnsi="黑体" w:eastAsia="黑体"/>
                <w:sz w:val="18"/>
                <w:szCs w:val="18"/>
              </w:rPr>
              <w:t>架空地板高度≤</w:t>
            </w:r>
            <w:r>
              <w:rPr>
                <w:rFonts w:ascii="黑体" w:hAnsi="黑体" w:eastAsia="黑体" w:cs="Calibri"/>
                <w:sz w:val="18"/>
                <w:szCs w:val="18"/>
              </w:rPr>
              <w:t>800mm</w:t>
            </w:r>
            <w:r>
              <w:rPr>
                <w:rFonts w:ascii="黑体" w:hAnsi="黑体" w:eastAsia="黑体" w:cs="Calibri"/>
                <w:spacing w:val="12"/>
                <w:sz w:val="18"/>
                <w:szCs w:val="18"/>
              </w:rPr>
              <w:t xml:space="preserve"> </w:t>
            </w:r>
            <w:r>
              <w:rPr>
                <w:rFonts w:hint="eastAsia" w:ascii="黑体" w:hAnsi="黑体" w:eastAsia="黑体"/>
                <w:sz w:val="18"/>
                <w:szCs w:val="18"/>
              </w:rPr>
              <w:t>时支架中柱壁厚≥</w:t>
            </w:r>
            <w:r>
              <w:rPr>
                <w:rFonts w:ascii="黑体" w:hAnsi="黑体" w:eastAsia="黑体" w:cs="Calibri"/>
                <w:sz w:val="18"/>
                <w:szCs w:val="18"/>
              </w:rPr>
              <w:t>1.5mm</w:t>
            </w:r>
            <w:r>
              <w:rPr>
                <w:rFonts w:hint="eastAsia" w:ascii="黑体" w:hAnsi="黑体" w:eastAsia="黑体"/>
                <w:sz w:val="18"/>
                <w:szCs w:val="18"/>
              </w:rPr>
              <w:t>；架空</w:t>
            </w:r>
            <w:r>
              <w:rPr>
                <w:rFonts w:hint="eastAsia" w:ascii="黑体" w:hAnsi="黑体" w:eastAsia="黑体"/>
                <w:spacing w:val="-3"/>
                <w:sz w:val="18"/>
                <w:szCs w:val="18"/>
              </w:rPr>
              <w:t>地板高度＞</w:t>
            </w:r>
            <w:r>
              <w:rPr>
                <w:rFonts w:ascii="黑体" w:hAnsi="黑体" w:eastAsia="黑体" w:cs="Calibri"/>
                <w:sz w:val="18"/>
                <w:szCs w:val="18"/>
              </w:rPr>
              <w:t>800mm</w:t>
            </w:r>
            <w:r>
              <w:rPr>
                <w:rFonts w:ascii="黑体" w:hAnsi="黑体" w:eastAsia="黑体" w:cs="Calibri"/>
                <w:spacing w:val="6"/>
                <w:sz w:val="18"/>
                <w:szCs w:val="18"/>
              </w:rPr>
              <w:t xml:space="preserve"> </w:t>
            </w:r>
            <w:r>
              <w:rPr>
                <w:rFonts w:hint="eastAsia" w:ascii="黑体" w:hAnsi="黑体" w:eastAsia="黑体"/>
                <w:spacing w:val="-4"/>
                <w:sz w:val="18"/>
                <w:szCs w:val="18"/>
              </w:rPr>
              <w:t>时中柱壁厚≥</w:t>
            </w:r>
            <w:r>
              <w:rPr>
                <w:rFonts w:ascii="黑体" w:hAnsi="黑体" w:eastAsia="黑体" w:cs="Calibri"/>
                <w:sz w:val="18"/>
                <w:szCs w:val="18"/>
              </w:rPr>
              <w:t>2.0mm</w:t>
            </w:r>
            <w:r>
              <w:rPr>
                <w:rFonts w:hint="eastAsia" w:ascii="黑体" w:hAnsi="黑体" w:eastAsia="黑体"/>
                <w:sz w:val="18"/>
                <w:szCs w:val="18"/>
              </w:rPr>
              <w:t>；</w:t>
            </w:r>
          </w:p>
          <w:p w14:paraId="386B8D92">
            <w:pPr>
              <w:pStyle w:val="132"/>
              <w:numPr>
                <w:ilvl w:val="0"/>
                <w:numId w:val="131"/>
              </w:numPr>
              <w:tabs>
                <w:tab w:val="left" w:pos="389"/>
              </w:tabs>
              <w:kinsoku w:val="0"/>
              <w:overflowPunct w:val="0"/>
              <w:spacing w:before="1" w:line="242" w:lineRule="auto"/>
              <w:ind w:left="374" w:right="93" w:hanging="269"/>
              <w:rPr>
                <w:rFonts w:ascii="黑体" w:hAnsi="黑体" w:eastAsia="黑体"/>
                <w:spacing w:val="-5"/>
                <w:sz w:val="18"/>
                <w:szCs w:val="18"/>
              </w:rPr>
            </w:pPr>
            <w:r>
              <w:rPr>
                <w:rFonts w:hint="eastAsia" w:ascii="黑体" w:hAnsi="黑体" w:eastAsia="黑体"/>
                <w:sz w:val="18"/>
                <w:szCs w:val="18"/>
              </w:rPr>
              <w:t>涉及金属件均进行电镀彩锌表面处理：电镀锌表面处理</w:t>
            </w:r>
            <w:r>
              <w:rPr>
                <w:rFonts w:hint="eastAsia" w:ascii="黑体" w:hAnsi="黑体" w:eastAsia="黑体"/>
                <w:spacing w:val="-3"/>
                <w:sz w:val="18"/>
                <w:szCs w:val="18"/>
              </w:rPr>
              <w:t>要求：涂层厚度</w:t>
            </w:r>
            <w:r>
              <w:rPr>
                <w:rFonts w:ascii="黑体" w:hAnsi="黑体" w:eastAsia="黑体"/>
                <w:spacing w:val="-3"/>
                <w:sz w:val="18"/>
                <w:szCs w:val="18"/>
              </w:rPr>
              <w:t xml:space="preserve"> </w:t>
            </w:r>
            <w:r>
              <w:rPr>
                <w:rFonts w:ascii="黑体" w:hAnsi="黑体" w:eastAsia="黑体" w:cs="Calibri"/>
                <w:spacing w:val="-3"/>
                <w:sz w:val="18"/>
                <w:szCs w:val="18"/>
              </w:rPr>
              <w:t>8~12</w:t>
            </w:r>
            <w:r>
              <w:rPr>
                <w:rFonts w:hint="eastAsia" w:ascii="黑体" w:hAnsi="黑体" w:eastAsia="黑体"/>
                <w:spacing w:val="-3"/>
                <w:sz w:val="18"/>
                <w:szCs w:val="18"/>
              </w:rPr>
              <w:t>μ</w:t>
            </w:r>
            <w:r>
              <w:rPr>
                <w:rFonts w:ascii="黑体" w:hAnsi="黑体" w:eastAsia="黑体" w:cs="Calibri"/>
                <w:spacing w:val="-3"/>
                <w:sz w:val="18"/>
                <w:szCs w:val="18"/>
              </w:rPr>
              <w:t>m</w:t>
            </w:r>
            <w:r>
              <w:rPr>
                <w:rFonts w:hint="eastAsia" w:ascii="黑体" w:hAnsi="黑体" w:eastAsia="黑体"/>
                <w:spacing w:val="1"/>
                <w:sz w:val="18"/>
                <w:szCs w:val="18"/>
              </w:rPr>
              <w:t>；按</w:t>
            </w:r>
            <w:r>
              <w:rPr>
                <w:rFonts w:ascii="黑体" w:hAnsi="黑体" w:eastAsia="黑体"/>
                <w:spacing w:val="1"/>
                <w:sz w:val="18"/>
                <w:szCs w:val="18"/>
              </w:rPr>
              <w:t xml:space="preserve"> </w:t>
            </w:r>
            <w:r>
              <w:rPr>
                <w:rFonts w:ascii="黑体" w:hAnsi="黑体" w:eastAsia="黑体" w:cs="Calibri"/>
                <w:sz w:val="18"/>
                <w:szCs w:val="18"/>
              </w:rPr>
              <w:t>GB/T</w:t>
            </w:r>
            <w:r>
              <w:rPr>
                <w:rFonts w:ascii="黑体" w:hAnsi="黑体" w:eastAsia="黑体" w:cs="Calibri"/>
                <w:spacing w:val="31"/>
                <w:sz w:val="18"/>
                <w:szCs w:val="18"/>
              </w:rPr>
              <w:t xml:space="preserve"> </w:t>
            </w:r>
            <w:r>
              <w:rPr>
                <w:rFonts w:ascii="黑体" w:hAnsi="黑体" w:eastAsia="黑体" w:cs="Calibri"/>
                <w:spacing w:val="-3"/>
                <w:sz w:val="18"/>
                <w:szCs w:val="18"/>
              </w:rPr>
              <w:t>9286</w:t>
            </w:r>
            <w:r>
              <w:rPr>
                <w:rFonts w:ascii="黑体" w:hAnsi="黑体" w:eastAsia="黑体" w:cs="Calibri"/>
                <w:spacing w:val="25"/>
                <w:sz w:val="18"/>
                <w:szCs w:val="18"/>
              </w:rPr>
              <w:t xml:space="preserve"> </w:t>
            </w:r>
            <w:r>
              <w:rPr>
                <w:rFonts w:hint="eastAsia" w:ascii="黑体" w:hAnsi="黑体" w:eastAsia="黑体"/>
                <w:spacing w:val="-4"/>
                <w:sz w:val="18"/>
                <w:szCs w:val="18"/>
              </w:rPr>
              <w:t>进行涂层附着</w:t>
            </w:r>
            <w:r>
              <w:rPr>
                <w:rFonts w:hint="eastAsia" w:ascii="黑体" w:hAnsi="黑体" w:eastAsia="黑体"/>
                <w:spacing w:val="13"/>
                <w:sz w:val="18"/>
                <w:szCs w:val="18"/>
              </w:rPr>
              <w:t>力试验，要求所有试样上的涂层都应</w:t>
            </w:r>
            <w:r>
              <w:rPr>
                <w:rFonts w:ascii="黑体" w:hAnsi="黑体" w:eastAsia="黑体"/>
                <w:spacing w:val="13"/>
                <w:sz w:val="18"/>
                <w:szCs w:val="18"/>
              </w:rPr>
              <w:t xml:space="preserve"> </w:t>
            </w:r>
            <w:r>
              <w:rPr>
                <w:rFonts w:ascii="黑体" w:hAnsi="黑体" w:eastAsia="黑体" w:cs="Calibri"/>
                <w:spacing w:val="5"/>
                <w:sz w:val="18"/>
                <w:szCs w:val="18"/>
              </w:rPr>
              <w:t>100</w:t>
            </w:r>
            <w:r>
              <w:rPr>
                <w:rFonts w:hint="eastAsia" w:ascii="黑体" w:hAnsi="黑体" w:eastAsia="黑体"/>
                <w:spacing w:val="7"/>
                <w:sz w:val="18"/>
                <w:szCs w:val="18"/>
              </w:rPr>
              <w:t>％附着；按</w:t>
            </w:r>
            <w:r>
              <w:rPr>
                <w:rFonts w:ascii="黑体" w:hAnsi="黑体" w:eastAsia="黑体" w:cs="Calibri"/>
                <w:spacing w:val="7"/>
                <w:sz w:val="18"/>
                <w:szCs w:val="18"/>
              </w:rPr>
              <w:t>GB/T</w:t>
            </w:r>
            <w:r>
              <w:rPr>
                <w:rFonts w:ascii="黑体" w:hAnsi="黑体" w:eastAsia="黑体" w:cs="Calibri"/>
                <w:spacing w:val="21"/>
                <w:sz w:val="18"/>
                <w:szCs w:val="18"/>
              </w:rPr>
              <w:t xml:space="preserve"> </w:t>
            </w:r>
            <w:r>
              <w:rPr>
                <w:rFonts w:ascii="黑体" w:hAnsi="黑体" w:eastAsia="黑体" w:cs="Calibri"/>
                <w:sz w:val="18"/>
                <w:szCs w:val="18"/>
              </w:rPr>
              <w:t>2423.17</w:t>
            </w:r>
            <w:r>
              <w:rPr>
                <w:rFonts w:ascii="黑体" w:hAnsi="黑体" w:eastAsia="黑体" w:cs="Calibri"/>
                <w:spacing w:val="16"/>
                <w:sz w:val="18"/>
                <w:szCs w:val="18"/>
              </w:rPr>
              <w:t xml:space="preserve"> </w:t>
            </w:r>
            <w:r>
              <w:rPr>
                <w:rFonts w:hint="eastAsia" w:ascii="黑体" w:hAnsi="黑体" w:eastAsia="黑体"/>
                <w:spacing w:val="-2"/>
                <w:sz w:val="18"/>
                <w:szCs w:val="18"/>
              </w:rPr>
              <w:t>标准通过</w:t>
            </w:r>
            <w:r>
              <w:rPr>
                <w:rFonts w:ascii="黑体" w:hAnsi="黑体" w:eastAsia="黑体"/>
                <w:spacing w:val="-2"/>
                <w:sz w:val="18"/>
                <w:szCs w:val="18"/>
              </w:rPr>
              <w:t xml:space="preserve"> </w:t>
            </w:r>
            <w:r>
              <w:rPr>
                <w:rFonts w:ascii="黑体" w:hAnsi="黑体" w:eastAsia="黑体" w:cs="Calibri"/>
                <w:spacing w:val="-3"/>
                <w:sz w:val="18"/>
                <w:szCs w:val="18"/>
              </w:rPr>
              <w:t>72h</w:t>
            </w:r>
            <w:r>
              <w:rPr>
                <w:rFonts w:ascii="黑体" w:hAnsi="黑体" w:eastAsia="黑体" w:cs="Calibri"/>
                <w:spacing w:val="23"/>
                <w:sz w:val="18"/>
                <w:szCs w:val="18"/>
              </w:rPr>
              <w:t xml:space="preserve"> </w:t>
            </w:r>
            <w:r>
              <w:rPr>
                <w:rFonts w:hint="eastAsia" w:ascii="黑体" w:hAnsi="黑体" w:eastAsia="黑体"/>
                <w:spacing w:val="-5"/>
                <w:sz w:val="18"/>
                <w:szCs w:val="18"/>
              </w:rPr>
              <w:t>盐雾试验；焊接牢固，金属件表面防锈层无脱落，无明显疵点；</w:t>
            </w:r>
          </w:p>
          <w:p w14:paraId="32597728">
            <w:pPr>
              <w:pStyle w:val="132"/>
              <w:numPr>
                <w:ilvl w:val="0"/>
                <w:numId w:val="131"/>
              </w:numPr>
              <w:tabs>
                <w:tab w:val="left" w:pos="381"/>
              </w:tabs>
              <w:kinsoku w:val="0"/>
              <w:overflowPunct w:val="0"/>
              <w:spacing w:before="2" w:line="231" w:lineRule="exact"/>
              <w:ind w:left="380" w:hanging="276"/>
              <w:rPr>
                <w:rFonts w:ascii="黑体" w:hAnsi="黑体" w:eastAsia="黑体"/>
                <w:spacing w:val="-5"/>
                <w:sz w:val="18"/>
                <w:szCs w:val="18"/>
              </w:rPr>
            </w:pPr>
            <w:r>
              <w:rPr>
                <w:rFonts w:hint="eastAsia" w:ascii="黑体" w:hAnsi="黑体" w:eastAsia="黑体"/>
                <w:spacing w:val="-10"/>
                <w:sz w:val="18"/>
                <w:szCs w:val="18"/>
              </w:rPr>
              <w:t>支架可上下调整</w:t>
            </w:r>
            <w:r>
              <w:rPr>
                <w:rFonts w:ascii="黑体" w:hAnsi="黑体" w:eastAsia="黑体"/>
                <w:spacing w:val="-10"/>
                <w:sz w:val="18"/>
                <w:szCs w:val="18"/>
              </w:rPr>
              <w:t xml:space="preserve"> </w:t>
            </w:r>
            <w:r>
              <w:rPr>
                <w:rFonts w:ascii="黑体" w:hAnsi="黑体" w:eastAsia="黑体" w:cs="Calibri"/>
                <w:sz w:val="18"/>
                <w:szCs w:val="18"/>
              </w:rPr>
              <w:t>20mm</w:t>
            </w:r>
            <w:r>
              <w:rPr>
                <w:rFonts w:ascii="黑体" w:hAnsi="黑体" w:eastAsia="黑体" w:cs="Calibri"/>
                <w:spacing w:val="10"/>
                <w:sz w:val="18"/>
                <w:szCs w:val="18"/>
              </w:rPr>
              <w:t xml:space="preserve"> </w:t>
            </w:r>
            <w:r>
              <w:rPr>
                <w:rFonts w:hint="eastAsia" w:ascii="黑体" w:hAnsi="黑体" w:eastAsia="黑体"/>
                <w:spacing w:val="-5"/>
                <w:sz w:val="18"/>
                <w:szCs w:val="18"/>
              </w:rPr>
              <w:t>以保证地板安装高度一致；</w:t>
            </w:r>
          </w:p>
          <w:p w14:paraId="5B5F8703">
            <w:pPr>
              <w:pStyle w:val="132"/>
              <w:numPr>
                <w:ilvl w:val="0"/>
                <w:numId w:val="131"/>
              </w:numPr>
              <w:tabs>
                <w:tab w:val="left" w:pos="381"/>
              </w:tabs>
              <w:kinsoku w:val="0"/>
              <w:overflowPunct w:val="0"/>
              <w:ind w:left="380" w:hanging="276"/>
              <w:rPr>
                <w:rFonts w:ascii="黑体" w:hAnsi="黑体" w:eastAsia="黑体"/>
                <w:spacing w:val="-5"/>
                <w:sz w:val="18"/>
                <w:szCs w:val="18"/>
              </w:rPr>
            </w:pPr>
            <w:r>
              <w:rPr>
                <w:rFonts w:hint="eastAsia" w:ascii="黑体" w:hAnsi="黑体" w:eastAsia="黑体"/>
                <w:spacing w:val="-3"/>
                <w:sz w:val="18"/>
                <w:szCs w:val="18"/>
              </w:rPr>
              <w:t>承重要求：</w:t>
            </w:r>
            <w:r>
              <w:rPr>
                <w:rFonts w:ascii="黑体" w:hAnsi="黑体" w:eastAsia="黑体" w:cs="Calibri"/>
                <w:spacing w:val="-3"/>
                <w:sz w:val="18"/>
                <w:szCs w:val="18"/>
              </w:rPr>
              <w:t>20KN</w:t>
            </w:r>
            <w:r>
              <w:rPr>
                <w:rFonts w:ascii="黑体" w:hAnsi="黑体" w:eastAsia="黑体" w:cs="Calibri"/>
                <w:spacing w:val="12"/>
                <w:sz w:val="18"/>
                <w:szCs w:val="18"/>
              </w:rPr>
              <w:t xml:space="preserve"> </w:t>
            </w:r>
            <w:r>
              <w:rPr>
                <w:rFonts w:hint="eastAsia" w:ascii="黑体" w:hAnsi="黑体" w:eastAsia="黑体"/>
                <w:spacing w:val="-5"/>
                <w:sz w:val="18"/>
                <w:szCs w:val="18"/>
              </w:rPr>
              <w:t>力保持一分钟支架应完好如初；</w:t>
            </w:r>
          </w:p>
          <w:p w14:paraId="5A8EDDB2">
            <w:pPr>
              <w:pStyle w:val="132"/>
              <w:numPr>
                <w:ilvl w:val="0"/>
                <w:numId w:val="131"/>
              </w:numPr>
              <w:tabs>
                <w:tab w:val="left" w:pos="428"/>
              </w:tabs>
              <w:kinsoku w:val="0"/>
              <w:overflowPunct w:val="0"/>
              <w:spacing w:before="4" w:line="244" w:lineRule="auto"/>
              <w:ind w:right="95" w:firstLine="0"/>
              <w:rPr>
                <w:rFonts w:ascii="黑体" w:hAnsi="黑体" w:eastAsia="黑体"/>
                <w:spacing w:val="-3"/>
                <w:sz w:val="18"/>
                <w:szCs w:val="18"/>
              </w:rPr>
            </w:pPr>
            <w:r>
              <w:rPr>
                <w:rFonts w:hint="eastAsia" w:ascii="黑体" w:hAnsi="黑体" w:eastAsia="黑体"/>
                <w:sz w:val="18"/>
                <w:szCs w:val="18"/>
              </w:rPr>
              <w:t>）</w:t>
            </w:r>
            <w:r>
              <w:rPr>
                <w:rFonts w:ascii="黑体" w:hAnsi="黑体" w:eastAsia="黑体"/>
                <w:spacing w:val="2"/>
                <w:sz w:val="18"/>
                <w:szCs w:val="18"/>
              </w:rPr>
              <w:t xml:space="preserve"> </w:t>
            </w:r>
            <w:r>
              <w:rPr>
                <w:rFonts w:hint="eastAsia" w:ascii="黑体" w:hAnsi="黑体" w:eastAsia="黑体"/>
                <w:spacing w:val="2"/>
                <w:sz w:val="18"/>
                <w:szCs w:val="18"/>
              </w:rPr>
              <w:t>架空地板高度≥</w:t>
            </w:r>
            <w:r>
              <w:rPr>
                <w:rFonts w:ascii="黑体" w:hAnsi="黑体" w:eastAsia="黑体"/>
                <w:spacing w:val="2"/>
                <w:sz w:val="18"/>
                <w:szCs w:val="18"/>
              </w:rPr>
              <w:t xml:space="preserve"> </w:t>
            </w:r>
            <w:r>
              <w:rPr>
                <w:rFonts w:ascii="黑体" w:hAnsi="黑体" w:eastAsia="黑体" w:cs="Calibri"/>
                <w:spacing w:val="-3"/>
                <w:sz w:val="18"/>
                <w:szCs w:val="18"/>
              </w:rPr>
              <w:t xml:space="preserve">1000mm  </w:t>
            </w:r>
            <w:r>
              <w:rPr>
                <w:rFonts w:hint="eastAsia" w:ascii="黑体" w:hAnsi="黑体" w:eastAsia="黑体"/>
                <w:spacing w:val="18"/>
                <w:sz w:val="18"/>
                <w:szCs w:val="18"/>
              </w:rPr>
              <w:t>时建议使用斜拉撑</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pacing w:val="6"/>
                <w:sz w:val="18"/>
                <w:szCs w:val="18"/>
              </w:rPr>
              <w:t>带抱箍</w:t>
            </w:r>
            <w:r>
              <w:rPr>
                <w:rFonts w:hint="eastAsia" w:ascii="黑体" w:hAnsi="黑体" w:eastAsia="黑体"/>
                <w:spacing w:val="-3"/>
                <w:sz w:val="18"/>
                <w:szCs w:val="18"/>
              </w:rPr>
              <w:t>）；</w:t>
            </w:r>
          </w:p>
          <w:p w14:paraId="21BBB5BC">
            <w:pPr>
              <w:pStyle w:val="132"/>
              <w:numPr>
                <w:ilvl w:val="0"/>
                <w:numId w:val="131"/>
              </w:numPr>
              <w:tabs>
                <w:tab w:val="left" w:pos="389"/>
              </w:tabs>
              <w:kinsoku w:val="0"/>
              <w:overflowPunct w:val="0"/>
              <w:spacing w:line="244" w:lineRule="auto"/>
              <w:ind w:left="374" w:right="99" w:hanging="269"/>
              <w:rPr>
                <w:rFonts w:ascii="黑体" w:hAnsi="黑体" w:eastAsia="黑体"/>
                <w:spacing w:val="-5"/>
                <w:sz w:val="18"/>
                <w:szCs w:val="18"/>
              </w:rPr>
            </w:pPr>
            <w:r>
              <w:rPr>
                <w:rFonts w:hint="eastAsia" w:ascii="黑体" w:hAnsi="黑体" w:eastAsia="黑体"/>
                <w:sz w:val="18"/>
                <w:szCs w:val="18"/>
              </w:rPr>
              <w:t>根据实际现场环境需要可提供角铁，木工板，橡塑棉，</w:t>
            </w:r>
            <w:r>
              <w:rPr>
                <w:rFonts w:ascii="黑体" w:hAnsi="黑体" w:eastAsia="黑体"/>
                <w:sz w:val="18"/>
                <w:szCs w:val="18"/>
              </w:rPr>
              <w:t xml:space="preserve"> </w:t>
            </w:r>
            <w:r>
              <w:rPr>
                <w:rFonts w:hint="eastAsia" w:ascii="黑体" w:hAnsi="黑体" w:eastAsia="黑体"/>
                <w:spacing w:val="-5"/>
                <w:sz w:val="18"/>
                <w:szCs w:val="18"/>
              </w:rPr>
              <w:t>发泡胶等支撑架可替代方案。</w:t>
            </w:r>
          </w:p>
        </w:tc>
        <w:tc>
          <w:tcPr>
            <w:tcW w:w="1277" w:type="dxa"/>
            <w:tcBorders>
              <w:top w:val="single" w:color="000000" w:sz="4" w:space="0"/>
              <w:left w:val="single" w:color="000000" w:sz="4" w:space="0"/>
              <w:bottom w:val="single" w:color="000000" w:sz="4" w:space="0"/>
              <w:right w:val="single" w:color="000000" w:sz="4" w:space="0"/>
            </w:tcBorders>
          </w:tcPr>
          <w:p w14:paraId="37BB8CB6">
            <w:pPr>
              <w:pStyle w:val="132"/>
              <w:kinsoku w:val="0"/>
              <w:overflowPunct w:val="0"/>
              <w:rPr>
                <w:rFonts w:ascii="黑体" w:hAnsi="黑体" w:eastAsia="黑体"/>
                <w:b/>
                <w:bCs/>
                <w:sz w:val="18"/>
                <w:szCs w:val="18"/>
              </w:rPr>
            </w:pPr>
          </w:p>
          <w:p w14:paraId="6450441A">
            <w:pPr>
              <w:pStyle w:val="132"/>
              <w:kinsoku w:val="0"/>
              <w:overflowPunct w:val="0"/>
              <w:rPr>
                <w:rFonts w:ascii="黑体" w:hAnsi="黑体" w:eastAsia="黑体"/>
                <w:b/>
                <w:bCs/>
                <w:sz w:val="18"/>
                <w:szCs w:val="18"/>
              </w:rPr>
            </w:pPr>
          </w:p>
          <w:p w14:paraId="52370620">
            <w:pPr>
              <w:pStyle w:val="132"/>
              <w:kinsoku w:val="0"/>
              <w:overflowPunct w:val="0"/>
              <w:rPr>
                <w:rFonts w:ascii="黑体" w:hAnsi="黑体" w:eastAsia="黑体"/>
                <w:b/>
                <w:bCs/>
                <w:sz w:val="18"/>
                <w:szCs w:val="18"/>
              </w:rPr>
            </w:pPr>
          </w:p>
          <w:p w14:paraId="3959B1AC">
            <w:pPr>
              <w:pStyle w:val="132"/>
              <w:kinsoku w:val="0"/>
              <w:overflowPunct w:val="0"/>
              <w:rPr>
                <w:rFonts w:ascii="黑体" w:hAnsi="黑体" w:eastAsia="黑体"/>
                <w:b/>
                <w:bCs/>
                <w:sz w:val="18"/>
                <w:szCs w:val="18"/>
              </w:rPr>
            </w:pPr>
          </w:p>
          <w:p w14:paraId="0138E719">
            <w:pPr>
              <w:pStyle w:val="132"/>
              <w:kinsoku w:val="0"/>
              <w:overflowPunct w:val="0"/>
              <w:rPr>
                <w:rFonts w:ascii="黑体" w:hAnsi="黑体" w:eastAsia="黑体"/>
                <w:b/>
                <w:bCs/>
                <w:sz w:val="18"/>
                <w:szCs w:val="18"/>
              </w:rPr>
            </w:pPr>
          </w:p>
          <w:p w14:paraId="76755166">
            <w:pPr>
              <w:pStyle w:val="132"/>
              <w:kinsoku w:val="0"/>
              <w:overflowPunct w:val="0"/>
              <w:rPr>
                <w:rFonts w:ascii="黑体" w:hAnsi="黑体" w:eastAsia="黑体"/>
                <w:b/>
                <w:bCs/>
                <w:sz w:val="18"/>
                <w:szCs w:val="18"/>
              </w:rPr>
            </w:pPr>
          </w:p>
          <w:p w14:paraId="67EFCA19">
            <w:pPr>
              <w:pStyle w:val="132"/>
              <w:kinsoku w:val="0"/>
              <w:overflowPunct w:val="0"/>
              <w:rPr>
                <w:rFonts w:ascii="黑体" w:hAnsi="黑体" w:eastAsia="黑体"/>
                <w:b/>
                <w:bCs/>
                <w:sz w:val="18"/>
                <w:szCs w:val="18"/>
              </w:rPr>
            </w:pPr>
          </w:p>
          <w:p w14:paraId="3050E9C1">
            <w:pPr>
              <w:pStyle w:val="132"/>
              <w:kinsoku w:val="0"/>
              <w:overflowPunct w:val="0"/>
              <w:rPr>
                <w:rFonts w:ascii="黑体" w:hAnsi="黑体" w:eastAsia="黑体"/>
                <w:b/>
                <w:bCs/>
                <w:sz w:val="18"/>
                <w:szCs w:val="18"/>
              </w:rPr>
            </w:pPr>
          </w:p>
          <w:p w14:paraId="6252D313">
            <w:pPr>
              <w:pStyle w:val="132"/>
              <w:kinsoku w:val="0"/>
              <w:overflowPunct w:val="0"/>
              <w:spacing w:before="2"/>
              <w:rPr>
                <w:rFonts w:ascii="黑体" w:hAnsi="黑体" w:eastAsia="黑体"/>
                <w:b/>
                <w:bCs/>
                <w:sz w:val="18"/>
                <w:szCs w:val="18"/>
              </w:rPr>
            </w:pPr>
          </w:p>
          <w:p w14:paraId="0E0746F7">
            <w:pPr>
              <w:pStyle w:val="132"/>
              <w:kinsoku w:val="0"/>
              <w:overflowPunct w:val="0"/>
              <w:ind w:left="111"/>
              <w:rPr>
                <w:rFonts w:ascii="黑体" w:hAnsi="黑体" w:eastAsia="黑体"/>
                <w:b/>
                <w:bCs/>
                <w:sz w:val="18"/>
                <w:szCs w:val="18"/>
              </w:rPr>
            </w:pPr>
            <w:r>
              <w:rPr>
                <w:rFonts w:hint="eastAsia" w:ascii="黑体" w:hAnsi="黑体" w:eastAsia="黑体"/>
                <w:b/>
                <w:bCs/>
                <w:sz w:val="18"/>
                <w:szCs w:val="18"/>
              </w:rPr>
              <w:t>□满足</w:t>
            </w:r>
          </w:p>
          <w:p w14:paraId="5063D38F">
            <w:pPr>
              <w:pStyle w:val="132"/>
              <w:kinsoku w:val="0"/>
              <w:overflowPunct w:val="0"/>
              <w:spacing w:before="4"/>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5D53D022">
            <w:pPr>
              <w:pStyle w:val="132"/>
              <w:kinsoku w:val="0"/>
              <w:overflowPunct w:val="0"/>
              <w:rPr>
                <w:rFonts w:ascii="黑体" w:hAnsi="黑体" w:eastAsia="黑体" w:cs="Times New Roman"/>
                <w:sz w:val="18"/>
                <w:szCs w:val="18"/>
              </w:rPr>
            </w:pPr>
          </w:p>
        </w:tc>
      </w:tr>
      <w:tr w14:paraId="53BBD909">
        <w:tblPrEx>
          <w:tblCellMar>
            <w:top w:w="0" w:type="dxa"/>
            <w:left w:w="0" w:type="dxa"/>
            <w:bottom w:w="0" w:type="dxa"/>
            <w:right w:w="0" w:type="dxa"/>
          </w:tblCellMar>
        </w:tblPrEx>
        <w:trPr>
          <w:trHeight w:val="724" w:hRule="atLeast"/>
        </w:trPr>
        <w:tc>
          <w:tcPr>
            <w:tcW w:w="725" w:type="dxa"/>
            <w:tcBorders>
              <w:top w:val="single" w:color="000000" w:sz="4" w:space="0"/>
              <w:left w:val="single" w:color="000000" w:sz="4" w:space="0"/>
              <w:bottom w:val="single" w:color="000000" w:sz="4" w:space="0"/>
              <w:right w:val="single" w:color="000000" w:sz="4" w:space="0"/>
            </w:tcBorders>
          </w:tcPr>
          <w:p w14:paraId="1F5FAE24">
            <w:pPr>
              <w:pStyle w:val="132"/>
              <w:kinsoku w:val="0"/>
              <w:overflowPunct w:val="0"/>
              <w:spacing w:before="11"/>
              <w:rPr>
                <w:rFonts w:ascii="黑体" w:hAnsi="黑体" w:eastAsia="黑体"/>
                <w:b/>
                <w:bCs/>
                <w:sz w:val="18"/>
                <w:szCs w:val="18"/>
              </w:rPr>
            </w:pPr>
          </w:p>
          <w:p w14:paraId="10F1A616">
            <w:pPr>
              <w:pStyle w:val="132"/>
              <w:kinsoku w:val="0"/>
              <w:overflowPunct w:val="0"/>
              <w:spacing w:before="1"/>
              <w:ind w:left="225"/>
              <w:rPr>
                <w:rFonts w:ascii="黑体" w:hAnsi="黑体" w:eastAsia="黑体"/>
                <w:sz w:val="18"/>
                <w:szCs w:val="18"/>
              </w:rPr>
            </w:pPr>
            <w:r>
              <w:rPr>
                <w:rFonts w:ascii="黑体" w:hAnsi="黑体" w:eastAsia="黑体"/>
                <w:sz w:val="18"/>
                <w:szCs w:val="18"/>
              </w:rPr>
              <w:t xml:space="preserve">3.9 </w:t>
            </w:r>
          </w:p>
        </w:tc>
        <w:tc>
          <w:tcPr>
            <w:tcW w:w="1277" w:type="dxa"/>
            <w:tcBorders>
              <w:top w:val="single" w:color="000000" w:sz="4" w:space="0"/>
              <w:left w:val="single" w:color="000000" w:sz="4" w:space="0"/>
              <w:bottom w:val="single" w:color="000000" w:sz="4" w:space="0"/>
              <w:right w:val="single" w:color="000000" w:sz="4" w:space="0"/>
            </w:tcBorders>
          </w:tcPr>
          <w:p w14:paraId="1D2BC952">
            <w:pPr>
              <w:pStyle w:val="132"/>
              <w:kinsoku w:val="0"/>
              <w:overflowPunct w:val="0"/>
              <w:spacing w:before="127" w:line="244" w:lineRule="auto"/>
              <w:ind w:left="105" w:right="55"/>
              <w:rPr>
                <w:rFonts w:ascii="黑体" w:hAnsi="黑体" w:eastAsia="黑体"/>
                <w:sz w:val="18"/>
                <w:szCs w:val="18"/>
              </w:rPr>
            </w:pPr>
            <w:r>
              <w:rPr>
                <w:rFonts w:hint="eastAsia" w:ascii="黑体" w:hAnsi="黑体" w:eastAsia="黑体"/>
                <w:sz w:val="18"/>
                <w:szCs w:val="18"/>
              </w:rPr>
              <w:t>防静电接地要求</w:t>
            </w:r>
          </w:p>
        </w:tc>
        <w:tc>
          <w:tcPr>
            <w:tcW w:w="4960" w:type="dxa"/>
            <w:tcBorders>
              <w:top w:val="single" w:color="000000" w:sz="4" w:space="0"/>
              <w:left w:val="single" w:color="000000" w:sz="4" w:space="0"/>
              <w:bottom w:val="single" w:color="000000" w:sz="4" w:space="0"/>
              <w:right w:val="single" w:color="000000" w:sz="4" w:space="0"/>
            </w:tcBorders>
          </w:tcPr>
          <w:p w14:paraId="0BA3FD33">
            <w:pPr>
              <w:pStyle w:val="132"/>
              <w:kinsoku w:val="0"/>
              <w:overflowPunct w:val="0"/>
              <w:spacing w:before="17" w:line="244" w:lineRule="auto"/>
              <w:ind w:left="105" w:right="95"/>
              <w:rPr>
                <w:rFonts w:ascii="黑体" w:hAnsi="黑体" w:eastAsia="黑体"/>
                <w:sz w:val="18"/>
                <w:szCs w:val="18"/>
              </w:rPr>
            </w:pPr>
            <w:r>
              <w:rPr>
                <w:rFonts w:hint="eastAsia" w:ascii="黑体" w:hAnsi="黑体" w:eastAsia="黑体"/>
                <w:sz w:val="18"/>
                <w:szCs w:val="18"/>
              </w:rPr>
              <w:t>需满足防静电接地要求，需提前预留接地抱箍连接接地线缆或安装时将支架底部落在铜箔网格十字交叉处。</w:t>
            </w:r>
          </w:p>
        </w:tc>
        <w:tc>
          <w:tcPr>
            <w:tcW w:w="1277" w:type="dxa"/>
            <w:tcBorders>
              <w:top w:val="single" w:color="000000" w:sz="4" w:space="0"/>
              <w:left w:val="single" w:color="000000" w:sz="4" w:space="0"/>
              <w:bottom w:val="single" w:color="000000" w:sz="4" w:space="0"/>
              <w:right w:val="single" w:color="000000" w:sz="4" w:space="0"/>
            </w:tcBorders>
          </w:tcPr>
          <w:p w14:paraId="5EDAA234">
            <w:pPr>
              <w:pStyle w:val="132"/>
              <w:kinsoku w:val="0"/>
              <w:overflowPunct w:val="0"/>
              <w:spacing w:before="127"/>
              <w:ind w:left="111"/>
              <w:rPr>
                <w:rFonts w:ascii="黑体" w:hAnsi="黑体" w:eastAsia="黑体"/>
                <w:b/>
                <w:bCs/>
                <w:sz w:val="18"/>
                <w:szCs w:val="18"/>
              </w:rPr>
            </w:pPr>
            <w:r>
              <w:rPr>
                <w:rFonts w:hint="eastAsia" w:ascii="黑体" w:hAnsi="黑体" w:eastAsia="黑体"/>
                <w:b/>
                <w:bCs/>
                <w:sz w:val="18"/>
                <w:szCs w:val="18"/>
              </w:rPr>
              <w:t>□满足</w:t>
            </w:r>
          </w:p>
          <w:p w14:paraId="594EDD06">
            <w:pPr>
              <w:pStyle w:val="132"/>
              <w:kinsoku w:val="0"/>
              <w:overflowPunct w:val="0"/>
              <w:spacing w:before="5"/>
              <w:ind w:left="111"/>
              <w:rPr>
                <w:rFonts w:ascii="黑体" w:hAnsi="黑体" w:eastAsia="黑体"/>
                <w:sz w:val="18"/>
                <w:szCs w:val="18"/>
              </w:rPr>
            </w:pPr>
            <w:r>
              <w:rPr>
                <w:rFonts w:hint="eastAsia" w:ascii="黑体" w:hAnsi="黑体" w:eastAsia="黑体"/>
                <w:sz w:val="18"/>
                <w:szCs w:val="18"/>
              </w:rPr>
              <w:t>□不满足</w:t>
            </w:r>
          </w:p>
        </w:tc>
        <w:tc>
          <w:tcPr>
            <w:tcW w:w="1263" w:type="dxa"/>
            <w:tcBorders>
              <w:top w:val="single" w:color="000000" w:sz="4" w:space="0"/>
              <w:left w:val="single" w:color="000000" w:sz="4" w:space="0"/>
              <w:bottom w:val="single" w:color="000000" w:sz="4" w:space="0"/>
              <w:right w:val="single" w:color="000000" w:sz="4" w:space="0"/>
            </w:tcBorders>
          </w:tcPr>
          <w:p w14:paraId="7C443817">
            <w:pPr>
              <w:pStyle w:val="132"/>
              <w:kinsoku w:val="0"/>
              <w:overflowPunct w:val="0"/>
              <w:rPr>
                <w:rFonts w:ascii="黑体" w:hAnsi="黑体" w:eastAsia="黑体" w:cs="Times New Roman"/>
                <w:sz w:val="18"/>
                <w:szCs w:val="18"/>
              </w:rPr>
            </w:pPr>
          </w:p>
        </w:tc>
      </w:tr>
      <w:tr w14:paraId="5F508279">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2ECCA34F">
            <w:pPr>
              <w:pStyle w:val="132"/>
              <w:kinsoku w:val="0"/>
              <w:overflowPunct w:val="0"/>
              <w:spacing w:before="112"/>
              <w:ind w:left="134"/>
              <w:rPr>
                <w:rFonts w:ascii="黑体" w:hAnsi="黑体" w:eastAsia="黑体"/>
                <w:sz w:val="18"/>
                <w:szCs w:val="18"/>
              </w:rPr>
            </w:pPr>
            <w:r>
              <w:rPr>
                <w:rFonts w:ascii="黑体" w:hAnsi="黑体" w:eastAsia="黑体"/>
                <w:w w:val="101"/>
                <w:sz w:val="18"/>
                <w:szCs w:val="18"/>
              </w:rPr>
              <w:t xml:space="preserve"> </w:t>
            </w:r>
            <w:r>
              <w:rPr>
                <w:rFonts w:ascii="黑体" w:hAnsi="黑体" w:eastAsia="黑体"/>
                <w:sz w:val="18"/>
                <w:szCs w:val="18"/>
              </w:rPr>
              <w:t xml:space="preserve">3.10 </w:t>
            </w:r>
          </w:p>
        </w:tc>
        <w:tc>
          <w:tcPr>
            <w:tcW w:w="1277" w:type="dxa"/>
            <w:tcBorders>
              <w:top w:val="single" w:color="000000" w:sz="4" w:space="0"/>
              <w:left w:val="single" w:color="000000" w:sz="4" w:space="0"/>
              <w:bottom w:val="single" w:color="000000" w:sz="4" w:space="0"/>
              <w:right w:val="single" w:color="000000" w:sz="4" w:space="0"/>
            </w:tcBorders>
          </w:tcPr>
          <w:p w14:paraId="22B3EDB0">
            <w:pPr>
              <w:pStyle w:val="132"/>
              <w:kinsoku w:val="0"/>
              <w:overflowPunct w:val="0"/>
              <w:spacing w:before="112"/>
              <w:ind w:left="105"/>
              <w:rPr>
                <w:rFonts w:ascii="黑体" w:hAnsi="黑体" w:eastAsia="黑体"/>
                <w:sz w:val="18"/>
                <w:szCs w:val="18"/>
              </w:rPr>
            </w:pPr>
            <w:r>
              <w:rPr>
                <w:rFonts w:hint="eastAsia" w:ascii="黑体" w:hAnsi="黑体" w:eastAsia="黑体"/>
                <w:sz w:val="18"/>
                <w:szCs w:val="18"/>
              </w:rPr>
              <w:t>环保要求</w:t>
            </w:r>
          </w:p>
        </w:tc>
        <w:tc>
          <w:tcPr>
            <w:tcW w:w="4960" w:type="dxa"/>
            <w:tcBorders>
              <w:top w:val="single" w:color="000000" w:sz="4" w:space="0"/>
              <w:left w:val="single" w:color="000000" w:sz="4" w:space="0"/>
              <w:bottom w:val="single" w:color="000000" w:sz="4" w:space="0"/>
              <w:right w:val="single" w:color="000000" w:sz="4" w:space="0"/>
            </w:tcBorders>
          </w:tcPr>
          <w:p w14:paraId="7A5F16D6">
            <w:pPr>
              <w:pStyle w:val="132"/>
              <w:kinsoku w:val="0"/>
              <w:overflowPunct w:val="0"/>
              <w:spacing w:before="112"/>
              <w:ind w:left="105"/>
              <w:rPr>
                <w:rFonts w:ascii="黑体" w:hAnsi="黑体" w:eastAsia="黑体"/>
                <w:sz w:val="18"/>
                <w:szCs w:val="18"/>
              </w:rPr>
            </w:pPr>
            <w:r>
              <w:rPr>
                <w:rFonts w:hint="eastAsia" w:ascii="黑体" w:hAnsi="黑体" w:eastAsia="黑体"/>
                <w:sz w:val="18"/>
                <w:szCs w:val="18"/>
              </w:rPr>
              <w:t>通过权威机构的相关环保认证，并有测试报告或认证证书</w:t>
            </w:r>
          </w:p>
        </w:tc>
        <w:tc>
          <w:tcPr>
            <w:tcW w:w="1277" w:type="dxa"/>
            <w:tcBorders>
              <w:top w:val="single" w:color="000000" w:sz="4" w:space="0"/>
              <w:left w:val="single" w:color="000000" w:sz="4" w:space="0"/>
              <w:bottom w:val="single" w:color="000000" w:sz="4" w:space="0"/>
              <w:right w:val="single" w:color="000000" w:sz="4" w:space="0"/>
            </w:tcBorders>
          </w:tcPr>
          <w:p w14:paraId="206E4FCA">
            <w:pPr>
              <w:pStyle w:val="132"/>
              <w:kinsoku w:val="0"/>
              <w:overflowPunct w:val="0"/>
              <w:spacing w:line="228" w:lineRule="exact"/>
              <w:ind w:left="111"/>
              <w:rPr>
                <w:rFonts w:ascii="黑体" w:hAnsi="黑体" w:eastAsia="黑体"/>
                <w:b/>
                <w:bCs/>
                <w:sz w:val="18"/>
                <w:szCs w:val="18"/>
              </w:rPr>
            </w:pPr>
            <w:r>
              <w:rPr>
                <w:rFonts w:hint="eastAsia" w:ascii="黑体" w:hAnsi="黑体" w:eastAsia="黑体"/>
                <w:b/>
                <w:bCs/>
                <w:sz w:val="18"/>
                <w:szCs w:val="18"/>
              </w:rPr>
              <w:t>□满足</w:t>
            </w:r>
          </w:p>
          <w:p w14:paraId="38CE1878">
            <w:pPr>
              <w:pStyle w:val="132"/>
              <w:kinsoku w:val="0"/>
              <w:overflowPunct w:val="0"/>
              <w:ind w:left="111"/>
              <w:rPr>
                <w:rFonts w:ascii="黑体" w:hAnsi="黑体" w:eastAsia="黑体"/>
                <w:b/>
                <w:bCs/>
                <w:sz w:val="18"/>
                <w:szCs w:val="18"/>
              </w:rPr>
            </w:pPr>
            <w:r>
              <w:rPr>
                <w:rFonts w:hint="eastAsia" w:ascii="黑体" w:hAnsi="黑体" w:eastAsia="黑体"/>
                <w:sz w:val="18"/>
                <w:szCs w:val="18"/>
              </w:rPr>
              <w:t>□不</w:t>
            </w:r>
            <w:r>
              <w:rPr>
                <w:rFonts w:hint="eastAsia" w:ascii="黑体" w:hAnsi="黑体" w:eastAsia="黑体"/>
                <w:b/>
                <w:bCs/>
                <w:sz w:val="18"/>
                <w:szCs w:val="18"/>
              </w:rPr>
              <w:t>满足</w:t>
            </w:r>
          </w:p>
        </w:tc>
        <w:tc>
          <w:tcPr>
            <w:tcW w:w="1263" w:type="dxa"/>
            <w:tcBorders>
              <w:top w:val="single" w:color="000000" w:sz="4" w:space="0"/>
              <w:left w:val="single" w:color="000000" w:sz="4" w:space="0"/>
              <w:bottom w:val="single" w:color="000000" w:sz="4" w:space="0"/>
              <w:right w:val="single" w:color="000000" w:sz="4" w:space="0"/>
            </w:tcBorders>
          </w:tcPr>
          <w:p w14:paraId="38AE4D07">
            <w:pPr>
              <w:pStyle w:val="132"/>
              <w:kinsoku w:val="0"/>
              <w:overflowPunct w:val="0"/>
              <w:rPr>
                <w:rFonts w:ascii="黑体" w:hAnsi="黑体" w:eastAsia="黑体" w:cs="Times New Roman"/>
                <w:sz w:val="18"/>
                <w:szCs w:val="18"/>
              </w:rPr>
            </w:pPr>
          </w:p>
        </w:tc>
      </w:tr>
      <w:tr w14:paraId="5C970941">
        <w:tblPrEx>
          <w:tblCellMar>
            <w:top w:w="0" w:type="dxa"/>
            <w:left w:w="0" w:type="dxa"/>
            <w:bottom w:w="0" w:type="dxa"/>
            <w:right w:w="0" w:type="dxa"/>
          </w:tblCellMar>
        </w:tblPrEx>
        <w:trPr>
          <w:trHeight w:val="667" w:hRule="atLeast"/>
        </w:trPr>
        <w:tc>
          <w:tcPr>
            <w:tcW w:w="725" w:type="dxa"/>
            <w:tcBorders>
              <w:top w:val="single" w:color="000000" w:sz="4" w:space="0"/>
              <w:left w:val="single" w:color="000000" w:sz="4" w:space="0"/>
              <w:bottom w:val="single" w:color="000000" w:sz="4" w:space="0"/>
              <w:right w:val="single" w:color="000000" w:sz="4" w:space="0"/>
            </w:tcBorders>
          </w:tcPr>
          <w:p w14:paraId="6CBC7F12">
            <w:pPr>
              <w:pStyle w:val="132"/>
              <w:kinsoku w:val="0"/>
              <w:overflowPunct w:val="0"/>
              <w:spacing w:before="112"/>
              <w:ind w:left="196"/>
              <w:rPr>
                <w:rFonts w:ascii="黑体" w:hAnsi="黑体" w:eastAsia="黑体"/>
                <w:sz w:val="18"/>
                <w:szCs w:val="18"/>
              </w:rPr>
            </w:pPr>
            <w:r>
              <w:rPr>
                <w:rFonts w:ascii="黑体" w:hAnsi="黑体" w:eastAsia="黑体"/>
                <w:sz w:val="18"/>
                <w:szCs w:val="18"/>
              </w:rPr>
              <w:t xml:space="preserve">3.11 </w:t>
            </w:r>
          </w:p>
        </w:tc>
        <w:tc>
          <w:tcPr>
            <w:tcW w:w="1277" w:type="dxa"/>
            <w:tcBorders>
              <w:top w:val="single" w:color="000000" w:sz="4" w:space="0"/>
              <w:left w:val="single" w:color="000000" w:sz="4" w:space="0"/>
              <w:bottom w:val="single" w:color="000000" w:sz="4" w:space="0"/>
              <w:right w:val="single" w:color="000000" w:sz="4" w:space="0"/>
            </w:tcBorders>
          </w:tcPr>
          <w:p w14:paraId="298A509E">
            <w:pPr>
              <w:pStyle w:val="132"/>
              <w:kinsoku w:val="0"/>
              <w:overflowPunct w:val="0"/>
              <w:ind w:left="105" w:right="55"/>
              <w:rPr>
                <w:rFonts w:ascii="黑体" w:hAnsi="黑体" w:eastAsia="黑体"/>
                <w:sz w:val="18"/>
                <w:szCs w:val="18"/>
              </w:rPr>
            </w:pPr>
            <w:r>
              <w:rPr>
                <w:rFonts w:hint="eastAsia" w:ascii="黑体" w:hAnsi="黑体" w:eastAsia="黑体"/>
                <w:sz w:val="18"/>
                <w:szCs w:val="18"/>
              </w:rPr>
              <w:t>抗震加固要求</w:t>
            </w:r>
          </w:p>
        </w:tc>
        <w:tc>
          <w:tcPr>
            <w:tcW w:w="4960" w:type="dxa"/>
            <w:tcBorders>
              <w:top w:val="single" w:color="000000" w:sz="4" w:space="0"/>
              <w:left w:val="single" w:color="000000" w:sz="4" w:space="0"/>
              <w:bottom w:val="single" w:color="000000" w:sz="4" w:space="0"/>
              <w:right w:val="single" w:color="000000" w:sz="4" w:space="0"/>
            </w:tcBorders>
          </w:tcPr>
          <w:p w14:paraId="28635C1E">
            <w:pPr>
              <w:pStyle w:val="132"/>
              <w:kinsoku w:val="0"/>
              <w:overflowPunct w:val="0"/>
              <w:ind w:left="105" w:right="92"/>
              <w:rPr>
                <w:rFonts w:ascii="黑体" w:hAnsi="黑体" w:eastAsia="黑体"/>
                <w:sz w:val="18"/>
                <w:szCs w:val="18"/>
              </w:rPr>
            </w:pPr>
            <w:r>
              <w:rPr>
                <w:rFonts w:hint="eastAsia" w:ascii="黑体" w:hAnsi="黑体" w:eastAsia="黑体"/>
                <w:sz w:val="18"/>
                <w:szCs w:val="18"/>
              </w:rPr>
              <w:t>安装内容中涉及抗震加固部分应按照</w:t>
            </w:r>
            <w:r>
              <w:rPr>
                <w:rFonts w:ascii="黑体" w:hAnsi="黑体" w:eastAsia="黑体"/>
                <w:sz w:val="18"/>
                <w:szCs w:val="18"/>
              </w:rPr>
              <w:t xml:space="preserve"> </w:t>
            </w:r>
            <w:r>
              <w:rPr>
                <w:rFonts w:ascii="黑体" w:hAnsi="黑体" w:eastAsia="黑体" w:cs="Calibri"/>
                <w:sz w:val="18"/>
                <w:szCs w:val="18"/>
              </w:rPr>
              <w:t>YD 5059-2005</w:t>
            </w:r>
            <w:r>
              <w:rPr>
                <w:rFonts w:hint="eastAsia" w:ascii="黑体" w:hAnsi="黑体" w:eastAsia="黑体"/>
                <w:sz w:val="18"/>
                <w:szCs w:val="18"/>
              </w:rPr>
              <w:t>《电信设备安装抗震设计规范》有关规定执行。</w:t>
            </w:r>
          </w:p>
        </w:tc>
        <w:tc>
          <w:tcPr>
            <w:tcW w:w="1277" w:type="dxa"/>
            <w:tcBorders>
              <w:top w:val="single" w:color="000000" w:sz="4" w:space="0"/>
              <w:left w:val="single" w:color="000000" w:sz="4" w:space="0"/>
              <w:bottom w:val="single" w:color="000000" w:sz="4" w:space="0"/>
              <w:right w:val="single" w:color="000000" w:sz="4" w:space="0"/>
            </w:tcBorders>
          </w:tcPr>
          <w:p w14:paraId="7EB4D312">
            <w:pPr>
              <w:pStyle w:val="132"/>
              <w:kinsoku w:val="0"/>
              <w:overflowPunct w:val="0"/>
              <w:rPr>
                <w:rFonts w:ascii="黑体" w:hAnsi="黑体" w:eastAsia="黑体" w:cs="Times New Roman"/>
                <w:sz w:val="18"/>
                <w:szCs w:val="18"/>
              </w:rPr>
            </w:pPr>
          </w:p>
        </w:tc>
        <w:tc>
          <w:tcPr>
            <w:tcW w:w="1263" w:type="dxa"/>
            <w:tcBorders>
              <w:top w:val="single" w:color="000000" w:sz="4" w:space="0"/>
              <w:left w:val="single" w:color="000000" w:sz="4" w:space="0"/>
              <w:bottom w:val="single" w:color="000000" w:sz="4" w:space="0"/>
              <w:right w:val="single" w:color="000000" w:sz="4" w:space="0"/>
            </w:tcBorders>
          </w:tcPr>
          <w:p w14:paraId="60406B62">
            <w:pPr>
              <w:pStyle w:val="132"/>
              <w:kinsoku w:val="0"/>
              <w:overflowPunct w:val="0"/>
              <w:rPr>
                <w:rFonts w:ascii="黑体" w:hAnsi="黑体" w:eastAsia="黑体" w:cs="Times New Roman"/>
                <w:sz w:val="18"/>
                <w:szCs w:val="18"/>
              </w:rPr>
            </w:pPr>
          </w:p>
        </w:tc>
      </w:tr>
    </w:tbl>
    <w:p w14:paraId="0BBB8DAE">
      <w:pPr>
        <w:pStyle w:val="14"/>
        <w:kinsoku w:val="0"/>
        <w:overflowPunct w:val="0"/>
        <w:spacing w:before="10"/>
        <w:jc w:val="left"/>
        <w:rPr>
          <w:rFonts w:ascii="黑体" w:hAnsi="黑体"/>
          <w:b/>
          <w:bCs/>
          <w:szCs w:val="18"/>
        </w:rPr>
      </w:pPr>
    </w:p>
    <w:p w14:paraId="578EE1A6">
      <w:pPr>
        <w:pStyle w:val="49"/>
        <w:tabs>
          <w:tab w:val="left" w:pos="797"/>
        </w:tabs>
        <w:kinsoku w:val="0"/>
        <w:overflowPunct w:val="0"/>
        <w:spacing w:before="63"/>
        <w:ind w:firstLine="361"/>
        <w:jc w:val="left"/>
        <w:rPr>
          <w:rFonts w:ascii="黑体" w:hAnsi="黑体"/>
          <w:b/>
          <w:bCs/>
          <w:szCs w:val="18"/>
        </w:rPr>
        <w:sectPr>
          <w:pgSz w:w="11910" w:h="16840"/>
          <w:pgMar w:top="1660" w:right="700" w:bottom="1340" w:left="1220" w:header="720" w:footer="1146" w:gutter="0"/>
          <w:pgNumType w:fmt="decimal"/>
          <w:cols w:space="720" w:num="1"/>
        </w:sectPr>
      </w:pPr>
    </w:p>
    <w:p w14:paraId="0A82F700">
      <w:pPr>
        <w:pStyle w:val="111"/>
        <w:ind w:left="1134" w:hanging="424"/>
        <w:jc w:val="left"/>
        <w:rPr>
          <w:b/>
        </w:rPr>
      </w:pPr>
      <w:r>
        <w:rPr>
          <w:rFonts w:hint="eastAsia"/>
          <w:b/>
        </w:rPr>
        <w:t>铝合金防静电地板技术规格</w:t>
      </w:r>
    </w:p>
    <w:tbl>
      <w:tblPr>
        <w:tblStyle w:val="36"/>
        <w:tblW w:w="0" w:type="auto"/>
        <w:tblInd w:w="211" w:type="dxa"/>
        <w:tblLayout w:type="fixed"/>
        <w:tblCellMar>
          <w:top w:w="0" w:type="dxa"/>
          <w:left w:w="0" w:type="dxa"/>
          <w:bottom w:w="0" w:type="dxa"/>
          <w:right w:w="0" w:type="dxa"/>
        </w:tblCellMar>
      </w:tblPr>
      <w:tblGrid>
        <w:gridCol w:w="725"/>
        <w:gridCol w:w="1277"/>
        <w:gridCol w:w="283"/>
        <w:gridCol w:w="4677"/>
        <w:gridCol w:w="1422"/>
        <w:gridCol w:w="1119"/>
      </w:tblGrid>
      <w:tr w14:paraId="2F233A75">
        <w:tblPrEx>
          <w:tblCellMar>
            <w:top w:w="0" w:type="dxa"/>
            <w:left w:w="0" w:type="dxa"/>
            <w:bottom w:w="0" w:type="dxa"/>
            <w:right w:w="0" w:type="dxa"/>
          </w:tblCellMar>
        </w:tblPrEx>
        <w:trPr>
          <w:trHeight w:val="585" w:hRule="atLeast"/>
        </w:trPr>
        <w:tc>
          <w:tcPr>
            <w:tcW w:w="725" w:type="dxa"/>
            <w:tcBorders>
              <w:top w:val="single" w:color="000000" w:sz="4" w:space="0"/>
              <w:left w:val="single" w:color="000000" w:sz="4" w:space="0"/>
              <w:bottom w:val="single" w:color="000000" w:sz="4" w:space="0"/>
              <w:right w:val="single" w:color="000000" w:sz="4" w:space="0"/>
            </w:tcBorders>
            <w:shd w:val="clear" w:color="auto" w:fill="DBE4F0"/>
          </w:tcPr>
          <w:p w14:paraId="16D576AE">
            <w:pPr>
              <w:pStyle w:val="132"/>
              <w:kinsoku w:val="0"/>
              <w:overflowPunct w:val="0"/>
              <w:spacing w:before="4"/>
              <w:rPr>
                <w:rFonts w:ascii="黑体" w:hAnsi="黑体" w:eastAsia="黑体"/>
                <w:b/>
                <w:bCs/>
                <w:sz w:val="18"/>
                <w:szCs w:val="18"/>
              </w:rPr>
            </w:pPr>
          </w:p>
          <w:p w14:paraId="63AD7029">
            <w:pPr>
              <w:pStyle w:val="132"/>
              <w:kinsoku w:val="0"/>
              <w:overflowPunct w:val="0"/>
              <w:ind w:left="97" w:right="93"/>
              <w:rPr>
                <w:rFonts w:ascii="黑体" w:hAnsi="黑体" w:eastAsia="黑体"/>
                <w:b/>
                <w:bCs/>
                <w:sz w:val="18"/>
                <w:szCs w:val="18"/>
              </w:rPr>
            </w:pPr>
            <w:r>
              <w:rPr>
                <w:rFonts w:hint="eastAsia" w:ascii="黑体" w:hAnsi="黑体" w:eastAsia="黑体"/>
                <w:b/>
                <w:bCs/>
                <w:sz w:val="18"/>
                <w:szCs w:val="18"/>
              </w:rPr>
              <w:t>序号</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DBE4F0"/>
          </w:tcPr>
          <w:p w14:paraId="403422C0">
            <w:pPr>
              <w:pStyle w:val="132"/>
              <w:kinsoku w:val="0"/>
              <w:overflowPunct w:val="0"/>
              <w:spacing w:before="4"/>
              <w:rPr>
                <w:rFonts w:ascii="黑体" w:hAnsi="黑体" w:eastAsia="黑体"/>
                <w:b/>
                <w:bCs/>
                <w:sz w:val="18"/>
                <w:szCs w:val="18"/>
              </w:rPr>
            </w:pPr>
          </w:p>
          <w:p w14:paraId="0E1B446F">
            <w:pPr>
              <w:pStyle w:val="132"/>
              <w:kinsoku w:val="0"/>
              <w:overflowPunct w:val="0"/>
              <w:ind w:left="576" w:right="571"/>
              <w:rPr>
                <w:rFonts w:ascii="黑体" w:hAnsi="黑体" w:eastAsia="黑体"/>
                <w:b/>
                <w:bCs/>
                <w:sz w:val="18"/>
                <w:szCs w:val="18"/>
              </w:rPr>
            </w:pPr>
            <w:r>
              <w:rPr>
                <w:rFonts w:hint="eastAsia" w:ascii="黑体" w:hAnsi="黑体" w:eastAsia="黑体"/>
                <w:b/>
                <w:bCs/>
                <w:sz w:val="18"/>
                <w:szCs w:val="18"/>
              </w:rPr>
              <w:t>项目</w:t>
            </w:r>
          </w:p>
        </w:tc>
        <w:tc>
          <w:tcPr>
            <w:tcW w:w="4677" w:type="dxa"/>
            <w:tcBorders>
              <w:top w:val="single" w:color="000000" w:sz="4" w:space="0"/>
              <w:left w:val="single" w:color="000000" w:sz="4" w:space="0"/>
              <w:bottom w:val="single" w:color="000000" w:sz="4" w:space="0"/>
              <w:right w:val="single" w:color="000000" w:sz="4" w:space="0"/>
            </w:tcBorders>
            <w:shd w:val="clear" w:color="auto" w:fill="DBE4F0"/>
          </w:tcPr>
          <w:p w14:paraId="33307D75">
            <w:pPr>
              <w:pStyle w:val="132"/>
              <w:kinsoku w:val="0"/>
              <w:overflowPunct w:val="0"/>
              <w:spacing w:before="4"/>
              <w:rPr>
                <w:rFonts w:ascii="黑体" w:hAnsi="黑体" w:eastAsia="黑体"/>
                <w:b/>
                <w:bCs/>
                <w:sz w:val="18"/>
                <w:szCs w:val="18"/>
              </w:rPr>
            </w:pPr>
          </w:p>
          <w:p w14:paraId="0B2A1FE7">
            <w:pPr>
              <w:pStyle w:val="132"/>
              <w:kinsoku w:val="0"/>
              <w:overflowPunct w:val="0"/>
              <w:ind w:left="1957" w:right="1946"/>
              <w:rPr>
                <w:rFonts w:ascii="黑体" w:hAnsi="黑体" w:eastAsia="黑体"/>
                <w:b/>
                <w:bCs/>
                <w:sz w:val="18"/>
                <w:szCs w:val="18"/>
              </w:rPr>
            </w:pPr>
            <w:r>
              <w:rPr>
                <w:rFonts w:hint="eastAsia" w:ascii="黑体" w:hAnsi="黑体" w:eastAsia="黑体"/>
                <w:b/>
                <w:bCs/>
                <w:sz w:val="18"/>
                <w:szCs w:val="18"/>
              </w:rPr>
              <w:t>项目说明</w:t>
            </w:r>
          </w:p>
        </w:tc>
        <w:tc>
          <w:tcPr>
            <w:tcW w:w="1422" w:type="dxa"/>
            <w:tcBorders>
              <w:top w:val="single" w:color="000000" w:sz="4" w:space="0"/>
              <w:left w:val="single" w:color="000000" w:sz="4" w:space="0"/>
              <w:bottom w:val="single" w:color="000000" w:sz="4" w:space="0"/>
              <w:right w:val="single" w:color="000000" w:sz="4" w:space="0"/>
            </w:tcBorders>
            <w:shd w:val="clear" w:color="auto" w:fill="DBE4F0"/>
          </w:tcPr>
          <w:p w14:paraId="67B9101E">
            <w:pPr>
              <w:pStyle w:val="132"/>
              <w:kinsoku w:val="0"/>
              <w:overflowPunct w:val="0"/>
              <w:spacing w:before="4"/>
              <w:rPr>
                <w:rFonts w:ascii="黑体" w:hAnsi="黑体" w:eastAsia="黑体"/>
                <w:b/>
                <w:bCs/>
                <w:sz w:val="18"/>
                <w:szCs w:val="18"/>
              </w:rPr>
            </w:pPr>
          </w:p>
          <w:p w14:paraId="2C387721">
            <w:pPr>
              <w:pStyle w:val="132"/>
              <w:kinsoku w:val="0"/>
              <w:overflowPunct w:val="0"/>
              <w:ind w:left="346"/>
              <w:rPr>
                <w:rFonts w:ascii="黑体" w:hAnsi="黑体" w:eastAsia="黑体"/>
                <w:b/>
                <w:bCs/>
                <w:sz w:val="18"/>
                <w:szCs w:val="18"/>
              </w:rPr>
            </w:pPr>
            <w:r>
              <w:rPr>
                <w:rFonts w:hint="eastAsia" w:ascii="黑体" w:hAnsi="黑体" w:eastAsia="黑体"/>
                <w:b/>
                <w:bCs/>
                <w:sz w:val="18"/>
                <w:szCs w:val="18"/>
              </w:rPr>
              <w:t>厂商答复</w:t>
            </w:r>
          </w:p>
        </w:tc>
        <w:tc>
          <w:tcPr>
            <w:tcW w:w="1119" w:type="dxa"/>
            <w:tcBorders>
              <w:top w:val="single" w:color="000000" w:sz="4" w:space="0"/>
              <w:left w:val="single" w:color="000000" w:sz="4" w:space="0"/>
              <w:bottom w:val="single" w:color="000000" w:sz="4" w:space="0"/>
              <w:right w:val="single" w:color="000000" w:sz="4" w:space="0"/>
            </w:tcBorders>
            <w:shd w:val="clear" w:color="auto" w:fill="DBE4F0"/>
          </w:tcPr>
          <w:p w14:paraId="32D1107C">
            <w:pPr>
              <w:pStyle w:val="132"/>
              <w:kinsoku w:val="0"/>
              <w:overflowPunct w:val="0"/>
              <w:spacing w:before="60"/>
              <w:ind w:left="106" w:right="93"/>
              <w:rPr>
                <w:rFonts w:ascii="黑体" w:hAnsi="黑体" w:eastAsia="黑体"/>
                <w:b/>
                <w:bCs/>
                <w:sz w:val="18"/>
                <w:szCs w:val="18"/>
              </w:rPr>
            </w:pPr>
            <w:r>
              <w:rPr>
                <w:rFonts w:hint="eastAsia" w:ascii="黑体" w:hAnsi="黑体" w:eastAsia="黑体"/>
                <w:b/>
                <w:bCs/>
                <w:sz w:val="18"/>
                <w:szCs w:val="18"/>
              </w:rPr>
              <w:t>请填写贵司的性能参数</w:t>
            </w:r>
          </w:p>
        </w:tc>
      </w:tr>
      <w:tr w14:paraId="4C6405D2">
        <w:tblPrEx>
          <w:tblCellMar>
            <w:top w:w="0" w:type="dxa"/>
            <w:left w:w="0" w:type="dxa"/>
            <w:bottom w:w="0" w:type="dxa"/>
            <w:right w:w="0" w:type="dxa"/>
          </w:tblCellMar>
        </w:tblPrEx>
        <w:trPr>
          <w:trHeight w:val="901" w:hRule="atLeast"/>
        </w:trPr>
        <w:tc>
          <w:tcPr>
            <w:tcW w:w="725" w:type="dxa"/>
            <w:tcBorders>
              <w:top w:val="single" w:color="000000" w:sz="4" w:space="0"/>
              <w:left w:val="single" w:color="000000" w:sz="4" w:space="0"/>
              <w:bottom w:val="single" w:color="000000" w:sz="4" w:space="0"/>
              <w:right w:val="single" w:color="000000" w:sz="4" w:space="0"/>
            </w:tcBorders>
          </w:tcPr>
          <w:p w14:paraId="342EF213">
            <w:pPr>
              <w:pStyle w:val="132"/>
              <w:kinsoku w:val="0"/>
              <w:overflowPunct w:val="0"/>
              <w:spacing w:before="1"/>
              <w:rPr>
                <w:rFonts w:ascii="黑体" w:hAnsi="黑体" w:eastAsia="黑体"/>
                <w:b/>
                <w:bCs/>
                <w:sz w:val="18"/>
                <w:szCs w:val="18"/>
              </w:rPr>
            </w:pPr>
          </w:p>
          <w:p w14:paraId="30838047">
            <w:pPr>
              <w:pStyle w:val="132"/>
              <w:kinsoku w:val="0"/>
              <w:overflowPunct w:val="0"/>
              <w:spacing w:before="1"/>
              <w:ind w:left="158" w:right="67"/>
              <w:rPr>
                <w:rFonts w:ascii="黑体" w:hAnsi="黑体" w:eastAsia="黑体"/>
                <w:sz w:val="18"/>
                <w:szCs w:val="18"/>
              </w:rPr>
            </w:pPr>
            <w:r>
              <w:rPr>
                <w:rFonts w:ascii="黑体" w:hAnsi="黑体" w:eastAsia="黑体"/>
                <w:sz w:val="18"/>
                <w:szCs w:val="18"/>
              </w:rPr>
              <w:t xml:space="preserve">1 </w:t>
            </w:r>
          </w:p>
        </w:tc>
        <w:tc>
          <w:tcPr>
            <w:tcW w:w="1560" w:type="dxa"/>
            <w:gridSpan w:val="2"/>
            <w:tcBorders>
              <w:top w:val="single" w:color="000000" w:sz="4" w:space="0"/>
              <w:left w:val="single" w:color="000000" w:sz="4" w:space="0"/>
              <w:bottom w:val="single" w:color="000000" w:sz="4" w:space="0"/>
              <w:right w:val="single" w:color="000000" w:sz="4" w:space="0"/>
            </w:tcBorders>
          </w:tcPr>
          <w:p w14:paraId="5DED77AD">
            <w:pPr>
              <w:pStyle w:val="132"/>
              <w:kinsoku w:val="0"/>
              <w:overflowPunct w:val="0"/>
              <w:spacing w:before="12"/>
              <w:rPr>
                <w:rFonts w:ascii="黑体" w:hAnsi="黑体" w:eastAsia="黑体"/>
                <w:b/>
                <w:bCs/>
                <w:sz w:val="18"/>
                <w:szCs w:val="18"/>
              </w:rPr>
            </w:pPr>
          </w:p>
          <w:p w14:paraId="4D5916F8">
            <w:pPr>
              <w:pStyle w:val="132"/>
              <w:kinsoku w:val="0"/>
              <w:overflowPunct w:val="0"/>
              <w:ind w:left="105"/>
              <w:rPr>
                <w:rFonts w:ascii="黑体" w:hAnsi="黑体" w:eastAsia="黑体"/>
                <w:b/>
                <w:bCs/>
                <w:sz w:val="18"/>
                <w:szCs w:val="18"/>
              </w:rPr>
            </w:pPr>
            <w:r>
              <w:rPr>
                <w:rFonts w:hint="eastAsia" w:ascii="黑体" w:hAnsi="黑体" w:eastAsia="黑体"/>
                <w:b/>
                <w:bCs/>
                <w:sz w:val="18"/>
                <w:szCs w:val="18"/>
              </w:rPr>
              <w:t>需求物料名称</w:t>
            </w:r>
            <w:r>
              <w:rPr>
                <w:rFonts w:ascii="黑体" w:hAnsi="黑体" w:eastAsia="黑体"/>
                <w:b/>
                <w:bCs/>
                <w:sz w:val="18"/>
                <w:szCs w:val="18"/>
              </w:rPr>
              <w:t xml:space="preserve"> </w:t>
            </w:r>
          </w:p>
        </w:tc>
        <w:tc>
          <w:tcPr>
            <w:tcW w:w="4677" w:type="dxa"/>
            <w:tcBorders>
              <w:top w:val="single" w:color="000000" w:sz="4" w:space="0"/>
              <w:left w:val="single" w:color="000000" w:sz="4" w:space="0"/>
              <w:bottom w:val="single" w:color="000000" w:sz="4" w:space="0"/>
              <w:right w:val="single" w:color="000000" w:sz="4" w:space="0"/>
            </w:tcBorders>
          </w:tcPr>
          <w:p w14:paraId="1ECF4BC6">
            <w:pPr>
              <w:pStyle w:val="132"/>
              <w:kinsoku w:val="0"/>
              <w:overflowPunct w:val="0"/>
              <w:spacing w:line="244" w:lineRule="auto"/>
              <w:ind w:left="106" w:right="92"/>
              <w:rPr>
                <w:rFonts w:ascii="黑体" w:hAnsi="黑体" w:eastAsia="黑体"/>
                <w:sz w:val="18"/>
                <w:szCs w:val="18"/>
              </w:rPr>
            </w:pPr>
            <w:r>
              <w:rPr>
                <w:rFonts w:hint="eastAsia" w:ascii="黑体" w:hAnsi="黑体" w:eastAsia="黑体"/>
                <w:sz w:val="18"/>
                <w:szCs w:val="18"/>
              </w:rPr>
              <w:t>铝合金防静电地板及其配套件（</w:t>
            </w:r>
            <w:r>
              <w:rPr>
                <w:rFonts w:ascii="黑体" w:hAnsi="黑体" w:eastAsia="黑体" w:cs="Calibri"/>
                <w:sz w:val="18"/>
                <w:szCs w:val="18"/>
              </w:rPr>
              <w:t>600*600*44mm</w:t>
            </w:r>
            <w:r>
              <w:rPr>
                <w:rFonts w:hint="eastAsia" w:ascii="黑体" w:hAnsi="黑体" w:eastAsia="黑体"/>
                <w:sz w:val="18"/>
                <w:szCs w:val="18"/>
              </w:rPr>
              <w:t>，其正方度必须控制在</w:t>
            </w:r>
            <w:r>
              <w:rPr>
                <w:rFonts w:ascii="黑体" w:hAnsi="黑体" w:eastAsia="黑体" w:cs="Calibri"/>
                <w:sz w:val="18"/>
                <w:szCs w:val="18"/>
              </w:rPr>
              <w:t xml:space="preserve">0.13mm </w:t>
            </w:r>
            <w:r>
              <w:rPr>
                <w:rFonts w:hint="eastAsia" w:ascii="黑体" w:hAnsi="黑体" w:eastAsia="黑体"/>
                <w:sz w:val="18"/>
                <w:szCs w:val="18"/>
              </w:rPr>
              <w:t>的范围内、水平误差不得大于</w:t>
            </w:r>
            <w:r>
              <w:rPr>
                <w:rFonts w:ascii="黑体" w:hAnsi="黑体" w:eastAsia="黑体" w:cs="Calibri"/>
                <w:sz w:val="18"/>
                <w:szCs w:val="18"/>
              </w:rPr>
              <w:t>0.5mm</w:t>
            </w:r>
            <w:r>
              <w:rPr>
                <w:rFonts w:hint="eastAsia" w:ascii="黑体" w:hAnsi="黑体" w:eastAsia="黑体"/>
                <w:sz w:val="18"/>
                <w:szCs w:val="18"/>
              </w:rPr>
              <w:t>。）</w:t>
            </w:r>
          </w:p>
        </w:tc>
        <w:tc>
          <w:tcPr>
            <w:tcW w:w="1422" w:type="dxa"/>
            <w:tcBorders>
              <w:top w:val="single" w:color="000000" w:sz="4" w:space="0"/>
              <w:left w:val="single" w:color="000000" w:sz="4" w:space="0"/>
              <w:bottom w:val="single" w:color="000000" w:sz="4" w:space="0"/>
              <w:right w:val="single" w:color="000000" w:sz="4" w:space="0"/>
            </w:tcBorders>
          </w:tcPr>
          <w:p w14:paraId="04521E8C">
            <w:pPr>
              <w:pStyle w:val="132"/>
              <w:kinsoku w:val="0"/>
              <w:overflowPunct w:val="0"/>
              <w:spacing w:before="117" w:line="231" w:lineRule="exact"/>
              <w:ind w:right="568"/>
              <w:rPr>
                <w:rFonts w:ascii="黑体" w:hAnsi="黑体" w:eastAsia="黑体"/>
                <w:b/>
                <w:bCs/>
                <w:sz w:val="18"/>
                <w:szCs w:val="18"/>
              </w:rPr>
            </w:pPr>
            <w:r>
              <w:rPr>
                <w:rFonts w:hint="eastAsia" w:ascii="黑体" w:hAnsi="黑体" w:eastAsia="黑体"/>
                <w:b/>
                <w:bCs/>
                <w:sz w:val="18"/>
                <w:szCs w:val="18"/>
              </w:rPr>
              <w:t>□满足</w:t>
            </w:r>
          </w:p>
          <w:p w14:paraId="59E78AF1">
            <w:pPr>
              <w:pStyle w:val="132"/>
              <w:kinsoku w:val="0"/>
              <w:overflowPunct w:val="0"/>
              <w:ind w:right="574"/>
              <w:rPr>
                <w:rFonts w:ascii="黑体" w:hAnsi="黑体" w:eastAsia="黑体"/>
                <w:spacing w:val="-2"/>
                <w:sz w:val="18"/>
                <w:szCs w:val="18"/>
              </w:rPr>
            </w:pPr>
            <w:r>
              <w:rPr>
                <w:rFonts w:hint="eastAsia" w:ascii="黑体" w:hAnsi="黑体" w:eastAsia="黑体"/>
                <w:spacing w:val="-2"/>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3E1D894F">
            <w:pPr>
              <w:pStyle w:val="132"/>
              <w:kinsoku w:val="0"/>
              <w:overflowPunct w:val="0"/>
              <w:rPr>
                <w:rFonts w:ascii="黑体" w:hAnsi="黑体" w:eastAsia="黑体" w:cs="Times New Roman"/>
                <w:sz w:val="18"/>
                <w:szCs w:val="18"/>
              </w:rPr>
            </w:pPr>
          </w:p>
        </w:tc>
      </w:tr>
      <w:tr w14:paraId="3ABEEB40">
        <w:tblPrEx>
          <w:tblCellMar>
            <w:top w:w="0" w:type="dxa"/>
            <w:left w:w="0" w:type="dxa"/>
            <w:bottom w:w="0" w:type="dxa"/>
            <w:right w:w="0" w:type="dxa"/>
          </w:tblCellMar>
        </w:tblPrEx>
        <w:trPr>
          <w:trHeight w:val="460" w:hRule="atLeast"/>
        </w:trPr>
        <w:tc>
          <w:tcPr>
            <w:tcW w:w="725" w:type="dxa"/>
            <w:tcBorders>
              <w:top w:val="single" w:color="000000" w:sz="4" w:space="0"/>
              <w:left w:val="single" w:color="000000" w:sz="4" w:space="0"/>
              <w:bottom w:val="single" w:color="000000" w:sz="4" w:space="0"/>
              <w:right w:val="single" w:color="000000" w:sz="4" w:space="0"/>
            </w:tcBorders>
          </w:tcPr>
          <w:p w14:paraId="7ABF5264">
            <w:pPr>
              <w:pStyle w:val="132"/>
              <w:kinsoku w:val="0"/>
              <w:overflowPunct w:val="0"/>
              <w:spacing w:before="11"/>
              <w:ind w:left="158" w:right="67"/>
              <w:rPr>
                <w:rFonts w:ascii="黑体" w:hAnsi="黑体" w:eastAsia="黑体"/>
                <w:sz w:val="18"/>
                <w:szCs w:val="18"/>
              </w:rPr>
            </w:pPr>
            <w:r>
              <w:rPr>
                <w:rFonts w:ascii="黑体" w:hAnsi="黑体" w:eastAsia="黑体"/>
                <w:sz w:val="18"/>
                <w:szCs w:val="18"/>
              </w:rPr>
              <w:t xml:space="preserve">2 </w:t>
            </w:r>
          </w:p>
        </w:tc>
        <w:tc>
          <w:tcPr>
            <w:tcW w:w="1560" w:type="dxa"/>
            <w:gridSpan w:val="2"/>
            <w:tcBorders>
              <w:top w:val="single" w:color="000000" w:sz="4" w:space="0"/>
              <w:left w:val="single" w:color="000000" w:sz="4" w:space="0"/>
              <w:bottom w:val="single" w:color="000000" w:sz="4" w:space="0"/>
              <w:right w:val="single" w:color="000000" w:sz="4" w:space="0"/>
            </w:tcBorders>
          </w:tcPr>
          <w:p w14:paraId="1C55C96A">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总体要求</w:t>
            </w:r>
            <w:r>
              <w:rPr>
                <w:rFonts w:ascii="黑体" w:hAnsi="黑体" w:eastAsia="黑体"/>
                <w:b/>
                <w:bCs/>
                <w:sz w:val="18"/>
                <w:szCs w:val="18"/>
              </w:rPr>
              <w:t xml:space="preserve"> </w:t>
            </w:r>
          </w:p>
        </w:tc>
        <w:tc>
          <w:tcPr>
            <w:tcW w:w="4677" w:type="dxa"/>
            <w:tcBorders>
              <w:top w:val="single" w:color="000000" w:sz="4" w:space="0"/>
              <w:left w:val="single" w:color="000000" w:sz="4" w:space="0"/>
              <w:bottom w:val="single" w:color="000000" w:sz="4" w:space="0"/>
              <w:right w:val="single" w:color="000000" w:sz="4" w:space="0"/>
            </w:tcBorders>
          </w:tcPr>
          <w:p w14:paraId="5D0C8A93">
            <w:pPr>
              <w:pStyle w:val="132"/>
              <w:kinsoku w:val="0"/>
              <w:overflowPunct w:val="0"/>
              <w:rPr>
                <w:rFonts w:ascii="黑体" w:hAnsi="黑体" w:eastAsia="黑体" w:cs="Times New Roman"/>
                <w:sz w:val="18"/>
                <w:szCs w:val="18"/>
              </w:rPr>
            </w:pPr>
          </w:p>
        </w:tc>
        <w:tc>
          <w:tcPr>
            <w:tcW w:w="1422" w:type="dxa"/>
            <w:tcBorders>
              <w:top w:val="single" w:color="000000" w:sz="4" w:space="0"/>
              <w:left w:val="single" w:color="000000" w:sz="4" w:space="0"/>
              <w:bottom w:val="single" w:color="000000" w:sz="4" w:space="0"/>
              <w:right w:val="single" w:color="000000" w:sz="4" w:space="0"/>
            </w:tcBorders>
          </w:tcPr>
          <w:p w14:paraId="5138CB65">
            <w:pPr>
              <w:pStyle w:val="132"/>
              <w:kinsoku w:val="0"/>
              <w:overflowPunct w:val="0"/>
              <w:rPr>
                <w:rFonts w:ascii="黑体" w:hAnsi="黑体" w:eastAsia="黑体" w:cs="Times New Roman"/>
                <w:sz w:val="18"/>
                <w:szCs w:val="18"/>
              </w:rPr>
            </w:pPr>
          </w:p>
        </w:tc>
        <w:tc>
          <w:tcPr>
            <w:tcW w:w="1119" w:type="dxa"/>
            <w:tcBorders>
              <w:top w:val="single" w:color="000000" w:sz="4" w:space="0"/>
              <w:left w:val="single" w:color="000000" w:sz="4" w:space="0"/>
              <w:bottom w:val="single" w:color="000000" w:sz="4" w:space="0"/>
              <w:right w:val="single" w:color="000000" w:sz="4" w:space="0"/>
            </w:tcBorders>
          </w:tcPr>
          <w:p w14:paraId="4909FC07">
            <w:pPr>
              <w:pStyle w:val="132"/>
              <w:kinsoku w:val="0"/>
              <w:overflowPunct w:val="0"/>
              <w:rPr>
                <w:rFonts w:ascii="黑体" w:hAnsi="黑体" w:eastAsia="黑体" w:cs="Times New Roman"/>
                <w:sz w:val="18"/>
                <w:szCs w:val="18"/>
              </w:rPr>
            </w:pPr>
          </w:p>
        </w:tc>
      </w:tr>
      <w:tr w14:paraId="52241694">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6ABE7921">
            <w:pPr>
              <w:pStyle w:val="132"/>
              <w:kinsoku w:val="0"/>
              <w:overflowPunct w:val="0"/>
              <w:spacing w:before="112"/>
              <w:ind w:left="158" w:right="62"/>
              <w:rPr>
                <w:rFonts w:ascii="黑体" w:hAnsi="黑体" w:eastAsia="黑体"/>
                <w:sz w:val="18"/>
                <w:szCs w:val="18"/>
              </w:rPr>
            </w:pPr>
            <w:r>
              <w:rPr>
                <w:rFonts w:ascii="黑体" w:hAnsi="黑体" w:eastAsia="黑体"/>
                <w:sz w:val="18"/>
                <w:szCs w:val="18"/>
              </w:rPr>
              <w:t xml:space="preserve">2.1 </w:t>
            </w:r>
          </w:p>
        </w:tc>
        <w:tc>
          <w:tcPr>
            <w:tcW w:w="6237" w:type="dxa"/>
            <w:gridSpan w:val="3"/>
            <w:tcBorders>
              <w:top w:val="single" w:color="000000" w:sz="4" w:space="0"/>
              <w:left w:val="single" w:color="000000" w:sz="4" w:space="0"/>
              <w:bottom w:val="single" w:color="000000" w:sz="4" w:space="0"/>
              <w:right w:val="single" w:color="000000" w:sz="4" w:space="0"/>
            </w:tcBorders>
          </w:tcPr>
          <w:p w14:paraId="299F1D5F">
            <w:pPr>
              <w:pStyle w:val="132"/>
              <w:kinsoku w:val="0"/>
              <w:overflowPunct w:val="0"/>
              <w:spacing w:line="244" w:lineRule="auto"/>
              <w:ind w:left="105" w:right="90"/>
              <w:rPr>
                <w:rFonts w:ascii="黑体" w:hAnsi="黑体" w:eastAsia="黑体"/>
                <w:sz w:val="18"/>
                <w:szCs w:val="18"/>
              </w:rPr>
            </w:pPr>
            <w:r>
              <w:rPr>
                <w:rFonts w:hint="eastAsia" w:ascii="黑体" w:hAnsi="黑体" w:eastAsia="黑体"/>
                <w:sz w:val="18"/>
                <w:szCs w:val="18"/>
              </w:rPr>
              <w:t>防静电地板及其配套件的外形和尺寸应符合行业产品的要求，外形和尺寸公差应符合图纸及有关规定，安装结构件应尺寸准确，安全牢固。</w:t>
            </w:r>
          </w:p>
        </w:tc>
        <w:tc>
          <w:tcPr>
            <w:tcW w:w="1422" w:type="dxa"/>
            <w:tcBorders>
              <w:top w:val="single" w:color="000000" w:sz="4" w:space="0"/>
              <w:left w:val="single" w:color="000000" w:sz="4" w:space="0"/>
              <w:bottom w:val="single" w:color="000000" w:sz="4" w:space="0"/>
              <w:right w:val="single" w:color="000000" w:sz="4" w:space="0"/>
            </w:tcBorders>
          </w:tcPr>
          <w:p w14:paraId="7C5CC2F9">
            <w:pPr>
              <w:pStyle w:val="132"/>
              <w:kinsoku w:val="0"/>
              <w:overflowPunct w:val="0"/>
              <w:spacing w:line="228" w:lineRule="exact"/>
              <w:ind w:right="568"/>
              <w:rPr>
                <w:rFonts w:ascii="黑体" w:hAnsi="黑体" w:eastAsia="黑体"/>
                <w:b/>
                <w:bCs/>
                <w:sz w:val="18"/>
                <w:szCs w:val="18"/>
              </w:rPr>
            </w:pPr>
            <w:r>
              <w:rPr>
                <w:rFonts w:hint="eastAsia" w:ascii="黑体" w:hAnsi="黑体" w:eastAsia="黑体"/>
                <w:b/>
                <w:bCs/>
                <w:sz w:val="18"/>
                <w:szCs w:val="18"/>
              </w:rPr>
              <w:t>□满足</w:t>
            </w:r>
          </w:p>
          <w:p w14:paraId="39788CB9">
            <w:pPr>
              <w:pStyle w:val="132"/>
              <w:kinsoku w:val="0"/>
              <w:overflowPunct w:val="0"/>
              <w:spacing w:before="4"/>
              <w:ind w:right="574"/>
              <w:rPr>
                <w:rFonts w:ascii="黑体" w:hAnsi="黑体" w:eastAsia="黑体"/>
                <w:spacing w:val="-2"/>
                <w:sz w:val="18"/>
                <w:szCs w:val="18"/>
              </w:rPr>
            </w:pPr>
            <w:r>
              <w:rPr>
                <w:rFonts w:hint="eastAsia" w:ascii="黑体" w:hAnsi="黑体" w:eastAsia="黑体"/>
                <w:spacing w:val="-2"/>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67C88844">
            <w:pPr>
              <w:pStyle w:val="132"/>
              <w:kinsoku w:val="0"/>
              <w:overflowPunct w:val="0"/>
              <w:rPr>
                <w:rFonts w:ascii="黑体" w:hAnsi="黑体" w:eastAsia="黑体" w:cs="Times New Roman"/>
                <w:sz w:val="18"/>
                <w:szCs w:val="18"/>
              </w:rPr>
            </w:pPr>
          </w:p>
        </w:tc>
      </w:tr>
      <w:tr w14:paraId="521C4DDD">
        <w:tblPrEx>
          <w:tblCellMar>
            <w:top w:w="0" w:type="dxa"/>
            <w:left w:w="0" w:type="dxa"/>
            <w:bottom w:w="0" w:type="dxa"/>
            <w:right w:w="0" w:type="dxa"/>
          </w:tblCellMar>
        </w:tblPrEx>
        <w:trPr>
          <w:trHeight w:val="1368" w:hRule="atLeast"/>
        </w:trPr>
        <w:tc>
          <w:tcPr>
            <w:tcW w:w="725" w:type="dxa"/>
            <w:tcBorders>
              <w:top w:val="single" w:color="000000" w:sz="4" w:space="0"/>
              <w:left w:val="single" w:color="000000" w:sz="4" w:space="0"/>
              <w:bottom w:val="single" w:color="000000" w:sz="4" w:space="0"/>
              <w:right w:val="single" w:color="000000" w:sz="4" w:space="0"/>
            </w:tcBorders>
          </w:tcPr>
          <w:p w14:paraId="61510BF0">
            <w:pPr>
              <w:pStyle w:val="132"/>
              <w:kinsoku w:val="0"/>
              <w:overflowPunct w:val="0"/>
              <w:rPr>
                <w:rFonts w:ascii="黑体" w:hAnsi="黑体" w:eastAsia="黑体"/>
                <w:b/>
                <w:bCs/>
                <w:sz w:val="18"/>
                <w:szCs w:val="18"/>
              </w:rPr>
            </w:pPr>
          </w:p>
          <w:p w14:paraId="55EEAD57">
            <w:pPr>
              <w:pStyle w:val="132"/>
              <w:kinsoku w:val="0"/>
              <w:overflowPunct w:val="0"/>
              <w:spacing w:before="1"/>
              <w:rPr>
                <w:rFonts w:ascii="黑体" w:hAnsi="黑体" w:eastAsia="黑体"/>
                <w:b/>
                <w:bCs/>
                <w:sz w:val="18"/>
                <w:szCs w:val="18"/>
              </w:rPr>
            </w:pPr>
          </w:p>
          <w:p w14:paraId="181D8386">
            <w:pPr>
              <w:pStyle w:val="132"/>
              <w:kinsoku w:val="0"/>
              <w:overflowPunct w:val="0"/>
              <w:ind w:left="158" w:right="62"/>
              <w:rPr>
                <w:rFonts w:ascii="黑体" w:hAnsi="黑体" w:eastAsia="黑体"/>
                <w:sz w:val="18"/>
                <w:szCs w:val="18"/>
              </w:rPr>
            </w:pPr>
            <w:r>
              <w:rPr>
                <w:rFonts w:ascii="黑体" w:hAnsi="黑体" w:eastAsia="黑体"/>
                <w:sz w:val="18"/>
                <w:szCs w:val="18"/>
              </w:rPr>
              <w:t xml:space="preserve">2.2 </w:t>
            </w:r>
          </w:p>
        </w:tc>
        <w:tc>
          <w:tcPr>
            <w:tcW w:w="6237" w:type="dxa"/>
            <w:gridSpan w:val="3"/>
            <w:tcBorders>
              <w:top w:val="single" w:color="000000" w:sz="4" w:space="0"/>
              <w:left w:val="single" w:color="000000" w:sz="4" w:space="0"/>
              <w:bottom w:val="single" w:color="000000" w:sz="4" w:space="0"/>
              <w:right w:val="single" w:color="000000" w:sz="4" w:space="0"/>
            </w:tcBorders>
          </w:tcPr>
          <w:p w14:paraId="144F75D0">
            <w:pPr>
              <w:pStyle w:val="132"/>
              <w:kinsoku w:val="0"/>
              <w:overflowPunct w:val="0"/>
              <w:spacing w:line="217" w:lineRule="exact"/>
              <w:ind w:left="105"/>
              <w:rPr>
                <w:rFonts w:ascii="黑体" w:hAnsi="黑体" w:eastAsia="黑体"/>
                <w:sz w:val="18"/>
                <w:szCs w:val="18"/>
              </w:rPr>
            </w:pPr>
            <w:r>
              <w:rPr>
                <w:rFonts w:hint="eastAsia" w:ascii="黑体" w:hAnsi="黑体" w:eastAsia="黑体"/>
                <w:sz w:val="18"/>
                <w:szCs w:val="18"/>
              </w:rPr>
              <w:t>防静电地板产品应符合</w:t>
            </w:r>
            <w:r>
              <w:rPr>
                <w:rFonts w:ascii="黑体" w:hAnsi="黑体" w:eastAsia="黑体" w:cs="Calibri"/>
                <w:sz w:val="18"/>
                <w:szCs w:val="18"/>
              </w:rPr>
              <w:t>GBT 36340-2018</w:t>
            </w:r>
            <w:r>
              <w:rPr>
                <w:rFonts w:hint="eastAsia" w:ascii="黑体" w:hAnsi="黑体" w:eastAsia="黑体"/>
                <w:sz w:val="18"/>
                <w:szCs w:val="18"/>
              </w:rPr>
              <w:t>《防静电活动地板通用规范》，</w:t>
            </w:r>
            <w:r>
              <w:rPr>
                <w:rFonts w:ascii="黑体" w:hAnsi="黑体" w:eastAsia="黑体"/>
                <w:sz w:val="18"/>
                <w:szCs w:val="18"/>
              </w:rPr>
              <w:t xml:space="preserve"> </w:t>
            </w:r>
            <w:r>
              <w:rPr>
                <w:rFonts w:ascii="黑体" w:hAnsi="黑体" w:eastAsia="黑体" w:cs="Calibri"/>
                <w:sz w:val="18"/>
                <w:szCs w:val="18"/>
              </w:rPr>
              <w:t>GB-</w:t>
            </w:r>
          </w:p>
          <w:p w14:paraId="3352FF77">
            <w:pPr>
              <w:pStyle w:val="132"/>
              <w:kinsoku w:val="0"/>
              <w:overflowPunct w:val="0"/>
              <w:spacing w:before="2" w:line="242" w:lineRule="auto"/>
              <w:ind w:left="105" w:right="93"/>
              <w:rPr>
                <w:rFonts w:ascii="黑体" w:hAnsi="黑体" w:eastAsia="黑体"/>
                <w:sz w:val="18"/>
                <w:szCs w:val="18"/>
              </w:rPr>
            </w:pPr>
            <w:r>
              <w:rPr>
                <w:rFonts w:ascii="黑体" w:hAnsi="黑体" w:eastAsia="黑体" w:cs="Calibri"/>
                <w:sz w:val="18"/>
                <w:szCs w:val="18"/>
              </w:rPr>
              <w:t>T 7911-2013</w:t>
            </w:r>
            <w:r>
              <w:rPr>
                <w:rFonts w:hint="eastAsia" w:ascii="黑体" w:hAnsi="黑体" w:eastAsia="黑体"/>
                <w:sz w:val="18"/>
                <w:szCs w:val="18"/>
              </w:rPr>
              <w:t>《防静电贴面板通用规范》，</w:t>
            </w:r>
            <w:r>
              <w:rPr>
                <w:rFonts w:ascii="黑体" w:hAnsi="黑体" w:eastAsia="黑体" w:cs="Calibri"/>
                <w:sz w:val="18"/>
                <w:szCs w:val="18"/>
              </w:rPr>
              <w:t>SJ/T 11159-1998</w:t>
            </w:r>
            <w:r>
              <w:rPr>
                <w:rFonts w:hint="eastAsia" w:ascii="黑体" w:hAnsi="黑体" w:eastAsia="黑体"/>
                <w:sz w:val="18"/>
                <w:szCs w:val="18"/>
              </w:rPr>
              <w:t>《地板覆盖层和装配地板静电性能的试验方法》，</w:t>
            </w:r>
            <w:r>
              <w:rPr>
                <w:rFonts w:ascii="黑体" w:hAnsi="黑体" w:eastAsia="黑体"/>
                <w:sz w:val="18"/>
                <w:szCs w:val="18"/>
              </w:rPr>
              <w:t xml:space="preserve"> </w:t>
            </w:r>
            <w:r>
              <w:rPr>
                <w:rFonts w:ascii="黑体" w:hAnsi="黑体" w:eastAsia="黑体" w:cs="Calibri"/>
                <w:sz w:val="18"/>
                <w:szCs w:val="18"/>
              </w:rPr>
              <w:t>GB 8624-2012</w:t>
            </w:r>
            <w:r>
              <w:rPr>
                <w:rFonts w:hint="eastAsia" w:ascii="黑体" w:hAnsi="黑体" w:eastAsia="黑体"/>
                <w:sz w:val="18"/>
                <w:szCs w:val="18"/>
              </w:rPr>
              <w:t>《建筑材料及制品燃烧性能分级》，</w:t>
            </w:r>
            <w:r>
              <w:rPr>
                <w:rFonts w:ascii="黑体" w:hAnsi="黑体" w:eastAsia="黑体"/>
                <w:sz w:val="18"/>
                <w:szCs w:val="18"/>
              </w:rPr>
              <w:t xml:space="preserve">  </w:t>
            </w:r>
            <w:r>
              <w:rPr>
                <w:rFonts w:ascii="黑体" w:hAnsi="黑体" w:eastAsia="黑体" w:cs="Calibri"/>
                <w:sz w:val="18"/>
                <w:szCs w:val="18"/>
              </w:rPr>
              <w:t>GB  50325-2014</w:t>
            </w:r>
            <w:r>
              <w:rPr>
                <w:rFonts w:hint="eastAsia" w:ascii="黑体" w:hAnsi="黑体" w:eastAsia="黑体"/>
                <w:sz w:val="18"/>
                <w:szCs w:val="18"/>
              </w:rPr>
              <w:t>《中国民用建筑工程室内环境污染控制规范》等标准的规定。</w:t>
            </w:r>
          </w:p>
        </w:tc>
        <w:tc>
          <w:tcPr>
            <w:tcW w:w="1422" w:type="dxa"/>
            <w:tcBorders>
              <w:top w:val="single" w:color="000000" w:sz="4" w:space="0"/>
              <w:left w:val="single" w:color="000000" w:sz="4" w:space="0"/>
              <w:bottom w:val="single" w:color="000000" w:sz="4" w:space="0"/>
              <w:right w:val="single" w:color="000000" w:sz="4" w:space="0"/>
            </w:tcBorders>
          </w:tcPr>
          <w:p w14:paraId="5CBEBED3">
            <w:pPr>
              <w:pStyle w:val="132"/>
              <w:kinsoku w:val="0"/>
              <w:overflowPunct w:val="0"/>
              <w:rPr>
                <w:rFonts w:ascii="黑体" w:hAnsi="黑体" w:eastAsia="黑体"/>
                <w:b/>
                <w:bCs/>
                <w:sz w:val="18"/>
                <w:szCs w:val="18"/>
              </w:rPr>
            </w:pPr>
          </w:p>
          <w:p w14:paraId="17F452CD">
            <w:pPr>
              <w:pStyle w:val="132"/>
              <w:kinsoku w:val="0"/>
              <w:overflowPunct w:val="0"/>
              <w:spacing w:before="117"/>
              <w:ind w:right="568"/>
              <w:rPr>
                <w:rFonts w:ascii="黑体" w:hAnsi="黑体" w:eastAsia="黑体"/>
                <w:b/>
                <w:bCs/>
                <w:sz w:val="18"/>
                <w:szCs w:val="18"/>
              </w:rPr>
            </w:pPr>
            <w:r>
              <w:rPr>
                <w:rFonts w:hint="eastAsia" w:ascii="黑体" w:hAnsi="黑体" w:eastAsia="黑体"/>
                <w:b/>
                <w:bCs/>
                <w:sz w:val="18"/>
                <w:szCs w:val="18"/>
              </w:rPr>
              <w:t>□满足</w:t>
            </w:r>
          </w:p>
          <w:p w14:paraId="59BC6B2A">
            <w:pPr>
              <w:pStyle w:val="132"/>
              <w:kinsoku w:val="0"/>
              <w:overflowPunct w:val="0"/>
              <w:ind w:right="574"/>
              <w:rPr>
                <w:rFonts w:ascii="黑体" w:hAnsi="黑体" w:eastAsia="黑体"/>
                <w:spacing w:val="-2"/>
                <w:sz w:val="18"/>
                <w:szCs w:val="18"/>
              </w:rPr>
            </w:pPr>
            <w:r>
              <w:rPr>
                <w:rFonts w:hint="eastAsia" w:ascii="黑体" w:hAnsi="黑体" w:eastAsia="黑体"/>
                <w:spacing w:val="-2"/>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67FCEB03">
            <w:pPr>
              <w:pStyle w:val="132"/>
              <w:kinsoku w:val="0"/>
              <w:overflowPunct w:val="0"/>
              <w:rPr>
                <w:rFonts w:ascii="黑体" w:hAnsi="黑体" w:eastAsia="黑体" w:cs="Times New Roman"/>
                <w:sz w:val="18"/>
                <w:szCs w:val="18"/>
              </w:rPr>
            </w:pPr>
          </w:p>
        </w:tc>
      </w:tr>
      <w:tr w14:paraId="6D801373">
        <w:tblPrEx>
          <w:tblCellMar>
            <w:top w:w="0" w:type="dxa"/>
            <w:left w:w="0" w:type="dxa"/>
            <w:bottom w:w="0" w:type="dxa"/>
            <w:right w:w="0" w:type="dxa"/>
          </w:tblCellMar>
        </w:tblPrEx>
        <w:trPr>
          <w:trHeight w:val="1132" w:hRule="atLeast"/>
        </w:trPr>
        <w:tc>
          <w:tcPr>
            <w:tcW w:w="725" w:type="dxa"/>
            <w:tcBorders>
              <w:top w:val="single" w:color="000000" w:sz="4" w:space="0"/>
              <w:left w:val="single" w:color="000000" w:sz="4" w:space="0"/>
              <w:bottom w:val="single" w:color="000000" w:sz="4" w:space="0"/>
              <w:right w:val="single" w:color="000000" w:sz="4" w:space="0"/>
            </w:tcBorders>
          </w:tcPr>
          <w:p w14:paraId="68DF0E2A">
            <w:pPr>
              <w:pStyle w:val="132"/>
              <w:kinsoku w:val="0"/>
              <w:overflowPunct w:val="0"/>
              <w:rPr>
                <w:rFonts w:ascii="黑体" w:hAnsi="黑体" w:eastAsia="黑体"/>
                <w:b/>
                <w:bCs/>
                <w:sz w:val="18"/>
                <w:szCs w:val="18"/>
              </w:rPr>
            </w:pPr>
          </w:p>
          <w:p w14:paraId="26162EE9">
            <w:pPr>
              <w:pStyle w:val="132"/>
              <w:kinsoku w:val="0"/>
              <w:overflowPunct w:val="0"/>
              <w:spacing w:before="117"/>
              <w:ind w:left="158" w:right="62"/>
              <w:rPr>
                <w:rFonts w:ascii="黑体" w:hAnsi="黑体" w:eastAsia="黑体"/>
                <w:sz w:val="18"/>
                <w:szCs w:val="18"/>
              </w:rPr>
            </w:pPr>
            <w:r>
              <w:rPr>
                <w:rFonts w:ascii="黑体" w:hAnsi="黑体" w:eastAsia="黑体"/>
                <w:sz w:val="18"/>
                <w:szCs w:val="18"/>
              </w:rPr>
              <w:t xml:space="preserve">2.3 </w:t>
            </w:r>
          </w:p>
        </w:tc>
        <w:tc>
          <w:tcPr>
            <w:tcW w:w="6237" w:type="dxa"/>
            <w:gridSpan w:val="3"/>
            <w:tcBorders>
              <w:top w:val="single" w:color="000000" w:sz="4" w:space="0"/>
              <w:left w:val="single" w:color="000000" w:sz="4" w:space="0"/>
              <w:bottom w:val="single" w:color="000000" w:sz="4" w:space="0"/>
              <w:right w:val="single" w:color="000000" w:sz="4" w:space="0"/>
            </w:tcBorders>
          </w:tcPr>
          <w:p w14:paraId="37F6D44A">
            <w:pPr>
              <w:pStyle w:val="132"/>
              <w:kinsoku w:val="0"/>
              <w:overflowPunct w:val="0"/>
              <w:spacing w:line="242" w:lineRule="auto"/>
              <w:ind w:left="105" w:right="93"/>
              <w:rPr>
                <w:rFonts w:ascii="黑体" w:hAnsi="黑体" w:eastAsia="黑体"/>
                <w:spacing w:val="-4"/>
                <w:sz w:val="18"/>
                <w:szCs w:val="18"/>
              </w:rPr>
            </w:pPr>
            <w:r>
              <w:rPr>
                <w:rFonts w:hint="eastAsia" w:ascii="黑体" w:hAnsi="黑体" w:eastAsia="黑体"/>
                <w:spacing w:val="11"/>
                <w:sz w:val="18"/>
                <w:szCs w:val="18"/>
              </w:rPr>
              <w:t>防静电地板应符合</w:t>
            </w:r>
            <w:r>
              <w:rPr>
                <w:rFonts w:ascii="黑体" w:hAnsi="黑体" w:eastAsia="黑体"/>
                <w:spacing w:val="11"/>
                <w:sz w:val="18"/>
                <w:szCs w:val="18"/>
              </w:rPr>
              <w:t xml:space="preserve"> </w:t>
            </w:r>
            <w:r>
              <w:rPr>
                <w:rFonts w:ascii="黑体" w:hAnsi="黑体" w:eastAsia="黑体" w:cs="Calibri"/>
                <w:spacing w:val="-3"/>
                <w:sz w:val="18"/>
                <w:szCs w:val="18"/>
              </w:rPr>
              <w:t xml:space="preserve">GB </w:t>
            </w:r>
            <w:r>
              <w:rPr>
                <w:rFonts w:ascii="黑体" w:hAnsi="黑体" w:eastAsia="黑体" w:cs="Calibri"/>
                <w:sz w:val="18"/>
                <w:szCs w:val="18"/>
              </w:rPr>
              <w:t>6650-86</w:t>
            </w:r>
            <w:r>
              <w:rPr>
                <w:rFonts w:hint="eastAsia" w:ascii="黑体" w:hAnsi="黑体" w:eastAsia="黑体"/>
                <w:spacing w:val="4"/>
                <w:sz w:val="18"/>
                <w:szCs w:val="18"/>
              </w:rPr>
              <w:t>《计算机机房用活动地板技术条件》，</w:t>
            </w:r>
            <w:r>
              <w:rPr>
                <w:rFonts w:ascii="黑体" w:hAnsi="黑体" w:eastAsia="黑体" w:cs="Calibri"/>
                <w:sz w:val="18"/>
                <w:szCs w:val="18"/>
              </w:rPr>
              <w:t>SJT 31469-2002</w:t>
            </w:r>
            <w:r>
              <w:rPr>
                <w:rFonts w:hint="eastAsia" w:ascii="黑体" w:hAnsi="黑体" w:eastAsia="黑体"/>
                <w:spacing w:val="-6"/>
                <w:sz w:val="18"/>
                <w:szCs w:val="18"/>
              </w:rPr>
              <w:t>《防静电地板施工及验收规范》，</w:t>
            </w:r>
            <w:r>
              <w:rPr>
                <w:rFonts w:ascii="黑体" w:hAnsi="黑体" w:eastAsia="黑体"/>
                <w:spacing w:val="-6"/>
                <w:sz w:val="18"/>
                <w:szCs w:val="18"/>
              </w:rPr>
              <w:t xml:space="preserve"> </w:t>
            </w:r>
            <w:r>
              <w:rPr>
                <w:rFonts w:ascii="黑体" w:hAnsi="黑体" w:eastAsia="黑体" w:cs="Calibri"/>
                <w:spacing w:val="-3"/>
                <w:sz w:val="18"/>
                <w:szCs w:val="18"/>
              </w:rPr>
              <w:t>GB 50174-2017</w:t>
            </w:r>
            <w:r>
              <w:rPr>
                <w:rFonts w:hint="eastAsia" w:ascii="黑体" w:hAnsi="黑体" w:eastAsia="黑体"/>
                <w:spacing w:val="-4"/>
                <w:sz w:val="18"/>
                <w:szCs w:val="18"/>
              </w:rPr>
              <w:t>《电子信息系统</w:t>
            </w:r>
            <w:r>
              <w:rPr>
                <w:rFonts w:hint="eastAsia" w:ascii="黑体" w:hAnsi="黑体" w:eastAsia="黑体"/>
                <w:spacing w:val="1"/>
                <w:sz w:val="18"/>
                <w:szCs w:val="18"/>
              </w:rPr>
              <w:t>机房设计规范》，</w:t>
            </w:r>
            <w:r>
              <w:rPr>
                <w:rFonts w:ascii="黑体" w:hAnsi="黑体" w:eastAsia="黑体"/>
                <w:spacing w:val="1"/>
                <w:sz w:val="18"/>
                <w:szCs w:val="18"/>
              </w:rPr>
              <w:t xml:space="preserve"> </w:t>
            </w:r>
            <w:r>
              <w:rPr>
                <w:rFonts w:ascii="黑体" w:hAnsi="黑体" w:eastAsia="黑体" w:cs="Calibri"/>
                <w:spacing w:val="-3"/>
                <w:sz w:val="18"/>
                <w:szCs w:val="18"/>
              </w:rPr>
              <w:t>GB50222-2017</w:t>
            </w:r>
            <w:r>
              <w:rPr>
                <w:rFonts w:hint="eastAsia" w:ascii="黑体" w:hAnsi="黑体" w:eastAsia="黑体"/>
                <w:spacing w:val="-5"/>
                <w:sz w:val="18"/>
                <w:szCs w:val="18"/>
              </w:rPr>
              <w:t>《建筑内部装修设计防火规范》等设计施工</w:t>
            </w:r>
            <w:r>
              <w:rPr>
                <w:rFonts w:hint="eastAsia" w:ascii="黑体" w:hAnsi="黑体" w:eastAsia="黑体"/>
                <w:spacing w:val="-4"/>
                <w:sz w:val="18"/>
                <w:szCs w:val="18"/>
              </w:rPr>
              <w:t>标准的要求。</w:t>
            </w:r>
          </w:p>
        </w:tc>
        <w:tc>
          <w:tcPr>
            <w:tcW w:w="1422" w:type="dxa"/>
            <w:tcBorders>
              <w:top w:val="single" w:color="000000" w:sz="4" w:space="0"/>
              <w:left w:val="single" w:color="000000" w:sz="4" w:space="0"/>
              <w:bottom w:val="single" w:color="000000" w:sz="4" w:space="0"/>
              <w:right w:val="single" w:color="000000" w:sz="4" w:space="0"/>
            </w:tcBorders>
          </w:tcPr>
          <w:p w14:paraId="7BE22D99">
            <w:pPr>
              <w:pStyle w:val="132"/>
              <w:kinsoku w:val="0"/>
              <w:overflowPunct w:val="0"/>
              <w:spacing w:before="9"/>
              <w:rPr>
                <w:rFonts w:ascii="黑体" w:hAnsi="黑体" w:eastAsia="黑体"/>
                <w:b/>
                <w:bCs/>
                <w:sz w:val="18"/>
                <w:szCs w:val="18"/>
              </w:rPr>
            </w:pPr>
          </w:p>
          <w:p w14:paraId="2B7788E5">
            <w:pPr>
              <w:pStyle w:val="132"/>
              <w:kinsoku w:val="0"/>
              <w:overflowPunct w:val="0"/>
              <w:spacing w:before="1"/>
              <w:ind w:right="568"/>
              <w:rPr>
                <w:rFonts w:ascii="黑体" w:hAnsi="黑体" w:eastAsia="黑体"/>
                <w:b/>
                <w:bCs/>
                <w:sz w:val="18"/>
                <w:szCs w:val="18"/>
              </w:rPr>
            </w:pPr>
            <w:r>
              <w:rPr>
                <w:rFonts w:hint="eastAsia" w:ascii="黑体" w:hAnsi="黑体" w:eastAsia="黑体"/>
                <w:b/>
                <w:bCs/>
                <w:sz w:val="18"/>
                <w:szCs w:val="18"/>
              </w:rPr>
              <w:t>□满足</w:t>
            </w:r>
          </w:p>
          <w:p w14:paraId="68C43187">
            <w:pPr>
              <w:pStyle w:val="132"/>
              <w:kinsoku w:val="0"/>
              <w:overflowPunct w:val="0"/>
              <w:spacing w:before="4"/>
              <w:ind w:right="574"/>
              <w:rPr>
                <w:rFonts w:ascii="黑体" w:hAnsi="黑体" w:eastAsia="黑体"/>
                <w:spacing w:val="-2"/>
                <w:sz w:val="18"/>
                <w:szCs w:val="18"/>
              </w:rPr>
            </w:pPr>
            <w:r>
              <w:rPr>
                <w:rFonts w:hint="eastAsia" w:ascii="黑体" w:hAnsi="黑体" w:eastAsia="黑体"/>
                <w:spacing w:val="-2"/>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3A98EA25">
            <w:pPr>
              <w:pStyle w:val="132"/>
              <w:kinsoku w:val="0"/>
              <w:overflowPunct w:val="0"/>
              <w:rPr>
                <w:rFonts w:ascii="黑体" w:hAnsi="黑体" w:eastAsia="黑体" w:cs="Times New Roman"/>
                <w:sz w:val="18"/>
                <w:szCs w:val="18"/>
              </w:rPr>
            </w:pPr>
          </w:p>
        </w:tc>
      </w:tr>
      <w:tr w14:paraId="08D9B6A9">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45342FA3">
            <w:pPr>
              <w:pStyle w:val="132"/>
              <w:kinsoku w:val="0"/>
              <w:overflowPunct w:val="0"/>
              <w:spacing w:before="112"/>
              <w:ind w:left="158" w:right="62"/>
              <w:rPr>
                <w:rFonts w:ascii="黑体" w:hAnsi="黑体" w:eastAsia="黑体"/>
                <w:sz w:val="18"/>
                <w:szCs w:val="18"/>
              </w:rPr>
            </w:pPr>
            <w:r>
              <w:rPr>
                <w:rFonts w:ascii="黑体" w:hAnsi="黑体" w:eastAsia="黑体"/>
                <w:sz w:val="18"/>
                <w:szCs w:val="18"/>
              </w:rPr>
              <w:t xml:space="preserve">2.4 </w:t>
            </w:r>
          </w:p>
        </w:tc>
        <w:tc>
          <w:tcPr>
            <w:tcW w:w="6237" w:type="dxa"/>
            <w:gridSpan w:val="3"/>
            <w:tcBorders>
              <w:top w:val="single" w:color="000000" w:sz="4" w:space="0"/>
              <w:left w:val="single" w:color="000000" w:sz="4" w:space="0"/>
              <w:bottom w:val="single" w:color="000000" w:sz="4" w:space="0"/>
              <w:right w:val="single" w:color="000000" w:sz="4" w:space="0"/>
            </w:tcBorders>
          </w:tcPr>
          <w:p w14:paraId="6A714EE2">
            <w:pPr>
              <w:pStyle w:val="132"/>
              <w:kinsoku w:val="0"/>
              <w:overflowPunct w:val="0"/>
              <w:spacing w:line="244" w:lineRule="auto"/>
              <w:ind w:left="105" w:right="90"/>
              <w:rPr>
                <w:rFonts w:ascii="黑体" w:hAnsi="黑体" w:eastAsia="黑体"/>
                <w:sz w:val="18"/>
                <w:szCs w:val="18"/>
              </w:rPr>
            </w:pPr>
            <w:r>
              <w:rPr>
                <w:rFonts w:hint="eastAsia" w:ascii="黑体" w:hAnsi="黑体" w:eastAsia="黑体"/>
                <w:sz w:val="18"/>
                <w:szCs w:val="18"/>
              </w:rPr>
              <w:t>防静电地板产品必须通过国家信息产业部防静电产品质量监督监测中心的检测，并可提供第三方机构盖章的检测报告证明文件。</w:t>
            </w:r>
          </w:p>
        </w:tc>
        <w:tc>
          <w:tcPr>
            <w:tcW w:w="1422" w:type="dxa"/>
            <w:tcBorders>
              <w:top w:val="single" w:color="000000" w:sz="4" w:space="0"/>
              <w:left w:val="single" w:color="000000" w:sz="4" w:space="0"/>
              <w:bottom w:val="single" w:color="000000" w:sz="4" w:space="0"/>
              <w:right w:val="single" w:color="000000" w:sz="4" w:space="0"/>
            </w:tcBorders>
          </w:tcPr>
          <w:p w14:paraId="7664340A">
            <w:pPr>
              <w:pStyle w:val="132"/>
              <w:kinsoku w:val="0"/>
              <w:overflowPunct w:val="0"/>
              <w:spacing w:line="228" w:lineRule="exact"/>
              <w:ind w:right="568"/>
              <w:rPr>
                <w:rFonts w:ascii="黑体" w:hAnsi="黑体" w:eastAsia="黑体"/>
                <w:b/>
                <w:bCs/>
                <w:sz w:val="18"/>
                <w:szCs w:val="18"/>
              </w:rPr>
            </w:pPr>
            <w:r>
              <w:rPr>
                <w:rFonts w:hint="eastAsia" w:ascii="黑体" w:hAnsi="黑体" w:eastAsia="黑体"/>
                <w:b/>
                <w:bCs/>
                <w:sz w:val="18"/>
                <w:szCs w:val="18"/>
              </w:rPr>
              <w:t>□满足</w:t>
            </w:r>
          </w:p>
          <w:p w14:paraId="42D500FF">
            <w:pPr>
              <w:pStyle w:val="132"/>
              <w:kinsoku w:val="0"/>
              <w:overflowPunct w:val="0"/>
              <w:spacing w:before="4"/>
              <w:ind w:right="574"/>
              <w:rPr>
                <w:rFonts w:ascii="黑体" w:hAnsi="黑体" w:eastAsia="黑体"/>
                <w:spacing w:val="-2"/>
                <w:sz w:val="18"/>
                <w:szCs w:val="18"/>
              </w:rPr>
            </w:pPr>
            <w:r>
              <w:rPr>
                <w:rFonts w:hint="eastAsia" w:ascii="黑体" w:hAnsi="黑体" w:eastAsia="黑体"/>
                <w:spacing w:val="-2"/>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4FDA2756">
            <w:pPr>
              <w:pStyle w:val="132"/>
              <w:kinsoku w:val="0"/>
              <w:overflowPunct w:val="0"/>
              <w:rPr>
                <w:rFonts w:ascii="黑体" w:hAnsi="黑体" w:eastAsia="黑体" w:cs="Times New Roman"/>
                <w:sz w:val="18"/>
                <w:szCs w:val="18"/>
              </w:rPr>
            </w:pPr>
          </w:p>
        </w:tc>
      </w:tr>
      <w:tr w14:paraId="6AD4DC86">
        <w:tblPrEx>
          <w:tblCellMar>
            <w:top w:w="0" w:type="dxa"/>
            <w:left w:w="0" w:type="dxa"/>
            <w:bottom w:w="0" w:type="dxa"/>
            <w:right w:w="0" w:type="dxa"/>
          </w:tblCellMar>
        </w:tblPrEx>
        <w:trPr>
          <w:trHeight w:val="700" w:hRule="atLeast"/>
        </w:trPr>
        <w:tc>
          <w:tcPr>
            <w:tcW w:w="725" w:type="dxa"/>
            <w:tcBorders>
              <w:top w:val="single" w:color="000000" w:sz="4" w:space="0"/>
              <w:left w:val="single" w:color="000000" w:sz="4" w:space="0"/>
              <w:bottom w:val="single" w:color="000000" w:sz="4" w:space="0"/>
              <w:right w:val="single" w:color="000000" w:sz="4" w:space="0"/>
            </w:tcBorders>
          </w:tcPr>
          <w:p w14:paraId="566FC36A">
            <w:pPr>
              <w:pStyle w:val="132"/>
              <w:kinsoku w:val="0"/>
              <w:overflowPunct w:val="0"/>
              <w:spacing w:before="131"/>
              <w:ind w:left="158" w:right="62"/>
              <w:rPr>
                <w:rFonts w:ascii="黑体" w:hAnsi="黑体" w:eastAsia="黑体"/>
                <w:sz w:val="18"/>
                <w:szCs w:val="18"/>
              </w:rPr>
            </w:pPr>
            <w:r>
              <w:rPr>
                <w:rFonts w:ascii="黑体" w:hAnsi="黑体" w:eastAsia="黑体"/>
                <w:sz w:val="18"/>
                <w:szCs w:val="18"/>
              </w:rPr>
              <w:t xml:space="preserve">2.5 </w:t>
            </w:r>
          </w:p>
        </w:tc>
        <w:tc>
          <w:tcPr>
            <w:tcW w:w="6237" w:type="dxa"/>
            <w:gridSpan w:val="3"/>
            <w:tcBorders>
              <w:top w:val="single" w:color="000000" w:sz="4" w:space="0"/>
              <w:left w:val="single" w:color="000000" w:sz="4" w:space="0"/>
              <w:bottom w:val="single" w:color="000000" w:sz="4" w:space="0"/>
              <w:right w:val="single" w:color="000000" w:sz="4" w:space="0"/>
            </w:tcBorders>
          </w:tcPr>
          <w:p w14:paraId="5FDF046E">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防静电地板应组装精细，接缝整齐严密，粘接牢固，无破损，不开胶，不起</w:t>
            </w:r>
          </w:p>
          <w:p w14:paraId="69BE0526">
            <w:pPr>
              <w:pStyle w:val="132"/>
              <w:kinsoku w:val="0"/>
              <w:overflowPunct w:val="0"/>
              <w:spacing w:line="230" w:lineRule="exact"/>
              <w:ind w:left="105" w:right="90"/>
              <w:rPr>
                <w:rFonts w:ascii="黑体" w:hAnsi="黑体" w:eastAsia="黑体"/>
                <w:sz w:val="18"/>
                <w:szCs w:val="18"/>
              </w:rPr>
            </w:pPr>
            <w:r>
              <w:rPr>
                <w:rFonts w:hint="eastAsia" w:ascii="黑体" w:hAnsi="黑体" w:eastAsia="黑体"/>
                <w:sz w:val="18"/>
                <w:szCs w:val="18"/>
              </w:rPr>
              <w:t>皮，色差小，板面覆盖层应柔光、耐污、不打滑、无明显的可见色差、起泡及疵点。</w:t>
            </w:r>
            <w:r>
              <w:rPr>
                <w:rFonts w:ascii="黑体" w:hAnsi="黑体" w:eastAsia="黑体"/>
                <w:sz w:val="18"/>
                <w:szCs w:val="18"/>
              </w:rPr>
              <w:t xml:space="preserve"> </w:t>
            </w:r>
          </w:p>
        </w:tc>
        <w:tc>
          <w:tcPr>
            <w:tcW w:w="1422" w:type="dxa"/>
            <w:tcBorders>
              <w:top w:val="single" w:color="000000" w:sz="4" w:space="0"/>
              <w:left w:val="single" w:color="000000" w:sz="4" w:space="0"/>
              <w:bottom w:val="single" w:color="000000" w:sz="4" w:space="0"/>
              <w:right w:val="single" w:color="000000" w:sz="4" w:space="0"/>
            </w:tcBorders>
          </w:tcPr>
          <w:p w14:paraId="6AB22840">
            <w:pPr>
              <w:pStyle w:val="132"/>
              <w:kinsoku w:val="0"/>
              <w:overflowPunct w:val="0"/>
              <w:spacing w:before="16" w:line="231" w:lineRule="exact"/>
              <w:ind w:right="568"/>
              <w:rPr>
                <w:rFonts w:ascii="黑体" w:hAnsi="黑体" w:eastAsia="黑体"/>
                <w:b/>
                <w:bCs/>
                <w:sz w:val="18"/>
                <w:szCs w:val="18"/>
              </w:rPr>
            </w:pPr>
            <w:r>
              <w:rPr>
                <w:rFonts w:hint="eastAsia" w:ascii="黑体" w:hAnsi="黑体" w:eastAsia="黑体"/>
                <w:b/>
                <w:bCs/>
                <w:sz w:val="18"/>
                <w:szCs w:val="18"/>
              </w:rPr>
              <w:t>□满足</w:t>
            </w:r>
          </w:p>
          <w:p w14:paraId="7763D3C2">
            <w:pPr>
              <w:pStyle w:val="132"/>
              <w:kinsoku w:val="0"/>
              <w:overflowPunct w:val="0"/>
              <w:ind w:right="574"/>
              <w:rPr>
                <w:rFonts w:ascii="黑体" w:hAnsi="黑体" w:eastAsia="黑体"/>
                <w:spacing w:val="-2"/>
                <w:sz w:val="18"/>
                <w:szCs w:val="18"/>
              </w:rPr>
            </w:pPr>
            <w:r>
              <w:rPr>
                <w:rFonts w:hint="eastAsia" w:ascii="黑体" w:hAnsi="黑体" w:eastAsia="黑体"/>
                <w:spacing w:val="-2"/>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3253390B">
            <w:pPr>
              <w:pStyle w:val="132"/>
              <w:kinsoku w:val="0"/>
              <w:overflowPunct w:val="0"/>
              <w:rPr>
                <w:rFonts w:ascii="黑体" w:hAnsi="黑体" w:eastAsia="黑体" w:cs="Times New Roman"/>
                <w:sz w:val="18"/>
                <w:szCs w:val="18"/>
              </w:rPr>
            </w:pPr>
          </w:p>
        </w:tc>
      </w:tr>
      <w:tr w14:paraId="043BF10C">
        <w:tblPrEx>
          <w:tblCellMar>
            <w:top w:w="0" w:type="dxa"/>
            <w:left w:w="0" w:type="dxa"/>
            <w:bottom w:w="0" w:type="dxa"/>
            <w:right w:w="0" w:type="dxa"/>
          </w:tblCellMar>
        </w:tblPrEx>
        <w:trPr>
          <w:trHeight w:val="902" w:hRule="atLeast"/>
        </w:trPr>
        <w:tc>
          <w:tcPr>
            <w:tcW w:w="725" w:type="dxa"/>
            <w:tcBorders>
              <w:top w:val="single" w:color="000000" w:sz="4" w:space="0"/>
              <w:left w:val="single" w:color="000000" w:sz="4" w:space="0"/>
              <w:bottom w:val="single" w:color="000000" w:sz="4" w:space="0"/>
              <w:right w:val="single" w:color="000000" w:sz="4" w:space="0"/>
            </w:tcBorders>
          </w:tcPr>
          <w:p w14:paraId="16A5185E">
            <w:pPr>
              <w:pStyle w:val="132"/>
              <w:kinsoku w:val="0"/>
              <w:overflowPunct w:val="0"/>
              <w:spacing w:before="2"/>
              <w:rPr>
                <w:rFonts w:ascii="黑体" w:hAnsi="黑体" w:eastAsia="黑体"/>
                <w:b/>
                <w:bCs/>
                <w:sz w:val="18"/>
                <w:szCs w:val="18"/>
              </w:rPr>
            </w:pPr>
          </w:p>
          <w:p w14:paraId="66D98479">
            <w:pPr>
              <w:pStyle w:val="132"/>
              <w:kinsoku w:val="0"/>
              <w:overflowPunct w:val="0"/>
              <w:ind w:left="158" w:right="62"/>
              <w:rPr>
                <w:rFonts w:ascii="黑体" w:hAnsi="黑体" w:eastAsia="黑体"/>
                <w:sz w:val="18"/>
                <w:szCs w:val="18"/>
              </w:rPr>
            </w:pPr>
            <w:r>
              <w:rPr>
                <w:rFonts w:ascii="黑体" w:hAnsi="黑体" w:eastAsia="黑体"/>
                <w:sz w:val="18"/>
                <w:szCs w:val="18"/>
              </w:rPr>
              <w:t xml:space="preserve">2.6 </w:t>
            </w:r>
          </w:p>
        </w:tc>
        <w:tc>
          <w:tcPr>
            <w:tcW w:w="6237" w:type="dxa"/>
            <w:gridSpan w:val="3"/>
            <w:tcBorders>
              <w:top w:val="single" w:color="000000" w:sz="4" w:space="0"/>
              <w:left w:val="single" w:color="000000" w:sz="4" w:space="0"/>
              <w:bottom w:val="single" w:color="000000" w:sz="4" w:space="0"/>
              <w:right w:val="single" w:color="000000" w:sz="4" w:space="0"/>
            </w:tcBorders>
          </w:tcPr>
          <w:p w14:paraId="42D61ADD">
            <w:pPr>
              <w:pStyle w:val="132"/>
              <w:kinsoku w:val="0"/>
              <w:overflowPunct w:val="0"/>
              <w:spacing w:line="242" w:lineRule="auto"/>
              <w:ind w:left="105" w:right="93"/>
              <w:rPr>
                <w:rFonts w:ascii="黑体" w:hAnsi="黑体" w:eastAsia="黑体"/>
                <w:spacing w:val="-5"/>
                <w:sz w:val="18"/>
                <w:szCs w:val="18"/>
              </w:rPr>
            </w:pPr>
            <w:r>
              <w:rPr>
                <w:rFonts w:hint="eastAsia" w:ascii="黑体" w:hAnsi="黑体" w:eastAsia="黑体"/>
                <w:spacing w:val="-3"/>
                <w:sz w:val="18"/>
                <w:szCs w:val="18"/>
              </w:rPr>
              <w:t>在下列环境能够保证防静电地板长期正常工作：工作温度范围</w:t>
            </w:r>
            <w:r>
              <w:rPr>
                <w:rFonts w:ascii="黑体" w:hAnsi="黑体" w:eastAsia="黑体"/>
                <w:spacing w:val="-3"/>
                <w:sz w:val="18"/>
                <w:szCs w:val="18"/>
              </w:rPr>
              <w:t xml:space="preserve"> </w:t>
            </w:r>
            <w:r>
              <w:rPr>
                <w:rFonts w:ascii="黑体" w:hAnsi="黑体" w:eastAsia="黑体" w:cs="Calibri"/>
                <w:spacing w:val="-3"/>
                <w:sz w:val="18"/>
                <w:szCs w:val="18"/>
              </w:rPr>
              <w:t>15</w:t>
            </w:r>
            <w:r>
              <w:rPr>
                <w:rFonts w:hint="eastAsia" w:ascii="黑体" w:hAnsi="黑体" w:eastAsia="黑体"/>
                <w:spacing w:val="-3"/>
                <w:sz w:val="18"/>
                <w:szCs w:val="18"/>
              </w:rPr>
              <w:t>℃～</w:t>
            </w:r>
            <w:r>
              <w:rPr>
                <w:rFonts w:ascii="黑体" w:hAnsi="黑体" w:eastAsia="黑体" w:cs="Calibri"/>
                <w:spacing w:val="-3"/>
                <w:sz w:val="18"/>
                <w:szCs w:val="18"/>
              </w:rPr>
              <w:t>45</w:t>
            </w:r>
            <w:r>
              <w:rPr>
                <w:rFonts w:hint="eastAsia" w:ascii="黑体" w:hAnsi="黑体" w:eastAsia="黑体"/>
                <w:spacing w:val="-3"/>
                <w:sz w:val="18"/>
                <w:szCs w:val="18"/>
              </w:rPr>
              <w:t>℃；</w:t>
            </w:r>
            <w:r>
              <w:rPr>
                <w:rFonts w:ascii="黑体" w:hAnsi="黑体" w:eastAsia="黑体"/>
                <w:spacing w:val="-3"/>
                <w:sz w:val="18"/>
                <w:szCs w:val="18"/>
              </w:rPr>
              <w:t xml:space="preserve"> </w:t>
            </w:r>
            <w:r>
              <w:rPr>
                <w:rFonts w:hint="eastAsia" w:ascii="黑体" w:hAnsi="黑体" w:eastAsia="黑体"/>
                <w:spacing w:val="-2"/>
                <w:sz w:val="18"/>
                <w:szCs w:val="18"/>
              </w:rPr>
              <w:t>工作环境相对温度范围</w:t>
            </w:r>
            <w:r>
              <w:rPr>
                <w:rFonts w:ascii="黑体" w:hAnsi="黑体" w:eastAsia="黑体"/>
                <w:spacing w:val="-2"/>
                <w:sz w:val="18"/>
                <w:szCs w:val="18"/>
              </w:rPr>
              <w:t xml:space="preserve"> </w:t>
            </w:r>
            <w:r>
              <w:rPr>
                <w:rFonts w:ascii="黑体" w:hAnsi="黑体" w:eastAsia="黑体" w:cs="Calibri"/>
                <w:spacing w:val="-3"/>
                <w:sz w:val="18"/>
                <w:szCs w:val="18"/>
              </w:rPr>
              <w:t>45%</w:t>
            </w:r>
            <w:r>
              <w:rPr>
                <w:rFonts w:hint="eastAsia" w:ascii="黑体" w:hAnsi="黑体" w:eastAsia="黑体"/>
                <w:spacing w:val="-3"/>
                <w:sz w:val="18"/>
                <w:szCs w:val="18"/>
              </w:rPr>
              <w:t>～</w:t>
            </w:r>
            <w:r>
              <w:rPr>
                <w:rFonts w:ascii="黑体" w:hAnsi="黑体" w:eastAsia="黑体" w:cs="Calibri"/>
                <w:spacing w:val="-3"/>
                <w:sz w:val="18"/>
                <w:szCs w:val="18"/>
              </w:rPr>
              <w:t>75%</w:t>
            </w:r>
            <w:r>
              <w:rPr>
                <w:rFonts w:hint="eastAsia" w:ascii="黑体" w:hAnsi="黑体" w:eastAsia="黑体"/>
                <w:sz w:val="18"/>
                <w:szCs w:val="18"/>
              </w:rPr>
              <w:t>；大气压力范围</w:t>
            </w:r>
            <w:r>
              <w:rPr>
                <w:rFonts w:ascii="黑体" w:hAnsi="黑体" w:eastAsia="黑体"/>
                <w:sz w:val="18"/>
                <w:szCs w:val="18"/>
              </w:rPr>
              <w:t xml:space="preserve"> </w:t>
            </w:r>
            <w:r>
              <w:rPr>
                <w:rFonts w:ascii="黑体" w:hAnsi="黑体" w:eastAsia="黑体" w:cs="Calibri"/>
                <w:spacing w:val="-3"/>
                <w:sz w:val="18"/>
                <w:szCs w:val="18"/>
              </w:rPr>
              <w:t>86</w:t>
            </w:r>
            <w:r>
              <w:rPr>
                <w:rFonts w:hint="eastAsia" w:ascii="黑体" w:hAnsi="黑体" w:eastAsia="黑体"/>
                <w:spacing w:val="-3"/>
                <w:sz w:val="18"/>
                <w:szCs w:val="18"/>
              </w:rPr>
              <w:t>～</w:t>
            </w:r>
            <w:r>
              <w:rPr>
                <w:rFonts w:ascii="黑体" w:hAnsi="黑体" w:eastAsia="黑体" w:cs="Calibri"/>
                <w:spacing w:val="-3"/>
                <w:sz w:val="18"/>
                <w:szCs w:val="18"/>
              </w:rPr>
              <w:t>106KPa</w:t>
            </w:r>
            <w:r>
              <w:rPr>
                <w:rFonts w:hint="eastAsia" w:ascii="黑体" w:hAnsi="黑体" w:eastAsia="黑体"/>
                <w:spacing w:val="-4"/>
                <w:sz w:val="18"/>
                <w:szCs w:val="18"/>
              </w:rPr>
              <w:t>，室内无酸、</w:t>
            </w:r>
            <w:r>
              <w:rPr>
                <w:rFonts w:hint="eastAsia" w:ascii="黑体" w:hAnsi="黑体" w:eastAsia="黑体"/>
                <w:spacing w:val="-5"/>
                <w:sz w:val="18"/>
                <w:szCs w:val="18"/>
              </w:rPr>
              <w:t>碱等腐蚀性气体。</w:t>
            </w:r>
          </w:p>
        </w:tc>
        <w:tc>
          <w:tcPr>
            <w:tcW w:w="1422" w:type="dxa"/>
            <w:tcBorders>
              <w:top w:val="single" w:color="000000" w:sz="4" w:space="0"/>
              <w:left w:val="single" w:color="000000" w:sz="4" w:space="0"/>
              <w:bottom w:val="single" w:color="000000" w:sz="4" w:space="0"/>
              <w:right w:val="single" w:color="000000" w:sz="4" w:space="0"/>
            </w:tcBorders>
          </w:tcPr>
          <w:p w14:paraId="1A7BA417">
            <w:pPr>
              <w:pStyle w:val="132"/>
              <w:kinsoku w:val="0"/>
              <w:overflowPunct w:val="0"/>
              <w:spacing w:before="113"/>
              <w:ind w:right="568"/>
              <w:rPr>
                <w:rFonts w:ascii="黑体" w:hAnsi="黑体" w:eastAsia="黑体"/>
                <w:b/>
                <w:bCs/>
                <w:sz w:val="18"/>
                <w:szCs w:val="18"/>
              </w:rPr>
            </w:pPr>
            <w:r>
              <w:rPr>
                <w:rFonts w:hint="eastAsia" w:ascii="黑体" w:hAnsi="黑体" w:eastAsia="黑体"/>
                <w:b/>
                <w:bCs/>
                <w:sz w:val="18"/>
                <w:szCs w:val="18"/>
              </w:rPr>
              <w:t>□满足</w:t>
            </w:r>
          </w:p>
          <w:p w14:paraId="2491260A">
            <w:pPr>
              <w:pStyle w:val="132"/>
              <w:kinsoku w:val="0"/>
              <w:overflowPunct w:val="0"/>
              <w:spacing w:before="4"/>
              <w:ind w:right="574"/>
              <w:rPr>
                <w:rFonts w:ascii="黑体" w:hAnsi="黑体" w:eastAsia="黑体"/>
                <w:spacing w:val="-2"/>
                <w:sz w:val="18"/>
                <w:szCs w:val="18"/>
              </w:rPr>
            </w:pPr>
            <w:r>
              <w:rPr>
                <w:rFonts w:hint="eastAsia" w:ascii="黑体" w:hAnsi="黑体" w:eastAsia="黑体"/>
                <w:spacing w:val="-2"/>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1DC33E54">
            <w:pPr>
              <w:pStyle w:val="132"/>
              <w:kinsoku w:val="0"/>
              <w:overflowPunct w:val="0"/>
              <w:rPr>
                <w:rFonts w:ascii="黑体" w:hAnsi="黑体" w:eastAsia="黑体" w:cs="Times New Roman"/>
                <w:sz w:val="18"/>
                <w:szCs w:val="18"/>
              </w:rPr>
            </w:pPr>
          </w:p>
        </w:tc>
      </w:tr>
      <w:tr w14:paraId="65204D5E">
        <w:tblPrEx>
          <w:tblCellMar>
            <w:top w:w="0" w:type="dxa"/>
            <w:left w:w="0" w:type="dxa"/>
            <w:bottom w:w="0" w:type="dxa"/>
            <w:right w:w="0" w:type="dxa"/>
          </w:tblCellMar>
        </w:tblPrEx>
        <w:trPr>
          <w:trHeight w:val="455" w:hRule="atLeast"/>
        </w:trPr>
        <w:tc>
          <w:tcPr>
            <w:tcW w:w="725" w:type="dxa"/>
            <w:tcBorders>
              <w:top w:val="single" w:color="000000" w:sz="4" w:space="0"/>
              <w:left w:val="single" w:color="000000" w:sz="4" w:space="0"/>
              <w:bottom w:val="single" w:color="000000" w:sz="4" w:space="0"/>
              <w:right w:val="single" w:color="000000" w:sz="4" w:space="0"/>
            </w:tcBorders>
          </w:tcPr>
          <w:p w14:paraId="455576A1">
            <w:pPr>
              <w:pStyle w:val="132"/>
              <w:kinsoku w:val="0"/>
              <w:overflowPunct w:val="0"/>
              <w:spacing w:before="7"/>
              <w:ind w:left="158" w:right="67"/>
              <w:rPr>
                <w:rFonts w:ascii="黑体" w:hAnsi="黑体" w:eastAsia="黑体"/>
                <w:sz w:val="18"/>
                <w:szCs w:val="18"/>
              </w:rPr>
            </w:pPr>
            <w:r>
              <w:rPr>
                <w:rFonts w:ascii="黑体" w:hAnsi="黑体" w:eastAsia="黑体"/>
                <w:sz w:val="18"/>
                <w:szCs w:val="18"/>
              </w:rPr>
              <w:t xml:space="preserve">3 </w:t>
            </w:r>
          </w:p>
        </w:tc>
        <w:tc>
          <w:tcPr>
            <w:tcW w:w="1277" w:type="dxa"/>
            <w:tcBorders>
              <w:top w:val="single" w:color="000000" w:sz="4" w:space="0"/>
              <w:left w:val="single" w:color="000000" w:sz="4" w:space="0"/>
              <w:bottom w:val="single" w:color="000000" w:sz="4" w:space="0"/>
              <w:right w:val="single" w:color="000000" w:sz="4" w:space="0"/>
            </w:tcBorders>
          </w:tcPr>
          <w:p w14:paraId="28C89CB6">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性能要求</w:t>
            </w:r>
            <w:r>
              <w:rPr>
                <w:rFonts w:ascii="黑体" w:hAnsi="黑体" w:eastAsia="黑体"/>
                <w:b/>
                <w:bCs/>
                <w:sz w:val="18"/>
                <w:szCs w:val="18"/>
              </w:rPr>
              <w:t xml:space="preserve"> </w:t>
            </w:r>
          </w:p>
        </w:tc>
        <w:tc>
          <w:tcPr>
            <w:tcW w:w="4960" w:type="dxa"/>
            <w:gridSpan w:val="2"/>
            <w:tcBorders>
              <w:top w:val="single" w:color="000000" w:sz="4" w:space="0"/>
              <w:left w:val="single" w:color="000000" w:sz="4" w:space="0"/>
              <w:bottom w:val="single" w:color="000000" w:sz="4" w:space="0"/>
              <w:right w:val="single" w:color="000000" w:sz="4" w:space="0"/>
            </w:tcBorders>
          </w:tcPr>
          <w:p w14:paraId="3886C110">
            <w:pPr>
              <w:pStyle w:val="132"/>
              <w:kinsoku w:val="0"/>
              <w:overflowPunct w:val="0"/>
              <w:rPr>
                <w:rFonts w:ascii="黑体" w:hAnsi="黑体" w:eastAsia="黑体" w:cs="Times New Roman"/>
                <w:sz w:val="18"/>
                <w:szCs w:val="18"/>
              </w:rPr>
            </w:pPr>
          </w:p>
        </w:tc>
        <w:tc>
          <w:tcPr>
            <w:tcW w:w="1422" w:type="dxa"/>
            <w:tcBorders>
              <w:top w:val="single" w:color="000000" w:sz="4" w:space="0"/>
              <w:left w:val="single" w:color="000000" w:sz="4" w:space="0"/>
              <w:bottom w:val="single" w:color="000000" w:sz="4" w:space="0"/>
              <w:right w:val="single" w:color="000000" w:sz="4" w:space="0"/>
            </w:tcBorders>
          </w:tcPr>
          <w:p w14:paraId="12385DAD">
            <w:pPr>
              <w:pStyle w:val="132"/>
              <w:kinsoku w:val="0"/>
              <w:overflowPunct w:val="0"/>
              <w:rPr>
                <w:rFonts w:ascii="黑体" w:hAnsi="黑体" w:eastAsia="黑体" w:cs="Times New Roman"/>
                <w:sz w:val="18"/>
                <w:szCs w:val="18"/>
              </w:rPr>
            </w:pPr>
          </w:p>
        </w:tc>
        <w:tc>
          <w:tcPr>
            <w:tcW w:w="1119" w:type="dxa"/>
            <w:tcBorders>
              <w:top w:val="single" w:color="000000" w:sz="4" w:space="0"/>
              <w:left w:val="single" w:color="000000" w:sz="4" w:space="0"/>
              <w:bottom w:val="single" w:color="000000" w:sz="4" w:space="0"/>
              <w:right w:val="single" w:color="000000" w:sz="4" w:space="0"/>
            </w:tcBorders>
          </w:tcPr>
          <w:p w14:paraId="58E7F61B">
            <w:pPr>
              <w:pStyle w:val="132"/>
              <w:kinsoku w:val="0"/>
              <w:overflowPunct w:val="0"/>
              <w:rPr>
                <w:rFonts w:ascii="黑体" w:hAnsi="黑体" w:eastAsia="黑体" w:cs="Times New Roman"/>
                <w:sz w:val="18"/>
                <w:szCs w:val="18"/>
              </w:rPr>
            </w:pPr>
          </w:p>
        </w:tc>
      </w:tr>
      <w:tr w14:paraId="0623F5AE">
        <w:tblPrEx>
          <w:tblCellMar>
            <w:top w:w="0" w:type="dxa"/>
            <w:left w:w="0" w:type="dxa"/>
            <w:bottom w:w="0" w:type="dxa"/>
            <w:right w:w="0" w:type="dxa"/>
          </w:tblCellMar>
        </w:tblPrEx>
        <w:trPr>
          <w:trHeight w:val="3505" w:hRule="atLeast"/>
        </w:trPr>
        <w:tc>
          <w:tcPr>
            <w:tcW w:w="725" w:type="dxa"/>
            <w:tcBorders>
              <w:top w:val="single" w:color="000000" w:sz="4" w:space="0"/>
              <w:left w:val="single" w:color="000000" w:sz="4" w:space="0"/>
              <w:bottom w:val="single" w:color="000000" w:sz="4" w:space="0"/>
              <w:right w:val="single" w:color="000000" w:sz="4" w:space="0"/>
            </w:tcBorders>
          </w:tcPr>
          <w:p w14:paraId="0156F0A8">
            <w:pPr>
              <w:pStyle w:val="132"/>
              <w:kinsoku w:val="0"/>
              <w:overflowPunct w:val="0"/>
              <w:rPr>
                <w:rFonts w:ascii="黑体" w:hAnsi="黑体" w:eastAsia="黑体"/>
                <w:b/>
                <w:bCs/>
                <w:sz w:val="18"/>
                <w:szCs w:val="18"/>
              </w:rPr>
            </w:pPr>
          </w:p>
          <w:p w14:paraId="1DAA1D76">
            <w:pPr>
              <w:pStyle w:val="132"/>
              <w:kinsoku w:val="0"/>
              <w:overflowPunct w:val="0"/>
              <w:rPr>
                <w:rFonts w:ascii="黑体" w:hAnsi="黑体" w:eastAsia="黑体"/>
                <w:b/>
                <w:bCs/>
                <w:sz w:val="18"/>
                <w:szCs w:val="18"/>
              </w:rPr>
            </w:pPr>
          </w:p>
          <w:p w14:paraId="1FA76388">
            <w:pPr>
              <w:pStyle w:val="132"/>
              <w:kinsoku w:val="0"/>
              <w:overflowPunct w:val="0"/>
              <w:rPr>
                <w:rFonts w:ascii="黑体" w:hAnsi="黑体" w:eastAsia="黑体"/>
                <w:b/>
                <w:bCs/>
                <w:sz w:val="18"/>
                <w:szCs w:val="18"/>
              </w:rPr>
            </w:pPr>
          </w:p>
          <w:p w14:paraId="3E8BB33E">
            <w:pPr>
              <w:pStyle w:val="132"/>
              <w:kinsoku w:val="0"/>
              <w:overflowPunct w:val="0"/>
              <w:rPr>
                <w:rFonts w:ascii="黑体" w:hAnsi="黑体" w:eastAsia="黑体"/>
                <w:b/>
                <w:bCs/>
                <w:sz w:val="18"/>
                <w:szCs w:val="18"/>
              </w:rPr>
            </w:pPr>
          </w:p>
          <w:p w14:paraId="077F4B5A">
            <w:pPr>
              <w:pStyle w:val="132"/>
              <w:kinsoku w:val="0"/>
              <w:overflowPunct w:val="0"/>
              <w:rPr>
                <w:rFonts w:ascii="黑体" w:hAnsi="黑体" w:eastAsia="黑体"/>
                <w:b/>
                <w:bCs/>
                <w:sz w:val="18"/>
                <w:szCs w:val="18"/>
              </w:rPr>
            </w:pPr>
          </w:p>
          <w:p w14:paraId="10B2F182">
            <w:pPr>
              <w:pStyle w:val="132"/>
              <w:kinsoku w:val="0"/>
              <w:overflowPunct w:val="0"/>
              <w:rPr>
                <w:rFonts w:ascii="黑体" w:hAnsi="黑体" w:eastAsia="黑体"/>
                <w:b/>
                <w:bCs/>
                <w:sz w:val="18"/>
                <w:szCs w:val="18"/>
              </w:rPr>
            </w:pPr>
          </w:p>
          <w:p w14:paraId="7C061CBE">
            <w:pPr>
              <w:pStyle w:val="132"/>
              <w:kinsoku w:val="0"/>
              <w:overflowPunct w:val="0"/>
              <w:spacing w:before="150"/>
              <w:ind w:left="158" w:right="62"/>
              <w:rPr>
                <w:rFonts w:ascii="黑体" w:hAnsi="黑体" w:eastAsia="黑体"/>
                <w:sz w:val="18"/>
                <w:szCs w:val="18"/>
              </w:rPr>
            </w:pPr>
            <w:r>
              <w:rPr>
                <w:rFonts w:ascii="黑体" w:hAnsi="黑体" w:eastAsia="黑体"/>
                <w:sz w:val="18"/>
                <w:szCs w:val="18"/>
              </w:rPr>
              <w:t xml:space="preserve">3.1 </w:t>
            </w:r>
          </w:p>
        </w:tc>
        <w:tc>
          <w:tcPr>
            <w:tcW w:w="1277" w:type="dxa"/>
            <w:tcBorders>
              <w:top w:val="single" w:color="000000" w:sz="4" w:space="0"/>
              <w:left w:val="single" w:color="000000" w:sz="4" w:space="0"/>
              <w:bottom w:val="single" w:color="000000" w:sz="4" w:space="0"/>
              <w:right w:val="single" w:color="000000" w:sz="4" w:space="0"/>
            </w:tcBorders>
          </w:tcPr>
          <w:p w14:paraId="27A8D629">
            <w:pPr>
              <w:pStyle w:val="132"/>
              <w:kinsoku w:val="0"/>
              <w:overflowPunct w:val="0"/>
              <w:rPr>
                <w:rFonts w:ascii="黑体" w:hAnsi="黑体" w:eastAsia="黑体"/>
                <w:b/>
                <w:bCs/>
                <w:sz w:val="18"/>
                <w:szCs w:val="18"/>
              </w:rPr>
            </w:pPr>
          </w:p>
          <w:p w14:paraId="706D7AE6">
            <w:pPr>
              <w:pStyle w:val="132"/>
              <w:kinsoku w:val="0"/>
              <w:overflowPunct w:val="0"/>
              <w:rPr>
                <w:rFonts w:ascii="黑体" w:hAnsi="黑体" w:eastAsia="黑体"/>
                <w:b/>
                <w:bCs/>
                <w:sz w:val="18"/>
                <w:szCs w:val="18"/>
              </w:rPr>
            </w:pPr>
          </w:p>
          <w:p w14:paraId="5949261F">
            <w:pPr>
              <w:pStyle w:val="132"/>
              <w:kinsoku w:val="0"/>
              <w:overflowPunct w:val="0"/>
              <w:rPr>
                <w:rFonts w:ascii="黑体" w:hAnsi="黑体" w:eastAsia="黑体"/>
                <w:b/>
                <w:bCs/>
                <w:sz w:val="18"/>
                <w:szCs w:val="18"/>
              </w:rPr>
            </w:pPr>
          </w:p>
          <w:p w14:paraId="68485F61">
            <w:pPr>
              <w:pStyle w:val="132"/>
              <w:kinsoku w:val="0"/>
              <w:overflowPunct w:val="0"/>
              <w:rPr>
                <w:rFonts w:ascii="黑体" w:hAnsi="黑体" w:eastAsia="黑体"/>
                <w:b/>
                <w:bCs/>
                <w:sz w:val="18"/>
                <w:szCs w:val="18"/>
              </w:rPr>
            </w:pPr>
          </w:p>
          <w:p w14:paraId="25585213">
            <w:pPr>
              <w:pStyle w:val="132"/>
              <w:kinsoku w:val="0"/>
              <w:overflowPunct w:val="0"/>
              <w:rPr>
                <w:rFonts w:ascii="黑体" w:hAnsi="黑体" w:eastAsia="黑体"/>
                <w:b/>
                <w:bCs/>
                <w:sz w:val="18"/>
                <w:szCs w:val="18"/>
              </w:rPr>
            </w:pPr>
          </w:p>
          <w:p w14:paraId="55A3DBBD">
            <w:pPr>
              <w:pStyle w:val="132"/>
              <w:kinsoku w:val="0"/>
              <w:overflowPunct w:val="0"/>
              <w:rPr>
                <w:rFonts w:ascii="黑体" w:hAnsi="黑体" w:eastAsia="黑体"/>
                <w:b/>
                <w:bCs/>
                <w:sz w:val="18"/>
                <w:szCs w:val="18"/>
              </w:rPr>
            </w:pPr>
          </w:p>
          <w:p w14:paraId="10244B53">
            <w:pPr>
              <w:pStyle w:val="132"/>
              <w:kinsoku w:val="0"/>
              <w:overflowPunct w:val="0"/>
              <w:spacing w:before="136"/>
              <w:ind w:left="105" w:right="54"/>
              <w:rPr>
                <w:rFonts w:ascii="黑体" w:hAnsi="黑体" w:eastAsia="黑体"/>
                <w:sz w:val="18"/>
                <w:szCs w:val="18"/>
              </w:rPr>
            </w:pPr>
            <w:r>
              <w:rPr>
                <w:rFonts w:hint="eastAsia" w:ascii="黑体" w:hAnsi="黑体" w:eastAsia="黑体"/>
                <w:sz w:val="18"/>
                <w:szCs w:val="18"/>
              </w:rPr>
              <w:t>铝合金面板性能要求</w:t>
            </w:r>
          </w:p>
        </w:tc>
        <w:tc>
          <w:tcPr>
            <w:tcW w:w="4960" w:type="dxa"/>
            <w:gridSpan w:val="2"/>
            <w:tcBorders>
              <w:top w:val="single" w:color="000000" w:sz="4" w:space="0"/>
              <w:left w:val="single" w:color="000000" w:sz="4" w:space="0"/>
              <w:bottom w:val="single" w:color="000000" w:sz="4" w:space="0"/>
              <w:right w:val="single" w:color="000000" w:sz="4" w:space="0"/>
            </w:tcBorders>
          </w:tcPr>
          <w:p w14:paraId="6D79710A">
            <w:pPr>
              <w:pStyle w:val="132"/>
              <w:numPr>
                <w:ilvl w:val="0"/>
                <w:numId w:val="132"/>
              </w:numPr>
              <w:tabs>
                <w:tab w:val="left" w:pos="534"/>
              </w:tabs>
              <w:kinsoku w:val="0"/>
              <w:overflowPunct w:val="0"/>
              <w:spacing w:before="2" w:line="362" w:lineRule="auto"/>
              <w:ind w:right="88"/>
              <w:rPr>
                <w:rFonts w:ascii="黑体" w:hAnsi="黑体" w:eastAsia="黑体"/>
                <w:sz w:val="18"/>
                <w:szCs w:val="18"/>
              </w:rPr>
            </w:pPr>
            <w:r>
              <w:rPr>
                <w:rFonts w:hint="eastAsia" w:ascii="黑体" w:hAnsi="黑体" w:eastAsia="黑体"/>
                <w:spacing w:val="-1"/>
                <w:sz w:val="18"/>
                <w:szCs w:val="18"/>
              </w:rPr>
              <w:t>面板必须采用</w:t>
            </w:r>
            <w:r>
              <w:rPr>
                <w:rFonts w:ascii="黑体" w:hAnsi="黑体" w:eastAsia="黑体"/>
                <w:spacing w:val="-1"/>
                <w:sz w:val="18"/>
                <w:szCs w:val="18"/>
              </w:rPr>
              <w:t xml:space="preserve"> </w:t>
            </w:r>
            <w:r>
              <w:rPr>
                <w:rFonts w:ascii="黑体" w:hAnsi="黑体" w:eastAsia="黑体" w:cs="Calibri"/>
                <w:sz w:val="18"/>
                <w:szCs w:val="18"/>
              </w:rPr>
              <w:t>ADC-12</w:t>
            </w:r>
            <w:r>
              <w:rPr>
                <w:rFonts w:ascii="黑体" w:hAnsi="黑体" w:eastAsia="黑体" w:cs="Calibri"/>
                <w:spacing w:val="22"/>
                <w:sz w:val="18"/>
                <w:szCs w:val="18"/>
              </w:rPr>
              <w:t xml:space="preserve"> </w:t>
            </w:r>
            <w:r>
              <w:rPr>
                <w:rFonts w:hint="eastAsia" w:ascii="黑体" w:hAnsi="黑体" w:eastAsia="黑体"/>
                <w:spacing w:val="-5"/>
                <w:sz w:val="18"/>
                <w:szCs w:val="18"/>
              </w:rPr>
              <w:t>之铝合金材料以高压铸造方式一体成型。加工后的长度尺寸为</w:t>
            </w:r>
            <w:r>
              <w:rPr>
                <w:rFonts w:ascii="黑体" w:hAnsi="黑体" w:eastAsia="黑体"/>
                <w:spacing w:val="-5"/>
                <w:sz w:val="18"/>
                <w:szCs w:val="18"/>
              </w:rPr>
              <w:t xml:space="preserve"> </w:t>
            </w:r>
            <w:r>
              <w:rPr>
                <w:rFonts w:ascii="黑体" w:hAnsi="黑体" w:eastAsia="黑体" w:cs="Calibri"/>
                <w:sz w:val="18"/>
                <w:szCs w:val="18"/>
              </w:rPr>
              <w:t>600*600*44mm</w:t>
            </w:r>
            <w:r>
              <w:rPr>
                <w:rFonts w:hint="eastAsia" w:ascii="黑体" w:hAnsi="黑体" w:eastAsia="黑体"/>
                <w:spacing w:val="-5"/>
                <w:sz w:val="18"/>
                <w:szCs w:val="18"/>
              </w:rPr>
              <w:t>，其正方</w:t>
            </w:r>
            <w:r>
              <w:rPr>
                <w:rFonts w:hint="eastAsia" w:ascii="黑体" w:hAnsi="黑体" w:eastAsia="黑体"/>
                <w:sz w:val="18"/>
                <w:szCs w:val="18"/>
              </w:rPr>
              <w:t>度必须控制在</w:t>
            </w:r>
            <w:r>
              <w:rPr>
                <w:rFonts w:ascii="黑体" w:hAnsi="黑体" w:eastAsia="黑体" w:cs="Calibri"/>
                <w:spacing w:val="-3"/>
                <w:sz w:val="18"/>
                <w:szCs w:val="18"/>
              </w:rPr>
              <w:t xml:space="preserve">0.13mm </w:t>
            </w:r>
            <w:r>
              <w:rPr>
                <w:rFonts w:hint="eastAsia" w:ascii="黑体" w:hAnsi="黑体" w:eastAsia="黑体"/>
                <w:spacing w:val="-3"/>
                <w:sz w:val="18"/>
                <w:szCs w:val="18"/>
              </w:rPr>
              <w:t>的范围内、水平误差不得大</w:t>
            </w:r>
            <w:r>
              <w:rPr>
                <w:rFonts w:hint="eastAsia" w:ascii="黑体" w:hAnsi="黑体" w:eastAsia="黑体"/>
                <w:spacing w:val="-25"/>
                <w:sz w:val="18"/>
                <w:szCs w:val="18"/>
              </w:rPr>
              <w:t>于</w:t>
            </w:r>
            <w:r>
              <w:rPr>
                <w:rFonts w:ascii="黑体" w:hAnsi="黑体" w:eastAsia="黑体"/>
                <w:spacing w:val="-25"/>
                <w:sz w:val="18"/>
                <w:szCs w:val="18"/>
              </w:rPr>
              <w:t xml:space="preserve"> </w:t>
            </w:r>
            <w:r>
              <w:rPr>
                <w:rFonts w:ascii="黑体" w:hAnsi="黑体" w:eastAsia="黑体" w:cs="Calibri"/>
                <w:sz w:val="18"/>
                <w:szCs w:val="18"/>
              </w:rPr>
              <w:t>0.5mm</w:t>
            </w:r>
            <w:r>
              <w:rPr>
                <w:rFonts w:hint="eastAsia" w:ascii="黑体" w:hAnsi="黑体" w:eastAsia="黑体"/>
                <w:sz w:val="18"/>
                <w:szCs w:val="18"/>
              </w:rPr>
              <w:t>。</w:t>
            </w:r>
          </w:p>
          <w:p w14:paraId="4CCB80C0">
            <w:pPr>
              <w:pStyle w:val="132"/>
              <w:numPr>
                <w:ilvl w:val="0"/>
                <w:numId w:val="132"/>
              </w:numPr>
              <w:tabs>
                <w:tab w:val="left" w:pos="534"/>
              </w:tabs>
              <w:kinsoku w:val="0"/>
              <w:overflowPunct w:val="0"/>
              <w:spacing w:before="4" w:line="364" w:lineRule="auto"/>
              <w:ind w:right="88"/>
              <w:rPr>
                <w:rFonts w:ascii="黑体" w:hAnsi="黑体" w:eastAsia="黑体"/>
                <w:spacing w:val="-3"/>
                <w:sz w:val="18"/>
                <w:szCs w:val="18"/>
              </w:rPr>
            </w:pPr>
            <w:r>
              <w:rPr>
                <w:rFonts w:hint="eastAsia" w:ascii="黑体" w:hAnsi="黑体" w:eastAsia="黑体"/>
                <w:spacing w:val="3"/>
                <w:sz w:val="18"/>
                <w:szCs w:val="18"/>
              </w:rPr>
              <w:t>按</w:t>
            </w:r>
            <w:r>
              <w:rPr>
                <w:rFonts w:ascii="黑体" w:hAnsi="黑体" w:eastAsia="黑体"/>
                <w:spacing w:val="3"/>
                <w:sz w:val="18"/>
                <w:szCs w:val="18"/>
              </w:rPr>
              <w:t xml:space="preserve"> </w:t>
            </w:r>
            <w:r>
              <w:rPr>
                <w:rFonts w:ascii="黑体" w:hAnsi="黑体" w:eastAsia="黑体" w:cs="Calibri"/>
                <w:sz w:val="18"/>
                <w:szCs w:val="18"/>
              </w:rPr>
              <w:t>CNS</w:t>
            </w:r>
            <w:r>
              <w:rPr>
                <w:rFonts w:ascii="黑体" w:hAnsi="黑体" w:eastAsia="黑体" w:cs="Calibri"/>
                <w:spacing w:val="12"/>
                <w:sz w:val="18"/>
                <w:szCs w:val="18"/>
              </w:rPr>
              <w:t xml:space="preserve"> </w:t>
            </w:r>
            <w:r>
              <w:rPr>
                <w:rFonts w:hint="eastAsia" w:ascii="黑体" w:hAnsi="黑体" w:eastAsia="黑体"/>
                <w:spacing w:val="-4"/>
                <w:sz w:val="18"/>
                <w:szCs w:val="18"/>
              </w:rPr>
              <w:t>标准，面板中央点在</w:t>
            </w:r>
            <w:r>
              <w:rPr>
                <w:rFonts w:ascii="黑体" w:hAnsi="黑体" w:eastAsia="黑体" w:cs="Calibri"/>
                <w:sz w:val="18"/>
                <w:szCs w:val="18"/>
              </w:rPr>
              <w:t xml:space="preserve">5560N </w:t>
            </w:r>
            <w:r>
              <w:rPr>
                <w:rFonts w:hint="eastAsia" w:ascii="黑体" w:hAnsi="黑体" w:eastAsia="黑体"/>
                <w:spacing w:val="-4"/>
                <w:sz w:val="18"/>
                <w:szCs w:val="18"/>
              </w:rPr>
              <w:t>集中荷重时其挠度</w:t>
            </w:r>
            <w:r>
              <w:rPr>
                <w:rFonts w:hint="eastAsia" w:ascii="黑体" w:hAnsi="黑体" w:eastAsia="黑体"/>
                <w:spacing w:val="-17"/>
                <w:sz w:val="18"/>
                <w:szCs w:val="18"/>
              </w:rPr>
              <w:t>应在</w:t>
            </w:r>
            <w:r>
              <w:rPr>
                <w:rFonts w:ascii="黑体" w:hAnsi="黑体" w:eastAsia="黑体"/>
                <w:spacing w:val="-17"/>
                <w:sz w:val="18"/>
                <w:szCs w:val="18"/>
              </w:rPr>
              <w:t xml:space="preserve"> </w:t>
            </w:r>
            <w:r>
              <w:rPr>
                <w:rFonts w:ascii="黑体" w:hAnsi="黑体" w:eastAsia="黑体" w:cs="Calibri"/>
                <w:sz w:val="18"/>
                <w:szCs w:val="18"/>
              </w:rPr>
              <w:t>2.0mm</w:t>
            </w:r>
            <w:r>
              <w:rPr>
                <w:rFonts w:ascii="黑体" w:hAnsi="黑体" w:eastAsia="黑体" w:cs="Calibri"/>
                <w:spacing w:val="5"/>
                <w:sz w:val="18"/>
                <w:szCs w:val="18"/>
              </w:rPr>
              <w:t xml:space="preserve"> </w:t>
            </w:r>
            <w:r>
              <w:rPr>
                <w:rFonts w:hint="eastAsia" w:ascii="黑体" w:hAnsi="黑体" w:eastAsia="黑体"/>
                <w:spacing w:val="-9"/>
                <w:sz w:val="18"/>
                <w:szCs w:val="18"/>
              </w:rPr>
              <w:t>以内；面板的安全系数为</w:t>
            </w:r>
            <w:r>
              <w:rPr>
                <w:rFonts w:ascii="黑体" w:hAnsi="黑体" w:eastAsia="黑体"/>
                <w:spacing w:val="-9"/>
                <w:sz w:val="18"/>
                <w:szCs w:val="18"/>
              </w:rPr>
              <w:t xml:space="preserve"> </w:t>
            </w:r>
            <w:r>
              <w:rPr>
                <w:rFonts w:ascii="黑体" w:hAnsi="黑体" w:eastAsia="黑体" w:cs="Calibri"/>
                <w:sz w:val="18"/>
                <w:szCs w:val="18"/>
              </w:rPr>
              <w:t>3</w:t>
            </w:r>
            <w:r>
              <w:rPr>
                <w:rFonts w:ascii="黑体" w:hAnsi="黑体" w:eastAsia="黑体" w:cs="Calibri"/>
                <w:spacing w:val="11"/>
                <w:sz w:val="18"/>
                <w:szCs w:val="18"/>
              </w:rPr>
              <w:t xml:space="preserve"> </w:t>
            </w:r>
            <w:r>
              <w:rPr>
                <w:rFonts w:hint="eastAsia" w:ascii="黑体" w:hAnsi="黑体" w:eastAsia="黑体"/>
                <w:spacing w:val="-3"/>
                <w:sz w:val="18"/>
                <w:szCs w:val="18"/>
              </w:rPr>
              <w:t>倍载重值。</w:t>
            </w:r>
          </w:p>
          <w:p w14:paraId="6C8AC67E">
            <w:pPr>
              <w:pStyle w:val="132"/>
              <w:numPr>
                <w:ilvl w:val="0"/>
                <w:numId w:val="132"/>
              </w:numPr>
              <w:tabs>
                <w:tab w:val="left" w:pos="534"/>
              </w:tabs>
              <w:kinsoku w:val="0"/>
              <w:overflowPunct w:val="0"/>
              <w:spacing w:line="364" w:lineRule="auto"/>
              <w:ind w:right="88"/>
              <w:rPr>
                <w:rFonts w:ascii="黑体" w:hAnsi="黑体" w:eastAsia="黑体"/>
                <w:sz w:val="18"/>
                <w:szCs w:val="18"/>
              </w:rPr>
            </w:pPr>
            <w:r>
              <w:rPr>
                <w:rFonts w:hint="eastAsia" w:ascii="黑体" w:hAnsi="黑体" w:eastAsia="黑体"/>
                <w:spacing w:val="10"/>
                <w:sz w:val="18"/>
                <w:szCs w:val="18"/>
              </w:rPr>
              <w:t>面板在</w:t>
            </w:r>
            <w:r>
              <w:rPr>
                <w:rFonts w:ascii="黑体" w:hAnsi="黑体" w:eastAsia="黑体"/>
                <w:spacing w:val="10"/>
                <w:sz w:val="18"/>
                <w:szCs w:val="18"/>
              </w:rPr>
              <w:t xml:space="preserve"> </w:t>
            </w:r>
            <w:r>
              <w:rPr>
                <w:rFonts w:ascii="黑体" w:hAnsi="黑体" w:eastAsia="黑体" w:cs="Calibri"/>
                <w:sz w:val="18"/>
                <w:szCs w:val="18"/>
              </w:rPr>
              <w:t>1000kg/</w:t>
            </w:r>
            <w:r>
              <w:rPr>
                <w:rFonts w:hint="eastAsia" w:ascii="黑体" w:hAnsi="黑体" w:eastAsia="黑体"/>
                <w:spacing w:val="-3"/>
                <w:sz w:val="18"/>
                <w:szCs w:val="18"/>
              </w:rPr>
              <w:t>㎡的情形下，其均匀荷重的挠度最大不</w:t>
            </w:r>
            <w:r>
              <w:rPr>
                <w:rFonts w:hint="eastAsia" w:ascii="黑体" w:hAnsi="黑体" w:eastAsia="黑体"/>
                <w:spacing w:val="-14"/>
                <w:sz w:val="18"/>
                <w:szCs w:val="18"/>
              </w:rPr>
              <w:t>得超过</w:t>
            </w:r>
            <w:r>
              <w:rPr>
                <w:rFonts w:ascii="黑体" w:hAnsi="黑体" w:eastAsia="黑体"/>
                <w:spacing w:val="-14"/>
                <w:sz w:val="18"/>
                <w:szCs w:val="18"/>
              </w:rPr>
              <w:t xml:space="preserve"> </w:t>
            </w:r>
            <w:r>
              <w:rPr>
                <w:rFonts w:ascii="黑体" w:hAnsi="黑体" w:eastAsia="黑体" w:cs="Calibri"/>
                <w:spacing w:val="-3"/>
                <w:sz w:val="18"/>
                <w:szCs w:val="18"/>
              </w:rPr>
              <w:t>1.0mm</w:t>
            </w:r>
            <w:r>
              <w:rPr>
                <w:rFonts w:hint="eastAsia" w:ascii="黑体" w:hAnsi="黑体" w:eastAsia="黑体"/>
                <w:sz w:val="18"/>
                <w:szCs w:val="18"/>
              </w:rPr>
              <w:t>。</w:t>
            </w:r>
          </w:p>
          <w:p w14:paraId="6E51C6E1">
            <w:pPr>
              <w:pStyle w:val="132"/>
              <w:numPr>
                <w:ilvl w:val="0"/>
                <w:numId w:val="132"/>
              </w:numPr>
              <w:tabs>
                <w:tab w:val="left" w:pos="534"/>
              </w:tabs>
              <w:kinsoku w:val="0"/>
              <w:overflowPunct w:val="0"/>
              <w:spacing w:line="230" w:lineRule="exact"/>
              <w:ind w:hanging="429"/>
              <w:rPr>
                <w:rFonts w:ascii="黑体" w:hAnsi="黑体" w:eastAsia="黑体" w:cs="Calibri"/>
                <w:sz w:val="18"/>
                <w:szCs w:val="18"/>
              </w:rPr>
            </w:pPr>
            <w:r>
              <w:rPr>
                <w:rFonts w:hint="eastAsia" w:ascii="黑体" w:hAnsi="黑体" w:eastAsia="黑体"/>
                <w:spacing w:val="-4"/>
                <w:sz w:val="18"/>
                <w:szCs w:val="18"/>
              </w:rPr>
              <w:t>面材料采用</w:t>
            </w:r>
            <w:r>
              <w:rPr>
                <w:rFonts w:ascii="黑体" w:hAnsi="黑体" w:eastAsia="黑体"/>
                <w:spacing w:val="-4"/>
                <w:sz w:val="18"/>
                <w:szCs w:val="18"/>
              </w:rPr>
              <w:t xml:space="preserve"> </w:t>
            </w:r>
            <w:r>
              <w:rPr>
                <w:rFonts w:ascii="黑体" w:hAnsi="黑体" w:eastAsia="黑体" w:cs="Calibri"/>
                <w:sz w:val="18"/>
                <w:szCs w:val="18"/>
              </w:rPr>
              <w:t>2.0</w:t>
            </w:r>
            <w:r>
              <w:rPr>
                <w:rFonts w:ascii="黑体" w:hAnsi="黑体" w:eastAsia="黑体" w:cs="Calibri"/>
                <w:spacing w:val="1"/>
                <w:sz w:val="18"/>
                <w:szCs w:val="18"/>
              </w:rPr>
              <w:t xml:space="preserve"> </w:t>
            </w:r>
            <w:r>
              <w:rPr>
                <w:rFonts w:hint="eastAsia" w:ascii="黑体" w:hAnsi="黑体" w:eastAsia="黑体"/>
                <w:spacing w:val="-6"/>
                <w:sz w:val="18"/>
                <w:szCs w:val="18"/>
              </w:rPr>
              <w:t>厚的</w:t>
            </w:r>
            <w:r>
              <w:rPr>
                <w:rFonts w:ascii="黑体" w:hAnsi="黑体" w:eastAsia="黑体"/>
                <w:spacing w:val="-6"/>
                <w:sz w:val="18"/>
                <w:szCs w:val="18"/>
              </w:rPr>
              <w:t xml:space="preserve"> </w:t>
            </w:r>
            <w:r>
              <w:rPr>
                <w:rFonts w:ascii="黑体" w:hAnsi="黑体" w:eastAsia="黑体" w:cs="Calibri"/>
                <w:spacing w:val="-3"/>
                <w:sz w:val="18"/>
                <w:szCs w:val="18"/>
              </w:rPr>
              <w:t>PVC</w:t>
            </w:r>
            <w:r>
              <w:rPr>
                <w:rFonts w:hint="eastAsia" w:ascii="黑体" w:hAnsi="黑体" w:eastAsia="黑体"/>
                <w:spacing w:val="-5"/>
                <w:sz w:val="18"/>
                <w:szCs w:val="18"/>
              </w:rPr>
              <w:t>，其电阻值在</w:t>
            </w:r>
            <w:r>
              <w:rPr>
                <w:rFonts w:ascii="黑体" w:hAnsi="黑体" w:eastAsia="黑体"/>
                <w:spacing w:val="-5"/>
                <w:sz w:val="18"/>
                <w:szCs w:val="18"/>
              </w:rPr>
              <w:t xml:space="preserve"> </w:t>
            </w:r>
            <w:r>
              <w:rPr>
                <w:rFonts w:ascii="黑体" w:hAnsi="黑体" w:eastAsia="黑体" w:cs="Calibri"/>
                <w:sz w:val="18"/>
                <w:szCs w:val="18"/>
              </w:rPr>
              <w:t>1.0X10</w:t>
            </w:r>
            <w:r>
              <w:rPr>
                <w:rFonts w:ascii="黑体" w:hAnsi="黑体" w:eastAsia="黑体" w:cs="Calibri"/>
                <w:position w:val="5"/>
                <w:sz w:val="18"/>
                <w:szCs w:val="18"/>
              </w:rPr>
              <w:t>6</w:t>
            </w:r>
            <w:r>
              <w:rPr>
                <w:rFonts w:hint="eastAsia" w:ascii="黑体" w:hAnsi="黑体" w:eastAsia="黑体"/>
                <w:sz w:val="18"/>
                <w:szCs w:val="18"/>
              </w:rPr>
              <w:t>Ω</w:t>
            </w:r>
            <w:r>
              <w:rPr>
                <w:rFonts w:ascii="黑体" w:hAnsi="黑体" w:eastAsia="黑体" w:cs="Calibri"/>
                <w:sz w:val="18"/>
                <w:szCs w:val="18"/>
              </w:rPr>
              <w:t>~1.0X10</w:t>
            </w:r>
            <w:r>
              <w:rPr>
                <w:rFonts w:ascii="黑体" w:hAnsi="黑体" w:eastAsia="黑体" w:cs="Calibri"/>
                <w:position w:val="5"/>
                <w:sz w:val="18"/>
                <w:szCs w:val="18"/>
              </w:rPr>
              <w:t>9</w:t>
            </w:r>
            <w:r>
              <w:rPr>
                <w:rFonts w:hint="eastAsia" w:ascii="黑体" w:hAnsi="黑体" w:eastAsia="黑体"/>
                <w:sz w:val="18"/>
                <w:szCs w:val="18"/>
              </w:rPr>
              <w:t>Ω。</w:t>
            </w:r>
          </w:p>
        </w:tc>
        <w:tc>
          <w:tcPr>
            <w:tcW w:w="1422" w:type="dxa"/>
            <w:tcBorders>
              <w:top w:val="single" w:color="000000" w:sz="4" w:space="0"/>
              <w:left w:val="single" w:color="000000" w:sz="4" w:space="0"/>
              <w:bottom w:val="single" w:color="000000" w:sz="4" w:space="0"/>
              <w:right w:val="single" w:color="000000" w:sz="4" w:space="0"/>
            </w:tcBorders>
          </w:tcPr>
          <w:p w14:paraId="14E3DF1B">
            <w:pPr>
              <w:pStyle w:val="132"/>
              <w:kinsoku w:val="0"/>
              <w:overflowPunct w:val="0"/>
              <w:rPr>
                <w:rFonts w:ascii="黑体" w:hAnsi="黑体" w:eastAsia="黑体"/>
                <w:b/>
                <w:bCs/>
                <w:sz w:val="18"/>
                <w:szCs w:val="18"/>
              </w:rPr>
            </w:pPr>
          </w:p>
          <w:p w14:paraId="00A33BD3">
            <w:pPr>
              <w:pStyle w:val="132"/>
              <w:kinsoku w:val="0"/>
              <w:overflowPunct w:val="0"/>
              <w:rPr>
                <w:rFonts w:ascii="黑体" w:hAnsi="黑体" w:eastAsia="黑体"/>
                <w:b/>
                <w:bCs/>
                <w:sz w:val="18"/>
                <w:szCs w:val="18"/>
              </w:rPr>
            </w:pPr>
          </w:p>
          <w:p w14:paraId="460F3792">
            <w:pPr>
              <w:pStyle w:val="132"/>
              <w:kinsoku w:val="0"/>
              <w:overflowPunct w:val="0"/>
              <w:rPr>
                <w:rFonts w:ascii="黑体" w:hAnsi="黑体" w:eastAsia="黑体"/>
                <w:b/>
                <w:bCs/>
                <w:sz w:val="18"/>
                <w:szCs w:val="18"/>
              </w:rPr>
            </w:pPr>
          </w:p>
          <w:p w14:paraId="36FABD2E">
            <w:pPr>
              <w:pStyle w:val="132"/>
              <w:kinsoku w:val="0"/>
              <w:overflowPunct w:val="0"/>
              <w:rPr>
                <w:rFonts w:ascii="黑体" w:hAnsi="黑体" w:eastAsia="黑体"/>
                <w:b/>
                <w:bCs/>
                <w:sz w:val="18"/>
                <w:szCs w:val="18"/>
              </w:rPr>
            </w:pPr>
          </w:p>
          <w:p w14:paraId="32AE619D">
            <w:pPr>
              <w:pStyle w:val="132"/>
              <w:kinsoku w:val="0"/>
              <w:overflowPunct w:val="0"/>
              <w:rPr>
                <w:rFonts w:ascii="黑体" w:hAnsi="黑体" w:eastAsia="黑体"/>
                <w:b/>
                <w:bCs/>
                <w:sz w:val="18"/>
                <w:szCs w:val="18"/>
              </w:rPr>
            </w:pPr>
          </w:p>
          <w:p w14:paraId="0A2A18DB">
            <w:pPr>
              <w:pStyle w:val="132"/>
              <w:kinsoku w:val="0"/>
              <w:overflowPunct w:val="0"/>
              <w:spacing w:before="9"/>
              <w:rPr>
                <w:rFonts w:ascii="黑体" w:hAnsi="黑体" w:eastAsia="黑体"/>
                <w:b/>
                <w:bCs/>
                <w:sz w:val="18"/>
                <w:szCs w:val="18"/>
              </w:rPr>
            </w:pPr>
          </w:p>
          <w:p w14:paraId="65CAFFAB">
            <w:pPr>
              <w:pStyle w:val="132"/>
              <w:kinsoku w:val="0"/>
              <w:overflowPunct w:val="0"/>
              <w:spacing w:line="231" w:lineRule="exact"/>
              <w:ind w:left="111"/>
              <w:rPr>
                <w:rFonts w:ascii="黑体" w:hAnsi="黑体" w:eastAsia="黑体"/>
                <w:b/>
                <w:bCs/>
                <w:sz w:val="18"/>
                <w:szCs w:val="18"/>
              </w:rPr>
            </w:pPr>
            <w:r>
              <w:rPr>
                <w:rFonts w:hint="eastAsia" w:ascii="黑体" w:hAnsi="黑体" w:eastAsia="黑体"/>
                <w:b/>
                <w:bCs/>
                <w:sz w:val="18"/>
                <w:szCs w:val="18"/>
              </w:rPr>
              <w:t>□满足</w:t>
            </w:r>
          </w:p>
          <w:p w14:paraId="23C1870E">
            <w:pPr>
              <w:pStyle w:val="132"/>
              <w:kinsoku w:val="0"/>
              <w:overflowPunct w:val="0"/>
              <w:ind w:left="111"/>
              <w:rPr>
                <w:rFonts w:ascii="黑体" w:hAnsi="黑体" w:eastAsia="黑体"/>
                <w:sz w:val="18"/>
                <w:szCs w:val="18"/>
              </w:rPr>
            </w:pPr>
            <w:r>
              <w:rPr>
                <w:rFonts w:hint="eastAsia" w:ascii="黑体" w:hAnsi="黑体" w:eastAsia="黑体"/>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0949147C">
            <w:pPr>
              <w:pStyle w:val="132"/>
              <w:kinsoku w:val="0"/>
              <w:overflowPunct w:val="0"/>
              <w:rPr>
                <w:rFonts w:ascii="黑体" w:hAnsi="黑体" w:eastAsia="黑体" w:cs="Times New Roman"/>
                <w:sz w:val="18"/>
                <w:szCs w:val="18"/>
              </w:rPr>
            </w:pPr>
          </w:p>
        </w:tc>
      </w:tr>
      <w:tr w14:paraId="7261B75C">
        <w:tblPrEx>
          <w:tblCellMar>
            <w:top w:w="0" w:type="dxa"/>
            <w:left w:w="0" w:type="dxa"/>
            <w:bottom w:w="0" w:type="dxa"/>
            <w:right w:w="0" w:type="dxa"/>
          </w:tblCellMar>
        </w:tblPrEx>
        <w:trPr>
          <w:trHeight w:val="1401" w:hRule="atLeast"/>
        </w:trPr>
        <w:tc>
          <w:tcPr>
            <w:tcW w:w="725" w:type="dxa"/>
            <w:tcBorders>
              <w:top w:val="single" w:color="000000" w:sz="4" w:space="0"/>
              <w:left w:val="single" w:color="000000" w:sz="4" w:space="0"/>
              <w:bottom w:val="single" w:color="000000" w:sz="4" w:space="0"/>
              <w:right w:val="single" w:color="000000" w:sz="4" w:space="0"/>
            </w:tcBorders>
          </w:tcPr>
          <w:p w14:paraId="601330B2">
            <w:pPr>
              <w:pStyle w:val="132"/>
              <w:kinsoku w:val="0"/>
              <w:overflowPunct w:val="0"/>
              <w:rPr>
                <w:rFonts w:ascii="黑体" w:hAnsi="黑体" w:eastAsia="黑体"/>
                <w:b/>
                <w:bCs/>
                <w:sz w:val="18"/>
                <w:szCs w:val="18"/>
              </w:rPr>
            </w:pPr>
          </w:p>
          <w:p w14:paraId="6F6DFB94">
            <w:pPr>
              <w:pStyle w:val="132"/>
              <w:kinsoku w:val="0"/>
              <w:overflowPunct w:val="0"/>
              <w:rPr>
                <w:rFonts w:ascii="黑体" w:hAnsi="黑体" w:eastAsia="黑体"/>
                <w:b/>
                <w:bCs/>
                <w:sz w:val="18"/>
                <w:szCs w:val="18"/>
              </w:rPr>
            </w:pPr>
          </w:p>
          <w:p w14:paraId="15BF2EFB">
            <w:pPr>
              <w:pStyle w:val="132"/>
              <w:kinsoku w:val="0"/>
              <w:overflowPunct w:val="0"/>
              <w:spacing w:before="121"/>
              <w:ind w:left="158" w:right="62"/>
              <w:rPr>
                <w:rFonts w:ascii="黑体" w:hAnsi="黑体" w:eastAsia="黑体"/>
                <w:sz w:val="18"/>
                <w:szCs w:val="18"/>
              </w:rPr>
            </w:pPr>
            <w:r>
              <w:rPr>
                <w:rFonts w:ascii="黑体" w:hAnsi="黑体" w:eastAsia="黑体"/>
                <w:sz w:val="18"/>
                <w:szCs w:val="18"/>
              </w:rPr>
              <w:t xml:space="preserve">3.2 </w:t>
            </w:r>
          </w:p>
        </w:tc>
        <w:tc>
          <w:tcPr>
            <w:tcW w:w="1277" w:type="dxa"/>
            <w:tcBorders>
              <w:top w:val="single" w:color="000000" w:sz="4" w:space="0"/>
              <w:left w:val="single" w:color="000000" w:sz="4" w:space="0"/>
              <w:bottom w:val="single" w:color="000000" w:sz="4" w:space="0"/>
              <w:right w:val="single" w:color="000000" w:sz="4" w:space="0"/>
            </w:tcBorders>
          </w:tcPr>
          <w:p w14:paraId="3F56781E">
            <w:pPr>
              <w:pStyle w:val="132"/>
              <w:kinsoku w:val="0"/>
              <w:overflowPunct w:val="0"/>
              <w:rPr>
                <w:rFonts w:ascii="黑体" w:hAnsi="黑体" w:eastAsia="黑体"/>
                <w:b/>
                <w:bCs/>
                <w:sz w:val="18"/>
                <w:szCs w:val="18"/>
              </w:rPr>
            </w:pPr>
          </w:p>
          <w:p w14:paraId="5F1F6117">
            <w:pPr>
              <w:pStyle w:val="132"/>
              <w:kinsoku w:val="0"/>
              <w:overflowPunct w:val="0"/>
              <w:spacing w:before="136"/>
              <w:ind w:left="105" w:right="55"/>
              <w:rPr>
                <w:rFonts w:ascii="黑体" w:hAnsi="黑体" w:eastAsia="黑体"/>
                <w:sz w:val="18"/>
                <w:szCs w:val="18"/>
              </w:rPr>
            </w:pPr>
            <w:r>
              <w:rPr>
                <w:rFonts w:hint="eastAsia" w:ascii="黑体" w:hAnsi="黑体" w:eastAsia="黑体"/>
                <w:sz w:val="18"/>
                <w:szCs w:val="18"/>
              </w:rPr>
              <w:t>地板防震桁梁</w:t>
            </w:r>
          </w:p>
        </w:tc>
        <w:tc>
          <w:tcPr>
            <w:tcW w:w="4960" w:type="dxa"/>
            <w:gridSpan w:val="2"/>
            <w:tcBorders>
              <w:top w:val="single" w:color="000000" w:sz="4" w:space="0"/>
              <w:left w:val="single" w:color="000000" w:sz="4" w:space="0"/>
              <w:bottom w:val="single" w:color="000000" w:sz="4" w:space="0"/>
              <w:right w:val="single" w:color="000000" w:sz="4" w:space="0"/>
            </w:tcBorders>
          </w:tcPr>
          <w:p w14:paraId="499AB5EF">
            <w:pPr>
              <w:pStyle w:val="132"/>
              <w:numPr>
                <w:ilvl w:val="0"/>
                <w:numId w:val="133"/>
              </w:numPr>
              <w:tabs>
                <w:tab w:val="left" w:pos="534"/>
              </w:tabs>
              <w:kinsoku w:val="0"/>
              <w:overflowPunct w:val="0"/>
              <w:spacing w:line="364" w:lineRule="auto"/>
              <w:ind w:right="89"/>
              <w:rPr>
                <w:rFonts w:ascii="黑体" w:hAnsi="黑体" w:eastAsia="黑体"/>
                <w:spacing w:val="-5"/>
                <w:sz w:val="18"/>
                <w:szCs w:val="18"/>
              </w:rPr>
            </w:pPr>
            <w:r>
              <w:rPr>
                <w:rFonts w:hint="eastAsia" w:ascii="黑体" w:hAnsi="黑体" w:eastAsia="黑体"/>
                <w:spacing w:val="-6"/>
                <w:sz w:val="18"/>
                <w:szCs w:val="18"/>
              </w:rPr>
              <w:t>基座必须增设防震桁梁，以加强地板稳固，并可事先配</w:t>
            </w:r>
            <w:r>
              <w:rPr>
                <w:rFonts w:hint="eastAsia" w:ascii="黑体" w:hAnsi="黑体" w:eastAsia="黑体"/>
                <w:spacing w:val="-5"/>
                <w:sz w:val="18"/>
                <w:szCs w:val="18"/>
              </w:rPr>
              <w:t>合业主需求，以增加重点区域的抗震能力。</w:t>
            </w:r>
          </w:p>
          <w:p w14:paraId="6638F623">
            <w:pPr>
              <w:pStyle w:val="132"/>
              <w:numPr>
                <w:ilvl w:val="0"/>
                <w:numId w:val="133"/>
              </w:numPr>
              <w:tabs>
                <w:tab w:val="left" w:pos="534"/>
              </w:tabs>
              <w:kinsoku w:val="0"/>
              <w:overflowPunct w:val="0"/>
              <w:spacing w:line="230" w:lineRule="exact"/>
              <w:ind w:hanging="429"/>
              <w:rPr>
                <w:rFonts w:ascii="黑体" w:hAnsi="黑体" w:eastAsia="黑体"/>
                <w:spacing w:val="-5"/>
                <w:sz w:val="18"/>
                <w:szCs w:val="18"/>
              </w:rPr>
            </w:pPr>
            <w:r>
              <w:rPr>
                <w:rFonts w:hint="eastAsia" w:ascii="黑体" w:hAnsi="黑体" w:eastAsia="黑体"/>
                <w:spacing w:val="-5"/>
                <w:sz w:val="18"/>
                <w:szCs w:val="18"/>
              </w:rPr>
              <w:t>桁梁采用放置式装置法并以方形铝管或钢制方管制成，确保装卸的</w:t>
            </w:r>
            <w:r>
              <w:rPr>
                <w:rFonts w:hint="eastAsia" w:ascii="黑体" w:hAnsi="黑体" w:eastAsia="黑体"/>
                <w:sz w:val="18"/>
                <w:szCs w:val="18"/>
              </w:rPr>
              <w:t>方便和耐腐蚀的要求。</w:t>
            </w:r>
          </w:p>
          <w:p w14:paraId="26076412">
            <w:pPr>
              <w:pStyle w:val="132"/>
              <w:tabs>
                <w:tab w:val="left" w:pos="533"/>
              </w:tabs>
              <w:kinsoku w:val="0"/>
              <w:overflowPunct w:val="0"/>
              <w:spacing w:line="228" w:lineRule="exact"/>
              <w:ind w:left="105"/>
              <w:rPr>
                <w:rFonts w:ascii="黑体" w:hAnsi="黑体" w:eastAsia="黑体"/>
                <w:spacing w:val="-5"/>
                <w:sz w:val="18"/>
                <w:szCs w:val="18"/>
              </w:rPr>
            </w:pPr>
            <w:r>
              <w:rPr>
                <w:rFonts w:ascii="黑体" w:hAnsi="黑体" w:eastAsia="黑体" w:cs="Calibri"/>
                <w:sz w:val="18"/>
                <w:szCs w:val="18"/>
              </w:rPr>
              <w:t>3)</w:t>
            </w:r>
            <w:r>
              <w:rPr>
                <w:rFonts w:ascii="黑体" w:hAnsi="黑体" w:eastAsia="黑体" w:cs="Calibri"/>
                <w:sz w:val="18"/>
                <w:szCs w:val="18"/>
              </w:rPr>
              <w:tab/>
            </w:r>
            <w:r>
              <w:rPr>
                <w:rFonts w:hint="eastAsia" w:ascii="黑体" w:hAnsi="黑体" w:eastAsia="黑体"/>
                <w:spacing w:val="-6"/>
                <w:sz w:val="18"/>
                <w:szCs w:val="18"/>
              </w:rPr>
              <w:t>桁梁中央挠度试验在跨距</w:t>
            </w:r>
            <w:r>
              <w:rPr>
                <w:rFonts w:ascii="黑体" w:hAnsi="黑体" w:eastAsia="黑体"/>
                <w:spacing w:val="-6"/>
                <w:sz w:val="18"/>
                <w:szCs w:val="18"/>
              </w:rPr>
              <w:t xml:space="preserve"> </w:t>
            </w:r>
            <w:r>
              <w:rPr>
                <w:rFonts w:ascii="黑体" w:hAnsi="黑体" w:eastAsia="黑体" w:cs="Calibri"/>
                <w:sz w:val="18"/>
                <w:szCs w:val="18"/>
              </w:rPr>
              <w:t>37cm</w:t>
            </w:r>
            <w:r>
              <w:rPr>
                <w:rFonts w:ascii="黑体" w:hAnsi="黑体" w:eastAsia="黑体" w:cs="Calibri"/>
                <w:spacing w:val="39"/>
                <w:sz w:val="18"/>
                <w:szCs w:val="18"/>
              </w:rPr>
              <w:t xml:space="preserve"> </w:t>
            </w:r>
            <w:r>
              <w:rPr>
                <w:rFonts w:hint="eastAsia" w:ascii="黑体" w:hAnsi="黑体" w:eastAsia="黑体"/>
                <w:spacing w:val="-5"/>
                <w:sz w:val="18"/>
                <w:szCs w:val="18"/>
              </w:rPr>
              <w:t>时，其降伏载重应大于</w:t>
            </w:r>
          </w:p>
          <w:p w14:paraId="25613392">
            <w:pPr>
              <w:pStyle w:val="132"/>
              <w:tabs>
                <w:tab w:val="left" w:pos="534"/>
              </w:tabs>
              <w:kinsoku w:val="0"/>
              <w:overflowPunct w:val="0"/>
              <w:spacing w:line="230" w:lineRule="exact"/>
              <w:ind w:left="533"/>
              <w:rPr>
                <w:rFonts w:ascii="黑体" w:hAnsi="黑体" w:eastAsia="黑体"/>
                <w:spacing w:val="-5"/>
                <w:sz w:val="18"/>
                <w:szCs w:val="18"/>
              </w:rPr>
            </w:pPr>
            <w:r>
              <w:rPr>
                <w:rFonts w:ascii="黑体" w:hAnsi="黑体" w:eastAsia="黑体" w:cs="Calibri"/>
                <w:sz w:val="18"/>
                <w:szCs w:val="18"/>
              </w:rPr>
              <w:t xml:space="preserve">130kgf </w:t>
            </w:r>
            <w:r>
              <w:rPr>
                <w:rFonts w:hint="eastAsia" w:ascii="黑体" w:hAnsi="黑体" w:eastAsia="黑体"/>
                <w:sz w:val="18"/>
                <w:szCs w:val="18"/>
              </w:rPr>
              <w:t>以上。</w:t>
            </w:r>
          </w:p>
        </w:tc>
        <w:tc>
          <w:tcPr>
            <w:tcW w:w="1422" w:type="dxa"/>
            <w:tcBorders>
              <w:top w:val="single" w:color="000000" w:sz="4" w:space="0"/>
              <w:left w:val="single" w:color="000000" w:sz="4" w:space="0"/>
              <w:bottom w:val="single" w:color="000000" w:sz="4" w:space="0"/>
              <w:right w:val="single" w:color="000000" w:sz="4" w:space="0"/>
            </w:tcBorders>
          </w:tcPr>
          <w:p w14:paraId="3A9F7CC6">
            <w:pPr>
              <w:pStyle w:val="132"/>
              <w:kinsoku w:val="0"/>
              <w:overflowPunct w:val="0"/>
              <w:rPr>
                <w:rFonts w:ascii="黑体" w:hAnsi="黑体" w:eastAsia="黑体"/>
                <w:b/>
                <w:bCs/>
                <w:sz w:val="18"/>
                <w:szCs w:val="18"/>
              </w:rPr>
            </w:pPr>
          </w:p>
          <w:p w14:paraId="20271BF0">
            <w:pPr>
              <w:pStyle w:val="132"/>
              <w:kinsoku w:val="0"/>
              <w:overflowPunct w:val="0"/>
              <w:spacing w:before="136" w:line="231" w:lineRule="exact"/>
              <w:ind w:left="111"/>
              <w:rPr>
                <w:rFonts w:ascii="黑体" w:hAnsi="黑体" w:eastAsia="黑体"/>
                <w:b/>
                <w:bCs/>
                <w:sz w:val="18"/>
                <w:szCs w:val="18"/>
              </w:rPr>
            </w:pPr>
            <w:r>
              <w:rPr>
                <w:rFonts w:hint="eastAsia" w:ascii="黑体" w:hAnsi="黑体" w:eastAsia="黑体"/>
                <w:b/>
                <w:bCs/>
                <w:sz w:val="18"/>
                <w:szCs w:val="18"/>
              </w:rPr>
              <w:t>□满足</w:t>
            </w:r>
          </w:p>
          <w:p w14:paraId="4D9A8751">
            <w:pPr>
              <w:pStyle w:val="132"/>
              <w:kinsoku w:val="0"/>
              <w:overflowPunct w:val="0"/>
              <w:ind w:left="111"/>
              <w:rPr>
                <w:rFonts w:ascii="黑体" w:hAnsi="黑体" w:eastAsia="黑体"/>
                <w:sz w:val="18"/>
                <w:szCs w:val="18"/>
              </w:rPr>
            </w:pPr>
            <w:r>
              <w:rPr>
                <w:rFonts w:hint="eastAsia" w:ascii="黑体" w:hAnsi="黑体" w:eastAsia="黑体"/>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5185C35D">
            <w:pPr>
              <w:pStyle w:val="132"/>
              <w:kinsoku w:val="0"/>
              <w:overflowPunct w:val="0"/>
              <w:rPr>
                <w:rFonts w:ascii="黑体" w:hAnsi="黑体" w:eastAsia="黑体" w:cs="Times New Roman"/>
                <w:sz w:val="18"/>
                <w:szCs w:val="18"/>
              </w:rPr>
            </w:pPr>
          </w:p>
        </w:tc>
      </w:tr>
      <w:tr w14:paraId="0250C20A">
        <w:tblPrEx>
          <w:tblCellMar>
            <w:top w:w="0" w:type="dxa"/>
            <w:left w:w="0" w:type="dxa"/>
            <w:bottom w:w="0" w:type="dxa"/>
            <w:right w:w="0" w:type="dxa"/>
          </w:tblCellMar>
        </w:tblPrEx>
        <w:trPr>
          <w:trHeight w:val="1401" w:hRule="atLeast"/>
        </w:trPr>
        <w:tc>
          <w:tcPr>
            <w:tcW w:w="725" w:type="dxa"/>
            <w:tcBorders>
              <w:top w:val="single" w:color="000000" w:sz="4" w:space="0"/>
              <w:left w:val="single" w:color="000000" w:sz="4" w:space="0"/>
              <w:bottom w:val="single" w:color="000000" w:sz="4" w:space="0"/>
              <w:right w:val="single" w:color="000000" w:sz="4" w:space="0"/>
            </w:tcBorders>
          </w:tcPr>
          <w:p w14:paraId="05C92FAB">
            <w:pPr>
              <w:pStyle w:val="132"/>
              <w:kinsoku w:val="0"/>
              <w:overflowPunct w:val="0"/>
              <w:rPr>
                <w:rFonts w:ascii="黑体" w:hAnsi="黑体" w:eastAsia="黑体"/>
                <w:b/>
                <w:bCs/>
                <w:sz w:val="18"/>
                <w:szCs w:val="18"/>
              </w:rPr>
            </w:pPr>
          </w:p>
          <w:p w14:paraId="6B2440F9">
            <w:pPr>
              <w:pStyle w:val="132"/>
              <w:kinsoku w:val="0"/>
              <w:overflowPunct w:val="0"/>
              <w:rPr>
                <w:rFonts w:ascii="黑体" w:hAnsi="黑体" w:eastAsia="黑体"/>
                <w:b/>
                <w:bCs/>
                <w:sz w:val="18"/>
                <w:szCs w:val="18"/>
              </w:rPr>
            </w:pPr>
          </w:p>
          <w:p w14:paraId="6791BB9C">
            <w:pPr>
              <w:pStyle w:val="132"/>
              <w:kinsoku w:val="0"/>
              <w:overflowPunct w:val="0"/>
              <w:rPr>
                <w:rFonts w:ascii="黑体" w:hAnsi="黑体" w:eastAsia="黑体"/>
                <w:b/>
                <w:bCs/>
                <w:sz w:val="18"/>
                <w:szCs w:val="18"/>
              </w:rPr>
            </w:pPr>
          </w:p>
          <w:p w14:paraId="07283135">
            <w:pPr>
              <w:pStyle w:val="132"/>
              <w:kinsoku w:val="0"/>
              <w:overflowPunct w:val="0"/>
              <w:rPr>
                <w:rFonts w:ascii="黑体" w:hAnsi="黑体" w:eastAsia="黑体"/>
                <w:b/>
                <w:bCs/>
                <w:sz w:val="18"/>
                <w:szCs w:val="18"/>
              </w:rPr>
            </w:pPr>
          </w:p>
          <w:p w14:paraId="65899D45">
            <w:pPr>
              <w:pStyle w:val="132"/>
              <w:kinsoku w:val="0"/>
              <w:overflowPunct w:val="0"/>
              <w:rPr>
                <w:rFonts w:ascii="黑体" w:hAnsi="黑体" w:eastAsia="黑体"/>
                <w:b/>
                <w:bCs/>
                <w:sz w:val="18"/>
                <w:szCs w:val="18"/>
              </w:rPr>
            </w:pPr>
          </w:p>
          <w:p w14:paraId="272E1202">
            <w:pPr>
              <w:pStyle w:val="132"/>
              <w:kinsoku w:val="0"/>
              <w:overflowPunct w:val="0"/>
              <w:rPr>
                <w:rFonts w:ascii="黑体" w:hAnsi="黑体" w:eastAsia="黑体"/>
                <w:b/>
                <w:bCs/>
                <w:sz w:val="18"/>
                <w:szCs w:val="18"/>
              </w:rPr>
            </w:pPr>
          </w:p>
          <w:p w14:paraId="3760300B">
            <w:pPr>
              <w:pStyle w:val="132"/>
              <w:kinsoku w:val="0"/>
              <w:overflowPunct w:val="0"/>
              <w:rPr>
                <w:rFonts w:ascii="黑体" w:hAnsi="黑体" w:eastAsia="黑体"/>
                <w:b/>
                <w:bCs/>
                <w:sz w:val="18"/>
                <w:szCs w:val="18"/>
              </w:rPr>
            </w:pPr>
            <w:r>
              <w:rPr>
                <w:rFonts w:ascii="黑体" w:hAnsi="黑体" w:eastAsia="黑体"/>
                <w:b/>
                <w:bCs/>
                <w:sz w:val="18"/>
                <w:szCs w:val="18"/>
              </w:rPr>
              <w:t xml:space="preserve">3.3 </w:t>
            </w:r>
          </w:p>
        </w:tc>
        <w:tc>
          <w:tcPr>
            <w:tcW w:w="1277" w:type="dxa"/>
            <w:tcBorders>
              <w:top w:val="single" w:color="000000" w:sz="4" w:space="0"/>
              <w:left w:val="single" w:color="000000" w:sz="4" w:space="0"/>
              <w:bottom w:val="single" w:color="000000" w:sz="4" w:space="0"/>
              <w:right w:val="single" w:color="000000" w:sz="4" w:space="0"/>
            </w:tcBorders>
          </w:tcPr>
          <w:p w14:paraId="70EE5154">
            <w:pPr>
              <w:pStyle w:val="132"/>
              <w:kinsoku w:val="0"/>
              <w:overflowPunct w:val="0"/>
              <w:rPr>
                <w:rFonts w:ascii="黑体" w:hAnsi="黑体" w:eastAsia="黑体"/>
                <w:b/>
                <w:bCs/>
                <w:sz w:val="18"/>
                <w:szCs w:val="18"/>
              </w:rPr>
            </w:pPr>
          </w:p>
          <w:p w14:paraId="7EBEE2D1">
            <w:pPr>
              <w:pStyle w:val="132"/>
              <w:kinsoku w:val="0"/>
              <w:overflowPunct w:val="0"/>
              <w:rPr>
                <w:rFonts w:ascii="黑体" w:hAnsi="黑体" w:eastAsia="黑体"/>
                <w:b/>
                <w:bCs/>
                <w:sz w:val="18"/>
                <w:szCs w:val="18"/>
              </w:rPr>
            </w:pPr>
          </w:p>
          <w:p w14:paraId="4E392F4F">
            <w:pPr>
              <w:pStyle w:val="132"/>
              <w:kinsoku w:val="0"/>
              <w:overflowPunct w:val="0"/>
              <w:rPr>
                <w:rFonts w:ascii="黑体" w:hAnsi="黑体" w:eastAsia="黑体"/>
                <w:b/>
                <w:bCs/>
                <w:sz w:val="18"/>
                <w:szCs w:val="18"/>
              </w:rPr>
            </w:pPr>
          </w:p>
          <w:p w14:paraId="1F15C2F3">
            <w:pPr>
              <w:pStyle w:val="132"/>
              <w:kinsoku w:val="0"/>
              <w:overflowPunct w:val="0"/>
              <w:rPr>
                <w:rFonts w:ascii="黑体" w:hAnsi="黑体" w:eastAsia="黑体"/>
                <w:b/>
                <w:bCs/>
                <w:sz w:val="18"/>
                <w:szCs w:val="18"/>
              </w:rPr>
            </w:pPr>
          </w:p>
          <w:p w14:paraId="4956F359">
            <w:pPr>
              <w:pStyle w:val="132"/>
              <w:kinsoku w:val="0"/>
              <w:overflowPunct w:val="0"/>
              <w:rPr>
                <w:rFonts w:ascii="黑体" w:hAnsi="黑体" w:eastAsia="黑体"/>
                <w:b/>
                <w:bCs/>
                <w:sz w:val="18"/>
                <w:szCs w:val="18"/>
              </w:rPr>
            </w:pPr>
          </w:p>
          <w:p w14:paraId="055AAB68">
            <w:pPr>
              <w:pStyle w:val="132"/>
              <w:kinsoku w:val="0"/>
              <w:overflowPunct w:val="0"/>
              <w:rPr>
                <w:rFonts w:ascii="黑体" w:hAnsi="黑体" w:eastAsia="黑体"/>
                <w:b/>
                <w:bCs/>
                <w:sz w:val="18"/>
                <w:szCs w:val="18"/>
              </w:rPr>
            </w:pPr>
            <w:r>
              <w:rPr>
                <w:rFonts w:hint="eastAsia" w:ascii="黑体" w:hAnsi="黑体" w:eastAsia="黑体"/>
                <w:b/>
                <w:bCs/>
                <w:sz w:val="18"/>
                <w:szCs w:val="18"/>
              </w:rPr>
              <w:t>地板基座部分</w:t>
            </w:r>
          </w:p>
        </w:tc>
        <w:tc>
          <w:tcPr>
            <w:tcW w:w="4960" w:type="dxa"/>
            <w:gridSpan w:val="2"/>
            <w:tcBorders>
              <w:top w:val="single" w:color="000000" w:sz="4" w:space="0"/>
              <w:left w:val="single" w:color="000000" w:sz="4" w:space="0"/>
              <w:bottom w:val="single" w:color="000000" w:sz="4" w:space="0"/>
              <w:right w:val="single" w:color="000000" w:sz="4" w:space="0"/>
            </w:tcBorders>
          </w:tcPr>
          <w:p w14:paraId="719EDC3F">
            <w:pPr>
              <w:pStyle w:val="132"/>
              <w:numPr>
                <w:ilvl w:val="0"/>
                <w:numId w:val="134"/>
              </w:numPr>
              <w:tabs>
                <w:tab w:val="left" w:pos="534"/>
              </w:tabs>
              <w:kinsoku w:val="0"/>
              <w:overflowPunct w:val="0"/>
              <w:spacing w:line="364" w:lineRule="auto"/>
              <w:ind w:right="13"/>
              <w:rPr>
                <w:rFonts w:ascii="黑体" w:hAnsi="黑体" w:eastAsia="黑体"/>
                <w:spacing w:val="-6"/>
                <w:sz w:val="18"/>
                <w:szCs w:val="18"/>
              </w:rPr>
            </w:pPr>
            <w:r>
              <w:rPr>
                <w:rFonts w:hint="eastAsia" w:ascii="黑体" w:hAnsi="黑体" w:eastAsia="黑体"/>
                <w:spacing w:val="-6"/>
                <w:sz w:val="18"/>
                <w:szCs w:val="18"/>
              </w:rPr>
              <w:t>基座采用铝合金材料或镀锌材料压铸制成品，按</w:t>
            </w:r>
            <w:r>
              <w:rPr>
                <w:rFonts w:ascii="黑体" w:hAnsi="黑体" w:eastAsia="黑体"/>
                <w:spacing w:val="-6"/>
                <w:sz w:val="18"/>
                <w:szCs w:val="18"/>
              </w:rPr>
              <w:t xml:space="preserve">CNS10678A2171 </w:t>
            </w:r>
            <w:r>
              <w:rPr>
                <w:rFonts w:hint="eastAsia" w:ascii="黑体" w:hAnsi="黑体" w:eastAsia="黑体"/>
                <w:spacing w:val="-6"/>
                <w:sz w:val="18"/>
                <w:szCs w:val="18"/>
              </w:rPr>
              <w:t>的规定，需具有</w:t>
            </w:r>
            <w:r>
              <w:rPr>
                <w:rFonts w:ascii="黑体" w:hAnsi="黑体" w:eastAsia="黑体"/>
                <w:spacing w:val="-6"/>
                <w:sz w:val="18"/>
                <w:szCs w:val="18"/>
              </w:rPr>
              <w:t xml:space="preserve"> 6000kg </w:t>
            </w:r>
            <w:r>
              <w:rPr>
                <w:rFonts w:hint="eastAsia" w:ascii="黑体" w:hAnsi="黑体" w:eastAsia="黑体"/>
                <w:spacing w:val="-6"/>
                <w:sz w:val="18"/>
                <w:szCs w:val="18"/>
              </w:rPr>
              <w:t>以上的破坏强度。</w:t>
            </w:r>
          </w:p>
          <w:p w14:paraId="34D289DD">
            <w:pPr>
              <w:pStyle w:val="132"/>
              <w:numPr>
                <w:ilvl w:val="0"/>
                <w:numId w:val="134"/>
              </w:numPr>
              <w:tabs>
                <w:tab w:val="left" w:pos="534"/>
              </w:tabs>
              <w:kinsoku w:val="0"/>
              <w:overflowPunct w:val="0"/>
              <w:spacing w:line="364" w:lineRule="auto"/>
              <w:ind w:right="88"/>
              <w:rPr>
                <w:rFonts w:ascii="黑体" w:hAnsi="黑体" w:eastAsia="黑体"/>
                <w:spacing w:val="-6"/>
                <w:sz w:val="18"/>
                <w:szCs w:val="18"/>
              </w:rPr>
            </w:pPr>
            <w:r>
              <w:rPr>
                <w:rFonts w:hint="eastAsia" w:ascii="黑体" w:hAnsi="黑体" w:eastAsia="黑体"/>
                <w:spacing w:val="-6"/>
                <w:sz w:val="18"/>
                <w:szCs w:val="18"/>
              </w:rPr>
              <w:t>为达到</w:t>
            </w:r>
            <w:r>
              <w:rPr>
                <w:rFonts w:ascii="黑体" w:hAnsi="黑体" w:eastAsia="黑体"/>
                <w:spacing w:val="-6"/>
                <w:sz w:val="18"/>
                <w:szCs w:val="18"/>
              </w:rPr>
              <w:t xml:space="preserve"> 0.5g </w:t>
            </w:r>
            <w:r>
              <w:rPr>
                <w:rFonts w:hint="eastAsia" w:ascii="黑体" w:hAnsi="黑体" w:eastAsia="黑体"/>
                <w:spacing w:val="-6"/>
                <w:sz w:val="18"/>
                <w:szCs w:val="18"/>
              </w:rPr>
              <w:t>抗震系数，除设置防震桁梁，基座的底盘直径应为</w:t>
            </w:r>
            <w:r>
              <w:rPr>
                <w:rFonts w:ascii="黑体" w:hAnsi="黑体" w:eastAsia="黑体"/>
                <w:spacing w:val="-6"/>
                <w:sz w:val="18"/>
                <w:szCs w:val="18"/>
              </w:rPr>
              <w:t xml:space="preserve"> 160mm</w:t>
            </w:r>
            <w:r>
              <w:rPr>
                <w:rFonts w:hint="eastAsia" w:ascii="黑体" w:hAnsi="黑体" w:eastAsia="黑体"/>
                <w:spacing w:val="-6"/>
                <w:sz w:val="18"/>
                <w:szCs w:val="18"/>
              </w:rPr>
              <w:t>，支撑所用的圆管管径以</w:t>
            </w:r>
            <w:r>
              <w:rPr>
                <w:rFonts w:ascii="黑体" w:hAnsi="黑体" w:eastAsia="黑体"/>
                <w:spacing w:val="-6"/>
                <w:sz w:val="18"/>
                <w:szCs w:val="18"/>
              </w:rPr>
              <w:t xml:space="preserve"> 40mm </w:t>
            </w:r>
            <w:r>
              <w:rPr>
                <w:rFonts w:hint="eastAsia" w:ascii="黑体" w:hAnsi="黑体" w:eastAsia="黑体"/>
                <w:spacing w:val="-6"/>
                <w:sz w:val="18"/>
                <w:szCs w:val="18"/>
              </w:rPr>
              <w:t>连接，上基座头为特殊角扣以加强地板稳定性。</w:t>
            </w:r>
          </w:p>
          <w:p w14:paraId="33ED13A2">
            <w:pPr>
              <w:pStyle w:val="132"/>
              <w:numPr>
                <w:ilvl w:val="0"/>
                <w:numId w:val="134"/>
              </w:numPr>
              <w:tabs>
                <w:tab w:val="left" w:pos="534"/>
              </w:tabs>
              <w:kinsoku w:val="0"/>
              <w:overflowPunct w:val="0"/>
              <w:ind w:hanging="429"/>
              <w:rPr>
                <w:rFonts w:ascii="黑体" w:hAnsi="黑体" w:eastAsia="黑体"/>
                <w:spacing w:val="-6"/>
                <w:sz w:val="18"/>
                <w:szCs w:val="18"/>
              </w:rPr>
            </w:pPr>
            <w:r>
              <w:rPr>
                <w:rFonts w:hint="eastAsia" w:ascii="黑体" w:hAnsi="黑体" w:eastAsia="黑体"/>
                <w:spacing w:val="-6"/>
                <w:sz w:val="18"/>
                <w:szCs w:val="18"/>
              </w:rPr>
              <w:t>基座与地板的固定应使用专用黏剂黏著。</w:t>
            </w:r>
          </w:p>
          <w:p w14:paraId="648519EB">
            <w:pPr>
              <w:pStyle w:val="132"/>
              <w:numPr>
                <w:ilvl w:val="0"/>
                <w:numId w:val="134"/>
              </w:numPr>
              <w:tabs>
                <w:tab w:val="left" w:pos="534"/>
              </w:tabs>
              <w:kinsoku w:val="0"/>
              <w:overflowPunct w:val="0"/>
              <w:spacing w:before="16" w:line="350" w:lineRule="exact"/>
              <w:ind w:right="89"/>
              <w:rPr>
                <w:rFonts w:ascii="黑体" w:hAnsi="黑体" w:eastAsia="黑体"/>
                <w:spacing w:val="-6"/>
                <w:sz w:val="18"/>
                <w:szCs w:val="18"/>
              </w:rPr>
            </w:pPr>
            <w:r>
              <w:rPr>
                <w:rFonts w:hint="eastAsia" w:ascii="黑体" w:hAnsi="黑体" w:eastAsia="黑体"/>
                <w:spacing w:val="-6"/>
                <w:sz w:val="18"/>
                <w:szCs w:val="18"/>
              </w:rPr>
              <w:t>为确保良好的静电消除的需要，每支基座均有接地铜线的预留环扣以利串接。</w:t>
            </w:r>
          </w:p>
        </w:tc>
        <w:tc>
          <w:tcPr>
            <w:tcW w:w="1422" w:type="dxa"/>
            <w:tcBorders>
              <w:top w:val="single" w:color="000000" w:sz="4" w:space="0"/>
              <w:left w:val="single" w:color="000000" w:sz="4" w:space="0"/>
              <w:bottom w:val="single" w:color="000000" w:sz="4" w:space="0"/>
              <w:right w:val="single" w:color="000000" w:sz="4" w:space="0"/>
            </w:tcBorders>
          </w:tcPr>
          <w:p w14:paraId="12139958">
            <w:pPr>
              <w:pStyle w:val="132"/>
              <w:kinsoku w:val="0"/>
              <w:overflowPunct w:val="0"/>
              <w:rPr>
                <w:rFonts w:ascii="黑体" w:hAnsi="黑体" w:eastAsia="黑体"/>
                <w:b/>
                <w:bCs/>
                <w:sz w:val="18"/>
                <w:szCs w:val="18"/>
              </w:rPr>
            </w:pPr>
          </w:p>
          <w:p w14:paraId="415C8EDB">
            <w:pPr>
              <w:pStyle w:val="132"/>
              <w:kinsoku w:val="0"/>
              <w:overflowPunct w:val="0"/>
              <w:rPr>
                <w:rFonts w:ascii="黑体" w:hAnsi="黑体" w:eastAsia="黑体"/>
                <w:b/>
                <w:bCs/>
                <w:sz w:val="18"/>
                <w:szCs w:val="18"/>
              </w:rPr>
            </w:pPr>
          </w:p>
          <w:p w14:paraId="01D0B4C5">
            <w:pPr>
              <w:pStyle w:val="132"/>
              <w:kinsoku w:val="0"/>
              <w:overflowPunct w:val="0"/>
              <w:rPr>
                <w:rFonts w:ascii="黑体" w:hAnsi="黑体" w:eastAsia="黑体"/>
                <w:b/>
                <w:bCs/>
                <w:sz w:val="18"/>
                <w:szCs w:val="18"/>
              </w:rPr>
            </w:pPr>
          </w:p>
          <w:p w14:paraId="478E77A4">
            <w:pPr>
              <w:pStyle w:val="132"/>
              <w:kinsoku w:val="0"/>
              <w:overflowPunct w:val="0"/>
              <w:rPr>
                <w:rFonts w:ascii="黑体" w:hAnsi="黑体" w:eastAsia="黑体"/>
                <w:b/>
                <w:bCs/>
                <w:sz w:val="18"/>
                <w:szCs w:val="18"/>
              </w:rPr>
            </w:pPr>
          </w:p>
          <w:p w14:paraId="37618F4D">
            <w:pPr>
              <w:pStyle w:val="132"/>
              <w:kinsoku w:val="0"/>
              <w:overflowPunct w:val="0"/>
              <w:rPr>
                <w:rFonts w:ascii="黑体" w:hAnsi="黑体" w:eastAsia="黑体"/>
                <w:b/>
                <w:bCs/>
                <w:sz w:val="18"/>
                <w:szCs w:val="18"/>
              </w:rPr>
            </w:pPr>
          </w:p>
          <w:p w14:paraId="203BFB13">
            <w:pPr>
              <w:pStyle w:val="132"/>
              <w:kinsoku w:val="0"/>
              <w:overflowPunct w:val="0"/>
              <w:rPr>
                <w:rFonts w:ascii="黑体" w:hAnsi="黑体" w:eastAsia="黑体"/>
                <w:b/>
                <w:bCs/>
                <w:sz w:val="18"/>
                <w:szCs w:val="18"/>
              </w:rPr>
            </w:pPr>
            <w:r>
              <w:rPr>
                <w:rFonts w:hint="eastAsia" w:ascii="黑体" w:hAnsi="黑体" w:eastAsia="黑体"/>
                <w:b/>
                <w:bCs/>
                <w:sz w:val="18"/>
                <w:szCs w:val="18"/>
              </w:rPr>
              <w:t>□满足</w:t>
            </w:r>
          </w:p>
          <w:p w14:paraId="6CD82A69">
            <w:pPr>
              <w:pStyle w:val="132"/>
              <w:kinsoku w:val="0"/>
              <w:overflowPunct w:val="0"/>
              <w:rPr>
                <w:rFonts w:ascii="黑体" w:hAnsi="黑体" w:eastAsia="黑体"/>
                <w:b/>
                <w:bCs/>
                <w:sz w:val="18"/>
                <w:szCs w:val="18"/>
              </w:rPr>
            </w:pPr>
            <w:r>
              <w:rPr>
                <w:rFonts w:hint="eastAsia" w:ascii="黑体" w:hAnsi="黑体" w:eastAsia="黑体"/>
                <w:b/>
                <w:bCs/>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7304F69C">
            <w:pPr>
              <w:pStyle w:val="132"/>
              <w:kinsoku w:val="0"/>
              <w:overflowPunct w:val="0"/>
              <w:rPr>
                <w:rFonts w:ascii="黑体" w:hAnsi="黑体" w:eastAsia="黑体" w:cs="Times New Roman"/>
                <w:sz w:val="18"/>
                <w:szCs w:val="18"/>
              </w:rPr>
            </w:pPr>
          </w:p>
        </w:tc>
      </w:tr>
      <w:tr w14:paraId="372D18FF">
        <w:tblPrEx>
          <w:tblCellMar>
            <w:top w:w="0" w:type="dxa"/>
            <w:left w:w="0" w:type="dxa"/>
            <w:bottom w:w="0" w:type="dxa"/>
            <w:right w:w="0" w:type="dxa"/>
          </w:tblCellMar>
        </w:tblPrEx>
        <w:trPr>
          <w:trHeight w:val="1401" w:hRule="atLeast"/>
        </w:trPr>
        <w:tc>
          <w:tcPr>
            <w:tcW w:w="725" w:type="dxa"/>
            <w:tcBorders>
              <w:top w:val="single" w:color="000000" w:sz="4" w:space="0"/>
              <w:left w:val="single" w:color="000000" w:sz="4" w:space="0"/>
              <w:bottom w:val="single" w:color="000000" w:sz="4" w:space="0"/>
              <w:right w:val="single" w:color="000000" w:sz="4" w:space="0"/>
            </w:tcBorders>
          </w:tcPr>
          <w:p w14:paraId="6452C1AD">
            <w:pPr>
              <w:pStyle w:val="132"/>
              <w:kinsoku w:val="0"/>
              <w:overflowPunct w:val="0"/>
              <w:rPr>
                <w:rFonts w:ascii="黑体" w:hAnsi="黑体" w:eastAsia="黑体"/>
                <w:b/>
                <w:bCs/>
                <w:sz w:val="18"/>
                <w:szCs w:val="18"/>
              </w:rPr>
            </w:pPr>
          </w:p>
          <w:p w14:paraId="4819E558">
            <w:pPr>
              <w:pStyle w:val="132"/>
              <w:kinsoku w:val="0"/>
              <w:overflowPunct w:val="0"/>
              <w:rPr>
                <w:rFonts w:ascii="黑体" w:hAnsi="黑体" w:eastAsia="黑体"/>
                <w:b/>
                <w:bCs/>
                <w:sz w:val="18"/>
                <w:szCs w:val="18"/>
              </w:rPr>
            </w:pPr>
          </w:p>
          <w:p w14:paraId="5D84C81F">
            <w:pPr>
              <w:pStyle w:val="132"/>
              <w:kinsoku w:val="0"/>
              <w:overflowPunct w:val="0"/>
              <w:rPr>
                <w:rFonts w:ascii="黑体" w:hAnsi="黑体" w:eastAsia="黑体"/>
                <w:b/>
                <w:bCs/>
                <w:sz w:val="18"/>
                <w:szCs w:val="18"/>
              </w:rPr>
            </w:pPr>
          </w:p>
          <w:p w14:paraId="52392CF5">
            <w:pPr>
              <w:pStyle w:val="132"/>
              <w:kinsoku w:val="0"/>
              <w:overflowPunct w:val="0"/>
              <w:rPr>
                <w:rFonts w:ascii="黑体" w:hAnsi="黑体" w:eastAsia="黑体"/>
                <w:b/>
                <w:bCs/>
                <w:sz w:val="18"/>
                <w:szCs w:val="18"/>
              </w:rPr>
            </w:pPr>
            <w:r>
              <w:rPr>
                <w:rFonts w:ascii="黑体" w:hAnsi="黑体" w:eastAsia="黑体"/>
                <w:b/>
                <w:bCs/>
                <w:sz w:val="18"/>
                <w:szCs w:val="18"/>
              </w:rPr>
              <w:t xml:space="preserve">3.4 </w:t>
            </w:r>
          </w:p>
        </w:tc>
        <w:tc>
          <w:tcPr>
            <w:tcW w:w="1277" w:type="dxa"/>
            <w:tcBorders>
              <w:top w:val="single" w:color="000000" w:sz="4" w:space="0"/>
              <w:left w:val="single" w:color="000000" w:sz="4" w:space="0"/>
              <w:bottom w:val="single" w:color="000000" w:sz="4" w:space="0"/>
              <w:right w:val="single" w:color="000000" w:sz="4" w:space="0"/>
            </w:tcBorders>
          </w:tcPr>
          <w:p w14:paraId="4F4760A2">
            <w:pPr>
              <w:pStyle w:val="132"/>
              <w:kinsoku w:val="0"/>
              <w:overflowPunct w:val="0"/>
              <w:rPr>
                <w:rFonts w:ascii="黑体" w:hAnsi="黑体" w:eastAsia="黑体"/>
                <w:b/>
                <w:bCs/>
                <w:sz w:val="18"/>
                <w:szCs w:val="18"/>
              </w:rPr>
            </w:pPr>
          </w:p>
          <w:p w14:paraId="5362F80B">
            <w:pPr>
              <w:pStyle w:val="132"/>
              <w:kinsoku w:val="0"/>
              <w:overflowPunct w:val="0"/>
              <w:rPr>
                <w:rFonts w:ascii="黑体" w:hAnsi="黑体" w:eastAsia="黑体"/>
                <w:b/>
                <w:bCs/>
                <w:sz w:val="18"/>
                <w:szCs w:val="18"/>
              </w:rPr>
            </w:pPr>
          </w:p>
          <w:p w14:paraId="19924896">
            <w:pPr>
              <w:pStyle w:val="132"/>
              <w:kinsoku w:val="0"/>
              <w:overflowPunct w:val="0"/>
              <w:rPr>
                <w:rFonts w:ascii="黑体" w:hAnsi="黑体" w:eastAsia="黑体"/>
                <w:b/>
                <w:bCs/>
                <w:sz w:val="18"/>
                <w:szCs w:val="18"/>
              </w:rPr>
            </w:pPr>
          </w:p>
          <w:p w14:paraId="334B55F1">
            <w:pPr>
              <w:pStyle w:val="132"/>
              <w:kinsoku w:val="0"/>
              <w:overflowPunct w:val="0"/>
              <w:rPr>
                <w:rFonts w:ascii="黑体" w:hAnsi="黑体" w:eastAsia="黑体"/>
                <w:b/>
                <w:bCs/>
                <w:sz w:val="18"/>
                <w:szCs w:val="18"/>
              </w:rPr>
            </w:pPr>
            <w:r>
              <w:rPr>
                <w:rFonts w:hint="eastAsia" w:ascii="黑体" w:hAnsi="黑体" w:eastAsia="黑体"/>
                <w:b/>
                <w:bCs/>
                <w:sz w:val="18"/>
                <w:szCs w:val="18"/>
              </w:rPr>
              <w:t>消间垫片</w:t>
            </w:r>
          </w:p>
        </w:tc>
        <w:tc>
          <w:tcPr>
            <w:tcW w:w="4960" w:type="dxa"/>
            <w:gridSpan w:val="2"/>
            <w:tcBorders>
              <w:top w:val="single" w:color="000000" w:sz="4" w:space="0"/>
              <w:left w:val="single" w:color="000000" w:sz="4" w:space="0"/>
              <w:bottom w:val="single" w:color="000000" w:sz="4" w:space="0"/>
              <w:right w:val="single" w:color="000000" w:sz="4" w:space="0"/>
            </w:tcBorders>
          </w:tcPr>
          <w:p w14:paraId="040E3284">
            <w:pPr>
              <w:pStyle w:val="132"/>
              <w:numPr>
                <w:ilvl w:val="0"/>
                <w:numId w:val="135"/>
              </w:numPr>
              <w:tabs>
                <w:tab w:val="left" w:pos="534"/>
              </w:tabs>
              <w:kinsoku w:val="0"/>
              <w:overflowPunct w:val="0"/>
              <w:spacing w:before="2" w:line="362" w:lineRule="auto"/>
              <w:ind w:right="87"/>
              <w:rPr>
                <w:rFonts w:ascii="黑体" w:hAnsi="黑体" w:eastAsia="黑体"/>
                <w:spacing w:val="-6"/>
                <w:sz w:val="18"/>
                <w:szCs w:val="18"/>
              </w:rPr>
            </w:pPr>
            <w:r>
              <w:rPr>
                <w:rFonts w:hint="eastAsia" w:ascii="黑体" w:hAnsi="黑体" w:eastAsia="黑体"/>
                <w:spacing w:val="-6"/>
                <w:sz w:val="18"/>
                <w:szCs w:val="18"/>
              </w:rPr>
              <w:t>地板冲击性能试验后，</w:t>
            </w:r>
            <w:r>
              <w:rPr>
                <w:rFonts w:ascii="黑体" w:hAnsi="黑体" w:eastAsia="黑体"/>
                <w:spacing w:val="-6"/>
                <w:sz w:val="18"/>
                <w:szCs w:val="18"/>
              </w:rPr>
              <w:t xml:space="preserve"> </w:t>
            </w:r>
            <w:r>
              <w:rPr>
                <w:rFonts w:hint="eastAsia" w:ascii="黑体" w:hAnsi="黑体" w:eastAsia="黑体"/>
                <w:spacing w:val="-6"/>
                <w:sz w:val="18"/>
                <w:szCs w:val="18"/>
              </w:rPr>
              <w:t>地板板面永久变形应≤</w:t>
            </w:r>
            <w:r>
              <w:rPr>
                <w:rFonts w:ascii="黑体" w:hAnsi="黑体" w:eastAsia="黑体"/>
                <w:spacing w:val="-6"/>
                <w:sz w:val="18"/>
                <w:szCs w:val="18"/>
              </w:rPr>
              <w:t xml:space="preserve"> 1.5 mm</w:t>
            </w:r>
            <w:r>
              <w:rPr>
                <w:rFonts w:hint="eastAsia" w:ascii="黑体" w:hAnsi="黑体" w:eastAsia="黑体"/>
                <w:spacing w:val="-6"/>
                <w:sz w:val="18"/>
                <w:szCs w:val="18"/>
              </w:rPr>
              <w:t>，不能有破损面板与基座间需覆以</w:t>
            </w:r>
            <w:r>
              <w:rPr>
                <w:rFonts w:ascii="黑体" w:hAnsi="黑体" w:eastAsia="黑体"/>
                <w:spacing w:val="-6"/>
                <w:sz w:val="18"/>
                <w:szCs w:val="18"/>
              </w:rPr>
              <w:t xml:space="preserve"> 1.0mm </w:t>
            </w:r>
            <w:r>
              <w:rPr>
                <w:rFonts w:hint="eastAsia" w:ascii="黑体" w:hAnsi="黑体" w:eastAsia="黑体"/>
                <w:spacing w:val="-6"/>
                <w:sz w:val="18"/>
                <w:szCs w:val="18"/>
              </w:rPr>
              <w:t>的消音垫片，其电阻值必须小于</w:t>
            </w:r>
            <w:r>
              <w:rPr>
                <w:rFonts w:ascii="黑体" w:hAnsi="黑体" w:eastAsia="黑体"/>
                <w:spacing w:val="-6"/>
                <w:sz w:val="18"/>
                <w:szCs w:val="18"/>
              </w:rPr>
              <w:t xml:space="preserve"> 5 </w:t>
            </w:r>
            <w:r>
              <w:rPr>
                <w:rFonts w:hint="eastAsia" w:ascii="黑体" w:hAnsi="黑体" w:eastAsia="黑体"/>
                <w:spacing w:val="-6"/>
                <w:sz w:val="18"/>
                <w:szCs w:val="18"/>
              </w:rPr>
              <w:t>欧姆以下。</w:t>
            </w:r>
          </w:p>
          <w:p w14:paraId="55081993">
            <w:pPr>
              <w:pStyle w:val="132"/>
              <w:numPr>
                <w:ilvl w:val="0"/>
                <w:numId w:val="135"/>
              </w:numPr>
              <w:tabs>
                <w:tab w:val="left" w:pos="534"/>
              </w:tabs>
              <w:kinsoku w:val="0"/>
              <w:overflowPunct w:val="0"/>
              <w:spacing w:before="2"/>
              <w:ind w:hanging="429"/>
              <w:rPr>
                <w:rFonts w:ascii="黑体" w:hAnsi="黑体" w:eastAsia="黑体"/>
                <w:spacing w:val="-6"/>
                <w:sz w:val="18"/>
                <w:szCs w:val="18"/>
              </w:rPr>
            </w:pPr>
            <w:r>
              <w:rPr>
                <w:rFonts w:hint="eastAsia" w:ascii="黑体" w:hAnsi="黑体" w:eastAsia="黑体"/>
                <w:spacing w:val="-6"/>
                <w:sz w:val="18"/>
                <w:szCs w:val="18"/>
              </w:rPr>
              <w:t>垫片内须以不锈钢铁网补强，以增加导电及耐磨效</w:t>
            </w:r>
          </w:p>
          <w:p w14:paraId="7B410D5C">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hint="eastAsia" w:ascii="黑体" w:hAnsi="黑体" w:eastAsia="黑体"/>
                <w:spacing w:val="-6"/>
                <w:sz w:val="18"/>
                <w:szCs w:val="18"/>
              </w:rPr>
              <w:t>果。</w:t>
            </w:r>
          </w:p>
        </w:tc>
        <w:tc>
          <w:tcPr>
            <w:tcW w:w="1422" w:type="dxa"/>
            <w:tcBorders>
              <w:top w:val="single" w:color="000000" w:sz="4" w:space="0"/>
              <w:left w:val="single" w:color="000000" w:sz="4" w:space="0"/>
              <w:bottom w:val="single" w:color="000000" w:sz="4" w:space="0"/>
              <w:right w:val="single" w:color="000000" w:sz="4" w:space="0"/>
            </w:tcBorders>
          </w:tcPr>
          <w:p w14:paraId="0A3DADE0">
            <w:pPr>
              <w:pStyle w:val="132"/>
              <w:kinsoku w:val="0"/>
              <w:overflowPunct w:val="0"/>
              <w:rPr>
                <w:rFonts w:ascii="黑体" w:hAnsi="黑体" w:eastAsia="黑体"/>
                <w:b/>
                <w:bCs/>
                <w:sz w:val="18"/>
                <w:szCs w:val="18"/>
              </w:rPr>
            </w:pPr>
          </w:p>
          <w:p w14:paraId="2195F3E4">
            <w:pPr>
              <w:pStyle w:val="132"/>
              <w:kinsoku w:val="0"/>
              <w:overflowPunct w:val="0"/>
              <w:rPr>
                <w:rFonts w:ascii="黑体" w:hAnsi="黑体" w:eastAsia="黑体"/>
                <w:b/>
                <w:bCs/>
                <w:sz w:val="18"/>
                <w:szCs w:val="18"/>
              </w:rPr>
            </w:pPr>
          </w:p>
          <w:p w14:paraId="4E01E50B">
            <w:pPr>
              <w:pStyle w:val="132"/>
              <w:kinsoku w:val="0"/>
              <w:overflowPunct w:val="0"/>
              <w:rPr>
                <w:rFonts w:ascii="黑体" w:hAnsi="黑体" w:eastAsia="黑体"/>
                <w:b/>
                <w:bCs/>
                <w:sz w:val="18"/>
                <w:szCs w:val="18"/>
              </w:rPr>
            </w:pPr>
            <w:r>
              <w:rPr>
                <w:rFonts w:hint="eastAsia" w:ascii="黑体" w:hAnsi="黑体" w:eastAsia="黑体"/>
                <w:b/>
                <w:bCs/>
                <w:sz w:val="18"/>
                <w:szCs w:val="18"/>
              </w:rPr>
              <w:t>□满足</w:t>
            </w:r>
          </w:p>
          <w:p w14:paraId="3B5D6254">
            <w:pPr>
              <w:pStyle w:val="132"/>
              <w:kinsoku w:val="0"/>
              <w:overflowPunct w:val="0"/>
              <w:rPr>
                <w:rFonts w:ascii="黑体" w:hAnsi="黑体" w:eastAsia="黑体"/>
                <w:b/>
                <w:bCs/>
                <w:sz w:val="18"/>
                <w:szCs w:val="18"/>
              </w:rPr>
            </w:pPr>
            <w:r>
              <w:rPr>
                <w:rFonts w:hint="eastAsia" w:ascii="黑体" w:hAnsi="黑体" w:eastAsia="黑体"/>
                <w:b/>
                <w:bCs/>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736CB353">
            <w:pPr>
              <w:pStyle w:val="132"/>
              <w:kinsoku w:val="0"/>
              <w:overflowPunct w:val="0"/>
              <w:rPr>
                <w:rFonts w:ascii="黑体" w:hAnsi="黑体" w:eastAsia="黑体" w:cs="Times New Roman"/>
                <w:sz w:val="18"/>
                <w:szCs w:val="18"/>
              </w:rPr>
            </w:pPr>
          </w:p>
        </w:tc>
      </w:tr>
      <w:tr w14:paraId="2CDDA514">
        <w:tblPrEx>
          <w:tblCellMar>
            <w:top w:w="0" w:type="dxa"/>
            <w:left w:w="0" w:type="dxa"/>
            <w:bottom w:w="0" w:type="dxa"/>
            <w:right w:w="0" w:type="dxa"/>
          </w:tblCellMar>
        </w:tblPrEx>
        <w:trPr>
          <w:trHeight w:val="1401" w:hRule="atLeast"/>
        </w:trPr>
        <w:tc>
          <w:tcPr>
            <w:tcW w:w="725" w:type="dxa"/>
            <w:tcBorders>
              <w:top w:val="single" w:color="000000" w:sz="4" w:space="0"/>
              <w:left w:val="single" w:color="000000" w:sz="4" w:space="0"/>
              <w:bottom w:val="single" w:color="000000" w:sz="4" w:space="0"/>
              <w:right w:val="single" w:color="000000" w:sz="4" w:space="0"/>
            </w:tcBorders>
          </w:tcPr>
          <w:p w14:paraId="382F0812">
            <w:pPr>
              <w:pStyle w:val="132"/>
              <w:kinsoku w:val="0"/>
              <w:overflowPunct w:val="0"/>
              <w:rPr>
                <w:rFonts w:ascii="黑体" w:hAnsi="黑体" w:eastAsia="黑体"/>
                <w:b/>
                <w:bCs/>
                <w:sz w:val="18"/>
                <w:szCs w:val="18"/>
              </w:rPr>
            </w:pPr>
          </w:p>
          <w:p w14:paraId="42218B8E">
            <w:pPr>
              <w:pStyle w:val="132"/>
              <w:kinsoku w:val="0"/>
              <w:overflowPunct w:val="0"/>
              <w:rPr>
                <w:rFonts w:ascii="黑体" w:hAnsi="黑体" w:eastAsia="黑体"/>
                <w:b/>
                <w:bCs/>
                <w:sz w:val="18"/>
                <w:szCs w:val="18"/>
              </w:rPr>
            </w:pPr>
            <w:r>
              <w:rPr>
                <w:rFonts w:ascii="黑体" w:hAnsi="黑体" w:eastAsia="黑体"/>
                <w:b/>
                <w:bCs/>
                <w:sz w:val="18"/>
                <w:szCs w:val="18"/>
              </w:rPr>
              <w:t xml:space="preserve">3.5 </w:t>
            </w:r>
          </w:p>
        </w:tc>
        <w:tc>
          <w:tcPr>
            <w:tcW w:w="1277" w:type="dxa"/>
            <w:tcBorders>
              <w:top w:val="single" w:color="000000" w:sz="4" w:space="0"/>
              <w:left w:val="single" w:color="000000" w:sz="4" w:space="0"/>
              <w:bottom w:val="single" w:color="000000" w:sz="4" w:space="0"/>
              <w:right w:val="single" w:color="000000" w:sz="4" w:space="0"/>
            </w:tcBorders>
          </w:tcPr>
          <w:p w14:paraId="19959E67">
            <w:pPr>
              <w:pStyle w:val="132"/>
              <w:kinsoku w:val="0"/>
              <w:overflowPunct w:val="0"/>
              <w:rPr>
                <w:rFonts w:ascii="黑体" w:hAnsi="黑体" w:eastAsia="黑体"/>
                <w:b/>
                <w:bCs/>
                <w:sz w:val="18"/>
                <w:szCs w:val="18"/>
              </w:rPr>
            </w:pPr>
            <w:r>
              <w:rPr>
                <w:rFonts w:hint="eastAsia" w:ascii="黑体" w:hAnsi="黑体" w:eastAsia="黑体"/>
                <w:b/>
                <w:bCs/>
                <w:sz w:val="18"/>
                <w:szCs w:val="18"/>
              </w:rPr>
              <w:t>防静电接地要求</w:t>
            </w:r>
          </w:p>
        </w:tc>
        <w:tc>
          <w:tcPr>
            <w:tcW w:w="4960" w:type="dxa"/>
            <w:gridSpan w:val="2"/>
            <w:tcBorders>
              <w:top w:val="single" w:color="000000" w:sz="4" w:space="0"/>
              <w:left w:val="single" w:color="000000" w:sz="4" w:space="0"/>
              <w:bottom w:val="single" w:color="000000" w:sz="4" w:space="0"/>
              <w:right w:val="single" w:color="000000" w:sz="4" w:space="0"/>
            </w:tcBorders>
          </w:tcPr>
          <w:p w14:paraId="0C22F437">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hint="eastAsia" w:ascii="黑体" w:hAnsi="黑体" w:eastAsia="黑体"/>
                <w:spacing w:val="-6"/>
                <w:sz w:val="18"/>
                <w:szCs w:val="18"/>
              </w:rPr>
              <w:t>需满足防静电接地要求，需提前预留接地抱箍连接接地线缆或安装时将支架底部落在铜箔网格十字交叉处。</w:t>
            </w:r>
          </w:p>
        </w:tc>
        <w:tc>
          <w:tcPr>
            <w:tcW w:w="1422" w:type="dxa"/>
            <w:tcBorders>
              <w:top w:val="single" w:color="000000" w:sz="4" w:space="0"/>
              <w:left w:val="single" w:color="000000" w:sz="4" w:space="0"/>
              <w:bottom w:val="single" w:color="000000" w:sz="4" w:space="0"/>
              <w:right w:val="single" w:color="000000" w:sz="4" w:space="0"/>
            </w:tcBorders>
          </w:tcPr>
          <w:p w14:paraId="321A82AA">
            <w:pPr>
              <w:pStyle w:val="132"/>
              <w:kinsoku w:val="0"/>
              <w:overflowPunct w:val="0"/>
              <w:rPr>
                <w:rFonts w:ascii="黑体" w:hAnsi="黑体" w:eastAsia="黑体"/>
                <w:b/>
                <w:bCs/>
                <w:sz w:val="18"/>
                <w:szCs w:val="18"/>
              </w:rPr>
            </w:pPr>
            <w:r>
              <w:rPr>
                <w:rFonts w:hint="eastAsia" w:ascii="黑体" w:hAnsi="黑体" w:eastAsia="黑体"/>
                <w:b/>
                <w:bCs/>
                <w:sz w:val="18"/>
                <w:szCs w:val="18"/>
              </w:rPr>
              <w:t>□满足</w:t>
            </w:r>
          </w:p>
          <w:p w14:paraId="0CC9160C">
            <w:pPr>
              <w:pStyle w:val="132"/>
              <w:kinsoku w:val="0"/>
              <w:overflowPunct w:val="0"/>
              <w:rPr>
                <w:rFonts w:ascii="黑体" w:hAnsi="黑体" w:eastAsia="黑体"/>
                <w:b/>
                <w:bCs/>
                <w:sz w:val="18"/>
                <w:szCs w:val="18"/>
              </w:rPr>
            </w:pPr>
            <w:r>
              <w:rPr>
                <w:rFonts w:hint="eastAsia" w:ascii="黑体" w:hAnsi="黑体" w:eastAsia="黑体"/>
                <w:b/>
                <w:bCs/>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14F6A167">
            <w:pPr>
              <w:pStyle w:val="132"/>
              <w:kinsoku w:val="0"/>
              <w:overflowPunct w:val="0"/>
              <w:rPr>
                <w:rFonts w:ascii="黑体" w:hAnsi="黑体" w:eastAsia="黑体" w:cs="Times New Roman"/>
                <w:sz w:val="18"/>
                <w:szCs w:val="18"/>
              </w:rPr>
            </w:pPr>
          </w:p>
        </w:tc>
      </w:tr>
      <w:tr w14:paraId="2CE4C789">
        <w:tblPrEx>
          <w:tblCellMar>
            <w:top w:w="0" w:type="dxa"/>
            <w:left w:w="0" w:type="dxa"/>
            <w:bottom w:w="0" w:type="dxa"/>
            <w:right w:w="0" w:type="dxa"/>
          </w:tblCellMar>
        </w:tblPrEx>
        <w:trPr>
          <w:trHeight w:val="1401" w:hRule="atLeast"/>
        </w:trPr>
        <w:tc>
          <w:tcPr>
            <w:tcW w:w="725" w:type="dxa"/>
            <w:tcBorders>
              <w:top w:val="single" w:color="000000" w:sz="4" w:space="0"/>
              <w:left w:val="single" w:color="000000" w:sz="4" w:space="0"/>
              <w:bottom w:val="single" w:color="000000" w:sz="4" w:space="0"/>
              <w:right w:val="single" w:color="000000" w:sz="4" w:space="0"/>
            </w:tcBorders>
          </w:tcPr>
          <w:p w14:paraId="78BACC27">
            <w:pPr>
              <w:pStyle w:val="132"/>
              <w:kinsoku w:val="0"/>
              <w:overflowPunct w:val="0"/>
              <w:rPr>
                <w:rFonts w:ascii="黑体" w:hAnsi="黑体" w:eastAsia="黑体"/>
                <w:b/>
                <w:bCs/>
                <w:sz w:val="18"/>
                <w:szCs w:val="18"/>
              </w:rPr>
            </w:pPr>
          </w:p>
          <w:p w14:paraId="0BC2E453">
            <w:pPr>
              <w:pStyle w:val="132"/>
              <w:kinsoku w:val="0"/>
              <w:overflowPunct w:val="0"/>
              <w:rPr>
                <w:rFonts w:ascii="黑体" w:hAnsi="黑体" w:eastAsia="黑体"/>
                <w:b/>
                <w:bCs/>
                <w:sz w:val="18"/>
                <w:szCs w:val="18"/>
              </w:rPr>
            </w:pPr>
            <w:r>
              <w:rPr>
                <w:rFonts w:ascii="黑体" w:hAnsi="黑体" w:eastAsia="黑体"/>
                <w:b/>
                <w:bCs/>
                <w:sz w:val="18"/>
                <w:szCs w:val="18"/>
              </w:rPr>
              <w:t xml:space="preserve">3.6 </w:t>
            </w:r>
          </w:p>
        </w:tc>
        <w:tc>
          <w:tcPr>
            <w:tcW w:w="1277" w:type="dxa"/>
            <w:tcBorders>
              <w:top w:val="single" w:color="000000" w:sz="4" w:space="0"/>
              <w:left w:val="single" w:color="000000" w:sz="4" w:space="0"/>
              <w:bottom w:val="single" w:color="000000" w:sz="4" w:space="0"/>
              <w:right w:val="single" w:color="000000" w:sz="4" w:space="0"/>
            </w:tcBorders>
          </w:tcPr>
          <w:p w14:paraId="0EC02BDF">
            <w:pPr>
              <w:pStyle w:val="132"/>
              <w:kinsoku w:val="0"/>
              <w:overflowPunct w:val="0"/>
              <w:rPr>
                <w:rFonts w:ascii="黑体" w:hAnsi="黑体" w:eastAsia="黑体"/>
                <w:b/>
                <w:bCs/>
                <w:sz w:val="18"/>
                <w:szCs w:val="18"/>
              </w:rPr>
            </w:pPr>
            <w:r>
              <w:rPr>
                <w:rFonts w:hint="eastAsia" w:ascii="黑体" w:hAnsi="黑体" w:eastAsia="黑体"/>
                <w:b/>
                <w:bCs/>
                <w:sz w:val="18"/>
                <w:szCs w:val="18"/>
              </w:rPr>
              <w:t>环保要求</w:t>
            </w:r>
          </w:p>
        </w:tc>
        <w:tc>
          <w:tcPr>
            <w:tcW w:w="4960" w:type="dxa"/>
            <w:gridSpan w:val="2"/>
            <w:tcBorders>
              <w:top w:val="single" w:color="000000" w:sz="4" w:space="0"/>
              <w:left w:val="single" w:color="000000" w:sz="4" w:space="0"/>
              <w:bottom w:val="single" w:color="000000" w:sz="4" w:space="0"/>
              <w:right w:val="single" w:color="000000" w:sz="4" w:space="0"/>
            </w:tcBorders>
          </w:tcPr>
          <w:p w14:paraId="199E4A39">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hint="eastAsia" w:ascii="黑体" w:hAnsi="黑体" w:eastAsia="黑体"/>
                <w:spacing w:val="-6"/>
                <w:sz w:val="18"/>
                <w:szCs w:val="18"/>
              </w:rPr>
              <w:t>通过权威机构的相关环保认证，并有测试报告或认证证书</w:t>
            </w:r>
          </w:p>
        </w:tc>
        <w:tc>
          <w:tcPr>
            <w:tcW w:w="1422" w:type="dxa"/>
            <w:tcBorders>
              <w:top w:val="single" w:color="000000" w:sz="4" w:space="0"/>
              <w:left w:val="single" w:color="000000" w:sz="4" w:space="0"/>
              <w:bottom w:val="single" w:color="000000" w:sz="4" w:space="0"/>
              <w:right w:val="single" w:color="000000" w:sz="4" w:space="0"/>
            </w:tcBorders>
          </w:tcPr>
          <w:p w14:paraId="70FC6808">
            <w:pPr>
              <w:pStyle w:val="132"/>
              <w:kinsoku w:val="0"/>
              <w:overflowPunct w:val="0"/>
              <w:rPr>
                <w:rFonts w:ascii="黑体" w:hAnsi="黑体" w:eastAsia="黑体"/>
                <w:b/>
                <w:bCs/>
                <w:sz w:val="18"/>
                <w:szCs w:val="18"/>
              </w:rPr>
            </w:pPr>
            <w:r>
              <w:rPr>
                <w:rFonts w:hint="eastAsia" w:ascii="黑体" w:hAnsi="黑体" w:eastAsia="黑体"/>
                <w:b/>
                <w:bCs/>
                <w:sz w:val="18"/>
                <w:szCs w:val="18"/>
              </w:rPr>
              <w:t>□满足</w:t>
            </w:r>
          </w:p>
          <w:p w14:paraId="3D124566">
            <w:pPr>
              <w:pStyle w:val="132"/>
              <w:kinsoku w:val="0"/>
              <w:overflowPunct w:val="0"/>
              <w:rPr>
                <w:rFonts w:ascii="黑体" w:hAnsi="黑体" w:eastAsia="黑体"/>
                <w:b/>
                <w:bCs/>
                <w:sz w:val="18"/>
                <w:szCs w:val="18"/>
              </w:rPr>
            </w:pPr>
            <w:r>
              <w:rPr>
                <w:rFonts w:hint="eastAsia" w:ascii="黑体" w:hAnsi="黑体" w:eastAsia="黑体"/>
                <w:b/>
                <w:bCs/>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02CC624D">
            <w:pPr>
              <w:pStyle w:val="132"/>
              <w:kinsoku w:val="0"/>
              <w:overflowPunct w:val="0"/>
              <w:rPr>
                <w:rFonts w:ascii="黑体" w:hAnsi="黑体" w:eastAsia="黑体" w:cs="Times New Roman"/>
                <w:sz w:val="18"/>
                <w:szCs w:val="18"/>
              </w:rPr>
            </w:pPr>
          </w:p>
        </w:tc>
      </w:tr>
      <w:tr w14:paraId="76F147D8">
        <w:tblPrEx>
          <w:tblCellMar>
            <w:top w:w="0" w:type="dxa"/>
            <w:left w:w="0" w:type="dxa"/>
            <w:bottom w:w="0" w:type="dxa"/>
            <w:right w:w="0" w:type="dxa"/>
          </w:tblCellMar>
        </w:tblPrEx>
        <w:trPr>
          <w:trHeight w:val="1401" w:hRule="atLeast"/>
        </w:trPr>
        <w:tc>
          <w:tcPr>
            <w:tcW w:w="725" w:type="dxa"/>
            <w:tcBorders>
              <w:top w:val="single" w:color="000000" w:sz="4" w:space="0"/>
              <w:left w:val="single" w:color="000000" w:sz="4" w:space="0"/>
              <w:bottom w:val="single" w:color="000000" w:sz="4" w:space="0"/>
              <w:right w:val="single" w:color="000000" w:sz="4" w:space="0"/>
            </w:tcBorders>
          </w:tcPr>
          <w:p w14:paraId="0F7F1745">
            <w:pPr>
              <w:pStyle w:val="132"/>
              <w:kinsoku w:val="0"/>
              <w:overflowPunct w:val="0"/>
              <w:rPr>
                <w:rFonts w:ascii="黑体" w:hAnsi="黑体" w:eastAsia="黑体"/>
                <w:b/>
                <w:bCs/>
                <w:sz w:val="18"/>
                <w:szCs w:val="18"/>
              </w:rPr>
            </w:pPr>
          </w:p>
          <w:p w14:paraId="0A912DF0">
            <w:pPr>
              <w:pStyle w:val="132"/>
              <w:kinsoku w:val="0"/>
              <w:overflowPunct w:val="0"/>
              <w:rPr>
                <w:rFonts w:ascii="黑体" w:hAnsi="黑体" w:eastAsia="黑体"/>
                <w:b/>
                <w:bCs/>
                <w:sz w:val="18"/>
                <w:szCs w:val="18"/>
              </w:rPr>
            </w:pPr>
            <w:r>
              <w:rPr>
                <w:rFonts w:ascii="黑体" w:hAnsi="黑体" w:eastAsia="黑体"/>
                <w:b/>
                <w:bCs/>
                <w:sz w:val="18"/>
                <w:szCs w:val="18"/>
              </w:rPr>
              <w:t xml:space="preserve">3.7 </w:t>
            </w:r>
          </w:p>
        </w:tc>
        <w:tc>
          <w:tcPr>
            <w:tcW w:w="1277" w:type="dxa"/>
            <w:tcBorders>
              <w:top w:val="single" w:color="000000" w:sz="4" w:space="0"/>
              <w:left w:val="single" w:color="000000" w:sz="4" w:space="0"/>
              <w:bottom w:val="single" w:color="000000" w:sz="4" w:space="0"/>
              <w:right w:val="single" w:color="000000" w:sz="4" w:space="0"/>
            </w:tcBorders>
          </w:tcPr>
          <w:p w14:paraId="4D31446D">
            <w:pPr>
              <w:pStyle w:val="132"/>
              <w:kinsoku w:val="0"/>
              <w:overflowPunct w:val="0"/>
              <w:rPr>
                <w:rFonts w:ascii="黑体" w:hAnsi="黑体" w:eastAsia="黑体"/>
                <w:b/>
                <w:bCs/>
                <w:sz w:val="18"/>
                <w:szCs w:val="18"/>
              </w:rPr>
            </w:pPr>
            <w:r>
              <w:rPr>
                <w:rFonts w:hint="eastAsia" w:ascii="黑体" w:hAnsi="黑体" w:eastAsia="黑体"/>
                <w:b/>
                <w:bCs/>
                <w:sz w:val="18"/>
                <w:szCs w:val="18"/>
              </w:rPr>
              <w:t>抗震加固要求</w:t>
            </w:r>
          </w:p>
        </w:tc>
        <w:tc>
          <w:tcPr>
            <w:tcW w:w="4960" w:type="dxa"/>
            <w:gridSpan w:val="2"/>
            <w:tcBorders>
              <w:top w:val="single" w:color="000000" w:sz="4" w:space="0"/>
              <w:left w:val="single" w:color="000000" w:sz="4" w:space="0"/>
              <w:bottom w:val="single" w:color="000000" w:sz="4" w:space="0"/>
              <w:right w:val="single" w:color="000000" w:sz="4" w:space="0"/>
            </w:tcBorders>
          </w:tcPr>
          <w:p w14:paraId="78F7CA64">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hint="eastAsia" w:ascii="黑体" w:hAnsi="黑体" w:eastAsia="黑体"/>
                <w:spacing w:val="-6"/>
                <w:sz w:val="18"/>
                <w:szCs w:val="18"/>
              </w:rPr>
              <w:t>安装内容中涉及抗震加固部分应按照</w:t>
            </w:r>
            <w:r>
              <w:rPr>
                <w:rFonts w:ascii="黑体" w:hAnsi="黑体" w:eastAsia="黑体"/>
                <w:spacing w:val="-6"/>
                <w:sz w:val="18"/>
                <w:szCs w:val="18"/>
              </w:rPr>
              <w:t xml:space="preserve"> YD 5059-2005</w:t>
            </w:r>
            <w:r>
              <w:rPr>
                <w:rFonts w:hint="eastAsia" w:ascii="黑体" w:hAnsi="黑体" w:eastAsia="黑体"/>
                <w:spacing w:val="-6"/>
                <w:sz w:val="18"/>
                <w:szCs w:val="18"/>
              </w:rPr>
              <w:t>《电信设备安装抗震设计规范》有关规定执行。</w:t>
            </w:r>
          </w:p>
        </w:tc>
        <w:tc>
          <w:tcPr>
            <w:tcW w:w="1422" w:type="dxa"/>
            <w:tcBorders>
              <w:top w:val="single" w:color="000000" w:sz="4" w:space="0"/>
              <w:left w:val="single" w:color="000000" w:sz="4" w:space="0"/>
              <w:bottom w:val="single" w:color="000000" w:sz="4" w:space="0"/>
              <w:right w:val="single" w:color="000000" w:sz="4" w:space="0"/>
            </w:tcBorders>
          </w:tcPr>
          <w:p w14:paraId="0FC1A4FE">
            <w:pPr>
              <w:pStyle w:val="132"/>
              <w:kinsoku w:val="0"/>
              <w:overflowPunct w:val="0"/>
              <w:rPr>
                <w:rFonts w:ascii="黑体" w:hAnsi="黑体" w:eastAsia="黑体"/>
                <w:b/>
                <w:bCs/>
                <w:sz w:val="18"/>
                <w:szCs w:val="18"/>
              </w:rPr>
            </w:pPr>
            <w:r>
              <w:rPr>
                <w:rFonts w:hint="eastAsia" w:ascii="黑体" w:hAnsi="黑体" w:eastAsia="黑体"/>
                <w:b/>
                <w:bCs/>
                <w:sz w:val="18"/>
                <w:szCs w:val="18"/>
              </w:rPr>
              <w:t>□满足</w:t>
            </w:r>
          </w:p>
          <w:p w14:paraId="5B386D09">
            <w:pPr>
              <w:pStyle w:val="132"/>
              <w:kinsoku w:val="0"/>
              <w:overflowPunct w:val="0"/>
              <w:rPr>
                <w:rFonts w:ascii="黑体" w:hAnsi="黑体" w:eastAsia="黑体"/>
                <w:b/>
                <w:bCs/>
                <w:sz w:val="18"/>
                <w:szCs w:val="18"/>
              </w:rPr>
            </w:pPr>
            <w:r>
              <w:rPr>
                <w:rFonts w:hint="eastAsia" w:ascii="黑体" w:hAnsi="黑体" w:eastAsia="黑体"/>
                <w:b/>
                <w:bCs/>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59E3EDFE">
            <w:pPr>
              <w:pStyle w:val="132"/>
              <w:kinsoku w:val="0"/>
              <w:overflowPunct w:val="0"/>
              <w:rPr>
                <w:rFonts w:ascii="黑体" w:hAnsi="黑体" w:eastAsia="黑体" w:cs="Times New Roman"/>
                <w:sz w:val="18"/>
                <w:szCs w:val="18"/>
              </w:rPr>
            </w:pPr>
          </w:p>
        </w:tc>
      </w:tr>
      <w:tr w14:paraId="7DD95D4A">
        <w:tblPrEx>
          <w:tblCellMar>
            <w:top w:w="0" w:type="dxa"/>
            <w:left w:w="0" w:type="dxa"/>
            <w:bottom w:w="0" w:type="dxa"/>
            <w:right w:w="0" w:type="dxa"/>
          </w:tblCellMar>
        </w:tblPrEx>
        <w:trPr>
          <w:trHeight w:val="1401" w:hRule="atLeast"/>
        </w:trPr>
        <w:tc>
          <w:tcPr>
            <w:tcW w:w="725" w:type="dxa"/>
            <w:tcBorders>
              <w:top w:val="single" w:color="000000" w:sz="4" w:space="0"/>
              <w:left w:val="single" w:color="000000" w:sz="4" w:space="0"/>
              <w:bottom w:val="single" w:color="000000" w:sz="4" w:space="0"/>
              <w:right w:val="single" w:color="000000" w:sz="4" w:space="0"/>
            </w:tcBorders>
          </w:tcPr>
          <w:p w14:paraId="3572939C">
            <w:pPr>
              <w:pStyle w:val="132"/>
              <w:kinsoku w:val="0"/>
              <w:overflowPunct w:val="0"/>
              <w:rPr>
                <w:rFonts w:ascii="黑体" w:hAnsi="黑体" w:eastAsia="黑体"/>
                <w:b/>
                <w:bCs/>
                <w:sz w:val="18"/>
                <w:szCs w:val="18"/>
              </w:rPr>
            </w:pPr>
          </w:p>
          <w:p w14:paraId="025958FC">
            <w:pPr>
              <w:pStyle w:val="132"/>
              <w:kinsoku w:val="0"/>
              <w:overflowPunct w:val="0"/>
              <w:rPr>
                <w:rFonts w:ascii="黑体" w:hAnsi="黑体" w:eastAsia="黑体"/>
                <w:b/>
                <w:bCs/>
                <w:sz w:val="18"/>
                <w:szCs w:val="18"/>
              </w:rPr>
            </w:pPr>
            <w:r>
              <w:rPr>
                <w:rFonts w:ascii="黑体" w:hAnsi="黑体" w:eastAsia="黑体"/>
                <w:b/>
                <w:bCs/>
                <w:sz w:val="18"/>
                <w:szCs w:val="18"/>
              </w:rPr>
              <w:t xml:space="preserve">3.8 </w:t>
            </w:r>
          </w:p>
        </w:tc>
        <w:tc>
          <w:tcPr>
            <w:tcW w:w="1277" w:type="dxa"/>
            <w:tcBorders>
              <w:top w:val="single" w:color="000000" w:sz="4" w:space="0"/>
              <w:left w:val="single" w:color="000000" w:sz="4" w:space="0"/>
              <w:bottom w:val="single" w:color="000000" w:sz="4" w:space="0"/>
              <w:right w:val="single" w:color="000000" w:sz="4" w:space="0"/>
            </w:tcBorders>
          </w:tcPr>
          <w:p w14:paraId="44D9BAA1">
            <w:pPr>
              <w:pStyle w:val="132"/>
              <w:kinsoku w:val="0"/>
              <w:overflowPunct w:val="0"/>
              <w:rPr>
                <w:rFonts w:ascii="黑体" w:hAnsi="黑体" w:eastAsia="黑体"/>
                <w:b/>
                <w:bCs/>
                <w:sz w:val="18"/>
                <w:szCs w:val="18"/>
              </w:rPr>
            </w:pPr>
            <w:r>
              <w:rPr>
                <w:rFonts w:hint="eastAsia" w:ascii="黑体" w:hAnsi="黑体" w:eastAsia="黑体"/>
                <w:b/>
                <w:bCs/>
                <w:sz w:val="18"/>
                <w:szCs w:val="18"/>
              </w:rPr>
              <w:t>地板载荷性能要求（</w:t>
            </w:r>
            <w:r>
              <w:rPr>
                <w:rFonts w:ascii="黑体" w:hAnsi="黑体" w:eastAsia="黑体"/>
                <w:b/>
                <w:bCs/>
                <w:sz w:val="18"/>
                <w:szCs w:val="18"/>
              </w:rPr>
              <w:t xml:space="preserve">Z </w:t>
            </w:r>
            <w:r>
              <w:rPr>
                <w:rFonts w:hint="eastAsia" w:ascii="黑体" w:hAnsi="黑体" w:eastAsia="黑体"/>
                <w:b/>
                <w:bCs/>
                <w:sz w:val="18"/>
                <w:szCs w:val="18"/>
              </w:rPr>
              <w:t>型承载）</w:t>
            </w:r>
          </w:p>
        </w:tc>
        <w:tc>
          <w:tcPr>
            <w:tcW w:w="4960" w:type="dxa"/>
            <w:gridSpan w:val="2"/>
            <w:tcBorders>
              <w:top w:val="single" w:color="000000" w:sz="4" w:space="0"/>
              <w:left w:val="single" w:color="000000" w:sz="4" w:space="0"/>
              <w:bottom w:val="single" w:color="000000" w:sz="4" w:space="0"/>
              <w:right w:val="single" w:color="000000" w:sz="4" w:space="0"/>
            </w:tcBorders>
          </w:tcPr>
          <w:p w14:paraId="28009D2D">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ascii="黑体" w:hAnsi="黑体" w:eastAsia="黑体"/>
                <w:spacing w:val="-6"/>
                <w:sz w:val="18"/>
                <w:szCs w:val="18"/>
              </w:rPr>
              <w:t>1</w:t>
            </w:r>
            <w:r>
              <w:rPr>
                <w:rFonts w:hint="eastAsia" w:ascii="黑体" w:hAnsi="黑体" w:eastAsia="黑体"/>
                <w:spacing w:val="-6"/>
                <w:sz w:val="18"/>
                <w:szCs w:val="18"/>
              </w:rPr>
              <w:t>）</w:t>
            </w:r>
            <w:r>
              <w:rPr>
                <w:rFonts w:ascii="Calibri" w:hAnsi="Calibri" w:eastAsia="黑体" w:cs="Calibri"/>
                <w:spacing w:val="-6"/>
                <w:sz w:val="18"/>
                <w:szCs w:val="18"/>
              </w:rPr>
              <w:t>  </w:t>
            </w:r>
            <w:r>
              <w:rPr>
                <w:rFonts w:ascii="黑体" w:hAnsi="黑体" w:eastAsia="黑体"/>
                <w:spacing w:val="-6"/>
                <w:sz w:val="18"/>
                <w:szCs w:val="18"/>
              </w:rPr>
              <w:t xml:space="preserve"> </w:t>
            </w:r>
            <w:r>
              <w:rPr>
                <w:rFonts w:hint="eastAsia" w:ascii="黑体" w:hAnsi="黑体" w:eastAsia="黑体"/>
                <w:spacing w:val="-6"/>
                <w:sz w:val="18"/>
                <w:szCs w:val="18"/>
              </w:rPr>
              <w:t>集中载荷≥</w:t>
            </w:r>
            <w:r>
              <w:rPr>
                <w:rFonts w:ascii="黑体" w:hAnsi="黑体" w:eastAsia="黑体"/>
                <w:spacing w:val="-6"/>
                <w:sz w:val="18"/>
                <w:szCs w:val="18"/>
              </w:rPr>
              <w:t>5560N</w:t>
            </w:r>
            <w:r>
              <w:rPr>
                <w:rFonts w:hint="eastAsia" w:ascii="黑体" w:hAnsi="黑体" w:eastAsia="黑体"/>
                <w:spacing w:val="-6"/>
                <w:sz w:val="18"/>
                <w:szCs w:val="18"/>
              </w:rPr>
              <w:t>，挠度≤</w:t>
            </w:r>
            <w:r>
              <w:rPr>
                <w:rFonts w:ascii="黑体" w:hAnsi="黑体" w:eastAsia="黑体"/>
                <w:spacing w:val="-6"/>
                <w:sz w:val="18"/>
                <w:szCs w:val="18"/>
              </w:rPr>
              <w:t>2mm</w:t>
            </w:r>
            <w:r>
              <w:rPr>
                <w:rFonts w:hint="eastAsia" w:ascii="黑体" w:hAnsi="黑体" w:eastAsia="黑体"/>
                <w:spacing w:val="-6"/>
                <w:sz w:val="18"/>
                <w:szCs w:val="18"/>
              </w:rPr>
              <w:t>，永久变形≤</w:t>
            </w:r>
            <w:r>
              <w:rPr>
                <w:rFonts w:ascii="黑体" w:hAnsi="黑体" w:eastAsia="黑体"/>
                <w:spacing w:val="-6"/>
                <w:sz w:val="18"/>
                <w:szCs w:val="18"/>
              </w:rPr>
              <w:t>0.25mm</w:t>
            </w:r>
            <w:r>
              <w:rPr>
                <w:rFonts w:hint="eastAsia" w:ascii="黑体" w:hAnsi="黑体" w:eastAsia="黑体"/>
                <w:spacing w:val="-6"/>
                <w:sz w:val="18"/>
                <w:szCs w:val="18"/>
              </w:rPr>
              <w:t>；</w:t>
            </w:r>
          </w:p>
          <w:p w14:paraId="4CAF0C56">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ascii="黑体" w:hAnsi="黑体" w:eastAsia="黑体"/>
                <w:spacing w:val="-6"/>
                <w:sz w:val="18"/>
                <w:szCs w:val="18"/>
              </w:rPr>
              <w:t>2</w:t>
            </w:r>
            <w:r>
              <w:rPr>
                <w:rFonts w:hint="eastAsia" w:ascii="黑体" w:hAnsi="黑体" w:eastAsia="黑体"/>
                <w:spacing w:val="-6"/>
                <w:sz w:val="18"/>
                <w:szCs w:val="18"/>
              </w:rPr>
              <w:t>）</w:t>
            </w:r>
            <w:r>
              <w:rPr>
                <w:rFonts w:ascii="Calibri" w:hAnsi="Calibri" w:eastAsia="黑体" w:cs="Calibri"/>
                <w:spacing w:val="-6"/>
                <w:sz w:val="18"/>
                <w:szCs w:val="18"/>
              </w:rPr>
              <w:t>  </w:t>
            </w:r>
            <w:r>
              <w:rPr>
                <w:rFonts w:ascii="黑体" w:hAnsi="黑体" w:eastAsia="黑体"/>
                <w:spacing w:val="-6"/>
                <w:sz w:val="18"/>
                <w:szCs w:val="18"/>
              </w:rPr>
              <w:t xml:space="preserve"> </w:t>
            </w:r>
            <w:r>
              <w:rPr>
                <w:rFonts w:hint="eastAsia" w:ascii="黑体" w:hAnsi="黑体" w:eastAsia="黑体"/>
                <w:spacing w:val="-6"/>
                <w:sz w:val="18"/>
                <w:szCs w:val="18"/>
              </w:rPr>
              <w:t>滚动载荷≥</w:t>
            </w:r>
            <w:r>
              <w:rPr>
                <w:rFonts w:ascii="黑体" w:hAnsi="黑体" w:eastAsia="黑体"/>
                <w:spacing w:val="-6"/>
                <w:sz w:val="18"/>
                <w:szCs w:val="18"/>
              </w:rPr>
              <w:t>4450N</w:t>
            </w:r>
            <w:r>
              <w:rPr>
                <w:rFonts w:hint="eastAsia" w:ascii="黑体" w:hAnsi="黑体" w:eastAsia="黑体"/>
                <w:spacing w:val="-6"/>
                <w:sz w:val="18"/>
                <w:szCs w:val="18"/>
              </w:rPr>
              <w:t>，挠度≤</w:t>
            </w:r>
            <w:r>
              <w:rPr>
                <w:rFonts w:ascii="黑体" w:hAnsi="黑体" w:eastAsia="黑体"/>
                <w:spacing w:val="-6"/>
                <w:sz w:val="18"/>
                <w:szCs w:val="18"/>
              </w:rPr>
              <w:t>2mm</w:t>
            </w:r>
            <w:r>
              <w:rPr>
                <w:rFonts w:hint="eastAsia" w:ascii="黑体" w:hAnsi="黑体" w:eastAsia="黑体"/>
                <w:spacing w:val="-6"/>
                <w:sz w:val="18"/>
                <w:szCs w:val="18"/>
              </w:rPr>
              <w:t>，永久变形≤</w:t>
            </w:r>
            <w:r>
              <w:rPr>
                <w:rFonts w:ascii="黑体" w:hAnsi="黑体" w:eastAsia="黑体"/>
                <w:spacing w:val="-6"/>
                <w:sz w:val="18"/>
                <w:szCs w:val="18"/>
              </w:rPr>
              <w:t>0.5mm</w:t>
            </w:r>
            <w:r>
              <w:rPr>
                <w:rFonts w:hint="eastAsia" w:ascii="黑体" w:hAnsi="黑体" w:eastAsia="黑体"/>
                <w:spacing w:val="-6"/>
                <w:sz w:val="18"/>
                <w:szCs w:val="18"/>
              </w:rPr>
              <w:t>；</w:t>
            </w:r>
          </w:p>
          <w:p w14:paraId="1392CFA2">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ascii="黑体" w:hAnsi="黑体" w:eastAsia="黑体"/>
                <w:spacing w:val="-6"/>
                <w:sz w:val="18"/>
                <w:szCs w:val="18"/>
              </w:rPr>
              <w:t>3</w:t>
            </w:r>
            <w:r>
              <w:rPr>
                <w:rFonts w:hint="eastAsia" w:ascii="黑体" w:hAnsi="黑体" w:eastAsia="黑体"/>
                <w:spacing w:val="-6"/>
                <w:sz w:val="18"/>
                <w:szCs w:val="18"/>
              </w:rPr>
              <w:t>）</w:t>
            </w:r>
            <w:r>
              <w:rPr>
                <w:rFonts w:ascii="Calibri" w:hAnsi="Calibri" w:eastAsia="黑体" w:cs="Calibri"/>
                <w:spacing w:val="-6"/>
                <w:sz w:val="18"/>
                <w:szCs w:val="18"/>
              </w:rPr>
              <w:t>  </w:t>
            </w:r>
            <w:r>
              <w:rPr>
                <w:rFonts w:ascii="黑体" w:hAnsi="黑体" w:eastAsia="黑体"/>
                <w:spacing w:val="-6"/>
                <w:sz w:val="18"/>
                <w:szCs w:val="18"/>
              </w:rPr>
              <w:t xml:space="preserve"> </w:t>
            </w:r>
            <w:r>
              <w:rPr>
                <w:rFonts w:hint="eastAsia" w:ascii="黑体" w:hAnsi="黑体" w:eastAsia="黑体"/>
                <w:spacing w:val="-6"/>
                <w:sz w:val="18"/>
                <w:szCs w:val="18"/>
              </w:rPr>
              <w:t>均布载荷≥</w:t>
            </w:r>
            <w:r>
              <w:rPr>
                <w:rFonts w:ascii="黑体" w:hAnsi="黑体" w:eastAsia="黑体"/>
                <w:spacing w:val="-6"/>
                <w:sz w:val="18"/>
                <w:szCs w:val="18"/>
              </w:rPr>
              <w:t>33000N/m2</w:t>
            </w:r>
            <w:r>
              <w:rPr>
                <w:rFonts w:hint="eastAsia" w:ascii="黑体" w:hAnsi="黑体" w:eastAsia="黑体"/>
                <w:spacing w:val="-6"/>
                <w:sz w:val="18"/>
                <w:szCs w:val="18"/>
              </w:rPr>
              <w:t>，挠度≤</w:t>
            </w:r>
            <w:r>
              <w:rPr>
                <w:rFonts w:ascii="黑体" w:hAnsi="黑体" w:eastAsia="黑体"/>
                <w:spacing w:val="-6"/>
                <w:sz w:val="18"/>
                <w:szCs w:val="18"/>
              </w:rPr>
              <w:t>2mm</w:t>
            </w:r>
            <w:r>
              <w:rPr>
                <w:rFonts w:hint="eastAsia" w:ascii="黑体" w:hAnsi="黑体" w:eastAsia="黑体"/>
                <w:spacing w:val="-6"/>
                <w:sz w:val="18"/>
                <w:szCs w:val="18"/>
              </w:rPr>
              <w:t>；</w:t>
            </w:r>
          </w:p>
          <w:p w14:paraId="108D1E42">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ascii="黑体" w:hAnsi="黑体" w:eastAsia="黑体"/>
                <w:spacing w:val="-6"/>
                <w:sz w:val="18"/>
                <w:szCs w:val="18"/>
              </w:rPr>
              <w:t>4</w:t>
            </w:r>
            <w:r>
              <w:rPr>
                <w:rFonts w:hint="eastAsia" w:ascii="黑体" w:hAnsi="黑体" w:eastAsia="黑体"/>
                <w:spacing w:val="-6"/>
                <w:sz w:val="18"/>
                <w:szCs w:val="18"/>
              </w:rPr>
              <w:t>）</w:t>
            </w:r>
            <w:r>
              <w:rPr>
                <w:rFonts w:ascii="Calibri" w:hAnsi="Calibri" w:eastAsia="黑体" w:cs="Calibri"/>
                <w:spacing w:val="-6"/>
                <w:sz w:val="18"/>
                <w:szCs w:val="18"/>
              </w:rPr>
              <w:t>  </w:t>
            </w:r>
            <w:r>
              <w:rPr>
                <w:rFonts w:ascii="黑体" w:hAnsi="黑体" w:eastAsia="黑体"/>
                <w:spacing w:val="-6"/>
                <w:sz w:val="18"/>
                <w:szCs w:val="18"/>
              </w:rPr>
              <w:t xml:space="preserve"> </w:t>
            </w:r>
            <w:r>
              <w:rPr>
                <w:rFonts w:hint="eastAsia" w:ascii="黑体" w:hAnsi="黑体" w:eastAsia="黑体"/>
                <w:spacing w:val="-6"/>
                <w:sz w:val="18"/>
                <w:szCs w:val="18"/>
              </w:rPr>
              <w:t>集中极限载荷≥</w:t>
            </w:r>
            <w:r>
              <w:rPr>
                <w:rFonts w:ascii="黑体" w:hAnsi="黑体" w:eastAsia="黑体"/>
                <w:spacing w:val="-6"/>
                <w:sz w:val="18"/>
                <w:szCs w:val="18"/>
              </w:rPr>
              <w:t>16680N</w:t>
            </w:r>
          </w:p>
          <w:p w14:paraId="777C8A52">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ascii="黑体" w:hAnsi="黑体" w:eastAsia="黑体"/>
                <w:spacing w:val="-6"/>
                <w:sz w:val="18"/>
                <w:szCs w:val="18"/>
              </w:rPr>
              <w:t>5</w:t>
            </w:r>
            <w:r>
              <w:rPr>
                <w:rFonts w:hint="eastAsia" w:ascii="黑体" w:hAnsi="黑体" w:eastAsia="黑体"/>
                <w:spacing w:val="-6"/>
                <w:sz w:val="18"/>
                <w:szCs w:val="18"/>
              </w:rPr>
              <w:t>）</w:t>
            </w:r>
            <w:r>
              <w:rPr>
                <w:rFonts w:ascii="Calibri" w:hAnsi="Calibri" w:eastAsia="黑体" w:cs="Calibri"/>
                <w:spacing w:val="-6"/>
                <w:sz w:val="18"/>
                <w:szCs w:val="18"/>
              </w:rPr>
              <w:t>  </w:t>
            </w:r>
            <w:r>
              <w:rPr>
                <w:rFonts w:ascii="黑体" w:hAnsi="黑体" w:eastAsia="黑体"/>
                <w:spacing w:val="-6"/>
                <w:sz w:val="18"/>
                <w:szCs w:val="18"/>
              </w:rPr>
              <w:t xml:space="preserve"> </w:t>
            </w:r>
            <w:r>
              <w:rPr>
                <w:rFonts w:hint="eastAsia" w:ascii="黑体" w:hAnsi="黑体" w:eastAsia="黑体"/>
                <w:spacing w:val="-6"/>
                <w:sz w:val="18"/>
                <w:szCs w:val="18"/>
              </w:rPr>
              <w:t>具体承载选型根据使用部门需求进行要求（现阶段为</w:t>
            </w:r>
            <w:r>
              <w:rPr>
                <w:rFonts w:ascii="黑体" w:hAnsi="黑体" w:eastAsia="黑体"/>
                <w:spacing w:val="-6"/>
                <w:sz w:val="18"/>
                <w:szCs w:val="18"/>
              </w:rPr>
              <w:t>0.8~1.3T</w:t>
            </w:r>
            <w:r>
              <w:rPr>
                <w:rFonts w:hint="eastAsia" w:ascii="黑体" w:hAnsi="黑体" w:eastAsia="黑体"/>
                <w:spacing w:val="-6"/>
                <w:sz w:val="18"/>
                <w:szCs w:val="18"/>
              </w:rPr>
              <w:t>）</w:t>
            </w:r>
          </w:p>
          <w:p w14:paraId="1093B2E6">
            <w:pPr>
              <w:pStyle w:val="132"/>
              <w:tabs>
                <w:tab w:val="left" w:pos="534"/>
              </w:tabs>
              <w:kinsoku w:val="0"/>
              <w:overflowPunct w:val="0"/>
              <w:spacing w:line="364" w:lineRule="auto"/>
              <w:ind w:left="533" w:right="89" w:hanging="428"/>
              <w:rPr>
                <w:rFonts w:ascii="黑体" w:hAnsi="黑体" w:eastAsia="黑体"/>
                <w:spacing w:val="-6"/>
                <w:sz w:val="18"/>
                <w:szCs w:val="18"/>
              </w:rPr>
            </w:pPr>
            <w:r>
              <w:rPr>
                <w:rFonts w:ascii="黑体" w:hAnsi="黑体" w:eastAsia="黑体"/>
                <w:spacing w:val="-6"/>
                <w:sz w:val="18"/>
                <w:szCs w:val="18"/>
              </w:rPr>
              <w:t>6</w:t>
            </w:r>
            <w:r>
              <w:rPr>
                <w:rFonts w:hint="eastAsia" w:ascii="黑体" w:hAnsi="黑体" w:eastAsia="黑体"/>
                <w:spacing w:val="-6"/>
                <w:sz w:val="18"/>
                <w:szCs w:val="18"/>
              </w:rPr>
              <w:t>）</w:t>
            </w:r>
            <w:r>
              <w:rPr>
                <w:rFonts w:ascii="Calibri" w:hAnsi="Calibri" w:eastAsia="黑体" w:cs="Calibri"/>
                <w:spacing w:val="-6"/>
                <w:sz w:val="18"/>
                <w:szCs w:val="18"/>
              </w:rPr>
              <w:t>  </w:t>
            </w:r>
            <w:r>
              <w:rPr>
                <w:rFonts w:ascii="黑体" w:hAnsi="黑体" w:eastAsia="黑体"/>
                <w:spacing w:val="-6"/>
                <w:sz w:val="18"/>
                <w:szCs w:val="18"/>
              </w:rPr>
              <w:t xml:space="preserve"> </w:t>
            </w:r>
            <w:r>
              <w:rPr>
                <w:rFonts w:hint="eastAsia" w:ascii="黑体" w:hAnsi="黑体" w:eastAsia="黑体"/>
                <w:spacing w:val="-6"/>
                <w:sz w:val="18"/>
                <w:szCs w:val="18"/>
              </w:rPr>
              <w:t>地板铺设区域最大重量且要考虑</w:t>
            </w:r>
            <w:r>
              <w:rPr>
                <w:rFonts w:ascii="黑体" w:hAnsi="黑体" w:eastAsia="黑体"/>
                <w:spacing w:val="-6"/>
                <w:sz w:val="18"/>
                <w:szCs w:val="18"/>
              </w:rPr>
              <w:t>1.5</w:t>
            </w:r>
            <w:r>
              <w:rPr>
                <w:rFonts w:hint="eastAsia" w:ascii="黑体" w:hAnsi="黑体" w:eastAsia="黑体"/>
                <w:spacing w:val="-6"/>
                <w:sz w:val="18"/>
                <w:szCs w:val="18"/>
              </w:rPr>
              <w:t>倍的安全承重系数</w:t>
            </w:r>
          </w:p>
        </w:tc>
        <w:tc>
          <w:tcPr>
            <w:tcW w:w="1422" w:type="dxa"/>
            <w:tcBorders>
              <w:top w:val="single" w:color="000000" w:sz="4" w:space="0"/>
              <w:left w:val="single" w:color="000000" w:sz="4" w:space="0"/>
              <w:bottom w:val="single" w:color="000000" w:sz="4" w:space="0"/>
              <w:right w:val="single" w:color="000000" w:sz="4" w:space="0"/>
            </w:tcBorders>
          </w:tcPr>
          <w:p w14:paraId="36B816CB">
            <w:pPr>
              <w:pStyle w:val="132"/>
              <w:kinsoku w:val="0"/>
              <w:overflowPunct w:val="0"/>
              <w:rPr>
                <w:rFonts w:ascii="黑体" w:hAnsi="黑体" w:eastAsia="黑体"/>
                <w:b/>
                <w:bCs/>
                <w:sz w:val="18"/>
                <w:szCs w:val="18"/>
              </w:rPr>
            </w:pPr>
            <w:r>
              <w:rPr>
                <w:rFonts w:hint="eastAsia" w:ascii="黑体" w:hAnsi="黑体" w:eastAsia="黑体"/>
                <w:b/>
                <w:bCs/>
                <w:sz w:val="18"/>
                <w:szCs w:val="18"/>
              </w:rPr>
              <w:t>□满足</w:t>
            </w:r>
          </w:p>
          <w:p w14:paraId="0E084443">
            <w:pPr>
              <w:pStyle w:val="132"/>
              <w:kinsoku w:val="0"/>
              <w:overflowPunct w:val="0"/>
              <w:rPr>
                <w:rFonts w:ascii="黑体" w:hAnsi="黑体" w:eastAsia="黑体"/>
                <w:b/>
                <w:bCs/>
                <w:sz w:val="18"/>
                <w:szCs w:val="18"/>
              </w:rPr>
            </w:pPr>
            <w:r>
              <w:rPr>
                <w:rFonts w:hint="eastAsia" w:ascii="黑体" w:hAnsi="黑体" w:eastAsia="黑体"/>
                <w:b/>
                <w:bCs/>
                <w:sz w:val="18"/>
                <w:szCs w:val="18"/>
              </w:rPr>
              <w:t>□不满足</w:t>
            </w:r>
          </w:p>
        </w:tc>
        <w:tc>
          <w:tcPr>
            <w:tcW w:w="1119" w:type="dxa"/>
            <w:tcBorders>
              <w:top w:val="single" w:color="000000" w:sz="4" w:space="0"/>
              <w:left w:val="single" w:color="000000" w:sz="4" w:space="0"/>
              <w:bottom w:val="single" w:color="000000" w:sz="4" w:space="0"/>
              <w:right w:val="single" w:color="000000" w:sz="4" w:space="0"/>
            </w:tcBorders>
          </w:tcPr>
          <w:p w14:paraId="3556DCF7">
            <w:pPr>
              <w:pStyle w:val="132"/>
              <w:kinsoku w:val="0"/>
              <w:overflowPunct w:val="0"/>
              <w:rPr>
                <w:rFonts w:ascii="黑体" w:hAnsi="黑体" w:eastAsia="黑体" w:cs="Times New Roman"/>
                <w:sz w:val="18"/>
                <w:szCs w:val="18"/>
              </w:rPr>
            </w:pPr>
          </w:p>
        </w:tc>
      </w:tr>
    </w:tbl>
    <w:p w14:paraId="5706375E">
      <w:pPr>
        <w:jc w:val="left"/>
        <w:rPr>
          <w:rFonts w:ascii="黑体" w:hAnsi="黑体"/>
          <w:b/>
          <w:bCs/>
          <w:szCs w:val="18"/>
        </w:rPr>
        <w:sectPr>
          <w:pgSz w:w="11910" w:h="16840"/>
          <w:pgMar w:top="1660" w:right="700" w:bottom="1340" w:left="1220" w:header="720" w:footer="1146" w:gutter="0"/>
          <w:pgNumType w:fmt="decimal"/>
          <w:cols w:space="720" w:num="1"/>
        </w:sectPr>
      </w:pPr>
    </w:p>
    <w:p w14:paraId="26C761E6">
      <w:pPr>
        <w:pStyle w:val="14"/>
        <w:kinsoku w:val="0"/>
        <w:overflowPunct w:val="0"/>
        <w:spacing w:before="1"/>
        <w:jc w:val="left"/>
        <w:rPr>
          <w:rFonts w:ascii="黑体" w:hAnsi="黑体"/>
          <w:b/>
          <w:bCs/>
          <w:szCs w:val="18"/>
        </w:rPr>
      </w:pPr>
    </w:p>
    <w:tbl>
      <w:tblPr>
        <w:tblStyle w:val="36"/>
        <w:tblW w:w="0" w:type="auto"/>
        <w:tblInd w:w="216" w:type="dxa"/>
        <w:tblLayout w:type="fixed"/>
        <w:tblCellMar>
          <w:top w:w="0" w:type="dxa"/>
          <w:left w:w="0" w:type="dxa"/>
          <w:bottom w:w="0" w:type="dxa"/>
          <w:right w:w="0" w:type="dxa"/>
        </w:tblCellMar>
      </w:tblPr>
      <w:tblGrid>
        <w:gridCol w:w="725"/>
        <w:gridCol w:w="1277"/>
        <w:gridCol w:w="4960"/>
        <w:gridCol w:w="1421"/>
        <w:gridCol w:w="1118"/>
      </w:tblGrid>
      <w:tr w14:paraId="175CABA3">
        <w:tblPrEx>
          <w:tblCellMar>
            <w:top w:w="0" w:type="dxa"/>
            <w:left w:w="0" w:type="dxa"/>
            <w:bottom w:w="0" w:type="dxa"/>
            <w:right w:w="0" w:type="dxa"/>
          </w:tblCellMar>
        </w:tblPrEx>
        <w:trPr>
          <w:trHeight w:val="4435" w:hRule="atLeast"/>
        </w:trPr>
        <w:tc>
          <w:tcPr>
            <w:tcW w:w="725" w:type="dxa"/>
            <w:tcBorders>
              <w:top w:val="single" w:color="000000" w:sz="4" w:space="0"/>
              <w:left w:val="single" w:color="000000" w:sz="4" w:space="0"/>
              <w:bottom w:val="single" w:color="000000" w:sz="4" w:space="0"/>
              <w:right w:val="single" w:color="000000" w:sz="4" w:space="0"/>
            </w:tcBorders>
          </w:tcPr>
          <w:p w14:paraId="1A4F8DCD">
            <w:pPr>
              <w:pStyle w:val="132"/>
              <w:kinsoku w:val="0"/>
              <w:overflowPunct w:val="0"/>
              <w:rPr>
                <w:rFonts w:ascii="黑体" w:hAnsi="黑体" w:eastAsia="黑体"/>
                <w:b/>
                <w:bCs/>
                <w:sz w:val="18"/>
                <w:szCs w:val="18"/>
              </w:rPr>
            </w:pPr>
          </w:p>
          <w:p w14:paraId="23A09A72">
            <w:pPr>
              <w:pStyle w:val="132"/>
              <w:kinsoku w:val="0"/>
              <w:overflowPunct w:val="0"/>
              <w:rPr>
                <w:rFonts w:ascii="黑体" w:hAnsi="黑体" w:eastAsia="黑体"/>
                <w:b/>
                <w:bCs/>
                <w:sz w:val="18"/>
                <w:szCs w:val="18"/>
              </w:rPr>
            </w:pPr>
          </w:p>
          <w:p w14:paraId="3BAFD540">
            <w:pPr>
              <w:pStyle w:val="132"/>
              <w:kinsoku w:val="0"/>
              <w:overflowPunct w:val="0"/>
              <w:rPr>
                <w:rFonts w:ascii="黑体" w:hAnsi="黑体" w:eastAsia="黑体"/>
                <w:b/>
                <w:bCs/>
                <w:sz w:val="18"/>
                <w:szCs w:val="18"/>
              </w:rPr>
            </w:pPr>
          </w:p>
          <w:p w14:paraId="7E1CB357">
            <w:pPr>
              <w:pStyle w:val="132"/>
              <w:kinsoku w:val="0"/>
              <w:overflowPunct w:val="0"/>
              <w:rPr>
                <w:rFonts w:ascii="黑体" w:hAnsi="黑体" w:eastAsia="黑体"/>
                <w:b/>
                <w:bCs/>
                <w:sz w:val="18"/>
                <w:szCs w:val="18"/>
              </w:rPr>
            </w:pPr>
          </w:p>
          <w:p w14:paraId="3604A69C">
            <w:pPr>
              <w:pStyle w:val="132"/>
              <w:kinsoku w:val="0"/>
              <w:overflowPunct w:val="0"/>
              <w:rPr>
                <w:rFonts w:ascii="黑体" w:hAnsi="黑体" w:eastAsia="黑体"/>
                <w:b/>
                <w:bCs/>
                <w:sz w:val="18"/>
                <w:szCs w:val="18"/>
              </w:rPr>
            </w:pPr>
          </w:p>
          <w:p w14:paraId="2B79C984">
            <w:pPr>
              <w:pStyle w:val="132"/>
              <w:kinsoku w:val="0"/>
              <w:overflowPunct w:val="0"/>
              <w:rPr>
                <w:rFonts w:ascii="黑体" w:hAnsi="黑体" w:eastAsia="黑体"/>
                <w:b/>
                <w:bCs/>
                <w:sz w:val="18"/>
                <w:szCs w:val="18"/>
              </w:rPr>
            </w:pPr>
          </w:p>
          <w:p w14:paraId="776A3680">
            <w:pPr>
              <w:pStyle w:val="132"/>
              <w:kinsoku w:val="0"/>
              <w:overflowPunct w:val="0"/>
              <w:rPr>
                <w:rFonts w:ascii="黑体" w:hAnsi="黑体" w:eastAsia="黑体"/>
                <w:b/>
                <w:bCs/>
                <w:sz w:val="18"/>
                <w:szCs w:val="18"/>
              </w:rPr>
            </w:pPr>
          </w:p>
          <w:p w14:paraId="05ECEEAC">
            <w:pPr>
              <w:pStyle w:val="132"/>
              <w:kinsoku w:val="0"/>
              <w:overflowPunct w:val="0"/>
              <w:rPr>
                <w:rFonts w:ascii="黑体" w:hAnsi="黑体" w:eastAsia="黑体"/>
                <w:b/>
                <w:bCs/>
                <w:sz w:val="18"/>
                <w:szCs w:val="18"/>
              </w:rPr>
            </w:pPr>
          </w:p>
          <w:p w14:paraId="5BBAF112">
            <w:pPr>
              <w:pStyle w:val="132"/>
              <w:kinsoku w:val="0"/>
              <w:overflowPunct w:val="0"/>
              <w:spacing w:before="11"/>
              <w:rPr>
                <w:rFonts w:ascii="黑体" w:hAnsi="黑体" w:eastAsia="黑体"/>
                <w:b/>
                <w:bCs/>
                <w:sz w:val="18"/>
                <w:szCs w:val="18"/>
              </w:rPr>
            </w:pPr>
          </w:p>
          <w:p w14:paraId="1409233C">
            <w:pPr>
              <w:pStyle w:val="132"/>
              <w:kinsoku w:val="0"/>
              <w:overflowPunct w:val="0"/>
              <w:ind w:left="158" w:right="62"/>
              <w:rPr>
                <w:rFonts w:ascii="黑体" w:hAnsi="黑体" w:eastAsia="黑体"/>
                <w:sz w:val="18"/>
                <w:szCs w:val="18"/>
              </w:rPr>
            </w:pPr>
            <w:r>
              <w:rPr>
                <w:rFonts w:ascii="黑体" w:hAnsi="黑体" w:eastAsia="黑体"/>
                <w:sz w:val="18"/>
                <w:szCs w:val="18"/>
              </w:rPr>
              <w:t xml:space="preserve">3.9 </w:t>
            </w:r>
          </w:p>
        </w:tc>
        <w:tc>
          <w:tcPr>
            <w:tcW w:w="1277" w:type="dxa"/>
            <w:tcBorders>
              <w:top w:val="single" w:color="000000" w:sz="4" w:space="0"/>
              <w:left w:val="single" w:color="000000" w:sz="4" w:space="0"/>
              <w:bottom w:val="single" w:color="000000" w:sz="4" w:space="0"/>
              <w:right w:val="single" w:color="000000" w:sz="4" w:space="0"/>
            </w:tcBorders>
          </w:tcPr>
          <w:p w14:paraId="0369C94F">
            <w:pPr>
              <w:pStyle w:val="132"/>
              <w:kinsoku w:val="0"/>
              <w:overflowPunct w:val="0"/>
              <w:rPr>
                <w:rFonts w:ascii="黑体" w:hAnsi="黑体" w:eastAsia="黑体"/>
                <w:b/>
                <w:bCs/>
                <w:sz w:val="18"/>
                <w:szCs w:val="18"/>
              </w:rPr>
            </w:pPr>
          </w:p>
          <w:p w14:paraId="43B41295">
            <w:pPr>
              <w:pStyle w:val="132"/>
              <w:kinsoku w:val="0"/>
              <w:overflowPunct w:val="0"/>
              <w:rPr>
                <w:rFonts w:ascii="黑体" w:hAnsi="黑体" w:eastAsia="黑体"/>
                <w:b/>
                <w:bCs/>
                <w:sz w:val="18"/>
                <w:szCs w:val="18"/>
              </w:rPr>
            </w:pPr>
          </w:p>
          <w:p w14:paraId="34C47D0E">
            <w:pPr>
              <w:pStyle w:val="132"/>
              <w:kinsoku w:val="0"/>
              <w:overflowPunct w:val="0"/>
              <w:rPr>
                <w:rFonts w:ascii="黑体" w:hAnsi="黑体" w:eastAsia="黑体"/>
                <w:b/>
                <w:bCs/>
                <w:sz w:val="18"/>
                <w:szCs w:val="18"/>
              </w:rPr>
            </w:pPr>
          </w:p>
          <w:p w14:paraId="53A7F699">
            <w:pPr>
              <w:pStyle w:val="132"/>
              <w:kinsoku w:val="0"/>
              <w:overflowPunct w:val="0"/>
              <w:rPr>
                <w:rFonts w:ascii="黑体" w:hAnsi="黑体" w:eastAsia="黑体"/>
                <w:b/>
                <w:bCs/>
                <w:sz w:val="18"/>
                <w:szCs w:val="18"/>
              </w:rPr>
            </w:pPr>
          </w:p>
          <w:p w14:paraId="0C49874F">
            <w:pPr>
              <w:pStyle w:val="132"/>
              <w:kinsoku w:val="0"/>
              <w:overflowPunct w:val="0"/>
              <w:rPr>
                <w:rFonts w:ascii="黑体" w:hAnsi="黑体" w:eastAsia="黑体"/>
                <w:b/>
                <w:bCs/>
                <w:sz w:val="18"/>
                <w:szCs w:val="18"/>
              </w:rPr>
            </w:pPr>
          </w:p>
          <w:p w14:paraId="32301DC9">
            <w:pPr>
              <w:pStyle w:val="132"/>
              <w:kinsoku w:val="0"/>
              <w:overflowPunct w:val="0"/>
              <w:rPr>
                <w:rFonts w:ascii="黑体" w:hAnsi="黑体" w:eastAsia="黑体"/>
                <w:b/>
                <w:bCs/>
                <w:sz w:val="18"/>
                <w:szCs w:val="18"/>
              </w:rPr>
            </w:pPr>
          </w:p>
          <w:p w14:paraId="7BE78300">
            <w:pPr>
              <w:pStyle w:val="132"/>
              <w:kinsoku w:val="0"/>
              <w:overflowPunct w:val="0"/>
              <w:rPr>
                <w:rFonts w:ascii="黑体" w:hAnsi="黑体" w:eastAsia="黑体"/>
                <w:b/>
                <w:bCs/>
                <w:sz w:val="18"/>
                <w:szCs w:val="18"/>
              </w:rPr>
            </w:pPr>
          </w:p>
          <w:p w14:paraId="58F072A2">
            <w:pPr>
              <w:pStyle w:val="132"/>
              <w:kinsoku w:val="0"/>
              <w:overflowPunct w:val="0"/>
              <w:rPr>
                <w:rFonts w:ascii="黑体" w:hAnsi="黑体" w:eastAsia="黑体"/>
                <w:b/>
                <w:bCs/>
                <w:sz w:val="18"/>
                <w:szCs w:val="18"/>
              </w:rPr>
            </w:pPr>
          </w:p>
          <w:p w14:paraId="0E49CF57">
            <w:pPr>
              <w:pStyle w:val="132"/>
              <w:kinsoku w:val="0"/>
              <w:overflowPunct w:val="0"/>
              <w:spacing w:before="140"/>
              <w:ind w:left="105" w:right="55"/>
              <w:rPr>
                <w:rFonts w:ascii="黑体" w:hAnsi="黑体" w:eastAsia="黑体"/>
                <w:sz w:val="18"/>
                <w:szCs w:val="18"/>
              </w:rPr>
            </w:pPr>
            <w:r>
              <w:rPr>
                <w:rFonts w:hint="eastAsia" w:ascii="黑体" w:hAnsi="黑体" w:eastAsia="黑体"/>
                <w:sz w:val="18"/>
                <w:szCs w:val="18"/>
              </w:rPr>
              <w:t>支撑架性能要求</w:t>
            </w:r>
          </w:p>
        </w:tc>
        <w:tc>
          <w:tcPr>
            <w:tcW w:w="4960" w:type="dxa"/>
            <w:tcBorders>
              <w:top w:val="single" w:color="000000" w:sz="4" w:space="0"/>
              <w:left w:val="single" w:color="000000" w:sz="4" w:space="0"/>
              <w:bottom w:val="single" w:color="000000" w:sz="4" w:space="0"/>
              <w:right w:val="single" w:color="000000" w:sz="4" w:space="0"/>
            </w:tcBorders>
          </w:tcPr>
          <w:p w14:paraId="2498207B">
            <w:pPr>
              <w:pStyle w:val="132"/>
              <w:numPr>
                <w:ilvl w:val="0"/>
                <w:numId w:val="136"/>
              </w:numPr>
              <w:tabs>
                <w:tab w:val="left" w:pos="389"/>
              </w:tabs>
              <w:kinsoku w:val="0"/>
              <w:overflowPunct w:val="0"/>
              <w:spacing w:line="244" w:lineRule="auto"/>
              <w:ind w:right="99" w:firstLine="0"/>
              <w:rPr>
                <w:rFonts w:ascii="黑体" w:hAnsi="黑体" w:eastAsia="黑体"/>
                <w:sz w:val="18"/>
                <w:szCs w:val="18"/>
              </w:rPr>
            </w:pPr>
            <w:r>
              <w:rPr>
                <w:rFonts w:hint="eastAsia" w:ascii="黑体" w:hAnsi="黑体" w:eastAsia="黑体"/>
                <w:spacing w:val="-1"/>
                <w:sz w:val="18"/>
                <w:szCs w:val="18"/>
              </w:rPr>
              <w:t>支撑架含支架、垫片、横梁、螺丝、接地抱箍、胶水、斜</w:t>
            </w:r>
            <w:r>
              <w:rPr>
                <w:rFonts w:hint="eastAsia" w:ascii="黑体" w:hAnsi="黑体" w:eastAsia="黑体"/>
                <w:sz w:val="18"/>
                <w:szCs w:val="18"/>
              </w:rPr>
              <w:t>撑（若有）、收边角钢（若有）等辅材，每套支撑架的辅材配比应满足安装使用要求；</w:t>
            </w:r>
          </w:p>
          <w:p w14:paraId="1A0200CA">
            <w:pPr>
              <w:pStyle w:val="132"/>
              <w:numPr>
                <w:ilvl w:val="0"/>
                <w:numId w:val="136"/>
              </w:numPr>
              <w:tabs>
                <w:tab w:val="left" w:pos="389"/>
              </w:tabs>
              <w:kinsoku w:val="0"/>
              <w:overflowPunct w:val="0"/>
              <w:spacing w:before="2" w:line="244" w:lineRule="auto"/>
              <w:ind w:right="93" w:firstLine="0"/>
              <w:rPr>
                <w:rFonts w:ascii="黑体" w:hAnsi="黑体" w:eastAsia="黑体" w:cs="Calibri"/>
                <w:sz w:val="18"/>
                <w:szCs w:val="18"/>
              </w:rPr>
            </w:pPr>
            <w:r>
              <w:rPr>
                <w:rFonts w:hint="eastAsia" w:ascii="黑体" w:hAnsi="黑体" w:eastAsia="黑体"/>
                <w:sz w:val="18"/>
                <w:szCs w:val="18"/>
              </w:rPr>
              <w:t>架空地板高度≤</w:t>
            </w:r>
            <w:r>
              <w:rPr>
                <w:rFonts w:ascii="黑体" w:hAnsi="黑体" w:eastAsia="黑体" w:cs="Calibri"/>
                <w:sz w:val="18"/>
                <w:szCs w:val="18"/>
              </w:rPr>
              <w:t>600mm</w:t>
            </w:r>
            <w:r>
              <w:rPr>
                <w:rFonts w:ascii="黑体" w:hAnsi="黑体" w:eastAsia="黑体" w:cs="Calibri"/>
                <w:spacing w:val="21"/>
                <w:sz w:val="18"/>
                <w:szCs w:val="18"/>
              </w:rPr>
              <w:t xml:space="preserve"> </w:t>
            </w:r>
            <w:r>
              <w:rPr>
                <w:rFonts w:hint="eastAsia" w:ascii="黑体" w:hAnsi="黑体" w:eastAsia="黑体"/>
                <w:sz w:val="18"/>
                <w:szCs w:val="18"/>
              </w:rPr>
              <w:t>时支架管径≥</w:t>
            </w:r>
            <w:r>
              <w:rPr>
                <w:rFonts w:ascii="黑体" w:hAnsi="黑体" w:eastAsia="黑体" w:cs="Calibri"/>
                <w:sz w:val="18"/>
                <w:szCs w:val="18"/>
              </w:rPr>
              <w:t>25mm</w:t>
            </w:r>
            <w:r>
              <w:rPr>
                <w:rFonts w:hint="eastAsia" w:ascii="黑体" w:hAnsi="黑体" w:eastAsia="黑体"/>
                <w:sz w:val="18"/>
                <w:szCs w:val="18"/>
              </w:rPr>
              <w:t>；架空地板</w:t>
            </w:r>
            <w:r>
              <w:rPr>
                <w:rFonts w:hint="eastAsia" w:ascii="黑体" w:hAnsi="黑体" w:eastAsia="黑体"/>
                <w:spacing w:val="-2"/>
                <w:sz w:val="18"/>
                <w:szCs w:val="18"/>
              </w:rPr>
              <w:t>高度≥</w:t>
            </w:r>
            <w:r>
              <w:rPr>
                <w:rFonts w:ascii="黑体" w:hAnsi="黑体" w:eastAsia="黑体" w:cs="Calibri"/>
                <w:sz w:val="18"/>
                <w:szCs w:val="18"/>
              </w:rPr>
              <w:t xml:space="preserve">600mm </w:t>
            </w:r>
            <w:r>
              <w:rPr>
                <w:rFonts w:hint="eastAsia" w:ascii="黑体" w:hAnsi="黑体" w:eastAsia="黑体"/>
                <w:sz w:val="18"/>
                <w:szCs w:val="18"/>
              </w:rPr>
              <w:t>时支架管径≥</w:t>
            </w:r>
            <w:r>
              <w:rPr>
                <w:rFonts w:ascii="黑体" w:hAnsi="黑体" w:eastAsia="黑体" w:cs="Calibri"/>
                <w:sz w:val="18"/>
                <w:szCs w:val="18"/>
              </w:rPr>
              <w:t>32mm</w:t>
            </w:r>
            <w:r>
              <w:rPr>
                <w:rFonts w:hint="eastAsia" w:ascii="黑体" w:hAnsi="黑体" w:eastAsia="黑体"/>
                <w:sz w:val="18"/>
                <w:szCs w:val="18"/>
              </w:rPr>
              <w:t>；</w:t>
            </w:r>
          </w:p>
          <w:p w14:paraId="12692F34">
            <w:pPr>
              <w:pStyle w:val="132"/>
              <w:numPr>
                <w:ilvl w:val="0"/>
                <w:numId w:val="136"/>
              </w:numPr>
              <w:tabs>
                <w:tab w:val="left" w:pos="386"/>
              </w:tabs>
              <w:kinsoku w:val="0"/>
              <w:overflowPunct w:val="0"/>
              <w:spacing w:before="5" w:line="244" w:lineRule="auto"/>
              <w:ind w:left="374" w:right="92" w:hanging="269"/>
              <w:rPr>
                <w:rFonts w:ascii="黑体" w:hAnsi="黑体" w:eastAsia="黑体"/>
                <w:sz w:val="18"/>
                <w:szCs w:val="18"/>
              </w:rPr>
            </w:pPr>
            <w:r>
              <w:rPr>
                <w:rFonts w:hint="eastAsia" w:ascii="黑体" w:hAnsi="黑体" w:eastAsia="黑体"/>
                <w:sz w:val="18"/>
                <w:szCs w:val="18"/>
              </w:rPr>
              <w:t>架空地板高度≤</w:t>
            </w:r>
            <w:r>
              <w:rPr>
                <w:rFonts w:ascii="黑体" w:hAnsi="黑体" w:eastAsia="黑体" w:cs="Calibri"/>
                <w:sz w:val="18"/>
                <w:szCs w:val="18"/>
              </w:rPr>
              <w:t>800mm</w:t>
            </w:r>
            <w:r>
              <w:rPr>
                <w:rFonts w:ascii="黑体" w:hAnsi="黑体" w:eastAsia="黑体" w:cs="Calibri"/>
                <w:spacing w:val="12"/>
                <w:sz w:val="18"/>
                <w:szCs w:val="18"/>
              </w:rPr>
              <w:t xml:space="preserve"> </w:t>
            </w:r>
            <w:r>
              <w:rPr>
                <w:rFonts w:hint="eastAsia" w:ascii="黑体" w:hAnsi="黑体" w:eastAsia="黑体"/>
                <w:sz w:val="18"/>
                <w:szCs w:val="18"/>
              </w:rPr>
              <w:t>时支架中柱壁厚≥</w:t>
            </w:r>
            <w:r>
              <w:rPr>
                <w:rFonts w:ascii="黑体" w:hAnsi="黑体" w:eastAsia="黑体" w:cs="Calibri"/>
                <w:sz w:val="18"/>
                <w:szCs w:val="18"/>
              </w:rPr>
              <w:t>1.5mm</w:t>
            </w:r>
            <w:r>
              <w:rPr>
                <w:rFonts w:hint="eastAsia" w:ascii="黑体" w:hAnsi="黑体" w:eastAsia="黑体"/>
                <w:sz w:val="18"/>
                <w:szCs w:val="18"/>
              </w:rPr>
              <w:t>；架空</w:t>
            </w:r>
            <w:r>
              <w:rPr>
                <w:rFonts w:hint="eastAsia" w:ascii="黑体" w:hAnsi="黑体" w:eastAsia="黑体"/>
                <w:spacing w:val="-3"/>
                <w:sz w:val="18"/>
                <w:szCs w:val="18"/>
              </w:rPr>
              <w:t>地板高度＞</w:t>
            </w:r>
            <w:r>
              <w:rPr>
                <w:rFonts w:ascii="黑体" w:hAnsi="黑体" w:eastAsia="黑体" w:cs="Calibri"/>
                <w:sz w:val="18"/>
                <w:szCs w:val="18"/>
              </w:rPr>
              <w:t>800mm</w:t>
            </w:r>
            <w:r>
              <w:rPr>
                <w:rFonts w:ascii="黑体" w:hAnsi="黑体" w:eastAsia="黑体" w:cs="Calibri"/>
                <w:spacing w:val="6"/>
                <w:sz w:val="18"/>
                <w:szCs w:val="18"/>
              </w:rPr>
              <w:t xml:space="preserve"> </w:t>
            </w:r>
            <w:r>
              <w:rPr>
                <w:rFonts w:hint="eastAsia" w:ascii="黑体" w:hAnsi="黑体" w:eastAsia="黑体"/>
                <w:spacing w:val="-4"/>
                <w:sz w:val="18"/>
                <w:szCs w:val="18"/>
              </w:rPr>
              <w:t>时中柱壁厚≥</w:t>
            </w:r>
            <w:r>
              <w:rPr>
                <w:rFonts w:ascii="黑体" w:hAnsi="黑体" w:eastAsia="黑体" w:cs="Calibri"/>
                <w:sz w:val="18"/>
                <w:szCs w:val="18"/>
              </w:rPr>
              <w:t>2.0mm</w:t>
            </w:r>
            <w:r>
              <w:rPr>
                <w:rFonts w:hint="eastAsia" w:ascii="黑体" w:hAnsi="黑体" w:eastAsia="黑体"/>
                <w:sz w:val="18"/>
                <w:szCs w:val="18"/>
              </w:rPr>
              <w:t>；</w:t>
            </w:r>
          </w:p>
          <w:p w14:paraId="3399F1F3">
            <w:pPr>
              <w:pStyle w:val="132"/>
              <w:numPr>
                <w:ilvl w:val="0"/>
                <w:numId w:val="136"/>
              </w:numPr>
              <w:tabs>
                <w:tab w:val="left" w:pos="389"/>
              </w:tabs>
              <w:kinsoku w:val="0"/>
              <w:overflowPunct w:val="0"/>
              <w:spacing w:line="244" w:lineRule="auto"/>
              <w:ind w:left="374" w:right="92" w:hanging="269"/>
              <w:rPr>
                <w:rFonts w:ascii="黑体" w:hAnsi="黑体" w:eastAsia="黑体"/>
                <w:spacing w:val="-5"/>
                <w:sz w:val="18"/>
                <w:szCs w:val="18"/>
              </w:rPr>
            </w:pPr>
            <w:r>
              <w:rPr>
                <w:rFonts w:hint="eastAsia" w:ascii="黑体" w:hAnsi="黑体" w:eastAsia="黑体"/>
                <w:sz w:val="18"/>
                <w:szCs w:val="18"/>
              </w:rPr>
              <w:t>涉及金属件均进行电镀彩锌表面处理：电镀锌表面处理</w:t>
            </w:r>
            <w:r>
              <w:rPr>
                <w:rFonts w:hint="eastAsia" w:ascii="黑体" w:hAnsi="黑体" w:eastAsia="黑体"/>
                <w:spacing w:val="-3"/>
                <w:sz w:val="18"/>
                <w:szCs w:val="18"/>
              </w:rPr>
              <w:t>要求：涂层厚度</w:t>
            </w:r>
            <w:r>
              <w:rPr>
                <w:rFonts w:ascii="黑体" w:hAnsi="黑体" w:eastAsia="黑体"/>
                <w:spacing w:val="-3"/>
                <w:sz w:val="18"/>
                <w:szCs w:val="18"/>
              </w:rPr>
              <w:t xml:space="preserve"> </w:t>
            </w:r>
            <w:r>
              <w:rPr>
                <w:rFonts w:ascii="黑体" w:hAnsi="黑体" w:eastAsia="黑体" w:cs="Calibri"/>
                <w:spacing w:val="-3"/>
                <w:sz w:val="18"/>
                <w:szCs w:val="18"/>
              </w:rPr>
              <w:t>8~12</w:t>
            </w:r>
            <w:r>
              <w:rPr>
                <w:rFonts w:hint="eastAsia" w:ascii="黑体" w:hAnsi="黑体" w:eastAsia="黑体"/>
                <w:spacing w:val="-3"/>
                <w:sz w:val="18"/>
                <w:szCs w:val="18"/>
              </w:rPr>
              <w:t>μ</w:t>
            </w:r>
            <w:r>
              <w:rPr>
                <w:rFonts w:ascii="黑体" w:hAnsi="黑体" w:eastAsia="黑体" w:cs="Calibri"/>
                <w:spacing w:val="-3"/>
                <w:sz w:val="18"/>
                <w:szCs w:val="18"/>
              </w:rPr>
              <w:t>m</w:t>
            </w:r>
            <w:r>
              <w:rPr>
                <w:rFonts w:hint="eastAsia" w:ascii="黑体" w:hAnsi="黑体" w:eastAsia="黑体"/>
                <w:spacing w:val="1"/>
                <w:sz w:val="18"/>
                <w:szCs w:val="18"/>
              </w:rPr>
              <w:t>；按</w:t>
            </w:r>
            <w:r>
              <w:rPr>
                <w:rFonts w:ascii="黑体" w:hAnsi="黑体" w:eastAsia="黑体"/>
                <w:spacing w:val="1"/>
                <w:sz w:val="18"/>
                <w:szCs w:val="18"/>
              </w:rPr>
              <w:t xml:space="preserve"> </w:t>
            </w:r>
            <w:r>
              <w:rPr>
                <w:rFonts w:ascii="黑体" w:hAnsi="黑体" w:eastAsia="黑体" w:cs="Calibri"/>
                <w:sz w:val="18"/>
                <w:szCs w:val="18"/>
              </w:rPr>
              <w:t>GB/T</w:t>
            </w:r>
            <w:r>
              <w:rPr>
                <w:rFonts w:ascii="黑体" w:hAnsi="黑体" w:eastAsia="黑体" w:cs="Calibri"/>
                <w:spacing w:val="31"/>
                <w:sz w:val="18"/>
                <w:szCs w:val="18"/>
              </w:rPr>
              <w:t xml:space="preserve"> </w:t>
            </w:r>
            <w:r>
              <w:rPr>
                <w:rFonts w:ascii="黑体" w:hAnsi="黑体" w:eastAsia="黑体" w:cs="Calibri"/>
                <w:spacing w:val="-3"/>
                <w:sz w:val="18"/>
                <w:szCs w:val="18"/>
              </w:rPr>
              <w:t>9286</w:t>
            </w:r>
            <w:r>
              <w:rPr>
                <w:rFonts w:ascii="黑体" w:hAnsi="黑体" w:eastAsia="黑体" w:cs="Calibri"/>
                <w:spacing w:val="25"/>
                <w:sz w:val="18"/>
                <w:szCs w:val="18"/>
              </w:rPr>
              <w:t xml:space="preserve"> </w:t>
            </w:r>
            <w:r>
              <w:rPr>
                <w:rFonts w:hint="eastAsia" w:ascii="黑体" w:hAnsi="黑体" w:eastAsia="黑体"/>
                <w:spacing w:val="-4"/>
                <w:sz w:val="18"/>
                <w:szCs w:val="18"/>
              </w:rPr>
              <w:t>进行涂层附着</w:t>
            </w:r>
            <w:r>
              <w:rPr>
                <w:rFonts w:hint="eastAsia" w:ascii="黑体" w:hAnsi="黑体" w:eastAsia="黑体"/>
                <w:spacing w:val="13"/>
                <w:sz w:val="18"/>
                <w:szCs w:val="18"/>
              </w:rPr>
              <w:t>力试验，要求所有试样上的涂层都应</w:t>
            </w:r>
            <w:r>
              <w:rPr>
                <w:rFonts w:ascii="黑体" w:hAnsi="黑体" w:eastAsia="黑体"/>
                <w:spacing w:val="13"/>
                <w:sz w:val="18"/>
                <w:szCs w:val="18"/>
              </w:rPr>
              <w:t xml:space="preserve"> </w:t>
            </w:r>
            <w:r>
              <w:rPr>
                <w:rFonts w:ascii="黑体" w:hAnsi="黑体" w:eastAsia="黑体" w:cs="Calibri"/>
                <w:spacing w:val="5"/>
                <w:sz w:val="18"/>
                <w:szCs w:val="18"/>
              </w:rPr>
              <w:t>100</w:t>
            </w:r>
            <w:r>
              <w:rPr>
                <w:rFonts w:hint="eastAsia" w:ascii="黑体" w:hAnsi="黑体" w:eastAsia="黑体"/>
                <w:spacing w:val="7"/>
                <w:sz w:val="18"/>
                <w:szCs w:val="18"/>
              </w:rPr>
              <w:t>％附着；按</w:t>
            </w:r>
            <w:r>
              <w:rPr>
                <w:rFonts w:ascii="黑体" w:hAnsi="黑体" w:eastAsia="黑体" w:cs="Calibri"/>
                <w:spacing w:val="7"/>
                <w:sz w:val="18"/>
                <w:szCs w:val="18"/>
              </w:rPr>
              <w:t>GB/T</w:t>
            </w:r>
            <w:r>
              <w:rPr>
                <w:rFonts w:ascii="黑体" w:hAnsi="黑体" w:eastAsia="黑体" w:cs="Calibri"/>
                <w:spacing w:val="21"/>
                <w:sz w:val="18"/>
                <w:szCs w:val="18"/>
              </w:rPr>
              <w:t xml:space="preserve"> </w:t>
            </w:r>
            <w:r>
              <w:rPr>
                <w:rFonts w:ascii="黑体" w:hAnsi="黑体" w:eastAsia="黑体" w:cs="Calibri"/>
                <w:sz w:val="18"/>
                <w:szCs w:val="18"/>
              </w:rPr>
              <w:t>2423.17</w:t>
            </w:r>
            <w:r>
              <w:rPr>
                <w:rFonts w:ascii="黑体" w:hAnsi="黑体" w:eastAsia="黑体" w:cs="Calibri"/>
                <w:spacing w:val="16"/>
                <w:sz w:val="18"/>
                <w:szCs w:val="18"/>
              </w:rPr>
              <w:t xml:space="preserve"> </w:t>
            </w:r>
            <w:r>
              <w:rPr>
                <w:rFonts w:hint="eastAsia" w:ascii="黑体" w:hAnsi="黑体" w:eastAsia="黑体"/>
                <w:spacing w:val="-2"/>
                <w:sz w:val="18"/>
                <w:szCs w:val="18"/>
              </w:rPr>
              <w:t>标准通过</w:t>
            </w:r>
            <w:r>
              <w:rPr>
                <w:rFonts w:ascii="黑体" w:hAnsi="黑体" w:eastAsia="黑体"/>
                <w:spacing w:val="-2"/>
                <w:sz w:val="18"/>
                <w:szCs w:val="18"/>
              </w:rPr>
              <w:t xml:space="preserve"> </w:t>
            </w:r>
            <w:r>
              <w:rPr>
                <w:rFonts w:ascii="黑体" w:hAnsi="黑体" w:eastAsia="黑体" w:cs="Calibri"/>
                <w:spacing w:val="-3"/>
                <w:sz w:val="18"/>
                <w:szCs w:val="18"/>
              </w:rPr>
              <w:t>72h</w:t>
            </w:r>
            <w:r>
              <w:rPr>
                <w:rFonts w:ascii="黑体" w:hAnsi="黑体" w:eastAsia="黑体" w:cs="Calibri"/>
                <w:spacing w:val="23"/>
                <w:sz w:val="18"/>
                <w:szCs w:val="18"/>
              </w:rPr>
              <w:t xml:space="preserve"> </w:t>
            </w:r>
            <w:r>
              <w:rPr>
                <w:rFonts w:hint="eastAsia" w:ascii="黑体" w:hAnsi="黑体" w:eastAsia="黑体"/>
                <w:spacing w:val="-5"/>
                <w:sz w:val="18"/>
                <w:szCs w:val="18"/>
              </w:rPr>
              <w:t>盐雾试验；焊接牢固，金属件表面防锈层无脱落，无明显疵点；</w:t>
            </w:r>
          </w:p>
          <w:p w14:paraId="1678A64D">
            <w:pPr>
              <w:pStyle w:val="132"/>
              <w:numPr>
                <w:ilvl w:val="0"/>
                <w:numId w:val="136"/>
              </w:numPr>
              <w:tabs>
                <w:tab w:val="left" w:pos="381"/>
              </w:tabs>
              <w:kinsoku w:val="0"/>
              <w:overflowPunct w:val="0"/>
              <w:spacing w:line="221" w:lineRule="exact"/>
              <w:ind w:left="380" w:hanging="276"/>
              <w:rPr>
                <w:rFonts w:ascii="黑体" w:hAnsi="黑体" w:eastAsia="黑体"/>
                <w:spacing w:val="-5"/>
                <w:sz w:val="18"/>
                <w:szCs w:val="18"/>
              </w:rPr>
            </w:pPr>
            <w:r>
              <w:rPr>
                <w:rFonts w:hint="eastAsia" w:ascii="黑体" w:hAnsi="黑体" w:eastAsia="黑体"/>
                <w:spacing w:val="-10"/>
                <w:sz w:val="18"/>
                <w:szCs w:val="18"/>
              </w:rPr>
              <w:t>支架可上下调整</w:t>
            </w:r>
            <w:r>
              <w:rPr>
                <w:rFonts w:ascii="黑体" w:hAnsi="黑体" w:eastAsia="黑体"/>
                <w:spacing w:val="-10"/>
                <w:sz w:val="18"/>
                <w:szCs w:val="18"/>
              </w:rPr>
              <w:t xml:space="preserve"> </w:t>
            </w:r>
            <w:r>
              <w:rPr>
                <w:rFonts w:ascii="黑体" w:hAnsi="黑体" w:eastAsia="黑体" w:cs="Calibri"/>
                <w:sz w:val="18"/>
                <w:szCs w:val="18"/>
              </w:rPr>
              <w:t>20mm</w:t>
            </w:r>
            <w:r>
              <w:rPr>
                <w:rFonts w:ascii="黑体" w:hAnsi="黑体" w:eastAsia="黑体" w:cs="Calibri"/>
                <w:spacing w:val="10"/>
                <w:sz w:val="18"/>
                <w:szCs w:val="18"/>
              </w:rPr>
              <w:t xml:space="preserve"> </w:t>
            </w:r>
            <w:r>
              <w:rPr>
                <w:rFonts w:hint="eastAsia" w:ascii="黑体" w:hAnsi="黑体" w:eastAsia="黑体"/>
                <w:spacing w:val="-5"/>
                <w:sz w:val="18"/>
                <w:szCs w:val="18"/>
              </w:rPr>
              <w:t>以保证地板安装高度一致；</w:t>
            </w:r>
          </w:p>
          <w:p w14:paraId="5E0A4FC4">
            <w:pPr>
              <w:pStyle w:val="132"/>
              <w:numPr>
                <w:ilvl w:val="0"/>
                <w:numId w:val="136"/>
              </w:numPr>
              <w:tabs>
                <w:tab w:val="left" w:pos="381"/>
              </w:tabs>
              <w:kinsoku w:val="0"/>
              <w:overflowPunct w:val="0"/>
              <w:ind w:left="380" w:hanging="276"/>
              <w:rPr>
                <w:rFonts w:ascii="黑体" w:hAnsi="黑体" w:eastAsia="黑体"/>
                <w:spacing w:val="-5"/>
                <w:sz w:val="18"/>
                <w:szCs w:val="18"/>
              </w:rPr>
            </w:pPr>
            <w:r>
              <w:rPr>
                <w:rFonts w:hint="eastAsia" w:ascii="黑体" w:hAnsi="黑体" w:eastAsia="黑体"/>
                <w:spacing w:val="-3"/>
                <w:sz w:val="18"/>
                <w:szCs w:val="18"/>
              </w:rPr>
              <w:t>承重要求：</w:t>
            </w:r>
            <w:r>
              <w:rPr>
                <w:rFonts w:ascii="黑体" w:hAnsi="黑体" w:eastAsia="黑体" w:cs="Calibri"/>
                <w:spacing w:val="-3"/>
                <w:sz w:val="18"/>
                <w:szCs w:val="18"/>
              </w:rPr>
              <w:t>20KN</w:t>
            </w:r>
            <w:r>
              <w:rPr>
                <w:rFonts w:ascii="黑体" w:hAnsi="黑体" w:eastAsia="黑体" w:cs="Calibri"/>
                <w:spacing w:val="12"/>
                <w:sz w:val="18"/>
                <w:szCs w:val="18"/>
              </w:rPr>
              <w:t xml:space="preserve"> </w:t>
            </w:r>
            <w:r>
              <w:rPr>
                <w:rFonts w:hint="eastAsia" w:ascii="黑体" w:hAnsi="黑体" w:eastAsia="黑体"/>
                <w:spacing w:val="-5"/>
                <w:sz w:val="18"/>
                <w:szCs w:val="18"/>
              </w:rPr>
              <w:t>力保持一分钟支架应完好如初；</w:t>
            </w:r>
          </w:p>
          <w:p w14:paraId="3F2236DD">
            <w:pPr>
              <w:pStyle w:val="132"/>
              <w:numPr>
                <w:ilvl w:val="0"/>
                <w:numId w:val="136"/>
              </w:numPr>
              <w:tabs>
                <w:tab w:val="left" w:pos="428"/>
              </w:tabs>
              <w:kinsoku w:val="0"/>
              <w:overflowPunct w:val="0"/>
              <w:spacing w:before="4"/>
              <w:ind w:right="95" w:firstLine="0"/>
              <w:rPr>
                <w:rFonts w:ascii="黑体" w:hAnsi="黑体" w:eastAsia="黑体"/>
                <w:spacing w:val="-3"/>
                <w:sz w:val="18"/>
                <w:szCs w:val="18"/>
              </w:rPr>
            </w:pPr>
            <w:r>
              <w:rPr>
                <w:rFonts w:hint="eastAsia" w:ascii="黑体" w:hAnsi="黑体" w:eastAsia="黑体"/>
                <w:sz w:val="18"/>
                <w:szCs w:val="18"/>
              </w:rPr>
              <w:t>）</w:t>
            </w:r>
            <w:r>
              <w:rPr>
                <w:rFonts w:ascii="黑体" w:hAnsi="黑体" w:eastAsia="黑体"/>
                <w:spacing w:val="2"/>
                <w:sz w:val="18"/>
                <w:szCs w:val="18"/>
              </w:rPr>
              <w:t xml:space="preserve"> </w:t>
            </w:r>
            <w:r>
              <w:rPr>
                <w:rFonts w:hint="eastAsia" w:ascii="黑体" w:hAnsi="黑体" w:eastAsia="黑体"/>
                <w:spacing w:val="2"/>
                <w:sz w:val="18"/>
                <w:szCs w:val="18"/>
              </w:rPr>
              <w:t>架空地板高度≥</w:t>
            </w:r>
            <w:r>
              <w:rPr>
                <w:rFonts w:ascii="黑体" w:hAnsi="黑体" w:eastAsia="黑体"/>
                <w:spacing w:val="2"/>
                <w:sz w:val="18"/>
                <w:szCs w:val="18"/>
              </w:rPr>
              <w:t xml:space="preserve"> </w:t>
            </w:r>
            <w:r>
              <w:rPr>
                <w:rFonts w:ascii="黑体" w:hAnsi="黑体" w:eastAsia="黑体" w:cs="Calibri"/>
                <w:spacing w:val="-3"/>
                <w:sz w:val="18"/>
                <w:szCs w:val="18"/>
              </w:rPr>
              <w:t xml:space="preserve">1000mm  </w:t>
            </w:r>
            <w:r>
              <w:rPr>
                <w:rFonts w:hint="eastAsia" w:ascii="黑体" w:hAnsi="黑体" w:eastAsia="黑体"/>
                <w:spacing w:val="18"/>
                <w:sz w:val="18"/>
                <w:szCs w:val="18"/>
              </w:rPr>
              <w:t>时建议使用斜拉撑</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pacing w:val="6"/>
                <w:sz w:val="18"/>
                <w:szCs w:val="18"/>
              </w:rPr>
              <w:t>带抱箍</w:t>
            </w:r>
            <w:r>
              <w:rPr>
                <w:rFonts w:hint="eastAsia" w:ascii="黑体" w:hAnsi="黑体" w:eastAsia="黑体"/>
                <w:spacing w:val="-3"/>
                <w:sz w:val="18"/>
                <w:szCs w:val="18"/>
              </w:rPr>
              <w:t>）；</w:t>
            </w:r>
          </w:p>
          <w:p w14:paraId="3C9004E2">
            <w:pPr>
              <w:pStyle w:val="132"/>
              <w:numPr>
                <w:ilvl w:val="0"/>
                <w:numId w:val="136"/>
              </w:numPr>
              <w:tabs>
                <w:tab w:val="left" w:pos="389"/>
              </w:tabs>
              <w:kinsoku w:val="0"/>
              <w:overflowPunct w:val="0"/>
              <w:spacing w:before="4"/>
              <w:ind w:left="388" w:hanging="284"/>
              <w:rPr>
                <w:rFonts w:ascii="黑体" w:hAnsi="黑体" w:eastAsia="黑体"/>
                <w:sz w:val="18"/>
                <w:szCs w:val="18"/>
              </w:rPr>
            </w:pPr>
            <w:r>
              <w:rPr>
                <w:rFonts w:hint="eastAsia" w:ascii="黑体" w:hAnsi="黑体" w:eastAsia="黑体"/>
                <w:sz w:val="18"/>
                <w:szCs w:val="18"/>
              </w:rPr>
              <w:t>根据实际现场环境需要可提供角铁，木工板，橡塑棉，</w:t>
            </w:r>
          </w:p>
          <w:p w14:paraId="27FD21C5">
            <w:pPr>
              <w:pStyle w:val="132"/>
              <w:kinsoku w:val="0"/>
              <w:overflowPunct w:val="0"/>
              <w:spacing w:before="5" w:line="213" w:lineRule="exact"/>
              <w:ind w:left="374"/>
              <w:rPr>
                <w:rFonts w:ascii="黑体" w:hAnsi="黑体" w:eastAsia="黑体"/>
                <w:sz w:val="18"/>
                <w:szCs w:val="18"/>
              </w:rPr>
            </w:pPr>
            <w:r>
              <w:rPr>
                <w:rFonts w:hint="eastAsia" w:ascii="黑体" w:hAnsi="黑体" w:eastAsia="黑体"/>
                <w:sz w:val="18"/>
                <w:szCs w:val="18"/>
              </w:rPr>
              <w:t>发泡胶等支撑架可替代方案。</w:t>
            </w:r>
          </w:p>
        </w:tc>
        <w:tc>
          <w:tcPr>
            <w:tcW w:w="1421" w:type="dxa"/>
            <w:tcBorders>
              <w:top w:val="single" w:color="000000" w:sz="4" w:space="0"/>
              <w:left w:val="single" w:color="000000" w:sz="4" w:space="0"/>
              <w:bottom w:val="single" w:color="000000" w:sz="4" w:space="0"/>
              <w:right w:val="single" w:color="000000" w:sz="4" w:space="0"/>
            </w:tcBorders>
          </w:tcPr>
          <w:p w14:paraId="6B4A0403">
            <w:pPr>
              <w:pStyle w:val="132"/>
              <w:kinsoku w:val="0"/>
              <w:overflowPunct w:val="0"/>
              <w:rPr>
                <w:rFonts w:ascii="黑体" w:hAnsi="黑体" w:eastAsia="黑体"/>
                <w:b/>
                <w:bCs/>
                <w:sz w:val="18"/>
                <w:szCs w:val="18"/>
              </w:rPr>
            </w:pPr>
          </w:p>
          <w:p w14:paraId="0B61C21B">
            <w:pPr>
              <w:pStyle w:val="132"/>
              <w:kinsoku w:val="0"/>
              <w:overflowPunct w:val="0"/>
              <w:rPr>
                <w:rFonts w:ascii="黑体" w:hAnsi="黑体" w:eastAsia="黑体"/>
                <w:b/>
                <w:bCs/>
                <w:sz w:val="18"/>
                <w:szCs w:val="18"/>
              </w:rPr>
            </w:pPr>
          </w:p>
          <w:p w14:paraId="0911D95A">
            <w:pPr>
              <w:pStyle w:val="132"/>
              <w:kinsoku w:val="0"/>
              <w:overflowPunct w:val="0"/>
              <w:rPr>
                <w:rFonts w:ascii="黑体" w:hAnsi="黑体" w:eastAsia="黑体"/>
                <w:b/>
                <w:bCs/>
                <w:sz w:val="18"/>
                <w:szCs w:val="18"/>
              </w:rPr>
            </w:pPr>
          </w:p>
          <w:p w14:paraId="00A9A478">
            <w:pPr>
              <w:pStyle w:val="132"/>
              <w:kinsoku w:val="0"/>
              <w:overflowPunct w:val="0"/>
              <w:rPr>
                <w:rFonts w:ascii="黑体" w:hAnsi="黑体" w:eastAsia="黑体"/>
                <w:b/>
                <w:bCs/>
                <w:sz w:val="18"/>
                <w:szCs w:val="18"/>
              </w:rPr>
            </w:pPr>
          </w:p>
          <w:p w14:paraId="3AE86923">
            <w:pPr>
              <w:pStyle w:val="132"/>
              <w:kinsoku w:val="0"/>
              <w:overflowPunct w:val="0"/>
              <w:rPr>
                <w:rFonts w:ascii="黑体" w:hAnsi="黑体" w:eastAsia="黑体"/>
                <w:b/>
                <w:bCs/>
                <w:sz w:val="18"/>
                <w:szCs w:val="18"/>
              </w:rPr>
            </w:pPr>
          </w:p>
          <w:p w14:paraId="7BA54656">
            <w:pPr>
              <w:pStyle w:val="132"/>
              <w:kinsoku w:val="0"/>
              <w:overflowPunct w:val="0"/>
              <w:rPr>
                <w:rFonts w:ascii="黑体" w:hAnsi="黑体" w:eastAsia="黑体"/>
                <w:b/>
                <w:bCs/>
                <w:sz w:val="18"/>
                <w:szCs w:val="18"/>
              </w:rPr>
            </w:pPr>
          </w:p>
          <w:p w14:paraId="16277035">
            <w:pPr>
              <w:pStyle w:val="132"/>
              <w:kinsoku w:val="0"/>
              <w:overflowPunct w:val="0"/>
              <w:rPr>
                <w:rFonts w:ascii="黑体" w:hAnsi="黑体" w:eastAsia="黑体"/>
                <w:b/>
                <w:bCs/>
                <w:sz w:val="18"/>
                <w:szCs w:val="18"/>
              </w:rPr>
            </w:pPr>
          </w:p>
          <w:p w14:paraId="473AFAC2">
            <w:pPr>
              <w:pStyle w:val="132"/>
              <w:kinsoku w:val="0"/>
              <w:overflowPunct w:val="0"/>
              <w:rPr>
                <w:rFonts w:ascii="黑体" w:hAnsi="黑体" w:eastAsia="黑体"/>
                <w:b/>
                <w:bCs/>
                <w:sz w:val="18"/>
                <w:szCs w:val="18"/>
              </w:rPr>
            </w:pPr>
          </w:p>
          <w:p w14:paraId="1327D1AD">
            <w:pPr>
              <w:pStyle w:val="132"/>
              <w:kinsoku w:val="0"/>
              <w:overflowPunct w:val="0"/>
              <w:spacing w:before="140" w:line="231" w:lineRule="exact"/>
              <w:ind w:left="111"/>
              <w:rPr>
                <w:rFonts w:ascii="黑体" w:hAnsi="黑体" w:eastAsia="黑体"/>
                <w:b/>
                <w:bCs/>
                <w:sz w:val="18"/>
                <w:szCs w:val="18"/>
              </w:rPr>
            </w:pPr>
            <w:r>
              <w:rPr>
                <w:rFonts w:hint="eastAsia" w:ascii="黑体" w:hAnsi="黑体" w:eastAsia="黑体"/>
                <w:b/>
                <w:bCs/>
                <w:sz w:val="18"/>
                <w:szCs w:val="18"/>
              </w:rPr>
              <w:t>□满足</w:t>
            </w:r>
          </w:p>
          <w:p w14:paraId="379E340C">
            <w:pPr>
              <w:pStyle w:val="132"/>
              <w:kinsoku w:val="0"/>
              <w:overflowPunct w:val="0"/>
              <w:ind w:left="111"/>
              <w:rPr>
                <w:rFonts w:ascii="黑体" w:hAnsi="黑体" w:eastAsia="黑体"/>
                <w:sz w:val="18"/>
                <w:szCs w:val="18"/>
              </w:rPr>
            </w:pPr>
            <w:r>
              <w:rPr>
                <w:rFonts w:hint="eastAsia" w:ascii="黑体" w:hAnsi="黑体" w:eastAsia="黑体"/>
                <w:sz w:val="18"/>
                <w:szCs w:val="18"/>
              </w:rPr>
              <w:t>□不满足</w:t>
            </w:r>
          </w:p>
        </w:tc>
        <w:tc>
          <w:tcPr>
            <w:tcW w:w="1118" w:type="dxa"/>
            <w:tcBorders>
              <w:top w:val="single" w:color="000000" w:sz="4" w:space="0"/>
              <w:left w:val="single" w:color="000000" w:sz="4" w:space="0"/>
              <w:bottom w:val="single" w:color="000000" w:sz="4" w:space="0"/>
              <w:right w:val="single" w:color="000000" w:sz="4" w:space="0"/>
            </w:tcBorders>
          </w:tcPr>
          <w:p w14:paraId="543A44CF">
            <w:pPr>
              <w:pStyle w:val="132"/>
              <w:kinsoku w:val="0"/>
              <w:overflowPunct w:val="0"/>
              <w:rPr>
                <w:rFonts w:ascii="黑体" w:hAnsi="黑体" w:eastAsia="黑体" w:cs="Times New Roman"/>
                <w:sz w:val="18"/>
                <w:szCs w:val="18"/>
              </w:rPr>
            </w:pPr>
          </w:p>
        </w:tc>
      </w:tr>
    </w:tbl>
    <w:p w14:paraId="660EBF68">
      <w:pPr>
        <w:jc w:val="left"/>
        <w:rPr>
          <w:rFonts w:ascii="黑体" w:hAnsi="黑体"/>
          <w:b/>
          <w:bCs/>
          <w:szCs w:val="18"/>
        </w:rPr>
        <w:sectPr>
          <w:pgSz w:w="11910" w:h="16840"/>
          <w:pgMar w:top="1660" w:right="700" w:bottom="1340" w:left="1220" w:header="720" w:footer="1146" w:gutter="0"/>
          <w:pgNumType w:fmt="decimal"/>
          <w:cols w:space="720" w:num="1"/>
        </w:sectPr>
      </w:pPr>
    </w:p>
    <w:p w14:paraId="2F61ACB7">
      <w:pPr>
        <w:pStyle w:val="111"/>
        <w:ind w:left="1134" w:hanging="424"/>
        <w:jc w:val="left"/>
        <w:rPr>
          <w:b/>
          <w:bCs/>
        </w:rPr>
      </w:pPr>
      <w:r>
        <w:rPr>
          <w:rFonts w:hint="eastAsia"/>
          <w:b/>
        </w:rPr>
        <w:t>铝合金通风防静电地板技术规格</w:t>
      </w:r>
    </w:p>
    <w:tbl>
      <w:tblPr>
        <w:tblStyle w:val="36"/>
        <w:tblW w:w="0" w:type="auto"/>
        <w:tblInd w:w="211" w:type="dxa"/>
        <w:tblLayout w:type="fixed"/>
        <w:tblCellMar>
          <w:top w:w="0" w:type="dxa"/>
          <w:left w:w="0" w:type="dxa"/>
          <w:bottom w:w="0" w:type="dxa"/>
          <w:right w:w="0" w:type="dxa"/>
        </w:tblCellMar>
      </w:tblPr>
      <w:tblGrid>
        <w:gridCol w:w="725"/>
        <w:gridCol w:w="1277"/>
        <w:gridCol w:w="283"/>
        <w:gridCol w:w="4821"/>
        <w:gridCol w:w="1278"/>
        <w:gridCol w:w="1119"/>
      </w:tblGrid>
      <w:tr w14:paraId="19696CF2">
        <w:tblPrEx>
          <w:tblCellMar>
            <w:top w:w="0" w:type="dxa"/>
            <w:left w:w="0" w:type="dxa"/>
            <w:bottom w:w="0" w:type="dxa"/>
            <w:right w:w="0" w:type="dxa"/>
          </w:tblCellMar>
        </w:tblPrEx>
        <w:trPr>
          <w:trHeight w:val="590" w:hRule="atLeast"/>
        </w:trPr>
        <w:tc>
          <w:tcPr>
            <w:tcW w:w="725" w:type="dxa"/>
            <w:tcBorders>
              <w:top w:val="single" w:color="000000" w:sz="4" w:space="0"/>
              <w:left w:val="single" w:color="000000" w:sz="4" w:space="0"/>
              <w:bottom w:val="single" w:color="000000" w:sz="4" w:space="0"/>
              <w:right w:val="single" w:color="000000" w:sz="4" w:space="0"/>
            </w:tcBorders>
            <w:shd w:val="clear" w:color="auto" w:fill="DBE4F0"/>
          </w:tcPr>
          <w:p w14:paraId="62265ED3">
            <w:pPr>
              <w:pStyle w:val="132"/>
              <w:kinsoku w:val="0"/>
              <w:overflowPunct w:val="0"/>
              <w:spacing w:before="8"/>
              <w:rPr>
                <w:rFonts w:ascii="黑体" w:hAnsi="黑体" w:eastAsia="黑体"/>
                <w:b/>
                <w:bCs/>
                <w:sz w:val="18"/>
                <w:szCs w:val="18"/>
              </w:rPr>
            </w:pPr>
          </w:p>
          <w:p w14:paraId="5B739F4E">
            <w:pPr>
              <w:pStyle w:val="132"/>
              <w:kinsoku w:val="0"/>
              <w:overflowPunct w:val="0"/>
              <w:ind w:left="97" w:right="93"/>
              <w:rPr>
                <w:rFonts w:ascii="黑体" w:hAnsi="黑体" w:eastAsia="黑体"/>
                <w:b/>
                <w:bCs/>
                <w:sz w:val="18"/>
                <w:szCs w:val="18"/>
              </w:rPr>
            </w:pPr>
            <w:r>
              <w:rPr>
                <w:rFonts w:hint="eastAsia" w:ascii="黑体" w:hAnsi="黑体" w:eastAsia="黑体"/>
                <w:b/>
                <w:bCs/>
                <w:sz w:val="18"/>
                <w:szCs w:val="18"/>
              </w:rPr>
              <w:t>序号</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DBE4F0"/>
          </w:tcPr>
          <w:p w14:paraId="2745C717">
            <w:pPr>
              <w:pStyle w:val="132"/>
              <w:kinsoku w:val="0"/>
              <w:overflowPunct w:val="0"/>
              <w:spacing w:before="8"/>
              <w:rPr>
                <w:rFonts w:ascii="黑体" w:hAnsi="黑体" w:eastAsia="黑体"/>
                <w:b/>
                <w:bCs/>
                <w:sz w:val="18"/>
                <w:szCs w:val="18"/>
              </w:rPr>
            </w:pPr>
          </w:p>
          <w:p w14:paraId="45FA281B">
            <w:pPr>
              <w:pStyle w:val="132"/>
              <w:kinsoku w:val="0"/>
              <w:overflowPunct w:val="0"/>
              <w:ind w:left="576" w:right="571"/>
              <w:rPr>
                <w:rFonts w:ascii="黑体" w:hAnsi="黑体" w:eastAsia="黑体"/>
                <w:b/>
                <w:bCs/>
                <w:sz w:val="18"/>
                <w:szCs w:val="18"/>
              </w:rPr>
            </w:pPr>
            <w:r>
              <w:rPr>
                <w:rFonts w:hint="eastAsia" w:ascii="黑体" w:hAnsi="黑体" w:eastAsia="黑体"/>
                <w:b/>
                <w:bCs/>
                <w:sz w:val="18"/>
                <w:szCs w:val="18"/>
              </w:rPr>
              <w:t>项目</w:t>
            </w:r>
          </w:p>
        </w:tc>
        <w:tc>
          <w:tcPr>
            <w:tcW w:w="4821" w:type="dxa"/>
            <w:tcBorders>
              <w:top w:val="single" w:color="000000" w:sz="4" w:space="0"/>
              <w:left w:val="single" w:color="000000" w:sz="4" w:space="0"/>
              <w:bottom w:val="single" w:color="000000" w:sz="4" w:space="0"/>
              <w:right w:val="single" w:color="000000" w:sz="4" w:space="0"/>
            </w:tcBorders>
            <w:shd w:val="clear" w:color="auto" w:fill="DBE4F0"/>
          </w:tcPr>
          <w:p w14:paraId="2C0C4CED">
            <w:pPr>
              <w:pStyle w:val="132"/>
              <w:kinsoku w:val="0"/>
              <w:overflowPunct w:val="0"/>
              <w:spacing w:before="8"/>
              <w:rPr>
                <w:rFonts w:ascii="黑体" w:hAnsi="黑体" w:eastAsia="黑体"/>
                <w:b/>
                <w:bCs/>
                <w:sz w:val="18"/>
                <w:szCs w:val="18"/>
              </w:rPr>
            </w:pPr>
          </w:p>
          <w:p w14:paraId="7BBDF8B5">
            <w:pPr>
              <w:pStyle w:val="132"/>
              <w:kinsoku w:val="0"/>
              <w:overflowPunct w:val="0"/>
              <w:ind w:left="2029" w:right="2018"/>
              <w:rPr>
                <w:rFonts w:ascii="黑体" w:hAnsi="黑体" w:eastAsia="黑体"/>
                <w:b/>
                <w:bCs/>
                <w:sz w:val="18"/>
                <w:szCs w:val="18"/>
              </w:rPr>
            </w:pPr>
            <w:r>
              <w:rPr>
                <w:rFonts w:hint="eastAsia" w:ascii="黑体" w:hAnsi="黑体" w:eastAsia="黑体"/>
                <w:b/>
                <w:bCs/>
                <w:sz w:val="18"/>
                <w:szCs w:val="18"/>
              </w:rPr>
              <w:t>项目说明</w:t>
            </w:r>
          </w:p>
        </w:tc>
        <w:tc>
          <w:tcPr>
            <w:tcW w:w="1278" w:type="dxa"/>
            <w:tcBorders>
              <w:top w:val="single" w:color="000000" w:sz="4" w:space="0"/>
              <w:left w:val="single" w:color="000000" w:sz="4" w:space="0"/>
              <w:bottom w:val="single" w:color="000000" w:sz="4" w:space="0"/>
              <w:right w:val="single" w:color="000000" w:sz="4" w:space="0"/>
            </w:tcBorders>
            <w:shd w:val="clear" w:color="auto" w:fill="DBE4F0"/>
          </w:tcPr>
          <w:p w14:paraId="47C63B9F">
            <w:pPr>
              <w:pStyle w:val="132"/>
              <w:kinsoku w:val="0"/>
              <w:overflowPunct w:val="0"/>
              <w:spacing w:before="8"/>
              <w:rPr>
                <w:rFonts w:ascii="黑体" w:hAnsi="黑体" w:eastAsia="黑体"/>
                <w:b/>
                <w:bCs/>
                <w:sz w:val="18"/>
                <w:szCs w:val="18"/>
              </w:rPr>
            </w:pPr>
          </w:p>
          <w:p w14:paraId="1D7694FA">
            <w:pPr>
              <w:pStyle w:val="132"/>
              <w:kinsoku w:val="0"/>
              <w:overflowPunct w:val="0"/>
              <w:ind w:left="274"/>
              <w:rPr>
                <w:rFonts w:ascii="黑体" w:hAnsi="黑体" w:eastAsia="黑体"/>
                <w:b/>
                <w:bCs/>
                <w:sz w:val="18"/>
                <w:szCs w:val="18"/>
              </w:rPr>
            </w:pPr>
            <w:r>
              <w:rPr>
                <w:rFonts w:hint="eastAsia" w:ascii="黑体" w:hAnsi="黑体" w:eastAsia="黑体"/>
                <w:b/>
                <w:bCs/>
                <w:sz w:val="18"/>
                <w:szCs w:val="18"/>
              </w:rPr>
              <w:t>厂商答复</w:t>
            </w:r>
          </w:p>
        </w:tc>
        <w:tc>
          <w:tcPr>
            <w:tcW w:w="1119" w:type="dxa"/>
            <w:tcBorders>
              <w:top w:val="single" w:color="000000" w:sz="4" w:space="0"/>
              <w:left w:val="single" w:color="000000" w:sz="4" w:space="0"/>
              <w:bottom w:val="single" w:color="000000" w:sz="4" w:space="0"/>
              <w:right w:val="single" w:color="000000" w:sz="4" w:space="0"/>
            </w:tcBorders>
            <w:shd w:val="clear" w:color="auto" w:fill="DBE4F0"/>
          </w:tcPr>
          <w:p w14:paraId="1B1B51F6">
            <w:pPr>
              <w:pStyle w:val="132"/>
              <w:kinsoku w:val="0"/>
              <w:overflowPunct w:val="0"/>
              <w:spacing w:before="60"/>
              <w:ind w:left="106" w:right="93"/>
              <w:rPr>
                <w:rFonts w:ascii="黑体" w:hAnsi="黑体" w:eastAsia="黑体"/>
                <w:b/>
                <w:bCs/>
                <w:sz w:val="18"/>
                <w:szCs w:val="18"/>
              </w:rPr>
            </w:pPr>
            <w:r>
              <w:rPr>
                <w:rFonts w:hint="eastAsia" w:ascii="黑体" w:hAnsi="黑体" w:eastAsia="黑体"/>
                <w:b/>
                <w:bCs/>
                <w:sz w:val="18"/>
                <w:szCs w:val="18"/>
              </w:rPr>
              <w:t>请填写贵司的性能参数</w:t>
            </w:r>
          </w:p>
        </w:tc>
      </w:tr>
      <w:tr w14:paraId="0F243547">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02B728D7">
            <w:pPr>
              <w:pStyle w:val="132"/>
              <w:kinsoku w:val="0"/>
              <w:overflowPunct w:val="0"/>
              <w:spacing w:before="112"/>
              <w:ind w:left="158" w:right="67"/>
              <w:rPr>
                <w:rFonts w:ascii="黑体" w:hAnsi="黑体" w:eastAsia="黑体"/>
                <w:sz w:val="18"/>
                <w:szCs w:val="18"/>
              </w:rPr>
            </w:pPr>
            <w:r>
              <w:rPr>
                <w:rFonts w:ascii="黑体" w:hAnsi="黑体" w:eastAsia="黑体"/>
                <w:sz w:val="18"/>
                <w:szCs w:val="18"/>
              </w:rPr>
              <w:t xml:space="preserve">1 </w:t>
            </w:r>
          </w:p>
        </w:tc>
        <w:tc>
          <w:tcPr>
            <w:tcW w:w="1560" w:type="dxa"/>
            <w:gridSpan w:val="2"/>
            <w:tcBorders>
              <w:top w:val="single" w:color="000000" w:sz="4" w:space="0"/>
              <w:left w:val="single" w:color="000000" w:sz="4" w:space="0"/>
              <w:bottom w:val="single" w:color="000000" w:sz="4" w:space="0"/>
              <w:right w:val="single" w:color="000000" w:sz="4" w:space="0"/>
            </w:tcBorders>
          </w:tcPr>
          <w:p w14:paraId="197270A8">
            <w:pPr>
              <w:pStyle w:val="132"/>
              <w:kinsoku w:val="0"/>
              <w:overflowPunct w:val="0"/>
              <w:spacing w:before="97"/>
              <w:ind w:left="105"/>
              <w:rPr>
                <w:rFonts w:ascii="黑体" w:hAnsi="黑体" w:eastAsia="黑体"/>
                <w:b/>
                <w:bCs/>
                <w:sz w:val="18"/>
                <w:szCs w:val="18"/>
              </w:rPr>
            </w:pPr>
            <w:r>
              <w:rPr>
                <w:rFonts w:hint="eastAsia" w:ascii="黑体" w:hAnsi="黑体" w:eastAsia="黑体"/>
                <w:b/>
                <w:bCs/>
                <w:sz w:val="18"/>
                <w:szCs w:val="18"/>
              </w:rPr>
              <w:t>需求物料名称</w:t>
            </w:r>
            <w:r>
              <w:rPr>
                <w:rFonts w:ascii="黑体" w:hAnsi="黑体" w:eastAsia="黑体"/>
                <w:b/>
                <w:bCs/>
                <w:sz w:val="18"/>
                <w:szCs w:val="18"/>
              </w:rPr>
              <w:t xml:space="preserve"> </w:t>
            </w:r>
          </w:p>
        </w:tc>
        <w:tc>
          <w:tcPr>
            <w:tcW w:w="4821" w:type="dxa"/>
            <w:tcBorders>
              <w:top w:val="single" w:color="000000" w:sz="4" w:space="0"/>
              <w:left w:val="single" w:color="000000" w:sz="4" w:space="0"/>
              <w:bottom w:val="single" w:color="000000" w:sz="4" w:space="0"/>
              <w:right w:val="single" w:color="000000" w:sz="4" w:space="0"/>
            </w:tcBorders>
          </w:tcPr>
          <w:p w14:paraId="5FCFC24D">
            <w:pPr>
              <w:pStyle w:val="132"/>
              <w:kinsoku w:val="0"/>
              <w:overflowPunct w:val="0"/>
              <w:ind w:left="106" w:right="88"/>
              <w:rPr>
                <w:rFonts w:ascii="黑体" w:hAnsi="黑体" w:eastAsia="黑体"/>
                <w:sz w:val="18"/>
                <w:szCs w:val="18"/>
              </w:rPr>
            </w:pPr>
            <w:r>
              <w:rPr>
                <w:rFonts w:hint="eastAsia" w:ascii="黑体" w:hAnsi="黑体" w:eastAsia="黑体"/>
                <w:sz w:val="18"/>
                <w:szCs w:val="18"/>
              </w:rPr>
              <w:t>铝合金通孔防静电地板及其配套件（</w:t>
            </w:r>
            <w:r>
              <w:rPr>
                <w:rFonts w:ascii="黑体" w:hAnsi="黑体" w:eastAsia="黑体" w:cs="Calibri"/>
                <w:sz w:val="18"/>
                <w:szCs w:val="18"/>
              </w:rPr>
              <w:t>600mm*600mm</w:t>
            </w:r>
            <w:r>
              <w:rPr>
                <w:rFonts w:hint="eastAsia" w:ascii="黑体" w:hAnsi="黑体" w:eastAsia="黑体"/>
                <w:sz w:val="18"/>
                <w:szCs w:val="18"/>
              </w:rPr>
              <w:t>，厚度与主用地板保持一致，包括可调和不可调两种）</w:t>
            </w:r>
          </w:p>
        </w:tc>
        <w:tc>
          <w:tcPr>
            <w:tcW w:w="1278" w:type="dxa"/>
            <w:tcBorders>
              <w:top w:val="single" w:color="000000" w:sz="4" w:space="0"/>
              <w:left w:val="single" w:color="000000" w:sz="4" w:space="0"/>
              <w:bottom w:val="single" w:color="000000" w:sz="4" w:space="0"/>
              <w:right w:val="single" w:color="000000" w:sz="4" w:space="0"/>
            </w:tcBorders>
          </w:tcPr>
          <w:p w14:paraId="03FFA610">
            <w:pPr>
              <w:pStyle w:val="132"/>
              <w:kinsoku w:val="0"/>
              <w:overflowPunct w:val="0"/>
              <w:spacing w:line="228" w:lineRule="exact"/>
              <w:ind w:right="522"/>
              <w:rPr>
                <w:rFonts w:ascii="黑体" w:hAnsi="黑体" w:eastAsia="黑体"/>
                <w:w w:val="101"/>
                <w:sz w:val="18"/>
                <w:szCs w:val="18"/>
              </w:rPr>
            </w:pPr>
            <w:r>
              <w:rPr>
                <w:rFonts w:hint="eastAsia" w:ascii="黑体" w:hAnsi="黑体" w:eastAsia="黑体"/>
                <w:b/>
                <w:bCs/>
                <w:spacing w:val="-2"/>
                <w:sz w:val="18"/>
                <w:szCs w:val="18"/>
              </w:rPr>
              <w:t>□满足</w:t>
            </w:r>
            <w:r>
              <w:rPr>
                <w:rFonts w:ascii="黑体" w:hAnsi="黑体" w:eastAsia="黑体"/>
                <w:w w:val="101"/>
                <w:sz w:val="18"/>
                <w:szCs w:val="18"/>
              </w:rPr>
              <w:t xml:space="preserve"> </w:t>
            </w:r>
          </w:p>
          <w:p w14:paraId="06372747">
            <w:pPr>
              <w:pStyle w:val="132"/>
              <w:kinsoku w:val="0"/>
              <w:overflowPunct w:val="0"/>
              <w:ind w:right="348"/>
              <w:rPr>
                <w:rFonts w:ascii="黑体" w:hAnsi="黑体" w:eastAsia="黑体"/>
                <w:sz w:val="18"/>
                <w:szCs w:val="18"/>
              </w:rPr>
            </w:pPr>
            <w:r>
              <w:rPr>
                <w:rFonts w:hint="eastAsia" w:ascii="黑体" w:hAnsi="黑体" w:eastAsia="黑体"/>
                <w:spacing w:val="-3"/>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0D7FEC58">
            <w:pPr>
              <w:pStyle w:val="132"/>
              <w:kinsoku w:val="0"/>
              <w:overflowPunct w:val="0"/>
              <w:rPr>
                <w:rFonts w:ascii="黑体" w:hAnsi="黑体" w:eastAsia="黑体" w:cs="Times New Roman"/>
                <w:sz w:val="18"/>
                <w:szCs w:val="18"/>
              </w:rPr>
            </w:pPr>
          </w:p>
        </w:tc>
      </w:tr>
      <w:tr w14:paraId="77AFFE42">
        <w:tblPrEx>
          <w:tblCellMar>
            <w:top w:w="0" w:type="dxa"/>
            <w:left w:w="0" w:type="dxa"/>
            <w:bottom w:w="0" w:type="dxa"/>
            <w:right w:w="0" w:type="dxa"/>
          </w:tblCellMar>
        </w:tblPrEx>
        <w:trPr>
          <w:trHeight w:val="455" w:hRule="atLeast"/>
        </w:trPr>
        <w:tc>
          <w:tcPr>
            <w:tcW w:w="725" w:type="dxa"/>
            <w:tcBorders>
              <w:top w:val="single" w:color="000000" w:sz="4" w:space="0"/>
              <w:left w:val="single" w:color="000000" w:sz="4" w:space="0"/>
              <w:bottom w:val="single" w:color="000000" w:sz="4" w:space="0"/>
              <w:right w:val="single" w:color="000000" w:sz="4" w:space="0"/>
            </w:tcBorders>
          </w:tcPr>
          <w:p w14:paraId="2CF7F651">
            <w:pPr>
              <w:pStyle w:val="132"/>
              <w:kinsoku w:val="0"/>
              <w:overflowPunct w:val="0"/>
              <w:spacing w:before="7"/>
              <w:ind w:left="158" w:right="67"/>
              <w:rPr>
                <w:rFonts w:ascii="黑体" w:hAnsi="黑体" w:eastAsia="黑体"/>
                <w:sz w:val="18"/>
                <w:szCs w:val="18"/>
              </w:rPr>
            </w:pPr>
            <w:r>
              <w:rPr>
                <w:rFonts w:ascii="黑体" w:hAnsi="黑体" w:eastAsia="黑体"/>
                <w:sz w:val="18"/>
                <w:szCs w:val="18"/>
              </w:rPr>
              <w:t xml:space="preserve">2 </w:t>
            </w:r>
          </w:p>
        </w:tc>
        <w:tc>
          <w:tcPr>
            <w:tcW w:w="1560" w:type="dxa"/>
            <w:gridSpan w:val="2"/>
            <w:tcBorders>
              <w:top w:val="single" w:color="000000" w:sz="4" w:space="0"/>
              <w:left w:val="single" w:color="000000" w:sz="4" w:space="0"/>
              <w:bottom w:val="single" w:color="000000" w:sz="4" w:space="0"/>
              <w:right w:val="single" w:color="000000" w:sz="4" w:space="0"/>
            </w:tcBorders>
          </w:tcPr>
          <w:p w14:paraId="479871A8">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总体要求</w:t>
            </w:r>
            <w:r>
              <w:rPr>
                <w:rFonts w:ascii="黑体" w:hAnsi="黑体" w:eastAsia="黑体"/>
                <w:b/>
                <w:bCs/>
                <w:sz w:val="18"/>
                <w:szCs w:val="18"/>
              </w:rPr>
              <w:t xml:space="preserve"> </w:t>
            </w:r>
          </w:p>
        </w:tc>
        <w:tc>
          <w:tcPr>
            <w:tcW w:w="4821" w:type="dxa"/>
            <w:tcBorders>
              <w:top w:val="single" w:color="000000" w:sz="4" w:space="0"/>
              <w:left w:val="single" w:color="000000" w:sz="4" w:space="0"/>
              <w:bottom w:val="single" w:color="000000" w:sz="4" w:space="0"/>
              <w:right w:val="single" w:color="000000" w:sz="4" w:space="0"/>
            </w:tcBorders>
          </w:tcPr>
          <w:p w14:paraId="66484829">
            <w:pPr>
              <w:pStyle w:val="132"/>
              <w:kinsoku w:val="0"/>
              <w:overflowPunct w:val="0"/>
              <w:rPr>
                <w:rFonts w:ascii="黑体" w:hAnsi="黑体" w:eastAsia="黑体" w:cs="Times New Roman"/>
                <w:sz w:val="18"/>
                <w:szCs w:val="18"/>
              </w:rPr>
            </w:pPr>
          </w:p>
        </w:tc>
        <w:tc>
          <w:tcPr>
            <w:tcW w:w="1278" w:type="dxa"/>
            <w:tcBorders>
              <w:top w:val="single" w:color="000000" w:sz="4" w:space="0"/>
              <w:left w:val="single" w:color="000000" w:sz="4" w:space="0"/>
              <w:bottom w:val="single" w:color="000000" w:sz="4" w:space="0"/>
              <w:right w:val="single" w:color="000000" w:sz="4" w:space="0"/>
            </w:tcBorders>
          </w:tcPr>
          <w:p w14:paraId="537D877B">
            <w:pPr>
              <w:pStyle w:val="132"/>
              <w:kinsoku w:val="0"/>
              <w:overflowPunct w:val="0"/>
              <w:spacing w:before="7"/>
              <w:ind w:left="106"/>
              <w:rPr>
                <w:rFonts w:ascii="黑体" w:hAnsi="黑体" w:eastAsia="黑体"/>
                <w:w w:val="101"/>
                <w:sz w:val="18"/>
                <w:szCs w:val="18"/>
              </w:rPr>
            </w:pPr>
            <w:r>
              <w:rPr>
                <w:rFonts w:ascii="黑体" w:hAnsi="黑体" w:eastAsia="黑体"/>
                <w:w w:val="101"/>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1A85EAF5">
            <w:pPr>
              <w:pStyle w:val="132"/>
              <w:kinsoku w:val="0"/>
              <w:overflowPunct w:val="0"/>
              <w:rPr>
                <w:rFonts w:ascii="黑体" w:hAnsi="黑体" w:eastAsia="黑体" w:cs="Times New Roman"/>
                <w:sz w:val="18"/>
                <w:szCs w:val="18"/>
              </w:rPr>
            </w:pPr>
          </w:p>
        </w:tc>
      </w:tr>
      <w:tr w14:paraId="660ECD6E">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4A9DBC59">
            <w:pPr>
              <w:pStyle w:val="132"/>
              <w:kinsoku w:val="0"/>
              <w:overflowPunct w:val="0"/>
              <w:spacing w:before="117"/>
              <w:ind w:left="158" w:right="62"/>
              <w:rPr>
                <w:rFonts w:ascii="黑体" w:hAnsi="黑体" w:eastAsia="黑体"/>
                <w:sz w:val="18"/>
                <w:szCs w:val="18"/>
              </w:rPr>
            </w:pPr>
            <w:r>
              <w:rPr>
                <w:rFonts w:ascii="黑体" w:hAnsi="黑体" w:eastAsia="黑体"/>
                <w:sz w:val="18"/>
                <w:szCs w:val="18"/>
              </w:rPr>
              <w:t xml:space="preserve">2.1 </w:t>
            </w:r>
          </w:p>
        </w:tc>
        <w:tc>
          <w:tcPr>
            <w:tcW w:w="6381" w:type="dxa"/>
            <w:gridSpan w:val="3"/>
            <w:tcBorders>
              <w:top w:val="single" w:color="000000" w:sz="4" w:space="0"/>
              <w:left w:val="single" w:color="000000" w:sz="4" w:space="0"/>
              <w:bottom w:val="single" w:color="000000" w:sz="4" w:space="0"/>
              <w:right w:val="single" w:color="000000" w:sz="4" w:space="0"/>
            </w:tcBorders>
          </w:tcPr>
          <w:p w14:paraId="44B0B975">
            <w:pPr>
              <w:pStyle w:val="132"/>
              <w:kinsoku w:val="0"/>
              <w:overflowPunct w:val="0"/>
              <w:spacing w:before="2"/>
              <w:ind w:left="105" w:right="94"/>
              <w:rPr>
                <w:rFonts w:ascii="黑体" w:hAnsi="黑体" w:eastAsia="黑体"/>
                <w:spacing w:val="-5"/>
                <w:sz w:val="18"/>
                <w:szCs w:val="18"/>
              </w:rPr>
            </w:pPr>
            <w:r>
              <w:rPr>
                <w:rFonts w:hint="eastAsia" w:ascii="黑体" w:hAnsi="黑体" w:eastAsia="黑体"/>
                <w:spacing w:val="-6"/>
                <w:sz w:val="18"/>
                <w:szCs w:val="18"/>
              </w:rPr>
              <w:t>防静电地板及其配套件的外形和尺寸应符合行业产品的要求，外形和尺寸公差</w:t>
            </w:r>
            <w:r>
              <w:rPr>
                <w:rFonts w:hint="eastAsia" w:ascii="黑体" w:hAnsi="黑体" w:eastAsia="黑体"/>
                <w:spacing w:val="-5"/>
                <w:sz w:val="18"/>
                <w:szCs w:val="18"/>
              </w:rPr>
              <w:t>应符合图纸及有关规定，安装结构件应尺寸准确，安全牢固。</w:t>
            </w:r>
          </w:p>
        </w:tc>
        <w:tc>
          <w:tcPr>
            <w:tcW w:w="1278" w:type="dxa"/>
            <w:tcBorders>
              <w:top w:val="single" w:color="000000" w:sz="4" w:space="0"/>
              <w:left w:val="single" w:color="000000" w:sz="4" w:space="0"/>
              <w:bottom w:val="single" w:color="000000" w:sz="4" w:space="0"/>
              <w:right w:val="single" w:color="000000" w:sz="4" w:space="0"/>
            </w:tcBorders>
          </w:tcPr>
          <w:p w14:paraId="12C8F9A7">
            <w:pPr>
              <w:pStyle w:val="132"/>
              <w:kinsoku w:val="0"/>
              <w:overflowPunct w:val="0"/>
              <w:spacing w:before="2" w:line="231" w:lineRule="exact"/>
              <w:ind w:right="522"/>
              <w:rPr>
                <w:rFonts w:ascii="黑体" w:hAnsi="黑体" w:eastAsia="黑体"/>
                <w:w w:val="101"/>
                <w:sz w:val="18"/>
                <w:szCs w:val="18"/>
              </w:rPr>
            </w:pPr>
            <w:r>
              <w:rPr>
                <w:rFonts w:hint="eastAsia" w:ascii="黑体" w:hAnsi="黑体" w:eastAsia="黑体"/>
                <w:b/>
                <w:bCs/>
                <w:spacing w:val="-2"/>
                <w:sz w:val="18"/>
                <w:szCs w:val="18"/>
              </w:rPr>
              <w:t>□满足</w:t>
            </w:r>
            <w:r>
              <w:rPr>
                <w:rFonts w:ascii="黑体" w:hAnsi="黑体" w:eastAsia="黑体"/>
                <w:w w:val="101"/>
                <w:sz w:val="18"/>
                <w:szCs w:val="18"/>
              </w:rPr>
              <w:t xml:space="preserve"> </w:t>
            </w:r>
          </w:p>
          <w:p w14:paraId="5D9C5E40">
            <w:pPr>
              <w:pStyle w:val="132"/>
              <w:kinsoku w:val="0"/>
              <w:overflowPunct w:val="0"/>
              <w:ind w:right="348"/>
              <w:rPr>
                <w:rFonts w:ascii="黑体" w:hAnsi="黑体" w:eastAsia="黑体"/>
                <w:sz w:val="18"/>
                <w:szCs w:val="18"/>
              </w:rPr>
            </w:pPr>
            <w:r>
              <w:rPr>
                <w:rFonts w:hint="eastAsia" w:ascii="黑体" w:hAnsi="黑体" w:eastAsia="黑体"/>
                <w:spacing w:val="-3"/>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68CEB7B0">
            <w:pPr>
              <w:pStyle w:val="132"/>
              <w:kinsoku w:val="0"/>
              <w:overflowPunct w:val="0"/>
              <w:rPr>
                <w:rFonts w:ascii="黑体" w:hAnsi="黑体" w:eastAsia="黑体" w:cs="Times New Roman"/>
                <w:sz w:val="18"/>
                <w:szCs w:val="18"/>
              </w:rPr>
            </w:pPr>
          </w:p>
        </w:tc>
      </w:tr>
      <w:tr w14:paraId="37A1893B">
        <w:tblPrEx>
          <w:tblCellMar>
            <w:top w:w="0" w:type="dxa"/>
            <w:left w:w="0" w:type="dxa"/>
            <w:bottom w:w="0" w:type="dxa"/>
            <w:right w:w="0" w:type="dxa"/>
          </w:tblCellMar>
        </w:tblPrEx>
        <w:trPr>
          <w:trHeight w:val="1137" w:hRule="atLeast"/>
        </w:trPr>
        <w:tc>
          <w:tcPr>
            <w:tcW w:w="725" w:type="dxa"/>
            <w:tcBorders>
              <w:top w:val="single" w:color="000000" w:sz="4" w:space="0"/>
              <w:left w:val="single" w:color="000000" w:sz="4" w:space="0"/>
              <w:bottom w:val="single" w:color="000000" w:sz="4" w:space="0"/>
              <w:right w:val="single" w:color="000000" w:sz="4" w:space="0"/>
            </w:tcBorders>
          </w:tcPr>
          <w:p w14:paraId="7320B364">
            <w:pPr>
              <w:pStyle w:val="132"/>
              <w:kinsoku w:val="0"/>
              <w:overflowPunct w:val="0"/>
              <w:rPr>
                <w:rFonts w:ascii="黑体" w:hAnsi="黑体" w:eastAsia="黑体"/>
                <w:b/>
                <w:bCs/>
                <w:sz w:val="18"/>
                <w:szCs w:val="18"/>
              </w:rPr>
            </w:pPr>
          </w:p>
          <w:p w14:paraId="45830977">
            <w:pPr>
              <w:pStyle w:val="132"/>
              <w:kinsoku w:val="0"/>
              <w:overflowPunct w:val="0"/>
              <w:spacing w:before="117"/>
              <w:ind w:left="158" w:right="62"/>
              <w:rPr>
                <w:rFonts w:ascii="黑体" w:hAnsi="黑体" w:eastAsia="黑体"/>
                <w:sz w:val="18"/>
                <w:szCs w:val="18"/>
              </w:rPr>
            </w:pPr>
            <w:r>
              <w:rPr>
                <w:rFonts w:ascii="黑体" w:hAnsi="黑体" w:eastAsia="黑体"/>
                <w:sz w:val="18"/>
                <w:szCs w:val="18"/>
              </w:rPr>
              <w:t xml:space="preserve">2.2 </w:t>
            </w:r>
          </w:p>
        </w:tc>
        <w:tc>
          <w:tcPr>
            <w:tcW w:w="6381" w:type="dxa"/>
            <w:gridSpan w:val="3"/>
            <w:tcBorders>
              <w:top w:val="single" w:color="000000" w:sz="4" w:space="0"/>
              <w:left w:val="single" w:color="000000" w:sz="4" w:space="0"/>
              <w:bottom w:val="single" w:color="000000" w:sz="4" w:space="0"/>
              <w:right w:val="single" w:color="000000" w:sz="4" w:space="0"/>
            </w:tcBorders>
          </w:tcPr>
          <w:p w14:paraId="7CCD89B2">
            <w:pPr>
              <w:pStyle w:val="132"/>
              <w:kinsoku w:val="0"/>
              <w:overflowPunct w:val="0"/>
              <w:spacing w:before="2" w:line="242" w:lineRule="auto"/>
              <w:ind w:left="105" w:right="95"/>
              <w:rPr>
                <w:rFonts w:ascii="黑体" w:hAnsi="黑体" w:eastAsia="黑体"/>
                <w:sz w:val="18"/>
                <w:szCs w:val="18"/>
              </w:rPr>
            </w:pPr>
            <w:r>
              <w:rPr>
                <w:rFonts w:hint="eastAsia" w:ascii="黑体" w:hAnsi="黑体" w:eastAsia="黑体"/>
                <w:sz w:val="18"/>
                <w:szCs w:val="18"/>
              </w:rPr>
              <w:t>防静电地板产品应符合</w:t>
            </w:r>
            <w:r>
              <w:rPr>
                <w:rFonts w:ascii="黑体" w:hAnsi="黑体" w:eastAsia="黑体"/>
                <w:sz w:val="18"/>
                <w:szCs w:val="18"/>
              </w:rPr>
              <w:t xml:space="preserve"> </w:t>
            </w:r>
            <w:r>
              <w:rPr>
                <w:rFonts w:ascii="黑体" w:hAnsi="黑体" w:eastAsia="黑体" w:cs="Calibri"/>
                <w:sz w:val="18"/>
                <w:szCs w:val="18"/>
              </w:rPr>
              <w:t>GBT 36340-2018</w:t>
            </w:r>
            <w:r>
              <w:rPr>
                <w:rFonts w:hint="eastAsia" w:ascii="黑体" w:hAnsi="黑体" w:eastAsia="黑体"/>
                <w:sz w:val="18"/>
                <w:szCs w:val="18"/>
              </w:rPr>
              <w:t>《防静电活动地板通用规范》，</w:t>
            </w:r>
            <w:r>
              <w:rPr>
                <w:rFonts w:ascii="黑体" w:hAnsi="黑体" w:eastAsia="黑体"/>
                <w:sz w:val="18"/>
                <w:szCs w:val="18"/>
              </w:rPr>
              <w:t xml:space="preserve"> </w:t>
            </w:r>
            <w:r>
              <w:rPr>
                <w:rFonts w:ascii="黑体" w:hAnsi="黑体" w:eastAsia="黑体" w:cs="Calibri"/>
                <w:sz w:val="18"/>
                <w:szCs w:val="18"/>
              </w:rPr>
              <w:t>GB-T 7911-2013</w:t>
            </w:r>
            <w:r>
              <w:rPr>
                <w:rFonts w:hint="eastAsia" w:ascii="黑体" w:hAnsi="黑体" w:eastAsia="黑体"/>
                <w:sz w:val="18"/>
                <w:szCs w:val="18"/>
              </w:rPr>
              <w:t>《防静电贴面板通用规范》，</w:t>
            </w:r>
            <w:r>
              <w:rPr>
                <w:rFonts w:ascii="黑体" w:hAnsi="黑体" w:eastAsia="黑体" w:cs="Calibri"/>
                <w:sz w:val="18"/>
                <w:szCs w:val="18"/>
              </w:rPr>
              <w:t>SJ/T 11159-1998</w:t>
            </w:r>
            <w:r>
              <w:rPr>
                <w:rFonts w:hint="eastAsia" w:ascii="黑体" w:hAnsi="黑体" w:eastAsia="黑体"/>
                <w:sz w:val="18"/>
                <w:szCs w:val="18"/>
              </w:rPr>
              <w:t>《地板覆盖层和装配地板静电性能的试验方法》，</w:t>
            </w:r>
            <w:r>
              <w:rPr>
                <w:rFonts w:ascii="黑体" w:hAnsi="黑体" w:eastAsia="黑体"/>
                <w:sz w:val="18"/>
                <w:szCs w:val="18"/>
              </w:rPr>
              <w:t xml:space="preserve"> </w:t>
            </w:r>
            <w:r>
              <w:rPr>
                <w:rFonts w:ascii="黑体" w:hAnsi="黑体" w:eastAsia="黑体" w:cs="Calibri"/>
                <w:sz w:val="18"/>
                <w:szCs w:val="18"/>
              </w:rPr>
              <w:t>GB 8624-2012</w:t>
            </w:r>
            <w:r>
              <w:rPr>
                <w:rFonts w:hint="eastAsia" w:ascii="黑体" w:hAnsi="黑体" w:eastAsia="黑体"/>
                <w:sz w:val="18"/>
                <w:szCs w:val="18"/>
              </w:rPr>
              <w:t>《建筑材料及制品燃烧性能分级》，</w:t>
            </w:r>
            <w:r>
              <w:rPr>
                <w:rFonts w:ascii="黑体" w:hAnsi="黑体" w:eastAsia="黑体"/>
                <w:sz w:val="18"/>
                <w:szCs w:val="18"/>
              </w:rPr>
              <w:t xml:space="preserve"> </w:t>
            </w:r>
            <w:r>
              <w:rPr>
                <w:rFonts w:ascii="黑体" w:hAnsi="黑体" w:eastAsia="黑体" w:cs="Calibri"/>
                <w:sz w:val="18"/>
                <w:szCs w:val="18"/>
              </w:rPr>
              <w:t>GB 50325-2014</w:t>
            </w:r>
            <w:r>
              <w:rPr>
                <w:rFonts w:hint="eastAsia" w:ascii="黑体" w:hAnsi="黑体" w:eastAsia="黑体"/>
                <w:sz w:val="18"/>
                <w:szCs w:val="18"/>
              </w:rPr>
              <w:t>《中国民用建筑工程室内环境污染控制规范》等标准的规定。</w:t>
            </w:r>
          </w:p>
        </w:tc>
        <w:tc>
          <w:tcPr>
            <w:tcW w:w="1278" w:type="dxa"/>
            <w:tcBorders>
              <w:top w:val="single" w:color="000000" w:sz="4" w:space="0"/>
              <w:left w:val="single" w:color="000000" w:sz="4" w:space="0"/>
              <w:bottom w:val="single" w:color="000000" w:sz="4" w:space="0"/>
              <w:right w:val="single" w:color="000000" w:sz="4" w:space="0"/>
            </w:tcBorders>
          </w:tcPr>
          <w:p w14:paraId="3D50BF78">
            <w:pPr>
              <w:pStyle w:val="132"/>
              <w:kinsoku w:val="0"/>
              <w:overflowPunct w:val="0"/>
              <w:spacing w:before="1"/>
              <w:rPr>
                <w:rFonts w:ascii="黑体" w:hAnsi="黑体" w:eastAsia="黑体"/>
                <w:b/>
                <w:bCs/>
                <w:sz w:val="18"/>
                <w:szCs w:val="18"/>
              </w:rPr>
            </w:pPr>
          </w:p>
          <w:p w14:paraId="604C48BA">
            <w:pPr>
              <w:pStyle w:val="132"/>
              <w:kinsoku w:val="0"/>
              <w:overflowPunct w:val="0"/>
              <w:spacing w:before="1"/>
              <w:ind w:right="522"/>
              <w:rPr>
                <w:rFonts w:ascii="黑体" w:hAnsi="黑体" w:eastAsia="黑体"/>
                <w:w w:val="101"/>
                <w:sz w:val="18"/>
                <w:szCs w:val="18"/>
              </w:rPr>
            </w:pPr>
            <w:r>
              <w:rPr>
                <w:rFonts w:hint="eastAsia" w:ascii="黑体" w:hAnsi="黑体" w:eastAsia="黑体"/>
                <w:b/>
                <w:bCs/>
                <w:spacing w:val="-2"/>
                <w:sz w:val="18"/>
                <w:szCs w:val="18"/>
              </w:rPr>
              <w:t>□满足</w:t>
            </w:r>
            <w:r>
              <w:rPr>
                <w:rFonts w:ascii="黑体" w:hAnsi="黑体" w:eastAsia="黑体"/>
                <w:w w:val="101"/>
                <w:sz w:val="18"/>
                <w:szCs w:val="18"/>
              </w:rPr>
              <w:t xml:space="preserve"> </w:t>
            </w:r>
          </w:p>
          <w:p w14:paraId="16A88159">
            <w:pPr>
              <w:pStyle w:val="132"/>
              <w:kinsoku w:val="0"/>
              <w:overflowPunct w:val="0"/>
              <w:spacing w:before="5"/>
              <w:ind w:right="348"/>
              <w:rPr>
                <w:rFonts w:ascii="黑体" w:hAnsi="黑体" w:eastAsia="黑体"/>
                <w:sz w:val="18"/>
                <w:szCs w:val="18"/>
              </w:rPr>
            </w:pPr>
            <w:r>
              <w:rPr>
                <w:rFonts w:hint="eastAsia" w:ascii="黑体" w:hAnsi="黑体" w:eastAsia="黑体"/>
                <w:spacing w:val="-3"/>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3013C40B">
            <w:pPr>
              <w:pStyle w:val="132"/>
              <w:kinsoku w:val="0"/>
              <w:overflowPunct w:val="0"/>
              <w:rPr>
                <w:rFonts w:ascii="黑体" w:hAnsi="黑体" w:eastAsia="黑体" w:cs="Times New Roman"/>
                <w:sz w:val="18"/>
                <w:szCs w:val="18"/>
              </w:rPr>
            </w:pPr>
          </w:p>
        </w:tc>
      </w:tr>
      <w:tr w14:paraId="2F833156">
        <w:tblPrEx>
          <w:tblCellMar>
            <w:top w:w="0" w:type="dxa"/>
            <w:left w:w="0" w:type="dxa"/>
            <w:bottom w:w="0" w:type="dxa"/>
            <w:right w:w="0" w:type="dxa"/>
          </w:tblCellMar>
        </w:tblPrEx>
        <w:trPr>
          <w:trHeight w:val="1132" w:hRule="atLeast"/>
        </w:trPr>
        <w:tc>
          <w:tcPr>
            <w:tcW w:w="725" w:type="dxa"/>
            <w:tcBorders>
              <w:top w:val="single" w:color="000000" w:sz="4" w:space="0"/>
              <w:left w:val="single" w:color="000000" w:sz="4" w:space="0"/>
              <w:bottom w:val="single" w:color="000000" w:sz="4" w:space="0"/>
              <w:right w:val="single" w:color="000000" w:sz="4" w:space="0"/>
            </w:tcBorders>
          </w:tcPr>
          <w:p w14:paraId="147F45B9">
            <w:pPr>
              <w:pStyle w:val="132"/>
              <w:kinsoku w:val="0"/>
              <w:overflowPunct w:val="0"/>
              <w:rPr>
                <w:rFonts w:ascii="黑体" w:hAnsi="黑体" w:eastAsia="黑体"/>
                <w:b/>
                <w:bCs/>
                <w:sz w:val="18"/>
                <w:szCs w:val="18"/>
              </w:rPr>
            </w:pPr>
          </w:p>
          <w:p w14:paraId="4BFC3252">
            <w:pPr>
              <w:pStyle w:val="132"/>
              <w:kinsoku w:val="0"/>
              <w:overflowPunct w:val="0"/>
              <w:spacing w:before="117"/>
              <w:ind w:left="158" w:right="62"/>
              <w:rPr>
                <w:rFonts w:ascii="黑体" w:hAnsi="黑体" w:eastAsia="黑体"/>
                <w:sz w:val="18"/>
                <w:szCs w:val="18"/>
              </w:rPr>
            </w:pPr>
            <w:r>
              <w:rPr>
                <w:rFonts w:ascii="黑体" w:hAnsi="黑体" w:eastAsia="黑体"/>
                <w:sz w:val="18"/>
                <w:szCs w:val="18"/>
              </w:rPr>
              <w:t xml:space="preserve">2.3 </w:t>
            </w:r>
          </w:p>
        </w:tc>
        <w:tc>
          <w:tcPr>
            <w:tcW w:w="6381" w:type="dxa"/>
            <w:gridSpan w:val="3"/>
            <w:tcBorders>
              <w:top w:val="single" w:color="000000" w:sz="4" w:space="0"/>
              <w:left w:val="single" w:color="000000" w:sz="4" w:space="0"/>
              <w:bottom w:val="single" w:color="000000" w:sz="4" w:space="0"/>
              <w:right w:val="single" w:color="000000" w:sz="4" w:space="0"/>
            </w:tcBorders>
          </w:tcPr>
          <w:p w14:paraId="777C4B40">
            <w:pPr>
              <w:pStyle w:val="132"/>
              <w:kinsoku w:val="0"/>
              <w:overflowPunct w:val="0"/>
              <w:spacing w:line="242" w:lineRule="auto"/>
              <w:ind w:left="105" w:right="93"/>
              <w:rPr>
                <w:rFonts w:ascii="黑体" w:hAnsi="黑体" w:eastAsia="黑体"/>
                <w:sz w:val="18"/>
                <w:szCs w:val="18"/>
              </w:rPr>
            </w:pPr>
            <w:r>
              <w:rPr>
                <w:rFonts w:hint="eastAsia" w:ascii="黑体" w:hAnsi="黑体" w:eastAsia="黑体"/>
                <w:sz w:val="18"/>
                <w:szCs w:val="18"/>
              </w:rPr>
              <w:t>防静电地板应符合</w:t>
            </w:r>
            <w:r>
              <w:rPr>
                <w:rFonts w:ascii="黑体" w:hAnsi="黑体" w:eastAsia="黑体"/>
                <w:sz w:val="18"/>
                <w:szCs w:val="18"/>
              </w:rPr>
              <w:t xml:space="preserve"> </w:t>
            </w:r>
            <w:r>
              <w:rPr>
                <w:rFonts w:ascii="黑体" w:hAnsi="黑体" w:eastAsia="黑体" w:cs="Calibri"/>
                <w:sz w:val="18"/>
                <w:szCs w:val="18"/>
              </w:rPr>
              <w:t>GB 6650-86</w:t>
            </w:r>
            <w:r>
              <w:rPr>
                <w:rFonts w:hint="eastAsia" w:ascii="黑体" w:hAnsi="黑体" w:eastAsia="黑体"/>
                <w:sz w:val="18"/>
                <w:szCs w:val="18"/>
              </w:rPr>
              <w:t>《计算机机房用活动地板技术条件》，</w:t>
            </w:r>
            <w:r>
              <w:rPr>
                <w:rFonts w:ascii="黑体" w:hAnsi="黑体" w:eastAsia="黑体"/>
                <w:sz w:val="18"/>
                <w:szCs w:val="18"/>
              </w:rPr>
              <w:t xml:space="preserve"> </w:t>
            </w:r>
            <w:r>
              <w:rPr>
                <w:rFonts w:ascii="黑体" w:hAnsi="黑体" w:eastAsia="黑体" w:cs="Calibri"/>
                <w:sz w:val="18"/>
                <w:szCs w:val="18"/>
              </w:rPr>
              <w:t>SJT 31469-2002</w:t>
            </w:r>
            <w:r>
              <w:rPr>
                <w:rFonts w:hint="eastAsia" w:ascii="黑体" w:hAnsi="黑体" w:eastAsia="黑体"/>
                <w:sz w:val="18"/>
                <w:szCs w:val="18"/>
              </w:rPr>
              <w:t>《防静电地板施工及验收规范》，</w:t>
            </w:r>
            <w:r>
              <w:rPr>
                <w:rFonts w:ascii="黑体" w:hAnsi="黑体" w:eastAsia="黑体"/>
                <w:sz w:val="18"/>
                <w:szCs w:val="18"/>
              </w:rPr>
              <w:t xml:space="preserve"> </w:t>
            </w:r>
            <w:r>
              <w:rPr>
                <w:rFonts w:ascii="黑体" w:hAnsi="黑体" w:eastAsia="黑体" w:cs="Calibri"/>
                <w:sz w:val="18"/>
                <w:szCs w:val="18"/>
              </w:rPr>
              <w:t>GB 50174-2017</w:t>
            </w:r>
            <w:r>
              <w:rPr>
                <w:rFonts w:hint="eastAsia" w:ascii="黑体" w:hAnsi="黑体" w:eastAsia="黑体"/>
                <w:sz w:val="18"/>
                <w:szCs w:val="18"/>
              </w:rPr>
              <w:t>《电子信息系统机房设计规范》，</w:t>
            </w:r>
            <w:r>
              <w:rPr>
                <w:rFonts w:ascii="黑体" w:hAnsi="黑体" w:eastAsia="黑体"/>
                <w:sz w:val="18"/>
                <w:szCs w:val="18"/>
              </w:rPr>
              <w:t xml:space="preserve"> </w:t>
            </w:r>
            <w:r>
              <w:rPr>
                <w:rFonts w:ascii="黑体" w:hAnsi="黑体" w:eastAsia="黑体" w:cs="Calibri"/>
                <w:sz w:val="18"/>
                <w:szCs w:val="18"/>
              </w:rPr>
              <w:t>GB50222-2017</w:t>
            </w:r>
            <w:r>
              <w:rPr>
                <w:rFonts w:hint="eastAsia" w:ascii="黑体" w:hAnsi="黑体" w:eastAsia="黑体"/>
                <w:sz w:val="18"/>
                <w:szCs w:val="18"/>
              </w:rPr>
              <w:t>《建筑内部装修设计防火规范》等设计施工标准的要求。</w:t>
            </w:r>
          </w:p>
        </w:tc>
        <w:tc>
          <w:tcPr>
            <w:tcW w:w="1278" w:type="dxa"/>
            <w:tcBorders>
              <w:top w:val="single" w:color="000000" w:sz="4" w:space="0"/>
              <w:left w:val="single" w:color="000000" w:sz="4" w:space="0"/>
              <w:bottom w:val="single" w:color="000000" w:sz="4" w:space="0"/>
              <w:right w:val="single" w:color="000000" w:sz="4" w:space="0"/>
            </w:tcBorders>
          </w:tcPr>
          <w:p w14:paraId="33FFF287">
            <w:pPr>
              <w:pStyle w:val="132"/>
              <w:kinsoku w:val="0"/>
              <w:overflowPunct w:val="0"/>
              <w:spacing w:before="9"/>
              <w:rPr>
                <w:rFonts w:ascii="黑体" w:hAnsi="黑体" w:eastAsia="黑体"/>
                <w:b/>
                <w:bCs/>
                <w:sz w:val="18"/>
                <w:szCs w:val="18"/>
              </w:rPr>
            </w:pPr>
          </w:p>
          <w:p w14:paraId="4AD2E685">
            <w:pPr>
              <w:pStyle w:val="132"/>
              <w:kinsoku w:val="0"/>
              <w:overflowPunct w:val="0"/>
              <w:spacing w:before="1"/>
              <w:ind w:right="522"/>
              <w:rPr>
                <w:rFonts w:ascii="黑体" w:hAnsi="黑体" w:eastAsia="黑体"/>
                <w:w w:val="101"/>
                <w:sz w:val="18"/>
                <w:szCs w:val="18"/>
              </w:rPr>
            </w:pPr>
            <w:r>
              <w:rPr>
                <w:rFonts w:hint="eastAsia" w:ascii="黑体" w:hAnsi="黑体" w:eastAsia="黑体"/>
                <w:b/>
                <w:bCs/>
                <w:spacing w:val="-2"/>
                <w:sz w:val="18"/>
                <w:szCs w:val="18"/>
              </w:rPr>
              <w:t>□满足</w:t>
            </w:r>
            <w:r>
              <w:rPr>
                <w:rFonts w:ascii="黑体" w:hAnsi="黑体" w:eastAsia="黑体"/>
                <w:w w:val="101"/>
                <w:sz w:val="18"/>
                <w:szCs w:val="18"/>
              </w:rPr>
              <w:t xml:space="preserve"> </w:t>
            </w:r>
          </w:p>
          <w:p w14:paraId="685C8473">
            <w:pPr>
              <w:pStyle w:val="132"/>
              <w:kinsoku w:val="0"/>
              <w:overflowPunct w:val="0"/>
              <w:spacing w:before="4"/>
              <w:ind w:right="348"/>
              <w:rPr>
                <w:rFonts w:ascii="黑体" w:hAnsi="黑体" w:eastAsia="黑体"/>
                <w:sz w:val="18"/>
                <w:szCs w:val="18"/>
              </w:rPr>
            </w:pPr>
            <w:r>
              <w:rPr>
                <w:rFonts w:hint="eastAsia" w:ascii="黑体" w:hAnsi="黑体" w:eastAsia="黑体"/>
                <w:spacing w:val="-3"/>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1CFA8CC6">
            <w:pPr>
              <w:pStyle w:val="132"/>
              <w:kinsoku w:val="0"/>
              <w:overflowPunct w:val="0"/>
              <w:rPr>
                <w:rFonts w:ascii="黑体" w:hAnsi="黑体" w:eastAsia="黑体" w:cs="Times New Roman"/>
                <w:sz w:val="18"/>
                <w:szCs w:val="18"/>
              </w:rPr>
            </w:pPr>
          </w:p>
        </w:tc>
      </w:tr>
      <w:tr w14:paraId="3F961134">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7B4891E3">
            <w:pPr>
              <w:pStyle w:val="132"/>
              <w:kinsoku w:val="0"/>
              <w:overflowPunct w:val="0"/>
              <w:spacing w:before="112"/>
              <w:ind w:left="158" w:right="62"/>
              <w:rPr>
                <w:rFonts w:ascii="黑体" w:hAnsi="黑体" w:eastAsia="黑体"/>
                <w:sz w:val="18"/>
                <w:szCs w:val="18"/>
              </w:rPr>
            </w:pPr>
            <w:r>
              <w:rPr>
                <w:rFonts w:ascii="黑体" w:hAnsi="黑体" w:eastAsia="黑体"/>
                <w:sz w:val="18"/>
                <w:szCs w:val="18"/>
              </w:rPr>
              <w:t xml:space="preserve">2.4 </w:t>
            </w:r>
          </w:p>
        </w:tc>
        <w:tc>
          <w:tcPr>
            <w:tcW w:w="6381" w:type="dxa"/>
            <w:gridSpan w:val="3"/>
            <w:tcBorders>
              <w:top w:val="single" w:color="000000" w:sz="4" w:space="0"/>
              <w:left w:val="single" w:color="000000" w:sz="4" w:space="0"/>
              <w:bottom w:val="single" w:color="000000" w:sz="4" w:space="0"/>
              <w:right w:val="single" w:color="000000" w:sz="4" w:space="0"/>
            </w:tcBorders>
          </w:tcPr>
          <w:p w14:paraId="3658FE82">
            <w:pPr>
              <w:pStyle w:val="132"/>
              <w:kinsoku w:val="0"/>
              <w:overflowPunct w:val="0"/>
              <w:spacing w:line="244" w:lineRule="auto"/>
              <w:ind w:left="105" w:right="90"/>
              <w:rPr>
                <w:rFonts w:ascii="黑体" w:hAnsi="黑体" w:eastAsia="黑体"/>
                <w:sz w:val="18"/>
                <w:szCs w:val="18"/>
              </w:rPr>
            </w:pPr>
            <w:r>
              <w:rPr>
                <w:rFonts w:hint="eastAsia" w:ascii="黑体" w:hAnsi="黑体" w:eastAsia="黑体"/>
                <w:sz w:val="18"/>
                <w:szCs w:val="18"/>
              </w:rPr>
              <w:t>防静电地板产品必须通过国家信息产业部防静电产品质量监督监测中心的检测，并可提供第三方机构盖章的检测报告证明文件。</w:t>
            </w:r>
          </w:p>
        </w:tc>
        <w:tc>
          <w:tcPr>
            <w:tcW w:w="1278" w:type="dxa"/>
            <w:tcBorders>
              <w:top w:val="single" w:color="000000" w:sz="4" w:space="0"/>
              <w:left w:val="single" w:color="000000" w:sz="4" w:space="0"/>
              <w:bottom w:val="single" w:color="000000" w:sz="4" w:space="0"/>
              <w:right w:val="single" w:color="000000" w:sz="4" w:space="0"/>
            </w:tcBorders>
          </w:tcPr>
          <w:p w14:paraId="353AB1DE">
            <w:pPr>
              <w:pStyle w:val="132"/>
              <w:kinsoku w:val="0"/>
              <w:overflowPunct w:val="0"/>
              <w:spacing w:line="228" w:lineRule="exact"/>
              <w:ind w:right="522"/>
              <w:rPr>
                <w:rFonts w:ascii="黑体" w:hAnsi="黑体" w:eastAsia="黑体"/>
                <w:w w:val="101"/>
                <w:sz w:val="18"/>
                <w:szCs w:val="18"/>
              </w:rPr>
            </w:pPr>
            <w:r>
              <w:rPr>
                <w:rFonts w:hint="eastAsia" w:ascii="黑体" w:hAnsi="黑体" w:eastAsia="黑体"/>
                <w:b/>
                <w:bCs/>
                <w:spacing w:val="-2"/>
                <w:sz w:val="18"/>
                <w:szCs w:val="18"/>
              </w:rPr>
              <w:t>□满足</w:t>
            </w:r>
            <w:r>
              <w:rPr>
                <w:rFonts w:ascii="黑体" w:hAnsi="黑体" w:eastAsia="黑体"/>
                <w:w w:val="101"/>
                <w:sz w:val="18"/>
                <w:szCs w:val="18"/>
              </w:rPr>
              <w:t xml:space="preserve"> </w:t>
            </w:r>
          </w:p>
          <w:p w14:paraId="1D324E1C">
            <w:pPr>
              <w:pStyle w:val="132"/>
              <w:kinsoku w:val="0"/>
              <w:overflowPunct w:val="0"/>
              <w:spacing w:before="4"/>
              <w:ind w:right="348"/>
              <w:rPr>
                <w:rFonts w:ascii="黑体" w:hAnsi="黑体" w:eastAsia="黑体"/>
                <w:sz w:val="18"/>
                <w:szCs w:val="18"/>
              </w:rPr>
            </w:pPr>
            <w:r>
              <w:rPr>
                <w:rFonts w:hint="eastAsia" w:ascii="黑体" w:hAnsi="黑体" w:eastAsia="黑体"/>
                <w:spacing w:val="-3"/>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5DEFE9CC">
            <w:pPr>
              <w:pStyle w:val="132"/>
              <w:kinsoku w:val="0"/>
              <w:overflowPunct w:val="0"/>
              <w:rPr>
                <w:rFonts w:ascii="黑体" w:hAnsi="黑体" w:eastAsia="黑体" w:cs="Times New Roman"/>
                <w:sz w:val="18"/>
                <w:szCs w:val="18"/>
              </w:rPr>
            </w:pPr>
          </w:p>
        </w:tc>
      </w:tr>
      <w:tr w14:paraId="4B203A32">
        <w:tblPrEx>
          <w:tblCellMar>
            <w:top w:w="0" w:type="dxa"/>
            <w:left w:w="0" w:type="dxa"/>
            <w:bottom w:w="0" w:type="dxa"/>
            <w:right w:w="0" w:type="dxa"/>
          </w:tblCellMar>
        </w:tblPrEx>
        <w:trPr>
          <w:trHeight w:val="700" w:hRule="atLeast"/>
        </w:trPr>
        <w:tc>
          <w:tcPr>
            <w:tcW w:w="725" w:type="dxa"/>
            <w:tcBorders>
              <w:top w:val="single" w:color="000000" w:sz="4" w:space="0"/>
              <w:left w:val="single" w:color="000000" w:sz="4" w:space="0"/>
              <w:bottom w:val="single" w:color="000000" w:sz="4" w:space="0"/>
              <w:right w:val="single" w:color="000000" w:sz="4" w:space="0"/>
            </w:tcBorders>
          </w:tcPr>
          <w:p w14:paraId="35420916">
            <w:pPr>
              <w:pStyle w:val="132"/>
              <w:kinsoku w:val="0"/>
              <w:overflowPunct w:val="0"/>
              <w:spacing w:before="132"/>
              <w:ind w:left="158" w:right="62"/>
              <w:rPr>
                <w:rFonts w:ascii="黑体" w:hAnsi="黑体" w:eastAsia="黑体"/>
                <w:sz w:val="18"/>
                <w:szCs w:val="18"/>
              </w:rPr>
            </w:pPr>
            <w:r>
              <w:rPr>
                <w:rFonts w:ascii="黑体" w:hAnsi="黑体" w:eastAsia="黑体"/>
                <w:sz w:val="18"/>
                <w:szCs w:val="18"/>
              </w:rPr>
              <w:t xml:space="preserve">2.5 </w:t>
            </w:r>
          </w:p>
        </w:tc>
        <w:tc>
          <w:tcPr>
            <w:tcW w:w="6381" w:type="dxa"/>
            <w:gridSpan w:val="3"/>
            <w:tcBorders>
              <w:top w:val="single" w:color="000000" w:sz="4" w:space="0"/>
              <w:left w:val="single" w:color="000000" w:sz="4" w:space="0"/>
              <w:bottom w:val="single" w:color="000000" w:sz="4" w:space="0"/>
              <w:right w:val="single" w:color="000000" w:sz="4" w:space="0"/>
            </w:tcBorders>
          </w:tcPr>
          <w:p w14:paraId="4233022B">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防静电地板应组装精细，接缝整齐严密，粘接牢固，无破损，不开胶，不起</w:t>
            </w:r>
          </w:p>
          <w:p w14:paraId="38A0BAB4">
            <w:pPr>
              <w:pStyle w:val="132"/>
              <w:kinsoku w:val="0"/>
              <w:overflowPunct w:val="0"/>
              <w:spacing w:line="230" w:lineRule="exact"/>
              <w:ind w:left="105" w:right="94"/>
              <w:rPr>
                <w:rFonts w:ascii="黑体" w:hAnsi="黑体" w:eastAsia="黑体"/>
                <w:sz w:val="18"/>
                <w:szCs w:val="18"/>
              </w:rPr>
            </w:pPr>
            <w:r>
              <w:rPr>
                <w:rFonts w:hint="eastAsia" w:ascii="黑体" w:hAnsi="黑体" w:eastAsia="黑体"/>
                <w:spacing w:val="-6"/>
                <w:sz w:val="18"/>
                <w:szCs w:val="18"/>
              </w:rPr>
              <w:t>皮，色差小，板面覆盖层应柔光、耐污、不打滑、无明显的可见色差、起泡及</w:t>
            </w:r>
            <w:r>
              <w:rPr>
                <w:rFonts w:hint="eastAsia" w:ascii="黑体" w:hAnsi="黑体" w:eastAsia="黑体"/>
                <w:spacing w:val="-4"/>
                <w:sz w:val="18"/>
                <w:szCs w:val="18"/>
              </w:rPr>
              <w:t>疵点。</w:t>
            </w:r>
            <w:r>
              <w:rPr>
                <w:rFonts w:ascii="黑体" w:hAnsi="黑体" w:eastAsia="黑体"/>
                <w:sz w:val="18"/>
                <w:szCs w:val="18"/>
              </w:rPr>
              <w:t xml:space="preserve"> </w:t>
            </w:r>
          </w:p>
        </w:tc>
        <w:tc>
          <w:tcPr>
            <w:tcW w:w="1278" w:type="dxa"/>
            <w:tcBorders>
              <w:top w:val="single" w:color="000000" w:sz="4" w:space="0"/>
              <w:left w:val="single" w:color="000000" w:sz="4" w:space="0"/>
              <w:bottom w:val="single" w:color="000000" w:sz="4" w:space="0"/>
              <w:right w:val="single" w:color="000000" w:sz="4" w:space="0"/>
            </w:tcBorders>
          </w:tcPr>
          <w:p w14:paraId="6DF58A1E">
            <w:pPr>
              <w:pStyle w:val="132"/>
              <w:kinsoku w:val="0"/>
              <w:overflowPunct w:val="0"/>
              <w:spacing w:before="16" w:line="231" w:lineRule="exact"/>
              <w:ind w:right="522"/>
              <w:rPr>
                <w:rFonts w:ascii="黑体" w:hAnsi="黑体" w:eastAsia="黑体"/>
                <w:w w:val="101"/>
                <w:sz w:val="18"/>
                <w:szCs w:val="18"/>
              </w:rPr>
            </w:pPr>
            <w:r>
              <w:rPr>
                <w:rFonts w:hint="eastAsia" w:ascii="黑体" w:hAnsi="黑体" w:eastAsia="黑体"/>
                <w:b/>
                <w:bCs/>
                <w:spacing w:val="-2"/>
                <w:sz w:val="18"/>
                <w:szCs w:val="18"/>
              </w:rPr>
              <w:t>□满足</w:t>
            </w:r>
            <w:r>
              <w:rPr>
                <w:rFonts w:ascii="黑体" w:hAnsi="黑体" w:eastAsia="黑体"/>
                <w:w w:val="101"/>
                <w:sz w:val="18"/>
                <w:szCs w:val="18"/>
              </w:rPr>
              <w:t xml:space="preserve"> </w:t>
            </w:r>
          </w:p>
          <w:p w14:paraId="4F982EE3">
            <w:pPr>
              <w:pStyle w:val="132"/>
              <w:kinsoku w:val="0"/>
              <w:overflowPunct w:val="0"/>
              <w:ind w:right="348"/>
              <w:rPr>
                <w:rFonts w:ascii="黑体" w:hAnsi="黑体" w:eastAsia="黑体"/>
                <w:sz w:val="18"/>
                <w:szCs w:val="18"/>
              </w:rPr>
            </w:pPr>
            <w:r>
              <w:rPr>
                <w:rFonts w:hint="eastAsia" w:ascii="黑体" w:hAnsi="黑体" w:eastAsia="黑体"/>
                <w:spacing w:val="-3"/>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07BDA48B">
            <w:pPr>
              <w:pStyle w:val="132"/>
              <w:kinsoku w:val="0"/>
              <w:overflowPunct w:val="0"/>
              <w:rPr>
                <w:rFonts w:ascii="黑体" w:hAnsi="黑体" w:eastAsia="黑体" w:cs="Times New Roman"/>
                <w:sz w:val="18"/>
                <w:szCs w:val="18"/>
              </w:rPr>
            </w:pPr>
          </w:p>
        </w:tc>
      </w:tr>
      <w:tr w14:paraId="65CCB638">
        <w:tblPrEx>
          <w:tblCellMar>
            <w:top w:w="0" w:type="dxa"/>
            <w:left w:w="0" w:type="dxa"/>
            <w:bottom w:w="0" w:type="dxa"/>
            <w:right w:w="0" w:type="dxa"/>
          </w:tblCellMar>
        </w:tblPrEx>
        <w:trPr>
          <w:trHeight w:val="902" w:hRule="atLeast"/>
        </w:trPr>
        <w:tc>
          <w:tcPr>
            <w:tcW w:w="725" w:type="dxa"/>
            <w:tcBorders>
              <w:top w:val="single" w:color="000000" w:sz="4" w:space="0"/>
              <w:left w:val="single" w:color="000000" w:sz="4" w:space="0"/>
              <w:bottom w:val="single" w:color="000000" w:sz="4" w:space="0"/>
              <w:right w:val="single" w:color="000000" w:sz="4" w:space="0"/>
            </w:tcBorders>
          </w:tcPr>
          <w:p w14:paraId="2642B9AF">
            <w:pPr>
              <w:pStyle w:val="132"/>
              <w:kinsoku w:val="0"/>
              <w:overflowPunct w:val="0"/>
              <w:spacing w:before="2"/>
              <w:rPr>
                <w:rFonts w:ascii="黑体" w:hAnsi="黑体" w:eastAsia="黑体"/>
                <w:b/>
                <w:bCs/>
                <w:sz w:val="18"/>
                <w:szCs w:val="18"/>
              </w:rPr>
            </w:pPr>
          </w:p>
          <w:p w14:paraId="1DA32048">
            <w:pPr>
              <w:pStyle w:val="132"/>
              <w:kinsoku w:val="0"/>
              <w:overflowPunct w:val="0"/>
              <w:ind w:left="158" w:right="62"/>
              <w:rPr>
                <w:rFonts w:ascii="黑体" w:hAnsi="黑体" w:eastAsia="黑体"/>
                <w:sz w:val="18"/>
                <w:szCs w:val="18"/>
              </w:rPr>
            </w:pPr>
            <w:r>
              <w:rPr>
                <w:rFonts w:ascii="黑体" w:hAnsi="黑体" w:eastAsia="黑体"/>
                <w:sz w:val="18"/>
                <w:szCs w:val="18"/>
              </w:rPr>
              <w:t xml:space="preserve">2.6 </w:t>
            </w:r>
          </w:p>
        </w:tc>
        <w:tc>
          <w:tcPr>
            <w:tcW w:w="6381" w:type="dxa"/>
            <w:gridSpan w:val="3"/>
            <w:tcBorders>
              <w:top w:val="single" w:color="000000" w:sz="4" w:space="0"/>
              <w:left w:val="single" w:color="000000" w:sz="4" w:space="0"/>
              <w:bottom w:val="single" w:color="000000" w:sz="4" w:space="0"/>
              <w:right w:val="single" w:color="000000" w:sz="4" w:space="0"/>
            </w:tcBorders>
          </w:tcPr>
          <w:p w14:paraId="3B8D766E">
            <w:pPr>
              <w:pStyle w:val="132"/>
              <w:kinsoku w:val="0"/>
              <w:overflowPunct w:val="0"/>
              <w:spacing w:line="242" w:lineRule="auto"/>
              <w:ind w:left="105" w:right="92"/>
              <w:rPr>
                <w:rFonts w:ascii="黑体" w:hAnsi="黑体" w:eastAsia="黑体"/>
                <w:spacing w:val="-5"/>
                <w:sz w:val="18"/>
                <w:szCs w:val="18"/>
              </w:rPr>
            </w:pPr>
            <w:r>
              <w:rPr>
                <w:rFonts w:hint="eastAsia" w:ascii="黑体" w:hAnsi="黑体" w:eastAsia="黑体"/>
                <w:spacing w:val="2"/>
                <w:sz w:val="18"/>
                <w:szCs w:val="18"/>
              </w:rPr>
              <w:t>在下列环境能够保证防静电地板长期正常工作：工作温度范围</w:t>
            </w:r>
            <w:r>
              <w:rPr>
                <w:rFonts w:ascii="黑体" w:hAnsi="黑体" w:eastAsia="黑体"/>
                <w:spacing w:val="2"/>
                <w:sz w:val="18"/>
                <w:szCs w:val="18"/>
              </w:rPr>
              <w:t xml:space="preserve"> </w:t>
            </w:r>
            <w:r>
              <w:rPr>
                <w:rFonts w:ascii="黑体" w:hAnsi="黑体" w:eastAsia="黑体" w:cs="Calibri"/>
                <w:sz w:val="18"/>
                <w:szCs w:val="18"/>
              </w:rPr>
              <w:t>15</w:t>
            </w:r>
            <w:r>
              <w:rPr>
                <w:rFonts w:hint="eastAsia" w:ascii="黑体" w:hAnsi="黑体" w:eastAsia="黑体"/>
                <w:sz w:val="18"/>
                <w:szCs w:val="18"/>
              </w:rPr>
              <w:t>℃～</w:t>
            </w:r>
            <w:r>
              <w:rPr>
                <w:rFonts w:ascii="黑体" w:hAnsi="黑体" w:eastAsia="黑体" w:cs="Calibri"/>
                <w:sz w:val="18"/>
                <w:szCs w:val="18"/>
              </w:rPr>
              <w:t>45</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pacing w:val="-3"/>
                <w:sz w:val="18"/>
                <w:szCs w:val="18"/>
              </w:rPr>
              <w:t>工作环境相对温度范围</w:t>
            </w:r>
            <w:r>
              <w:rPr>
                <w:rFonts w:ascii="黑体" w:hAnsi="黑体" w:eastAsia="黑体"/>
                <w:spacing w:val="-3"/>
                <w:sz w:val="18"/>
                <w:szCs w:val="18"/>
              </w:rPr>
              <w:t xml:space="preserve"> </w:t>
            </w:r>
            <w:r>
              <w:rPr>
                <w:rFonts w:ascii="黑体" w:hAnsi="黑体" w:eastAsia="黑体" w:cs="Calibri"/>
                <w:spacing w:val="-3"/>
                <w:sz w:val="18"/>
                <w:szCs w:val="18"/>
              </w:rPr>
              <w:t>45%</w:t>
            </w:r>
            <w:r>
              <w:rPr>
                <w:rFonts w:hint="eastAsia" w:ascii="黑体" w:hAnsi="黑体" w:eastAsia="黑体"/>
                <w:spacing w:val="-3"/>
                <w:sz w:val="18"/>
                <w:szCs w:val="18"/>
              </w:rPr>
              <w:t>～</w:t>
            </w:r>
            <w:r>
              <w:rPr>
                <w:rFonts w:ascii="黑体" w:hAnsi="黑体" w:eastAsia="黑体" w:cs="Calibri"/>
                <w:spacing w:val="-3"/>
                <w:sz w:val="18"/>
                <w:szCs w:val="18"/>
              </w:rPr>
              <w:t>75%</w:t>
            </w:r>
            <w:r>
              <w:rPr>
                <w:rFonts w:hint="eastAsia" w:ascii="黑体" w:hAnsi="黑体" w:eastAsia="黑体"/>
                <w:spacing w:val="-3"/>
                <w:sz w:val="18"/>
                <w:szCs w:val="18"/>
              </w:rPr>
              <w:t>；大气压力范围</w:t>
            </w:r>
            <w:r>
              <w:rPr>
                <w:rFonts w:ascii="黑体" w:hAnsi="黑体" w:eastAsia="黑体"/>
                <w:spacing w:val="-3"/>
                <w:sz w:val="18"/>
                <w:szCs w:val="18"/>
              </w:rPr>
              <w:t xml:space="preserve"> </w:t>
            </w:r>
            <w:r>
              <w:rPr>
                <w:rFonts w:ascii="黑体" w:hAnsi="黑体" w:eastAsia="黑体" w:cs="Calibri"/>
                <w:spacing w:val="-3"/>
                <w:sz w:val="18"/>
                <w:szCs w:val="18"/>
              </w:rPr>
              <w:t>86</w:t>
            </w:r>
            <w:r>
              <w:rPr>
                <w:rFonts w:hint="eastAsia" w:ascii="黑体" w:hAnsi="黑体" w:eastAsia="黑体"/>
                <w:spacing w:val="-3"/>
                <w:sz w:val="18"/>
                <w:szCs w:val="18"/>
              </w:rPr>
              <w:t>～</w:t>
            </w:r>
            <w:r>
              <w:rPr>
                <w:rFonts w:ascii="黑体" w:hAnsi="黑体" w:eastAsia="黑体" w:cs="Calibri"/>
                <w:spacing w:val="-3"/>
                <w:sz w:val="18"/>
                <w:szCs w:val="18"/>
              </w:rPr>
              <w:t>106KPa</w:t>
            </w:r>
            <w:r>
              <w:rPr>
                <w:rFonts w:hint="eastAsia" w:ascii="黑体" w:hAnsi="黑体" w:eastAsia="黑体"/>
                <w:spacing w:val="-5"/>
                <w:sz w:val="18"/>
                <w:szCs w:val="18"/>
              </w:rPr>
              <w:t>，室内无酸、碱等腐蚀性气体。</w:t>
            </w:r>
          </w:p>
        </w:tc>
        <w:tc>
          <w:tcPr>
            <w:tcW w:w="1278" w:type="dxa"/>
            <w:tcBorders>
              <w:top w:val="single" w:color="000000" w:sz="4" w:space="0"/>
              <w:left w:val="single" w:color="000000" w:sz="4" w:space="0"/>
              <w:bottom w:val="single" w:color="000000" w:sz="4" w:space="0"/>
              <w:right w:val="single" w:color="000000" w:sz="4" w:space="0"/>
            </w:tcBorders>
          </w:tcPr>
          <w:p w14:paraId="6B1AB5EC">
            <w:pPr>
              <w:pStyle w:val="132"/>
              <w:kinsoku w:val="0"/>
              <w:overflowPunct w:val="0"/>
              <w:spacing w:before="113"/>
              <w:ind w:right="522"/>
              <w:rPr>
                <w:rFonts w:ascii="黑体" w:hAnsi="黑体" w:eastAsia="黑体"/>
                <w:w w:val="101"/>
                <w:sz w:val="18"/>
                <w:szCs w:val="18"/>
              </w:rPr>
            </w:pPr>
            <w:r>
              <w:rPr>
                <w:rFonts w:hint="eastAsia" w:ascii="黑体" w:hAnsi="黑体" w:eastAsia="黑体"/>
                <w:b/>
                <w:bCs/>
                <w:spacing w:val="-2"/>
                <w:sz w:val="18"/>
                <w:szCs w:val="18"/>
              </w:rPr>
              <w:t>□满足</w:t>
            </w:r>
            <w:r>
              <w:rPr>
                <w:rFonts w:ascii="黑体" w:hAnsi="黑体" w:eastAsia="黑体"/>
                <w:w w:val="101"/>
                <w:sz w:val="18"/>
                <w:szCs w:val="18"/>
              </w:rPr>
              <w:t xml:space="preserve"> </w:t>
            </w:r>
          </w:p>
          <w:p w14:paraId="246EF73C">
            <w:pPr>
              <w:pStyle w:val="132"/>
              <w:kinsoku w:val="0"/>
              <w:overflowPunct w:val="0"/>
              <w:spacing w:before="4"/>
              <w:ind w:right="348"/>
              <w:rPr>
                <w:rFonts w:ascii="黑体" w:hAnsi="黑体" w:eastAsia="黑体"/>
                <w:sz w:val="18"/>
                <w:szCs w:val="18"/>
              </w:rPr>
            </w:pPr>
            <w:r>
              <w:rPr>
                <w:rFonts w:hint="eastAsia" w:ascii="黑体" w:hAnsi="黑体" w:eastAsia="黑体"/>
                <w:spacing w:val="-3"/>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0C6ACB5A">
            <w:pPr>
              <w:pStyle w:val="132"/>
              <w:kinsoku w:val="0"/>
              <w:overflowPunct w:val="0"/>
              <w:rPr>
                <w:rFonts w:ascii="黑体" w:hAnsi="黑体" w:eastAsia="黑体" w:cs="Times New Roman"/>
                <w:sz w:val="18"/>
                <w:szCs w:val="18"/>
              </w:rPr>
            </w:pPr>
          </w:p>
        </w:tc>
      </w:tr>
      <w:tr w14:paraId="334E05E1">
        <w:tblPrEx>
          <w:tblCellMar>
            <w:top w:w="0" w:type="dxa"/>
            <w:left w:w="0" w:type="dxa"/>
            <w:bottom w:w="0" w:type="dxa"/>
            <w:right w:w="0" w:type="dxa"/>
          </w:tblCellMar>
        </w:tblPrEx>
        <w:trPr>
          <w:trHeight w:val="455" w:hRule="atLeast"/>
        </w:trPr>
        <w:tc>
          <w:tcPr>
            <w:tcW w:w="725" w:type="dxa"/>
            <w:tcBorders>
              <w:top w:val="single" w:color="000000" w:sz="4" w:space="0"/>
              <w:left w:val="single" w:color="000000" w:sz="4" w:space="0"/>
              <w:bottom w:val="single" w:color="000000" w:sz="4" w:space="0"/>
              <w:right w:val="single" w:color="000000" w:sz="4" w:space="0"/>
            </w:tcBorders>
          </w:tcPr>
          <w:p w14:paraId="4CD19D84">
            <w:pPr>
              <w:pStyle w:val="132"/>
              <w:kinsoku w:val="0"/>
              <w:overflowPunct w:val="0"/>
              <w:spacing w:before="7"/>
              <w:ind w:left="158" w:right="67"/>
              <w:rPr>
                <w:rFonts w:ascii="黑体" w:hAnsi="黑体" w:eastAsia="黑体"/>
                <w:sz w:val="18"/>
                <w:szCs w:val="18"/>
              </w:rPr>
            </w:pPr>
            <w:r>
              <w:rPr>
                <w:rFonts w:ascii="黑体" w:hAnsi="黑体" w:eastAsia="黑体"/>
                <w:sz w:val="18"/>
                <w:szCs w:val="18"/>
              </w:rPr>
              <w:t xml:space="preserve">3 </w:t>
            </w:r>
          </w:p>
        </w:tc>
        <w:tc>
          <w:tcPr>
            <w:tcW w:w="1277" w:type="dxa"/>
            <w:tcBorders>
              <w:top w:val="single" w:color="000000" w:sz="4" w:space="0"/>
              <w:left w:val="single" w:color="000000" w:sz="4" w:space="0"/>
              <w:bottom w:val="single" w:color="000000" w:sz="4" w:space="0"/>
              <w:right w:val="single" w:color="000000" w:sz="4" w:space="0"/>
            </w:tcBorders>
          </w:tcPr>
          <w:p w14:paraId="66FE48D0">
            <w:pPr>
              <w:pStyle w:val="132"/>
              <w:kinsoku w:val="0"/>
              <w:overflowPunct w:val="0"/>
              <w:spacing w:line="253" w:lineRule="exact"/>
              <w:ind w:left="105"/>
              <w:rPr>
                <w:rFonts w:ascii="黑体" w:hAnsi="黑体" w:eastAsia="黑体"/>
                <w:b/>
                <w:bCs/>
                <w:sz w:val="18"/>
                <w:szCs w:val="18"/>
              </w:rPr>
            </w:pPr>
            <w:r>
              <w:rPr>
                <w:rFonts w:hint="eastAsia" w:ascii="黑体" w:hAnsi="黑体" w:eastAsia="黑体"/>
                <w:b/>
                <w:bCs/>
                <w:sz w:val="18"/>
                <w:szCs w:val="18"/>
              </w:rPr>
              <w:t>性能要求</w:t>
            </w:r>
            <w:r>
              <w:rPr>
                <w:rFonts w:ascii="黑体" w:hAnsi="黑体" w:eastAsia="黑体"/>
                <w:b/>
                <w:bCs/>
                <w:sz w:val="18"/>
                <w:szCs w:val="18"/>
              </w:rPr>
              <w:t xml:space="preserve"> </w:t>
            </w:r>
          </w:p>
        </w:tc>
        <w:tc>
          <w:tcPr>
            <w:tcW w:w="5104" w:type="dxa"/>
            <w:gridSpan w:val="2"/>
            <w:tcBorders>
              <w:top w:val="single" w:color="000000" w:sz="4" w:space="0"/>
              <w:left w:val="single" w:color="000000" w:sz="4" w:space="0"/>
              <w:bottom w:val="single" w:color="000000" w:sz="4" w:space="0"/>
              <w:right w:val="single" w:color="000000" w:sz="4" w:space="0"/>
            </w:tcBorders>
          </w:tcPr>
          <w:p w14:paraId="2DFF58BE">
            <w:pPr>
              <w:pStyle w:val="132"/>
              <w:kinsoku w:val="0"/>
              <w:overflowPunct w:val="0"/>
              <w:spacing w:before="16"/>
              <w:ind w:left="105"/>
              <w:rPr>
                <w:rFonts w:ascii="黑体" w:hAnsi="黑体" w:eastAsia="黑体"/>
                <w:w w:val="101"/>
                <w:sz w:val="18"/>
                <w:szCs w:val="18"/>
              </w:rPr>
            </w:pPr>
            <w:r>
              <w:rPr>
                <w:rFonts w:ascii="黑体" w:hAnsi="黑体" w:eastAsia="黑体"/>
                <w:w w:val="101"/>
                <w:sz w:val="18"/>
                <w:szCs w:val="18"/>
              </w:rPr>
              <w:t xml:space="preserve"> </w:t>
            </w:r>
          </w:p>
        </w:tc>
        <w:tc>
          <w:tcPr>
            <w:tcW w:w="1278" w:type="dxa"/>
            <w:tcBorders>
              <w:top w:val="single" w:color="000000" w:sz="4" w:space="0"/>
              <w:left w:val="single" w:color="000000" w:sz="4" w:space="0"/>
              <w:bottom w:val="single" w:color="000000" w:sz="4" w:space="0"/>
              <w:right w:val="single" w:color="000000" w:sz="4" w:space="0"/>
            </w:tcBorders>
          </w:tcPr>
          <w:p w14:paraId="43D69E6F">
            <w:pPr>
              <w:pStyle w:val="132"/>
              <w:kinsoku w:val="0"/>
              <w:overflowPunct w:val="0"/>
              <w:spacing w:before="9"/>
              <w:rPr>
                <w:rFonts w:ascii="黑体" w:hAnsi="黑体" w:eastAsia="黑体"/>
                <w:b/>
                <w:bCs/>
                <w:sz w:val="18"/>
                <w:szCs w:val="18"/>
              </w:rPr>
            </w:pPr>
          </w:p>
          <w:p w14:paraId="1888D02D">
            <w:pPr>
              <w:pStyle w:val="132"/>
              <w:kinsoku w:val="0"/>
              <w:overflowPunct w:val="0"/>
              <w:spacing w:before="1" w:line="208" w:lineRule="exact"/>
              <w:ind w:left="106"/>
              <w:rPr>
                <w:rFonts w:ascii="黑体" w:hAnsi="黑体" w:eastAsia="黑体"/>
                <w:w w:val="101"/>
                <w:sz w:val="18"/>
                <w:szCs w:val="18"/>
              </w:rPr>
            </w:pPr>
            <w:r>
              <w:rPr>
                <w:rFonts w:ascii="黑体" w:hAnsi="黑体" w:eastAsia="黑体"/>
                <w:w w:val="101"/>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6B644D75">
            <w:pPr>
              <w:pStyle w:val="132"/>
              <w:kinsoku w:val="0"/>
              <w:overflowPunct w:val="0"/>
              <w:rPr>
                <w:rFonts w:ascii="黑体" w:hAnsi="黑体" w:eastAsia="黑体" w:cs="Times New Roman"/>
                <w:sz w:val="18"/>
                <w:szCs w:val="18"/>
              </w:rPr>
            </w:pPr>
          </w:p>
        </w:tc>
      </w:tr>
      <w:tr w14:paraId="7B868144">
        <w:tblPrEx>
          <w:tblCellMar>
            <w:top w:w="0" w:type="dxa"/>
            <w:left w:w="0" w:type="dxa"/>
            <w:bottom w:w="0" w:type="dxa"/>
            <w:right w:w="0" w:type="dxa"/>
          </w:tblCellMar>
        </w:tblPrEx>
        <w:trPr>
          <w:trHeight w:val="1636" w:hRule="atLeast"/>
        </w:trPr>
        <w:tc>
          <w:tcPr>
            <w:tcW w:w="725" w:type="dxa"/>
            <w:tcBorders>
              <w:top w:val="single" w:color="000000" w:sz="4" w:space="0"/>
              <w:left w:val="single" w:color="000000" w:sz="4" w:space="0"/>
              <w:bottom w:val="single" w:color="000000" w:sz="4" w:space="0"/>
              <w:right w:val="single" w:color="000000" w:sz="4" w:space="0"/>
            </w:tcBorders>
          </w:tcPr>
          <w:p w14:paraId="4ADF6EC2">
            <w:pPr>
              <w:pStyle w:val="132"/>
              <w:kinsoku w:val="0"/>
              <w:overflowPunct w:val="0"/>
              <w:rPr>
                <w:rFonts w:ascii="黑体" w:hAnsi="黑体" w:eastAsia="黑体"/>
                <w:b/>
                <w:bCs/>
                <w:sz w:val="18"/>
                <w:szCs w:val="18"/>
              </w:rPr>
            </w:pPr>
          </w:p>
          <w:p w14:paraId="095FCA8D">
            <w:pPr>
              <w:pStyle w:val="132"/>
              <w:kinsoku w:val="0"/>
              <w:overflowPunct w:val="0"/>
              <w:rPr>
                <w:rFonts w:ascii="黑体" w:hAnsi="黑体" w:eastAsia="黑体"/>
                <w:b/>
                <w:bCs/>
                <w:sz w:val="18"/>
                <w:szCs w:val="18"/>
              </w:rPr>
            </w:pPr>
          </w:p>
          <w:p w14:paraId="46D8322A">
            <w:pPr>
              <w:pStyle w:val="132"/>
              <w:kinsoku w:val="0"/>
              <w:overflowPunct w:val="0"/>
              <w:spacing w:before="141"/>
              <w:ind w:left="158" w:right="62"/>
              <w:rPr>
                <w:rFonts w:ascii="黑体" w:hAnsi="黑体" w:eastAsia="黑体"/>
                <w:sz w:val="18"/>
                <w:szCs w:val="18"/>
              </w:rPr>
            </w:pPr>
            <w:r>
              <w:rPr>
                <w:rFonts w:ascii="黑体" w:hAnsi="黑体" w:eastAsia="黑体"/>
                <w:sz w:val="18"/>
                <w:szCs w:val="18"/>
              </w:rPr>
              <w:t xml:space="preserve">3.1 </w:t>
            </w:r>
          </w:p>
        </w:tc>
        <w:tc>
          <w:tcPr>
            <w:tcW w:w="1277" w:type="dxa"/>
            <w:tcBorders>
              <w:top w:val="single" w:color="000000" w:sz="4" w:space="0"/>
              <w:left w:val="single" w:color="000000" w:sz="4" w:space="0"/>
              <w:bottom w:val="single" w:color="000000" w:sz="4" w:space="0"/>
              <w:right w:val="single" w:color="000000" w:sz="4" w:space="0"/>
            </w:tcBorders>
          </w:tcPr>
          <w:p w14:paraId="44D9FFA4">
            <w:pPr>
              <w:pStyle w:val="132"/>
              <w:kinsoku w:val="0"/>
              <w:overflowPunct w:val="0"/>
              <w:rPr>
                <w:rFonts w:ascii="黑体" w:hAnsi="黑体" w:eastAsia="黑体"/>
                <w:b/>
                <w:bCs/>
                <w:sz w:val="18"/>
                <w:szCs w:val="18"/>
              </w:rPr>
            </w:pPr>
          </w:p>
          <w:p w14:paraId="6B58E15F">
            <w:pPr>
              <w:pStyle w:val="132"/>
              <w:kinsoku w:val="0"/>
              <w:overflowPunct w:val="0"/>
              <w:spacing w:before="7"/>
              <w:rPr>
                <w:rFonts w:ascii="黑体" w:hAnsi="黑体" w:eastAsia="黑体"/>
                <w:b/>
                <w:bCs/>
                <w:sz w:val="18"/>
                <w:szCs w:val="18"/>
              </w:rPr>
            </w:pPr>
          </w:p>
          <w:p w14:paraId="5825C947">
            <w:pPr>
              <w:pStyle w:val="132"/>
              <w:kinsoku w:val="0"/>
              <w:overflowPunct w:val="0"/>
              <w:spacing w:line="242" w:lineRule="auto"/>
              <w:ind w:left="105" w:right="54"/>
              <w:rPr>
                <w:rFonts w:ascii="黑体" w:hAnsi="黑体" w:eastAsia="黑体"/>
                <w:sz w:val="18"/>
                <w:szCs w:val="18"/>
              </w:rPr>
            </w:pPr>
            <w:r>
              <w:rPr>
                <w:rFonts w:hint="eastAsia" w:ascii="黑体" w:hAnsi="黑体" w:eastAsia="黑体"/>
                <w:sz w:val="18"/>
                <w:szCs w:val="18"/>
              </w:rPr>
              <w:t>铝合金带孔面板性能要求</w:t>
            </w:r>
          </w:p>
        </w:tc>
        <w:tc>
          <w:tcPr>
            <w:tcW w:w="5104" w:type="dxa"/>
            <w:gridSpan w:val="2"/>
            <w:tcBorders>
              <w:top w:val="single" w:color="000000" w:sz="4" w:space="0"/>
              <w:left w:val="single" w:color="000000" w:sz="4" w:space="0"/>
              <w:bottom w:val="single" w:color="000000" w:sz="4" w:space="0"/>
              <w:right w:val="single" w:color="000000" w:sz="4" w:space="0"/>
            </w:tcBorders>
          </w:tcPr>
          <w:p w14:paraId="5B8A7EC1">
            <w:pPr>
              <w:pStyle w:val="132"/>
              <w:kinsoku w:val="0"/>
              <w:overflowPunct w:val="0"/>
              <w:spacing w:before="2" w:line="242" w:lineRule="auto"/>
              <w:ind w:left="105" w:right="96"/>
              <w:rPr>
                <w:rFonts w:ascii="黑体" w:hAnsi="黑体" w:eastAsia="黑体"/>
                <w:spacing w:val="-5"/>
                <w:position w:val="2"/>
                <w:sz w:val="18"/>
                <w:szCs w:val="18"/>
              </w:rPr>
            </w:pPr>
            <w:r>
              <w:rPr>
                <w:rFonts w:ascii="黑体" w:hAnsi="黑体" w:eastAsia="黑体" w:cs="Calibri"/>
                <w:spacing w:val="3"/>
                <w:sz w:val="18"/>
                <w:szCs w:val="18"/>
              </w:rPr>
              <w:t>1</w:t>
            </w:r>
            <w:r>
              <w:rPr>
                <w:rFonts w:hint="eastAsia" w:ascii="黑体" w:hAnsi="黑体" w:eastAsia="黑体"/>
                <w:spacing w:val="3"/>
                <w:sz w:val="18"/>
                <w:szCs w:val="18"/>
              </w:rPr>
              <w:t>）</w:t>
            </w:r>
            <w:r>
              <w:rPr>
                <w:rFonts w:hint="eastAsia" w:ascii="黑体" w:hAnsi="黑体" w:eastAsia="黑体"/>
                <w:sz w:val="18"/>
                <w:szCs w:val="18"/>
              </w:rPr>
              <w:t>采用高压铸铝合金材质，可按需焊接通风率调节装置，面</w:t>
            </w:r>
            <w:r>
              <w:rPr>
                <w:rFonts w:hint="eastAsia" w:ascii="黑体" w:hAnsi="黑体" w:eastAsia="黑体"/>
                <w:spacing w:val="-5"/>
                <w:sz w:val="18"/>
                <w:szCs w:val="18"/>
              </w:rPr>
              <w:t>板表面进行环氧喷塑或镍铬电镀处理，可形成导静电涂层；</w:t>
            </w:r>
            <w:r>
              <w:rPr>
                <w:rFonts w:ascii="黑体" w:hAnsi="黑体" w:eastAsia="黑体"/>
                <w:spacing w:val="-5"/>
                <w:sz w:val="18"/>
                <w:szCs w:val="18"/>
              </w:rPr>
              <w:t xml:space="preserve"> </w:t>
            </w:r>
            <w:r>
              <w:rPr>
                <w:rFonts w:ascii="黑体" w:hAnsi="黑体" w:eastAsia="黑体" w:cs="Calibri"/>
                <w:spacing w:val="8"/>
                <w:sz w:val="18"/>
                <w:szCs w:val="18"/>
              </w:rPr>
              <w:t>2</w:t>
            </w:r>
            <w:r>
              <w:rPr>
                <w:rFonts w:hint="eastAsia" w:ascii="黑体" w:hAnsi="黑体" w:eastAsia="黑体"/>
                <w:spacing w:val="8"/>
                <w:sz w:val="18"/>
                <w:szCs w:val="18"/>
              </w:rPr>
              <w:t>）</w:t>
            </w:r>
            <w:r>
              <w:rPr>
                <w:rFonts w:hint="eastAsia" w:ascii="黑体" w:hAnsi="黑体" w:eastAsia="黑体"/>
                <w:spacing w:val="2"/>
                <w:sz w:val="18"/>
                <w:szCs w:val="18"/>
              </w:rPr>
              <w:t>符合</w:t>
            </w:r>
            <w:r>
              <w:rPr>
                <w:rFonts w:ascii="黑体" w:hAnsi="黑体" w:eastAsia="黑体"/>
                <w:spacing w:val="32"/>
                <w:sz w:val="18"/>
                <w:szCs w:val="18"/>
              </w:rPr>
              <w:t xml:space="preserve"> </w:t>
            </w:r>
            <w:r>
              <w:rPr>
                <w:rFonts w:ascii="黑体" w:hAnsi="黑体" w:eastAsia="黑体" w:cs="Calibri"/>
                <w:spacing w:val="-3"/>
                <w:sz w:val="18"/>
                <w:szCs w:val="18"/>
              </w:rPr>
              <w:t>GB</w:t>
            </w:r>
            <w:r>
              <w:rPr>
                <w:rFonts w:ascii="黑体" w:hAnsi="黑体" w:eastAsia="黑体" w:cs="Calibri"/>
                <w:spacing w:val="12"/>
                <w:sz w:val="18"/>
                <w:szCs w:val="18"/>
              </w:rPr>
              <w:t xml:space="preserve"> </w:t>
            </w:r>
            <w:r>
              <w:rPr>
                <w:rFonts w:ascii="黑体" w:hAnsi="黑体" w:eastAsia="黑体" w:cs="Calibri"/>
                <w:sz w:val="18"/>
                <w:szCs w:val="18"/>
              </w:rPr>
              <w:t>8624-2012</w:t>
            </w:r>
            <w:r>
              <w:rPr>
                <w:rFonts w:hint="eastAsia" w:ascii="黑体" w:hAnsi="黑体" w:eastAsia="黑体"/>
                <w:spacing w:val="3"/>
                <w:sz w:val="18"/>
                <w:szCs w:val="18"/>
              </w:rPr>
              <w:t>《建筑材料及制品燃烧性能分级》标</w:t>
            </w:r>
            <w:r>
              <w:rPr>
                <w:rFonts w:hint="eastAsia" w:ascii="黑体" w:hAnsi="黑体" w:eastAsia="黑体"/>
                <w:spacing w:val="10"/>
                <w:position w:val="2"/>
                <w:sz w:val="18"/>
                <w:szCs w:val="18"/>
              </w:rPr>
              <w:t>准，达到</w:t>
            </w:r>
            <w:r>
              <w:rPr>
                <w:rFonts w:ascii="黑体" w:hAnsi="黑体" w:eastAsia="黑体" w:cs="Calibri"/>
                <w:position w:val="2"/>
                <w:sz w:val="18"/>
                <w:szCs w:val="18"/>
              </w:rPr>
              <w:t>A1</w:t>
            </w:r>
            <w:r>
              <w:rPr>
                <w:rFonts w:ascii="黑体" w:hAnsi="黑体" w:eastAsia="黑体" w:cs="Calibri"/>
                <w:sz w:val="18"/>
                <w:szCs w:val="18"/>
              </w:rPr>
              <w:t>f1</w:t>
            </w:r>
            <w:r>
              <w:rPr>
                <w:rFonts w:ascii="黑体" w:hAnsi="黑体" w:eastAsia="黑体" w:cs="Calibri"/>
                <w:spacing w:val="3"/>
                <w:sz w:val="18"/>
                <w:szCs w:val="18"/>
              </w:rPr>
              <w:t xml:space="preserve"> </w:t>
            </w:r>
            <w:r>
              <w:rPr>
                <w:rFonts w:hint="eastAsia" w:ascii="黑体" w:hAnsi="黑体" w:eastAsia="黑体"/>
                <w:spacing w:val="-5"/>
                <w:position w:val="2"/>
                <w:sz w:val="18"/>
                <w:szCs w:val="18"/>
              </w:rPr>
              <w:t>级不燃材料防火等级要求；</w:t>
            </w:r>
          </w:p>
          <w:p w14:paraId="00987065">
            <w:pPr>
              <w:pStyle w:val="132"/>
              <w:numPr>
                <w:ilvl w:val="0"/>
                <w:numId w:val="137"/>
              </w:numPr>
              <w:tabs>
                <w:tab w:val="left" w:pos="381"/>
              </w:tabs>
              <w:kinsoku w:val="0"/>
              <w:overflowPunct w:val="0"/>
              <w:spacing w:line="229" w:lineRule="exact"/>
              <w:ind w:hanging="276"/>
              <w:rPr>
                <w:rFonts w:ascii="黑体" w:hAnsi="黑体" w:eastAsia="黑体"/>
                <w:sz w:val="18"/>
                <w:szCs w:val="18"/>
              </w:rPr>
            </w:pPr>
            <w:r>
              <w:rPr>
                <w:rFonts w:hint="eastAsia" w:ascii="黑体" w:hAnsi="黑体" w:eastAsia="黑体"/>
                <w:spacing w:val="-5"/>
                <w:sz w:val="18"/>
                <w:szCs w:val="18"/>
              </w:rPr>
              <w:t>通孔率要求：可提供通风率≥</w:t>
            </w:r>
            <w:r>
              <w:rPr>
                <w:rFonts w:ascii="黑体" w:hAnsi="黑体" w:eastAsia="黑体" w:cs="Calibri"/>
                <w:sz w:val="18"/>
                <w:szCs w:val="18"/>
              </w:rPr>
              <w:t>25%</w:t>
            </w:r>
            <w:r>
              <w:rPr>
                <w:rFonts w:hint="eastAsia" w:ascii="黑体" w:hAnsi="黑体" w:eastAsia="黑体" w:cs="Calibri"/>
                <w:sz w:val="18"/>
                <w:szCs w:val="18"/>
              </w:rPr>
              <w:t>，</w:t>
            </w:r>
            <w:r>
              <w:rPr>
                <w:rFonts w:hint="eastAsia" w:ascii="黑体" w:hAnsi="黑体" w:eastAsia="黑体"/>
                <w:spacing w:val="-5"/>
                <w:sz w:val="18"/>
                <w:szCs w:val="18"/>
              </w:rPr>
              <w:t>可提供通风率≥</w:t>
            </w:r>
            <w:r>
              <w:rPr>
                <w:rFonts w:ascii="黑体" w:hAnsi="黑体" w:eastAsia="黑体" w:cs="Calibri"/>
                <w:sz w:val="18"/>
                <w:szCs w:val="18"/>
              </w:rPr>
              <w:t>50%</w:t>
            </w:r>
            <w:r>
              <w:rPr>
                <w:rFonts w:hint="eastAsia" w:ascii="黑体" w:hAnsi="黑体" w:eastAsia="黑体"/>
                <w:sz w:val="18"/>
                <w:szCs w:val="18"/>
              </w:rPr>
              <w:t>；</w:t>
            </w:r>
          </w:p>
          <w:p w14:paraId="119AB843">
            <w:pPr>
              <w:pStyle w:val="132"/>
              <w:numPr>
                <w:ilvl w:val="0"/>
                <w:numId w:val="137"/>
              </w:numPr>
              <w:tabs>
                <w:tab w:val="left" w:pos="389"/>
              </w:tabs>
              <w:kinsoku w:val="0"/>
              <w:overflowPunct w:val="0"/>
              <w:spacing w:line="230" w:lineRule="exact"/>
              <w:ind w:left="105" w:right="97" w:firstLine="0"/>
              <w:rPr>
                <w:rFonts w:ascii="黑体" w:hAnsi="黑体" w:eastAsia="黑体"/>
                <w:sz w:val="18"/>
                <w:szCs w:val="18"/>
              </w:rPr>
            </w:pPr>
            <w:r>
              <w:rPr>
                <w:rFonts w:hint="eastAsia" w:ascii="黑体" w:hAnsi="黑体" w:eastAsia="黑体"/>
                <w:sz w:val="18"/>
                <w:szCs w:val="18"/>
              </w:rPr>
              <w:t>通风地板可与普通防静电地板、玻璃地板任意进行互换安装。</w:t>
            </w:r>
          </w:p>
          <w:p w14:paraId="4CABA54A">
            <w:pPr>
              <w:pStyle w:val="132"/>
              <w:numPr>
                <w:ilvl w:val="0"/>
                <w:numId w:val="137"/>
              </w:numPr>
              <w:tabs>
                <w:tab w:val="left" w:pos="389"/>
              </w:tabs>
              <w:kinsoku w:val="0"/>
              <w:overflowPunct w:val="0"/>
              <w:spacing w:line="230" w:lineRule="exact"/>
              <w:ind w:left="105" w:right="97" w:firstLine="0"/>
              <w:rPr>
                <w:rFonts w:ascii="黑体" w:hAnsi="黑体" w:eastAsia="黑体"/>
                <w:sz w:val="18"/>
                <w:szCs w:val="18"/>
              </w:rPr>
            </w:pPr>
            <w:r>
              <w:rPr>
                <w:rFonts w:ascii="黑体" w:hAnsi="黑体" w:eastAsia="黑体"/>
                <w:spacing w:val="-4"/>
                <w:sz w:val="18"/>
                <w:szCs w:val="18"/>
              </w:rPr>
              <w:t>25%</w:t>
            </w:r>
            <w:r>
              <w:rPr>
                <w:rFonts w:hint="eastAsia" w:ascii="黑体" w:hAnsi="黑体" w:eastAsia="黑体"/>
                <w:spacing w:val="-4"/>
                <w:sz w:val="18"/>
                <w:szCs w:val="18"/>
              </w:rPr>
              <w:t>孔板面材料采用</w:t>
            </w:r>
            <w:r>
              <w:rPr>
                <w:rFonts w:ascii="黑体" w:hAnsi="黑体" w:eastAsia="黑体"/>
                <w:spacing w:val="-4"/>
                <w:sz w:val="18"/>
                <w:szCs w:val="18"/>
              </w:rPr>
              <w:t xml:space="preserve"> </w:t>
            </w:r>
            <w:r>
              <w:rPr>
                <w:rFonts w:ascii="黑体" w:hAnsi="黑体" w:eastAsia="黑体" w:cs="Calibri"/>
                <w:sz w:val="18"/>
                <w:szCs w:val="18"/>
              </w:rPr>
              <w:t>2.0</w:t>
            </w:r>
            <w:r>
              <w:rPr>
                <w:rFonts w:ascii="黑体" w:hAnsi="黑体" w:eastAsia="黑体" w:cs="Calibri"/>
                <w:spacing w:val="1"/>
                <w:sz w:val="18"/>
                <w:szCs w:val="18"/>
              </w:rPr>
              <w:t xml:space="preserve"> </w:t>
            </w:r>
            <w:r>
              <w:rPr>
                <w:rFonts w:hint="eastAsia" w:ascii="黑体" w:hAnsi="黑体" w:eastAsia="黑体"/>
                <w:spacing w:val="-6"/>
                <w:sz w:val="18"/>
                <w:szCs w:val="18"/>
              </w:rPr>
              <w:t>厚的</w:t>
            </w:r>
            <w:r>
              <w:rPr>
                <w:rFonts w:ascii="黑体" w:hAnsi="黑体" w:eastAsia="黑体"/>
                <w:spacing w:val="-6"/>
                <w:sz w:val="18"/>
                <w:szCs w:val="18"/>
              </w:rPr>
              <w:t xml:space="preserve"> </w:t>
            </w:r>
            <w:r>
              <w:rPr>
                <w:rFonts w:ascii="黑体" w:hAnsi="黑体" w:eastAsia="黑体" w:cs="Calibri"/>
                <w:spacing w:val="-3"/>
                <w:sz w:val="18"/>
                <w:szCs w:val="18"/>
              </w:rPr>
              <w:t>PVC</w:t>
            </w:r>
            <w:r>
              <w:rPr>
                <w:rFonts w:hint="eastAsia" w:ascii="黑体" w:hAnsi="黑体" w:eastAsia="黑体"/>
                <w:spacing w:val="-5"/>
                <w:sz w:val="18"/>
                <w:szCs w:val="18"/>
              </w:rPr>
              <w:t>，其电阻值在</w:t>
            </w:r>
            <w:r>
              <w:rPr>
                <w:rFonts w:ascii="黑体" w:hAnsi="黑体" w:eastAsia="黑体"/>
                <w:spacing w:val="-5"/>
                <w:sz w:val="18"/>
                <w:szCs w:val="18"/>
              </w:rPr>
              <w:t xml:space="preserve"> </w:t>
            </w:r>
            <w:r>
              <w:rPr>
                <w:rFonts w:ascii="黑体" w:hAnsi="黑体" w:eastAsia="黑体" w:cs="Calibri"/>
                <w:sz w:val="18"/>
                <w:szCs w:val="18"/>
              </w:rPr>
              <w:t>1.0X10</w:t>
            </w:r>
            <w:r>
              <w:rPr>
                <w:rFonts w:ascii="黑体" w:hAnsi="黑体" w:eastAsia="黑体" w:cs="Calibri"/>
                <w:position w:val="5"/>
                <w:sz w:val="18"/>
                <w:szCs w:val="18"/>
              </w:rPr>
              <w:t>6</w:t>
            </w:r>
            <w:r>
              <w:rPr>
                <w:rFonts w:hint="eastAsia" w:ascii="黑体" w:hAnsi="黑体" w:eastAsia="黑体"/>
                <w:sz w:val="18"/>
                <w:szCs w:val="18"/>
              </w:rPr>
              <w:t>Ω</w:t>
            </w:r>
            <w:r>
              <w:rPr>
                <w:rFonts w:ascii="黑体" w:hAnsi="黑体" w:eastAsia="黑体" w:cs="Calibri"/>
                <w:sz w:val="18"/>
                <w:szCs w:val="18"/>
              </w:rPr>
              <w:t>~1.0X10</w:t>
            </w:r>
            <w:r>
              <w:rPr>
                <w:rFonts w:ascii="黑体" w:hAnsi="黑体" w:eastAsia="黑体" w:cs="Calibri"/>
                <w:position w:val="5"/>
                <w:sz w:val="18"/>
                <w:szCs w:val="18"/>
              </w:rPr>
              <w:t>9</w:t>
            </w:r>
            <w:r>
              <w:rPr>
                <w:rFonts w:hint="eastAsia" w:ascii="黑体" w:hAnsi="黑体" w:eastAsia="黑体"/>
                <w:sz w:val="18"/>
                <w:szCs w:val="18"/>
              </w:rPr>
              <w:t>Ω。</w:t>
            </w:r>
          </w:p>
        </w:tc>
        <w:tc>
          <w:tcPr>
            <w:tcW w:w="1278" w:type="dxa"/>
            <w:tcBorders>
              <w:top w:val="single" w:color="000000" w:sz="4" w:space="0"/>
              <w:left w:val="single" w:color="000000" w:sz="4" w:space="0"/>
              <w:bottom w:val="single" w:color="000000" w:sz="4" w:space="0"/>
              <w:right w:val="single" w:color="000000" w:sz="4" w:space="0"/>
            </w:tcBorders>
          </w:tcPr>
          <w:p w14:paraId="6F460648">
            <w:pPr>
              <w:pStyle w:val="132"/>
              <w:kinsoku w:val="0"/>
              <w:overflowPunct w:val="0"/>
              <w:rPr>
                <w:rFonts w:ascii="黑体" w:hAnsi="黑体" w:eastAsia="黑体"/>
                <w:b/>
                <w:bCs/>
                <w:sz w:val="18"/>
                <w:szCs w:val="18"/>
              </w:rPr>
            </w:pPr>
          </w:p>
          <w:p w14:paraId="71F5D27A">
            <w:pPr>
              <w:pStyle w:val="132"/>
              <w:kinsoku w:val="0"/>
              <w:overflowPunct w:val="0"/>
              <w:spacing w:before="8"/>
              <w:rPr>
                <w:rFonts w:ascii="黑体" w:hAnsi="黑体" w:eastAsia="黑体"/>
                <w:b/>
                <w:bCs/>
                <w:sz w:val="18"/>
                <w:szCs w:val="18"/>
              </w:rPr>
            </w:pPr>
          </w:p>
          <w:p w14:paraId="4B9FC57F">
            <w:pPr>
              <w:pStyle w:val="132"/>
              <w:kinsoku w:val="0"/>
              <w:overflowPunct w:val="0"/>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185D5F7F">
            <w:pPr>
              <w:pStyle w:val="132"/>
              <w:kinsoku w:val="0"/>
              <w:overflowPunct w:val="0"/>
              <w:spacing w:before="5"/>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4D4CD9AA">
            <w:pPr>
              <w:pStyle w:val="132"/>
              <w:kinsoku w:val="0"/>
              <w:overflowPunct w:val="0"/>
              <w:rPr>
                <w:rFonts w:ascii="黑体" w:hAnsi="黑体" w:eastAsia="黑体" w:cs="Times New Roman"/>
                <w:sz w:val="18"/>
                <w:szCs w:val="18"/>
              </w:rPr>
            </w:pPr>
          </w:p>
        </w:tc>
      </w:tr>
      <w:tr w14:paraId="2B114090">
        <w:tblPrEx>
          <w:tblCellMar>
            <w:top w:w="0" w:type="dxa"/>
            <w:left w:w="0" w:type="dxa"/>
            <w:bottom w:w="0" w:type="dxa"/>
            <w:right w:w="0" w:type="dxa"/>
          </w:tblCellMar>
        </w:tblPrEx>
        <w:trPr>
          <w:trHeight w:val="1132" w:hRule="atLeast"/>
        </w:trPr>
        <w:tc>
          <w:tcPr>
            <w:tcW w:w="725" w:type="dxa"/>
            <w:tcBorders>
              <w:top w:val="single" w:color="000000" w:sz="4" w:space="0"/>
              <w:left w:val="single" w:color="000000" w:sz="4" w:space="0"/>
              <w:bottom w:val="single" w:color="000000" w:sz="4" w:space="0"/>
              <w:right w:val="single" w:color="000000" w:sz="4" w:space="0"/>
            </w:tcBorders>
          </w:tcPr>
          <w:p w14:paraId="1A49C4B3">
            <w:pPr>
              <w:pStyle w:val="132"/>
              <w:kinsoku w:val="0"/>
              <w:overflowPunct w:val="0"/>
              <w:rPr>
                <w:rFonts w:ascii="黑体" w:hAnsi="黑体" w:eastAsia="黑体"/>
                <w:b/>
                <w:bCs/>
                <w:sz w:val="18"/>
                <w:szCs w:val="18"/>
              </w:rPr>
            </w:pPr>
          </w:p>
          <w:p w14:paraId="1500EF71">
            <w:pPr>
              <w:pStyle w:val="132"/>
              <w:kinsoku w:val="0"/>
              <w:overflowPunct w:val="0"/>
              <w:rPr>
                <w:rFonts w:ascii="黑体" w:hAnsi="黑体" w:eastAsia="黑体"/>
                <w:b/>
                <w:bCs/>
                <w:sz w:val="18"/>
                <w:szCs w:val="18"/>
              </w:rPr>
            </w:pPr>
          </w:p>
          <w:p w14:paraId="718A3F04">
            <w:pPr>
              <w:pStyle w:val="132"/>
              <w:kinsoku w:val="0"/>
              <w:overflowPunct w:val="0"/>
              <w:ind w:left="158" w:right="62"/>
              <w:rPr>
                <w:rFonts w:ascii="黑体" w:hAnsi="黑体" w:eastAsia="黑体"/>
                <w:sz w:val="18"/>
                <w:szCs w:val="18"/>
              </w:rPr>
            </w:pPr>
            <w:r>
              <w:rPr>
                <w:rFonts w:ascii="黑体" w:hAnsi="黑体" w:eastAsia="黑体"/>
                <w:sz w:val="18"/>
                <w:szCs w:val="18"/>
              </w:rPr>
              <w:t xml:space="preserve">3.2 </w:t>
            </w:r>
          </w:p>
        </w:tc>
        <w:tc>
          <w:tcPr>
            <w:tcW w:w="1277" w:type="dxa"/>
            <w:tcBorders>
              <w:top w:val="single" w:color="000000" w:sz="4" w:space="0"/>
              <w:left w:val="single" w:color="000000" w:sz="4" w:space="0"/>
              <w:bottom w:val="single" w:color="000000" w:sz="4" w:space="0"/>
              <w:right w:val="single" w:color="000000" w:sz="4" w:space="0"/>
            </w:tcBorders>
          </w:tcPr>
          <w:p w14:paraId="429F4C53">
            <w:pPr>
              <w:pStyle w:val="132"/>
              <w:kinsoku w:val="0"/>
              <w:overflowPunct w:val="0"/>
              <w:spacing w:before="112" w:line="244" w:lineRule="auto"/>
              <w:ind w:left="105" w:right="55"/>
              <w:rPr>
                <w:rFonts w:ascii="黑体" w:hAnsi="黑体" w:eastAsia="黑体"/>
                <w:sz w:val="18"/>
                <w:szCs w:val="18"/>
              </w:rPr>
            </w:pPr>
            <w:r>
              <w:rPr>
                <w:rFonts w:hint="eastAsia" w:ascii="黑体" w:hAnsi="黑体" w:eastAsia="黑体"/>
                <w:spacing w:val="30"/>
                <w:sz w:val="18"/>
                <w:szCs w:val="18"/>
              </w:rPr>
              <w:t>地板载荷性</w:t>
            </w:r>
            <w:r>
              <w:rPr>
                <w:rFonts w:hint="eastAsia" w:ascii="黑体" w:hAnsi="黑体" w:eastAsia="黑体"/>
                <w:spacing w:val="52"/>
                <w:sz w:val="18"/>
                <w:szCs w:val="18"/>
              </w:rPr>
              <w:t>能要求</w:t>
            </w:r>
            <w:r>
              <w:rPr>
                <w:rFonts w:hint="eastAsia" w:ascii="黑体" w:hAnsi="黑体" w:eastAsia="黑体"/>
                <w:sz w:val="18"/>
                <w:szCs w:val="18"/>
              </w:rPr>
              <w:t>（</w:t>
            </w:r>
            <w:r>
              <w:rPr>
                <w:rFonts w:ascii="黑体" w:hAnsi="黑体" w:eastAsia="黑体"/>
                <w:sz w:val="18"/>
                <w:szCs w:val="18"/>
              </w:rPr>
              <w:t xml:space="preserve"> </w:t>
            </w:r>
            <w:r>
              <w:rPr>
                <w:rFonts w:ascii="黑体" w:hAnsi="黑体" w:eastAsia="黑体" w:cs="Calibri"/>
                <w:sz w:val="18"/>
                <w:szCs w:val="18"/>
              </w:rPr>
              <w:t xml:space="preserve">Z </w:t>
            </w:r>
            <w:r>
              <w:rPr>
                <w:rFonts w:hint="eastAsia" w:ascii="黑体" w:hAnsi="黑体" w:eastAsia="黑体"/>
                <w:spacing w:val="-2"/>
                <w:sz w:val="18"/>
                <w:szCs w:val="18"/>
              </w:rPr>
              <w:t>型承载</w:t>
            </w:r>
            <w:r>
              <w:rPr>
                <w:rFonts w:hint="eastAsia" w:ascii="黑体" w:hAnsi="黑体" w:eastAsia="黑体"/>
                <w:sz w:val="18"/>
                <w:szCs w:val="18"/>
              </w:rPr>
              <w:t>）</w:t>
            </w:r>
          </w:p>
        </w:tc>
        <w:tc>
          <w:tcPr>
            <w:tcW w:w="5104" w:type="dxa"/>
            <w:gridSpan w:val="2"/>
            <w:tcBorders>
              <w:top w:val="single" w:color="000000" w:sz="4" w:space="0"/>
              <w:left w:val="single" w:color="000000" w:sz="4" w:space="0"/>
              <w:bottom w:val="single" w:color="000000" w:sz="4" w:space="0"/>
              <w:right w:val="single" w:color="000000" w:sz="4" w:space="0"/>
            </w:tcBorders>
          </w:tcPr>
          <w:p w14:paraId="28286DBC">
            <w:pPr>
              <w:pStyle w:val="132"/>
              <w:numPr>
                <w:ilvl w:val="0"/>
                <w:numId w:val="138"/>
              </w:numPr>
              <w:tabs>
                <w:tab w:val="left" w:pos="466"/>
              </w:tabs>
              <w:kinsoku w:val="0"/>
              <w:overflowPunct w:val="0"/>
              <w:spacing w:line="228" w:lineRule="exact"/>
              <w:ind w:hanging="361"/>
              <w:rPr>
                <w:rFonts w:ascii="黑体" w:hAnsi="黑体" w:eastAsia="黑体"/>
                <w:spacing w:val="-3"/>
                <w:sz w:val="18"/>
                <w:szCs w:val="18"/>
              </w:rPr>
            </w:pPr>
            <w:r>
              <w:rPr>
                <w:rFonts w:hint="eastAsia" w:ascii="黑体" w:hAnsi="黑体" w:eastAsia="黑体"/>
                <w:spacing w:val="-3"/>
                <w:sz w:val="18"/>
                <w:szCs w:val="18"/>
              </w:rPr>
              <w:t>集中载荷≥</w:t>
            </w:r>
            <w:r>
              <w:rPr>
                <w:rFonts w:ascii="黑体" w:hAnsi="黑体" w:eastAsia="黑体" w:cs="Calibri"/>
                <w:sz w:val="18"/>
                <w:szCs w:val="18"/>
              </w:rPr>
              <w:t>5560N</w:t>
            </w:r>
            <w:r>
              <w:rPr>
                <w:rFonts w:hint="eastAsia" w:ascii="黑体" w:hAnsi="黑体" w:eastAsia="黑体"/>
                <w:spacing w:val="-3"/>
                <w:sz w:val="18"/>
                <w:szCs w:val="18"/>
              </w:rPr>
              <w:t>，挠度≤</w:t>
            </w:r>
            <w:r>
              <w:rPr>
                <w:rFonts w:ascii="黑体" w:hAnsi="黑体" w:eastAsia="黑体" w:cs="Calibri"/>
                <w:spacing w:val="-3"/>
                <w:sz w:val="18"/>
                <w:szCs w:val="18"/>
              </w:rPr>
              <w:t>2mm</w:t>
            </w:r>
            <w:r>
              <w:rPr>
                <w:rFonts w:hint="eastAsia" w:ascii="黑体" w:hAnsi="黑体" w:eastAsia="黑体"/>
                <w:spacing w:val="-4"/>
                <w:sz w:val="18"/>
                <w:szCs w:val="18"/>
              </w:rPr>
              <w:t>，永久变形≤</w:t>
            </w:r>
            <w:r>
              <w:rPr>
                <w:rFonts w:ascii="黑体" w:hAnsi="黑体" w:eastAsia="黑体" w:cs="Calibri"/>
                <w:spacing w:val="-3"/>
                <w:sz w:val="18"/>
                <w:szCs w:val="18"/>
              </w:rPr>
              <w:t>0.25mm</w:t>
            </w:r>
            <w:r>
              <w:rPr>
                <w:rFonts w:hint="eastAsia" w:ascii="黑体" w:hAnsi="黑体" w:eastAsia="黑体"/>
                <w:spacing w:val="-3"/>
                <w:sz w:val="18"/>
                <w:szCs w:val="18"/>
              </w:rPr>
              <w:t>；</w:t>
            </w:r>
          </w:p>
          <w:p w14:paraId="0F03D44C">
            <w:pPr>
              <w:pStyle w:val="132"/>
              <w:numPr>
                <w:ilvl w:val="0"/>
                <w:numId w:val="138"/>
              </w:numPr>
              <w:tabs>
                <w:tab w:val="left" w:pos="466"/>
              </w:tabs>
              <w:kinsoku w:val="0"/>
              <w:overflowPunct w:val="0"/>
              <w:spacing w:before="5" w:line="231" w:lineRule="exact"/>
              <w:ind w:hanging="361"/>
              <w:rPr>
                <w:rFonts w:ascii="黑体" w:hAnsi="黑体" w:eastAsia="黑体"/>
                <w:spacing w:val="-3"/>
                <w:sz w:val="18"/>
                <w:szCs w:val="18"/>
              </w:rPr>
            </w:pPr>
            <w:r>
              <w:rPr>
                <w:rFonts w:hint="eastAsia" w:ascii="黑体" w:hAnsi="黑体" w:eastAsia="黑体"/>
                <w:spacing w:val="-3"/>
                <w:sz w:val="18"/>
                <w:szCs w:val="18"/>
              </w:rPr>
              <w:t>滚动载荷≥</w:t>
            </w:r>
            <w:r>
              <w:rPr>
                <w:rFonts w:ascii="黑体" w:hAnsi="黑体" w:eastAsia="黑体" w:cs="Calibri"/>
                <w:sz w:val="18"/>
                <w:szCs w:val="18"/>
              </w:rPr>
              <w:t>4450N</w:t>
            </w:r>
            <w:r>
              <w:rPr>
                <w:rFonts w:hint="eastAsia" w:ascii="黑体" w:hAnsi="黑体" w:eastAsia="黑体"/>
                <w:spacing w:val="-3"/>
                <w:sz w:val="18"/>
                <w:szCs w:val="18"/>
              </w:rPr>
              <w:t>，挠度≤</w:t>
            </w:r>
            <w:r>
              <w:rPr>
                <w:rFonts w:ascii="黑体" w:hAnsi="黑体" w:eastAsia="黑体" w:cs="Calibri"/>
                <w:spacing w:val="-3"/>
                <w:sz w:val="18"/>
                <w:szCs w:val="18"/>
              </w:rPr>
              <w:t>2mm</w:t>
            </w:r>
            <w:r>
              <w:rPr>
                <w:rFonts w:hint="eastAsia" w:ascii="黑体" w:hAnsi="黑体" w:eastAsia="黑体"/>
                <w:spacing w:val="-4"/>
                <w:sz w:val="18"/>
                <w:szCs w:val="18"/>
              </w:rPr>
              <w:t>，永久变形≤</w:t>
            </w:r>
            <w:r>
              <w:rPr>
                <w:rFonts w:ascii="黑体" w:hAnsi="黑体" w:eastAsia="黑体" w:cs="Calibri"/>
                <w:spacing w:val="-3"/>
                <w:sz w:val="18"/>
                <w:szCs w:val="18"/>
              </w:rPr>
              <w:t>0.5mm</w:t>
            </w:r>
            <w:r>
              <w:rPr>
                <w:rFonts w:hint="eastAsia" w:ascii="黑体" w:hAnsi="黑体" w:eastAsia="黑体"/>
                <w:spacing w:val="-3"/>
                <w:sz w:val="18"/>
                <w:szCs w:val="18"/>
              </w:rPr>
              <w:t>；</w:t>
            </w:r>
          </w:p>
          <w:p w14:paraId="24E81C04">
            <w:pPr>
              <w:pStyle w:val="132"/>
              <w:kinsoku w:val="0"/>
              <w:overflowPunct w:val="0"/>
              <w:ind w:left="105"/>
              <w:rPr>
                <w:rFonts w:ascii="黑体" w:hAnsi="黑体" w:eastAsia="黑体"/>
                <w:sz w:val="18"/>
                <w:szCs w:val="18"/>
              </w:rPr>
            </w:pPr>
            <w:r>
              <w:rPr>
                <w:rFonts w:ascii="黑体" w:hAnsi="黑体" w:eastAsia="黑体" w:cs="Calibri"/>
                <w:sz w:val="18"/>
                <w:szCs w:val="18"/>
              </w:rPr>
              <w:t>3</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均布载荷≥</w:t>
            </w:r>
            <w:r>
              <w:rPr>
                <w:rFonts w:ascii="黑体" w:hAnsi="黑体" w:eastAsia="黑体" w:cs="Calibri"/>
                <w:sz w:val="18"/>
                <w:szCs w:val="18"/>
              </w:rPr>
              <w:t>33000N/m</w:t>
            </w:r>
            <w:r>
              <w:rPr>
                <w:rFonts w:ascii="黑体" w:hAnsi="黑体" w:eastAsia="黑体" w:cs="Calibri"/>
                <w:position w:val="5"/>
                <w:sz w:val="18"/>
                <w:szCs w:val="18"/>
              </w:rPr>
              <w:t>2</w:t>
            </w:r>
            <w:r>
              <w:rPr>
                <w:rFonts w:hint="eastAsia" w:ascii="黑体" w:hAnsi="黑体" w:eastAsia="黑体"/>
                <w:sz w:val="18"/>
                <w:szCs w:val="18"/>
              </w:rPr>
              <w:t>，挠度≤</w:t>
            </w:r>
            <w:r>
              <w:rPr>
                <w:rFonts w:ascii="黑体" w:hAnsi="黑体" w:eastAsia="黑体" w:cs="Calibri"/>
                <w:sz w:val="18"/>
                <w:szCs w:val="18"/>
              </w:rPr>
              <w:t>2mm</w:t>
            </w:r>
            <w:r>
              <w:rPr>
                <w:rFonts w:hint="eastAsia" w:ascii="黑体" w:hAnsi="黑体" w:eastAsia="黑体"/>
                <w:sz w:val="18"/>
                <w:szCs w:val="18"/>
              </w:rPr>
              <w:t>；</w:t>
            </w:r>
          </w:p>
          <w:p w14:paraId="34F70E3C">
            <w:pPr>
              <w:pStyle w:val="132"/>
              <w:kinsoku w:val="0"/>
              <w:overflowPunct w:val="0"/>
              <w:spacing w:before="4"/>
              <w:ind w:left="105"/>
              <w:rPr>
                <w:rFonts w:ascii="黑体" w:hAnsi="黑体" w:eastAsia="黑体" w:cs="Calibri"/>
                <w:sz w:val="18"/>
                <w:szCs w:val="18"/>
              </w:rPr>
            </w:pPr>
            <w:r>
              <w:rPr>
                <w:rFonts w:ascii="黑体" w:hAnsi="黑体" w:eastAsia="黑体" w:cs="Calibri"/>
                <w:sz w:val="18"/>
                <w:szCs w:val="18"/>
              </w:rPr>
              <w:t>4</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集中极限载荷≥</w:t>
            </w:r>
            <w:r>
              <w:rPr>
                <w:rFonts w:ascii="黑体" w:hAnsi="黑体" w:eastAsia="黑体" w:cs="Calibri"/>
                <w:sz w:val="18"/>
                <w:szCs w:val="18"/>
              </w:rPr>
              <w:t>16680N</w:t>
            </w:r>
          </w:p>
        </w:tc>
        <w:tc>
          <w:tcPr>
            <w:tcW w:w="1278" w:type="dxa"/>
            <w:tcBorders>
              <w:top w:val="single" w:color="000000" w:sz="4" w:space="0"/>
              <w:left w:val="single" w:color="000000" w:sz="4" w:space="0"/>
              <w:bottom w:val="single" w:color="000000" w:sz="4" w:space="0"/>
              <w:right w:val="single" w:color="000000" w:sz="4" w:space="0"/>
            </w:tcBorders>
          </w:tcPr>
          <w:p w14:paraId="76DC5775">
            <w:pPr>
              <w:pStyle w:val="132"/>
              <w:kinsoku w:val="0"/>
              <w:overflowPunct w:val="0"/>
              <w:spacing w:before="2"/>
              <w:rPr>
                <w:rFonts w:ascii="黑体" w:hAnsi="黑体" w:eastAsia="黑体"/>
                <w:b/>
                <w:bCs/>
                <w:sz w:val="18"/>
                <w:szCs w:val="18"/>
              </w:rPr>
            </w:pPr>
          </w:p>
          <w:p w14:paraId="75752D1A">
            <w:pPr>
              <w:pStyle w:val="132"/>
              <w:kinsoku w:val="0"/>
              <w:overflowPunct w:val="0"/>
              <w:spacing w:line="231" w:lineRule="exact"/>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7A38F7D7">
            <w:pPr>
              <w:pStyle w:val="132"/>
              <w:kinsoku w:val="0"/>
              <w:overflowPunct w:val="0"/>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0C2FF52A">
            <w:pPr>
              <w:pStyle w:val="132"/>
              <w:kinsoku w:val="0"/>
              <w:overflowPunct w:val="0"/>
              <w:rPr>
                <w:rFonts w:ascii="黑体" w:hAnsi="黑体" w:eastAsia="黑体" w:cs="Times New Roman"/>
                <w:sz w:val="18"/>
                <w:szCs w:val="18"/>
              </w:rPr>
            </w:pPr>
          </w:p>
        </w:tc>
      </w:tr>
      <w:tr w14:paraId="17F60448">
        <w:tblPrEx>
          <w:tblCellMar>
            <w:top w:w="0" w:type="dxa"/>
            <w:left w:w="0" w:type="dxa"/>
            <w:bottom w:w="0" w:type="dxa"/>
            <w:right w:w="0" w:type="dxa"/>
          </w:tblCellMar>
        </w:tblPrEx>
        <w:trPr>
          <w:trHeight w:val="666" w:hRule="atLeast"/>
        </w:trPr>
        <w:tc>
          <w:tcPr>
            <w:tcW w:w="725" w:type="dxa"/>
            <w:tcBorders>
              <w:top w:val="single" w:color="000000" w:sz="4" w:space="0"/>
              <w:left w:val="single" w:color="000000" w:sz="4" w:space="0"/>
              <w:bottom w:val="single" w:color="000000" w:sz="4" w:space="0"/>
              <w:right w:val="single" w:color="000000" w:sz="4" w:space="0"/>
            </w:tcBorders>
          </w:tcPr>
          <w:p w14:paraId="1E3A96A3">
            <w:pPr>
              <w:pStyle w:val="132"/>
              <w:kinsoku w:val="0"/>
              <w:overflowPunct w:val="0"/>
              <w:spacing w:before="8"/>
              <w:rPr>
                <w:rFonts w:ascii="黑体" w:hAnsi="黑体" w:eastAsia="黑体"/>
                <w:b/>
                <w:bCs/>
                <w:sz w:val="18"/>
                <w:szCs w:val="18"/>
              </w:rPr>
            </w:pPr>
          </w:p>
          <w:p w14:paraId="28B24B53">
            <w:pPr>
              <w:pStyle w:val="132"/>
              <w:kinsoku w:val="0"/>
              <w:overflowPunct w:val="0"/>
              <w:ind w:left="158" w:right="62"/>
              <w:rPr>
                <w:rFonts w:ascii="黑体" w:hAnsi="黑体" w:eastAsia="黑体"/>
                <w:sz w:val="18"/>
                <w:szCs w:val="18"/>
              </w:rPr>
            </w:pPr>
            <w:r>
              <w:rPr>
                <w:rFonts w:ascii="黑体" w:hAnsi="黑体" w:eastAsia="黑体"/>
                <w:sz w:val="18"/>
                <w:szCs w:val="18"/>
              </w:rPr>
              <w:t xml:space="preserve">3.3 </w:t>
            </w:r>
          </w:p>
        </w:tc>
        <w:tc>
          <w:tcPr>
            <w:tcW w:w="1277" w:type="dxa"/>
            <w:tcBorders>
              <w:top w:val="single" w:color="000000" w:sz="4" w:space="0"/>
              <w:left w:val="single" w:color="000000" w:sz="4" w:space="0"/>
              <w:bottom w:val="single" w:color="000000" w:sz="4" w:space="0"/>
              <w:right w:val="single" w:color="000000" w:sz="4" w:space="0"/>
            </w:tcBorders>
          </w:tcPr>
          <w:p w14:paraId="2B0C9461">
            <w:pPr>
              <w:pStyle w:val="132"/>
              <w:kinsoku w:val="0"/>
              <w:overflowPunct w:val="0"/>
              <w:spacing w:line="244" w:lineRule="auto"/>
              <w:ind w:left="105" w:right="55"/>
              <w:rPr>
                <w:rFonts w:ascii="黑体" w:hAnsi="黑体" w:eastAsia="黑体"/>
                <w:sz w:val="18"/>
                <w:szCs w:val="18"/>
              </w:rPr>
            </w:pPr>
            <w:r>
              <w:rPr>
                <w:rFonts w:hint="eastAsia" w:ascii="黑体" w:hAnsi="黑体" w:eastAsia="黑体"/>
                <w:sz w:val="18"/>
                <w:szCs w:val="18"/>
              </w:rPr>
              <w:t>地板尺寸允许偏差</w:t>
            </w:r>
          </w:p>
        </w:tc>
        <w:tc>
          <w:tcPr>
            <w:tcW w:w="5104" w:type="dxa"/>
            <w:gridSpan w:val="2"/>
            <w:tcBorders>
              <w:top w:val="single" w:color="000000" w:sz="4" w:space="0"/>
              <w:left w:val="single" w:color="000000" w:sz="4" w:space="0"/>
              <w:bottom w:val="single" w:color="000000" w:sz="4" w:space="0"/>
              <w:right w:val="single" w:color="000000" w:sz="4" w:space="0"/>
            </w:tcBorders>
          </w:tcPr>
          <w:p w14:paraId="0D5F26E2">
            <w:pPr>
              <w:pStyle w:val="132"/>
              <w:kinsoku w:val="0"/>
              <w:overflowPunct w:val="0"/>
              <w:spacing w:line="244" w:lineRule="auto"/>
              <w:ind w:left="105" w:right="93"/>
              <w:rPr>
                <w:rFonts w:ascii="黑体" w:hAnsi="黑体" w:eastAsia="黑体" w:cs="Calibri"/>
                <w:sz w:val="18"/>
                <w:szCs w:val="18"/>
              </w:rPr>
            </w:pPr>
            <w:r>
              <w:rPr>
                <w:rFonts w:hint="eastAsia" w:ascii="黑体" w:hAnsi="黑体" w:eastAsia="黑体"/>
                <w:sz w:val="18"/>
                <w:szCs w:val="18"/>
              </w:rPr>
              <w:t>边长公差范围</w:t>
            </w:r>
            <w:r>
              <w:rPr>
                <w:rFonts w:ascii="黑体" w:hAnsi="黑体" w:eastAsia="黑体"/>
                <w:sz w:val="18"/>
                <w:szCs w:val="18"/>
              </w:rPr>
              <w:t xml:space="preserve"> </w:t>
            </w:r>
            <w:r>
              <w:rPr>
                <w:rFonts w:ascii="黑体" w:hAnsi="黑体" w:eastAsia="黑体" w:cs="Calibri"/>
                <w:sz w:val="18"/>
                <w:szCs w:val="18"/>
              </w:rPr>
              <w:t>0~-0.4mm</w:t>
            </w:r>
            <w:r>
              <w:rPr>
                <w:rFonts w:hint="eastAsia" w:ascii="黑体" w:hAnsi="黑体" w:eastAsia="黑体"/>
                <w:sz w:val="18"/>
                <w:szCs w:val="18"/>
              </w:rPr>
              <w:t>；板厚公差范围±</w:t>
            </w:r>
            <w:r>
              <w:rPr>
                <w:rFonts w:ascii="黑体" w:hAnsi="黑体" w:eastAsia="黑体" w:cs="Calibri"/>
                <w:sz w:val="18"/>
                <w:szCs w:val="18"/>
              </w:rPr>
              <w:t>0.3mm</w:t>
            </w:r>
            <w:r>
              <w:rPr>
                <w:rFonts w:hint="eastAsia" w:ascii="黑体" w:hAnsi="黑体" w:eastAsia="黑体"/>
                <w:sz w:val="18"/>
                <w:szCs w:val="18"/>
              </w:rPr>
              <w:t>；表面平面度≤</w:t>
            </w:r>
            <w:r>
              <w:rPr>
                <w:rFonts w:ascii="黑体" w:hAnsi="黑体" w:eastAsia="黑体" w:cs="Calibri"/>
                <w:sz w:val="18"/>
                <w:szCs w:val="18"/>
              </w:rPr>
              <w:t>0.6mm</w:t>
            </w:r>
            <w:r>
              <w:rPr>
                <w:rFonts w:hint="eastAsia" w:ascii="黑体" w:hAnsi="黑体" w:eastAsia="黑体"/>
                <w:sz w:val="18"/>
                <w:szCs w:val="18"/>
              </w:rPr>
              <w:t>；邻边垂直度≤</w:t>
            </w:r>
            <w:r>
              <w:rPr>
                <w:rFonts w:ascii="黑体" w:hAnsi="黑体" w:eastAsia="黑体" w:cs="Calibri"/>
                <w:sz w:val="18"/>
                <w:szCs w:val="18"/>
              </w:rPr>
              <w:t>0.3mm</w:t>
            </w:r>
          </w:p>
        </w:tc>
        <w:tc>
          <w:tcPr>
            <w:tcW w:w="1278" w:type="dxa"/>
            <w:tcBorders>
              <w:top w:val="single" w:color="000000" w:sz="4" w:space="0"/>
              <w:left w:val="single" w:color="000000" w:sz="4" w:space="0"/>
              <w:bottom w:val="single" w:color="000000" w:sz="4" w:space="0"/>
              <w:right w:val="single" w:color="000000" w:sz="4" w:space="0"/>
            </w:tcBorders>
          </w:tcPr>
          <w:p w14:paraId="25207D20">
            <w:pPr>
              <w:pStyle w:val="132"/>
              <w:kinsoku w:val="0"/>
              <w:overflowPunct w:val="0"/>
              <w:spacing w:line="228" w:lineRule="exact"/>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43F23CCE">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7C406FF2">
            <w:pPr>
              <w:pStyle w:val="132"/>
              <w:kinsoku w:val="0"/>
              <w:overflowPunct w:val="0"/>
              <w:rPr>
                <w:rFonts w:ascii="黑体" w:hAnsi="黑体" w:eastAsia="黑体" w:cs="Times New Roman"/>
                <w:sz w:val="18"/>
                <w:szCs w:val="18"/>
              </w:rPr>
            </w:pPr>
          </w:p>
        </w:tc>
      </w:tr>
      <w:tr w14:paraId="2207C63D">
        <w:tblPrEx>
          <w:tblCellMar>
            <w:top w:w="0" w:type="dxa"/>
            <w:left w:w="0" w:type="dxa"/>
            <w:bottom w:w="0" w:type="dxa"/>
            <w:right w:w="0" w:type="dxa"/>
          </w:tblCellMar>
        </w:tblPrEx>
        <w:trPr>
          <w:trHeight w:val="667" w:hRule="atLeast"/>
        </w:trPr>
        <w:tc>
          <w:tcPr>
            <w:tcW w:w="725" w:type="dxa"/>
            <w:tcBorders>
              <w:top w:val="single" w:color="000000" w:sz="4" w:space="0"/>
              <w:left w:val="single" w:color="000000" w:sz="4" w:space="0"/>
              <w:bottom w:val="single" w:color="000000" w:sz="4" w:space="0"/>
              <w:right w:val="single" w:color="000000" w:sz="4" w:space="0"/>
            </w:tcBorders>
          </w:tcPr>
          <w:p w14:paraId="121A8996">
            <w:pPr>
              <w:pStyle w:val="132"/>
              <w:kinsoku w:val="0"/>
              <w:overflowPunct w:val="0"/>
              <w:spacing w:before="118"/>
              <w:ind w:left="131" w:right="93"/>
              <w:rPr>
                <w:rFonts w:ascii="黑体" w:hAnsi="黑体" w:eastAsia="黑体"/>
                <w:sz w:val="18"/>
                <w:szCs w:val="18"/>
              </w:rPr>
            </w:pPr>
            <w:r>
              <w:rPr>
                <w:rFonts w:ascii="黑体" w:hAnsi="黑体" w:eastAsia="黑体"/>
                <w:sz w:val="18"/>
                <w:szCs w:val="18"/>
              </w:rPr>
              <w:t xml:space="preserve">3.4 </w:t>
            </w:r>
          </w:p>
        </w:tc>
        <w:tc>
          <w:tcPr>
            <w:tcW w:w="1277" w:type="dxa"/>
            <w:tcBorders>
              <w:top w:val="single" w:color="000000" w:sz="4" w:space="0"/>
              <w:left w:val="single" w:color="000000" w:sz="4" w:space="0"/>
              <w:bottom w:val="single" w:color="000000" w:sz="4" w:space="0"/>
              <w:right w:val="single" w:color="000000" w:sz="4" w:space="0"/>
            </w:tcBorders>
          </w:tcPr>
          <w:p w14:paraId="7A1A4E5C">
            <w:pPr>
              <w:pStyle w:val="132"/>
              <w:kinsoku w:val="0"/>
              <w:overflowPunct w:val="0"/>
              <w:spacing w:line="244" w:lineRule="auto"/>
              <w:ind w:left="105" w:right="55"/>
              <w:rPr>
                <w:rFonts w:ascii="黑体" w:hAnsi="黑体" w:eastAsia="黑体"/>
                <w:sz w:val="18"/>
                <w:szCs w:val="18"/>
              </w:rPr>
            </w:pPr>
            <w:r>
              <w:rPr>
                <w:rFonts w:hint="eastAsia" w:ascii="黑体" w:hAnsi="黑体" w:eastAsia="黑体"/>
                <w:sz w:val="18"/>
                <w:szCs w:val="18"/>
              </w:rPr>
              <w:t>地板耐冲击能要求</w:t>
            </w:r>
          </w:p>
        </w:tc>
        <w:tc>
          <w:tcPr>
            <w:tcW w:w="5104" w:type="dxa"/>
            <w:gridSpan w:val="2"/>
            <w:tcBorders>
              <w:top w:val="single" w:color="000000" w:sz="4" w:space="0"/>
              <w:left w:val="single" w:color="000000" w:sz="4" w:space="0"/>
              <w:bottom w:val="single" w:color="000000" w:sz="4" w:space="0"/>
              <w:right w:val="single" w:color="000000" w:sz="4" w:space="0"/>
            </w:tcBorders>
          </w:tcPr>
          <w:p w14:paraId="3254B34A">
            <w:pPr>
              <w:pStyle w:val="132"/>
              <w:kinsoku w:val="0"/>
              <w:overflowPunct w:val="0"/>
              <w:spacing w:line="244" w:lineRule="auto"/>
              <w:ind w:left="105" w:right="92"/>
              <w:rPr>
                <w:rFonts w:ascii="黑体" w:hAnsi="黑体" w:eastAsia="黑体"/>
                <w:sz w:val="18"/>
                <w:szCs w:val="18"/>
              </w:rPr>
            </w:pPr>
            <w:r>
              <w:rPr>
                <w:rFonts w:hint="eastAsia" w:ascii="黑体" w:hAnsi="黑体" w:eastAsia="黑体"/>
                <w:sz w:val="18"/>
                <w:szCs w:val="18"/>
              </w:rPr>
              <w:t>地板冲击性能试验后，地板板面永久变形应≤</w:t>
            </w:r>
            <w:r>
              <w:rPr>
                <w:rFonts w:ascii="黑体" w:hAnsi="黑体" w:eastAsia="黑体" w:cs="Calibri"/>
                <w:sz w:val="18"/>
                <w:szCs w:val="18"/>
              </w:rPr>
              <w:t>1.5 mm</w:t>
            </w:r>
            <w:r>
              <w:rPr>
                <w:rFonts w:hint="eastAsia" w:ascii="黑体" w:hAnsi="黑体" w:eastAsia="黑体"/>
                <w:sz w:val="18"/>
                <w:szCs w:val="18"/>
              </w:rPr>
              <w:t>，不能有破损。</w:t>
            </w:r>
          </w:p>
        </w:tc>
        <w:tc>
          <w:tcPr>
            <w:tcW w:w="1278" w:type="dxa"/>
            <w:tcBorders>
              <w:top w:val="single" w:color="000000" w:sz="4" w:space="0"/>
              <w:left w:val="single" w:color="000000" w:sz="4" w:space="0"/>
              <w:bottom w:val="single" w:color="000000" w:sz="4" w:space="0"/>
              <w:right w:val="single" w:color="000000" w:sz="4" w:space="0"/>
            </w:tcBorders>
          </w:tcPr>
          <w:p w14:paraId="721F90F0">
            <w:pPr>
              <w:pStyle w:val="132"/>
              <w:kinsoku w:val="0"/>
              <w:overflowPunct w:val="0"/>
              <w:spacing w:line="229" w:lineRule="exact"/>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1E5CBB89">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38D02C6F">
            <w:pPr>
              <w:pStyle w:val="132"/>
              <w:kinsoku w:val="0"/>
              <w:overflowPunct w:val="0"/>
              <w:rPr>
                <w:rFonts w:ascii="黑体" w:hAnsi="黑体" w:eastAsia="黑体" w:cs="Times New Roman"/>
                <w:sz w:val="18"/>
                <w:szCs w:val="18"/>
              </w:rPr>
            </w:pPr>
          </w:p>
        </w:tc>
      </w:tr>
      <w:tr w14:paraId="05519973">
        <w:tblPrEx>
          <w:tblCellMar>
            <w:top w:w="0" w:type="dxa"/>
            <w:left w:w="0" w:type="dxa"/>
            <w:bottom w:w="0" w:type="dxa"/>
            <w:right w:w="0" w:type="dxa"/>
          </w:tblCellMar>
        </w:tblPrEx>
        <w:trPr>
          <w:trHeight w:val="1171" w:hRule="atLeast"/>
        </w:trPr>
        <w:tc>
          <w:tcPr>
            <w:tcW w:w="725" w:type="dxa"/>
            <w:tcBorders>
              <w:top w:val="single" w:color="000000" w:sz="4" w:space="0"/>
              <w:left w:val="single" w:color="000000" w:sz="4" w:space="0"/>
              <w:bottom w:val="single" w:color="000000" w:sz="4" w:space="0"/>
              <w:right w:val="single" w:color="000000" w:sz="4" w:space="0"/>
            </w:tcBorders>
          </w:tcPr>
          <w:p w14:paraId="3CE3A02C">
            <w:pPr>
              <w:pStyle w:val="132"/>
              <w:kinsoku w:val="0"/>
              <w:overflowPunct w:val="0"/>
              <w:rPr>
                <w:rFonts w:ascii="黑体" w:hAnsi="黑体" w:eastAsia="黑体"/>
                <w:b/>
                <w:bCs/>
                <w:sz w:val="18"/>
                <w:szCs w:val="18"/>
              </w:rPr>
            </w:pPr>
          </w:p>
          <w:p w14:paraId="180E2BB3">
            <w:pPr>
              <w:pStyle w:val="132"/>
              <w:kinsoku w:val="0"/>
              <w:overflowPunct w:val="0"/>
              <w:spacing w:before="136"/>
              <w:ind w:left="131" w:right="93"/>
              <w:rPr>
                <w:rFonts w:ascii="黑体" w:hAnsi="黑体" w:eastAsia="黑体"/>
                <w:sz w:val="18"/>
                <w:szCs w:val="18"/>
              </w:rPr>
            </w:pPr>
            <w:r>
              <w:rPr>
                <w:rFonts w:ascii="黑体" w:hAnsi="黑体" w:eastAsia="黑体"/>
                <w:sz w:val="18"/>
                <w:szCs w:val="18"/>
              </w:rPr>
              <w:t xml:space="preserve">3.5 </w:t>
            </w:r>
          </w:p>
        </w:tc>
        <w:tc>
          <w:tcPr>
            <w:tcW w:w="1277" w:type="dxa"/>
            <w:tcBorders>
              <w:top w:val="single" w:color="000000" w:sz="4" w:space="0"/>
              <w:left w:val="single" w:color="000000" w:sz="4" w:space="0"/>
              <w:bottom w:val="single" w:color="000000" w:sz="4" w:space="0"/>
              <w:right w:val="single" w:color="000000" w:sz="4" w:space="0"/>
            </w:tcBorders>
          </w:tcPr>
          <w:p w14:paraId="63137903">
            <w:pPr>
              <w:pStyle w:val="132"/>
              <w:kinsoku w:val="0"/>
              <w:overflowPunct w:val="0"/>
              <w:rPr>
                <w:rFonts w:ascii="黑体" w:hAnsi="黑体" w:eastAsia="黑体"/>
                <w:b/>
                <w:bCs/>
                <w:sz w:val="18"/>
                <w:szCs w:val="18"/>
              </w:rPr>
            </w:pPr>
          </w:p>
          <w:p w14:paraId="622E3587">
            <w:pPr>
              <w:pStyle w:val="132"/>
              <w:kinsoku w:val="0"/>
              <w:overflowPunct w:val="0"/>
              <w:spacing w:before="117" w:line="244" w:lineRule="auto"/>
              <w:ind w:left="105" w:right="55"/>
              <w:rPr>
                <w:rFonts w:ascii="黑体" w:hAnsi="黑体" w:eastAsia="黑体"/>
                <w:sz w:val="18"/>
                <w:szCs w:val="18"/>
              </w:rPr>
            </w:pPr>
            <w:r>
              <w:rPr>
                <w:rFonts w:hint="eastAsia" w:ascii="黑体" w:hAnsi="黑体" w:eastAsia="黑体"/>
                <w:sz w:val="18"/>
                <w:szCs w:val="18"/>
              </w:rPr>
              <w:t>支撑架性能要求</w:t>
            </w:r>
          </w:p>
        </w:tc>
        <w:tc>
          <w:tcPr>
            <w:tcW w:w="5104" w:type="dxa"/>
            <w:gridSpan w:val="2"/>
            <w:tcBorders>
              <w:top w:val="single" w:color="000000" w:sz="4" w:space="0"/>
              <w:left w:val="single" w:color="000000" w:sz="4" w:space="0"/>
              <w:bottom w:val="single" w:color="000000" w:sz="4" w:space="0"/>
              <w:right w:val="single" w:color="000000" w:sz="4" w:space="0"/>
            </w:tcBorders>
            <w:vAlign w:val="center"/>
          </w:tcPr>
          <w:p w14:paraId="0998EBB4">
            <w:pPr>
              <w:pStyle w:val="132"/>
              <w:numPr>
                <w:ilvl w:val="0"/>
                <w:numId w:val="139"/>
              </w:numPr>
              <w:tabs>
                <w:tab w:val="left" w:pos="389"/>
              </w:tabs>
              <w:kinsoku w:val="0"/>
              <w:overflowPunct w:val="0"/>
              <w:spacing w:line="230" w:lineRule="exact"/>
              <w:ind w:left="0" w:firstLine="0"/>
              <w:rPr>
                <w:rFonts w:ascii="黑体" w:hAnsi="黑体" w:eastAsia="黑体"/>
                <w:sz w:val="18"/>
                <w:szCs w:val="18"/>
              </w:rPr>
            </w:pPr>
            <w:r>
              <w:rPr>
                <w:rFonts w:hint="eastAsia" w:ascii="黑体" w:hAnsi="黑体" w:eastAsia="黑体"/>
                <w:spacing w:val="-1"/>
                <w:sz w:val="18"/>
                <w:szCs w:val="18"/>
              </w:rPr>
              <w:t>支撑架含支架、垫片、横梁、螺丝、接地抱箍、胶水、斜</w:t>
            </w:r>
            <w:r>
              <w:rPr>
                <w:rFonts w:hint="eastAsia" w:ascii="黑体" w:hAnsi="黑体" w:eastAsia="黑体"/>
                <w:sz w:val="18"/>
                <w:szCs w:val="18"/>
              </w:rPr>
              <w:t>撑（若有）、收边角钢（若有）等辅材，每套支撑架的辅材配比应满足安装使用要求；</w:t>
            </w:r>
          </w:p>
          <w:p w14:paraId="0EB47C42">
            <w:pPr>
              <w:pStyle w:val="132"/>
              <w:numPr>
                <w:ilvl w:val="0"/>
                <w:numId w:val="139"/>
              </w:numPr>
              <w:tabs>
                <w:tab w:val="left" w:pos="386"/>
              </w:tabs>
              <w:kinsoku w:val="0"/>
              <w:overflowPunct w:val="0"/>
              <w:ind w:left="385" w:hanging="281"/>
              <w:rPr>
                <w:rFonts w:ascii="黑体" w:hAnsi="黑体" w:eastAsia="黑体"/>
                <w:sz w:val="18"/>
                <w:szCs w:val="18"/>
              </w:rPr>
            </w:pPr>
            <w:r>
              <w:rPr>
                <w:rFonts w:hint="eastAsia" w:ascii="黑体" w:hAnsi="黑体" w:eastAsia="黑体"/>
                <w:sz w:val="18"/>
                <w:szCs w:val="18"/>
              </w:rPr>
              <w:t>架空地板高度≤</w:t>
            </w:r>
            <w:r>
              <w:rPr>
                <w:rFonts w:ascii="黑体" w:hAnsi="黑体" w:eastAsia="黑体" w:cs="Calibri"/>
                <w:sz w:val="18"/>
                <w:szCs w:val="18"/>
              </w:rPr>
              <w:t>600mm</w:t>
            </w:r>
            <w:r>
              <w:rPr>
                <w:rFonts w:ascii="黑体" w:hAnsi="黑体" w:eastAsia="黑体" w:cs="Calibri"/>
                <w:spacing w:val="32"/>
                <w:sz w:val="18"/>
                <w:szCs w:val="18"/>
              </w:rPr>
              <w:t xml:space="preserve"> </w:t>
            </w:r>
            <w:r>
              <w:rPr>
                <w:rFonts w:hint="eastAsia" w:ascii="黑体" w:hAnsi="黑体" w:eastAsia="黑体"/>
                <w:sz w:val="18"/>
                <w:szCs w:val="18"/>
              </w:rPr>
              <w:t>时支架管径≥</w:t>
            </w:r>
            <w:r>
              <w:rPr>
                <w:rFonts w:ascii="黑体" w:hAnsi="黑体" w:eastAsia="黑体" w:cs="Calibri"/>
                <w:sz w:val="18"/>
                <w:szCs w:val="18"/>
              </w:rPr>
              <w:t>25mm</w:t>
            </w:r>
            <w:r>
              <w:rPr>
                <w:rFonts w:hint="eastAsia" w:ascii="黑体" w:hAnsi="黑体" w:eastAsia="黑体"/>
                <w:sz w:val="18"/>
                <w:szCs w:val="18"/>
              </w:rPr>
              <w:t>；架空地板高</w:t>
            </w:r>
          </w:p>
          <w:p w14:paraId="252B137D">
            <w:pPr>
              <w:pStyle w:val="132"/>
              <w:kinsoku w:val="0"/>
              <w:overflowPunct w:val="0"/>
              <w:spacing w:before="2" w:line="217" w:lineRule="exact"/>
              <w:ind w:left="105"/>
              <w:rPr>
                <w:rFonts w:ascii="黑体" w:hAnsi="黑体" w:eastAsia="黑体"/>
                <w:sz w:val="18"/>
                <w:szCs w:val="18"/>
              </w:rPr>
            </w:pPr>
            <w:r>
              <w:rPr>
                <w:rFonts w:hint="eastAsia" w:ascii="黑体" w:hAnsi="黑体" w:eastAsia="黑体"/>
                <w:sz w:val="18"/>
                <w:szCs w:val="18"/>
              </w:rPr>
              <w:t>度≥</w:t>
            </w:r>
            <w:r>
              <w:rPr>
                <w:rFonts w:ascii="黑体" w:hAnsi="黑体" w:eastAsia="黑体" w:cs="Calibri"/>
                <w:sz w:val="18"/>
                <w:szCs w:val="18"/>
              </w:rPr>
              <w:t xml:space="preserve">600 mm </w:t>
            </w:r>
            <w:r>
              <w:rPr>
                <w:rFonts w:hint="eastAsia" w:ascii="黑体" w:hAnsi="黑体" w:eastAsia="黑体"/>
                <w:sz w:val="18"/>
                <w:szCs w:val="18"/>
              </w:rPr>
              <w:t>时支架管径≥</w:t>
            </w:r>
            <w:r>
              <w:rPr>
                <w:rFonts w:ascii="黑体" w:hAnsi="黑体" w:eastAsia="黑体" w:cs="Calibri"/>
                <w:sz w:val="18"/>
                <w:szCs w:val="18"/>
              </w:rPr>
              <w:t>32mm</w:t>
            </w:r>
            <w:r>
              <w:rPr>
                <w:rFonts w:hint="eastAsia" w:ascii="黑体" w:hAnsi="黑体" w:eastAsia="黑体"/>
                <w:sz w:val="18"/>
                <w:szCs w:val="18"/>
              </w:rPr>
              <w:t>；</w:t>
            </w:r>
          </w:p>
          <w:p w14:paraId="1D050F95">
            <w:pPr>
              <w:pStyle w:val="132"/>
              <w:numPr>
                <w:ilvl w:val="0"/>
                <w:numId w:val="140"/>
              </w:numPr>
              <w:tabs>
                <w:tab w:val="left" w:pos="381"/>
              </w:tabs>
              <w:kinsoku w:val="0"/>
              <w:overflowPunct w:val="0"/>
              <w:spacing w:line="244" w:lineRule="auto"/>
              <w:ind w:right="92" w:hanging="269"/>
              <w:rPr>
                <w:rFonts w:ascii="黑体" w:hAnsi="黑体" w:eastAsia="黑体"/>
                <w:spacing w:val="-3"/>
                <w:sz w:val="18"/>
                <w:szCs w:val="18"/>
              </w:rPr>
            </w:pPr>
            <w:r>
              <w:rPr>
                <w:rFonts w:hint="eastAsia" w:ascii="黑体" w:hAnsi="黑体" w:eastAsia="黑体"/>
                <w:spacing w:val="-1"/>
                <w:sz w:val="18"/>
                <w:szCs w:val="18"/>
              </w:rPr>
              <w:t>架空地板高度≤</w:t>
            </w:r>
            <w:r>
              <w:rPr>
                <w:rFonts w:ascii="黑体" w:hAnsi="黑体" w:eastAsia="黑体" w:cs="Calibri"/>
                <w:sz w:val="18"/>
                <w:szCs w:val="18"/>
              </w:rPr>
              <w:t>800mm</w:t>
            </w:r>
            <w:r>
              <w:rPr>
                <w:rFonts w:ascii="黑体" w:hAnsi="黑体" w:eastAsia="黑体" w:cs="Calibri"/>
                <w:spacing w:val="10"/>
                <w:sz w:val="18"/>
                <w:szCs w:val="18"/>
              </w:rPr>
              <w:t xml:space="preserve"> </w:t>
            </w:r>
            <w:r>
              <w:rPr>
                <w:rFonts w:hint="eastAsia" w:ascii="黑体" w:hAnsi="黑体" w:eastAsia="黑体"/>
                <w:spacing w:val="-3"/>
                <w:sz w:val="18"/>
                <w:szCs w:val="18"/>
              </w:rPr>
              <w:t>时支架中柱壁厚≥</w:t>
            </w:r>
            <w:r>
              <w:rPr>
                <w:rFonts w:ascii="黑体" w:hAnsi="黑体" w:eastAsia="黑体" w:cs="Calibri"/>
                <w:sz w:val="18"/>
                <w:szCs w:val="18"/>
              </w:rPr>
              <w:t>1.5mm</w:t>
            </w:r>
            <w:r>
              <w:rPr>
                <w:rFonts w:hint="eastAsia" w:ascii="黑体" w:hAnsi="黑体" w:eastAsia="黑体"/>
                <w:spacing w:val="-2"/>
                <w:sz w:val="18"/>
                <w:szCs w:val="18"/>
              </w:rPr>
              <w:t>；架空地</w:t>
            </w:r>
            <w:r>
              <w:rPr>
                <w:rFonts w:hint="eastAsia" w:ascii="黑体" w:hAnsi="黑体" w:eastAsia="黑体"/>
                <w:spacing w:val="-3"/>
                <w:sz w:val="18"/>
                <w:szCs w:val="18"/>
              </w:rPr>
              <w:t>板高度＞</w:t>
            </w:r>
            <w:r>
              <w:rPr>
                <w:rFonts w:ascii="黑体" w:hAnsi="黑体" w:eastAsia="黑体" w:cs="Calibri"/>
                <w:sz w:val="18"/>
                <w:szCs w:val="18"/>
              </w:rPr>
              <w:t>800mm</w:t>
            </w:r>
            <w:r>
              <w:rPr>
                <w:rFonts w:ascii="黑体" w:hAnsi="黑体" w:eastAsia="黑体" w:cs="Calibri"/>
                <w:spacing w:val="1"/>
                <w:sz w:val="18"/>
                <w:szCs w:val="18"/>
              </w:rPr>
              <w:t xml:space="preserve"> </w:t>
            </w:r>
            <w:r>
              <w:rPr>
                <w:rFonts w:hint="eastAsia" w:ascii="黑体" w:hAnsi="黑体" w:eastAsia="黑体"/>
                <w:spacing w:val="-3"/>
                <w:sz w:val="18"/>
                <w:szCs w:val="18"/>
              </w:rPr>
              <w:t>时中柱壁厚≥</w:t>
            </w:r>
            <w:r>
              <w:rPr>
                <w:rFonts w:ascii="黑体" w:hAnsi="黑体" w:eastAsia="黑体" w:cs="Calibri"/>
                <w:spacing w:val="-3"/>
                <w:sz w:val="18"/>
                <w:szCs w:val="18"/>
              </w:rPr>
              <w:t>2.0mm</w:t>
            </w:r>
            <w:r>
              <w:rPr>
                <w:rFonts w:hint="eastAsia" w:ascii="黑体" w:hAnsi="黑体" w:eastAsia="黑体"/>
                <w:spacing w:val="-3"/>
                <w:sz w:val="18"/>
                <w:szCs w:val="18"/>
              </w:rPr>
              <w:t>；</w:t>
            </w:r>
          </w:p>
          <w:p w14:paraId="262FEEE9">
            <w:pPr>
              <w:pStyle w:val="132"/>
              <w:numPr>
                <w:ilvl w:val="0"/>
                <w:numId w:val="140"/>
              </w:numPr>
              <w:tabs>
                <w:tab w:val="left" w:pos="389"/>
              </w:tabs>
              <w:kinsoku w:val="0"/>
              <w:overflowPunct w:val="0"/>
              <w:spacing w:line="242" w:lineRule="auto"/>
              <w:ind w:right="93" w:hanging="269"/>
              <w:rPr>
                <w:rFonts w:ascii="黑体" w:hAnsi="黑体" w:eastAsia="黑体"/>
                <w:spacing w:val="-5"/>
                <w:sz w:val="18"/>
                <w:szCs w:val="18"/>
              </w:rPr>
            </w:pPr>
            <w:r>
              <w:rPr>
                <w:rFonts w:hint="eastAsia" w:ascii="黑体" w:hAnsi="黑体" w:eastAsia="黑体"/>
                <w:sz w:val="18"/>
                <w:szCs w:val="18"/>
              </w:rPr>
              <w:t>涉及金属件均进行电镀彩锌表面处理：电镀锌表面处理要</w:t>
            </w:r>
            <w:r>
              <w:rPr>
                <w:rFonts w:hint="eastAsia" w:ascii="黑体" w:hAnsi="黑体" w:eastAsia="黑体"/>
                <w:spacing w:val="-4"/>
                <w:sz w:val="18"/>
                <w:szCs w:val="18"/>
              </w:rPr>
              <w:t>求：涂层厚度</w:t>
            </w:r>
            <w:r>
              <w:rPr>
                <w:rFonts w:ascii="黑体" w:hAnsi="黑体" w:eastAsia="黑体"/>
                <w:spacing w:val="-4"/>
                <w:sz w:val="18"/>
                <w:szCs w:val="18"/>
              </w:rPr>
              <w:t xml:space="preserve"> </w:t>
            </w:r>
            <w:r>
              <w:rPr>
                <w:rFonts w:ascii="黑体" w:hAnsi="黑体" w:eastAsia="黑体" w:cs="Calibri"/>
                <w:spacing w:val="-3"/>
                <w:sz w:val="18"/>
                <w:szCs w:val="18"/>
              </w:rPr>
              <w:t>8~12</w:t>
            </w:r>
            <w:r>
              <w:rPr>
                <w:rFonts w:hint="eastAsia" w:ascii="黑体" w:hAnsi="黑体" w:eastAsia="黑体"/>
                <w:spacing w:val="-3"/>
                <w:sz w:val="18"/>
                <w:szCs w:val="18"/>
              </w:rPr>
              <w:t>μ</w:t>
            </w:r>
            <w:r>
              <w:rPr>
                <w:rFonts w:ascii="黑体" w:hAnsi="黑体" w:eastAsia="黑体" w:cs="Calibri"/>
                <w:spacing w:val="-3"/>
                <w:sz w:val="18"/>
                <w:szCs w:val="18"/>
              </w:rPr>
              <w:t>m</w:t>
            </w:r>
            <w:r>
              <w:rPr>
                <w:rFonts w:hint="eastAsia" w:ascii="黑体" w:hAnsi="黑体" w:eastAsia="黑体"/>
                <w:spacing w:val="-4"/>
                <w:sz w:val="18"/>
                <w:szCs w:val="18"/>
              </w:rPr>
              <w:t>；按</w:t>
            </w:r>
            <w:r>
              <w:rPr>
                <w:rFonts w:ascii="黑体" w:hAnsi="黑体" w:eastAsia="黑体"/>
                <w:spacing w:val="-4"/>
                <w:sz w:val="18"/>
                <w:szCs w:val="18"/>
              </w:rPr>
              <w:t xml:space="preserve"> </w:t>
            </w:r>
            <w:r>
              <w:rPr>
                <w:rFonts w:ascii="黑体" w:hAnsi="黑体" w:eastAsia="黑体" w:cs="Calibri"/>
                <w:sz w:val="18"/>
                <w:szCs w:val="18"/>
              </w:rPr>
              <w:t>GB/T</w:t>
            </w:r>
            <w:r>
              <w:rPr>
                <w:rFonts w:ascii="黑体" w:hAnsi="黑体" w:eastAsia="黑体" w:cs="Calibri"/>
                <w:spacing w:val="31"/>
                <w:sz w:val="18"/>
                <w:szCs w:val="18"/>
              </w:rPr>
              <w:t xml:space="preserve"> </w:t>
            </w:r>
            <w:r>
              <w:rPr>
                <w:rFonts w:ascii="黑体" w:hAnsi="黑体" w:eastAsia="黑体" w:cs="Calibri"/>
                <w:sz w:val="18"/>
                <w:szCs w:val="18"/>
              </w:rPr>
              <w:t xml:space="preserve">9286 </w:t>
            </w:r>
            <w:r>
              <w:rPr>
                <w:rFonts w:hint="eastAsia" w:ascii="黑体" w:hAnsi="黑体" w:eastAsia="黑体"/>
                <w:spacing w:val="-4"/>
                <w:sz w:val="18"/>
                <w:szCs w:val="18"/>
              </w:rPr>
              <w:t>进行涂层附着力试</w:t>
            </w:r>
            <w:r>
              <w:rPr>
                <w:rFonts w:hint="eastAsia" w:ascii="黑体" w:hAnsi="黑体" w:eastAsia="黑体"/>
                <w:spacing w:val="14"/>
                <w:sz w:val="18"/>
                <w:szCs w:val="18"/>
              </w:rPr>
              <w:t>验，要求所有试样上的涂层都应</w:t>
            </w:r>
            <w:r>
              <w:rPr>
                <w:rFonts w:ascii="黑体" w:hAnsi="黑体" w:eastAsia="黑体"/>
                <w:spacing w:val="14"/>
                <w:sz w:val="18"/>
                <w:szCs w:val="18"/>
              </w:rPr>
              <w:t xml:space="preserve"> </w:t>
            </w:r>
            <w:r>
              <w:rPr>
                <w:rFonts w:ascii="黑体" w:hAnsi="黑体" w:eastAsia="黑体" w:cs="Calibri"/>
                <w:sz w:val="18"/>
                <w:szCs w:val="18"/>
              </w:rPr>
              <w:t>100</w:t>
            </w:r>
            <w:r>
              <w:rPr>
                <w:rFonts w:ascii="黑体" w:hAnsi="黑体" w:eastAsia="黑体" w:cs="Calibri"/>
                <w:spacing w:val="-20"/>
                <w:sz w:val="18"/>
                <w:szCs w:val="18"/>
              </w:rPr>
              <w:t xml:space="preserve"> </w:t>
            </w:r>
            <w:r>
              <w:rPr>
                <w:rFonts w:hint="eastAsia" w:ascii="黑体" w:hAnsi="黑体" w:eastAsia="黑体"/>
                <w:spacing w:val="15"/>
                <w:sz w:val="18"/>
                <w:szCs w:val="18"/>
              </w:rPr>
              <w:t>％附着；按</w:t>
            </w:r>
            <w:r>
              <w:rPr>
                <w:rFonts w:ascii="黑体" w:hAnsi="黑体" w:eastAsia="黑体"/>
                <w:spacing w:val="15"/>
                <w:sz w:val="18"/>
                <w:szCs w:val="18"/>
              </w:rPr>
              <w:t xml:space="preserve"> </w:t>
            </w:r>
            <w:r>
              <w:rPr>
                <w:rFonts w:ascii="黑体" w:hAnsi="黑体" w:eastAsia="黑体" w:cs="Calibri"/>
                <w:sz w:val="18"/>
                <w:szCs w:val="18"/>
              </w:rPr>
              <w:t>GB/T 2423.17</w:t>
            </w:r>
            <w:r>
              <w:rPr>
                <w:rFonts w:ascii="黑体" w:hAnsi="黑体" w:eastAsia="黑体" w:cs="Calibri"/>
                <w:spacing w:val="20"/>
                <w:sz w:val="18"/>
                <w:szCs w:val="18"/>
              </w:rPr>
              <w:t xml:space="preserve"> </w:t>
            </w:r>
            <w:r>
              <w:rPr>
                <w:rFonts w:hint="eastAsia" w:ascii="黑体" w:hAnsi="黑体" w:eastAsia="黑体"/>
                <w:spacing w:val="-7"/>
                <w:sz w:val="18"/>
                <w:szCs w:val="18"/>
              </w:rPr>
              <w:t>标准通过</w:t>
            </w:r>
            <w:r>
              <w:rPr>
                <w:rFonts w:ascii="黑体" w:hAnsi="黑体" w:eastAsia="黑体"/>
                <w:spacing w:val="-7"/>
                <w:sz w:val="18"/>
                <w:szCs w:val="18"/>
              </w:rPr>
              <w:t xml:space="preserve"> </w:t>
            </w:r>
            <w:r>
              <w:rPr>
                <w:rFonts w:ascii="黑体" w:hAnsi="黑体" w:eastAsia="黑体" w:cs="Calibri"/>
                <w:sz w:val="18"/>
                <w:szCs w:val="18"/>
              </w:rPr>
              <w:t>72h</w:t>
            </w:r>
            <w:r>
              <w:rPr>
                <w:rFonts w:ascii="黑体" w:hAnsi="黑体" w:eastAsia="黑体" w:cs="Calibri"/>
                <w:spacing w:val="15"/>
                <w:sz w:val="18"/>
                <w:szCs w:val="18"/>
              </w:rPr>
              <w:t xml:space="preserve"> </w:t>
            </w:r>
            <w:r>
              <w:rPr>
                <w:rFonts w:hint="eastAsia" w:ascii="黑体" w:hAnsi="黑体" w:eastAsia="黑体"/>
                <w:spacing w:val="-5"/>
                <w:sz w:val="18"/>
                <w:szCs w:val="18"/>
              </w:rPr>
              <w:t>盐雾试验；焊接牢固，金属件表面防锈层无脱落，无明显疵点；</w:t>
            </w:r>
          </w:p>
          <w:p w14:paraId="750F5401">
            <w:pPr>
              <w:pStyle w:val="132"/>
              <w:numPr>
                <w:ilvl w:val="0"/>
                <w:numId w:val="140"/>
              </w:numPr>
              <w:tabs>
                <w:tab w:val="left" w:pos="381"/>
              </w:tabs>
              <w:kinsoku w:val="0"/>
              <w:overflowPunct w:val="0"/>
              <w:spacing w:before="2"/>
              <w:ind w:left="380" w:hanging="276"/>
              <w:rPr>
                <w:rFonts w:ascii="黑体" w:hAnsi="黑体" w:eastAsia="黑体"/>
                <w:spacing w:val="-5"/>
                <w:sz w:val="18"/>
                <w:szCs w:val="18"/>
              </w:rPr>
            </w:pPr>
            <w:r>
              <w:rPr>
                <w:rFonts w:hint="eastAsia" w:ascii="黑体" w:hAnsi="黑体" w:eastAsia="黑体"/>
                <w:spacing w:val="-10"/>
                <w:sz w:val="18"/>
                <w:szCs w:val="18"/>
              </w:rPr>
              <w:t>支架可上下调整</w:t>
            </w:r>
            <w:r>
              <w:rPr>
                <w:rFonts w:ascii="黑体" w:hAnsi="黑体" w:eastAsia="黑体"/>
                <w:spacing w:val="-10"/>
                <w:sz w:val="18"/>
                <w:szCs w:val="18"/>
              </w:rPr>
              <w:t xml:space="preserve"> </w:t>
            </w:r>
            <w:r>
              <w:rPr>
                <w:rFonts w:ascii="黑体" w:hAnsi="黑体" w:eastAsia="黑体" w:cs="Calibri"/>
                <w:sz w:val="18"/>
                <w:szCs w:val="18"/>
              </w:rPr>
              <w:t>20mm</w:t>
            </w:r>
            <w:r>
              <w:rPr>
                <w:rFonts w:ascii="黑体" w:hAnsi="黑体" w:eastAsia="黑体" w:cs="Calibri"/>
                <w:spacing w:val="9"/>
                <w:sz w:val="18"/>
                <w:szCs w:val="18"/>
              </w:rPr>
              <w:t xml:space="preserve"> </w:t>
            </w:r>
            <w:r>
              <w:rPr>
                <w:rFonts w:hint="eastAsia" w:ascii="黑体" w:hAnsi="黑体" w:eastAsia="黑体"/>
                <w:spacing w:val="-5"/>
                <w:sz w:val="18"/>
                <w:szCs w:val="18"/>
              </w:rPr>
              <w:t>以保证地板安装高度一致；</w:t>
            </w:r>
          </w:p>
          <w:p w14:paraId="2D246BA8">
            <w:pPr>
              <w:pStyle w:val="132"/>
              <w:numPr>
                <w:ilvl w:val="0"/>
                <w:numId w:val="140"/>
              </w:numPr>
              <w:tabs>
                <w:tab w:val="left" w:pos="381"/>
              </w:tabs>
              <w:kinsoku w:val="0"/>
              <w:overflowPunct w:val="0"/>
              <w:spacing w:before="5" w:line="231" w:lineRule="exact"/>
              <w:ind w:left="380" w:hanging="276"/>
              <w:rPr>
                <w:rFonts w:ascii="黑体" w:hAnsi="黑体" w:eastAsia="黑体"/>
                <w:spacing w:val="-5"/>
                <w:sz w:val="18"/>
                <w:szCs w:val="18"/>
              </w:rPr>
            </w:pPr>
            <w:r>
              <w:rPr>
                <w:rFonts w:hint="eastAsia" w:ascii="黑体" w:hAnsi="黑体" w:eastAsia="黑体"/>
                <w:spacing w:val="-3"/>
                <w:sz w:val="18"/>
                <w:szCs w:val="18"/>
              </w:rPr>
              <w:t>承重要求：</w:t>
            </w:r>
            <w:r>
              <w:rPr>
                <w:rFonts w:ascii="黑体" w:hAnsi="黑体" w:eastAsia="黑体" w:cs="Calibri"/>
                <w:spacing w:val="-3"/>
                <w:sz w:val="18"/>
                <w:szCs w:val="18"/>
              </w:rPr>
              <w:t>20KN</w:t>
            </w:r>
            <w:r>
              <w:rPr>
                <w:rFonts w:ascii="黑体" w:hAnsi="黑体" w:eastAsia="黑体" w:cs="Calibri"/>
                <w:spacing w:val="11"/>
                <w:sz w:val="18"/>
                <w:szCs w:val="18"/>
              </w:rPr>
              <w:t xml:space="preserve"> </w:t>
            </w:r>
            <w:r>
              <w:rPr>
                <w:rFonts w:hint="eastAsia" w:ascii="黑体" w:hAnsi="黑体" w:eastAsia="黑体"/>
                <w:spacing w:val="-5"/>
                <w:sz w:val="18"/>
                <w:szCs w:val="18"/>
              </w:rPr>
              <w:t>力保持一分钟支架应完好如初；</w:t>
            </w:r>
          </w:p>
          <w:p w14:paraId="23A2ACCC">
            <w:pPr>
              <w:pStyle w:val="132"/>
              <w:numPr>
                <w:ilvl w:val="0"/>
                <w:numId w:val="140"/>
              </w:numPr>
              <w:tabs>
                <w:tab w:val="left" w:pos="381"/>
              </w:tabs>
              <w:kinsoku w:val="0"/>
              <w:overflowPunct w:val="0"/>
              <w:ind w:left="380" w:hanging="276"/>
              <w:rPr>
                <w:rFonts w:ascii="黑体" w:hAnsi="黑体" w:eastAsia="黑体"/>
                <w:sz w:val="18"/>
                <w:szCs w:val="18"/>
              </w:rPr>
            </w:pPr>
            <w:r>
              <w:rPr>
                <w:rFonts w:hint="eastAsia" w:ascii="黑体" w:hAnsi="黑体" w:eastAsia="黑体"/>
                <w:spacing w:val="-4"/>
                <w:sz w:val="18"/>
                <w:szCs w:val="18"/>
              </w:rPr>
              <w:t>架空地板高度≥</w:t>
            </w:r>
            <w:r>
              <w:rPr>
                <w:rFonts w:ascii="黑体" w:hAnsi="黑体" w:eastAsia="黑体" w:cs="Calibri"/>
                <w:sz w:val="18"/>
                <w:szCs w:val="18"/>
              </w:rPr>
              <w:t>1000mm</w:t>
            </w:r>
            <w:r>
              <w:rPr>
                <w:rFonts w:ascii="黑体" w:hAnsi="黑体" w:eastAsia="黑体" w:cs="Calibri"/>
                <w:spacing w:val="8"/>
                <w:sz w:val="18"/>
                <w:szCs w:val="18"/>
              </w:rPr>
              <w:t xml:space="preserve"> </w:t>
            </w:r>
            <w:r>
              <w:rPr>
                <w:rFonts w:hint="eastAsia" w:ascii="黑体" w:hAnsi="黑体" w:eastAsia="黑体"/>
                <w:spacing w:val="-5"/>
                <w:sz w:val="18"/>
                <w:szCs w:val="18"/>
              </w:rPr>
              <w:t>时建议使用斜拉撑</w:t>
            </w:r>
            <w:r>
              <w:rPr>
                <w:rFonts w:hint="eastAsia" w:ascii="黑体" w:hAnsi="黑体" w:eastAsia="黑体"/>
                <w:sz w:val="18"/>
                <w:szCs w:val="18"/>
              </w:rPr>
              <w:t>（</w:t>
            </w:r>
            <w:r>
              <w:rPr>
                <w:rFonts w:hint="eastAsia" w:ascii="黑体" w:hAnsi="黑体" w:eastAsia="黑体"/>
                <w:spacing w:val="-4"/>
                <w:sz w:val="18"/>
                <w:szCs w:val="18"/>
              </w:rPr>
              <w:t>带抱箍</w:t>
            </w:r>
            <w:r>
              <w:rPr>
                <w:rFonts w:hint="eastAsia" w:ascii="黑体" w:hAnsi="黑体" w:eastAsia="黑体"/>
                <w:sz w:val="18"/>
                <w:szCs w:val="18"/>
              </w:rPr>
              <w:t>）；</w:t>
            </w:r>
          </w:p>
          <w:p w14:paraId="6396EA49">
            <w:pPr>
              <w:pStyle w:val="132"/>
              <w:kinsoku w:val="0"/>
              <w:overflowPunct w:val="0"/>
              <w:spacing w:before="2" w:line="217" w:lineRule="exact"/>
              <w:ind w:left="105"/>
              <w:rPr>
                <w:rFonts w:ascii="黑体" w:hAnsi="黑体" w:eastAsia="黑体" w:cs="Calibri"/>
                <w:sz w:val="18"/>
                <w:szCs w:val="18"/>
              </w:rPr>
            </w:pPr>
            <w:r>
              <w:rPr>
                <w:rFonts w:hint="eastAsia" w:ascii="黑体" w:hAnsi="黑体" w:eastAsia="黑体"/>
                <w:sz w:val="18"/>
                <w:szCs w:val="18"/>
              </w:rPr>
              <w:t>根据实际现场环境需要可提供角铁，木工板，橡塑棉，发</w:t>
            </w:r>
            <w:r>
              <w:rPr>
                <w:rFonts w:hint="eastAsia" w:ascii="黑体" w:hAnsi="黑体" w:eastAsia="黑体"/>
                <w:spacing w:val="-5"/>
                <w:sz w:val="18"/>
                <w:szCs w:val="18"/>
              </w:rPr>
              <w:t>泡胶等支撑架可替代方案。</w:t>
            </w:r>
          </w:p>
        </w:tc>
        <w:tc>
          <w:tcPr>
            <w:tcW w:w="1278" w:type="dxa"/>
            <w:tcBorders>
              <w:top w:val="single" w:color="000000" w:sz="4" w:space="0"/>
              <w:left w:val="single" w:color="000000" w:sz="4" w:space="0"/>
              <w:bottom w:val="single" w:color="000000" w:sz="4" w:space="0"/>
              <w:right w:val="single" w:color="000000" w:sz="4" w:space="0"/>
            </w:tcBorders>
          </w:tcPr>
          <w:p w14:paraId="2B0711C4">
            <w:pPr>
              <w:pStyle w:val="132"/>
              <w:kinsoku w:val="0"/>
              <w:overflowPunct w:val="0"/>
              <w:rPr>
                <w:rFonts w:ascii="黑体" w:hAnsi="黑体" w:eastAsia="黑体"/>
                <w:b/>
                <w:bCs/>
                <w:sz w:val="18"/>
                <w:szCs w:val="18"/>
              </w:rPr>
            </w:pPr>
          </w:p>
          <w:p w14:paraId="54D7B2EC">
            <w:pPr>
              <w:pStyle w:val="132"/>
              <w:kinsoku w:val="0"/>
              <w:overflowPunct w:val="0"/>
              <w:spacing w:before="117"/>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5DC6CF98">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56F5F649">
            <w:pPr>
              <w:pStyle w:val="132"/>
              <w:kinsoku w:val="0"/>
              <w:overflowPunct w:val="0"/>
              <w:rPr>
                <w:rFonts w:ascii="黑体" w:hAnsi="黑体" w:eastAsia="黑体" w:cs="Times New Roman"/>
                <w:sz w:val="18"/>
                <w:szCs w:val="18"/>
              </w:rPr>
            </w:pPr>
          </w:p>
        </w:tc>
      </w:tr>
      <w:tr w14:paraId="6BE925D3">
        <w:tblPrEx>
          <w:tblCellMar>
            <w:top w:w="0" w:type="dxa"/>
            <w:left w:w="0" w:type="dxa"/>
            <w:bottom w:w="0" w:type="dxa"/>
            <w:right w:w="0" w:type="dxa"/>
          </w:tblCellMar>
        </w:tblPrEx>
        <w:trPr>
          <w:trHeight w:val="1171" w:hRule="atLeast"/>
        </w:trPr>
        <w:tc>
          <w:tcPr>
            <w:tcW w:w="725" w:type="dxa"/>
            <w:tcBorders>
              <w:top w:val="single" w:color="000000" w:sz="4" w:space="0"/>
              <w:left w:val="single" w:color="000000" w:sz="4" w:space="0"/>
              <w:bottom w:val="single" w:color="000000" w:sz="4" w:space="0"/>
              <w:right w:val="single" w:color="000000" w:sz="4" w:space="0"/>
            </w:tcBorders>
          </w:tcPr>
          <w:p w14:paraId="422FF0AD">
            <w:pPr>
              <w:pStyle w:val="132"/>
              <w:kinsoku w:val="0"/>
              <w:overflowPunct w:val="0"/>
              <w:spacing w:before="11"/>
              <w:rPr>
                <w:rFonts w:ascii="黑体" w:hAnsi="黑体" w:eastAsia="黑体"/>
                <w:b/>
                <w:bCs/>
                <w:sz w:val="18"/>
                <w:szCs w:val="18"/>
              </w:rPr>
            </w:pPr>
          </w:p>
          <w:p w14:paraId="4B6BC7B7">
            <w:pPr>
              <w:pStyle w:val="132"/>
              <w:kinsoku w:val="0"/>
              <w:overflowPunct w:val="0"/>
              <w:ind w:left="131" w:right="93"/>
              <w:rPr>
                <w:rFonts w:ascii="黑体" w:hAnsi="黑体" w:eastAsia="黑体"/>
                <w:sz w:val="18"/>
                <w:szCs w:val="18"/>
              </w:rPr>
            </w:pPr>
            <w:r>
              <w:rPr>
                <w:rFonts w:ascii="黑体" w:hAnsi="黑体" w:eastAsia="黑体"/>
                <w:sz w:val="18"/>
                <w:szCs w:val="18"/>
              </w:rPr>
              <w:t xml:space="preserve">3.6 </w:t>
            </w:r>
          </w:p>
        </w:tc>
        <w:tc>
          <w:tcPr>
            <w:tcW w:w="1277" w:type="dxa"/>
            <w:tcBorders>
              <w:top w:val="single" w:color="000000" w:sz="4" w:space="0"/>
              <w:left w:val="single" w:color="000000" w:sz="4" w:space="0"/>
              <w:bottom w:val="single" w:color="000000" w:sz="4" w:space="0"/>
              <w:right w:val="single" w:color="000000" w:sz="4" w:space="0"/>
            </w:tcBorders>
          </w:tcPr>
          <w:p w14:paraId="347219AA">
            <w:pPr>
              <w:pStyle w:val="132"/>
              <w:kinsoku w:val="0"/>
              <w:overflowPunct w:val="0"/>
              <w:spacing w:before="127"/>
              <w:ind w:left="105" w:right="55"/>
              <w:rPr>
                <w:rFonts w:ascii="黑体" w:hAnsi="黑体" w:eastAsia="黑体"/>
                <w:sz w:val="18"/>
                <w:szCs w:val="18"/>
              </w:rPr>
            </w:pPr>
            <w:r>
              <w:rPr>
                <w:rFonts w:hint="eastAsia" w:ascii="黑体" w:hAnsi="黑体" w:eastAsia="黑体"/>
                <w:sz w:val="18"/>
                <w:szCs w:val="18"/>
              </w:rPr>
              <w:t>防静电接地要求</w:t>
            </w:r>
          </w:p>
        </w:tc>
        <w:tc>
          <w:tcPr>
            <w:tcW w:w="5104" w:type="dxa"/>
            <w:gridSpan w:val="2"/>
            <w:tcBorders>
              <w:top w:val="single" w:color="000000" w:sz="4" w:space="0"/>
              <w:left w:val="single" w:color="000000" w:sz="4" w:space="0"/>
              <w:bottom w:val="single" w:color="000000" w:sz="4" w:space="0"/>
              <w:right w:val="single" w:color="000000" w:sz="4" w:space="0"/>
            </w:tcBorders>
          </w:tcPr>
          <w:p w14:paraId="684B9387">
            <w:pPr>
              <w:pStyle w:val="132"/>
              <w:kinsoku w:val="0"/>
              <w:overflowPunct w:val="0"/>
              <w:spacing w:before="127"/>
              <w:ind w:left="105" w:right="94"/>
              <w:rPr>
                <w:rFonts w:ascii="黑体" w:hAnsi="黑体" w:eastAsia="黑体"/>
                <w:spacing w:val="-5"/>
                <w:sz w:val="18"/>
                <w:szCs w:val="18"/>
              </w:rPr>
            </w:pPr>
            <w:r>
              <w:rPr>
                <w:rFonts w:hint="eastAsia" w:ascii="黑体" w:hAnsi="黑体" w:eastAsia="黑体"/>
                <w:spacing w:val="-6"/>
                <w:sz w:val="18"/>
                <w:szCs w:val="18"/>
              </w:rPr>
              <w:t>需满足防静电接地要求，需提前预留接地抱箍连接接地线缆或</w:t>
            </w:r>
            <w:r>
              <w:rPr>
                <w:rFonts w:hint="eastAsia" w:ascii="黑体" w:hAnsi="黑体" w:eastAsia="黑体"/>
                <w:spacing w:val="-5"/>
                <w:sz w:val="18"/>
                <w:szCs w:val="18"/>
              </w:rPr>
              <w:t>安装时将支架底部落在铜箔网格十字交叉处。</w:t>
            </w:r>
          </w:p>
        </w:tc>
        <w:tc>
          <w:tcPr>
            <w:tcW w:w="1278" w:type="dxa"/>
            <w:tcBorders>
              <w:top w:val="single" w:color="000000" w:sz="4" w:space="0"/>
              <w:left w:val="single" w:color="000000" w:sz="4" w:space="0"/>
              <w:bottom w:val="single" w:color="000000" w:sz="4" w:space="0"/>
              <w:right w:val="single" w:color="000000" w:sz="4" w:space="0"/>
            </w:tcBorders>
          </w:tcPr>
          <w:p w14:paraId="2CB58986">
            <w:pPr>
              <w:pStyle w:val="132"/>
              <w:kinsoku w:val="0"/>
              <w:overflowPunct w:val="0"/>
              <w:spacing w:before="127" w:line="231" w:lineRule="exact"/>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5AF351DF">
            <w:pPr>
              <w:pStyle w:val="132"/>
              <w:kinsoku w:val="0"/>
              <w:overflowPunct w:val="0"/>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11452EDD">
            <w:pPr>
              <w:pStyle w:val="132"/>
              <w:kinsoku w:val="0"/>
              <w:overflowPunct w:val="0"/>
              <w:rPr>
                <w:rFonts w:ascii="黑体" w:hAnsi="黑体" w:eastAsia="黑体" w:cs="Times New Roman"/>
                <w:sz w:val="18"/>
                <w:szCs w:val="18"/>
              </w:rPr>
            </w:pPr>
          </w:p>
        </w:tc>
      </w:tr>
      <w:tr w14:paraId="10B693F2">
        <w:tblPrEx>
          <w:tblCellMar>
            <w:top w:w="0" w:type="dxa"/>
            <w:left w:w="0" w:type="dxa"/>
            <w:bottom w:w="0" w:type="dxa"/>
            <w:right w:w="0" w:type="dxa"/>
          </w:tblCellMar>
        </w:tblPrEx>
        <w:trPr>
          <w:trHeight w:val="1171" w:hRule="atLeast"/>
        </w:trPr>
        <w:tc>
          <w:tcPr>
            <w:tcW w:w="725" w:type="dxa"/>
            <w:tcBorders>
              <w:top w:val="single" w:color="000000" w:sz="4" w:space="0"/>
              <w:left w:val="single" w:color="000000" w:sz="4" w:space="0"/>
              <w:bottom w:val="single" w:color="000000" w:sz="4" w:space="0"/>
              <w:right w:val="single" w:color="000000" w:sz="4" w:space="0"/>
            </w:tcBorders>
          </w:tcPr>
          <w:p w14:paraId="1460F280">
            <w:pPr>
              <w:pStyle w:val="132"/>
              <w:kinsoku w:val="0"/>
              <w:overflowPunct w:val="0"/>
              <w:spacing w:before="9"/>
              <w:rPr>
                <w:rFonts w:ascii="黑体" w:hAnsi="黑体" w:eastAsia="黑体"/>
                <w:b/>
                <w:bCs/>
                <w:sz w:val="18"/>
                <w:szCs w:val="18"/>
              </w:rPr>
            </w:pPr>
          </w:p>
          <w:p w14:paraId="423C65B0">
            <w:pPr>
              <w:pStyle w:val="132"/>
              <w:kinsoku w:val="0"/>
              <w:overflowPunct w:val="0"/>
              <w:ind w:left="158" w:right="62"/>
              <w:rPr>
                <w:rFonts w:ascii="黑体" w:hAnsi="黑体" w:eastAsia="黑体"/>
                <w:sz w:val="18"/>
                <w:szCs w:val="18"/>
              </w:rPr>
            </w:pPr>
            <w:r>
              <w:rPr>
                <w:rFonts w:ascii="黑体" w:hAnsi="黑体" w:eastAsia="黑体"/>
                <w:sz w:val="18"/>
                <w:szCs w:val="18"/>
              </w:rPr>
              <w:t xml:space="preserve">3.7 </w:t>
            </w:r>
          </w:p>
        </w:tc>
        <w:tc>
          <w:tcPr>
            <w:tcW w:w="1277" w:type="dxa"/>
            <w:tcBorders>
              <w:top w:val="single" w:color="000000" w:sz="4" w:space="0"/>
              <w:left w:val="single" w:color="000000" w:sz="4" w:space="0"/>
              <w:bottom w:val="single" w:color="000000" w:sz="4" w:space="0"/>
              <w:right w:val="single" w:color="000000" w:sz="4" w:space="0"/>
            </w:tcBorders>
          </w:tcPr>
          <w:p w14:paraId="65F848CE">
            <w:pPr>
              <w:pStyle w:val="132"/>
              <w:kinsoku w:val="0"/>
              <w:overflowPunct w:val="0"/>
              <w:spacing w:before="118"/>
              <w:ind w:left="105"/>
              <w:rPr>
                <w:rFonts w:ascii="黑体" w:hAnsi="黑体" w:eastAsia="黑体"/>
                <w:sz w:val="18"/>
                <w:szCs w:val="18"/>
              </w:rPr>
            </w:pPr>
            <w:r>
              <w:rPr>
                <w:rFonts w:hint="eastAsia" w:ascii="黑体" w:hAnsi="黑体" w:eastAsia="黑体"/>
                <w:sz w:val="18"/>
                <w:szCs w:val="18"/>
              </w:rPr>
              <w:t>环保要求</w:t>
            </w:r>
          </w:p>
        </w:tc>
        <w:tc>
          <w:tcPr>
            <w:tcW w:w="5104" w:type="dxa"/>
            <w:gridSpan w:val="2"/>
            <w:tcBorders>
              <w:top w:val="single" w:color="000000" w:sz="4" w:space="0"/>
              <w:left w:val="single" w:color="000000" w:sz="4" w:space="0"/>
              <w:bottom w:val="single" w:color="000000" w:sz="4" w:space="0"/>
              <w:right w:val="single" w:color="000000" w:sz="4" w:space="0"/>
            </w:tcBorders>
          </w:tcPr>
          <w:p w14:paraId="10DF71AD">
            <w:pPr>
              <w:pStyle w:val="132"/>
              <w:kinsoku w:val="0"/>
              <w:overflowPunct w:val="0"/>
              <w:spacing w:before="118"/>
              <w:ind w:left="105"/>
              <w:rPr>
                <w:rFonts w:ascii="黑体" w:hAnsi="黑体" w:eastAsia="黑体"/>
                <w:sz w:val="18"/>
                <w:szCs w:val="18"/>
              </w:rPr>
            </w:pPr>
            <w:r>
              <w:rPr>
                <w:rFonts w:hint="eastAsia" w:ascii="黑体" w:hAnsi="黑体" w:eastAsia="黑体"/>
                <w:sz w:val="18"/>
                <w:szCs w:val="18"/>
              </w:rPr>
              <w:t>通过权威机构的相关环保认证，并有测试报告或认证证书</w:t>
            </w:r>
          </w:p>
        </w:tc>
        <w:tc>
          <w:tcPr>
            <w:tcW w:w="1278" w:type="dxa"/>
            <w:tcBorders>
              <w:top w:val="single" w:color="000000" w:sz="4" w:space="0"/>
              <w:left w:val="single" w:color="000000" w:sz="4" w:space="0"/>
              <w:bottom w:val="single" w:color="000000" w:sz="4" w:space="0"/>
              <w:right w:val="single" w:color="000000" w:sz="4" w:space="0"/>
            </w:tcBorders>
          </w:tcPr>
          <w:p w14:paraId="7FF1D67D">
            <w:pPr>
              <w:pStyle w:val="132"/>
              <w:kinsoku w:val="0"/>
              <w:overflowPunct w:val="0"/>
              <w:spacing w:line="229" w:lineRule="exact"/>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3057264D">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1808F8DA">
            <w:pPr>
              <w:pStyle w:val="132"/>
              <w:kinsoku w:val="0"/>
              <w:overflowPunct w:val="0"/>
              <w:rPr>
                <w:rFonts w:ascii="黑体" w:hAnsi="黑体" w:eastAsia="黑体" w:cs="Times New Roman"/>
                <w:sz w:val="18"/>
                <w:szCs w:val="18"/>
              </w:rPr>
            </w:pPr>
          </w:p>
        </w:tc>
      </w:tr>
      <w:tr w14:paraId="50FB8767">
        <w:tblPrEx>
          <w:tblCellMar>
            <w:top w:w="0" w:type="dxa"/>
            <w:left w:w="0" w:type="dxa"/>
            <w:bottom w:w="0" w:type="dxa"/>
            <w:right w:w="0" w:type="dxa"/>
          </w:tblCellMar>
        </w:tblPrEx>
        <w:trPr>
          <w:trHeight w:val="1171" w:hRule="atLeast"/>
        </w:trPr>
        <w:tc>
          <w:tcPr>
            <w:tcW w:w="725" w:type="dxa"/>
            <w:tcBorders>
              <w:top w:val="single" w:color="000000" w:sz="4" w:space="0"/>
              <w:left w:val="single" w:color="000000" w:sz="4" w:space="0"/>
              <w:bottom w:val="single" w:color="000000" w:sz="4" w:space="0"/>
              <w:right w:val="single" w:color="000000" w:sz="4" w:space="0"/>
            </w:tcBorders>
          </w:tcPr>
          <w:p w14:paraId="0BA53811">
            <w:pPr>
              <w:pStyle w:val="132"/>
              <w:kinsoku w:val="0"/>
              <w:overflowPunct w:val="0"/>
              <w:spacing w:before="8"/>
              <w:rPr>
                <w:rFonts w:ascii="黑体" w:hAnsi="黑体" w:eastAsia="黑体"/>
                <w:b/>
                <w:bCs/>
                <w:sz w:val="18"/>
                <w:szCs w:val="18"/>
              </w:rPr>
            </w:pPr>
          </w:p>
          <w:p w14:paraId="28BEE4D9">
            <w:pPr>
              <w:pStyle w:val="132"/>
              <w:kinsoku w:val="0"/>
              <w:overflowPunct w:val="0"/>
              <w:ind w:left="158" w:right="62"/>
              <w:rPr>
                <w:rFonts w:ascii="黑体" w:hAnsi="黑体" w:eastAsia="黑体"/>
                <w:sz w:val="18"/>
                <w:szCs w:val="18"/>
              </w:rPr>
            </w:pPr>
            <w:r>
              <w:rPr>
                <w:rFonts w:ascii="黑体" w:hAnsi="黑体" w:eastAsia="黑体"/>
                <w:sz w:val="18"/>
                <w:szCs w:val="18"/>
              </w:rPr>
              <w:t xml:space="preserve">3.8 </w:t>
            </w:r>
          </w:p>
        </w:tc>
        <w:tc>
          <w:tcPr>
            <w:tcW w:w="1277" w:type="dxa"/>
            <w:tcBorders>
              <w:top w:val="single" w:color="000000" w:sz="4" w:space="0"/>
              <w:left w:val="single" w:color="000000" w:sz="4" w:space="0"/>
              <w:bottom w:val="single" w:color="000000" w:sz="4" w:space="0"/>
              <w:right w:val="single" w:color="000000" w:sz="4" w:space="0"/>
            </w:tcBorders>
          </w:tcPr>
          <w:p w14:paraId="5B510F44">
            <w:pPr>
              <w:pStyle w:val="132"/>
              <w:kinsoku w:val="0"/>
              <w:overflowPunct w:val="0"/>
              <w:spacing w:line="244" w:lineRule="auto"/>
              <w:ind w:left="105" w:right="55"/>
              <w:rPr>
                <w:rFonts w:ascii="黑体" w:hAnsi="黑体" w:eastAsia="黑体"/>
                <w:sz w:val="18"/>
                <w:szCs w:val="18"/>
              </w:rPr>
            </w:pPr>
            <w:r>
              <w:rPr>
                <w:rFonts w:hint="eastAsia" w:ascii="黑体" w:hAnsi="黑体" w:eastAsia="黑体"/>
                <w:sz w:val="18"/>
                <w:szCs w:val="18"/>
              </w:rPr>
              <w:t>抗震加固要求</w:t>
            </w:r>
          </w:p>
        </w:tc>
        <w:tc>
          <w:tcPr>
            <w:tcW w:w="5104" w:type="dxa"/>
            <w:gridSpan w:val="2"/>
            <w:tcBorders>
              <w:top w:val="single" w:color="000000" w:sz="4" w:space="0"/>
              <w:left w:val="single" w:color="000000" w:sz="4" w:space="0"/>
              <w:bottom w:val="single" w:color="000000" w:sz="4" w:space="0"/>
              <w:right w:val="single" w:color="000000" w:sz="4" w:space="0"/>
            </w:tcBorders>
          </w:tcPr>
          <w:p w14:paraId="72EBA193">
            <w:pPr>
              <w:pStyle w:val="132"/>
              <w:kinsoku w:val="0"/>
              <w:overflowPunct w:val="0"/>
              <w:spacing w:line="244" w:lineRule="auto"/>
              <w:ind w:left="105" w:right="92"/>
              <w:rPr>
                <w:rFonts w:ascii="黑体" w:hAnsi="黑体" w:eastAsia="黑体"/>
                <w:sz w:val="18"/>
                <w:szCs w:val="18"/>
              </w:rPr>
            </w:pPr>
            <w:r>
              <w:rPr>
                <w:rFonts w:hint="eastAsia" w:ascii="黑体" w:hAnsi="黑体" w:eastAsia="黑体"/>
                <w:sz w:val="18"/>
                <w:szCs w:val="18"/>
              </w:rPr>
              <w:t>安装内容中涉及抗震加固部分应按照</w:t>
            </w:r>
            <w:r>
              <w:rPr>
                <w:rFonts w:ascii="黑体" w:hAnsi="黑体" w:eastAsia="黑体" w:cs="Calibri"/>
                <w:sz w:val="18"/>
                <w:szCs w:val="18"/>
              </w:rPr>
              <w:t>YD 5059-2005</w:t>
            </w:r>
            <w:r>
              <w:rPr>
                <w:rFonts w:hint="eastAsia" w:ascii="黑体" w:hAnsi="黑体" w:eastAsia="黑体"/>
                <w:sz w:val="18"/>
                <w:szCs w:val="18"/>
              </w:rPr>
              <w:t>《电信设备安装抗震设计规范》有关规定执行。</w:t>
            </w:r>
          </w:p>
        </w:tc>
        <w:tc>
          <w:tcPr>
            <w:tcW w:w="1278" w:type="dxa"/>
            <w:tcBorders>
              <w:top w:val="single" w:color="000000" w:sz="4" w:space="0"/>
              <w:left w:val="single" w:color="000000" w:sz="4" w:space="0"/>
              <w:bottom w:val="single" w:color="000000" w:sz="4" w:space="0"/>
              <w:right w:val="single" w:color="000000" w:sz="4" w:space="0"/>
            </w:tcBorders>
          </w:tcPr>
          <w:p w14:paraId="6B9F3C20">
            <w:pPr>
              <w:pStyle w:val="132"/>
              <w:kinsoku w:val="0"/>
              <w:overflowPunct w:val="0"/>
              <w:spacing w:line="228" w:lineRule="exact"/>
              <w:ind w:left="106"/>
              <w:rPr>
                <w:rFonts w:ascii="黑体" w:hAnsi="黑体" w:eastAsia="黑体"/>
                <w:w w:val="101"/>
                <w:sz w:val="18"/>
                <w:szCs w:val="18"/>
              </w:rPr>
            </w:pPr>
            <w:r>
              <w:rPr>
                <w:rFonts w:hint="eastAsia" w:ascii="黑体" w:hAnsi="黑体" w:eastAsia="黑体"/>
                <w:b/>
                <w:bCs/>
                <w:sz w:val="18"/>
                <w:szCs w:val="18"/>
              </w:rPr>
              <w:t>□满足</w:t>
            </w:r>
            <w:r>
              <w:rPr>
                <w:rFonts w:ascii="黑体" w:hAnsi="黑体" w:eastAsia="黑体"/>
                <w:w w:val="101"/>
                <w:sz w:val="18"/>
                <w:szCs w:val="18"/>
              </w:rPr>
              <w:t xml:space="preserve"> </w:t>
            </w:r>
          </w:p>
          <w:p w14:paraId="2AC82142">
            <w:pPr>
              <w:pStyle w:val="132"/>
              <w:kinsoku w:val="0"/>
              <w:overflowPunct w:val="0"/>
              <w:spacing w:before="4"/>
              <w:ind w:left="106"/>
              <w:rPr>
                <w:rFonts w:ascii="黑体" w:hAnsi="黑体" w:eastAsia="黑体"/>
                <w:sz w:val="18"/>
                <w:szCs w:val="18"/>
              </w:rPr>
            </w:pPr>
            <w:r>
              <w:rPr>
                <w:rFonts w:hint="eastAsia" w:ascii="黑体" w:hAnsi="黑体" w:eastAsia="黑体"/>
                <w:sz w:val="18"/>
                <w:szCs w:val="18"/>
              </w:rPr>
              <w:t>□不满足</w:t>
            </w:r>
            <w:r>
              <w:rPr>
                <w:rFonts w:ascii="黑体" w:hAnsi="黑体" w:eastAsia="黑体"/>
                <w:sz w:val="18"/>
                <w:szCs w:val="18"/>
              </w:rPr>
              <w:t xml:space="preserve"> </w:t>
            </w:r>
          </w:p>
        </w:tc>
        <w:tc>
          <w:tcPr>
            <w:tcW w:w="1119" w:type="dxa"/>
            <w:tcBorders>
              <w:top w:val="single" w:color="000000" w:sz="4" w:space="0"/>
              <w:left w:val="single" w:color="000000" w:sz="4" w:space="0"/>
              <w:bottom w:val="single" w:color="000000" w:sz="4" w:space="0"/>
              <w:right w:val="single" w:color="000000" w:sz="4" w:space="0"/>
            </w:tcBorders>
          </w:tcPr>
          <w:p w14:paraId="0FF889BB">
            <w:pPr>
              <w:pStyle w:val="132"/>
              <w:kinsoku w:val="0"/>
              <w:overflowPunct w:val="0"/>
              <w:rPr>
                <w:rFonts w:ascii="黑体" w:hAnsi="黑体" w:eastAsia="黑体" w:cs="Times New Roman"/>
                <w:sz w:val="18"/>
                <w:szCs w:val="18"/>
              </w:rPr>
            </w:pPr>
          </w:p>
        </w:tc>
      </w:tr>
    </w:tbl>
    <w:p w14:paraId="6C41D89E">
      <w:pPr>
        <w:jc w:val="left"/>
        <w:rPr>
          <w:rFonts w:ascii="黑体" w:hAnsi="黑体"/>
          <w:b/>
          <w:bCs/>
          <w:szCs w:val="18"/>
        </w:rPr>
        <w:sectPr>
          <w:pgSz w:w="11910" w:h="16840"/>
          <w:pgMar w:top="1660" w:right="700" w:bottom="1340" w:left="1220" w:header="720" w:footer="1146" w:gutter="0"/>
          <w:pgNumType w:fmt="decimal"/>
          <w:cols w:space="720" w:num="1"/>
        </w:sectPr>
      </w:pPr>
    </w:p>
    <w:p w14:paraId="60E6F74F">
      <w:pPr>
        <w:pStyle w:val="97"/>
        <w:rPr>
          <w:b/>
          <w:bCs/>
        </w:rPr>
      </w:pPr>
      <w:r>
        <w:rPr>
          <w:rFonts w:hint="eastAsia"/>
          <w:bCs/>
        </w:rPr>
        <w:t>产品质量和可靠性要求</w:t>
      </w:r>
    </w:p>
    <w:p w14:paraId="448BF576">
      <w:pPr>
        <w:pStyle w:val="14"/>
        <w:kinsoku w:val="0"/>
        <w:overflowPunct w:val="0"/>
        <w:spacing w:before="6"/>
        <w:jc w:val="left"/>
        <w:rPr>
          <w:rFonts w:ascii="黑体" w:hAnsi="黑体"/>
          <w:b/>
          <w:bCs/>
          <w:szCs w:val="18"/>
        </w:rPr>
      </w:pPr>
    </w:p>
    <w:tbl>
      <w:tblPr>
        <w:tblStyle w:val="36"/>
        <w:tblW w:w="0" w:type="auto"/>
        <w:tblInd w:w="226" w:type="dxa"/>
        <w:tblLayout w:type="fixed"/>
        <w:tblCellMar>
          <w:top w:w="0" w:type="dxa"/>
          <w:left w:w="0" w:type="dxa"/>
          <w:bottom w:w="0" w:type="dxa"/>
          <w:right w:w="0" w:type="dxa"/>
        </w:tblCellMar>
      </w:tblPr>
      <w:tblGrid>
        <w:gridCol w:w="711"/>
        <w:gridCol w:w="7799"/>
        <w:gridCol w:w="1134"/>
      </w:tblGrid>
      <w:tr w14:paraId="6973F1F6">
        <w:tblPrEx>
          <w:tblCellMar>
            <w:top w:w="0" w:type="dxa"/>
            <w:left w:w="0" w:type="dxa"/>
            <w:bottom w:w="0" w:type="dxa"/>
            <w:right w:w="0" w:type="dxa"/>
          </w:tblCellMar>
        </w:tblPrEx>
        <w:trPr>
          <w:trHeight w:val="388" w:hRule="atLeast"/>
        </w:trPr>
        <w:tc>
          <w:tcPr>
            <w:tcW w:w="711" w:type="dxa"/>
            <w:tcBorders>
              <w:top w:val="single" w:color="000000" w:sz="4" w:space="0"/>
              <w:left w:val="single" w:color="000000" w:sz="4" w:space="0"/>
              <w:bottom w:val="single" w:color="000000" w:sz="4" w:space="0"/>
              <w:right w:val="single" w:color="000000" w:sz="4" w:space="0"/>
            </w:tcBorders>
            <w:shd w:val="clear" w:color="auto" w:fill="F1F1F1"/>
          </w:tcPr>
          <w:p w14:paraId="3D450C84">
            <w:pPr>
              <w:pStyle w:val="132"/>
              <w:kinsoku w:val="0"/>
              <w:overflowPunct w:val="0"/>
              <w:spacing w:before="55"/>
              <w:ind w:right="228"/>
              <w:rPr>
                <w:rFonts w:ascii="黑体" w:hAnsi="黑体" w:eastAsia="黑体"/>
                <w:b/>
                <w:bCs/>
                <w:sz w:val="18"/>
                <w:szCs w:val="18"/>
              </w:rPr>
            </w:pPr>
            <w:r>
              <w:rPr>
                <w:rFonts w:hint="eastAsia" w:ascii="黑体" w:hAnsi="黑体" w:eastAsia="黑体"/>
                <w:b/>
                <w:bCs/>
                <w:sz w:val="18"/>
                <w:szCs w:val="18"/>
              </w:rPr>
              <w:t>序号</w:t>
            </w:r>
          </w:p>
        </w:tc>
        <w:tc>
          <w:tcPr>
            <w:tcW w:w="7799" w:type="dxa"/>
            <w:tcBorders>
              <w:top w:val="single" w:color="000000" w:sz="4" w:space="0"/>
              <w:left w:val="single" w:color="000000" w:sz="4" w:space="0"/>
              <w:bottom w:val="single" w:color="000000" w:sz="4" w:space="0"/>
              <w:right w:val="single" w:color="000000" w:sz="4" w:space="0"/>
            </w:tcBorders>
            <w:shd w:val="clear" w:color="auto" w:fill="F1F1F1"/>
          </w:tcPr>
          <w:p w14:paraId="1B88F9B3">
            <w:pPr>
              <w:pStyle w:val="132"/>
              <w:kinsoku w:val="0"/>
              <w:overflowPunct w:val="0"/>
              <w:spacing w:before="55"/>
              <w:ind w:left="105"/>
              <w:rPr>
                <w:rFonts w:ascii="黑体" w:hAnsi="黑体" w:eastAsia="黑体"/>
                <w:b/>
                <w:bCs/>
                <w:sz w:val="18"/>
                <w:szCs w:val="18"/>
              </w:rPr>
            </w:pPr>
            <w:r>
              <w:rPr>
                <w:rFonts w:hint="eastAsia" w:ascii="黑体" w:hAnsi="黑体" w:eastAsia="黑体"/>
                <w:b/>
                <w:bCs/>
                <w:sz w:val="18"/>
                <w:szCs w:val="18"/>
              </w:rPr>
              <w:t>产品质量和可靠性要求</w:t>
            </w:r>
          </w:p>
        </w:tc>
        <w:tc>
          <w:tcPr>
            <w:tcW w:w="1134" w:type="dxa"/>
            <w:tcBorders>
              <w:top w:val="single" w:color="000000" w:sz="4" w:space="0"/>
              <w:left w:val="single" w:color="000000" w:sz="4" w:space="0"/>
              <w:bottom w:val="single" w:color="000000" w:sz="4" w:space="0"/>
              <w:right w:val="single" w:color="000000" w:sz="4" w:space="0"/>
            </w:tcBorders>
            <w:shd w:val="clear" w:color="auto" w:fill="F1F1F1"/>
          </w:tcPr>
          <w:p w14:paraId="0F2F2C5F">
            <w:pPr>
              <w:pStyle w:val="132"/>
              <w:kinsoku w:val="0"/>
              <w:overflowPunct w:val="0"/>
              <w:spacing w:before="55"/>
              <w:ind w:left="364" w:right="357"/>
              <w:rPr>
                <w:rFonts w:ascii="黑体" w:hAnsi="黑体" w:eastAsia="黑体"/>
                <w:b/>
                <w:bCs/>
                <w:sz w:val="18"/>
                <w:szCs w:val="18"/>
              </w:rPr>
            </w:pPr>
            <w:r>
              <w:rPr>
                <w:rFonts w:hint="eastAsia" w:ascii="黑体" w:hAnsi="黑体" w:eastAsia="黑体"/>
                <w:b/>
                <w:bCs/>
                <w:sz w:val="18"/>
                <w:szCs w:val="18"/>
              </w:rPr>
              <w:t>备注</w:t>
            </w:r>
          </w:p>
        </w:tc>
      </w:tr>
      <w:tr w14:paraId="15AE84C5">
        <w:tblPrEx>
          <w:tblCellMar>
            <w:top w:w="0" w:type="dxa"/>
            <w:left w:w="0" w:type="dxa"/>
            <w:bottom w:w="0" w:type="dxa"/>
            <w:right w:w="0" w:type="dxa"/>
          </w:tblCellMar>
        </w:tblPrEx>
        <w:trPr>
          <w:trHeight w:val="470" w:hRule="atLeast"/>
        </w:trPr>
        <w:tc>
          <w:tcPr>
            <w:tcW w:w="711" w:type="dxa"/>
            <w:tcBorders>
              <w:top w:val="single" w:color="000000" w:sz="4" w:space="0"/>
              <w:left w:val="single" w:color="000000" w:sz="4" w:space="0"/>
              <w:bottom w:val="single" w:color="000000" w:sz="4" w:space="0"/>
              <w:right w:val="single" w:color="000000" w:sz="4" w:space="0"/>
            </w:tcBorders>
          </w:tcPr>
          <w:p w14:paraId="413B632E">
            <w:pPr>
              <w:pStyle w:val="132"/>
              <w:kinsoku w:val="0"/>
              <w:overflowPunct w:val="0"/>
              <w:spacing w:before="107"/>
              <w:ind w:right="299"/>
              <w:rPr>
                <w:rFonts w:ascii="黑体" w:hAnsi="黑体" w:eastAsia="黑体" w:cs="Calibri"/>
                <w:w w:val="101"/>
                <w:sz w:val="18"/>
                <w:szCs w:val="18"/>
              </w:rPr>
            </w:pPr>
            <w:r>
              <w:rPr>
                <w:rFonts w:ascii="黑体" w:hAnsi="黑体" w:eastAsia="黑体" w:cs="Calibri"/>
                <w:w w:val="101"/>
                <w:sz w:val="18"/>
                <w:szCs w:val="18"/>
              </w:rPr>
              <w:t>1</w:t>
            </w:r>
          </w:p>
        </w:tc>
        <w:tc>
          <w:tcPr>
            <w:tcW w:w="7799" w:type="dxa"/>
            <w:tcBorders>
              <w:top w:val="single" w:color="000000" w:sz="4" w:space="0"/>
              <w:left w:val="single" w:color="000000" w:sz="4" w:space="0"/>
              <w:bottom w:val="single" w:color="000000" w:sz="4" w:space="0"/>
              <w:right w:val="single" w:color="000000" w:sz="4" w:space="0"/>
            </w:tcBorders>
          </w:tcPr>
          <w:p w14:paraId="004526DE">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所供货的产品必须为原厂生产，不允许通过代理采购。</w:t>
            </w:r>
          </w:p>
        </w:tc>
        <w:tc>
          <w:tcPr>
            <w:tcW w:w="1134" w:type="dxa"/>
            <w:tcBorders>
              <w:top w:val="single" w:color="000000" w:sz="4" w:space="0"/>
              <w:left w:val="single" w:color="000000" w:sz="4" w:space="0"/>
              <w:bottom w:val="single" w:color="000000" w:sz="4" w:space="0"/>
              <w:right w:val="single" w:color="000000" w:sz="4" w:space="0"/>
            </w:tcBorders>
          </w:tcPr>
          <w:p w14:paraId="2D999695">
            <w:pPr>
              <w:pStyle w:val="132"/>
              <w:kinsoku w:val="0"/>
              <w:overflowPunct w:val="0"/>
              <w:rPr>
                <w:rFonts w:ascii="黑体" w:hAnsi="黑体" w:eastAsia="黑体" w:cs="Times New Roman"/>
                <w:sz w:val="18"/>
                <w:szCs w:val="18"/>
              </w:rPr>
            </w:pPr>
          </w:p>
        </w:tc>
      </w:tr>
      <w:tr w14:paraId="0F6DD754">
        <w:tblPrEx>
          <w:tblCellMar>
            <w:top w:w="0" w:type="dxa"/>
            <w:left w:w="0" w:type="dxa"/>
            <w:bottom w:w="0" w:type="dxa"/>
            <w:right w:w="0" w:type="dxa"/>
          </w:tblCellMar>
        </w:tblPrEx>
        <w:trPr>
          <w:trHeight w:val="465" w:hRule="atLeast"/>
        </w:trPr>
        <w:tc>
          <w:tcPr>
            <w:tcW w:w="711" w:type="dxa"/>
            <w:tcBorders>
              <w:top w:val="single" w:color="000000" w:sz="4" w:space="0"/>
              <w:left w:val="single" w:color="000000" w:sz="4" w:space="0"/>
              <w:bottom w:val="single" w:color="000000" w:sz="4" w:space="0"/>
              <w:right w:val="single" w:color="000000" w:sz="4" w:space="0"/>
            </w:tcBorders>
          </w:tcPr>
          <w:p w14:paraId="55142429">
            <w:pPr>
              <w:pStyle w:val="132"/>
              <w:kinsoku w:val="0"/>
              <w:overflowPunct w:val="0"/>
              <w:spacing w:before="102"/>
              <w:ind w:right="299"/>
              <w:rPr>
                <w:rFonts w:ascii="黑体" w:hAnsi="黑体" w:eastAsia="黑体" w:cs="Calibri"/>
                <w:w w:val="101"/>
                <w:sz w:val="18"/>
                <w:szCs w:val="18"/>
              </w:rPr>
            </w:pPr>
            <w:r>
              <w:rPr>
                <w:rFonts w:ascii="黑体" w:hAnsi="黑体" w:eastAsia="黑体" w:cs="Calibri"/>
                <w:w w:val="101"/>
                <w:sz w:val="18"/>
                <w:szCs w:val="18"/>
              </w:rPr>
              <w:t>2</w:t>
            </w:r>
          </w:p>
        </w:tc>
        <w:tc>
          <w:tcPr>
            <w:tcW w:w="7799" w:type="dxa"/>
            <w:tcBorders>
              <w:top w:val="single" w:color="000000" w:sz="4" w:space="0"/>
              <w:left w:val="single" w:color="000000" w:sz="4" w:space="0"/>
              <w:bottom w:val="single" w:color="000000" w:sz="4" w:space="0"/>
              <w:right w:val="single" w:color="000000" w:sz="4" w:space="0"/>
            </w:tcBorders>
          </w:tcPr>
          <w:p w14:paraId="17F1C788">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所供货产品必须满足规格要求，包括但不限于：尺寸规格、材质要求、表面处理方式等。</w:t>
            </w:r>
          </w:p>
        </w:tc>
        <w:tc>
          <w:tcPr>
            <w:tcW w:w="1134" w:type="dxa"/>
            <w:tcBorders>
              <w:top w:val="single" w:color="000000" w:sz="4" w:space="0"/>
              <w:left w:val="single" w:color="000000" w:sz="4" w:space="0"/>
              <w:bottom w:val="single" w:color="000000" w:sz="4" w:space="0"/>
              <w:right w:val="single" w:color="000000" w:sz="4" w:space="0"/>
            </w:tcBorders>
          </w:tcPr>
          <w:p w14:paraId="4B35DDB4">
            <w:pPr>
              <w:pStyle w:val="132"/>
              <w:kinsoku w:val="0"/>
              <w:overflowPunct w:val="0"/>
              <w:rPr>
                <w:rFonts w:ascii="黑体" w:hAnsi="黑体" w:eastAsia="黑体" w:cs="Times New Roman"/>
                <w:sz w:val="18"/>
                <w:szCs w:val="18"/>
              </w:rPr>
            </w:pPr>
          </w:p>
        </w:tc>
      </w:tr>
      <w:tr w14:paraId="0696E8AD">
        <w:tblPrEx>
          <w:tblCellMar>
            <w:top w:w="0" w:type="dxa"/>
            <w:left w:w="0" w:type="dxa"/>
            <w:bottom w:w="0" w:type="dxa"/>
            <w:right w:w="0" w:type="dxa"/>
          </w:tblCellMar>
        </w:tblPrEx>
        <w:trPr>
          <w:trHeight w:val="1473" w:hRule="atLeast"/>
        </w:trPr>
        <w:tc>
          <w:tcPr>
            <w:tcW w:w="711" w:type="dxa"/>
            <w:tcBorders>
              <w:top w:val="single" w:color="000000" w:sz="4" w:space="0"/>
              <w:left w:val="single" w:color="000000" w:sz="4" w:space="0"/>
              <w:bottom w:val="single" w:color="000000" w:sz="4" w:space="0"/>
              <w:right w:val="single" w:color="000000" w:sz="4" w:space="0"/>
            </w:tcBorders>
          </w:tcPr>
          <w:p w14:paraId="03E2678C">
            <w:pPr>
              <w:pStyle w:val="132"/>
              <w:kinsoku w:val="0"/>
              <w:overflowPunct w:val="0"/>
              <w:rPr>
                <w:rFonts w:ascii="黑体" w:hAnsi="黑体" w:eastAsia="黑体"/>
                <w:b/>
                <w:bCs/>
                <w:sz w:val="18"/>
                <w:szCs w:val="18"/>
              </w:rPr>
            </w:pPr>
          </w:p>
          <w:p w14:paraId="7BC1E594">
            <w:pPr>
              <w:pStyle w:val="132"/>
              <w:kinsoku w:val="0"/>
              <w:overflowPunct w:val="0"/>
              <w:rPr>
                <w:rFonts w:ascii="黑体" w:hAnsi="黑体" w:eastAsia="黑体"/>
                <w:b/>
                <w:bCs/>
                <w:sz w:val="18"/>
                <w:szCs w:val="18"/>
              </w:rPr>
            </w:pPr>
          </w:p>
          <w:p w14:paraId="375EEF2B">
            <w:pPr>
              <w:pStyle w:val="132"/>
              <w:kinsoku w:val="0"/>
              <w:overflowPunct w:val="0"/>
              <w:spacing w:before="144"/>
              <w:ind w:right="299"/>
              <w:rPr>
                <w:rFonts w:ascii="黑体" w:hAnsi="黑体" w:eastAsia="黑体" w:cs="Calibri"/>
                <w:w w:val="101"/>
                <w:sz w:val="18"/>
                <w:szCs w:val="18"/>
              </w:rPr>
            </w:pPr>
            <w:r>
              <w:rPr>
                <w:rFonts w:ascii="黑体" w:hAnsi="黑体" w:eastAsia="黑体" w:cs="Calibri"/>
                <w:w w:val="101"/>
                <w:sz w:val="18"/>
                <w:szCs w:val="18"/>
              </w:rPr>
              <w:t>3</w:t>
            </w:r>
          </w:p>
        </w:tc>
        <w:tc>
          <w:tcPr>
            <w:tcW w:w="7799" w:type="dxa"/>
            <w:tcBorders>
              <w:top w:val="single" w:color="000000" w:sz="4" w:space="0"/>
              <w:left w:val="single" w:color="000000" w:sz="4" w:space="0"/>
              <w:bottom w:val="single" w:color="000000" w:sz="4" w:space="0"/>
              <w:right w:val="single" w:color="000000" w:sz="4" w:space="0"/>
            </w:tcBorders>
          </w:tcPr>
          <w:p w14:paraId="63A0AA35">
            <w:pPr>
              <w:pStyle w:val="132"/>
              <w:kinsoku w:val="0"/>
              <w:overflowPunct w:val="0"/>
              <w:rPr>
                <w:rFonts w:ascii="黑体" w:hAnsi="黑体" w:eastAsia="黑体"/>
                <w:b/>
                <w:bCs/>
                <w:sz w:val="18"/>
                <w:szCs w:val="18"/>
              </w:rPr>
            </w:pPr>
          </w:p>
          <w:p w14:paraId="32BE530A">
            <w:pPr>
              <w:pStyle w:val="132"/>
              <w:kinsoku w:val="0"/>
              <w:overflowPunct w:val="0"/>
              <w:spacing w:before="136" w:line="280" w:lineRule="auto"/>
              <w:ind w:left="105" w:right="-15"/>
              <w:rPr>
                <w:rFonts w:ascii="黑体" w:hAnsi="黑体" w:eastAsia="黑体"/>
                <w:spacing w:val="-4"/>
                <w:sz w:val="18"/>
                <w:szCs w:val="18"/>
              </w:rPr>
            </w:pPr>
            <w:r>
              <w:rPr>
                <w:rFonts w:hint="eastAsia" w:ascii="黑体" w:hAnsi="黑体" w:eastAsia="黑体"/>
                <w:sz w:val="18"/>
                <w:szCs w:val="18"/>
              </w:rPr>
              <w:t>所供货产品（包括零部件、配件等）必须是全新无变质，表面无划伤及变形，无开裂、鼓包、脱</w:t>
            </w:r>
            <w:r>
              <w:rPr>
                <w:rFonts w:hint="eastAsia" w:ascii="黑体" w:hAnsi="黑体" w:eastAsia="黑体"/>
                <w:spacing w:val="-4"/>
                <w:sz w:val="18"/>
                <w:szCs w:val="18"/>
              </w:rPr>
              <w:t>胶，翘起等问题。</w:t>
            </w:r>
          </w:p>
        </w:tc>
        <w:tc>
          <w:tcPr>
            <w:tcW w:w="1134" w:type="dxa"/>
            <w:tcBorders>
              <w:top w:val="single" w:color="000000" w:sz="4" w:space="0"/>
              <w:left w:val="single" w:color="000000" w:sz="4" w:space="0"/>
              <w:bottom w:val="single" w:color="000000" w:sz="4" w:space="0"/>
              <w:right w:val="single" w:color="000000" w:sz="4" w:space="0"/>
            </w:tcBorders>
          </w:tcPr>
          <w:p w14:paraId="5FE883D1">
            <w:pPr>
              <w:pStyle w:val="132"/>
              <w:kinsoku w:val="0"/>
              <w:overflowPunct w:val="0"/>
              <w:rPr>
                <w:rFonts w:ascii="黑体" w:hAnsi="黑体" w:eastAsia="黑体" w:cs="Times New Roman"/>
                <w:sz w:val="18"/>
                <w:szCs w:val="18"/>
              </w:rPr>
            </w:pPr>
          </w:p>
        </w:tc>
      </w:tr>
      <w:tr w14:paraId="69E750FA">
        <w:tblPrEx>
          <w:tblCellMar>
            <w:top w:w="0" w:type="dxa"/>
            <w:left w:w="0" w:type="dxa"/>
            <w:bottom w:w="0" w:type="dxa"/>
            <w:right w:w="0" w:type="dxa"/>
          </w:tblCellMar>
        </w:tblPrEx>
        <w:trPr>
          <w:trHeight w:val="465" w:hRule="atLeast"/>
        </w:trPr>
        <w:tc>
          <w:tcPr>
            <w:tcW w:w="711" w:type="dxa"/>
            <w:tcBorders>
              <w:top w:val="single" w:color="000000" w:sz="4" w:space="0"/>
              <w:left w:val="single" w:color="000000" w:sz="4" w:space="0"/>
              <w:bottom w:val="single" w:color="000000" w:sz="4" w:space="0"/>
              <w:right w:val="single" w:color="000000" w:sz="4" w:space="0"/>
            </w:tcBorders>
          </w:tcPr>
          <w:p w14:paraId="5C157B8B">
            <w:pPr>
              <w:pStyle w:val="132"/>
              <w:kinsoku w:val="0"/>
              <w:overflowPunct w:val="0"/>
              <w:spacing w:before="102"/>
              <w:ind w:right="299"/>
              <w:rPr>
                <w:rFonts w:ascii="黑体" w:hAnsi="黑体" w:eastAsia="黑体" w:cs="Calibri"/>
                <w:w w:val="101"/>
                <w:sz w:val="18"/>
                <w:szCs w:val="18"/>
              </w:rPr>
            </w:pPr>
            <w:r>
              <w:rPr>
                <w:rFonts w:ascii="黑体" w:hAnsi="黑体" w:eastAsia="黑体" w:cs="Calibri"/>
                <w:w w:val="101"/>
                <w:sz w:val="18"/>
                <w:szCs w:val="18"/>
              </w:rPr>
              <w:t>4</w:t>
            </w:r>
          </w:p>
        </w:tc>
        <w:tc>
          <w:tcPr>
            <w:tcW w:w="7799" w:type="dxa"/>
            <w:tcBorders>
              <w:top w:val="single" w:color="000000" w:sz="4" w:space="0"/>
              <w:left w:val="single" w:color="000000" w:sz="4" w:space="0"/>
              <w:bottom w:val="single" w:color="000000" w:sz="4" w:space="0"/>
              <w:right w:val="single" w:color="000000" w:sz="4" w:space="0"/>
            </w:tcBorders>
          </w:tcPr>
          <w:p w14:paraId="4328C38D">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所供货的产品必须有自主知识产权，不侵犯任何第三方的知识产权。</w:t>
            </w:r>
          </w:p>
        </w:tc>
        <w:tc>
          <w:tcPr>
            <w:tcW w:w="1134" w:type="dxa"/>
            <w:tcBorders>
              <w:top w:val="single" w:color="000000" w:sz="4" w:space="0"/>
              <w:left w:val="single" w:color="000000" w:sz="4" w:space="0"/>
              <w:bottom w:val="single" w:color="000000" w:sz="4" w:space="0"/>
              <w:right w:val="single" w:color="000000" w:sz="4" w:space="0"/>
            </w:tcBorders>
          </w:tcPr>
          <w:p w14:paraId="1EB47352">
            <w:pPr>
              <w:pStyle w:val="132"/>
              <w:kinsoku w:val="0"/>
              <w:overflowPunct w:val="0"/>
              <w:rPr>
                <w:rFonts w:ascii="黑体" w:hAnsi="黑体" w:eastAsia="黑体" w:cs="Times New Roman"/>
                <w:sz w:val="18"/>
                <w:szCs w:val="18"/>
              </w:rPr>
            </w:pPr>
          </w:p>
        </w:tc>
      </w:tr>
      <w:tr w14:paraId="27CEAD7A">
        <w:tblPrEx>
          <w:tblCellMar>
            <w:top w:w="0" w:type="dxa"/>
            <w:left w:w="0" w:type="dxa"/>
            <w:bottom w:w="0" w:type="dxa"/>
            <w:right w:w="0" w:type="dxa"/>
          </w:tblCellMar>
        </w:tblPrEx>
        <w:trPr>
          <w:trHeight w:val="470" w:hRule="atLeast"/>
        </w:trPr>
        <w:tc>
          <w:tcPr>
            <w:tcW w:w="711" w:type="dxa"/>
            <w:tcBorders>
              <w:top w:val="single" w:color="000000" w:sz="4" w:space="0"/>
              <w:left w:val="single" w:color="000000" w:sz="4" w:space="0"/>
              <w:bottom w:val="single" w:color="000000" w:sz="4" w:space="0"/>
              <w:right w:val="single" w:color="000000" w:sz="4" w:space="0"/>
            </w:tcBorders>
          </w:tcPr>
          <w:p w14:paraId="4BF568E7">
            <w:pPr>
              <w:pStyle w:val="132"/>
              <w:kinsoku w:val="0"/>
              <w:overflowPunct w:val="0"/>
              <w:spacing w:before="107"/>
              <w:ind w:right="299"/>
              <w:rPr>
                <w:rFonts w:ascii="黑体" w:hAnsi="黑体" w:eastAsia="黑体" w:cs="Calibri"/>
                <w:w w:val="101"/>
                <w:sz w:val="18"/>
                <w:szCs w:val="18"/>
              </w:rPr>
            </w:pPr>
            <w:r>
              <w:rPr>
                <w:rFonts w:ascii="黑体" w:hAnsi="黑体" w:eastAsia="黑体" w:cs="Calibri"/>
                <w:w w:val="101"/>
                <w:sz w:val="18"/>
                <w:szCs w:val="18"/>
              </w:rPr>
              <w:t>5</w:t>
            </w:r>
          </w:p>
        </w:tc>
        <w:tc>
          <w:tcPr>
            <w:tcW w:w="7799" w:type="dxa"/>
            <w:tcBorders>
              <w:top w:val="single" w:color="000000" w:sz="4" w:space="0"/>
              <w:left w:val="single" w:color="000000" w:sz="4" w:space="0"/>
              <w:bottom w:val="single" w:color="000000" w:sz="4" w:space="0"/>
              <w:right w:val="single" w:color="000000" w:sz="4" w:space="0"/>
            </w:tcBorders>
          </w:tcPr>
          <w:p w14:paraId="4DB4785A">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有完善质量管理体系，产品经过严格测试检验合格后才能发货。</w:t>
            </w:r>
          </w:p>
        </w:tc>
        <w:tc>
          <w:tcPr>
            <w:tcW w:w="1134" w:type="dxa"/>
            <w:tcBorders>
              <w:top w:val="single" w:color="000000" w:sz="4" w:space="0"/>
              <w:left w:val="single" w:color="000000" w:sz="4" w:space="0"/>
              <w:bottom w:val="single" w:color="000000" w:sz="4" w:space="0"/>
              <w:right w:val="single" w:color="000000" w:sz="4" w:space="0"/>
            </w:tcBorders>
          </w:tcPr>
          <w:p w14:paraId="448B1D7C">
            <w:pPr>
              <w:pStyle w:val="132"/>
              <w:kinsoku w:val="0"/>
              <w:overflowPunct w:val="0"/>
              <w:rPr>
                <w:rFonts w:ascii="黑体" w:hAnsi="黑体" w:eastAsia="黑体" w:cs="Times New Roman"/>
                <w:sz w:val="18"/>
                <w:szCs w:val="18"/>
              </w:rPr>
            </w:pPr>
          </w:p>
        </w:tc>
      </w:tr>
      <w:tr w14:paraId="62BB1EAA">
        <w:tblPrEx>
          <w:tblCellMar>
            <w:top w:w="0" w:type="dxa"/>
            <w:left w:w="0" w:type="dxa"/>
            <w:bottom w:w="0" w:type="dxa"/>
            <w:right w:w="0" w:type="dxa"/>
          </w:tblCellMar>
        </w:tblPrEx>
        <w:trPr>
          <w:trHeight w:val="470" w:hRule="atLeast"/>
        </w:trPr>
        <w:tc>
          <w:tcPr>
            <w:tcW w:w="711" w:type="dxa"/>
            <w:tcBorders>
              <w:top w:val="single" w:color="000000" w:sz="4" w:space="0"/>
              <w:left w:val="single" w:color="000000" w:sz="4" w:space="0"/>
              <w:bottom w:val="single" w:color="000000" w:sz="4" w:space="0"/>
              <w:right w:val="single" w:color="000000" w:sz="4" w:space="0"/>
            </w:tcBorders>
          </w:tcPr>
          <w:p w14:paraId="56D4312A">
            <w:pPr>
              <w:pStyle w:val="132"/>
              <w:kinsoku w:val="0"/>
              <w:overflowPunct w:val="0"/>
              <w:spacing w:before="107"/>
              <w:ind w:right="299"/>
              <w:rPr>
                <w:rFonts w:ascii="黑体" w:hAnsi="黑体" w:eastAsia="黑体" w:cs="Calibri"/>
                <w:w w:val="101"/>
                <w:sz w:val="18"/>
                <w:szCs w:val="18"/>
              </w:rPr>
            </w:pPr>
            <w:r>
              <w:rPr>
                <w:rFonts w:ascii="黑体" w:hAnsi="黑体" w:eastAsia="黑体" w:cs="Calibri"/>
                <w:w w:val="101"/>
                <w:sz w:val="18"/>
                <w:szCs w:val="18"/>
              </w:rPr>
              <w:t>6</w:t>
            </w:r>
          </w:p>
        </w:tc>
        <w:tc>
          <w:tcPr>
            <w:tcW w:w="7799" w:type="dxa"/>
            <w:tcBorders>
              <w:top w:val="single" w:color="000000" w:sz="4" w:space="0"/>
              <w:left w:val="single" w:color="000000" w:sz="4" w:space="0"/>
              <w:bottom w:val="single" w:color="000000" w:sz="4" w:space="0"/>
              <w:right w:val="single" w:color="000000" w:sz="4" w:space="0"/>
            </w:tcBorders>
          </w:tcPr>
          <w:p w14:paraId="0B01B067">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有完善的批次追溯机制，能根据客户反馈信息追溯到问题批次以及影响的范围。</w:t>
            </w:r>
          </w:p>
        </w:tc>
        <w:tc>
          <w:tcPr>
            <w:tcW w:w="1134" w:type="dxa"/>
            <w:tcBorders>
              <w:top w:val="single" w:color="000000" w:sz="4" w:space="0"/>
              <w:left w:val="single" w:color="000000" w:sz="4" w:space="0"/>
              <w:bottom w:val="single" w:color="000000" w:sz="4" w:space="0"/>
              <w:right w:val="single" w:color="000000" w:sz="4" w:space="0"/>
            </w:tcBorders>
          </w:tcPr>
          <w:p w14:paraId="354A1D4C">
            <w:pPr>
              <w:pStyle w:val="132"/>
              <w:kinsoku w:val="0"/>
              <w:overflowPunct w:val="0"/>
              <w:rPr>
                <w:rFonts w:ascii="黑体" w:hAnsi="黑体" w:eastAsia="黑体" w:cs="Times New Roman"/>
                <w:sz w:val="18"/>
                <w:szCs w:val="18"/>
              </w:rPr>
            </w:pPr>
          </w:p>
        </w:tc>
      </w:tr>
      <w:tr w14:paraId="0C15C3B8">
        <w:tblPrEx>
          <w:tblCellMar>
            <w:top w:w="0" w:type="dxa"/>
            <w:left w:w="0" w:type="dxa"/>
            <w:bottom w:w="0" w:type="dxa"/>
            <w:right w:w="0" w:type="dxa"/>
          </w:tblCellMar>
        </w:tblPrEx>
        <w:trPr>
          <w:trHeight w:val="465" w:hRule="atLeast"/>
        </w:trPr>
        <w:tc>
          <w:tcPr>
            <w:tcW w:w="711" w:type="dxa"/>
            <w:tcBorders>
              <w:top w:val="single" w:color="000000" w:sz="4" w:space="0"/>
              <w:left w:val="single" w:color="000000" w:sz="4" w:space="0"/>
              <w:bottom w:val="single" w:color="000000" w:sz="4" w:space="0"/>
              <w:right w:val="single" w:color="000000" w:sz="4" w:space="0"/>
            </w:tcBorders>
          </w:tcPr>
          <w:p w14:paraId="5FA9C69B">
            <w:pPr>
              <w:pStyle w:val="132"/>
              <w:kinsoku w:val="0"/>
              <w:overflowPunct w:val="0"/>
              <w:spacing w:before="102"/>
              <w:ind w:right="299"/>
              <w:rPr>
                <w:rFonts w:ascii="黑体" w:hAnsi="黑体" w:eastAsia="黑体" w:cs="Calibri"/>
                <w:w w:val="101"/>
                <w:sz w:val="18"/>
                <w:szCs w:val="18"/>
              </w:rPr>
            </w:pPr>
            <w:r>
              <w:rPr>
                <w:rFonts w:ascii="黑体" w:hAnsi="黑体" w:eastAsia="黑体" w:cs="Calibri"/>
                <w:w w:val="101"/>
                <w:sz w:val="18"/>
                <w:szCs w:val="18"/>
              </w:rPr>
              <w:t>7</w:t>
            </w:r>
          </w:p>
        </w:tc>
        <w:tc>
          <w:tcPr>
            <w:tcW w:w="7799" w:type="dxa"/>
            <w:tcBorders>
              <w:top w:val="single" w:color="000000" w:sz="4" w:space="0"/>
              <w:left w:val="single" w:color="000000" w:sz="4" w:space="0"/>
              <w:bottom w:val="single" w:color="000000" w:sz="4" w:space="0"/>
              <w:right w:val="single" w:color="000000" w:sz="4" w:space="0"/>
            </w:tcBorders>
          </w:tcPr>
          <w:p w14:paraId="5C3AA0DA">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供货商有例行的可靠性抽测流程，对产品可靠性进行抽检，确保产品可靠性满足技术规范要求。</w:t>
            </w:r>
          </w:p>
        </w:tc>
        <w:tc>
          <w:tcPr>
            <w:tcW w:w="1134" w:type="dxa"/>
            <w:tcBorders>
              <w:top w:val="single" w:color="000000" w:sz="4" w:space="0"/>
              <w:left w:val="single" w:color="000000" w:sz="4" w:space="0"/>
              <w:bottom w:val="single" w:color="000000" w:sz="4" w:space="0"/>
              <w:right w:val="single" w:color="000000" w:sz="4" w:space="0"/>
            </w:tcBorders>
          </w:tcPr>
          <w:p w14:paraId="61192914">
            <w:pPr>
              <w:pStyle w:val="132"/>
              <w:kinsoku w:val="0"/>
              <w:overflowPunct w:val="0"/>
              <w:spacing w:before="113"/>
              <w:ind w:left="104"/>
              <w:rPr>
                <w:rFonts w:ascii="黑体" w:hAnsi="黑体" w:eastAsia="黑体"/>
                <w:w w:val="101"/>
                <w:sz w:val="18"/>
                <w:szCs w:val="18"/>
              </w:rPr>
            </w:pPr>
            <w:r>
              <w:rPr>
                <w:rFonts w:ascii="黑体" w:hAnsi="黑体" w:eastAsia="黑体"/>
                <w:w w:val="101"/>
                <w:sz w:val="18"/>
                <w:szCs w:val="18"/>
              </w:rPr>
              <w:t xml:space="preserve"> </w:t>
            </w:r>
          </w:p>
        </w:tc>
      </w:tr>
      <w:tr w14:paraId="2FE218E4">
        <w:tblPrEx>
          <w:tblCellMar>
            <w:top w:w="0" w:type="dxa"/>
            <w:left w:w="0" w:type="dxa"/>
            <w:bottom w:w="0" w:type="dxa"/>
            <w:right w:w="0" w:type="dxa"/>
          </w:tblCellMar>
        </w:tblPrEx>
        <w:trPr>
          <w:trHeight w:val="738" w:hRule="atLeast"/>
        </w:trPr>
        <w:tc>
          <w:tcPr>
            <w:tcW w:w="711" w:type="dxa"/>
            <w:tcBorders>
              <w:top w:val="single" w:color="000000" w:sz="4" w:space="0"/>
              <w:left w:val="single" w:color="000000" w:sz="4" w:space="0"/>
              <w:bottom w:val="single" w:color="000000" w:sz="4" w:space="0"/>
              <w:right w:val="single" w:color="000000" w:sz="4" w:space="0"/>
            </w:tcBorders>
          </w:tcPr>
          <w:p w14:paraId="59DA5529">
            <w:pPr>
              <w:pStyle w:val="132"/>
              <w:kinsoku w:val="0"/>
              <w:overflowPunct w:val="0"/>
              <w:spacing w:before="10"/>
              <w:rPr>
                <w:rFonts w:ascii="黑体" w:hAnsi="黑体" w:eastAsia="黑体"/>
                <w:b/>
                <w:bCs/>
                <w:sz w:val="18"/>
                <w:szCs w:val="18"/>
              </w:rPr>
            </w:pPr>
          </w:p>
          <w:p w14:paraId="5DBF03FE">
            <w:pPr>
              <w:pStyle w:val="132"/>
              <w:kinsoku w:val="0"/>
              <w:overflowPunct w:val="0"/>
              <w:ind w:right="299"/>
              <w:rPr>
                <w:rFonts w:ascii="黑体" w:hAnsi="黑体" w:eastAsia="黑体" w:cs="Calibri"/>
                <w:w w:val="101"/>
                <w:sz w:val="18"/>
                <w:szCs w:val="18"/>
              </w:rPr>
            </w:pPr>
            <w:r>
              <w:rPr>
                <w:rFonts w:ascii="黑体" w:hAnsi="黑体" w:eastAsia="黑体" w:cs="Calibri"/>
                <w:w w:val="101"/>
                <w:sz w:val="18"/>
                <w:szCs w:val="18"/>
              </w:rPr>
              <w:t>8</w:t>
            </w:r>
          </w:p>
        </w:tc>
        <w:tc>
          <w:tcPr>
            <w:tcW w:w="7799" w:type="dxa"/>
            <w:tcBorders>
              <w:top w:val="single" w:color="000000" w:sz="4" w:space="0"/>
              <w:left w:val="single" w:color="000000" w:sz="4" w:space="0"/>
              <w:bottom w:val="single" w:color="000000" w:sz="4" w:space="0"/>
              <w:right w:val="single" w:color="000000" w:sz="4" w:space="0"/>
            </w:tcBorders>
          </w:tcPr>
          <w:p w14:paraId="22296A05">
            <w:pPr>
              <w:pStyle w:val="132"/>
              <w:kinsoku w:val="0"/>
              <w:overflowPunct w:val="0"/>
              <w:spacing w:before="2"/>
              <w:ind w:left="105"/>
              <w:rPr>
                <w:rFonts w:ascii="黑体" w:hAnsi="黑体" w:eastAsia="黑体"/>
                <w:sz w:val="18"/>
                <w:szCs w:val="18"/>
              </w:rPr>
            </w:pPr>
            <w:r>
              <w:rPr>
                <w:rFonts w:hint="eastAsia" w:ascii="黑体" w:hAnsi="黑体" w:eastAsia="黑体"/>
                <w:sz w:val="18"/>
                <w:szCs w:val="18"/>
              </w:rPr>
              <w:t>如出现批量或严重的供货产品质量问题，将追究供应商的违约责任，并有权对其进行索赔</w:t>
            </w:r>
          </w:p>
          <w:p w14:paraId="2D73D46C">
            <w:pPr>
              <w:pStyle w:val="132"/>
              <w:kinsoku w:val="0"/>
              <w:overflowPunct w:val="0"/>
              <w:spacing w:before="33"/>
              <w:ind w:left="105"/>
              <w:rPr>
                <w:rFonts w:ascii="黑体" w:hAnsi="黑体" w:eastAsia="黑体"/>
                <w:sz w:val="18"/>
                <w:szCs w:val="18"/>
              </w:rPr>
            </w:pPr>
            <w:r>
              <w:rPr>
                <w:rFonts w:hint="eastAsia" w:ascii="黑体" w:hAnsi="黑体" w:eastAsia="黑体"/>
                <w:sz w:val="18"/>
                <w:szCs w:val="18"/>
              </w:rPr>
              <w:t>（包括但不限于赔偿直接损失、支付违约金等），甚至取消供货资格。</w:t>
            </w:r>
          </w:p>
        </w:tc>
        <w:tc>
          <w:tcPr>
            <w:tcW w:w="1134" w:type="dxa"/>
            <w:tcBorders>
              <w:top w:val="single" w:color="000000" w:sz="4" w:space="0"/>
              <w:left w:val="single" w:color="000000" w:sz="4" w:space="0"/>
              <w:bottom w:val="single" w:color="000000" w:sz="4" w:space="0"/>
              <w:right w:val="single" w:color="000000" w:sz="4" w:space="0"/>
            </w:tcBorders>
          </w:tcPr>
          <w:p w14:paraId="5C8EA96E">
            <w:pPr>
              <w:pStyle w:val="132"/>
              <w:kinsoku w:val="0"/>
              <w:overflowPunct w:val="0"/>
              <w:rPr>
                <w:rFonts w:ascii="黑体" w:hAnsi="黑体" w:eastAsia="黑体" w:cs="Times New Roman"/>
                <w:sz w:val="18"/>
                <w:szCs w:val="18"/>
              </w:rPr>
            </w:pPr>
          </w:p>
        </w:tc>
      </w:tr>
      <w:tr w14:paraId="17DC7FF1">
        <w:tblPrEx>
          <w:tblCellMar>
            <w:top w:w="0" w:type="dxa"/>
            <w:left w:w="0" w:type="dxa"/>
            <w:bottom w:w="0" w:type="dxa"/>
            <w:right w:w="0" w:type="dxa"/>
          </w:tblCellMar>
        </w:tblPrEx>
        <w:trPr>
          <w:trHeight w:val="753" w:hRule="atLeast"/>
        </w:trPr>
        <w:tc>
          <w:tcPr>
            <w:tcW w:w="711" w:type="dxa"/>
            <w:tcBorders>
              <w:top w:val="single" w:color="000000" w:sz="4" w:space="0"/>
              <w:left w:val="single" w:color="000000" w:sz="4" w:space="0"/>
              <w:bottom w:val="single" w:color="000000" w:sz="4" w:space="0"/>
              <w:right w:val="single" w:color="000000" w:sz="4" w:space="0"/>
            </w:tcBorders>
          </w:tcPr>
          <w:p w14:paraId="69B027D1">
            <w:pPr>
              <w:pStyle w:val="132"/>
              <w:kinsoku w:val="0"/>
              <w:overflowPunct w:val="0"/>
              <w:spacing w:before="2"/>
              <w:rPr>
                <w:rFonts w:ascii="黑体" w:hAnsi="黑体" w:eastAsia="黑体"/>
                <w:b/>
                <w:bCs/>
                <w:sz w:val="18"/>
                <w:szCs w:val="18"/>
              </w:rPr>
            </w:pPr>
          </w:p>
          <w:p w14:paraId="511899F7">
            <w:pPr>
              <w:pStyle w:val="132"/>
              <w:kinsoku w:val="0"/>
              <w:overflowPunct w:val="0"/>
              <w:ind w:right="299"/>
              <w:rPr>
                <w:rFonts w:ascii="黑体" w:hAnsi="黑体" w:eastAsia="黑体" w:cs="Calibri"/>
                <w:w w:val="101"/>
                <w:sz w:val="18"/>
                <w:szCs w:val="18"/>
              </w:rPr>
            </w:pPr>
            <w:r>
              <w:rPr>
                <w:rFonts w:ascii="黑体" w:hAnsi="黑体" w:eastAsia="黑体" w:cs="Calibri"/>
                <w:w w:val="101"/>
                <w:sz w:val="18"/>
                <w:szCs w:val="18"/>
              </w:rPr>
              <w:t>9</w:t>
            </w:r>
          </w:p>
        </w:tc>
        <w:tc>
          <w:tcPr>
            <w:tcW w:w="7799" w:type="dxa"/>
            <w:tcBorders>
              <w:top w:val="single" w:color="000000" w:sz="4" w:space="0"/>
              <w:left w:val="single" w:color="000000" w:sz="4" w:space="0"/>
              <w:bottom w:val="single" w:color="000000" w:sz="4" w:space="0"/>
              <w:right w:val="single" w:color="000000" w:sz="4" w:space="0"/>
            </w:tcBorders>
          </w:tcPr>
          <w:p w14:paraId="05481316">
            <w:pPr>
              <w:pStyle w:val="132"/>
              <w:kinsoku w:val="0"/>
              <w:overflowPunct w:val="0"/>
              <w:spacing w:before="7" w:line="280" w:lineRule="auto"/>
              <w:ind w:left="105" w:right="-15"/>
              <w:rPr>
                <w:rFonts w:ascii="黑体" w:hAnsi="黑体" w:eastAsia="黑体"/>
                <w:spacing w:val="-5"/>
                <w:sz w:val="18"/>
                <w:szCs w:val="18"/>
              </w:rPr>
            </w:pPr>
            <w:r>
              <w:rPr>
                <w:rFonts w:hint="eastAsia" w:ascii="黑体" w:hAnsi="黑体" w:eastAsia="黑体"/>
                <w:sz w:val="18"/>
                <w:szCs w:val="18"/>
              </w:rPr>
              <w:t>针对产品物料变更，需通知确认才能导入变更，由于供应商自行变更而产生质量问题，</w:t>
            </w:r>
            <w:r>
              <w:rPr>
                <w:rFonts w:hint="eastAsia" w:ascii="黑体" w:hAnsi="黑体" w:eastAsia="黑体"/>
                <w:spacing w:val="-5"/>
                <w:sz w:val="18"/>
                <w:szCs w:val="18"/>
              </w:rPr>
              <w:t>有权对其进行处罚</w:t>
            </w:r>
            <w:r>
              <w:rPr>
                <w:rFonts w:hint="eastAsia" w:ascii="黑体" w:hAnsi="黑体" w:eastAsia="黑体"/>
                <w:sz w:val="18"/>
                <w:szCs w:val="18"/>
              </w:rPr>
              <w:t>（</w:t>
            </w:r>
            <w:r>
              <w:rPr>
                <w:rFonts w:hint="eastAsia" w:ascii="黑体" w:hAnsi="黑体" w:eastAsia="黑体"/>
                <w:spacing w:val="-5"/>
                <w:sz w:val="18"/>
                <w:szCs w:val="18"/>
              </w:rPr>
              <w:t>包括但不限于赔偿损失、支付违约金等</w:t>
            </w:r>
            <w:r>
              <w:rPr>
                <w:rFonts w:hint="eastAsia" w:ascii="黑体" w:hAnsi="黑体" w:eastAsia="黑体"/>
                <w:spacing w:val="-3"/>
                <w:sz w:val="18"/>
                <w:szCs w:val="18"/>
              </w:rPr>
              <w:t>）</w:t>
            </w:r>
            <w:r>
              <w:rPr>
                <w:rFonts w:hint="eastAsia" w:ascii="黑体" w:hAnsi="黑体" w:eastAsia="黑体"/>
                <w:spacing w:val="-5"/>
                <w:sz w:val="18"/>
                <w:szCs w:val="18"/>
              </w:rPr>
              <w:t>，甚至取消供货资格。</w:t>
            </w:r>
          </w:p>
        </w:tc>
        <w:tc>
          <w:tcPr>
            <w:tcW w:w="1134" w:type="dxa"/>
            <w:tcBorders>
              <w:top w:val="single" w:color="000000" w:sz="4" w:space="0"/>
              <w:left w:val="single" w:color="000000" w:sz="4" w:space="0"/>
              <w:bottom w:val="single" w:color="000000" w:sz="4" w:space="0"/>
              <w:right w:val="single" w:color="000000" w:sz="4" w:space="0"/>
            </w:tcBorders>
          </w:tcPr>
          <w:p w14:paraId="0ED9F1C1">
            <w:pPr>
              <w:pStyle w:val="132"/>
              <w:kinsoku w:val="0"/>
              <w:overflowPunct w:val="0"/>
              <w:rPr>
                <w:rFonts w:ascii="黑体" w:hAnsi="黑体" w:eastAsia="黑体" w:cs="Times New Roman"/>
                <w:sz w:val="18"/>
                <w:szCs w:val="18"/>
              </w:rPr>
            </w:pPr>
          </w:p>
        </w:tc>
      </w:tr>
      <w:tr w14:paraId="5E581001">
        <w:tblPrEx>
          <w:tblCellMar>
            <w:top w:w="0" w:type="dxa"/>
            <w:left w:w="0" w:type="dxa"/>
            <w:bottom w:w="0" w:type="dxa"/>
            <w:right w:w="0" w:type="dxa"/>
          </w:tblCellMar>
        </w:tblPrEx>
        <w:trPr>
          <w:trHeight w:val="470" w:hRule="atLeast"/>
        </w:trPr>
        <w:tc>
          <w:tcPr>
            <w:tcW w:w="711" w:type="dxa"/>
            <w:tcBorders>
              <w:top w:val="single" w:color="000000" w:sz="4" w:space="0"/>
              <w:left w:val="single" w:color="000000" w:sz="4" w:space="0"/>
              <w:bottom w:val="single" w:color="000000" w:sz="4" w:space="0"/>
              <w:right w:val="single" w:color="000000" w:sz="4" w:space="0"/>
            </w:tcBorders>
          </w:tcPr>
          <w:p w14:paraId="21960171">
            <w:pPr>
              <w:pStyle w:val="132"/>
              <w:kinsoku w:val="0"/>
              <w:overflowPunct w:val="0"/>
              <w:spacing w:before="107"/>
              <w:ind w:right="257"/>
              <w:rPr>
                <w:rFonts w:ascii="黑体" w:hAnsi="黑体" w:eastAsia="黑体" w:cs="Calibri"/>
                <w:sz w:val="18"/>
                <w:szCs w:val="18"/>
              </w:rPr>
            </w:pPr>
            <w:r>
              <w:rPr>
                <w:rFonts w:ascii="黑体" w:hAnsi="黑体" w:eastAsia="黑体" w:cs="Calibri"/>
                <w:sz w:val="18"/>
                <w:szCs w:val="18"/>
              </w:rPr>
              <w:t>10</w:t>
            </w:r>
          </w:p>
        </w:tc>
        <w:tc>
          <w:tcPr>
            <w:tcW w:w="7799" w:type="dxa"/>
            <w:tcBorders>
              <w:top w:val="single" w:color="000000" w:sz="4" w:space="0"/>
              <w:left w:val="single" w:color="000000" w:sz="4" w:space="0"/>
              <w:bottom w:val="single" w:color="000000" w:sz="4" w:space="0"/>
              <w:right w:val="single" w:color="000000" w:sz="4" w:space="0"/>
            </w:tcBorders>
          </w:tcPr>
          <w:p w14:paraId="4FABF90F">
            <w:pPr>
              <w:pStyle w:val="132"/>
              <w:kinsoku w:val="0"/>
              <w:overflowPunct w:val="0"/>
              <w:spacing w:line="228" w:lineRule="exact"/>
              <w:ind w:left="105"/>
              <w:rPr>
                <w:rFonts w:ascii="黑体" w:hAnsi="黑体" w:eastAsia="黑体"/>
                <w:sz w:val="18"/>
                <w:szCs w:val="18"/>
              </w:rPr>
            </w:pPr>
            <w:r>
              <w:rPr>
                <w:rFonts w:hint="eastAsia" w:ascii="黑体" w:hAnsi="黑体" w:eastAsia="黑体"/>
                <w:sz w:val="18"/>
                <w:szCs w:val="18"/>
              </w:rPr>
              <w:t>有产品招回流程，存在质量问题主动招回，并承担交付进度延迟、返工、物料等相应损失。</w:t>
            </w:r>
          </w:p>
        </w:tc>
        <w:tc>
          <w:tcPr>
            <w:tcW w:w="1134" w:type="dxa"/>
            <w:tcBorders>
              <w:top w:val="single" w:color="000000" w:sz="4" w:space="0"/>
              <w:left w:val="single" w:color="000000" w:sz="4" w:space="0"/>
              <w:bottom w:val="single" w:color="000000" w:sz="4" w:space="0"/>
              <w:right w:val="single" w:color="000000" w:sz="4" w:space="0"/>
            </w:tcBorders>
          </w:tcPr>
          <w:p w14:paraId="3C8D1429">
            <w:pPr>
              <w:pStyle w:val="132"/>
              <w:kinsoku w:val="0"/>
              <w:overflowPunct w:val="0"/>
              <w:rPr>
                <w:rFonts w:ascii="黑体" w:hAnsi="黑体" w:eastAsia="黑体" w:cs="Times New Roman"/>
                <w:sz w:val="18"/>
                <w:szCs w:val="18"/>
              </w:rPr>
            </w:pPr>
          </w:p>
        </w:tc>
      </w:tr>
      <w:tr w14:paraId="7AE20C2C">
        <w:tblPrEx>
          <w:tblCellMar>
            <w:top w:w="0" w:type="dxa"/>
            <w:left w:w="0" w:type="dxa"/>
            <w:bottom w:w="0" w:type="dxa"/>
            <w:right w:w="0" w:type="dxa"/>
          </w:tblCellMar>
        </w:tblPrEx>
        <w:trPr>
          <w:trHeight w:val="733" w:hRule="atLeast"/>
        </w:trPr>
        <w:tc>
          <w:tcPr>
            <w:tcW w:w="711" w:type="dxa"/>
            <w:tcBorders>
              <w:top w:val="single" w:color="000000" w:sz="4" w:space="0"/>
              <w:left w:val="single" w:color="000000" w:sz="4" w:space="0"/>
              <w:bottom w:val="single" w:color="000000" w:sz="4" w:space="0"/>
              <w:right w:val="single" w:color="000000" w:sz="4" w:space="0"/>
            </w:tcBorders>
          </w:tcPr>
          <w:p w14:paraId="0708279A">
            <w:pPr>
              <w:pStyle w:val="132"/>
              <w:kinsoku w:val="0"/>
              <w:overflowPunct w:val="0"/>
              <w:spacing w:before="5"/>
              <w:rPr>
                <w:rFonts w:ascii="黑体" w:hAnsi="黑体" w:eastAsia="黑体"/>
                <w:b/>
                <w:bCs/>
                <w:sz w:val="18"/>
                <w:szCs w:val="18"/>
              </w:rPr>
            </w:pPr>
          </w:p>
          <w:p w14:paraId="2F89D961">
            <w:pPr>
              <w:pStyle w:val="132"/>
              <w:kinsoku w:val="0"/>
              <w:overflowPunct w:val="0"/>
              <w:ind w:right="257"/>
              <w:rPr>
                <w:rFonts w:ascii="黑体" w:hAnsi="黑体" w:eastAsia="黑体" w:cs="Calibri"/>
                <w:sz w:val="18"/>
                <w:szCs w:val="18"/>
              </w:rPr>
            </w:pPr>
            <w:r>
              <w:rPr>
                <w:rFonts w:ascii="黑体" w:hAnsi="黑体" w:eastAsia="黑体" w:cs="Calibri"/>
                <w:sz w:val="18"/>
                <w:szCs w:val="18"/>
              </w:rPr>
              <w:t>11</w:t>
            </w:r>
          </w:p>
        </w:tc>
        <w:tc>
          <w:tcPr>
            <w:tcW w:w="7799" w:type="dxa"/>
            <w:tcBorders>
              <w:top w:val="single" w:color="000000" w:sz="4" w:space="0"/>
              <w:left w:val="single" w:color="000000" w:sz="4" w:space="0"/>
              <w:bottom w:val="single" w:color="000000" w:sz="4" w:space="0"/>
              <w:right w:val="single" w:color="000000" w:sz="4" w:space="0"/>
            </w:tcBorders>
          </w:tcPr>
          <w:p w14:paraId="5EB36F49">
            <w:pPr>
              <w:pStyle w:val="132"/>
              <w:kinsoku w:val="0"/>
              <w:overflowPunct w:val="0"/>
              <w:spacing w:line="280" w:lineRule="auto"/>
              <w:ind w:left="105" w:right="-15"/>
              <w:rPr>
                <w:rFonts w:ascii="黑体" w:hAnsi="黑体" w:eastAsia="黑体"/>
                <w:spacing w:val="-5"/>
                <w:sz w:val="18"/>
                <w:szCs w:val="18"/>
              </w:rPr>
            </w:pPr>
            <w:r>
              <w:rPr>
                <w:rFonts w:hint="eastAsia" w:ascii="黑体" w:hAnsi="黑体" w:eastAsia="黑体"/>
                <w:spacing w:val="-6"/>
                <w:sz w:val="18"/>
                <w:szCs w:val="18"/>
              </w:rPr>
              <w:t>对于质量问题处理，供方在国内能够做到</w:t>
            </w:r>
            <w:r>
              <w:rPr>
                <w:rFonts w:ascii="黑体" w:hAnsi="黑体" w:eastAsia="黑体"/>
                <w:spacing w:val="-6"/>
                <w:sz w:val="18"/>
                <w:szCs w:val="18"/>
              </w:rPr>
              <w:t xml:space="preserve"> </w:t>
            </w:r>
            <w:r>
              <w:rPr>
                <w:rFonts w:ascii="黑体" w:hAnsi="黑体" w:eastAsia="黑体" w:cs="Calibri"/>
                <w:sz w:val="18"/>
                <w:szCs w:val="18"/>
              </w:rPr>
              <w:t>24</w:t>
            </w:r>
            <w:r>
              <w:rPr>
                <w:rFonts w:ascii="黑体" w:hAnsi="黑体" w:eastAsia="黑体" w:cs="Calibri"/>
                <w:spacing w:val="33"/>
                <w:sz w:val="18"/>
                <w:szCs w:val="18"/>
              </w:rPr>
              <w:t xml:space="preserve"> </w:t>
            </w:r>
            <w:r>
              <w:rPr>
                <w:rFonts w:hint="eastAsia" w:ascii="黑体" w:hAnsi="黑体" w:eastAsia="黑体"/>
                <w:spacing w:val="-3"/>
                <w:sz w:val="18"/>
                <w:szCs w:val="18"/>
              </w:rPr>
              <w:t>小时响应、</w:t>
            </w:r>
            <w:r>
              <w:rPr>
                <w:rFonts w:ascii="黑体" w:hAnsi="黑体" w:eastAsia="黑体" w:cs="Calibri"/>
                <w:sz w:val="18"/>
                <w:szCs w:val="18"/>
              </w:rPr>
              <w:t>48</w:t>
            </w:r>
            <w:r>
              <w:rPr>
                <w:rFonts w:ascii="黑体" w:hAnsi="黑体" w:eastAsia="黑体" w:cs="Calibri"/>
                <w:spacing w:val="27"/>
                <w:sz w:val="18"/>
                <w:szCs w:val="18"/>
              </w:rPr>
              <w:t xml:space="preserve"> </w:t>
            </w:r>
            <w:r>
              <w:rPr>
                <w:rFonts w:hint="eastAsia" w:ascii="黑体" w:hAnsi="黑体" w:eastAsia="黑体"/>
                <w:spacing w:val="-4"/>
                <w:sz w:val="18"/>
                <w:szCs w:val="18"/>
              </w:rPr>
              <w:t>小时抵达现场、</w:t>
            </w:r>
            <w:r>
              <w:rPr>
                <w:rFonts w:ascii="黑体" w:hAnsi="黑体" w:eastAsia="黑体" w:cs="Calibri"/>
                <w:sz w:val="18"/>
                <w:szCs w:val="18"/>
              </w:rPr>
              <w:t>5</w:t>
            </w:r>
            <w:r>
              <w:rPr>
                <w:rFonts w:ascii="黑体" w:hAnsi="黑体" w:eastAsia="黑体" w:cs="Calibri"/>
                <w:spacing w:val="33"/>
                <w:sz w:val="18"/>
                <w:szCs w:val="18"/>
              </w:rPr>
              <w:t xml:space="preserve"> </w:t>
            </w:r>
            <w:r>
              <w:rPr>
                <w:rFonts w:hint="eastAsia" w:ascii="黑体" w:hAnsi="黑体" w:eastAsia="黑体"/>
                <w:spacing w:val="-5"/>
                <w:sz w:val="18"/>
                <w:szCs w:val="18"/>
              </w:rPr>
              <w:t>天内给出问题根因；</w:t>
            </w:r>
            <w:r>
              <w:rPr>
                <w:rFonts w:ascii="黑体" w:hAnsi="黑体" w:eastAsia="黑体"/>
                <w:spacing w:val="-5"/>
                <w:sz w:val="18"/>
                <w:szCs w:val="18"/>
              </w:rPr>
              <w:t xml:space="preserve"> </w:t>
            </w:r>
            <w:r>
              <w:rPr>
                <w:rFonts w:hint="eastAsia" w:ascii="黑体" w:hAnsi="黑体" w:eastAsia="黑体"/>
                <w:spacing w:val="-16"/>
                <w:sz w:val="18"/>
                <w:szCs w:val="18"/>
              </w:rPr>
              <w:t>能进行</w:t>
            </w:r>
            <w:r>
              <w:rPr>
                <w:rFonts w:ascii="黑体" w:hAnsi="黑体" w:eastAsia="黑体"/>
                <w:spacing w:val="-16"/>
                <w:sz w:val="18"/>
                <w:szCs w:val="18"/>
              </w:rPr>
              <w:t xml:space="preserve"> </w:t>
            </w:r>
            <w:r>
              <w:rPr>
                <w:rFonts w:ascii="黑体" w:hAnsi="黑体" w:eastAsia="黑体" w:cs="Calibri"/>
                <w:sz w:val="18"/>
                <w:szCs w:val="18"/>
              </w:rPr>
              <w:t>7*24</w:t>
            </w:r>
            <w:r>
              <w:rPr>
                <w:rFonts w:ascii="黑体" w:hAnsi="黑体" w:eastAsia="黑体" w:cs="Calibri"/>
                <w:spacing w:val="6"/>
                <w:sz w:val="18"/>
                <w:szCs w:val="18"/>
              </w:rPr>
              <w:t xml:space="preserve"> </w:t>
            </w:r>
            <w:r>
              <w:rPr>
                <w:rFonts w:hint="eastAsia" w:ascii="黑体" w:hAnsi="黑体" w:eastAsia="黑体"/>
                <w:spacing w:val="-5"/>
                <w:sz w:val="18"/>
                <w:szCs w:val="18"/>
              </w:rPr>
              <w:t>小时响应，并建立紧急联系方式。</w:t>
            </w:r>
          </w:p>
        </w:tc>
        <w:tc>
          <w:tcPr>
            <w:tcW w:w="1134" w:type="dxa"/>
            <w:tcBorders>
              <w:top w:val="single" w:color="000000" w:sz="4" w:space="0"/>
              <w:left w:val="single" w:color="000000" w:sz="4" w:space="0"/>
              <w:bottom w:val="single" w:color="000000" w:sz="4" w:space="0"/>
              <w:right w:val="single" w:color="000000" w:sz="4" w:space="0"/>
            </w:tcBorders>
          </w:tcPr>
          <w:p w14:paraId="47039B22">
            <w:pPr>
              <w:pStyle w:val="132"/>
              <w:kinsoku w:val="0"/>
              <w:overflowPunct w:val="0"/>
              <w:rPr>
                <w:rFonts w:ascii="黑体" w:hAnsi="黑体" w:eastAsia="黑体" w:cs="Times New Roman"/>
                <w:sz w:val="18"/>
                <w:szCs w:val="18"/>
              </w:rPr>
            </w:pPr>
          </w:p>
        </w:tc>
      </w:tr>
      <w:tr w14:paraId="605365F6">
        <w:tblPrEx>
          <w:tblCellMar>
            <w:top w:w="0" w:type="dxa"/>
            <w:left w:w="0" w:type="dxa"/>
            <w:bottom w:w="0" w:type="dxa"/>
            <w:right w:w="0" w:type="dxa"/>
          </w:tblCellMar>
        </w:tblPrEx>
        <w:trPr>
          <w:trHeight w:val="470" w:hRule="atLeast"/>
        </w:trPr>
        <w:tc>
          <w:tcPr>
            <w:tcW w:w="711" w:type="dxa"/>
            <w:tcBorders>
              <w:top w:val="single" w:color="000000" w:sz="4" w:space="0"/>
              <w:left w:val="single" w:color="000000" w:sz="4" w:space="0"/>
              <w:bottom w:val="single" w:color="000000" w:sz="4" w:space="0"/>
              <w:right w:val="single" w:color="000000" w:sz="4" w:space="0"/>
            </w:tcBorders>
          </w:tcPr>
          <w:p w14:paraId="03743A88">
            <w:pPr>
              <w:pStyle w:val="132"/>
              <w:kinsoku w:val="0"/>
              <w:overflowPunct w:val="0"/>
              <w:spacing w:before="107"/>
              <w:ind w:right="257"/>
              <w:rPr>
                <w:rFonts w:ascii="黑体" w:hAnsi="黑体" w:eastAsia="黑体" w:cs="Calibri"/>
                <w:sz w:val="18"/>
                <w:szCs w:val="18"/>
              </w:rPr>
            </w:pPr>
            <w:r>
              <w:rPr>
                <w:rFonts w:ascii="黑体" w:hAnsi="黑体" w:eastAsia="黑体" w:cs="Calibri"/>
                <w:sz w:val="18"/>
                <w:szCs w:val="18"/>
              </w:rPr>
              <w:t>12</w:t>
            </w:r>
          </w:p>
        </w:tc>
        <w:tc>
          <w:tcPr>
            <w:tcW w:w="7799" w:type="dxa"/>
            <w:tcBorders>
              <w:top w:val="single" w:color="000000" w:sz="4" w:space="0"/>
              <w:left w:val="single" w:color="000000" w:sz="4" w:space="0"/>
              <w:bottom w:val="single" w:color="000000" w:sz="4" w:space="0"/>
              <w:right w:val="single" w:color="000000" w:sz="4" w:space="0"/>
            </w:tcBorders>
          </w:tcPr>
          <w:p w14:paraId="5464B044">
            <w:pPr>
              <w:pStyle w:val="132"/>
              <w:kinsoku w:val="0"/>
              <w:overflowPunct w:val="0"/>
              <w:spacing w:before="3"/>
              <w:ind w:left="105"/>
              <w:rPr>
                <w:rFonts w:ascii="黑体" w:hAnsi="黑体" w:eastAsia="黑体"/>
                <w:sz w:val="18"/>
                <w:szCs w:val="18"/>
              </w:rPr>
            </w:pPr>
            <w:r>
              <w:rPr>
                <w:rFonts w:hint="eastAsia" w:ascii="黑体" w:hAnsi="黑体" w:eastAsia="黑体"/>
                <w:sz w:val="18"/>
                <w:szCs w:val="18"/>
              </w:rPr>
              <w:t>有完善环保管理流程确保供货产品满足环保要求，有检验设备对来料环保符合性进行检验。</w:t>
            </w:r>
          </w:p>
        </w:tc>
        <w:tc>
          <w:tcPr>
            <w:tcW w:w="1134" w:type="dxa"/>
            <w:tcBorders>
              <w:top w:val="single" w:color="000000" w:sz="4" w:space="0"/>
              <w:left w:val="single" w:color="000000" w:sz="4" w:space="0"/>
              <w:bottom w:val="single" w:color="000000" w:sz="4" w:space="0"/>
              <w:right w:val="single" w:color="000000" w:sz="4" w:space="0"/>
            </w:tcBorders>
          </w:tcPr>
          <w:p w14:paraId="7C3D8825">
            <w:pPr>
              <w:pStyle w:val="132"/>
              <w:kinsoku w:val="0"/>
              <w:overflowPunct w:val="0"/>
              <w:rPr>
                <w:rFonts w:ascii="黑体" w:hAnsi="黑体" w:eastAsia="黑体" w:cs="Times New Roman"/>
                <w:sz w:val="18"/>
                <w:szCs w:val="18"/>
              </w:rPr>
            </w:pPr>
          </w:p>
        </w:tc>
      </w:tr>
      <w:tr w14:paraId="656E95E2">
        <w:tblPrEx>
          <w:tblCellMar>
            <w:top w:w="0" w:type="dxa"/>
            <w:left w:w="0" w:type="dxa"/>
            <w:bottom w:w="0" w:type="dxa"/>
            <w:right w:w="0" w:type="dxa"/>
          </w:tblCellMar>
        </w:tblPrEx>
        <w:trPr>
          <w:trHeight w:val="738" w:hRule="atLeast"/>
        </w:trPr>
        <w:tc>
          <w:tcPr>
            <w:tcW w:w="711" w:type="dxa"/>
            <w:tcBorders>
              <w:top w:val="single" w:color="000000" w:sz="4" w:space="0"/>
              <w:left w:val="single" w:color="000000" w:sz="4" w:space="0"/>
              <w:bottom w:val="single" w:color="000000" w:sz="4" w:space="0"/>
              <w:right w:val="single" w:color="000000" w:sz="4" w:space="0"/>
            </w:tcBorders>
          </w:tcPr>
          <w:p w14:paraId="49E4ACA0">
            <w:pPr>
              <w:pStyle w:val="132"/>
              <w:kinsoku w:val="0"/>
              <w:overflowPunct w:val="0"/>
              <w:spacing w:before="10"/>
              <w:rPr>
                <w:rFonts w:ascii="黑体" w:hAnsi="黑体" w:eastAsia="黑体"/>
                <w:b/>
                <w:bCs/>
                <w:sz w:val="18"/>
                <w:szCs w:val="18"/>
              </w:rPr>
            </w:pPr>
          </w:p>
          <w:p w14:paraId="704F0DEB">
            <w:pPr>
              <w:pStyle w:val="132"/>
              <w:kinsoku w:val="0"/>
              <w:overflowPunct w:val="0"/>
              <w:ind w:right="257"/>
              <w:rPr>
                <w:rFonts w:ascii="黑体" w:hAnsi="黑体" w:eastAsia="黑体" w:cs="Calibri"/>
                <w:sz w:val="18"/>
                <w:szCs w:val="18"/>
              </w:rPr>
            </w:pPr>
            <w:r>
              <w:rPr>
                <w:rFonts w:ascii="黑体" w:hAnsi="黑体" w:eastAsia="黑体" w:cs="Calibri"/>
                <w:sz w:val="18"/>
                <w:szCs w:val="18"/>
              </w:rPr>
              <w:t>13</w:t>
            </w:r>
          </w:p>
        </w:tc>
        <w:tc>
          <w:tcPr>
            <w:tcW w:w="7799" w:type="dxa"/>
            <w:tcBorders>
              <w:top w:val="single" w:color="000000" w:sz="4" w:space="0"/>
              <w:left w:val="single" w:color="000000" w:sz="4" w:space="0"/>
              <w:bottom w:val="single" w:color="000000" w:sz="4" w:space="0"/>
              <w:right w:val="single" w:color="000000" w:sz="4" w:space="0"/>
            </w:tcBorders>
          </w:tcPr>
          <w:p w14:paraId="495C3859">
            <w:pPr>
              <w:pStyle w:val="132"/>
              <w:kinsoku w:val="0"/>
              <w:overflowPunct w:val="0"/>
              <w:spacing w:line="280" w:lineRule="auto"/>
              <w:ind w:left="105" w:right="-15"/>
              <w:rPr>
                <w:rFonts w:ascii="黑体" w:hAnsi="黑体" w:eastAsia="黑体"/>
                <w:spacing w:val="-5"/>
                <w:sz w:val="18"/>
                <w:szCs w:val="18"/>
              </w:rPr>
            </w:pPr>
            <w:r>
              <w:rPr>
                <w:rFonts w:hint="eastAsia" w:ascii="黑体" w:hAnsi="黑体" w:eastAsia="黑体"/>
                <w:sz w:val="18"/>
                <w:szCs w:val="18"/>
              </w:rPr>
              <w:t>能够提供设备自签收日起到实际安装到最终用户现场这段时间的质量保证，交付过程中出现</w:t>
            </w:r>
            <w:r>
              <w:rPr>
                <w:rFonts w:hint="eastAsia" w:ascii="黑体" w:hAnsi="黑体" w:eastAsia="黑体"/>
                <w:spacing w:val="-9"/>
                <w:sz w:val="18"/>
                <w:szCs w:val="18"/>
              </w:rPr>
              <w:t>的质量问题，需要在</w:t>
            </w:r>
            <w:r>
              <w:rPr>
                <w:rFonts w:ascii="黑体" w:hAnsi="黑体" w:eastAsia="黑体"/>
                <w:spacing w:val="-9"/>
                <w:sz w:val="18"/>
                <w:szCs w:val="18"/>
              </w:rPr>
              <w:t xml:space="preserve"> </w:t>
            </w:r>
            <w:r>
              <w:rPr>
                <w:rFonts w:ascii="黑体" w:hAnsi="黑体" w:eastAsia="黑体" w:cs="Calibri"/>
                <w:sz w:val="18"/>
                <w:szCs w:val="18"/>
              </w:rPr>
              <w:t>15</w:t>
            </w:r>
            <w:r>
              <w:rPr>
                <w:rFonts w:ascii="黑体" w:hAnsi="黑体" w:eastAsia="黑体" w:cs="Calibri"/>
                <w:spacing w:val="3"/>
                <w:sz w:val="18"/>
                <w:szCs w:val="18"/>
              </w:rPr>
              <w:t xml:space="preserve"> </w:t>
            </w:r>
            <w:r>
              <w:rPr>
                <w:rFonts w:hint="eastAsia" w:ascii="黑体" w:hAnsi="黑体" w:eastAsia="黑体"/>
                <w:spacing w:val="-5"/>
                <w:sz w:val="18"/>
                <w:szCs w:val="18"/>
              </w:rPr>
              <w:t>个自然日内免费提供备件更换，且承担相应的损失。</w:t>
            </w:r>
          </w:p>
        </w:tc>
        <w:tc>
          <w:tcPr>
            <w:tcW w:w="1134" w:type="dxa"/>
            <w:tcBorders>
              <w:top w:val="single" w:color="000000" w:sz="4" w:space="0"/>
              <w:left w:val="single" w:color="000000" w:sz="4" w:space="0"/>
              <w:bottom w:val="single" w:color="000000" w:sz="4" w:space="0"/>
              <w:right w:val="single" w:color="000000" w:sz="4" w:space="0"/>
            </w:tcBorders>
          </w:tcPr>
          <w:p w14:paraId="17D4A62E">
            <w:pPr>
              <w:pStyle w:val="132"/>
              <w:kinsoku w:val="0"/>
              <w:overflowPunct w:val="0"/>
              <w:rPr>
                <w:rFonts w:ascii="黑体" w:hAnsi="黑体" w:eastAsia="黑体" w:cs="Times New Roman"/>
                <w:sz w:val="18"/>
                <w:szCs w:val="18"/>
              </w:rPr>
            </w:pPr>
          </w:p>
        </w:tc>
      </w:tr>
    </w:tbl>
    <w:p w14:paraId="66BE6D45">
      <w:pPr>
        <w:pStyle w:val="14"/>
        <w:kinsoku w:val="0"/>
        <w:overflowPunct w:val="0"/>
        <w:spacing w:before="4"/>
        <w:jc w:val="left"/>
        <w:rPr>
          <w:rFonts w:ascii="黑体" w:hAnsi="黑体"/>
          <w:b/>
          <w:bCs/>
          <w:szCs w:val="18"/>
        </w:rPr>
      </w:pPr>
    </w:p>
    <w:p w14:paraId="69E66203">
      <w:pPr>
        <w:pStyle w:val="97"/>
        <w:rPr>
          <w:b/>
          <w:bCs/>
        </w:rPr>
      </w:pPr>
      <w:r>
        <w:rPr>
          <w:rFonts w:hint="eastAsia"/>
          <w:bCs/>
        </w:rPr>
        <w:t>环境适应性要求</w:t>
      </w:r>
    </w:p>
    <w:p w14:paraId="015CA5FE">
      <w:pPr>
        <w:pStyle w:val="14"/>
        <w:kinsoku w:val="0"/>
        <w:overflowPunct w:val="0"/>
        <w:spacing w:before="6"/>
        <w:jc w:val="left"/>
        <w:rPr>
          <w:rFonts w:ascii="黑体" w:hAnsi="黑体"/>
          <w:b/>
          <w:bCs/>
          <w:szCs w:val="18"/>
        </w:rPr>
      </w:pPr>
    </w:p>
    <w:tbl>
      <w:tblPr>
        <w:tblStyle w:val="36"/>
        <w:tblW w:w="0" w:type="auto"/>
        <w:tblInd w:w="226" w:type="dxa"/>
        <w:tblLayout w:type="fixed"/>
        <w:tblCellMar>
          <w:top w:w="0" w:type="dxa"/>
          <w:left w:w="0" w:type="dxa"/>
          <w:bottom w:w="0" w:type="dxa"/>
          <w:right w:w="0" w:type="dxa"/>
        </w:tblCellMar>
      </w:tblPr>
      <w:tblGrid>
        <w:gridCol w:w="711"/>
        <w:gridCol w:w="989"/>
        <w:gridCol w:w="6809"/>
        <w:gridCol w:w="1133"/>
      </w:tblGrid>
      <w:tr w14:paraId="64796B9F">
        <w:trPr>
          <w:trHeight w:val="273" w:hRule="atLeast"/>
        </w:trPr>
        <w:tc>
          <w:tcPr>
            <w:tcW w:w="711" w:type="dxa"/>
            <w:tcBorders>
              <w:top w:val="single" w:color="000000" w:sz="4" w:space="0"/>
              <w:left w:val="single" w:color="000000" w:sz="4" w:space="0"/>
              <w:bottom w:val="single" w:color="000000" w:sz="4" w:space="0"/>
              <w:right w:val="single" w:color="000000" w:sz="4" w:space="0"/>
            </w:tcBorders>
            <w:shd w:val="clear" w:color="auto" w:fill="F1F1F1"/>
          </w:tcPr>
          <w:p w14:paraId="35DFE2B2">
            <w:pPr>
              <w:pStyle w:val="132"/>
              <w:kinsoku w:val="0"/>
              <w:overflowPunct w:val="0"/>
              <w:spacing w:line="253" w:lineRule="exact"/>
              <w:ind w:left="74" w:right="65"/>
              <w:rPr>
                <w:rFonts w:ascii="黑体" w:hAnsi="黑体" w:eastAsia="黑体"/>
                <w:sz w:val="18"/>
                <w:szCs w:val="18"/>
              </w:rPr>
            </w:pPr>
            <w:r>
              <w:rPr>
                <w:rFonts w:hint="eastAsia" w:ascii="黑体" w:hAnsi="黑体" w:eastAsia="黑体"/>
                <w:sz w:val="18"/>
                <w:szCs w:val="18"/>
              </w:rPr>
              <w:t>序号</w:t>
            </w:r>
          </w:p>
        </w:tc>
        <w:tc>
          <w:tcPr>
            <w:tcW w:w="989" w:type="dxa"/>
            <w:tcBorders>
              <w:top w:val="single" w:color="000000" w:sz="4" w:space="0"/>
              <w:left w:val="single" w:color="000000" w:sz="4" w:space="0"/>
              <w:bottom w:val="single" w:color="000000" w:sz="4" w:space="0"/>
              <w:right w:val="single" w:color="000000" w:sz="4" w:space="0"/>
            </w:tcBorders>
            <w:shd w:val="clear" w:color="auto" w:fill="F1F1F1"/>
          </w:tcPr>
          <w:p w14:paraId="7AFE8B27">
            <w:pPr>
              <w:pStyle w:val="132"/>
              <w:kinsoku w:val="0"/>
              <w:overflowPunct w:val="0"/>
              <w:spacing w:line="253" w:lineRule="exact"/>
              <w:ind w:left="68" w:right="59"/>
              <w:rPr>
                <w:rFonts w:ascii="黑体" w:hAnsi="黑体" w:eastAsia="黑体"/>
                <w:sz w:val="18"/>
                <w:szCs w:val="18"/>
              </w:rPr>
            </w:pPr>
            <w:r>
              <w:rPr>
                <w:rFonts w:hint="eastAsia" w:ascii="黑体" w:hAnsi="黑体" w:eastAsia="黑体"/>
                <w:sz w:val="18"/>
                <w:szCs w:val="18"/>
              </w:rPr>
              <w:t>项目</w:t>
            </w:r>
          </w:p>
        </w:tc>
        <w:tc>
          <w:tcPr>
            <w:tcW w:w="6809" w:type="dxa"/>
            <w:tcBorders>
              <w:top w:val="single" w:color="000000" w:sz="4" w:space="0"/>
              <w:left w:val="single" w:color="000000" w:sz="4" w:space="0"/>
              <w:bottom w:val="single" w:color="000000" w:sz="4" w:space="0"/>
              <w:right w:val="single" w:color="000000" w:sz="4" w:space="0"/>
            </w:tcBorders>
            <w:shd w:val="clear" w:color="auto" w:fill="F1F1F1"/>
          </w:tcPr>
          <w:p w14:paraId="50C114E5">
            <w:pPr>
              <w:pStyle w:val="132"/>
              <w:kinsoku w:val="0"/>
              <w:overflowPunct w:val="0"/>
              <w:spacing w:line="253" w:lineRule="exact"/>
              <w:ind w:left="2651" w:right="2638"/>
              <w:rPr>
                <w:rFonts w:ascii="黑体" w:hAnsi="黑体" w:eastAsia="黑体"/>
                <w:sz w:val="18"/>
                <w:szCs w:val="18"/>
              </w:rPr>
            </w:pPr>
            <w:r>
              <w:rPr>
                <w:rFonts w:hint="eastAsia" w:ascii="黑体" w:hAnsi="黑体" w:eastAsia="黑体"/>
                <w:sz w:val="18"/>
                <w:szCs w:val="18"/>
              </w:rPr>
              <w:t>环境适应性要求</w:t>
            </w:r>
          </w:p>
        </w:tc>
        <w:tc>
          <w:tcPr>
            <w:tcW w:w="1133" w:type="dxa"/>
            <w:tcBorders>
              <w:top w:val="single" w:color="000000" w:sz="4" w:space="0"/>
              <w:left w:val="single" w:color="000000" w:sz="4" w:space="0"/>
              <w:bottom w:val="single" w:color="000000" w:sz="4" w:space="0"/>
              <w:right w:val="single" w:color="000000" w:sz="4" w:space="0"/>
            </w:tcBorders>
            <w:shd w:val="clear" w:color="auto" w:fill="F1F1F1"/>
          </w:tcPr>
          <w:p w14:paraId="2B5D852E">
            <w:pPr>
              <w:pStyle w:val="132"/>
              <w:kinsoku w:val="0"/>
              <w:overflowPunct w:val="0"/>
              <w:spacing w:line="253" w:lineRule="exact"/>
              <w:ind w:left="355"/>
              <w:rPr>
                <w:rFonts w:ascii="黑体" w:hAnsi="黑体" w:eastAsia="黑体"/>
                <w:sz w:val="18"/>
                <w:szCs w:val="18"/>
              </w:rPr>
            </w:pPr>
            <w:r>
              <w:rPr>
                <w:rFonts w:hint="eastAsia" w:ascii="黑体" w:hAnsi="黑体" w:eastAsia="黑体"/>
                <w:sz w:val="18"/>
                <w:szCs w:val="18"/>
              </w:rPr>
              <w:t>备注</w:t>
            </w:r>
          </w:p>
        </w:tc>
      </w:tr>
      <w:tr w14:paraId="4244AF38">
        <w:tblPrEx>
          <w:tblCellMar>
            <w:top w:w="0" w:type="dxa"/>
            <w:left w:w="0" w:type="dxa"/>
            <w:bottom w:w="0" w:type="dxa"/>
            <w:right w:w="0" w:type="dxa"/>
          </w:tblCellMar>
        </w:tblPrEx>
        <w:trPr>
          <w:trHeight w:val="234" w:hRule="atLeast"/>
        </w:trPr>
        <w:tc>
          <w:tcPr>
            <w:tcW w:w="711" w:type="dxa"/>
            <w:tcBorders>
              <w:top w:val="single" w:color="000000" w:sz="4" w:space="0"/>
              <w:left w:val="single" w:color="000000" w:sz="4" w:space="0"/>
              <w:bottom w:val="single" w:color="000000" w:sz="4" w:space="0"/>
              <w:right w:val="single" w:color="000000" w:sz="4" w:space="0"/>
            </w:tcBorders>
          </w:tcPr>
          <w:p w14:paraId="1CBC3510">
            <w:pPr>
              <w:pStyle w:val="132"/>
              <w:kinsoku w:val="0"/>
              <w:overflowPunct w:val="0"/>
              <w:spacing w:line="215" w:lineRule="exact"/>
              <w:ind w:left="125" w:right="29"/>
              <w:rPr>
                <w:rFonts w:ascii="黑体" w:hAnsi="黑体" w:eastAsia="黑体"/>
                <w:sz w:val="18"/>
                <w:szCs w:val="18"/>
              </w:rPr>
            </w:pPr>
            <w:r>
              <w:rPr>
                <w:rFonts w:ascii="黑体" w:hAnsi="黑体" w:eastAsia="黑体"/>
                <w:sz w:val="18"/>
                <w:szCs w:val="18"/>
              </w:rPr>
              <w:t xml:space="preserve">1 </w:t>
            </w:r>
          </w:p>
        </w:tc>
        <w:tc>
          <w:tcPr>
            <w:tcW w:w="989" w:type="dxa"/>
            <w:tcBorders>
              <w:top w:val="single" w:color="000000" w:sz="4" w:space="0"/>
              <w:left w:val="single" w:color="000000" w:sz="4" w:space="0"/>
              <w:bottom w:val="single" w:color="000000" w:sz="4" w:space="0"/>
              <w:right w:val="single" w:color="000000" w:sz="4" w:space="0"/>
            </w:tcBorders>
          </w:tcPr>
          <w:p w14:paraId="4EAD479C">
            <w:pPr>
              <w:pStyle w:val="132"/>
              <w:kinsoku w:val="0"/>
              <w:overflowPunct w:val="0"/>
              <w:spacing w:line="215" w:lineRule="exact"/>
              <w:ind w:left="131" w:right="36"/>
              <w:rPr>
                <w:rFonts w:ascii="黑体" w:hAnsi="黑体" w:eastAsia="黑体"/>
                <w:sz w:val="18"/>
                <w:szCs w:val="18"/>
              </w:rPr>
            </w:pPr>
            <w:r>
              <w:rPr>
                <w:rFonts w:hint="eastAsia" w:ascii="黑体" w:hAnsi="黑体" w:eastAsia="黑体"/>
                <w:sz w:val="18"/>
                <w:szCs w:val="18"/>
              </w:rPr>
              <w:t>温度</w:t>
            </w:r>
            <w:r>
              <w:rPr>
                <w:rFonts w:ascii="黑体" w:hAnsi="黑体" w:eastAsia="黑体"/>
                <w:sz w:val="18"/>
                <w:szCs w:val="18"/>
              </w:rPr>
              <w:t xml:space="preserve"> </w:t>
            </w:r>
          </w:p>
        </w:tc>
        <w:tc>
          <w:tcPr>
            <w:tcW w:w="6809" w:type="dxa"/>
            <w:tcBorders>
              <w:top w:val="single" w:color="000000" w:sz="4" w:space="0"/>
              <w:left w:val="single" w:color="000000" w:sz="4" w:space="0"/>
              <w:bottom w:val="single" w:color="000000" w:sz="4" w:space="0"/>
              <w:right w:val="single" w:color="000000" w:sz="4" w:space="0"/>
            </w:tcBorders>
          </w:tcPr>
          <w:p w14:paraId="0B725CE2">
            <w:pPr>
              <w:pStyle w:val="132"/>
              <w:kinsoku w:val="0"/>
              <w:overflowPunct w:val="0"/>
              <w:spacing w:line="215" w:lineRule="exact"/>
              <w:ind w:left="110"/>
              <w:rPr>
                <w:rFonts w:ascii="黑体" w:hAnsi="黑体" w:eastAsia="黑体"/>
                <w:sz w:val="18"/>
                <w:szCs w:val="18"/>
              </w:rPr>
            </w:pPr>
            <w:r>
              <w:rPr>
                <w:rFonts w:hint="eastAsia" w:ascii="黑体" w:hAnsi="黑体" w:eastAsia="黑体"/>
                <w:sz w:val="18"/>
                <w:szCs w:val="18"/>
              </w:rPr>
              <w:t>运行温度推荐</w:t>
            </w:r>
            <w:r>
              <w:rPr>
                <w:rFonts w:ascii="黑体" w:hAnsi="黑体" w:eastAsia="黑体"/>
                <w:sz w:val="18"/>
                <w:szCs w:val="18"/>
              </w:rPr>
              <w:t xml:space="preserve"> </w:t>
            </w:r>
            <w:r>
              <w:rPr>
                <w:rFonts w:ascii="黑体" w:hAnsi="黑体" w:eastAsia="黑体" w:cs="Calibri"/>
                <w:sz w:val="18"/>
                <w:szCs w:val="18"/>
              </w:rPr>
              <w:t>15</w:t>
            </w:r>
            <w:r>
              <w:rPr>
                <w:rFonts w:hint="eastAsia" w:ascii="黑体" w:hAnsi="黑体" w:eastAsia="黑体"/>
                <w:sz w:val="18"/>
                <w:szCs w:val="18"/>
              </w:rPr>
              <w:t>℃～</w:t>
            </w:r>
            <w:r>
              <w:rPr>
                <w:rFonts w:ascii="黑体" w:hAnsi="黑体" w:eastAsia="黑体" w:cs="Calibri"/>
                <w:sz w:val="18"/>
                <w:szCs w:val="18"/>
              </w:rPr>
              <w:t>45</w:t>
            </w:r>
            <w:r>
              <w:rPr>
                <w:rFonts w:hint="eastAsia" w:ascii="黑体" w:hAnsi="黑体" w:eastAsia="黑体"/>
                <w:sz w:val="18"/>
                <w:szCs w:val="18"/>
              </w:rPr>
              <w:t>℃</w:t>
            </w:r>
            <w:r>
              <w:rPr>
                <w:rFonts w:ascii="黑体" w:hAnsi="黑体" w:eastAsia="黑体"/>
                <w:sz w:val="18"/>
                <w:szCs w:val="18"/>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58348952">
            <w:pPr>
              <w:pStyle w:val="132"/>
              <w:kinsoku w:val="0"/>
              <w:overflowPunct w:val="0"/>
              <w:spacing w:line="215" w:lineRule="exact"/>
              <w:ind w:left="105"/>
              <w:rPr>
                <w:rFonts w:ascii="黑体" w:hAnsi="黑体" w:eastAsia="黑体"/>
                <w:w w:val="101"/>
                <w:sz w:val="18"/>
                <w:szCs w:val="18"/>
              </w:rPr>
            </w:pPr>
            <w:r>
              <w:rPr>
                <w:rFonts w:ascii="黑体" w:hAnsi="黑体" w:eastAsia="黑体"/>
                <w:w w:val="101"/>
                <w:sz w:val="18"/>
                <w:szCs w:val="18"/>
              </w:rPr>
              <w:t xml:space="preserve"> </w:t>
            </w:r>
          </w:p>
        </w:tc>
      </w:tr>
      <w:tr w14:paraId="5B7C10CC">
        <w:tblPrEx>
          <w:tblCellMar>
            <w:top w:w="0" w:type="dxa"/>
            <w:left w:w="0" w:type="dxa"/>
            <w:bottom w:w="0" w:type="dxa"/>
            <w:right w:w="0" w:type="dxa"/>
          </w:tblCellMar>
        </w:tblPrEx>
        <w:trPr>
          <w:trHeight w:val="230" w:hRule="atLeast"/>
        </w:trPr>
        <w:tc>
          <w:tcPr>
            <w:tcW w:w="711" w:type="dxa"/>
            <w:tcBorders>
              <w:top w:val="single" w:color="000000" w:sz="4" w:space="0"/>
              <w:left w:val="single" w:color="000000" w:sz="4" w:space="0"/>
              <w:bottom w:val="single" w:color="000000" w:sz="4" w:space="0"/>
              <w:right w:val="single" w:color="000000" w:sz="4" w:space="0"/>
            </w:tcBorders>
          </w:tcPr>
          <w:p w14:paraId="01652A91">
            <w:pPr>
              <w:pStyle w:val="132"/>
              <w:kinsoku w:val="0"/>
              <w:overflowPunct w:val="0"/>
              <w:spacing w:line="210" w:lineRule="exact"/>
              <w:ind w:left="125" w:right="29"/>
              <w:rPr>
                <w:rFonts w:ascii="黑体" w:hAnsi="黑体" w:eastAsia="黑体"/>
                <w:sz w:val="18"/>
                <w:szCs w:val="18"/>
              </w:rPr>
            </w:pPr>
            <w:r>
              <w:rPr>
                <w:rFonts w:ascii="黑体" w:hAnsi="黑体" w:eastAsia="黑体"/>
                <w:sz w:val="18"/>
                <w:szCs w:val="18"/>
              </w:rPr>
              <w:t xml:space="preserve">2 </w:t>
            </w:r>
          </w:p>
        </w:tc>
        <w:tc>
          <w:tcPr>
            <w:tcW w:w="989" w:type="dxa"/>
            <w:tcBorders>
              <w:top w:val="single" w:color="000000" w:sz="4" w:space="0"/>
              <w:left w:val="single" w:color="000000" w:sz="4" w:space="0"/>
              <w:bottom w:val="single" w:color="000000" w:sz="4" w:space="0"/>
              <w:right w:val="single" w:color="000000" w:sz="4" w:space="0"/>
            </w:tcBorders>
          </w:tcPr>
          <w:p w14:paraId="0630F3CA">
            <w:pPr>
              <w:pStyle w:val="132"/>
              <w:kinsoku w:val="0"/>
              <w:overflowPunct w:val="0"/>
              <w:spacing w:line="210" w:lineRule="exact"/>
              <w:ind w:left="131" w:right="36"/>
              <w:rPr>
                <w:rFonts w:ascii="黑体" w:hAnsi="黑体" w:eastAsia="黑体"/>
                <w:sz w:val="18"/>
                <w:szCs w:val="18"/>
              </w:rPr>
            </w:pPr>
            <w:r>
              <w:rPr>
                <w:rFonts w:hint="eastAsia" w:ascii="黑体" w:hAnsi="黑体" w:eastAsia="黑体"/>
                <w:sz w:val="18"/>
                <w:szCs w:val="18"/>
              </w:rPr>
              <w:t>湿度</w:t>
            </w:r>
            <w:r>
              <w:rPr>
                <w:rFonts w:ascii="黑体" w:hAnsi="黑体" w:eastAsia="黑体"/>
                <w:sz w:val="18"/>
                <w:szCs w:val="18"/>
              </w:rPr>
              <w:t xml:space="preserve"> </w:t>
            </w:r>
          </w:p>
        </w:tc>
        <w:tc>
          <w:tcPr>
            <w:tcW w:w="6809" w:type="dxa"/>
            <w:tcBorders>
              <w:top w:val="single" w:color="000000" w:sz="4" w:space="0"/>
              <w:left w:val="single" w:color="000000" w:sz="4" w:space="0"/>
              <w:bottom w:val="single" w:color="000000" w:sz="4" w:space="0"/>
              <w:right w:val="single" w:color="000000" w:sz="4" w:space="0"/>
            </w:tcBorders>
          </w:tcPr>
          <w:p w14:paraId="132E8BB4">
            <w:pPr>
              <w:pStyle w:val="132"/>
              <w:kinsoku w:val="0"/>
              <w:overflowPunct w:val="0"/>
              <w:spacing w:line="210" w:lineRule="exact"/>
              <w:ind w:left="110"/>
              <w:rPr>
                <w:rFonts w:ascii="黑体" w:hAnsi="黑体" w:eastAsia="黑体"/>
                <w:sz w:val="18"/>
                <w:szCs w:val="18"/>
              </w:rPr>
            </w:pPr>
            <w:r>
              <w:rPr>
                <w:rFonts w:hint="eastAsia" w:ascii="黑体" w:hAnsi="黑体" w:eastAsia="黑体"/>
                <w:sz w:val="18"/>
                <w:szCs w:val="18"/>
              </w:rPr>
              <w:t>相对运行湿度推荐</w:t>
            </w:r>
            <w:r>
              <w:rPr>
                <w:rFonts w:ascii="黑体" w:hAnsi="黑体" w:eastAsia="黑体"/>
                <w:sz w:val="18"/>
                <w:szCs w:val="18"/>
              </w:rPr>
              <w:t xml:space="preserve"> </w:t>
            </w:r>
            <w:r>
              <w:rPr>
                <w:rFonts w:ascii="黑体" w:hAnsi="黑体" w:eastAsia="黑体" w:cs="Calibri"/>
                <w:sz w:val="18"/>
                <w:szCs w:val="18"/>
              </w:rPr>
              <w:t>35%</w:t>
            </w:r>
            <w:r>
              <w:rPr>
                <w:rFonts w:hint="eastAsia" w:ascii="黑体" w:hAnsi="黑体" w:eastAsia="黑体"/>
                <w:sz w:val="18"/>
                <w:szCs w:val="18"/>
              </w:rPr>
              <w:t>～</w:t>
            </w:r>
            <w:r>
              <w:rPr>
                <w:rFonts w:ascii="黑体" w:hAnsi="黑体" w:eastAsia="黑体" w:cs="Calibri"/>
                <w:sz w:val="18"/>
                <w:szCs w:val="18"/>
              </w:rPr>
              <w:t>75%</w:t>
            </w:r>
            <w:r>
              <w:rPr>
                <w:rFonts w:hint="eastAsia" w:ascii="黑体" w:hAnsi="黑体" w:eastAsia="黑体"/>
                <w:sz w:val="18"/>
                <w:szCs w:val="18"/>
              </w:rPr>
              <w:t>，无冷凝</w:t>
            </w:r>
            <w:r>
              <w:rPr>
                <w:rFonts w:ascii="黑体" w:hAnsi="黑体" w:eastAsia="黑体"/>
                <w:sz w:val="18"/>
                <w:szCs w:val="18"/>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3C437915">
            <w:pPr>
              <w:pStyle w:val="132"/>
              <w:kinsoku w:val="0"/>
              <w:overflowPunct w:val="0"/>
              <w:spacing w:line="210" w:lineRule="exact"/>
              <w:ind w:left="105"/>
              <w:rPr>
                <w:rFonts w:ascii="黑体" w:hAnsi="黑体" w:eastAsia="黑体"/>
                <w:w w:val="101"/>
                <w:sz w:val="18"/>
                <w:szCs w:val="18"/>
              </w:rPr>
            </w:pPr>
            <w:r>
              <w:rPr>
                <w:rFonts w:ascii="黑体" w:hAnsi="黑体" w:eastAsia="黑体"/>
                <w:w w:val="101"/>
                <w:sz w:val="18"/>
                <w:szCs w:val="18"/>
              </w:rPr>
              <w:t xml:space="preserve"> </w:t>
            </w:r>
          </w:p>
        </w:tc>
      </w:tr>
      <w:tr w14:paraId="6F294C49">
        <w:tblPrEx>
          <w:tblCellMar>
            <w:top w:w="0" w:type="dxa"/>
            <w:left w:w="0" w:type="dxa"/>
            <w:bottom w:w="0" w:type="dxa"/>
            <w:right w:w="0" w:type="dxa"/>
          </w:tblCellMar>
        </w:tblPrEx>
        <w:trPr>
          <w:trHeight w:val="234" w:hRule="atLeast"/>
        </w:trPr>
        <w:tc>
          <w:tcPr>
            <w:tcW w:w="711" w:type="dxa"/>
            <w:tcBorders>
              <w:top w:val="single" w:color="000000" w:sz="4" w:space="0"/>
              <w:left w:val="single" w:color="000000" w:sz="4" w:space="0"/>
              <w:bottom w:val="single" w:color="000000" w:sz="4" w:space="0"/>
              <w:right w:val="single" w:color="000000" w:sz="4" w:space="0"/>
            </w:tcBorders>
          </w:tcPr>
          <w:p w14:paraId="40230232">
            <w:pPr>
              <w:pStyle w:val="132"/>
              <w:kinsoku w:val="0"/>
              <w:overflowPunct w:val="0"/>
              <w:spacing w:line="215" w:lineRule="exact"/>
              <w:ind w:left="125" w:right="29"/>
              <w:rPr>
                <w:rFonts w:ascii="黑体" w:hAnsi="黑体" w:eastAsia="黑体"/>
                <w:sz w:val="18"/>
                <w:szCs w:val="18"/>
              </w:rPr>
            </w:pPr>
            <w:r>
              <w:rPr>
                <w:rFonts w:ascii="黑体" w:hAnsi="黑体" w:eastAsia="黑体"/>
                <w:sz w:val="18"/>
                <w:szCs w:val="18"/>
              </w:rPr>
              <w:t xml:space="preserve">3 </w:t>
            </w:r>
          </w:p>
        </w:tc>
        <w:tc>
          <w:tcPr>
            <w:tcW w:w="989" w:type="dxa"/>
            <w:tcBorders>
              <w:top w:val="single" w:color="000000" w:sz="4" w:space="0"/>
              <w:left w:val="single" w:color="000000" w:sz="4" w:space="0"/>
              <w:bottom w:val="single" w:color="000000" w:sz="4" w:space="0"/>
              <w:right w:val="single" w:color="000000" w:sz="4" w:space="0"/>
            </w:tcBorders>
          </w:tcPr>
          <w:p w14:paraId="4068A211">
            <w:pPr>
              <w:pStyle w:val="132"/>
              <w:kinsoku w:val="0"/>
              <w:overflowPunct w:val="0"/>
              <w:spacing w:line="215" w:lineRule="exact"/>
              <w:ind w:left="131" w:right="36"/>
              <w:rPr>
                <w:rFonts w:ascii="黑体" w:hAnsi="黑体" w:eastAsia="黑体"/>
                <w:sz w:val="18"/>
                <w:szCs w:val="18"/>
              </w:rPr>
            </w:pPr>
            <w:r>
              <w:rPr>
                <w:rFonts w:hint="eastAsia" w:ascii="黑体" w:hAnsi="黑体" w:eastAsia="黑体"/>
                <w:sz w:val="18"/>
                <w:szCs w:val="18"/>
              </w:rPr>
              <w:t>海拔</w:t>
            </w:r>
            <w:r>
              <w:rPr>
                <w:rFonts w:ascii="黑体" w:hAnsi="黑体" w:eastAsia="黑体"/>
                <w:sz w:val="18"/>
                <w:szCs w:val="18"/>
              </w:rPr>
              <w:t xml:space="preserve"> </w:t>
            </w:r>
          </w:p>
        </w:tc>
        <w:tc>
          <w:tcPr>
            <w:tcW w:w="6809" w:type="dxa"/>
            <w:tcBorders>
              <w:top w:val="single" w:color="000000" w:sz="4" w:space="0"/>
              <w:left w:val="single" w:color="000000" w:sz="4" w:space="0"/>
              <w:bottom w:val="single" w:color="000000" w:sz="4" w:space="0"/>
              <w:right w:val="single" w:color="000000" w:sz="4" w:space="0"/>
            </w:tcBorders>
          </w:tcPr>
          <w:p w14:paraId="70BB7C91">
            <w:pPr>
              <w:pStyle w:val="132"/>
              <w:kinsoku w:val="0"/>
              <w:overflowPunct w:val="0"/>
              <w:spacing w:line="215" w:lineRule="exact"/>
              <w:ind w:left="110"/>
              <w:rPr>
                <w:rFonts w:ascii="黑体" w:hAnsi="黑体" w:eastAsia="黑体"/>
                <w:sz w:val="18"/>
                <w:szCs w:val="18"/>
              </w:rPr>
            </w:pPr>
            <w:r>
              <w:rPr>
                <w:rFonts w:hint="eastAsia" w:ascii="黑体" w:hAnsi="黑体" w:eastAsia="黑体"/>
                <w:sz w:val="18"/>
                <w:szCs w:val="18"/>
              </w:rPr>
              <w:t>运行高度</w:t>
            </w:r>
          </w:p>
        </w:tc>
        <w:tc>
          <w:tcPr>
            <w:tcW w:w="1133" w:type="dxa"/>
            <w:tcBorders>
              <w:top w:val="single" w:color="000000" w:sz="4" w:space="0"/>
              <w:left w:val="single" w:color="000000" w:sz="4" w:space="0"/>
              <w:bottom w:val="single" w:color="000000" w:sz="4" w:space="0"/>
              <w:right w:val="single" w:color="000000" w:sz="4" w:space="0"/>
            </w:tcBorders>
          </w:tcPr>
          <w:p w14:paraId="784CCBBC">
            <w:pPr>
              <w:pStyle w:val="132"/>
              <w:kinsoku w:val="0"/>
              <w:overflowPunct w:val="0"/>
              <w:rPr>
                <w:rFonts w:ascii="黑体" w:hAnsi="黑体" w:eastAsia="黑体" w:cs="Times New Roman"/>
                <w:sz w:val="18"/>
                <w:szCs w:val="18"/>
              </w:rPr>
            </w:pPr>
          </w:p>
        </w:tc>
      </w:tr>
      <w:tr w14:paraId="7DCB3F15">
        <w:tblPrEx>
          <w:tblCellMar>
            <w:top w:w="0" w:type="dxa"/>
            <w:left w:w="0" w:type="dxa"/>
            <w:bottom w:w="0" w:type="dxa"/>
            <w:right w:w="0" w:type="dxa"/>
          </w:tblCellMar>
        </w:tblPrEx>
        <w:trPr>
          <w:trHeight w:val="235" w:hRule="atLeast"/>
        </w:trPr>
        <w:tc>
          <w:tcPr>
            <w:tcW w:w="711" w:type="dxa"/>
            <w:tcBorders>
              <w:top w:val="single" w:color="000000" w:sz="4" w:space="0"/>
              <w:left w:val="single" w:color="000000" w:sz="4" w:space="0"/>
              <w:bottom w:val="single" w:color="000000" w:sz="4" w:space="0"/>
              <w:right w:val="single" w:color="000000" w:sz="4" w:space="0"/>
            </w:tcBorders>
          </w:tcPr>
          <w:p w14:paraId="6F768607">
            <w:pPr>
              <w:pStyle w:val="132"/>
              <w:kinsoku w:val="0"/>
              <w:overflowPunct w:val="0"/>
              <w:spacing w:line="215" w:lineRule="exact"/>
              <w:ind w:left="125" w:right="29"/>
              <w:rPr>
                <w:rFonts w:ascii="黑体" w:hAnsi="黑体" w:eastAsia="黑体"/>
                <w:sz w:val="18"/>
                <w:szCs w:val="18"/>
              </w:rPr>
            </w:pPr>
            <w:r>
              <w:rPr>
                <w:rFonts w:ascii="黑体" w:hAnsi="黑体" w:eastAsia="黑体"/>
                <w:sz w:val="18"/>
                <w:szCs w:val="18"/>
              </w:rPr>
              <w:t xml:space="preserve">4 </w:t>
            </w:r>
          </w:p>
        </w:tc>
        <w:tc>
          <w:tcPr>
            <w:tcW w:w="989" w:type="dxa"/>
            <w:tcBorders>
              <w:top w:val="single" w:color="000000" w:sz="4" w:space="0"/>
              <w:left w:val="single" w:color="000000" w:sz="4" w:space="0"/>
              <w:bottom w:val="single" w:color="000000" w:sz="4" w:space="0"/>
              <w:right w:val="single" w:color="000000" w:sz="4" w:space="0"/>
            </w:tcBorders>
          </w:tcPr>
          <w:p w14:paraId="43B8B80A">
            <w:pPr>
              <w:pStyle w:val="132"/>
              <w:kinsoku w:val="0"/>
              <w:overflowPunct w:val="0"/>
              <w:spacing w:line="215" w:lineRule="exact"/>
              <w:ind w:left="131" w:right="36"/>
              <w:rPr>
                <w:rFonts w:ascii="黑体" w:hAnsi="黑体" w:eastAsia="黑体"/>
                <w:sz w:val="18"/>
                <w:szCs w:val="18"/>
              </w:rPr>
            </w:pPr>
            <w:r>
              <w:rPr>
                <w:rFonts w:hint="eastAsia" w:ascii="黑体" w:hAnsi="黑体" w:eastAsia="黑体"/>
                <w:sz w:val="18"/>
                <w:szCs w:val="18"/>
              </w:rPr>
              <w:t>电压</w:t>
            </w:r>
            <w:r>
              <w:rPr>
                <w:rFonts w:ascii="黑体" w:hAnsi="黑体" w:eastAsia="黑体"/>
                <w:sz w:val="18"/>
                <w:szCs w:val="18"/>
              </w:rPr>
              <w:t xml:space="preserve"> </w:t>
            </w:r>
          </w:p>
        </w:tc>
        <w:tc>
          <w:tcPr>
            <w:tcW w:w="6809" w:type="dxa"/>
            <w:tcBorders>
              <w:top w:val="single" w:color="000000" w:sz="4" w:space="0"/>
              <w:left w:val="single" w:color="000000" w:sz="4" w:space="0"/>
              <w:bottom w:val="single" w:color="000000" w:sz="4" w:space="0"/>
              <w:right w:val="single" w:color="000000" w:sz="4" w:space="0"/>
            </w:tcBorders>
          </w:tcPr>
          <w:p w14:paraId="6EA68C25">
            <w:pPr>
              <w:pStyle w:val="132"/>
              <w:kinsoku w:val="0"/>
              <w:overflowPunct w:val="0"/>
              <w:spacing w:line="215" w:lineRule="exact"/>
              <w:ind w:left="110"/>
              <w:rPr>
                <w:rFonts w:ascii="黑体" w:hAnsi="黑体" w:eastAsia="黑体"/>
                <w:sz w:val="18"/>
                <w:szCs w:val="18"/>
              </w:rPr>
            </w:pPr>
            <w:r>
              <w:rPr>
                <w:rFonts w:hint="eastAsia" w:ascii="黑体" w:hAnsi="黑体" w:eastAsia="黑体"/>
                <w:sz w:val="18"/>
                <w:szCs w:val="18"/>
              </w:rPr>
              <w:t>电源输入电压</w:t>
            </w:r>
            <w:r>
              <w:rPr>
                <w:rFonts w:ascii="黑体" w:hAnsi="黑体" w:eastAsia="黑体" w:cs="Arial"/>
                <w:sz w:val="18"/>
                <w:szCs w:val="18"/>
              </w:rPr>
              <w:t>/</w:t>
            </w:r>
            <w:r>
              <w:rPr>
                <w:rFonts w:hint="eastAsia" w:ascii="黑体" w:hAnsi="黑体" w:eastAsia="黑体"/>
                <w:sz w:val="18"/>
                <w:szCs w:val="18"/>
              </w:rPr>
              <w:t>频率变化范围及最大变化率</w:t>
            </w:r>
          </w:p>
        </w:tc>
        <w:tc>
          <w:tcPr>
            <w:tcW w:w="1133" w:type="dxa"/>
            <w:tcBorders>
              <w:top w:val="single" w:color="000000" w:sz="4" w:space="0"/>
              <w:left w:val="single" w:color="000000" w:sz="4" w:space="0"/>
              <w:bottom w:val="single" w:color="000000" w:sz="4" w:space="0"/>
              <w:right w:val="single" w:color="000000" w:sz="4" w:space="0"/>
            </w:tcBorders>
          </w:tcPr>
          <w:p w14:paraId="69200D24">
            <w:pPr>
              <w:pStyle w:val="132"/>
              <w:kinsoku w:val="0"/>
              <w:overflowPunct w:val="0"/>
              <w:rPr>
                <w:rFonts w:ascii="黑体" w:hAnsi="黑体" w:eastAsia="黑体" w:cs="Times New Roman"/>
                <w:sz w:val="18"/>
                <w:szCs w:val="18"/>
              </w:rPr>
            </w:pPr>
          </w:p>
        </w:tc>
      </w:tr>
      <w:tr w14:paraId="0A3D132B">
        <w:tblPrEx>
          <w:tblCellMar>
            <w:top w:w="0" w:type="dxa"/>
            <w:left w:w="0" w:type="dxa"/>
            <w:bottom w:w="0" w:type="dxa"/>
            <w:right w:w="0" w:type="dxa"/>
          </w:tblCellMar>
        </w:tblPrEx>
        <w:trPr>
          <w:trHeight w:val="321" w:hRule="atLeast"/>
        </w:trPr>
        <w:tc>
          <w:tcPr>
            <w:tcW w:w="711" w:type="dxa"/>
            <w:tcBorders>
              <w:top w:val="single" w:color="000000" w:sz="4" w:space="0"/>
              <w:left w:val="single" w:color="000000" w:sz="4" w:space="0"/>
              <w:bottom w:val="single" w:color="000000" w:sz="4" w:space="0"/>
              <w:right w:val="single" w:color="000000" w:sz="4" w:space="0"/>
            </w:tcBorders>
          </w:tcPr>
          <w:p w14:paraId="4240616E">
            <w:pPr>
              <w:pStyle w:val="132"/>
              <w:kinsoku w:val="0"/>
              <w:overflowPunct w:val="0"/>
              <w:spacing w:before="40"/>
              <w:ind w:left="125" w:right="29"/>
              <w:rPr>
                <w:rFonts w:ascii="黑体" w:hAnsi="黑体" w:eastAsia="黑体"/>
                <w:sz w:val="18"/>
                <w:szCs w:val="18"/>
              </w:rPr>
            </w:pPr>
            <w:r>
              <w:rPr>
                <w:rFonts w:ascii="黑体" w:hAnsi="黑体" w:eastAsia="黑体"/>
                <w:sz w:val="18"/>
                <w:szCs w:val="18"/>
              </w:rPr>
              <w:t xml:space="preserve">5 </w:t>
            </w:r>
          </w:p>
        </w:tc>
        <w:tc>
          <w:tcPr>
            <w:tcW w:w="989" w:type="dxa"/>
            <w:tcBorders>
              <w:top w:val="single" w:color="000000" w:sz="4" w:space="0"/>
              <w:left w:val="single" w:color="000000" w:sz="4" w:space="0"/>
              <w:bottom w:val="single" w:color="000000" w:sz="4" w:space="0"/>
              <w:right w:val="single" w:color="000000" w:sz="4" w:space="0"/>
            </w:tcBorders>
          </w:tcPr>
          <w:p w14:paraId="009231BE">
            <w:pPr>
              <w:pStyle w:val="132"/>
              <w:kinsoku w:val="0"/>
              <w:overflowPunct w:val="0"/>
              <w:spacing w:before="40"/>
              <w:ind w:left="131" w:right="31"/>
              <w:rPr>
                <w:rFonts w:ascii="黑体" w:hAnsi="黑体" w:eastAsia="黑体"/>
                <w:sz w:val="18"/>
                <w:szCs w:val="18"/>
              </w:rPr>
            </w:pPr>
            <w:r>
              <w:rPr>
                <w:rFonts w:hint="eastAsia" w:ascii="黑体" w:hAnsi="黑体" w:eastAsia="黑体"/>
                <w:sz w:val="18"/>
                <w:szCs w:val="18"/>
              </w:rPr>
              <w:t>地板保护</w:t>
            </w:r>
            <w:r>
              <w:rPr>
                <w:rFonts w:ascii="黑体" w:hAnsi="黑体" w:eastAsia="黑体"/>
                <w:sz w:val="18"/>
                <w:szCs w:val="18"/>
              </w:rPr>
              <w:t xml:space="preserve"> </w:t>
            </w:r>
          </w:p>
        </w:tc>
        <w:tc>
          <w:tcPr>
            <w:tcW w:w="6809" w:type="dxa"/>
            <w:tcBorders>
              <w:top w:val="single" w:color="000000" w:sz="4" w:space="0"/>
              <w:left w:val="single" w:color="000000" w:sz="4" w:space="0"/>
              <w:bottom w:val="single" w:color="000000" w:sz="4" w:space="0"/>
              <w:right w:val="single" w:color="000000" w:sz="4" w:space="0"/>
            </w:tcBorders>
          </w:tcPr>
          <w:p w14:paraId="25C8D7A0">
            <w:pPr>
              <w:pStyle w:val="132"/>
              <w:kinsoku w:val="0"/>
              <w:overflowPunct w:val="0"/>
              <w:spacing w:before="40"/>
              <w:ind w:left="110"/>
              <w:rPr>
                <w:rFonts w:ascii="黑体" w:hAnsi="黑体" w:eastAsia="黑体"/>
                <w:sz w:val="18"/>
                <w:szCs w:val="18"/>
              </w:rPr>
            </w:pPr>
            <w:r>
              <w:rPr>
                <w:rFonts w:hint="eastAsia" w:ascii="黑体" w:hAnsi="黑体" w:eastAsia="黑体"/>
                <w:sz w:val="18"/>
                <w:szCs w:val="18"/>
              </w:rPr>
              <w:t>地板运输及安装后应做保护处理，防止地板污染损坏</w:t>
            </w:r>
          </w:p>
        </w:tc>
        <w:tc>
          <w:tcPr>
            <w:tcW w:w="1133" w:type="dxa"/>
            <w:tcBorders>
              <w:top w:val="single" w:color="000000" w:sz="4" w:space="0"/>
              <w:left w:val="single" w:color="000000" w:sz="4" w:space="0"/>
              <w:bottom w:val="single" w:color="000000" w:sz="4" w:space="0"/>
              <w:right w:val="single" w:color="000000" w:sz="4" w:space="0"/>
            </w:tcBorders>
          </w:tcPr>
          <w:p w14:paraId="0DC2E6B1">
            <w:pPr>
              <w:pStyle w:val="132"/>
              <w:kinsoku w:val="0"/>
              <w:overflowPunct w:val="0"/>
              <w:rPr>
                <w:rFonts w:ascii="黑体" w:hAnsi="黑体" w:eastAsia="黑体" w:cs="Times New Roman"/>
                <w:sz w:val="18"/>
                <w:szCs w:val="18"/>
              </w:rPr>
            </w:pPr>
          </w:p>
        </w:tc>
      </w:tr>
      <w:tr w14:paraId="08C919E6">
        <w:tblPrEx>
          <w:tblCellMar>
            <w:top w:w="0" w:type="dxa"/>
            <w:left w:w="0" w:type="dxa"/>
            <w:bottom w:w="0" w:type="dxa"/>
            <w:right w:w="0" w:type="dxa"/>
          </w:tblCellMar>
        </w:tblPrEx>
        <w:trPr>
          <w:trHeight w:val="244" w:hRule="atLeast"/>
        </w:trPr>
        <w:tc>
          <w:tcPr>
            <w:tcW w:w="711" w:type="dxa"/>
            <w:tcBorders>
              <w:top w:val="single" w:color="000000" w:sz="4" w:space="0"/>
              <w:left w:val="single" w:color="000000" w:sz="4" w:space="0"/>
              <w:bottom w:val="single" w:color="000000" w:sz="4" w:space="0"/>
              <w:right w:val="single" w:color="000000" w:sz="4" w:space="0"/>
            </w:tcBorders>
          </w:tcPr>
          <w:p w14:paraId="52D418E6">
            <w:pPr>
              <w:pStyle w:val="132"/>
              <w:kinsoku w:val="0"/>
              <w:overflowPunct w:val="0"/>
              <w:spacing w:before="2" w:line="222" w:lineRule="exact"/>
              <w:ind w:left="125" w:right="29"/>
              <w:rPr>
                <w:rFonts w:ascii="黑体" w:hAnsi="黑体" w:eastAsia="黑体"/>
                <w:sz w:val="18"/>
                <w:szCs w:val="18"/>
              </w:rPr>
            </w:pPr>
            <w:r>
              <w:rPr>
                <w:rFonts w:ascii="黑体" w:hAnsi="黑体" w:eastAsia="黑体"/>
                <w:sz w:val="18"/>
                <w:szCs w:val="18"/>
              </w:rPr>
              <w:t xml:space="preserve">6 </w:t>
            </w:r>
          </w:p>
        </w:tc>
        <w:tc>
          <w:tcPr>
            <w:tcW w:w="989" w:type="dxa"/>
            <w:tcBorders>
              <w:top w:val="single" w:color="000000" w:sz="4" w:space="0"/>
              <w:left w:val="single" w:color="000000" w:sz="4" w:space="0"/>
              <w:bottom w:val="single" w:color="000000" w:sz="4" w:space="0"/>
              <w:right w:val="single" w:color="000000" w:sz="4" w:space="0"/>
            </w:tcBorders>
          </w:tcPr>
          <w:p w14:paraId="5426C809">
            <w:pPr>
              <w:pStyle w:val="132"/>
              <w:kinsoku w:val="0"/>
              <w:overflowPunct w:val="0"/>
              <w:spacing w:before="2" w:line="222" w:lineRule="exact"/>
              <w:ind w:left="131" w:right="36"/>
              <w:rPr>
                <w:rFonts w:ascii="黑体" w:hAnsi="黑体" w:eastAsia="黑体"/>
                <w:sz w:val="18"/>
                <w:szCs w:val="18"/>
              </w:rPr>
            </w:pPr>
            <w:r>
              <w:rPr>
                <w:rFonts w:hint="eastAsia" w:ascii="黑体" w:hAnsi="黑体" w:eastAsia="黑体"/>
                <w:sz w:val="18"/>
                <w:szCs w:val="18"/>
              </w:rPr>
              <w:t>防水</w:t>
            </w:r>
            <w:r>
              <w:rPr>
                <w:rFonts w:ascii="黑体" w:hAnsi="黑体" w:eastAsia="黑体"/>
                <w:sz w:val="18"/>
                <w:szCs w:val="18"/>
              </w:rPr>
              <w:t xml:space="preserve"> </w:t>
            </w:r>
          </w:p>
        </w:tc>
        <w:tc>
          <w:tcPr>
            <w:tcW w:w="6809" w:type="dxa"/>
            <w:tcBorders>
              <w:top w:val="single" w:color="000000" w:sz="4" w:space="0"/>
              <w:left w:val="single" w:color="000000" w:sz="4" w:space="0"/>
              <w:bottom w:val="single" w:color="000000" w:sz="4" w:space="0"/>
              <w:right w:val="single" w:color="000000" w:sz="4" w:space="0"/>
            </w:tcBorders>
          </w:tcPr>
          <w:p w14:paraId="3C25F284">
            <w:pPr>
              <w:pStyle w:val="132"/>
              <w:kinsoku w:val="0"/>
              <w:overflowPunct w:val="0"/>
              <w:spacing w:before="2" w:line="222" w:lineRule="exact"/>
              <w:ind w:left="110"/>
              <w:rPr>
                <w:rFonts w:ascii="黑体" w:hAnsi="黑体" w:eastAsia="黑体"/>
                <w:sz w:val="18"/>
                <w:szCs w:val="18"/>
              </w:rPr>
            </w:pPr>
            <w:r>
              <w:rPr>
                <w:rFonts w:hint="eastAsia" w:ascii="黑体" w:hAnsi="黑体" w:eastAsia="黑体"/>
                <w:sz w:val="18"/>
                <w:szCs w:val="18"/>
              </w:rPr>
              <w:t>地板贴面在存贮，运输，安装和使用过程中应避免沾水，贴面沾水后易开裂或脱胶</w:t>
            </w:r>
          </w:p>
        </w:tc>
        <w:tc>
          <w:tcPr>
            <w:tcW w:w="1133" w:type="dxa"/>
            <w:tcBorders>
              <w:top w:val="single" w:color="000000" w:sz="4" w:space="0"/>
              <w:left w:val="single" w:color="000000" w:sz="4" w:space="0"/>
              <w:bottom w:val="single" w:color="000000" w:sz="4" w:space="0"/>
              <w:right w:val="single" w:color="000000" w:sz="4" w:space="0"/>
            </w:tcBorders>
          </w:tcPr>
          <w:p w14:paraId="0A1791AA">
            <w:pPr>
              <w:pStyle w:val="132"/>
              <w:kinsoku w:val="0"/>
              <w:overflowPunct w:val="0"/>
              <w:rPr>
                <w:rFonts w:ascii="黑体" w:hAnsi="黑体" w:eastAsia="黑体" w:cs="Times New Roman"/>
                <w:sz w:val="18"/>
                <w:szCs w:val="18"/>
              </w:rPr>
            </w:pPr>
          </w:p>
        </w:tc>
      </w:tr>
      <w:tr w14:paraId="1199F1C2">
        <w:tblPrEx>
          <w:tblCellMar>
            <w:top w:w="0" w:type="dxa"/>
            <w:left w:w="0" w:type="dxa"/>
            <w:bottom w:w="0" w:type="dxa"/>
            <w:right w:w="0" w:type="dxa"/>
          </w:tblCellMar>
        </w:tblPrEx>
        <w:trPr>
          <w:trHeight w:val="465" w:hRule="atLeast"/>
        </w:trPr>
        <w:tc>
          <w:tcPr>
            <w:tcW w:w="711" w:type="dxa"/>
            <w:tcBorders>
              <w:top w:val="single" w:color="000000" w:sz="4" w:space="0"/>
              <w:left w:val="single" w:color="000000" w:sz="4" w:space="0"/>
              <w:bottom w:val="single" w:color="000000" w:sz="4" w:space="0"/>
              <w:right w:val="single" w:color="000000" w:sz="4" w:space="0"/>
            </w:tcBorders>
          </w:tcPr>
          <w:p w14:paraId="1079921B">
            <w:pPr>
              <w:pStyle w:val="132"/>
              <w:kinsoku w:val="0"/>
              <w:overflowPunct w:val="0"/>
              <w:spacing w:before="112"/>
              <w:ind w:left="125" w:right="29"/>
              <w:rPr>
                <w:rFonts w:ascii="黑体" w:hAnsi="黑体" w:eastAsia="黑体"/>
                <w:sz w:val="18"/>
                <w:szCs w:val="18"/>
              </w:rPr>
            </w:pPr>
            <w:r>
              <w:rPr>
                <w:rFonts w:ascii="黑体" w:hAnsi="黑体" w:eastAsia="黑体"/>
                <w:sz w:val="18"/>
                <w:szCs w:val="18"/>
              </w:rPr>
              <w:t xml:space="preserve">7 </w:t>
            </w:r>
          </w:p>
        </w:tc>
        <w:tc>
          <w:tcPr>
            <w:tcW w:w="989" w:type="dxa"/>
            <w:tcBorders>
              <w:top w:val="single" w:color="000000" w:sz="4" w:space="0"/>
              <w:left w:val="single" w:color="000000" w:sz="4" w:space="0"/>
              <w:bottom w:val="single" w:color="000000" w:sz="4" w:space="0"/>
              <w:right w:val="single" w:color="000000" w:sz="4" w:space="0"/>
            </w:tcBorders>
          </w:tcPr>
          <w:p w14:paraId="1BFBB055">
            <w:pPr>
              <w:pStyle w:val="132"/>
              <w:kinsoku w:val="0"/>
              <w:overflowPunct w:val="0"/>
              <w:spacing w:line="228" w:lineRule="exact"/>
              <w:ind w:left="131" w:right="31"/>
              <w:rPr>
                <w:rFonts w:ascii="黑体" w:hAnsi="黑体" w:eastAsia="黑体"/>
                <w:sz w:val="18"/>
                <w:szCs w:val="18"/>
              </w:rPr>
            </w:pPr>
            <w:r>
              <w:rPr>
                <w:rFonts w:hint="eastAsia" w:ascii="黑体" w:hAnsi="黑体" w:eastAsia="黑体"/>
                <w:sz w:val="18"/>
                <w:szCs w:val="18"/>
              </w:rPr>
              <w:t>阻燃要求</w:t>
            </w:r>
            <w:r>
              <w:rPr>
                <w:rFonts w:ascii="黑体" w:hAnsi="黑体" w:eastAsia="黑体"/>
                <w:sz w:val="18"/>
                <w:szCs w:val="18"/>
              </w:rPr>
              <w:t xml:space="preserve"> </w:t>
            </w:r>
          </w:p>
        </w:tc>
        <w:tc>
          <w:tcPr>
            <w:tcW w:w="6809" w:type="dxa"/>
            <w:tcBorders>
              <w:top w:val="single" w:color="000000" w:sz="4" w:space="0"/>
              <w:left w:val="single" w:color="000000" w:sz="4" w:space="0"/>
              <w:bottom w:val="single" w:color="000000" w:sz="4" w:space="0"/>
              <w:right w:val="single" w:color="000000" w:sz="4" w:space="0"/>
            </w:tcBorders>
          </w:tcPr>
          <w:p w14:paraId="726AA160">
            <w:pPr>
              <w:pStyle w:val="132"/>
              <w:kinsoku w:val="0"/>
              <w:overflowPunct w:val="0"/>
              <w:spacing w:line="228" w:lineRule="exact"/>
              <w:ind w:left="110"/>
              <w:rPr>
                <w:rFonts w:ascii="黑体" w:hAnsi="黑体" w:eastAsia="黑体"/>
                <w:spacing w:val="-4"/>
                <w:sz w:val="18"/>
                <w:szCs w:val="18"/>
              </w:rPr>
            </w:pPr>
            <w:r>
              <w:rPr>
                <w:rFonts w:hint="eastAsia" w:ascii="黑体" w:hAnsi="黑体" w:eastAsia="黑体"/>
                <w:spacing w:val="-2"/>
                <w:sz w:val="18"/>
                <w:szCs w:val="18"/>
              </w:rPr>
              <w:t>材料符合</w:t>
            </w:r>
            <w:r>
              <w:rPr>
                <w:rFonts w:ascii="黑体" w:hAnsi="黑体" w:eastAsia="黑体" w:cs="Calibri"/>
                <w:sz w:val="18"/>
                <w:szCs w:val="18"/>
              </w:rPr>
              <w:t>DIN</w:t>
            </w:r>
            <w:r>
              <w:rPr>
                <w:rFonts w:ascii="黑体" w:hAnsi="黑体" w:eastAsia="黑体" w:cs="Calibri"/>
                <w:spacing w:val="14"/>
                <w:sz w:val="18"/>
                <w:szCs w:val="18"/>
              </w:rPr>
              <w:t xml:space="preserve"> </w:t>
            </w:r>
            <w:r>
              <w:rPr>
                <w:rFonts w:ascii="黑体" w:hAnsi="黑体" w:eastAsia="黑体" w:cs="Calibri"/>
                <w:sz w:val="18"/>
                <w:szCs w:val="18"/>
              </w:rPr>
              <w:t>4102-2</w:t>
            </w:r>
            <w:r>
              <w:rPr>
                <w:rFonts w:ascii="黑体" w:hAnsi="黑体" w:eastAsia="黑体" w:cs="Calibri"/>
                <w:spacing w:val="10"/>
                <w:sz w:val="18"/>
                <w:szCs w:val="18"/>
              </w:rPr>
              <w:t xml:space="preserve"> </w:t>
            </w:r>
            <w:r>
              <w:rPr>
                <w:rFonts w:hint="eastAsia" w:ascii="黑体" w:hAnsi="黑体" w:eastAsia="黑体"/>
                <w:spacing w:val="-5"/>
                <w:sz w:val="18"/>
                <w:szCs w:val="18"/>
              </w:rPr>
              <w:t>欧洲标准，满足</w:t>
            </w:r>
            <w:r>
              <w:rPr>
                <w:rFonts w:ascii="黑体" w:hAnsi="黑体" w:eastAsia="黑体" w:cs="Calibri"/>
                <w:sz w:val="18"/>
                <w:szCs w:val="18"/>
              </w:rPr>
              <w:t>A</w:t>
            </w:r>
            <w:r>
              <w:rPr>
                <w:rFonts w:ascii="黑体" w:hAnsi="黑体" w:eastAsia="黑体" w:cs="Calibri"/>
                <w:spacing w:val="12"/>
                <w:sz w:val="18"/>
                <w:szCs w:val="18"/>
              </w:rPr>
              <w:t xml:space="preserve"> </w:t>
            </w:r>
            <w:r>
              <w:rPr>
                <w:rFonts w:hint="eastAsia" w:ascii="黑体" w:hAnsi="黑体" w:eastAsia="黑体"/>
                <w:spacing w:val="-4"/>
                <w:sz w:val="18"/>
                <w:szCs w:val="18"/>
              </w:rPr>
              <w:t>级防火不燃材料。</w:t>
            </w:r>
          </w:p>
          <w:p w14:paraId="2B28A1AB">
            <w:pPr>
              <w:pStyle w:val="132"/>
              <w:kinsoku w:val="0"/>
              <w:overflowPunct w:val="0"/>
              <w:spacing w:before="4" w:line="213" w:lineRule="exact"/>
              <w:ind w:left="110"/>
              <w:rPr>
                <w:rFonts w:ascii="黑体" w:hAnsi="黑体" w:eastAsia="黑体"/>
                <w:sz w:val="18"/>
                <w:szCs w:val="18"/>
              </w:rPr>
            </w:pPr>
            <w:r>
              <w:rPr>
                <w:rFonts w:hint="eastAsia" w:ascii="黑体" w:hAnsi="黑体" w:eastAsia="黑体"/>
                <w:spacing w:val="-3"/>
                <w:sz w:val="18"/>
                <w:szCs w:val="18"/>
              </w:rPr>
              <w:t>地板系统符合</w:t>
            </w:r>
            <w:r>
              <w:rPr>
                <w:rFonts w:ascii="黑体" w:hAnsi="黑体" w:eastAsia="黑体" w:cs="Calibri"/>
                <w:sz w:val="18"/>
                <w:szCs w:val="18"/>
              </w:rPr>
              <w:t>DIN</w:t>
            </w:r>
            <w:r>
              <w:rPr>
                <w:rFonts w:ascii="黑体" w:hAnsi="黑体" w:eastAsia="黑体" w:cs="Calibri"/>
                <w:spacing w:val="13"/>
                <w:sz w:val="18"/>
                <w:szCs w:val="18"/>
              </w:rPr>
              <w:t xml:space="preserve"> </w:t>
            </w:r>
            <w:r>
              <w:rPr>
                <w:rFonts w:ascii="黑体" w:hAnsi="黑体" w:eastAsia="黑体" w:cs="Calibri"/>
                <w:sz w:val="18"/>
                <w:szCs w:val="18"/>
              </w:rPr>
              <w:t>4102-2</w:t>
            </w:r>
            <w:r>
              <w:rPr>
                <w:rFonts w:ascii="黑体" w:hAnsi="黑体" w:eastAsia="黑体" w:cs="Calibri"/>
                <w:spacing w:val="9"/>
                <w:sz w:val="18"/>
                <w:szCs w:val="18"/>
              </w:rPr>
              <w:t xml:space="preserve"> </w:t>
            </w:r>
            <w:r>
              <w:rPr>
                <w:rFonts w:hint="eastAsia" w:ascii="黑体" w:hAnsi="黑体" w:eastAsia="黑体"/>
                <w:spacing w:val="2"/>
                <w:sz w:val="18"/>
                <w:szCs w:val="18"/>
              </w:rPr>
              <w:t>欧洲标准，满足</w:t>
            </w:r>
            <w:r>
              <w:rPr>
                <w:rFonts w:ascii="黑体" w:hAnsi="黑体" w:eastAsia="黑体" w:cs="Calibri"/>
                <w:sz w:val="18"/>
                <w:szCs w:val="18"/>
              </w:rPr>
              <w:t>F60</w:t>
            </w:r>
            <w:r>
              <w:rPr>
                <w:rFonts w:ascii="黑体" w:hAnsi="黑体" w:eastAsia="黑体" w:cs="Calibri"/>
                <w:spacing w:val="9"/>
                <w:sz w:val="18"/>
                <w:szCs w:val="18"/>
              </w:rPr>
              <w:t xml:space="preserve"> </w:t>
            </w:r>
            <w:r>
              <w:rPr>
                <w:rFonts w:hint="eastAsia" w:ascii="黑体" w:hAnsi="黑体" w:eastAsia="黑体"/>
                <w:spacing w:val="-4"/>
                <w:sz w:val="18"/>
                <w:szCs w:val="18"/>
              </w:rPr>
              <w:t>防火等级。</w:t>
            </w:r>
            <w:r>
              <w:rPr>
                <w:rFonts w:ascii="黑体" w:hAnsi="黑体" w:eastAsia="黑体"/>
                <w:sz w:val="18"/>
                <w:szCs w:val="18"/>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19BD62E2">
            <w:pPr>
              <w:pStyle w:val="132"/>
              <w:kinsoku w:val="0"/>
              <w:overflowPunct w:val="0"/>
              <w:spacing w:line="228" w:lineRule="exact"/>
              <w:ind w:left="105"/>
              <w:rPr>
                <w:rFonts w:ascii="黑体" w:hAnsi="黑体" w:eastAsia="黑体"/>
                <w:w w:val="101"/>
                <w:sz w:val="18"/>
                <w:szCs w:val="18"/>
              </w:rPr>
            </w:pPr>
            <w:r>
              <w:rPr>
                <w:rFonts w:ascii="黑体" w:hAnsi="黑体" w:eastAsia="黑体"/>
                <w:w w:val="101"/>
                <w:sz w:val="18"/>
                <w:szCs w:val="18"/>
              </w:rPr>
              <w:t xml:space="preserve"> </w:t>
            </w:r>
          </w:p>
        </w:tc>
      </w:tr>
    </w:tbl>
    <w:p w14:paraId="31C0E633">
      <w:pPr>
        <w:jc w:val="left"/>
        <w:rPr>
          <w:rFonts w:ascii="黑体" w:hAnsi="黑体"/>
          <w:b/>
          <w:bCs/>
          <w:szCs w:val="18"/>
        </w:rPr>
        <w:sectPr>
          <w:pgSz w:w="11910" w:h="16840"/>
          <w:pgMar w:top="1660" w:right="700" w:bottom="1340" w:left="1220" w:header="720" w:footer="1146" w:gutter="0"/>
          <w:pgNumType w:fmt="decimal"/>
          <w:cols w:space="720" w:num="1"/>
        </w:sectPr>
      </w:pPr>
    </w:p>
    <w:p w14:paraId="63935F91">
      <w:pPr>
        <w:pStyle w:val="97"/>
        <w:rPr>
          <w:b/>
          <w:bCs/>
          <w:spacing w:val="1"/>
        </w:rPr>
      </w:pPr>
      <w:r>
        <w:rPr>
          <w:rFonts w:cs="Calibri"/>
          <w:bCs/>
        </w:rPr>
        <w:t>EMC</w:t>
      </w:r>
      <w:r>
        <w:rPr>
          <w:rFonts w:cs="Calibri"/>
          <w:bCs/>
          <w:spacing w:val="14"/>
        </w:rPr>
        <w:t xml:space="preserve"> </w:t>
      </w:r>
      <w:r>
        <w:rPr>
          <w:rFonts w:hint="eastAsia"/>
          <w:bCs/>
          <w:spacing w:val="1"/>
        </w:rPr>
        <w:t>和安规要求</w:t>
      </w:r>
    </w:p>
    <w:p w14:paraId="240AC768">
      <w:pPr>
        <w:pStyle w:val="14"/>
        <w:kinsoku w:val="0"/>
        <w:overflowPunct w:val="0"/>
        <w:spacing w:before="6"/>
        <w:jc w:val="left"/>
        <w:rPr>
          <w:rFonts w:ascii="黑体" w:hAnsi="黑体"/>
          <w:b/>
          <w:bCs/>
          <w:szCs w:val="18"/>
        </w:rPr>
      </w:pPr>
    </w:p>
    <w:tbl>
      <w:tblPr>
        <w:tblStyle w:val="36"/>
        <w:tblW w:w="0" w:type="auto"/>
        <w:tblInd w:w="226" w:type="dxa"/>
        <w:tblLayout w:type="fixed"/>
        <w:tblCellMar>
          <w:top w:w="0" w:type="dxa"/>
          <w:left w:w="0" w:type="dxa"/>
          <w:bottom w:w="0" w:type="dxa"/>
          <w:right w:w="0" w:type="dxa"/>
        </w:tblCellMar>
      </w:tblPr>
      <w:tblGrid>
        <w:gridCol w:w="711"/>
        <w:gridCol w:w="989"/>
        <w:gridCol w:w="6525"/>
        <w:gridCol w:w="1416"/>
      </w:tblGrid>
      <w:tr w14:paraId="23AFE721">
        <w:tblPrEx>
          <w:tblCellMar>
            <w:top w:w="0" w:type="dxa"/>
            <w:left w:w="0" w:type="dxa"/>
            <w:bottom w:w="0" w:type="dxa"/>
            <w:right w:w="0" w:type="dxa"/>
          </w:tblCellMar>
        </w:tblPrEx>
        <w:trPr>
          <w:trHeight w:val="273" w:hRule="atLeast"/>
        </w:trPr>
        <w:tc>
          <w:tcPr>
            <w:tcW w:w="711" w:type="dxa"/>
            <w:tcBorders>
              <w:top w:val="single" w:color="000000" w:sz="4" w:space="0"/>
              <w:left w:val="single" w:color="000000" w:sz="4" w:space="0"/>
              <w:bottom w:val="single" w:color="000000" w:sz="4" w:space="0"/>
              <w:right w:val="single" w:color="000000" w:sz="4" w:space="0"/>
            </w:tcBorders>
            <w:shd w:val="clear" w:color="auto" w:fill="F1F1F1"/>
          </w:tcPr>
          <w:p w14:paraId="627CE4F9">
            <w:pPr>
              <w:pStyle w:val="132"/>
              <w:kinsoku w:val="0"/>
              <w:overflowPunct w:val="0"/>
              <w:spacing w:line="254" w:lineRule="exact"/>
              <w:ind w:left="125" w:right="15"/>
              <w:rPr>
                <w:rFonts w:ascii="黑体" w:hAnsi="黑体" w:eastAsia="黑体"/>
                <w:sz w:val="18"/>
                <w:szCs w:val="18"/>
              </w:rPr>
            </w:pPr>
            <w:r>
              <w:rPr>
                <w:rFonts w:hint="eastAsia" w:ascii="黑体" w:hAnsi="黑体" w:eastAsia="黑体"/>
                <w:sz w:val="18"/>
                <w:szCs w:val="18"/>
              </w:rPr>
              <w:t>序号</w:t>
            </w:r>
            <w:r>
              <w:rPr>
                <w:rFonts w:ascii="黑体" w:hAnsi="黑体" w:eastAsia="黑体"/>
                <w:sz w:val="18"/>
                <w:szCs w:val="18"/>
              </w:rPr>
              <w:t xml:space="preserve"> </w:t>
            </w:r>
          </w:p>
        </w:tc>
        <w:tc>
          <w:tcPr>
            <w:tcW w:w="989" w:type="dxa"/>
            <w:tcBorders>
              <w:top w:val="single" w:color="000000" w:sz="4" w:space="0"/>
              <w:left w:val="single" w:color="000000" w:sz="4" w:space="0"/>
              <w:bottom w:val="single" w:color="000000" w:sz="4" w:space="0"/>
              <w:right w:val="single" w:color="000000" w:sz="4" w:space="0"/>
            </w:tcBorders>
            <w:shd w:val="clear" w:color="auto" w:fill="F1F1F1"/>
          </w:tcPr>
          <w:p w14:paraId="27050628">
            <w:pPr>
              <w:pStyle w:val="132"/>
              <w:kinsoku w:val="0"/>
              <w:overflowPunct w:val="0"/>
              <w:spacing w:line="254" w:lineRule="exact"/>
              <w:ind w:left="131" w:right="21"/>
              <w:rPr>
                <w:rFonts w:ascii="黑体" w:hAnsi="黑体" w:eastAsia="黑体"/>
                <w:sz w:val="18"/>
                <w:szCs w:val="18"/>
              </w:rPr>
            </w:pPr>
            <w:r>
              <w:rPr>
                <w:rFonts w:hint="eastAsia" w:ascii="黑体" w:hAnsi="黑体" w:eastAsia="黑体"/>
                <w:sz w:val="18"/>
                <w:szCs w:val="18"/>
              </w:rPr>
              <w:t>项目</w:t>
            </w:r>
            <w:r>
              <w:rPr>
                <w:rFonts w:ascii="黑体" w:hAnsi="黑体" w:eastAsia="黑体"/>
                <w:sz w:val="18"/>
                <w:szCs w:val="18"/>
              </w:rPr>
              <w:t xml:space="preserve"> </w:t>
            </w:r>
          </w:p>
        </w:tc>
        <w:tc>
          <w:tcPr>
            <w:tcW w:w="6525" w:type="dxa"/>
            <w:tcBorders>
              <w:top w:val="single" w:color="000000" w:sz="4" w:space="0"/>
              <w:left w:val="single" w:color="000000" w:sz="4" w:space="0"/>
              <w:bottom w:val="single" w:color="000000" w:sz="4" w:space="0"/>
              <w:right w:val="single" w:color="000000" w:sz="4" w:space="0"/>
            </w:tcBorders>
            <w:shd w:val="clear" w:color="auto" w:fill="F1F1F1"/>
          </w:tcPr>
          <w:p w14:paraId="7EC26AB0">
            <w:pPr>
              <w:pStyle w:val="132"/>
              <w:kinsoku w:val="0"/>
              <w:overflowPunct w:val="0"/>
              <w:spacing w:line="254" w:lineRule="exact"/>
              <w:ind w:left="2560" w:right="2444"/>
              <w:rPr>
                <w:rFonts w:ascii="黑体" w:hAnsi="黑体" w:eastAsia="黑体"/>
                <w:sz w:val="18"/>
                <w:szCs w:val="18"/>
              </w:rPr>
            </w:pPr>
            <w:r>
              <w:rPr>
                <w:rFonts w:ascii="黑体" w:hAnsi="黑体" w:eastAsia="黑体"/>
                <w:sz w:val="18"/>
                <w:szCs w:val="18"/>
              </w:rPr>
              <w:t xml:space="preserve">EMC </w:t>
            </w:r>
            <w:r>
              <w:rPr>
                <w:rFonts w:hint="eastAsia" w:ascii="黑体" w:hAnsi="黑体" w:eastAsia="黑体"/>
                <w:sz w:val="18"/>
                <w:szCs w:val="18"/>
              </w:rPr>
              <w:t>和安规要求</w:t>
            </w:r>
            <w:r>
              <w:rPr>
                <w:rFonts w:ascii="黑体" w:hAnsi="黑体" w:eastAsia="黑体"/>
                <w:sz w:val="18"/>
                <w:szCs w:val="18"/>
              </w:rPr>
              <w:t xml:space="preserve"> </w:t>
            </w:r>
          </w:p>
        </w:tc>
        <w:tc>
          <w:tcPr>
            <w:tcW w:w="1416" w:type="dxa"/>
            <w:tcBorders>
              <w:top w:val="single" w:color="000000" w:sz="4" w:space="0"/>
              <w:left w:val="single" w:color="000000" w:sz="4" w:space="0"/>
              <w:bottom w:val="single" w:color="000000" w:sz="4" w:space="0"/>
              <w:right w:val="single" w:color="000000" w:sz="4" w:space="0"/>
            </w:tcBorders>
            <w:shd w:val="clear" w:color="auto" w:fill="F1F1F1"/>
          </w:tcPr>
          <w:p w14:paraId="0CD96207">
            <w:pPr>
              <w:pStyle w:val="132"/>
              <w:kinsoku w:val="0"/>
              <w:overflowPunct w:val="0"/>
              <w:spacing w:line="254" w:lineRule="exact"/>
              <w:ind w:left="495"/>
              <w:rPr>
                <w:rFonts w:ascii="黑体" w:hAnsi="黑体" w:eastAsia="黑体"/>
                <w:sz w:val="18"/>
                <w:szCs w:val="18"/>
              </w:rPr>
            </w:pPr>
            <w:r>
              <w:rPr>
                <w:rFonts w:hint="eastAsia" w:ascii="黑体" w:hAnsi="黑体" w:eastAsia="黑体"/>
                <w:sz w:val="18"/>
                <w:szCs w:val="18"/>
              </w:rPr>
              <w:t>备注</w:t>
            </w:r>
            <w:r>
              <w:rPr>
                <w:rFonts w:ascii="黑体" w:hAnsi="黑体" w:eastAsia="黑体"/>
                <w:sz w:val="18"/>
                <w:szCs w:val="18"/>
              </w:rPr>
              <w:t xml:space="preserve"> </w:t>
            </w:r>
          </w:p>
        </w:tc>
      </w:tr>
      <w:tr w14:paraId="75857DFA">
        <w:tblPrEx>
          <w:tblCellMar>
            <w:top w:w="0" w:type="dxa"/>
            <w:left w:w="0" w:type="dxa"/>
            <w:bottom w:w="0" w:type="dxa"/>
            <w:right w:w="0" w:type="dxa"/>
          </w:tblCellMar>
        </w:tblPrEx>
        <w:trPr>
          <w:trHeight w:val="565" w:hRule="atLeast"/>
        </w:trPr>
        <w:tc>
          <w:tcPr>
            <w:tcW w:w="711" w:type="dxa"/>
            <w:tcBorders>
              <w:top w:val="single" w:color="000000" w:sz="4" w:space="0"/>
              <w:left w:val="single" w:color="000000" w:sz="4" w:space="0"/>
              <w:bottom w:val="single" w:color="000000" w:sz="4" w:space="0"/>
              <w:right w:val="single" w:color="000000" w:sz="4" w:space="0"/>
            </w:tcBorders>
          </w:tcPr>
          <w:p w14:paraId="0E362603">
            <w:pPr>
              <w:pStyle w:val="132"/>
              <w:kinsoku w:val="0"/>
              <w:overflowPunct w:val="0"/>
              <w:spacing w:before="160"/>
              <w:ind w:left="125" w:right="29"/>
              <w:rPr>
                <w:rFonts w:ascii="黑体" w:hAnsi="黑体" w:eastAsia="黑体"/>
                <w:sz w:val="18"/>
                <w:szCs w:val="18"/>
              </w:rPr>
            </w:pPr>
            <w:r>
              <w:rPr>
                <w:rFonts w:ascii="黑体" w:hAnsi="黑体" w:eastAsia="黑体"/>
                <w:sz w:val="18"/>
                <w:szCs w:val="18"/>
              </w:rPr>
              <w:t xml:space="preserve">1 </w:t>
            </w:r>
          </w:p>
        </w:tc>
        <w:tc>
          <w:tcPr>
            <w:tcW w:w="989" w:type="dxa"/>
            <w:tcBorders>
              <w:top w:val="single" w:color="000000" w:sz="4" w:space="0"/>
              <w:left w:val="single" w:color="000000" w:sz="4" w:space="0"/>
              <w:bottom w:val="single" w:color="000000" w:sz="4" w:space="0"/>
              <w:right w:val="single" w:color="000000" w:sz="4" w:space="0"/>
            </w:tcBorders>
          </w:tcPr>
          <w:p w14:paraId="19969405">
            <w:pPr>
              <w:pStyle w:val="132"/>
              <w:kinsoku w:val="0"/>
              <w:overflowPunct w:val="0"/>
              <w:spacing w:before="160"/>
              <w:ind w:left="102" w:right="59"/>
              <w:rPr>
                <w:rFonts w:ascii="黑体" w:hAnsi="黑体" w:eastAsia="黑体"/>
                <w:sz w:val="18"/>
                <w:szCs w:val="18"/>
              </w:rPr>
            </w:pPr>
            <w:r>
              <w:rPr>
                <w:rFonts w:hint="eastAsia" w:ascii="黑体" w:hAnsi="黑体" w:eastAsia="黑体"/>
                <w:sz w:val="18"/>
                <w:szCs w:val="18"/>
              </w:rPr>
              <w:t>测试报告</w:t>
            </w:r>
            <w:r>
              <w:rPr>
                <w:rFonts w:ascii="黑体" w:hAnsi="黑体" w:eastAsia="黑体"/>
                <w:sz w:val="18"/>
                <w:szCs w:val="18"/>
              </w:rPr>
              <w:t xml:space="preserve"> </w:t>
            </w:r>
          </w:p>
        </w:tc>
        <w:tc>
          <w:tcPr>
            <w:tcW w:w="6525" w:type="dxa"/>
            <w:tcBorders>
              <w:top w:val="single" w:color="000000" w:sz="4" w:space="0"/>
              <w:left w:val="single" w:color="000000" w:sz="4" w:space="0"/>
              <w:bottom w:val="single" w:color="000000" w:sz="4" w:space="0"/>
              <w:right w:val="single" w:color="000000" w:sz="4" w:space="0"/>
            </w:tcBorders>
          </w:tcPr>
          <w:p w14:paraId="723E0781">
            <w:pPr>
              <w:pStyle w:val="132"/>
              <w:kinsoku w:val="0"/>
              <w:overflowPunct w:val="0"/>
              <w:spacing w:before="45" w:line="244" w:lineRule="auto"/>
              <w:ind w:left="110" w:right="99"/>
              <w:rPr>
                <w:rFonts w:ascii="黑体" w:hAnsi="黑体" w:eastAsia="黑体"/>
                <w:sz w:val="18"/>
                <w:szCs w:val="18"/>
              </w:rPr>
            </w:pPr>
            <w:r>
              <w:rPr>
                <w:rFonts w:hint="eastAsia" w:ascii="黑体" w:hAnsi="黑体" w:eastAsia="黑体"/>
                <w:spacing w:val="-6"/>
                <w:sz w:val="18"/>
                <w:szCs w:val="18"/>
              </w:rPr>
              <w:t>通过国家信息产业部防静电产品质量监督监测中心和国家建筑材料测试中心的检</w:t>
            </w:r>
            <w:r>
              <w:rPr>
                <w:rFonts w:hint="eastAsia" w:ascii="黑体" w:hAnsi="黑体" w:eastAsia="黑体"/>
                <w:spacing w:val="-5"/>
                <w:sz w:val="18"/>
                <w:szCs w:val="18"/>
              </w:rPr>
              <w:t>测，并可提供第三方机构盖章的检测报告证明文件。</w:t>
            </w:r>
            <w:r>
              <w:rPr>
                <w:rFonts w:ascii="黑体" w:hAnsi="黑体" w:eastAsia="黑体"/>
                <w:sz w:val="18"/>
                <w:szCs w:val="18"/>
              </w:rPr>
              <w:t xml:space="preserve"> </w:t>
            </w:r>
          </w:p>
        </w:tc>
        <w:tc>
          <w:tcPr>
            <w:tcW w:w="1416" w:type="dxa"/>
            <w:tcBorders>
              <w:top w:val="single" w:color="000000" w:sz="4" w:space="0"/>
              <w:left w:val="single" w:color="000000" w:sz="4" w:space="0"/>
              <w:bottom w:val="single" w:color="000000" w:sz="4" w:space="0"/>
              <w:right w:val="single" w:color="000000" w:sz="4" w:space="0"/>
            </w:tcBorders>
          </w:tcPr>
          <w:p w14:paraId="03BBCCB5">
            <w:pPr>
              <w:pStyle w:val="132"/>
              <w:kinsoku w:val="0"/>
              <w:overflowPunct w:val="0"/>
              <w:spacing w:before="160"/>
              <w:ind w:left="106"/>
              <w:rPr>
                <w:rFonts w:ascii="黑体" w:hAnsi="黑体" w:eastAsia="黑体"/>
                <w:w w:val="101"/>
                <w:sz w:val="18"/>
                <w:szCs w:val="18"/>
              </w:rPr>
            </w:pPr>
            <w:r>
              <w:rPr>
                <w:rFonts w:ascii="黑体" w:hAnsi="黑体" w:eastAsia="黑体"/>
                <w:w w:val="101"/>
                <w:sz w:val="18"/>
                <w:szCs w:val="18"/>
              </w:rPr>
              <w:t xml:space="preserve"> </w:t>
            </w:r>
          </w:p>
        </w:tc>
      </w:tr>
    </w:tbl>
    <w:p w14:paraId="37263854">
      <w:pPr>
        <w:pStyle w:val="14"/>
        <w:kinsoku w:val="0"/>
        <w:overflowPunct w:val="0"/>
        <w:spacing w:before="4"/>
        <w:jc w:val="left"/>
        <w:rPr>
          <w:rFonts w:ascii="黑体" w:hAnsi="黑体"/>
          <w:b/>
          <w:bCs/>
          <w:szCs w:val="18"/>
        </w:rPr>
      </w:pPr>
    </w:p>
    <w:p w14:paraId="555CEBA9">
      <w:pPr>
        <w:pStyle w:val="97"/>
        <w:rPr>
          <w:b/>
          <w:bCs/>
        </w:rPr>
      </w:pPr>
      <w:r>
        <w:rPr>
          <w:rFonts w:hint="eastAsia"/>
          <w:bCs/>
        </w:rPr>
        <w:t>生命周期要求</w:t>
      </w:r>
    </w:p>
    <w:p w14:paraId="6CFB5FBE">
      <w:pPr>
        <w:pStyle w:val="14"/>
        <w:kinsoku w:val="0"/>
        <w:overflowPunct w:val="0"/>
        <w:spacing w:before="6"/>
        <w:jc w:val="left"/>
        <w:rPr>
          <w:rFonts w:ascii="黑体" w:hAnsi="黑体"/>
          <w:b/>
          <w:bCs/>
          <w:szCs w:val="18"/>
        </w:rPr>
      </w:pPr>
    </w:p>
    <w:tbl>
      <w:tblPr>
        <w:tblStyle w:val="36"/>
        <w:tblW w:w="0" w:type="auto"/>
        <w:tblInd w:w="226" w:type="dxa"/>
        <w:tblLayout w:type="fixed"/>
        <w:tblCellMar>
          <w:top w:w="0" w:type="dxa"/>
          <w:left w:w="0" w:type="dxa"/>
          <w:bottom w:w="0" w:type="dxa"/>
          <w:right w:w="0" w:type="dxa"/>
        </w:tblCellMar>
      </w:tblPr>
      <w:tblGrid>
        <w:gridCol w:w="711"/>
        <w:gridCol w:w="2127"/>
        <w:gridCol w:w="5387"/>
        <w:gridCol w:w="1417"/>
      </w:tblGrid>
      <w:tr w14:paraId="718F5514">
        <w:tblPrEx>
          <w:tblCellMar>
            <w:top w:w="0" w:type="dxa"/>
            <w:left w:w="0" w:type="dxa"/>
            <w:bottom w:w="0" w:type="dxa"/>
            <w:right w:w="0" w:type="dxa"/>
          </w:tblCellMar>
        </w:tblPrEx>
        <w:trPr>
          <w:trHeight w:val="268" w:hRule="atLeast"/>
        </w:trPr>
        <w:tc>
          <w:tcPr>
            <w:tcW w:w="711" w:type="dxa"/>
            <w:tcBorders>
              <w:top w:val="single" w:color="000000" w:sz="4" w:space="0"/>
              <w:left w:val="single" w:color="000000" w:sz="4" w:space="0"/>
              <w:bottom w:val="single" w:color="000000" w:sz="4" w:space="0"/>
              <w:right w:val="single" w:color="000000" w:sz="4" w:space="0"/>
            </w:tcBorders>
            <w:shd w:val="clear" w:color="auto" w:fill="F1F1F1"/>
          </w:tcPr>
          <w:p w14:paraId="4FC6AE3C">
            <w:pPr>
              <w:pStyle w:val="132"/>
              <w:kinsoku w:val="0"/>
              <w:overflowPunct w:val="0"/>
              <w:spacing w:line="248" w:lineRule="exact"/>
              <w:ind w:right="171"/>
              <w:rPr>
                <w:rFonts w:ascii="黑体" w:hAnsi="黑体" w:eastAsia="黑体"/>
                <w:sz w:val="18"/>
                <w:szCs w:val="18"/>
              </w:rPr>
            </w:pPr>
            <w:r>
              <w:rPr>
                <w:rFonts w:hint="eastAsia" w:ascii="黑体" w:hAnsi="黑体" w:eastAsia="黑体"/>
                <w:sz w:val="18"/>
                <w:szCs w:val="18"/>
              </w:rPr>
              <w:t>序号</w:t>
            </w:r>
          </w:p>
        </w:tc>
        <w:tc>
          <w:tcPr>
            <w:tcW w:w="2127" w:type="dxa"/>
            <w:tcBorders>
              <w:top w:val="single" w:color="000000" w:sz="4" w:space="0"/>
              <w:left w:val="single" w:color="000000" w:sz="4" w:space="0"/>
              <w:bottom w:val="single" w:color="000000" w:sz="4" w:space="0"/>
              <w:right w:val="single" w:color="000000" w:sz="4" w:space="0"/>
            </w:tcBorders>
            <w:shd w:val="clear" w:color="auto" w:fill="F1F1F1"/>
          </w:tcPr>
          <w:p w14:paraId="1EB4FE30">
            <w:pPr>
              <w:pStyle w:val="132"/>
              <w:kinsoku w:val="0"/>
              <w:overflowPunct w:val="0"/>
              <w:spacing w:line="248" w:lineRule="exact"/>
              <w:ind w:left="830" w:right="826"/>
              <w:rPr>
                <w:rFonts w:ascii="黑体" w:hAnsi="黑体" w:eastAsia="黑体"/>
                <w:sz w:val="18"/>
                <w:szCs w:val="18"/>
              </w:rPr>
            </w:pPr>
            <w:r>
              <w:rPr>
                <w:rFonts w:hint="eastAsia" w:ascii="黑体" w:hAnsi="黑体" w:eastAsia="黑体"/>
                <w:sz w:val="18"/>
                <w:szCs w:val="18"/>
              </w:rPr>
              <w:t>项目</w:t>
            </w:r>
          </w:p>
        </w:tc>
        <w:tc>
          <w:tcPr>
            <w:tcW w:w="5387" w:type="dxa"/>
            <w:tcBorders>
              <w:top w:val="single" w:color="000000" w:sz="4" w:space="0"/>
              <w:left w:val="single" w:color="000000" w:sz="4" w:space="0"/>
              <w:bottom w:val="single" w:color="000000" w:sz="4" w:space="0"/>
              <w:right w:val="single" w:color="000000" w:sz="4" w:space="0"/>
            </w:tcBorders>
            <w:shd w:val="clear" w:color="auto" w:fill="F1F1F1"/>
          </w:tcPr>
          <w:p w14:paraId="12A21C6B">
            <w:pPr>
              <w:pStyle w:val="132"/>
              <w:kinsoku w:val="0"/>
              <w:overflowPunct w:val="0"/>
              <w:spacing w:line="248" w:lineRule="exact"/>
              <w:ind w:left="1830" w:right="1826"/>
              <w:rPr>
                <w:rFonts w:ascii="黑体" w:hAnsi="黑体" w:eastAsia="黑体"/>
                <w:sz w:val="18"/>
                <w:szCs w:val="18"/>
              </w:rPr>
            </w:pPr>
            <w:r>
              <w:rPr>
                <w:rFonts w:hint="eastAsia" w:ascii="黑体" w:hAnsi="黑体" w:eastAsia="黑体"/>
                <w:sz w:val="18"/>
                <w:szCs w:val="18"/>
              </w:rPr>
              <w:t>产品生命周期要求</w:t>
            </w:r>
          </w:p>
        </w:tc>
        <w:tc>
          <w:tcPr>
            <w:tcW w:w="1417" w:type="dxa"/>
            <w:tcBorders>
              <w:top w:val="single" w:color="000000" w:sz="4" w:space="0"/>
              <w:left w:val="single" w:color="000000" w:sz="4" w:space="0"/>
              <w:bottom w:val="single" w:color="000000" w:sz="4" w:space="0"/>
              <w:right w:val="single" w:color="000000" w:sz="4" w:space="0"/>
            </w:tcBorders>
            <w:shd w:val="clear" w:color="auto" w:fill="F1F1F1"/>
          </w:tcPr>
          <w:p w14:paraId="1A6C7F74">
            <w:pPr>
              <w:pStyle w:val="132"/>
              <w:kinsoku w:val="0"/>
              <w:overflowPunct w:val="0"/>
              <w:spacing w:line="248" w:lineRule="exact"/>
              <w:ind w:left="476" w:right="470"/>
              <w:rPr>
                <w:rFonts w:ascii="黑体" w:hAnsi="黑体" w:eastAsia="黑体"/>
                <w:sz w:val="18"/>
                <w:szCs w:val="18"/>
              </w:rPr>
            </w:pPr>
            <w:r>
              <w:rPr>
                <w:rFonts w:hint="eastAsia" w:ascii="黑体" w:hAnsi="黑体" w:eastAsia="黑体"/>
                <w:sz w:val="18"/>
                <w:szCs w:val="18"/>
              </w:rPr>
              <w:t>备注</w:t>
            </w:r>
          </w:p>
        </w:tc>
      </w:tr>
      <w:tr w14:paraId="6B67A6BE">
        <w:tblPrEx>
          <w:tblCellMar>
            <w:top w:w="0" w:type="dxa"/>
            <w:left w:w="0" w:type="dxa"/>
            <w:bottom w:w="0" w:type="dxa"/>
            <w:right w:w="0" w:type="dxa"/>
          </w:tblCellMar>
        </w:tblPrEx>
        <w:trPr>
          <w:trHeight w:val="383" w:hRule="atLeast"/>
        </w:trPr>
        <w:tc>
          <w:tcPr>
            <w:tcW w:w="711" w:type="dxa"/>
            <w:tcBorders>
              <w:top w:val="single" w:color="000000" w:sz="4" w:space="0"/>
              <w:left w:val="single" w:color="000000" w:sz="4" w:space="0"/>
              <w:bottom w:val="single" w:color="000000" w:sz="4" w:space="0"/>
              <w:right w:val="single" w:color="000000" w:sz="4" w:space="0"/>
            </w:tcBorders>
          </w:tcPr>
          <w:p w14:paraId="6BC8AA81">
            <w:pPr>
              <w:pStyle w:val="132"/>
              <w:kinsoku w:val="0"/>
              <w:overflowPunct w:val="0"/>
              <w:spacing w:before="74"/>
              <w:ind w:right="209"/>
              <w:rPr>
                <w:rFonts w:ascii="黑体" w:hAnsi="黑体" w:eastAsia="黑体"/>
                <w:sz w:val="18"/>
                <w:szCs w:val="18"/>
              </w:rPr>
            </w:pPr>
            <w:r>
              <w:rPr>
                <w:rFonts w:ascii="黑体" w:hAnsi="黑体" w:eastAsia="黑体"/>
                <w:sz w:val="18"/>
                <w:szCs w:val="18"/>
              </w:rPr>
              <w:t xml:space="preserve">1 </w:t>
            </w:r>
          </w:p>
        </w:tc>
        <w:tc>
          <w:tcPr>
            <w:tcW w:w="2127" w:type="dxa"/>
            <w:tcBorders>
              <w:top w:val="single" w:color="000000" w:sz="4" w:space="0"/>
              <w:left w:val="single" w:color="000000" w:sz="4" w:space="0"/>
              <w:bottom w:val="single" w:color="000000" w:sz="4" w:space="0"/>
              <w:right w:val="single" w:color="000000" w:sz="4" w:space="0"/>
            </w:tcBorders>
          </w:tcPr>
          <w:p w14:paraId="53335DE3">
            <w:pPr>
              <w:pStyle w:val="132"/>
              <w:kinsoku w:val="0"/>
              <w:overflowPunct w:val="0"/>
              <w:spacing w:before="74"/>
              <w:ind w:left="105"/>
              <w:rPr>
                <w:rFonts w:ascii="黑体" w:hAnsi="黑体" w:eastAsia="黑体"/>
                <w:sz w:val="18"/>
                <w:szCs w:val="18"/>
              </w:rPr>
            </w:pPr>
            <w:r>
              <w:rPr>
                <w:rFonts w:hint="eastAsia" w:ascii="黑体" w:hAnsi="黑体" w:eastAsia="黑体"/>
                <w:sz w:val="18"/>
                <w:szCs w:val="18"/>
              </w:rPr>
              <w:t>产品生命周期要求</w:t>
            </w:r>
            <w:r>
              <w:rPr>
                <w:rFonts w:ascii="黑体" w:hAnsi="黑体" w:eastAsia="黑体"/>
                <w:sz w:val="18"/>
                <w:szCs w:val="18"/>
              </w:rPr>
              <w:t xml:space="preserve"> </w:t>
            </w:r>
          </w:p>
        </w:tc>
        <w:tc>
          <w:tcPr>
            <w:tcW w:w="5387" w:type="dxa"/>
            <w:tcBorders>
              <w:top w:val="single" w:color="000000" w:sz="4" w:space="0"/>
              <w:left w:val="single" w:color="000000" w:sz="4" w:space="0"/>
              <w:bottom w:val="single" w:color="000000" w:sz="4" w:space="0"/>
              <w:right w:val="single" w:color="000000" w:sz="4" w:space="0"/>
            </w:tcBorders>
          </w:tcPr>
          <w:p w14:paraId="21EE340A">
            <w:pPr>
              <w:pStyle w:val="132"/>
              <w:kinsoku w:val="0"/>
              <w:overflowPunct w:val="0"/>
              <w:spacing w:before="74"/>
              <w:ind w:left="105"/>
              <w:rPr>
                <w:rFonts w:ascii="黑体" w:hAnsi="黑体" w:eastAsia="黑体"/>
                <w:sz w:val="18"/>
                <w:szCs w:val="18"/>
              </w:rPr>
            </w:pPr>
            <w:r>
              <w:rPr>
                <w:rFonts w:hint="eastAsia" w:ascii="黑体" w:hAnsi="黑体" w:eastAsia="黑体"/>
                <w:sz w:val="18"/>
                <w:szCs w:val="18"/>
              </w:rPr>
              <w:t>使用寿命不低于</w:t>
            </w:r>
            <w:r>
              <w:rPr>
                <w:rFonts w:ascii="黑体" w:hAnsi="黑体" w:eastAsia="黑体"/>
                <w:sz w:val="18"/>
                <w:szCs w:val="18"/>
              </w:rPr>
              <w:t xml:space="preserve"> 10 </w:t>
            </w:r>
            <w:r>
              <w:rPr>
                <w:rFonts w:hint="eastAsia" w:ascii="黑体" w:hAnsi="黑体" w:eastAsia="黑体"/>
                <w:sz w:val="18"/>
                <w:szCs w:val="18"/>
              </w:rPr>
              <w:t>年</w:t>
            </w:r>
            <w:r>
              <w:rPr>
                <w:rFonts w:ascii="黑体" w:hAnsi="黑体" w:eastAsia="黑体"/>
                <w:sz w:val="18"/>
                <w:szCs w:val="18"/>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45BA9551">
            <w:pPr>
              <w:pStyle w:val="132"/>
              <w:kinsoku w:val="0"/>
              <w:overflowPunct w:val="0"/>
              <w:spacing w:before="74"/>
              <w:ind w:left="106"/>
              <w:rPr>
                <w:rFonts w:ascii="黑体" w:hAnsi="黑体" w:eastAsia="黑体"/>
                <w:w w:val="101"/>
                <w:sz w:val="18"/>
                <w:szCs w:val="18"/>
              </w:rPr>
            </w:pPr>
            <w:r>
              <w:rPr>
                <w:rFonts w:ascii="黑体" w:hAnsi="黑体" w:eastAsia="黑体"/>
                <w:w w:val="101"/>
                <w:sz w:val="18"/>
                <w:szCs w:val="18"/>
              </w:rPr>
              <w:t xml:space="preserve"> </w:t>
            </w:r>
          </w:p>
        </w:tc>
      </w:tr>
    </w:tbl>
    <w:p w14:paraId="2ACECE3B">
      <w:pPr>
        <w:pStyle w:val="14"/>
        <w:kinsoku w:val="0"/>
        <w:overflowPunct w:val="0"/>
        <w:spacing w:before="4"/>
        <w:jc w:val="left"/>
        <w:rPr>
          <w:rFonts w:ascii="黑体" w:hAnsi="黑体"/>
          <w:b/>
          <w:bCs/>
          <w:szCs w:val="18"/>
        </w:rPr>
      </w:pPr>
    </w:p>
    <w:p w14:paraId="5E54E975">
      <w:pPr>
        <w:pStyle w:val="97"/>
        <w:rPr>
          <w:b/>
          <w:bCs/>
          <w:spacing w:val="1"/>
        </w:rPr>
      </w:pPr>
      <w:r>
        <w:rPr>
          <w:rFonts w:hint="eastAsia"/>
          <w:b/>
          <w:bCs/>
          <w:spacing w:val="1"/>
        </w:rPr>
        <w:t>环保要求</w:t>
      </w:r>
    </w:p>
    <w:p w14:paraId="60A86959">
      <w:pPr>
        <w:pStyle w:val="14"/>
        <w:kinsoku w:val="0"/>
        <w:overflowPunct w:val="0"/>
        <w:spacing w:before="5" w:after="1"/>
        <w:jc w:val="left"/>
        <w:rPr>
          <w:rFonts w:ascii="黑体" w:hAnsi="黑体"/>
          <w:b/>
          <w:bCs/>
          <w:szCs w:val="18"/>
        </w:rPr>
      </w:pPr>
    </w:p>
    <w:tbl>
      <w:tblPr>
        <w:tblStyle w:val="36"/>
        <w:tblW w:w="0" w:type="auto"/>
        <w:tblInd w:w="226" w:type="dxa"/>
        <w:tblLayout w:type="fixed"/>
        <w:tblCellMar>
          <w:top w:w="0" w:type="dxa"/>
          <w:left w:w="0" w:type="dxa"/>
          <w:bottom w:w="0" w:type="dxa"/>
          <w:right w:w="0" w:type="dxa"/>
        </w:tblCellMar>
      </w:tblPr>
      <w:tblGrid>
        <w:gridCol w:w="711"/>
        <w:gridCol w:w="1983"/>
        <w:gridCol w:w="5531"/>
        <w:gridCol w:w="1417"/>
      </w:tblGrid>
      <w:tr w14:paraId="205CCE37">
        <w:tblPrEx>
          <w:tblCellMar>
            <w:top w:w="0" w:type="dxa"/>
            <w:left w:w="0" w:type="dxa"/>
            <w:bottom w:w="0" w:type="dxa"/>
            <w:right w:w="0" w:type="dxa"/>
          </w:tblCellMar>
        </w:tblPrEx>
        <w:trPr>
          <w:trHeight w:val="393" w:hRule="atLeast"/>
        </w:trPr>
        <w:tc>
          <w:tcPr>
            <w:tcW w:w="711" w:type="dxa"/>
            <w:tcBorders>
              <w:top w:val="single" w:color="000000" w:sz="4" w:space="0"/>
              <w:left w:val="single" w:color="000000" w:sz="4" w:space="0"/>
              <w:bottom w:val="single" w:color="000000" w:sz="4" w:space="0"/>
              <w:right w:val="single" w:color="000000" w:sz="4" w:space="0"/>
            </w:tcBorders>
            <w:shd w:val="clear" w:color="auto" w:fill="F1F1F1"/>
          </w:tcPr>
          <w:p w14:paraId="0453629D">
            <w:pPr>
              <w:pStyle w:val="132"/>
              <w:kinsoku w:val="0"/>
              <w:overflowPunct w:val="0"/>
              <w:spacing w:before="54"/>
              <w:ind w:left="105"/>
              <w:rPr>
                <w:rFonts w:ascii="黑体" w:hAnsi="黑体" w:eastAsia="黑体"/>
                <w:sz w:val="18"/>
                <w:szCs w:val="18"/>
              </w:rPr>
            </w:pPr>
            <w:r>
              <w:rPr>
                <w:rFonts w:hint="eastAsia" w:ascii="黑体" w:hAnsi="黑体" w:eastAsia="黑体"/>
                <w:sz w:val="18"/>
                <w:szCs w:val="18"/>
              </w:rPr>
              <w:t>序号</w:t>
            </w:r>
          </w:p>
        </w:tc>
        <w:tc>
          <w:tcPr>
            <w:tcW w:w="1983" w:type="dxa"/>
            <w:tcBorders>
              <w:top w:val="single" w:color="000000" w:sz="4" w:space="0"/>
              <w:left w:val="single" w:color="000000" w:sz="4" w:space="0"/>
              <w:bottom w:val="single" w:color="000000" w:sz="4" w:space="0"/>
              <w:right w:val="single" w:color="000000" w:sz="4" w:space="0"/>
            </w:tcBorders>
            <w:shd w:val="clear" w:color="auto" w:fill="F1F1F1"/>
          </w:tcPr>
          <w:p w14:paraId="6EF6383A">
            <w:pPr>
              <w:pStyle w:val="132"/>
              <w:kinsoku w:val="0"/>
              <w:overflowPunct w:val="0"/>
              <w:spacing w:before="54"/>
              <w:ind w:left="763" w:right="749"/>
              <w:rPr>
                <w:rFonts w:ascii="黑体" w:hAnsi="黑体" w:eastAsia="黑体"/>
                <w:sz w:val="18"/>
                <w:szCs w:val="18"/>
              </w:rPr>
            </w:pPr>
            <w:r>
              <w:rPr>
                <w:rFonts w:hint="eastAsia" w:ascii="黑体" w:hAnsi="黑体" w:eastAsia="黑体"/>
                <w:sz w:val="18"/>
                <w:szCs w:val="18"/>
              </w:rPr>
              <w:t>项目</w:t>
            </w:r>
          </w:p>
        </w:tc>
        <w:tc>
          <w:tcPr>
            <w:tcW w:w="5531" w:type="dxa"/>
            <w:tcBorders>
              <w:top w:val="single" w:color="000000" w:sz="4" w:space="0"/>
              <w:left w:val="single" w:color="000000" w:sz="4" w:space="0"/>
              <w:bottom w:val="single" w:color="000000" w:sz="4" w:space="0"/>
              <w:right w:val="single" w:color="000000" w:sz="4" w:space="0"/>
            </w:tcBorders>
            <w:shd w:val="clear" w:color="auto" w:fill="F1F1F1"/>
          </w:tcPr>
          <w:p w14:paraId="44C426C5">
            <w:pPr>
              <w:pStyle w:val="132"/>
              <w:kinsoku w:val="0"/>
              <w:overflowPunct w:val="0"/>
              <w:spacing w:before="54"/>
              <w:ind w:left="2330" w:right="2310"/>
              <w:rPr>
                <w:rFonts w:ascii="黑体" w:hAnsi="黑体" w:eastAsia="黑体"/>
                <w:sz w:val="18"/>
                <w:szCs w:val="18"/>
              </w:rPr>
            </w:pPr>
            <w:r>
              <w:rPr>
                <w:rFonts w:hint="eastAsia" w:ascii="黑体" w:hAnsi="黑体" w:eastAsia="黑体"/>
                <w:sz w:val="18"/>
                <w:szCs w:val="18"/>
              </w:rPr>
              <w:t>项目说明</w:t>
            </w:r>
          </w:p>
        </w:tc>
        <w:tc>
          <w:tcPr>
            <w:tcW w:w="1417" w:type="dxa"/>
            <w:tcBorders>
              <w:top w:val="single" w:color="000000" w:sz="4" w:space="0"/>
              <w:left w:val="single" w:color="000000" w:sz="4" w:space="0"/>
              <w:bottom w:val="single" w:color="000000" w:sz="4" w:space="0"/>
              <w:right w:val="single" w:color="000000" w:sz="4" w:space="0"/>
            </w:tcBorders>
            <w:shd w:val="clear" w:color="auto" w:fill="F1F1F1"/>
          </w:tcPr>
          <w:p w14:paraId="2F051920">
            <w:pPr>
              <w:pStyle w:val="132"/>
              <w:kinsoku w:val="0"/>
              <w:overflowPunct w:val="0"/>
              <w:spacing w:before="54"/>
              <w:ind w:left="476" w:right="470"/>
              <w:rPr>
                <w:rFonts w:ascii="黑体" w:hAnsi="黑体" w:eastAsia="黑体"/>
                <w:sz w:val="18"/>
                <w:szCs w:val="18"/>
              </w:rPr>
            </w:pPr>
            <w:r>
              <w:rPr>
                <w:rFonts w:hint="eastAsia" w:ascii="黑体" w:hAnsi="黑体" w:eastAsia="黑体"/>
                <w:sz w:val="18"/>
                <w:szCs w:val="18"/>
              </w:rPr>
              <w:t>备注</w:t>
            </w:r>
          </w:p>
        </w:tc>
      </w:tr>
      <w:tr w14:paraId="126BC315">
        <w:tblPrEx>
          <w:tblCellMar>
            <w:top w:w="0" w:type="dxa"/>
            <w:left w:w="0" w:type="dxa"/>
            <w:bottom w:w="0" w:type="dxa"/>
            <w:right w:w="0" w:type="dxa"/>
          </w:tblCellMar>
        </w:tblPrEx>
        <w:trPr>
          <w:trHeight w:val="590" w:hRule="atLeast"/>
        </w:trPr>
        <w:tc>
          <w:tcPr>
            <w:tcW w:w="711" w:type="dxa"/>
            <w:tcBorders>
              <w:top w:val="single" w:color="000000" w:sz="4" w:space="0"/>
              <w:left w:val="single" w:color="000000" w:sz="4" w:space="0"/>
              <w:bottom w:val="single" w:color="000000" w:sz="4" w:space="0"/>
              <w:right w:val="single" w:color="000000" w:sz="4" w:space="0"/>
            </w:tcBorders>
          </w:tcPr>
          <w:p w14:paraId="3880522A">
            <w:pPr>
              <w:pStyle w:val="132"/>
              <w:kinsoku w:val="0"/>
              <w:overflowPunct w:val="0"/>
              <w:spacing w:before="8"/>
              <w:rPr>
                <w:rFonts w:ascii="黑体" w:hAnsi="黑体" w:eastAsia="黑体"/>
                <w:b/>
                <w:bCs/>
                <w:sz w:val="18"/>
                <w:szCs w:val="18"/>
              </w:rPr>
            </w:pPr>
          </w:p>
          <w:p w14:paraId="3BDE8F86">
            <w:pPr>
              <w:pStyle w:val="132"/>
              <w:kinsoku w:val="0"/>
              <w:overflowPunct w:val="0"/>
              <w:ind w:left="105"/>
              <w:rPr>
                <w:rFonts w:ascii="黑体" w:hAnsi="黑体" w:eastAsia="黑体"/>
                <w:sz w:val="18"/>
                <w:szCs w:val="18"/>
              </w:rPr>
            </w:pPr>
            <w:r>
              <w:rPr>
                <w:rFonts w:ascii="黑体" w:hAnsi="黑体" w:eastAsia="黑体"/>
                <w:sz w:val="18"/>
                <w:szCs w:val="18"/>
              </w:rPr>
              <w:t xml:space="preserve">1 </w:t>
            </w:r>
          </w:p>
        </w:tc>
        <w:tc>
          <w:tcPr>
            <w:tcW w:w="1983" w:type="dxa"/>
            <w:tcBorders>
              <w:top w:val="single" w:color="000000" w:sz="4" w:space="0"/>
              <w:left w:val="single" w:color="000000" w:sz="4" w:space="0"/>
              <w:bottom w:val="single" w:color="000000" w:sz="4" w:space="0"/>
              <w:right w:val="single" w:color="000000" w:sz="4" w:space="0"/>
            </w:tcBorders>
          </w:tcPr>
          <w:p w14:paraId="5B3D00D2">
            <w:pPr>
              <w:pStyle w:val="132"/>
              <w:kinsoku w:val="0"/>
              <w:overflowPunct w:val="0"/>
              <w:spacing w:before="8"/>
              <w:rPr>
                <w:rFonts w:ascii="黑体" w:hAnsi="黑体" w:eastAsia="黑体"/>
                <w:b/>
                <w:bCs/>
                <w:sz w:val="18"/>
                <w:szCs w:val="18"/>
              </w:rPr>
            </w:pPr>
          </w:p>
          <w:p w14:paraId="665E23CE">
            <w:pPr>
              <w:pStyle w:val="132"/>
              <w:kinsoku w:val="0"/>
              <w:overflowPunct w:val="0"/>
              <w:ind w:left="105"/>
              <w:rPr>
                <w:rFonts w:ascii="黑体" w:hAnsi="黑体" w:eastAsia="黑体"/>
                <w:sz w:val="18"/>
                <w:szCs w:val="18"/>
              </w:rPr>
            </w:pPr>
            <w:r>
              <w:rPr>
                <w:rFonts w:hint="eastAsia" w:ascii="黑体" w:hAnsi="黑体" w:eastAsia="黑体"/>
                <w:sz w:val="18"/>
                <w:szCs w:val="18"/>
              </w:rPr>
              <w:t>是否满足</w:t>
            </w:r>
            <w:r>
              <w:rPr>
                <w:rFonts w:ascii="黑体" w:hAnsi="黑体" w:eastAsia="黑体"/>
                <w:sz w:val="18"/>
                <w:szCs w:val="18"/>
              </w:rPr>
              <w:t>ROHS</w:t>
            </w:r>
            <w:r>
              <w:rPr>
                <w:rFonts w:hint="eastAsia" w:ascii="黑体" w:hAnsi="黑体" w:eastAsia="黑体"/>
                <w:sz w:val="18"/>
                <w:szCs w:val="18"/>
              </w:rPr>
              <w:t>指令</w:t>
            </w:r>
            <w:r>
              <w:rPr>
                <w:rFonts w:ascii="黑体" w:hAnsi="黑体" w:eastAsia="黑体"/>
                <w:sz w:val="18"/>
                <w:szCs w:val="18"/>
              </w:rPr>
              <w:t xml:space="preserve"> </w:t>
            </w:r>
          </w:p>
        </w:tc>
        <w:tc>
          <w:tcPr>
            <w:tcW w:w="5531" w:type="dxa"/>
            <w:tcBorders>
              <w:top w:val="single" w:color="000000" w:sz="4" w:space="0"/>
              <w:left w:val="single" w:color="000000" w:sz="4" w:space="0"/>
              <w:bottom w:val="single" w:color="000000" w:sz="4" w:space="0"/>
              <w:right w:val="single" w:color="000000" w:sz="4" w:space="0"/>
            </w:tcBorders>
          </w:tcPr>
          <w:p w14:paraId="367C86D1">
            <w:pPr>
              <w:pStyle w:val="132"/>
              <w:kinsoku w:val="0"/>
              <w:overflowPunct w:val="0"/>
              <w:spacing w:before="59"/>
              <w:ind w:left="110" w:right="88"/>
              <w:rPr>
                <w:rFonts w:ascii="黑体" w:hAnsi="黑体" w:eastAsia="黑体"/>
                <w:sz w:val="18"/>
                <w:szCs w:val="18"/>
              </w:rPr>
            </w:pPr>
            <w:r>
              <w:rPr>
                <w:rFonts w:hint="eastAsia" w:ascii="黑体" w:hAnsi="黑体" w:eastAsia="黑体"/>
                <w:sz w:val="18"/>
                <w:szCs w:val="18"/>
              </w:rPr>
              <w:t>指物料中不含“铅、汞、镉、六价铬、多溴联苯、聚溴二苯醚等</w:t>
            </w:r>
            <w:r>
              <w:rPr>
                <w:rFonts w:ascii="黑体" w:hAnsi="黑体" w:eastAsia="黑体"/>
                <w:sz w:val="18"/>
                <w:szCs w:val="18"/>
              </w:rPr>
              <w:t>6</w:t>
            </w:r>
            <w:r>
              <w:rPr>
                <w:rFonts w:hint="eastAsia" w:ascii="黑体" w:hAnsi="黑体" w:eastAsia="黑体"/>
                <w:sz w:val="18"/>
                <w:szCs w:val="18"/>
              </w:rPr>
              <w:t>种有毒物质”或满足</w:t>
            </w:r>
            <w:r>
              <w:rPr>
                <w:rFonts w:ascii="黑体" w:hAnsi="黑体" w:eastAsia="黑体"/>
                <w:sz w:val="18"/>
                <w:szCs w:val="18"/>
              </w:rPr>
              <w:t>ROHS</w:t>
            </w:r>
            <w:r>
              <w:rPr>
                <w:rFonts w:hint="eastAsia" w:ascii="黑体" w:hAnsi="黑体" w:eastAsia="黑体"/>
                <w:sz w:val="18"/>
                <w:szCs w:val="18"/>
              </w:rPr>
              <w:t>指令豁免条件。</w:t>
            </w:r>
            <w:r>
              <w:rPr>
                <w:rFonts w:ascii="黑体" w:hAnsi="黑体" w:eastAsia="黑体"/>
                <w:sz w:val="18"/>
                <w:szCs w:val="18"/>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1F73A98E">
            <w:pPr>
              <w:pStyle w:val="132"/>
              <w:kinsoku w:val="0"/>
              <w:overflowPunct w:val="0"/>
              <w:spacing w:before="55"/>
              <w:ind w:left="106"/>
              <w:rPr>
                <w:rFonts w:ascii="黑体" w:hAnsi="黑体" w:eastAsia="黑体"/>
                <w:w w:val="101"/>
                <w:sz w:val="18"/>
                <w:szCs w:val="18"/>
              </w:rPr>
            </w:pPr>
            <w:r>
              <w:rPr>
                <w:rFonts w:ascii="黑体" w:hAnsi="黑体" w:eastAsia="黑体"/>
                <w:w w:val="101"/>
                <w:sz w:val="18"/>
                <w:szCs w:val="18"/>
              </w:rPr>
              <w:t xml:space="preserve"> </w:t>
            </w:r>
          </w:p>
        </w:tc>
      </w:tr>
      <w:tr w14:paraId="219ED243">
        <w:tblPrEx>
          <w:tblCellMar>
            <w:top w:w="0" w:type="dxa"/>
            <w:left w:w="0" w:type="dxa"/>
            <w:bottom w:w="0" w:type="dxa"/>
            <w:right w:w="0" w:type="dxa"/>
          </w:tblCellMar>
        </w:tblPrEx>
        <w:trPr>
          <w:trHeight w:val="585" w:hRule="atLeast"/>
        </w:trPr>
        <w:tc>
          <w:tcPr>
            <w:tcW w:w="711" w:type="dxa"/>
            <w:tcBorders>
              <w:top w:val="single" w:color="000000" w:sz="4" w:space="0"/>
              <w:left w:val="single" w:color="000000" w:sz="4" w:space="0"/>
              <w:bottom w:val="single" w:color="000000" w:sz="4" w:space="0"/>
              <w:right w:val="single" w:color="000000" w:sz="4" w:space="0"/>
            </w:tcBorders>
          </w:tcPr>
          <w:p w14:paraId="7746F8F2">
            <w:pPr>
              <w:pStyle w:val="132"/>
              <w:kinsoku w:val="0"/>
              <w:overflowPunct w:val="0"/>
              <w:spacing w:before="8"/>
              <w:rPr>
                <w:rFonts w:ascii="黑体" w:hAnsi="黑体" w:eastAsia="黑体"/>
                <w:b/>
                <w:bCs/>
                <w:sz w:val="18"/>
                <w:szCs w:val="18"/>
              </w:rPr>
            </w:pPr>
          </w:p>
          <w:p w14:paraId="3DB50567">
            <w:pPr>
              <w:pStyle w:val="132"/>
              <w:kinsoku w:val="0"/>
              <w:overflowPunct w:val="0"/>
              <w:spacing w:before="1"/>
              <w:ind w:left="105"/>
              <w:rPr>
                <w:rFonts w:ascii="黑体" w:hAnsi="黑体" w:eastAsia="黑体"/>
                <w:sz w:val="18"/>
                <w:szCs w:val="18"/>
              </w:rPr>
            </w:pPr>
            <w:r>
              <w:rPr>
                <w:rFonts w:ascii="黑体" w:hAnsi="黑体" w:eastAsia="黑体"/>
                <w:sz w:val="18"/>
                <w:szCs w:val="18"/>
              </w:rPr>
              <w:t xml:space="preserve">2 </w:t>
            </w:r>
          </w:p>
        </w:tc>
        <w:tc>
          <w:tcPr>
            <w:tcW w:w="1983" w:type="dxa"/>
            <w:tcBorders>
              <w:top w:val="single" w:color="000000" w:sz="4" w:space="0"/>
              <w:left w:val="single" w:color="000000" w:sz="4" w:space="0"/>
              <w:bottom w:val="single" w:color="000000" w:sz="4" w:space="0"/>
              <w:right w:val="single" w:color="000000" w:sz="4" w:space="0"/>
            </w:tcBorders>
          </w:tcPr>
          <w:p w14:paraId="4135E6C4">
            <w:pPr>
              <w:pStyle w:val="132"/>
              <w:kinsoku w:val="0"/>
              <w:overflowPunct w:val="0"/>
              <w:spacing w:before="8"/>
              <w:rPr>
                <w:rFonts w:ascii="黑体" w:hAnsi="黑体" w:eastAsia="黑体"/>
                <w:b/>
                <w:bCs/>
                <w:sz w:val="18"/>
                <w:szCs w:val="18"/>
              </w:rPr>
            </w:pPr>
          </w:p>
          <w:p w14:paraId="6C99E0E6">
            <w:pPr>
              <w:pStyle w:val="132"/>
              <w:kinsoku w:val="0"/>
              <w:overflowPunct w:val="0"/>
              <w:spacing w:before="1"/>
              <w:ind w:left="105"/>
              <w:rPr>
                <w:rFonts w:ascii="黑体" w:hAnsi="黑体" w:eastAsia="黑体"/>
                <w:sz w:val="18"/>
                <w:szCs w:val="18"/>
              </w:rPr>
            </w:pPr>
            <w:r>
              <w:rPr>
                <w:rFonts w:hint="eastAsia" w:ascii="黑体" w:hAnsi="黑体" w:eastAsia="黑体"/>
                <w:sz w:val="18"/>
                <w:szCs w:val="18"/>
              </w:rPr>
              <w:t>是否满足</w:t>
            </w:r>
            <w:r>
              <w:rPr>
                <w:rFonts w:ascii="黑体" w:hAnsi="黑体" w:eastAsia="黑体"/>
                <w:sz w:val="18"/>
                <w:szCs w:val="18"/>
              </w:rPr>
              <w:t>Reach</w:t>
            </w:r>
            <w:r>
              <w:rPr>
                <w:rFonts w:hint="eastAsia" w:ascii="黑体" w:hAnsi="黑体" w:eastAsia="黑体"/>
                <w:sz w:val="18"/>
                <w:szCs w:val="18"/>
              </w:rPr>
              <w:t>指令</w:t>
            </w:r>
            <w:r>
              <w:rPr>
                <w:rFonts w:ascii="黑体" w:hAnsi="黑体" w:eastAsia="黑体"/>
                <w:sz w:val="18"/>
                <w:szCs w:val="18"/>
              </w:rPr>
              <w:t xml:space="preserve"> </w:t>
            </w:r>
          </w:p>
        </w:tc>
        <w:tc>
          <w:tcPr>
            <w:tcW w:w="5531" w:type="dxa"/>
            <w:tcBorders>
              <w:top w:val="single" w:color="000000" w:sz="4" w:space="0"/>
              <w:left w:val="single" w:color="000000" w:sz="4" w:space="0"/>
              <w:bottom w:val="single" w:color="000000" w:sz="4" w:space="0"/>
              <w:right w:val="single" w:color="000000" w:sz="4" w:space="0"/>
            </w:tcBorders>
          </w:tcPr>
          <w:p w14:paraId="776078E4">
            <w:pPr>
              <w:pStyle w:val="132"/>
              <w:kinsoku w:val="0"/>
              <w:overflowPunct w:val="0"/>
              <w:spacing w:before="8"/>
              <w:rPr>
                <w:rFonts w:ascii="黑体" w:hAnsi="黑体" w:eastAsia="黑体"/>
                <w:b/>
                <w:bCs/>
                <w:sz w:val="18"/>
                <w:szCs w:val="18"/>
              </w:rPr>
            </w:pPr>
          </w:p>
          <w:p w14:paraId="5E8E221D">
            <w:pPr>
              <w:pStyle w:val="132"/>
              <w:kinsoku w:val="0"/>
              <w:overflowPunct w:val="0"/>
              <w:spacing w:before="1"/>
              <w:ind w:left="110"/>
              <w:rPr>
                <w:rFonts w:ascii="黑体" w:hAnsi="黑体" w:eastAsia="黑体"/>
                <w:sz w:val="18"/>
                <w:szCs w:val="18"/>
              </w:rPr>
            </w:pPr>
            <w:r>
              <w:rPr>
                <w:rFonts w:hint="eastAsia" w:ascii="黑体" w:hAnsi="黑体" w:eastAsia="黑体"/>
                <w:sz w:val="18"/>
                <w:szCs w:val="18"/>
              </w:rPr>
              <w:t>不使用禁用物质</w:t>
            </w:r>
            <w:r>
              <w:rPr>
                <w:rFonts w:ascii="黑体" w:hAnsi="黑体" w:eastAsia="黑体"/>
                <w:sz w:val="18"/>
                <w:szCs w:val="18"/>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380E5E60">
            <w:pPr>
              <w:pStyle w:val="132"/>
              <w:kinsoku w:val="0"/>
              <w:overflowPunct w:val="0"/>
              <w:spacing w:before="55"/>
              <w:ind w:left="106"/>
              <w:rPr>
                <w:rFonts w:ascii="黑体" w:hAnsi="黑体" w:eastAsia="黑体"/>
                <w:w w:val="101"/>
                <w:sz w:val="18"/>
                <w:szCs w:val="18"/>
              </w:rPr>
            </w:pPr>
            <w:r>
              <w:rPr>
                <w:rFonts w:ascii="黑体" w:hAnsi="黑体" w:eastAsia="黑体"/>
                <w:w w:val="101"/>
                <w:sz w:val="18"/>
                <w:szCs w:val="18"/>
              </w:rPr>
              <w:t xml:space="preserve"> </w:t>
            </w:r>
          </w:p>
        </w:tc>
      </w:tr>
      <w:tr w14:paraId="3A22CDE1">
        <w:tblPrEx>
          <w:tblCellMar>
            <w:top w:w="0" w:type="dxa"/>
            <w:left w:w="108" w:type="dxa"/>
            <w:bottom w:w="0" w:type="dxa"/>
            <w:right w:w="108" w:type="dxa"/>
          </w:tblCellMar>
        </w:tblPrEx>
        <w:trPr>
          <w:trHeight w:val="585" w:hRule="atLeast"/>
        </w:trPr>
        <w:tc>
          <w:tcPr>
            <w:tcW w:w="711" w:type="dxa"/>
            <w:tcBorders>
              <w:top w:val="single" w:color="000000" w:sz="4" w:space="0"/>
              <w:left w:val="single" w:color="000000" w:sz="4" w:space="0"/>
              <w:bottom w:val="single" w:color="000000" w:sz="4" w:space="0"/>
              <w:right w:val="single" w:color="000000" w:sz="4" w:space="0"/>
            </w:tcBorders>
          </w:tcPr>
          <w:p w14:paraId="6CD99EE7">
            <w:pPr>
              <w:pStyle w:val="132"/>
              <w:kinsoku w:val="0"/>
              <w:overflowPunct w:val="0"/>
              <w:spacing w:before="1"/>
              <w:rPr>
                <w:rFonts w:ascii="黑体" w:hAnsi="黑体" w:eastAsia="黑体"/>
                <w:sz w:val="18"/>
                <w:szCs w:val="18"/>
              </w:rPr>
            </w:pPr>
            <w:r>
              <w:rPr>
                <w:rFonts w:ascii="黑体" w:hAnsi="黑体" w:eastAsia="黑体"/>
                <w:sz w:val="18"/>
                <w:szCs w:val="18"/>
              </w:rPr>
              <w:t>3</w:t>
            </w:r>
          </w:p>
        </w:tc>
        <w:tc>
          <w:tcPr>
            <w:tcW w:w="1983" w:type="dxa"/>
            <w:tcBorders>
              <w:top w:val="single" w:color="000000" w:sz="4" w:space="0"/>
              <w:left w:val="single" w:color="000000" w:sz="4" w:space="0"/>
              <w:bottom w:val="single" w:color="000000" w:sz="4" w:space="0"/>
              <w:right w:val="single" w:color="000000" w:sz="4" w:space="0"/>
            </w:tcBorders>
          </w:tcPr>
          <w:p w14:paraId="08E5F59F">
            <w:pPr>
              <w:pStyle w:val="132"/>
              <w:kinsoku w:val="0"/>
              <w:overflowPunct w:val="0"/>
              <w:spacing w:before="8"/>
              <w:rPr>
                <w:rFonts w:ascii="黑体" w:hAnsi="黑体" w:eastAsia="黑体"/>
                <w:sz w:val="18"/>
                <w:szCs w:val="18"/>
              </w:rPr>
            </w:pPr>
            <w:r>
              <w:rPr>
                <w:rFonts w:hint="eastAsia" w:ascii="黑体" w:hAnsi="黑体" w:eastAsia="黑体"/>
                <w:sz w:val="18"/>
                <w:szCs w:val="18"/>
              </w:rPr>
              <w:t>是否满足国标中对环保性能的要求</w:t>
            </w:r>
          </w:p>
        </w:tc>
        <w:tc>
          <w:tcPr>
            <w:tcW w:w="5531" w:type="dxa"/>
            <w:tcBorders>
              <w:top w:val="single" w:color="000000" w:sz="4" w:space="0"/>
              <w:left w:val="single" w:color="000000" w:sz="4" w:space="0"/>
              <w:bottom w:val="single" w:color="000000" w:sz="4" w:space="0"/>
              <w:right w:val="single" w:color="000000" w:sz="4" w:space="0"/>
            </w:tcBorders>
          </w:tcPr>
          <w:p w14:paraId="461ECDA3">
            <w:pPr>
              <w:pStyle w:val="132"/>
              <w:kinsoku w:val="0"/>
              <w:overflowPunct w:val="0"/>
              <w:spacing w:before="8"/>
              <w:rPr>
                <w:rFonts w:ascii="黑体" w:hAnsi="黑体" w:eastAsia="黑体"/>
                <w:b/>
                <w:bCs/>
                <w:sz w:val="18"/>
                <w:szCs w:val="18"/>
              </w:rPr>
            </w:pPr>
            <w:r>
              <w:rPr>
                <w:rFonts w:ascii="黑体" w:hAnsi="黑体" w:eastAsia="黑体"/>
                <w:sz w:val="18"/>
                <w:szCs w:val="18"/>
              </w:rPr>
              <w:drawing>
                <wp:inline distT="0" distB="0" distL="0" distR="0">
                  <wp:extent cx="2590165" cy="1833880"/>
                  <wp:effectExtent l="0" t="0" r="63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590165" cy="1833880"/>
                          </a:xfrm>
                          <a:prstGeom prst="rect">
                            <a:avLst/>
                          </a:prstGeom>
                          <a:noFill/>
                          <a:ln>
                            <a:noFill/>
                          </a:ln>
                        </pic:spPr>
                      </pic:pic>
                    </a:graphicData>
                  </a:graphic>
                </wp:inline>
              </w:drawing>
            </w:r>
          </w:p>
        </w:tc>
        <w:tc>
          <w:tcPr>
            <w:tcW w:w="1417" w:type="dxa"/>
            <w:tcBorders>
              <w:top w:val="single" w:color="000000" w:sz="4" w:space="0"/>
              <w:left w:val="single" w:color="000000" w:sz="4" w:space="0"/>
              <w:bottom w:val="single" w:color="000000" w:sz="4" w:space="0"/>
              <w:right w:val="single" w:color="000000" w:sz="4" w:space="0"/>
            </w:tcBorders>
          </w:tcPr>
          <w:p w14:paraId="62219FFF">
            <w:pPr>
              <w:pStyle w:val="132"/>
              <w:kinsoku w:val="0"/>
              <w:overflowPunct w:val="0"/>
              <w:spacing w:before="55"/>
              <w:ind w:left="106"/>
              <w:rPr>
                <w:rFonts w:ascii="黑体" w:hAnsi="黑体" w:eastAsia="黑体"/>
                <w:w w:val="101"/>
                <w:sz w:val="18"/>
                <w:szCs w:val="18"/>
              </w:rPr>
            </w:pPr>
          </w:p>
        </w:tc>
      </w:tr>
    </w:tbl>
    <w:p w14:paraId="605C6EFC">
      <w:pPr>
        <w:pStyle w:val="97"/>
        <w:rPr>
          <w:b/>
          <w:bCs/>
        </w:rPr>
      </w:pPr>
      <w:r>
        <w:rPr>
          <w:rFonts w:hint="eastAsia"/>
          <w:b/>
          <w:bCs/>
          <w:spacing w:val="1"/>
        </w:rPr>
        <w:t>技术</w:t>
      </w:r>
      <w:r>
        <w:rPr>
          <w:rFonts w:hint="eastAsia"/>
          <w:b/>
          <w:bCs/>
        </w:rPr>
        <w:t>支持与服务要求</w:t>
      </w:r>
    </w:p>
    <w:p w14:paraId="3912D2B4">
      <w:pPr>
        <w:pStyle w:val="111"/>
        <w:ind w:left="1134" w:hanging="424"/>
        <w:jc w:val="left"/>
        <w:rPr>
          <w:b/>
          <w:bCs/>
        </w:rPr>
      </w:pPr>
      <w:r>
        <w:rPr>
          <w:rFonts w:hint="eastAsia"/>
          <w:b/>
          <w:bCs/>
        </w:rPr>
        <w:t>竞标支撑要求</w:t>
      </w:r>
    </w:p>
    <w:tbl>
      <w:tblPr>
        <w:tblStyle w:val="36"/>
        <w:tblW w:w="0" w:type="auto"/>
        <w:tblInd w:w="115" w:type="dxa"/>
        <w:tblLayout w:type="fixed"/>
        <w:tblCellMar>
          <w:top w:w="0" w:type="dxa"/>
          <w:left w:w="0" w:type="dxa"/>
          <w:bottom w:w="0" w:type="dxa"/>
          <w:right w:w="0" w:type="dxa"/>
        </w:tblCellMar>
      </w:tblPr>
      <w:tblGrid>
        <w:gridCol w:w="677"/>
        <w:gridCol w:w="7375"/>
        <w:gridCol w:w="1133"/>
      </w:tblGrid>
      <w:tr w14:paraId="738D62D6">
        <w:tblPrEx>
          <w:tblCellMar>
            <w:top w:w="0" w:type="dxa"/>
            <w:left w:w="0" w:type="dxa"/>
            <w:bottom w:w="0" w:type="dxa"/>
            <w:right w:w="0" w:type="dxa"/>
          </w:tblCellMar>
        </w:tblPrEx>
        <w:trPr>
          <w:trHeight w:val="402" w:hRule="atLeast"/>
        </w:trPr>
        <w:tc>
          <w:tcPr>
            <w:tcW w:w="677" w:type="dxa"/>
            <w:tcBorders>
              <w:top w:val="single" w:color="000000" w:sz="4" w:space="0"/>
              <w:left w:val="single" w:color="000000" w:sz="4" w:space="0"/>
              <w:bottom w:val="single" w:color="000000" w:sz="4" w:space="0"/>
              <w:right w:val="single" w:color="000000" w:sz="4" w:space="0"/>
            </w:tcBorders>
            <w:shd w:val="clear" w:color="auto" w:fill="DBE4F0"/>
          </w:tcPr>
          <w:p w14:paraId="65F7AB70">
            <w:pPr>
              <w:pStyle w:val="132"/>
              <w:kinsoku w:val="0"/>
              <w:overflowPunct w:val="0"/>
              <w:spacing w:before="58"/>
              <w:ind w:left="90" w:right="94"/>
              <w:rPr>
                <w:rFonts w:ascii="黑体" w:hAnsi="黑体" w:eastAsia="黑体"/>
                <w:b/>
                <w:bCs/>
                <w:sz w:val="18"/>
                <w:szCs w:val="18"/>
              </w:rPr>
            </w:pPr>
            <w:r>
              <w:rPr>
                <w:rFonts w:hint="eastAsia" w:ascii="黑体" w:hAnsi="黑体" w:eastAsia="黑体"/>
                <w:b/>
                <w:bCs/>
                <w:sz w:val="18"/>
                <w:szCs w:val="18"/>
              </w:rPr>
              <w:t>序号</w:t>
            </w:r>
          </w:p>
        </w:tc>
        <w:tc>
          <w:tcPr>
            <w:tcW w:w="7375" w:type="dxa"/>
            <w:tcBorders>
              <w:top w:val="single" w:color="000000" w:sz="4" w:space="0"/>
              <w:left w:val="single" w:color="000000" w:sz="4" w:space="0"/>
              <w:bottom w:val="single" w:color="000000" w:sz="4" w:space="0"/>
              <w:right w:val="single" w:color="000000" w:sz="4" w:space="0"/>
            </w:tcBorders>
            <w:shd w:val="clear" w:color="auto" w:fill="DBE4F0"/>
          </w:tcPr>
          <w:p w14:paraId="03A072C1">
            <w:pPr>
              <w:pStyle w:val="132"/>
              <w:kinsoku w:val="0"/>
              <w:overflowPunct w:val="0"/>
              <w:spacing w:before="58"/>
              <w:ind w:left="3225" w:right="3215"/>
              <w:rPr>
                <w:rFonts w:ascii="黑体" w:hAnsi="黑体" w:eastAsia="黑体"/>
                <w:b/>
                <w:bCs/>
                <w:sz w:val="18"/>
                <w:szCs w:val="18"/>
              </w:rPr>
            </w:pPr>
            <w:r>
              <w:rPr>
                <w:rFonts w:hint="eastAsia" w:ascii="黑体" w:hAnsi="黑体" w:eastAsia="黑体"/>
                <w:b/>
                <w:bCs/>
                <w:sz w:val="18"/>
                <w:szCs w:val="18"/>
              </w:rPr>
              <w:t>项目说明</w:t>
            </w:r>
          </w:p>
        </w:tc>
        <w:tc>
          <w:tcPr>
            <w:tcW w:w="1133" w:type="dxa"/>
            <w:tcBorders>
              <w:top w:val="single" w:color="000000" w:sz="4" w:space="0"/>
              <w:left w:val="single" w:color="000000" w:sz="4" w:space="0"/>
              <w:bottom w:val="single" w:color="000000" w:sz="4" w:space="0"/>
              <w:right w:val="single" w:color="000000" w:sz="4" w:space="0"/>
            </w:tcBorders>
            <w:shd w:val="clear" w:color="auto" w:fill="DBE4F0"/>
          </w:tcPr>
          <w:p w14:paraId="78293834">
            <w:pPr>
              <w:pStyle w:val="132"/>
              <w:kinsoku w:val="0"/>
              <w:overflowPunct w:val="0"/>
              <w:spacing w:before="58"/>
              <w:ind w:left="341"/>
              <w:rPr>
                <w:rFonts w:ascii="黑体" w:hAnsi="黑体" w:eastAsia="黑体"/>
                <w:b/>
                <w:bCs/>
                <w:sz w:val="18"/>
                <w:szCs w:val="18"/>
              </w:rPr>
            </w:pPr>
            <w:r>
              <w:rPr>
                <w:rFonts w:hint="eastAsia" w:ascii="黑体" w:hAnsi="黑体" w:eastAsia="黑体"/>
                <w:b/>
                <w:bCs/>
                <w:sz w:val="18"/>
                <w:szCs w:val="18"/>
              </w:rPr>
              <w:t>备注</w:t>
            </w:r>
          </w:p>
        </w:tc>
      </w:tr>
      <w:tr w14:paraId="66380BE3">
        <w:tblPrEx>
          <w:tblCellMar>
            <w:top w:w="0" w:type="dxa"/>
            <w:left w:w="0" w:type="dxa"/>
            <w:bottom w:w="0" w:type="dxa"/>
            <w:right w:w="0" w:type="dxa"/>
          </w:tblCellMar>
        </w:tblPrEx>
        <w:trPr>
          <w:trHeight w:val="258" w:hRule="atLeast"/>
        </w:trPr>
        <w:tc>
          <w:tcPr>
            <w:tcW w:w="677" w:type="dxa"/>
            <w:tcBorders>
              <w:top w:val="single" w:color="000000" w:sz="4" w:space="0"/>
              <w:left w:val="single" w:color="000000" w:sz="4" w:space="0"/>
              <w:bottom w:val="single" w:color="000000" w:sz="4" w:space="0"/>
              <w:right w:val="single" w:color="000000" w:sz="4" w:space="0"/>
            </w:tcBorders>
          </w:tcPr>
          <w:p w14:paraId="0EB180DE">
            <w:pPr>
              <w:pStyle w:val="132"/>
              <w:kinsoku w:val="0"/>
              <w:overflowPunct w:val="0"/>
              <w:spacing w:before="1" w:line="237" w:lineRule="exact"/>
              <w:ind w:left="204" w:right="94"/>
              <w:rPr>
                <w:rFonts w:ascii="黑体" w:hAnsi="黑体" w:eastAsia="黑体"/>
                <w:i/>
                <w:iCs/>
                <w:w w:val="96"/>
                <w:sz w:val="18"/>
                <w:szCs w:val="18"/>
              </w:rPr>
            </w:pPr>
            <w:r>
              <w:rPr>
                <w:rFonts w:ascii="黑体" w:hAnsi="黑体" w:eastAsia="黑体"/>
                <w:sz w:val="18"/>
                <w:szCs w:val="18"/>
              </w:rPr>
              <w:t>1</w:t>
            </w:r>
            <w:r>
              <w:rPr>
                <w:rFonts w:ascii="黑体" w:hAnsi="黑体" w:eastAsia="黑体"/>
                <w:i/>
                <w:iCs/>
                <w:w w:val="96"/>
                <w:sz w:val="18"/>
                <w:szCs w:val="18"/>
              </w:rPr>
              <w:t xml:space="preserve"> </w:t>
            </w:r>
          </w:p>
        </w:tc>
        <w:tc>
          <w:tcPr>
            <w:tcW w:w="7375" w:type="dxa"/>
            <w:tcBorders>
              <w:top w:val="single" w:color="000000" w:sz="4" w:space="0"/>
              <w:left w:val="single" w:color="000000" w:sz="4" w:space="0"/>
              <w:bottom w:val="single" w:color="000000" w:sz="4" w:space="0"/>
              <w:right w:val="single" w:color="000000" w:sz="4" w:space="0"/>
            </w:tcBorders>
          </w:tcPr>
          <w:p w14:paraId="446B18F8">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供方配合投标，给价格低于其它集成商报价。</w:t>
            </w:r>
          </w:p>
        </w:tc>
        <w:tc>
          <w:tcPr>
            <w:tcW w:w="1133" w:type="dxa"/>
            <w:tcBorders>
              <w:top w:val="single" w:color="000000" w:sz="4" w:space="0"/>
              <w:left w:val="single" w:color="000000" w:sz="4" w:space="0"/>
              <w:bottom w:val="single" w:color="000000" w:sz="4" w:space="0"/>
              <w:right w:val="single" w:color="000000" w:sz="4" w:space="0"/>
            </w:tcBorders>
          </w:tcPr>
          <w:p w14:paraId="6FBAFB26">
            <w:pPr>
              <w:pStyle w:val="132"/>
              <w:kinsoku w:val="0"/>
              <w:overflowPunct w:val="0"/>
              <w:rPr>
                <w:rFonts w:ascii="黑体" w:hAnsi="黑体" w:eastAsia="黑体" w:cs="Times New Roman"/>
                <w:sz w:val="18"/>
                <w:szCs w:val="18"/>
              </w:rPr>
            </w:pPr>
          </w:p>
        </w:tc>
      </w:tr>
      <w:tr w14:paraId="4D0A1D68">
        <w:tblPrEx>
          <w:tblCellMar>
            <w:top w:w="0" w:type="dxa"/>
            <w:left w:w="0" w:type="dxa"/>
            <w:bottom w:w="0" w:type="dxa"/>
            <w:right w:w="0" w:type="dxa"/>
          </w:tblCellMar>
        </w:tblPrEx>
        <w:trPr>
          <w:trHeight w:val="263" w:hRule="atLeast"/>
        </w:trPr>
        <w:tc>
          <w:tcPr>
            <w:tcW w:w="677" w:type="dxa"/>
            <w:tcBorders>
              <w:top w:val="single" w:color="000000" w:sz="4" w:space="0"/>
              <w:left w:val="single" w:color="000000" w:sz="4" w:space="0"/>
              <w:bottom w:val="single" w:color="000000" w:sz="4" w:space="0"/>
              <w:right w:val="single" w:color="000000" w:sz="4" w:space="0"/>
            </w:tcBorders>
          </w:tcPr>
          <w:p w14:paraId="226EA5C8">
            <w:pPr>
              <w:pStyle w:val="132"/>
              <w:kinsoku w:val="0"/>
              <w:overflowPunct w:val="0"/>
              <w:spacing w:before="6" w:line="237" w:lineRule="exact"/>
              <w:ind w:left="204" w:right="94"/>
              <w:rPr>
                <w:rFonts w:ascii="黑体" w:hAnsi="黑体" w:eastAsia="黑体"/>
                <w:sz w:val="18"/>
                <w:szCs w:val="18"/>
              </w:rPr>
            </w:pPr>
            <w:r>
              <w:rPr>
                <w:rFonts w:ascii="黑体" w:hAnsi="黑体" w:eastAsia="黑体"/>
                <w:sz w:val="18"/>
                <w:szCs w:val="18"/>
              </w:rPr>
              <w:t xml:space="preserve">2 </w:t>
            </w:r>
          </w:p>
        </w:tc>
        <w:tc>
          <w:tcPr>
            <w:tcW w:w="7375" w:type="dxa"/>
            <w:tcBorders>
              <w:top w:val="single" w:color="000000" w:sz="4" w:space="0"/>
              <w:left w:val="single" w:color="000000" w:sz="4" w:space="0"/>
              <w:bottom w:val="single" w:color="000000" w:sz="4" w:space="0"/>
              <w:right w:val="single" w:color="000000" w:sz="4" w:space="0"/>
            </w:tcBorders>
          </w:tcPr>
          <w:p w14:paraId="6FED7FED">
            <w:pPr>
              <w:pStyle w:val="132"/>
              <w:kinsoku w:val="0"/>
              <w:overflowPunct w:val="0"/>
              <w:spacing w:before="2"/>
              <w:ind w:left="110"/>
              <w:rPr>
                <w:rFonts w:ascii="黑体" w:hAnsi="黑体" w:eastAsia="黑体"/>
                <w:sz w:val="18"/>
                <w:szCs w:val="18"/>
              </w:rPr>
            </w:pPr>
            <w:r>
              <w:rPr>
                <w:rFonts w:hint="eastAsia" w:ascii="黑体" w:hAnsi="黑体" w:eastAsia="黑体"/>
                <w:sz w:val="18"/>
                <w:szCs w:val="18"/>
              </w:rPr>
              <w:t>供方须提供支撑竞标小组要求的技术建议方案。</w:t>
            </w:r>
          </w:p>
        </w:tc>
        <w:tc>
          <w:tcPr>
            <w:tcW w:w="1133" w:type="dxa"/>
            <w:tcBorders>
              <w:top w:val="single" w:color="000000" w:sz="4" w:space="0"/>
              <w:left w:val="single" w:color="000000" w:sz="4" w:space="0"/>
              <w:bottom w:val="single" w:color="000000" w:sz="4" w:space="0"/>
              <w:right w:val="single" w:color="000000" w:sz="4" w:space="0"/>
            </w:tcBorders>
          </w:tcPr>
          <w:p w14:paraId="7E74CF4E">
            <w:pPr>
              <w:pStyle w:val="132"/>
              <w:kinsoku w:val="0"/>
              <w:overflowPunct w:val="0"/>
              <w:rPr>
                <w:rFonts w:ascii="黑体" w:hAnsi="黑体" w:eastAsia="黑体" w:cs="Times New Roman"/>
                <w:sz w:val="18"/>
                <w:szCs w:val="18"/>
              </w:rPr>
            </w:pPr>
          </w:p>
        </w:tc>
      </w:tr>
      <w:tr w14:paraId="6F21542E">
        <w:tblPrEx>
          <w:tblCellMar>
            <w:top w:w="0" w:type="dxa"/>
            <w:left w:w="0" w:type="dxa"/>
            <w:bottom w:w="0" w:type="dxa"/>
            <w:right w:w="0" w:type="dxa"/>
          </w:tblCellMar>
        </w:tblPrEx>
        <w:trPr>
          <w:trHeight w:val="465" w:hRule="atLeast"/>
        </w:trPr>
        <w:tc>
          <w:tcPr>
            <w:tcW w:w="677" w:type="dxa"/>
            <w:tcBorders>
              <w:top w:val="single" w:color="000000" w:sz="4" w:space="0"/>
              <w:left w:val="single" w:color="000000" w:sz="4" w:space="0"/>
              <w:bottom w:val="single" w:color="000000" w:sz="4" w:space="0"/>
              <w:right w:val="single" w:color="000000" w:sz="4" w:space="0"/>
            </w:tcBorders>
          </w:tcPr>
          <w:p w14:paraId="563842A2">
            <w:pPr>
              <w:pStyle w:val="132"/>
              <w:kinsoku w:val="0"/>
              <w:overflowPunct w:val="0"/>
              <w:spacing w:before="102"/>
              <w:ind w:left="204" w:right="94"/>
              <w:rPr>
                <w:rFonts w:ascii="黑体" w:hAnsi="黑体" w:eastAsia="黑体"/>
                <w:sz w:val="18"/>
                <w:szCs w:val="18"/>
              </w:rPr>
            </w:pPr>
            <w:r>
              <w:rPr>
                <w:rFonts w:ascii="黑体" w:hAnsi="黑体" w:eastAsia="黑体"/>
                <w:sz w:val="18"/>
                <w:szCs w:val="18"/>
              </w:rPr>
              <w:t xml:space="preserve">3 </w:t>
            </w:r>
          </w:p>
        </w:tc>
        <w:tc>
          <w:tcPr>
            <w:tcW w:w="7375" w:type="dxa"/>
            <w:tcBorders>
              <w:top w:val="single" w:color="000000" w:sz="4" w:space="0"/>
              <w:left w:val="single" w:color="000000" w:sz="4" w:space="0"/>
              <w:bottom w:val="single" w:color="000000" w:sz="4" w:space="0"/>
              <w:right w:val="single" w:color="000000" w:sz="4" w:space="0"/>
            </w:tcBorders>
          </w:tcPr>
          <w:p w14:paraId="3BD15FF8">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供方需要在投标过程及中标后配置一名固定技术人员支持项目，并能够在规定时间内响</w:t>
            </w:r>
          </w:p>
          <w:p w14:paraId="31BCFB5D">
            <w:pPr>
              <w:pStyle w:val="132"/>
              <w:kinsoku w:val="0"/>
              <w:overflowPunct w:val="0"/>
              <w:spacing w:line="217" w:lineRule="exact"/>
              <w:ind w:left="110"/>
              <w:rPr>
                <w:rFonts w:ascii="黑体" w:hAnsi="黑体" w:eastAsia="黑体"/>
                <w:sz w:val="18"/>
                <w:szCs w:val="18"/>
              </w:rPr>
            </w:pPr>
            <w:r>
              <w:rPr>
                <w:rFonts w:hint="eastAsia" w:ascii="黑体" w:hAnsi="黑体" w:eastAsia="黑体"/>
                <w:sz w:val="18"/>
                <w:szCs w:val="18"/>
              </w:rPr>
              <w:t>应需求。</w:t>
            </w:r>
          </w:p>
        </w:tc>
        <w:tc>
          <w:tcPr>
            <w:tcW w:w="1133" w:type="dxa"/>
            <w:tcBorders>
              <w:top w:val="single" w:color="000000" w:sz="4" w:space="0"/>
              <w:left w:val="single" w:color="000000" w:sz="4" w:space="0"/>
              <w:bottom w:val="single" w:color="000000" w:sz="4" w:space="0"/>
              <w:right w:val="single" w:color="000000" w:sz="4" w:space="0"/>
            </w:tcBorders>
          </w:tcPr>
          <w:p w14:paraId="16C80831">
            <w:pPr>
              <w:pStyle w:val="132"/>
              <w:kinsoku w:val="0"/>
              <w:overflowPunct w:val="0"/>
              <w:rPr>
                <w:rFonts w:ascii="黑体" w:hAnsi="黑体" w:eastAsia="黑体" w:cs="Times New Roman"/>
                <w:sz w:val="18"/>
                <w:szCs w:val="18"/>
              </w:rPr>
            </w:pPr>
          </w:p>
        </w:tc>
      </w:tr>
      <w:tr w14:paraId="0AC4159D">
        <w:tblPrEx>
          <w:tblCellMar>
            <w:top w:w="0" w:type="dxa"/>
            <w:left w:w="0" w:type="dxa"/>
            <w:bottom w:w="0" w:type="dxa"/>
            <w:right w:w="0" w:type="dxa"/>
          </w:tblCellMar>
        </w:tblPrEx>
        <w:trPr>
          <w:trHeight w:val="259" w:hRule="atLeast"/>
        </w:trPr>
        <w:tc>
          <w:tcPr>
            <w:tcW w:w="677" w:type="dxa"/>
            <w:tcBorders>
              <w:top w:val="single" w:color="000000" w:sz="4" w:space="0"/>
              <w:left w:val="single" w:color="000000" w:sz="4" w:space="0"/>
              <w:bottom w:val="single" w:color="000000" w:sz="4" w:space="0"/>
              <w:right w:val="single" w:color="000000" w:sz="4" w:space="0"/>
            </w:tcBorders>
          </w:tcPr>
          <w:p w14:paraId="7C9F8DC7">
            <w:pPr>
              <w:pStyle w:val="132"/>
              <w:kinsoku w:val="0"/>
              <w:overflowPunct w:val="0"/>
              <w:spacing w:before="2" w:line="237" w:lineRule="exact"/>
              <w:ind w:left="204" w:right="94"/>
              <w:rPr>
                <w:rFonts w:ascii="黑体" w:hAnsi="黑体" w:eastAsia="黑体"/>
                <w:sz w:val="18"/>
                <w:szCs w:val="18"/>
              </w:rPr>
            </w:pPr>
            <w:r>
              <w:rPr>
                <w:rFonts w:ascii="黑体" w:hAnsi="黑体" w:eastAsia="黑体"/>
                <w:sz w:val="18"/>
                <w:szCs w:val="18"/>
              </w:rPr>
              <w:t xml:space="preserve">4 </w:t>
            </w:r>
          </w:p>
        </w:tc>
        <w:tc>
          <w:tcPr>
            <w:tcW w:w="7375" w:type="dxa"/>
            <w:tcBorders>
              <w:top w:val="single" w:color="000000" w:sz="4" w:space="0"/>
              <w:left w:val="single" w:color="000000" w:sz="4" w:space="0"/>
              <w:bottom w:val="single" w:color="000000" w:sz="4" w:space="0"/>
              <w:right w:val="single" w:color="000000" w:sz="4" w:space="0"/>
            </w:tcBorders>
          </w:tcPr>
          <w:p w14:paraId="3091486F">
            <w:pPr>
              <w:pStyle w:val="132"/>
              <w:kinsoku w:val="0"/>
              <w:overflowPunct w:val="0"/>
              <w:spacing w:line="229" w:lineRule="exact"/>
              <w:ind w:left="110"/>
              <w:rPr>
                <w:rFonts w:ascii="黑体" w:hAnsi="黑体" w:eastAsia="黑体"/>
                <w:sz w:val="18"/>
                <w:szCs w:val="18"/>
              </w:rPr>
            </w:pPr>
            <w:r>
              <w:rPr>
                <w:rFonts w:hint="eastAsia" w:ascii="黑体" w:hAnsi="黑体" w:eastAsia="黑体"/>
                <w:sz w:val="18"/>
                <w:szCs w:val="18"/>
              </w:rPr>
              <w:t>如果有需要，供应商在竞标过程中需提供现场支持。</w:t>
            </w:r>
          </w:p>
        </w:tc>
        <w:tc>
          <w:tcPr>
            <w:tcW w:w="1133" w:type="dxa"/>
            <w:tcBorders>
              <w:top w:val="single" w:color="000000" w:sz="4" w:space="0"/>
              <w:left w:val="single" w:color="000000" w:sz="4" w:space="0"/>
              <w:bottom w:val="single" w:color="000000" w:sz="4" w:space="0"/>
              <w:right w:val="single" w:color="000000" w:sz="4" w:space="0"/>
            </w:tcBorders>
          </w:tcPr>
          <w:p w14:paraId="2826ADE0">
            <w:pPr>
              <w:pStyle w:val="132"/>
              <w:kinsoku w:val="0"/>
              <w:overflowPunct w:val="0"/>
              <w:rPr>
                <w:rFonts w:ascii="黑体" w:hAnsi="黑体" w:eastAsia="黑体" w:cs="Times New Roman"/>
                <w:sz w:val="18"/>
                <w:szCs w:val="18"/>
              </w:rPr>
            </w:pPr>
          </w:p>
        </w:tc>
      </w:tr>
    </w:tbl>
    <w:p w14:paraId="08EE6D47">
      <w:pPr>
        <w:pStyle w:val="111"/>
        <w:ind w:left="1134" w:hanging="424"/>
        <w:jc w:val="left"/>
        <w:rPr>
          <w:b/>
          <w:bCs/>
        </w:rPr>
      </w:pPr>
      <w:r>
        <w:rPr>
          <w:rFonts w:hint="eastAsia"/>
          <w:b/>
          <w:bCs/>
        </w:rPr>
        <w:t>工程施工</w:t>
      </w:r>
    </w:p>
    <w:tbl>
      <w:tblPr>
        <w:tblStyle w:val="36"/>
        <w:tblW w:w="0" w:type="auto"/>
        <w:tblInd w:w="115" w:type="dxa"/>
        <w:tblLayout w:type="fixed"/>
        <w:tblCellMar>
          <w:top w:w="0" w:type="dxa"/>
          <w:left w:w="0" w:type="dxa"/>
          <w:bottom w:w="0" w:type="dxa"/>
          <w:right w:w="0" w:type="dxa"/>
        </w:tblCellMar>
      </w:tblPr>
      <w:tblGrid>
        <w:gridCol w:w="677"/>
        <w:gridCol w:w="7375"/>
        <w:gridCol w:w="1133"/>
      </w:tblGrid>
      <w:tr w14:paraId="3C9E5864">
        <w:tblPrEx>
          <w:tblCellMar>
            <w:top w:w="0" w:type="dxa"/>
            <w:left w:w="0" w:type="dxa"/>
            <w:bottom w:w="0" w:type="dxa"/>
            <w:right w:w="0" w:type="dxa"/>
          </w:tblCellMar>
        </w:tblPrEx>
        <w:trPr>
          <w:trHeight w:val="402" w:hRule="atLeast"/>
        </w:trPr>
        <w:tc>
          <w:tcPr>
            <w:tcW w:w="677" w:type="dxa"/>
            <w:tcBorders>
              <w:top w:val="single" w:color="000000" w:sz="4" w:space="0"/>
              <w:left w:val="single" w:color="000000" w:sz="4" w:space="0"/>
              <w:bottom w:val="single" w:color="000000" w:sz="4" w:space="0"/>
              <w:right w:val="single" w:color="000000" w:sz="4" w:space="0"/>
            </w:tcBorders>
            <w:shd w:val="clear" w:color="auto" w:fill="DBE4F0"/>
          </w:tcPr>
          <w:p w14:paraId="3B6AE384">
            <w:pPr>
              <w:pStyle w:val="132"/>
              <w:kinsoku w:val="0"/>
              <w:overflowPunct w:val="0"/>
              <w:spacing w:before="58"/>
              <w:ind w:left="90" w:right="94"/>
              <w:rPr>
                <w:rFonts w:ascii="黑体" w:hAnsi="黑体" w:eastAsia="黑体"/>
                <w:b/>
                <w:bCs/>
                <w:sz w:val="18"/>
                <w:szCs w:val="18"/>
              </w:rPr>
            </w:pPr>
            <w:r>
              <w:rPr>
                <w:rFonts w:hint="eastAsia" w:ascii="黑体" w:hAnsi="黑体" w:eastAsia="黑体"/>
                <w:b/>
                <w:bCs/>
                <w:sz w:val="18"/>
                <w:szCs w:val="18"/>
              </w:rPr>
              <w:t>序号</w:t>
            </w:r>
          </w:p>
        </w:tc>
        <w:tc>
          <w:tcPr>
            <w:tcW w:w="7375" w:type="dxa"/>
            <w:tcBorders>
              <w:top w:val="single" w:color="000000" w:sz="4" w:space="0"/>
              <w:left w:val="single" w:color="000000" w:sz="4" w:space="0"/>
              <w:bottom w:val="single" w:color="000000" w:sz="4" w:space="0"/>
              <w:right w:val="single" w:color="000000" w:sz="4" w:space="0"/>
            </w:tcBorders>
            <w:shd w:val="clear" w:color="auto" w:fill="DBE4F0"/>
          </w:tcPr>
          <w:p w14:paraId="21BD3783">
            <w:pPr>
              <w:pStyle w:val="132"/>
              <w:kinsoku w:val="0"/>
              <w:overflowPunct w:val="0"/>
              <w:spacing w:before="58"/>
              <w:ind w:left="3225" w:right="3215"/>
              <w:rPr>
                <w:rFonts w:ascii="黑体" w:hAnsi="黑体" w:eastAsia="黑体"/>
                <w:b/>
                <w:bCs/>
                <w:sz w:val="18"/>
                <w:szCs w:val="18"/>
              </w:rPr>
            </w:pPr>
            <w:r>
              <w:rPr>
                <w:rFonts w:hint="eastAsia" w:ascii="黑体" w:hAnsi="黑体" w:eastAsia="黑体"/>
                <w:b/>
                <w:bCs/>
                <w:sz w:val="18"/>
                <w:szCs w:val="18"/>
              </w:rPr>
              <w:t>项目说明</w:t>
            </w:r>
          </w:p>
        </w:tc>
        <w:tc>
          <w:tcPr>
            <w:tcW w:w="1133" w:type="dxa"/>
            <w:tcBorders>
              <w:top w:val="single" w:color="000000" w:sz="4" w:space="0"/>
              <w:left w:val="single" w:color="000000" w:sz="4" w:space="0"/>
              <w:bottom w:val="single" w:color="000000" w:sz="4" w:space="0"/>
              <w:right w:val="single" w:color="000000" w:sz="4" w:space="0"/>
            </w:tcBorders>
            <w:shd w:val="clear" w:color="auto" w:fill="DBE4F0"/>
          </w:tcPr>
          <w:p w14:paraId="7951B3AA">
            <w:pPr>
              <w:pStyle w:val="132"/>
              <w:kinsoku w:val="0"/>
              <w:overflowPunct w:val="0"/>
              <w:spacing w:before="58"/>
              <w:ind w:left="341"/>
              <w:rPr>
                <w:rFonts w:ascii="黑体" w:hAnsi="黑体" w:eastAsia="黑体"/>
                <w:b/>
                <w:bCs/>
                <w:sz w:val="18"/>
                <w:szCs w:val="18"/>
              </w:rPr>
            </w:pPr>
            <w:r>
              <w:rPr>
                <w:rFonts w:hint="eastAsia" w:ascii="黑体" w:hAnsi="黑体" w:eastAsia="黑体"/>
                <w:b/>
                <w:bCs/>
                <w:sz w:val="18"/>
                <w:szCs w:val="18"/>
              </w:rPr>
              <w:t>备注</w:t>
            </w:r>
          </w:p>
        </w:tc>
      </w:tr>
      <w:tr w14:paraId="02C2594D">
        <w:tblPrEx>
          <w:tblCellMar>
            <w:top w:w="0" w:type="dxa"/>
            <w:left w:w="0" w:type="dxa"/>
            <w:bottom w:w="0" w:type="dxa"/>
            <w:right w:w="0" w:type="dxa"/>
          </w:tblCellMar>
        </w:tblPrEx>
        <w:trPr>
          <w:trHeight w:val="465" w:hRule="atLeast"/>
        </w:trPr>
        <w:tc>
          <w:tcPr>
            <w:tcW w:w="677" w:type="dxa"/>
            <w:tcBorders>
              <w:top w:val="single" w:color="000000" w:sz="4" w:space="0"/>
              <w:left w:val="single" w:color="000000" w:sz="4" w:space="0"/>
              <w:bottom w:val="single" w:color="000000" w:sz="4" w:space="0"/>
              <w:right w:val="single" w:color="000000" w:sz="4" w:space="0"/>
            </w:tcBorders>
          </w:tcPr>
          <w:p w14:paraId="013D6468">
            <w:pPr>
              <w:pStyle w:val="132"/>
              <w:kinsoku w:val="0"/>
              <w:overflowPunct w:val="0"/>
              <w:spacing w:before="1"/>
              <w:ind w:left="204" w:right="94"/>
              <w:rPr>
                <w:rFonts w:ascii="黑体" w:hAnsi="黑体" w:eastAsia="黑体"/>
                <w:i/>
                <w:iCs/>
                <w:w w:val="96"/>
                <w:sz w:val="18"/>
                <w:szCs w:val="18"/>
              </w:rPr>
            </w:pPr>
            <w:r>
              <w:rPr>
                <w:rFonts w:ascii="黑体" w:hAnsi="黑体" w:eastAsia="黑体"/>
                <w:sz w:val="18"/>
                <w:szCs w:val="18"/>
              </w:rPr>
              <w:t>1</w:t>
            </w:r>
            <w:r>
              <w:rPr>
                <w:rFonts w:ascii="黑体" w:hAnsi="黑体" w:eastAsia="黑体"/>
                <w:i/>
                <w:iCs/>
                <w:w w:val="96"/>
                <w:sz w:val="18"/>
                <w:szCs w:val="18"/>
              </w:rPr>
              <w:t xml:space="preserve"> </w:t>
            </w:r>
          </w:p>
        </w:tc>
        <w:tc>
          <w:tcPr>
            <w:tcW w:w="7375" w:type="dxa"/>
            <w:tcBorders>
              <w:top w:val="single" w:color="000000" w:sz="4" w:space="0"/>
              <w:left w:val="single" w:color="000000" w:sz="4" w:space="0"/>
              <w:bottom w:val="single" w:color="000000" w:sz="4" w:space="0"/>
              <w:right w:val="single" w:color="000000" w:sz="4" w:space="0"/>
            </w:tcBorders>
          </w:tcPr>
          <w:p w14:paraId="58852CFA">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根据国内项目需要可提供</w:t>
            </w:r>
            <w:r>
              <w:rPr>
                <w:rFonts w:ascii="黑体" w:hAnsi="黑体" w:eastAsia="黑体"/>
                <w:sz w:val="18"/>
                <w:szCs w:val="18"/>
              </w:rPr>
              <w:t xml:space="preserve"> </w:t>
            </w:r>
            <w:r>
              <w:rPr>
                <w:rFonts w:ascii="黑体" w:hAnsi="黑体" w:eastAsia="黑体" w:cs="Calibri"/>
                <w:sz w:val="18"/>
                <w:szCs w:val="18"/>
              </w:rPr>
              <w:t xml:space="preserve">3 </w:t>
            </w:r>
            <w:r>
              <w:rPr>
                <w:rFonts w:hint="eastAsia" w:ascii="黑体" w:hAnsi="黑体" w:eastAsia="黑体"/>
                <w:sz w:val="18"/>
                <w:szCs w:val="18"/>
              </w:rPr>
              <w:t>天左右的免费安装指导服务，超过免费督导服务期限需按人</w:t>
            </w:r>
            <w:r>
              <w:rPr>
                <w:rFonts w:ascii="黑体" w:hAnsi="黑体" w:eastAsia="黑体" w:cs="Calibri"/>
                <w:sz w:val="18"/>
                <w:szCs w:val="18"/>
              </w:rPr>
              <w:t>/</w:t>
            </w:r>
            <w:r>
              <w:rPr>
                <w:rFonts w:hint="eastAsia" w:ascii="黑体" w:hAnsi="黑体" w:eastAsia="黑体"/>
                <w:sz w:val="18"/>
                <w:szCs w:val="18"/>
              </w:rPr>
              <w:t>天</w:t>
            </w:r>
          </w:p>
          <w:p w14:paraId="27F57719">
            <w:pPr>
              <w:pStyle w:val="132"/>
              <w:kinsoku w:val="0"/>
              <w:overflowPunct w:val="0"/>
              <w:spacing w:before="5" w:line="213" w:lineRule="exact"/>
              <w:ind w:left="110"/>
              <w:rPr>
                <w:rFonts w:ascii="黑体" w:hAnsi="黑体" w:eastAsia="黑体"/>
                <w:sz w:val="18"/>
                <w:szCs w:val="18"/>
              </w:rPr>
            </w:pPr>
            <w:r>
              <w:rPr>
                <w:rFonts w:hint="eastAsia" w:ascii="黑体" w:hAnsi="黑体" w:eastAsia="黑体"/>
                <w:sz w:val="18"/>
                <w:szCs w:val="18"/>
              </w:rPr>
              <w:t>单价进行计费；本次招标不考虑海外督导服务。</w:t>
            </w:r>
          </w:p>
        </w:tc>
        <w:tc>
          <w:tcPr>
            <w:tcW w:w="1133" w:type="dxa"/>
            <w:tcBorders>
              <w:top w:val="single" w:color="000000" w:sz="4" w:space="0"/>
              <w:left w:val="single" w:color="000000" w:sz="4" w:space="0"/>
              <w:bottom w:val="single" w:color="000000" w:sz="4" w:space="0"/>
              <w:right w:val="single" w:color="000000" w:sz="4" w:space="0"/>
            </w:tcBorders>
          </w:tcPr>
          <w:p w14:paraId="05B60BFB">
            <w:pPr>
              <w:pStyle w:val="132"/>
              <w:kinsoku w:val="0"/>
              <w:overflowPunct w:val="0"/>
              <w:rPr>
                <w:rFonts w:ascii="黑体" w:hAnsi="黑体" w:eastAsia="黑体" w:cs="Times New Roman"/>
                <w:sz w:val="18"/>
                <w:szCs w:val="18"/>
              </w:rPr>
            </w:pPr>
          </w:p>
        </w:tc>
      </w:tr>
      <w:tr w14:paraId="2E3CE59F">
        <w:tblPrEx>
          <w:tblCellMar>
            <w:top w:w="0" w:type="dxa"/>
            <w:left w:w="0" w:type="dxa"/>
            <w:bottom w:w="0" w:type="dxa"/>
            <w:right w:w="0" w:type="dxa"/>
          </w:tblCellMar>
        </w:tblPrEx>
        <w:trPr>
          <w:trHeight w:val="470" w:hRule="atLeast"/>
        </w:trPr>
        <w:tc>
          <w:tcPr>
            <w:tcW w:w="677" w:type="dxa"/>
            <w:tcBorders>
              <w:top w:val="single" w:color="000000" w:sz="4" w:space="0"/>
              <w:left w:val="single" w:color="000000" w:sz="4" w:space="0"/>
              <w:bottom w:val="single" w:color="000000" w:sz="4" w:space="0"/>
              <w:right w:val="single" w:color="000000" w:sz="4" w:space="0"/>
            </w:tcBorders>
          </w:tcPr>
          <w:p w14:paraId="4661684C">
            <w:pPr>
              <w:pStyle w:val="132"/>
              <w:kinsoku w:val="0"/>
              <w:overflowPunct w:val="0"/>
              <w:spacing w:before="6"/>
              <w:ind w:left="204" w:right="94"/>
              <w:rPr>
                <w:rFonts w:ascii="黑体" w:hAnsi="黑体" w:eastAsia="黑体"/>
                <w:sz w:val="18"/>
                <w:szCs w:val="18"/>
              </w:rPr>
            </w:pPr>
            <w:r>
              <w:rPr>
                <w:rFonts w:ascii="黑体" w:hAnsi="黑体" w:eastAsia="黑体"/>
                <w:sz w:val="18"/>
                <w:szCs w:val="18"/>
              </w:rPr>
              <w:t xml:space="preserve">2 </w:t>
            </w:r>
          </w:p>
        </w:tc>
        <w:tc>
          <w:tcPr>
            <w:tcW w:w="7375" w:type="dxa"/>
            <w:tcBorders>
              <w:top w:val="single" w:color="000000" w:sz="4" w:space="0"/>
              <w:left w:val="single" w:color="000000" w:sz="4" w:space="0"/>
              <w:bottom w:val="single" w:color="000000" w:sz="4" w:space="0"/>
              <w:right w:val="single" w:color="000000" w:sz="4" w:space="0"/>
            </w:tcBorders>
          </w:tcPr>
          <w:p w14:paraId="6D6FA80E">
            <w:pPr>
              <w:pStyle w:val="132"/>
              <w:kinsoku w:val="0"/>
              <w:overflowPunct w:val="0"/>
              <w:spacing w:before="2" w:line="231" w:lineRule="exact"/>
              <w:ind w:left="110"/>
              <w:rPr>
                <w:rFonts w:ascii="黑体" w:hAnsi="黑体" w:eastAsia="黑体"/>
                <w:sz w:val="18"/>
                <w:szCs w:val="18"/>
              </w:rPr>
            </w:pPr>
            <w:r>
              <w:rPr>
                <w:rFonts w:hint="eastAsia" w:ascii="黑体" w:hAnsi="黑体" w:eastAsia="黑体"/>
                <w:sz w:val="18"/>
                <w:szCs w:val="18"/>
              </w:rPr>
              <w:t>如果供方的工程师因故欲离开现场，必须先提出书面停工申请，征得公司现场项目经</w:t>
            </w:r>
          </w:p>
          <w:p w14:paraId="00DE0C68">
            <w:pPr>
              <w:pStyle w:val="132"/>
              <w:kinsoku w:val="0"/>
              <w:overflowPunct w:val="0"/>
              <w:spacing w:line="217" w:lineRule="exact"/>
              <w:ind w:left="110"/>
              <w:rPr>
                <w:rFonts w:ascii="黑体" w:hAnsi="黑体" w:eastAsia="黑体"/>
                <w:sz w:val="18"/>
                <w:szCs w:val="18"/>
              </w:rPr>
            </w:pPr>
            <w:r>
              <w:rPr>
                <w:rFonts w:hint="eastAsia" w:ascii="黑体" w:hAnsi="黑体" w:eastAsia="黑体"/>
                <w:sz w:val="18"/>
                <w:szCs w:val="18"/>
              </w:rPr>
              <w:t>理（或工程负责人）的书面（纸件或</w:t>
            </w:r>
            <w:r>
              <w:rPr>
                <w:rFonts w:ascii="黑体" w:hAnsi="黑体" w:eastAsia="黑体" w:cs="Calibri"/>
                <w:sz w:val="18"/>
                <w:szCs w:val="18"/>
              </w:rPr>
              <w:t>E-mail</w:t>
            </w:r>
            <w:r>
              <w:rPr>
                <w:rFonts w:hint="eastAsia" w:ascii="黑体" w:hAnsi="黑体" w:eastAsia="黑体"/>
                <w:sz w:val="18"/>
                <w:szCs w:val="18"/>
              </w:rPr>
              <w:t>）同意后方可离开。</w:t>
            </w:r>
          </w:p>
        </w:tc>
        <w:tc>
          <w:tcPr>
            <w:tcW w:w="1133" w:type="dxa"/>
            <w:tcBorders>
              <w:top w:val="single" w:color="000000" w:sz="4" w:space="0"/>
              <w:left w:val="single" w:color="000000" w:sz="4" w:space="0"/>
              <w:bottom w:val="single" w:color="000000" w:sz="4" w:space="0"/>
              <w:right w:val="single" w:color="000000" w:sz="4" w:space="0"/>
            </w:tcBorders>
          </w:tcPr>
          <w:p w14:paraId="030763D5">
            <w:pPr>
              <w:pStyle w:val="132"/>
              <w:kinsoku w:val="0"/>
              <w:overflowPunct w:val="0"/>
              <w:rPr>
                <w:rFonts w:ascii="黑体" w:hAnsi="黑体" w:eastAsia="黑体" w:cs="Times New Roman"/>
                <w:sz w:val="18"/>
                <w:szCs w:val="18"/>
              </w:rPr>
            </w:pPr>
          </w:p>
        </w:tc>
      </w:tr>
      <w:tr w14:paraId="5A644F39">
        <w:tblPrEx>
          <w:tblCellMar>
            <w:top w:w="0" w:type="dxa"/>
            <w:left w:w="0" w:type="dxa"/>
            <w:bottom w:w="0" w:type="dxa"/>
            <w:right w:w="0" w:type="dxa"/>
          </w:tblCellMar>
        </w:tblPrEx>
        <w:trPr>
          <w:trHeight w:val="465" w:hRule="atLeast"/>
        </w:trPr>
        <w:tc>
          <w:tcPr>
            <w:tcW w:w="677" w:type="dxa"/>
            <w:tcBorders>
              <w:top w:val="single" w:color="000000" w:sz="4" w:space="0"/>
              <w:left w:val="single" w:color="000000" w:sz="4" w:space="0"/>
              <w:bottom w:val="single" w:color="000000" w:sz="4" w:space="0"/>
              <w:right w:val="single" w:color="000000" w:sz="4" w:space="0"/>
            </w:tcBorders>
          </w:tcPr>
          <w:p w14:paraId="7716159C">
            <w:pPr>
              <w:pStyle w:val="132"/>
              <w:kinsoku w:val="0"/>
              <w:overflowPunct w:val="0"/>
              <w:spacing w:before="1"/>
              <w:ind w:left="204" w:right="94"/>
              <w:rPr>
                <w:rFonts w:ascii="黑体" w:hAnsi="黑体" w:eastAsia="黑体"/>
                <w:sz w:val="18"/>
                <w:szCs w:val="18"/>
              </w:rPr>
            </w:pPr>
            <w:r>
              <w:rPr>
                <w:rFonts w:ascii="黑体" w:hAnsi="黑体" w:eastAsia="黑体"/>
                <w:sz w:val="18"/>
                <w:szCs w:val="18"/>
              </w:rPr>
              <w:t xml:space="preserve">3 </w:t>
            </w:r>
          </w:p>
        </w:tc>
        <w:tc>
          <w:tcPr>
            <w:tcW w:w="7375" w:type="dxa"/>
            <w:tcBorders>
              <w:top w:val="single" w:color="000000" w:sz="4" w:space="0"/>
              <w:left w:val="single" w:color="000000" w:sz="4" w:space="0"/>
              <w:bottom w:val="single" w:color="000000" w:sz="4" w:space="0"/>
              <w:right w:val="single" w:color="000000" w:sz="4" w:space="0"/>
            </w:tcBorders>
          </w:tcPr>
          <w:p w14:paraId="45647374">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工程实施期间，在未得到公司授权许可情况下，供方工程师不得擅自向客户越权承诺与</w:t>
            </w:r>
          </w:p>
          <w:p w14:paraId="1BF2FD7F">
            <w:pPr>
              <w:pStyle w:val="132"/>
              <w:kinsoku w:val="0"/>
              <w:overflowPunct w:val="0"/>
              <w:spacing w:before="4" w:line="213" w:lineRule="exact"/>
              <w:ind w:left="110"/>
              <w:rPr>
                <w:rFonts w:ascii="黑体" w:hAnsi="黑体" w:eastAsia="黑体"/>
                <w:sz w:val="18"/>
                <w:szCs w:val="18"/>
              </w:rPr>
            </w:pPr>
            <w:r>
              <w:rPr>
                <w:rFonts w:hint="eastAsia" w:ascii="黑体" w:hAnsi="黑体" w:eastAsia="黑体"/>
                <w:sz w:val="18"/>
                <w:szCs w:val="18"/>
              </w:rPr>
              <w:t>工程有关的内容。造成公司的损失由供方负责赔偿。</w:t>
            </w:r>
          </w:p>
        </w:tc>
        <w:tc>
          <w:tcPr>
            <w:tcW w:w="1133" w:type="dxa"/>
            <w:tcBorders>
              <w:top w:val="single" w:color="000000" w:sz="4" w:space="0"/>
              <w:left w:val="single" w:color="000000" w:sz="4" w:space="0"/>
              <w:bottom w:val="single" w:color="000000" w:sz="4" w:space="0"/>
              <w:right w:val="single" w:color="000000" w:sz="4" w:space="0"/>
            </w:tcBorders>
          </w:tcPr>
          <w:p w14:paraId="7EDBA1DA">
            <w:pPr>
              <w:pStyle w:val="132"/>
              <w:kinsoku w:val="0"/>
              <w:overflowPunct w:val="0"/>
              <w:rPr>
                <w:rFonts w:ascii="黑体" w:hAnsi="黑体" w:eastAsia="黑体" w:cs="Times New Roman"/>
                <w:sz w:val="18"/>
                <w:szCs w:val="18"/>
              </w:rPr>
            </w:pPr>
          </w:p>
        </w:tc>
      </w:tr>
      <w:tr w14:paraId="3EE5318A">
        <w:tblPrEx>
          <w:tblCellMar>
            <w:top w:w="0" w:type="dxa"/>
            <w:left w:w="0" w:type="dxa"/>
            <w:bottom w:w="0" w:type="dxa"/>
            <w:right w:w="0" w:type="dxa"/>
          </w:tblCellMar>
        </w:tblPrEx>
        <w:trPr>
          <w:trHeight w:val="465" w:hRule="atLeast"/>
        </w:trPr>
        <w:tc>
          <w:tcPr>
            <w:tcW w:w="677" w:type="dxa"/>
            <w:tcBorders>
              <w:top w:val="single" w:color="000000" w:sz="4" w:space="0"/>
              <w:left w:val="single" w:color="000000" w:sz="4" w:space="0"/>
              <w:bottom w:val="single" w:color="000000" w:sz="4" w:space="0"/>
              <w:right w:val="single" w:color="000000" w:sz="4" w:space="0"/>
            </w:tcBorders>
          </w:tcPr>
          <w:p w14:paraId="1F735E2A">
            <w:pPr>
              <w:pStyle w:val="132"/>
              <w:kinsoku w:val="0"/>
              <w:overflowPunct w:val="0"/>
              <w:spacing w:before="1"/>
              <w:ind w:left="204" w:right="94"/>
              <w:rPr>
                <w:rFonts w:ascii="黑体" w:hAnsi="黑体" w:eastAsia="黑体"/>
                <w:sz w:val="18"/>
                <w:szCs w:val="18"/>
              </w:rPr>
            </w:pPr>
            <w:r>
              <w:rPr>
                <w:rFonts w:ascii="黑体" w:hAnsi="黑体" w:eastAsia="黑体"/>
                <w:sz w:val="18"/>
                <w:szCs w:val="18"/>
              </w:rPr>
              <w:t xml:space="preserve">4 </w:t>
            </w:r>
          </w:p>
        </w:tc>
        <w:tc>
          <w:tcPr>
            <w:tcW w:w="7375" w:type="dxa"/>
            <w:tcBorders>
              <w:top w:val="single" w:color="000000" w:sz="4" w:space="0"/>
              <w:left w:val="single" w:color="000000" w:sz="4" w:space="0"/>
              <w:bottom w:val="single" w:color="000000" w:sz="4" w:space="0"/>
              <w:right w:val="single" w:color="000000" w:sz="4" w:space="0"/>
            </w:tcBorders>
          </w:tcPr>
          <w:p w14:paraId="096E9891">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供方根据技术方案、图纸等进行工勘，确保工勘信息准确，如果由于供方计算错误而引起设</w:t>
            </w:r>
          </w:p>
          <w:p w14:paraId="4B026E5E">
            <w:pPr>
              <w:pStyle w:val="132"/>
              <w:kinsoku w:val="0"/>
              <w:overflowPunct w:val="0"/>
              <w:spacing w:before="4" w:line="213" w:lineRule="exact"/>
              <w:ind w:left="110"/>
              <w:rPr>
                <w:rFonts w:ascii="黑体" w:hAnsi="黑体" w:eastAsia="黑体"/>
                <w:sz w:val="18"/>
                <w:szCs w:val="18"/>
              </w:rPr>
            </w:pPr>
            <w:r>
              <w:rPr>
                <w:rFonts w:hint="eastAsia" w:ascii="黑体" w:hAnsi="黑体" w:eastAsia="黑体"/>
                <w:sz w:val="18"/>
                <w:szCs w:val="18"/>
              </w:rPr>
              <w:t>备部件的缺失，供方应在收到买方通知</w:t>
            </w:r>
            <w:r>
              <w:rPr>
                <w:rFonts w:ascii="黑体" w:hAnsi="黑体" w:eastAsia="黑体"/>
                <w:sz w:val="18"/>
                <w:szCs w:val="18"/>
              </w:rPr>
              <w:t xml:space="preserve"> </w:t>
            </w:r>
            <w:r>
              <w:rPr>
                <w:rFonts w:ascii="黑体" w:hAnsi="黑体" w:eastAsia="黑体" w:cs="Calibri"/>
                <w:sz w:val="18"/>
                <w:szCs w:val="18"/>
              </w:rPr>
              <w:t xml:space="preserve">15 </w:t>
            </w:r>
            <w:r>
              <w:rPr>
                <w:rFonts w:hint="eastAsia" w:ascii="黑体" w:hAnsi="黑体" w:eastAsia="黑体"/>
                <w:sz w:val="18"/>
                <w:szCs w:val="18"/>
              </w:rPr>
              <w:t>个自然日向买方免费提供缺失部件。</w:t>
            </w:r>
          </w:p>
        </w:tc>
        <w:tc>
          <w:tcPr>
            <w:tcW w:w="1133" w:type="dxa"/>
            <w:tcBorders>
              <w:top w:val="single" w:color="000000" w:sz="4" w:space="0"/>
              <w:left w:val="single" w:color="000000" w:sz="4" w:space="0"/>
              <w:bottom w:val="single" w:color="000000" w:sz="4" w:space="0"/>
              <w:right w:val="single" w:color="000000" w:sz="4" w:space="0"/>
            </w:tcBorders>
          </w:tcPr>
          <w:p w14:paraId="6F3E50B1">
            <w:pPr>
              <w:pStyle w:val="132"/>
              <w:kinsoku w:val="0"/>
              <w:overflowPunct w:val="0"/>
              <w:rPr>
                <w:rFonts w:ascii="黑体" w:hAnsi="黑体" w:eastAsia="黑体" w:cs="Times New Roman"/>
                <w:sz w:val="18"/>
                <w:szCs w:val="18"/>
              </w:rPr>
            </w:pPr>
          </w:p>
        </w:tc>
      </w:tr>
      <w:tr w14:paraId="26A6A933">
        <w:tblPrEx>
          <w:tblCellMar>
            <w:top w:w="0" w:type="dxa"/>
            <w:left w:w="0" w:type="dxa"/>
            <w:bottom w:w="0" w:type="dxa"/>
            <w:right w:w="0" w:type="dxa"/>
          </w:tblCellMar>
        </w:tblPrEx>
        <w:trPr>
          <w:trHeight w:val="701" w:hRule="atLeast"/>
        </w:trPr>
        <w:tc>
          <w:tcPr>
            <w:tcW w:w="677" w:type="dxa"/>
            <w:tcBorders>
              <w:top w:val="single" w:color="000000" w:sz="4" w:space="0"/>
              <w:left w:val="single" w:color="000000" w:sz="4" w:space="0"/>
              <w:bottom w:val="single" w:color="000000" w:sz="4" w:space="0"/>
              <w:right w:val="single" w:color="000000" w:sz="4" w:space="0"/>
            </w:tcBorders>
          </w:tcPr>
          <w:p w14:paraId="449B4A0E">
            <w:pPr>
              <w:pStyle w:val="132"/>
              <w:kinsoku w:val="0"/>
              <w:overflowPunct w:val="0"/>
              <w:spacing w:before="6"/>
              <w:ind w:left="204" w:right="94"/>
              <w:rPr>
                <w:rFonts w:ascii="黑体" w:hAnsi="黑体" w:eastAsia="黑体"/>
                <w:sz w:val="18"/>
                <w:szCs w:val="18"/>
              </w:rPr>
            </w:pPr>
            <w:r>
              <w:rPr>
                <w:rFonts w:ascii="黑体" w:hAnsi="黑体" w:eastAsia="黑体"/>
                <w:sz w:val="18"/>
                <w:szCs w:val="18"/>
              </w:rPr>
              <w:t xml:space="preserve">5 </w:t>
            </w:r>
          </w:p>
        </w:tc>
        <w:tc>
          <w:tcPr>
            <w:tcW w:w="7375" w:type="dxa"/>
            <w:tcBorders>
              <w:top w:val="single" w:color="000000" w:sz="4" w:space="0"/>
              <w:left w:val="single" w:color="000000" w:sz="4" w:space="0"/>
              <w:bottom w:val="single" w:color="000000" w:sz="4" w:space="0"/>
              <w:right w:val="single" w:color="000000" w:sz="4" w:space="0"/>
            </w:tcBorders>
          </w:tcPr>
          <w:p w14:paraId="1B986982">
            <w:pPr>
              <w:pStyle w:val="132"/>
              <w:kinsoku w:val="0"/>
              <w:overflowPunct w:val="0"/>
              <w:spacing w:before="2" w:line="231" w:lineRule="exact"/>
              <w:ind w:left="110"/>
              <w:rPr>
                <w:rFonts w:ascii="黑体" w:hAnsi="黑体" w:eastAsia="黑体"/>
                <w:sz w:val="18"/>
                <w:szCs w:val="18"/>
              </w:rPr>
            </w:pPr>
            <w:r>
              <w:rPr>
                <w:rFonts w:hint="eastAsia" w:ascii="黑体" w:hAnsi="黑体" w:eastAsia="黑体"/>
                <w:sz w:val="18"/>
                <w:szCs w:val="18"/>
              </w:rPr>
              <w:t>开箱检验在货物到达买方指定地点</w:t>
            </w:r>
            <w:r>
              <w:rPr>
                <w:rFonts w:ascii="黑体" w:hAnsi="黑体" w:eastAsia="黑体"/>
                <w:sz w:val="18"/>
                <w:szCs w:val="18"/>
              </w:rPr>
              <w:t xml:space="preserve"> </w:t>
            </w:r>
            <w:r>
              <w:rPr>
                <w:rFonts w:ascii="黑体" w:hAnsi="黑体" w:eastAsia="黑体" w:cs="Calibri"/>
                <w:sz w:val="18"/>
                <w:szCs w:val="18"/>
              </w:rPr>
              <w:t xml:space="preserve">7 </w:t>
            </w:r>
            <w:r>
              <w:rPr>
                <w:rFonts w:hint="eastAsia" w:ascii="黑体" w:hAnsi="黑体" w:eastAsia="黑体"/>
                <w:sz w:val="18"/>
                <w:szCs w:val="18"/>
              </w:rPr>
              <w:t>天内进行，供方需安排相关人员参与，检验依据产品技</w:t>
            </w:r>
          </w:p>
          <w:p w14:paraId="4A524FD8">
            <w:pPr>
              <w:pStyle w:val="132"/>
              <w:kinsoku w:val="0"/>
              <w:overflowPunct w:val="0"/>
              <w:ind w:left="110"/>
              <w:rPr>
                <w:rFonts w:ascii="黑体" w:hAnsi="黑体" w:eastAsia="黑体"/>
                <w:sz w:val="18"/>
                <w:szCs w:val="18"/>
              </w:rPr>
            </w:pPr>
            <w:r>
              <w:rPr>
                <w:rFonts w:hint="eastAsia" w:ascii="黑体" w:hAnsi="黑体" w:eastAsia="黑体"/>
                <w:sz w:val="18"/>
                <w:szCs w:val="18"/>
              </w:rPr>
              <w:t>术规格书、图纸、规范以及业界通用标准进行，如果检验存在质量问题，供方需要在</w:t>
            </w:r>
            <w:r>
              <w:rPr>
                <w:rFonts w:ascii="黑体" w:hAnsi="黑体" w:eastAsia="黑体"/>
                <w:sz w:val="18"/>
                <w:szCs w:val="18"/>
              </w:rPr>
              <w:t xml:space="preserve"> </w:t>
            </w:r>
            <w:r>
              <w:rPr>
                <w:rFonts w:ascii="黑体" w:hAnsi="黑体" w:eastAsia="黑体" w:cs="Calibri"/>
                <w:sz w:val="18"/>
                <w:szCs w:val="18"/>
              </w:rPr>
              <w:t xml:space="preserve">15 </w:t>
            </w:r>
            <w:r>
              <w:rPr>
                <w:rFonts w:hint="eastAsia" w:ascii="黑体" w:hAnsi="黑体" w:eastAsia="黑体"/>
                <w:sz w:val="18"/>
                <w:szCs w:val="18"/>
              </w:rPr>
              <w:t>个</w:t>
            </w:r>
          </w:p>
          <w:p w14:paraId="764B325B">
            <w:pPr>
              <w:pStyle w:val="132"/>
              <w:kinsoku w:val="0"/>
              <w:overflowPunct w:val="0"/>
              <w:spacing w:before="5" w:line="213" w:lineRule="exact"/>
              <w:ind w:left="110"/>
              <w:rPr>
                <w:rFonts w:ascii="黑体" w:hAnsi="黑体" w:eastAsia="黑体"/>
                <w:sz w:val="18"/>
                <w:szCs w:val="18"/>
              </w:rPr>
            </w:pPr>
            <w:r>
              <w:rPr>
                <w:rFonts w:hint="eastAsia" w:ascii="黑体" w:hAnsi="黑体" w:eastAsia="黑体"/>
                <w:sz w:val="18"/>
                <w:szCs w:val="18"/>
              </w:rPr>
              <w:t>自然日内免费提供备件更换，且承担相应的损失（交付进度延迟、返工、物料等）。</w:t>
            </w:r>
          </w:p>
        </w:tc>
        <w:tc>
          <w:tcPr>
            <w:tcW w:w="1133" w:type="dxa"/>
            <w:tcBorders>
              <w:top w:val="single" w:color="000000" w:sz="4" w:space="0"/>
              <w:left w:val="single" w:color="000000" w:sz="4" w:space="0"/>
              <w:bottom w:val="single" w:color="000000" w:sz="4" w:space="0"/>
              <w:right w:val="single" w:color="000000" w:sz="4" w:space="0"/>
            </w:tcBorders>
          </w:tcPr>
          <w:p w14:paraId="66C80685">
            <w:pPr>
              <w:pStyle w:val="132"/>
              <w:kinsoku w:val="0"/>
              <w:overflowPunct w:val="0"/>
              <w:rPr>
                <w:rFonts w:ascii="黑体" w:hAnsi="黑体" w:eastAsia="黑体" w:cs="Times New Roman"/>
                <w:sz w:val="18"/>
                <w:szCs w:val="18"/>
              </w:rPr>
            </w:pPr>
          </w:p>
        </w:tc>
      </w:tr>
      <w:tr w14:paraId="1EC11919">
        <w:tblPrEx>
          <w:tblCellMar>
            <w:top w:w="0" w:type="dxa"/>
            <w:left w:w="0" w:type="dxa"/>
            <w:bottom w:w="0" w:type="dxa"/>
            <w:right w:w="0" w:type="dxa"/>
          </w:tblCellMar>
        </w:tblPrEx>
        <w:trPr>
          <w:trHeight w:val="263" w:hRule="atLeast"/>
        </w:trPr>
        <w:tc>
          <w:tcPr>
            <w:tcW w:w="677" w:type="dxa"/>
            <w:tcBorders>
              <w:top w:val="single" w:color="000000" w:sz="4" w:space="0"/>
              <w:left w:val="single" w:color="000000" w:sz="4" w:space="0"/>
              <w:bottom w:val="single" w:color="000000" w:sz="4" w:space="0"/>
              <w:right w:val="single" w:color="000000" w:sz="4" w:space="0"/>
            </w:tcBorders>
          </w:tcPr>
          <w:p w14:paraId="3F455FAE">
            <w:pPr>
              <w:pStyle w:val="132"/>
              <w:kinsoku w:val="0"/>
              <w:overflowPunct w:val="0"/>
              <w:spacing w:before="6" w:line="237" w:lineRule="exact"/>
              <w:ind w:left="204" w:right="94"/>
              <w:rPr>
                <w:rFonts w:ascii="黑体" w:hAnsi="黑体" w:eastAsia="黑体"/>
                <w:sz w:val="18"/>
                <w:szCs w:val="18"/>
              </w:rPr>
            </w:pPr>
            <w:r>
              <w:rPr>
                <w:rFonts w:ascii="黑体" w:hAnsi="黑体" w:eastAsia="黑体"/>
                <w:sz w:val="18"/>
                <w:szCs w:val="18"/>
              </w:rPr>
              <w:t xml:space="preserve">6 </w:t>
            </w:r>
          </w:p>
        </w:tc>
        <w:tc>
          <w:tcPr>
            <w:tcW w:w="7375" w:type="dxa"/>
            <w:tcBorders>
              <w:top w:val="single" w:color="000000" w:sz="4" w:space="0"/>
              <w:left w:val="single" w:color="000000" w:sz="4" w:space="0"/>
              <w:bottom w:val="single" w:color="000000" w:sz="4" w:space="0"/>
              <w:right w:val="single" w:color="000000" w:sz="4" w:space="0"/>
            </w:tcBorders>
          </w:tcPr>
          <w:p w14:paraId="51220BC9">
            <w:pPr>
              <w:pStyle w:val="132"/>
              <w:kinsoku w:val="0"/>
              <w:overflowPunct w:val="0"/>
              <w:spacing w:before="2"/>
              <w:ind w:left="110"/>
              <w:rPr>
                <w:rFonts w:ascii="黑体" w:hAnsi="黑体" w:eastAsia="黑体"/>
                <w:sz w:val="18"/>
                <w:szCs w:val="18"/>
              </w:rPr>
            </w:pPr>
            <w:r>
              <w:rPr>
                <w:rFonts w:hint="eastAsia" w:ascii="黑体" w:hAnsi="黑体" w:eastAsia="黑体"/>
                <w:sz w:val="18"/>
                <w:szCs w:val="18"/>
              </w:rPr>
              <w:t>供方需要协助买方进行客户验收测试并通过验收测试。</w:t>
            </w:r>
          </w:p>
        </w:tc>
        <w:tc>
          <w:tcPr>
            <w:tcW w:w="1133" w:type="dxa"/>
            <w:tcBorders>
              <w:top w:val="single" w:color="000000" w:sz="4" w:space="0"/>
              <w:left w:val="single" w:color="000000" w:sz="4" w:space="0"/>
              <w:bottom w:val="single" w:color="000000" w:sz="4" w:space="0"/>
              <w:right w:val="single" w:color="000000" w:sz="4" w:space="0"/>
            </w:tcBorders>
          </w:tcPr>
          <w:p w14:paraId="0A41614A">
            <w:pPr>
              <w:pStyle w:val="132"/>
              <w:kinsoku w:val="0"/>
              <w:overflowPunct w:val="0"/>
              <w:rPr>
                <w:rFonts w:ascii="黑体" w:hAnsi="黑体" w:eastAsia="黑体" w:cs="Times New Roman"/>
                <w:sz w:val="18"/>
                <w:szCs w:val="18"/>
              </w:rPr>
            </w:pPr>
          </w:p>
        </w:tc>
      </w:tr>
      <w:tr w14:paraId="5B0232C1">
        <w:tblPrEx>
          <w:tblCellMar>
            <w:top w:w="0" w:type="dxa"/>
            <w:left w:w="0" w:type="dxa"/>
            <w:bottom w:w="0" w:type="dxa"/>
            <w:right w:w="0" w:type="dxa"/>
          </w:tblCellMar>
        </w:tblPrEx>
        <w:trPr>
          <w:trHeight w:val="258" w:hRule="atLeast"/>
        </w:trPr>
        <w:tc>
          <w:tcPr>
            <w:tcW w:w="677" w:type="dxa"/>
            <w:tcBorders>
              <w:top w:val="single" w:color="000000" w:sz="4" w:space="0"/>
              <w:left w:val="single" w:color="000000" w:sz="4" w:space="0"/>
              <w:bottom w:val="single" w:color="000000" w:sz="4" w:space="0"/>
              <w:right w:val="single" w:color="000000" w:sz="4" w:space="0"/>
            </w:tcBorders>
          </w:tcPr>
          <w:p w14:paraId="06863747">
            <w:pPr>
              <w:pStyle w:val="132"/>
              <w:kinsoku w:val="0"/>
              <w:overflowPunct w:val="0"/>
              <w:spacing w:before="1" w:line="237" w:lineRule="exact"/>
              <w:ind w:left="204" w:right="94"/>
              <w:rPr>
                <w:rFonts w:ascii="黑体" w:hAnsi="黑体" w:eastAsia="黑体"/>
                <w:sz w:val="18"/>
                <w:szCs w:val="18"/>
              </w:rPr>
            </w:pPr>
            <w:r>
              <w:rPr>
                <w:rFonts w:ascii="黑体" w:hAnsi="黑体" w:eastAsia="黑体"/>
                <w:sz w:val="18"/>
                <w:szCs w:val="18"/>
              </w:rPr>
              <w:t xml:space="preserve">7 </w:t>
            </w:r>
          </w:p>
        </w:tc>
        <w:tc>
          <w:tcPr>
            <w:tcW w:w="7375" w:type="dxa"/>
            <w:tcBorders>
              <w:top w:val="single" w:color="000000" w:sz="4" w:space="0"/>
              <w:left w:val="single" w:color="000000" w:sz="4" w:space="0"/>
              <w:bottom w:val="single" w:color="000000" w:sz="4" w:space="0"/>
              <w:right w:val="single" w:color="000000" w:sz="4" w:space="0"/>
            </w:tcBorders>
          </w:tcPr>
          <w:p w14:paraId="7FD32CFC">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供方需要支持客户厂验。</w:t>
            </w:r>
          </w:p>
        </w:tc>
        <w:tc>
          <w:tcPr>
            <w:tcW w:w="1133" w:type="dxa"/>
            <w:tcBorders>
              <w:top w:val="single" w:color="000000" w:sz="4" w:space="0"/>
              <w:left w:val="single" w:color="000000" w:sz="4" w:space="0"/>
              <w:bottom w:val="single" w:color="000000" w:sz="4" w:space="0"/>
              <w:right w:val="single" w:color="000000" w:sz="4" w:space="0"/>
            </w:tcBorders>
          </w:tcPr>
          <w:p w14:paraId="7CAF1975">
            <w:pPr>
              <w:pStyle w:val="132"/>
              <w:kinsoku w:val="0"/>
              <w:overflowPunct w:val="0"/>
              <w:rPr>
                <w:rFonts w:ascii="黑体" w:hAnsi="黑体" w:eastAsia="黑体" w:cs="Times New Roman"/>
                <w:sz w:val="18"/>
                <w:szCs w:val="18"/>
              </w:rPr>
            </w:pPr>
          </w:p>
        </w:tc>
      </w:tr>
    </w:tbl>
    <w:p w14:paraId="417BD6EB">
      <w:pPr>
        <w:pStyle w:val="111"/>
        <w:numPr>
          <w:ilvl w:val="0"/>
          <w:numId w:val="0"/>
        </w:numPr>
        <w:ind w:left="1134"/>
        <w:jc w:val="left"/>
        <w:rPr>
          <w:b/>
          <w:bCs/>
        </w:rPr>
      </w:pPr>
    </w:p>
    <w:p w14:paraId="1190C785">
      <w:pPr>
        <w:pStyle w:val="111"/>
        <w:ind w:left="1134" w:hanging="424"/>
        <w:jc w:val="left"/>
        <w:rPr>
          <w:b/>
          <w:bCs/>
        </w:rPr>
      </w:pPr>
      <w:r>
        <w:rPr>
          <w:rFonts w:hint="eastAsia"/>
          <w:b/>
          <w:bCs/>
        </w:rPr>
        <w:t>培训及文档</w:t>
      </w:r>
    </w:p>
    <w:tbl>
      <w:tblPr>
        <w:tblStyle w:val="36"/>
        <w:tblW w:w="0" w:type="auto"/>
        <w:tblInd w:w="115" w:type="dxa"/>
        <w:tblLayout w:type="fixed"/>
        <w:tblCellMar>
          <w:top w:w="0" w:type="dxa"/>
          <w:left w:w="0" w:type="dxa"/>
          <w:bottom w:w="0" w:type="dxa"/>
          <w:right w:w="0" w:type="dxa"/>
        </w:tblCellMar>
      </w:tblPr>
      <w:tblGrid>
        <w:gridCol w:w="677"/>
        <w:gridCol w:w="7375"/>
        <w:gridCol w:w="1133"/>
      </w:tblGrid>
      <w:tr w14:paraId="29FDB949">
        <w:tblPrEx>
          <w:tblCellMar>
            <w:top w:w="0" w:type="dxa"/>
            <w:left w:w="0" w:type="dxa"/>
            <w:bottom w:w="0" w:type="dxa"/>
            <w:right w:w="0" w:type="dxa"/>
          </w:tblCellMar>
        </w:tblPrEx>
        <w:trPr>
          <w:trHeight w:val="402" w:hRule="atLeast"/>
        </w:trPr>
        <w:tc>
          <w:tcPr>
            <w:tcW w:w="677" w:type="dxa"/>
            <w:tcBorders>
              <w:top w:val="single" w:color="000000" w:sz="4" w:space="0"/>
              <w:left w:val="single" w:color="000000" w:sz="4" w:space="0"/>
              <w:bottom w:val="single" w:color="000000" w:sz="4" w:space="0"/>
              <w:right w:val="single" w:color="000000" w:sz="4" w:space="0"/>
            </w:tcBorders>
            <w:shd w:val="clear" w:color="auto" w:fill="DBE4F0"/>
          </w:tcPr>
          <w:p w14:paraId="7C8E5B1E">
            <w:pPr>
              <w:pStyle w:val="132"/>
              <w:kinsoku w:val="0"/>
              <w:overflowPunct w:val="0"/>
              <w:spacing w:before="58"/>
              <w:ind w:left="90" w:right="94"/>
              <w:rPr>
                <w:rFonts w:ascii="黑体" w:hAnsi="黑体" w:eastAsia="黑体"/>
                <w:b/>
                <w:bCs/>
                <w:sz w:val="18"/>
                <w:szCs w:val="18"/>
              </w:rPr>
            </w:pPr>
            <w:r>
              <w:rPr>
                <w:rFonts w:hint="eastAsia" w:ascii="黑体" w:hAnsi="黑体" w:eastAsia="黑体"/>
                <w:b/>
                <w:bCs/>
                <w:sz w:val="18"/>
                <w:szCs w:val="18"/>
              </w:rPr>
              <w:t>序号</w:t>
            </w:r>
          </w:p>
        </w:tc>
        <w:tc>
          <w:tcPr>
            <w:tcW w:w="7375" w:type="dxa"/>
            <w:tcBorders>
              <w:top w:val="single" w:color="000000" w:sz="4" w:space="0"/>
              <w:left w:val="single" w:color="000000" w:sz="4" w:space="0"/>
              <w:bottom w:val="single" w:color="000000" w:sz="4" w:space="0"/>
              <w:right w:val="single" w:color="000000" w:sz="4" w:space="0"/>
            </w:tcBorders>
            <w:shd w:val="clear" w:color="auto" w:fill="DBE4F0"/>
          </w:tcPr>
          <w:p w14:paraId="62AEF563">
            <w:pPr>
              <w:pStyle w:val="132"/>
              <w:kinsoku w:val="0"/>
              <w:overflowPunct w:val="0"/>
              <w:spacing w:before="58"/>
              <w:ind w:left="3225" w:right="3215"/>
              <w:rPr>
                <w:rFonts w:ascii="黑体" w:hAnsi="黑体" w:eastAsia="黑体"/>
                <w:b/>
                <w:bCs/>
                <w:sz w:val="18"/>
                <w:szCs w:val="18"/>
              </w:rPr>
            </w:pPr>
            <w:r>
              <w:rPr>
                <w:rFonts w:hint="eastAsia" w:ascii="黑体" w:hAnsi="黑体" w:eastAsia="黑体"/>
                <w:b/>
                <w:bCs/>
                <w:sz w:val="18"/>
                <w:szCs w:val="18"/>
              </w:rPr>
              <w:t>项目说明</w:t>
            </w:r>
          </w:p>
        </w:tc>
        <w:tc>
          <w:tcPr>
            <w:tcW w:w="1133" w:type="dxa"/>
            <w:tcBorders>
              <w:top w:val="single" w:color="000000" w:sz="4" w:space="0"/>
              <w:left w:val="single" w:color="000000" w:sz="4" w:space="0"/>
              <w:bottom w:val="single" w:color="000000" w:sz="4" w:space="0"/>
              <w:right w:val="single" w:color="000000" w:sz="4" w:space="0"/>
            </w:tcBorders>
            <w:shd w:val="clear" w:color="auto" w:fill="DBE4F0"/>
          </w:tcPr>
          <w:p w14:paraId="32011DAE">
            <w:pPr>
              <w:pStyle w:val="132"/>
              <w:kinsoku w:val="0"/>
              <w:overflowPunct w:val="0"/>
              <w:spacing w:before="58"/>
              <w:ind w:left="341"/>
              <w:rPr>
                <w:rFonts w:ascii="黑体" w:hAnsi="黑体" w:eastAsia="黑体"/>
                <w:b/>
                <w:bCs/>
                <w:sz w:val="18"/>
                <w:szCs w:val="18"/>
              </w:rPr>
            </w:pPr>
            <w:r>
              <w:rPr>
                <w:rFonts w:hint="eastAsia" w:ascii="黑体" w:hAnsi="黑体" w:eastAsia="黑体"/>
                <w:b/>
                <w:bCs/>
                <w:sz w:val="18"/>
                <w:szCs w:val="18"/>
              </w:rPr>
              <w:t>备注</w:t>
            </w:r>
          </w:p>
        </w:tc>
      </w:tr>
      <w:tr w14:paraId="22A983B3">
        <w:tblPrEx>
          <w:tblCellMar>
            <w:top w:w="0" w:type="dxa"/>
            <w:left w:w="0" w:type="dxa"/>
            <w:bottom w:w="0" w:type="dxa"/>
            <w:right w:w="0" w:type="dxa"/>
          </w:tblCellMar>
        </w:tblPrEx>
        <w:trPr>
          <w:trHeight w:val="470" w:hRule="atLeast"/>
        </w:trPr>
        <w:tc>
          <w:tcPr>
            <w:tcW w:w="677" w:type="dxa"/>
            <w:tcBorders>
              <w:top w:val="single" w:color="000000" w:sz="4" w:space="0"/>
              <w:left w:val="single" w:color="000000" w:sz="4" w:space="0"/>
              <w:bottom w:val="single" w:color="000000" w:sz="4" w:space="0"/>
              <w:right w:val="single" w:color="000000" w:sz="4" w:space="0"/>
            </w:tcBorders>
          </w:tcPr>
          <w:p w14:paraId="5D408327">
            <w:pPr>
              <w:pStyle w:val="132"/>
              <w:kinsoku w:val="0"/>
              <w:overflowPunct w:val="0"/>
              <w:spacing w:before="107"/>
              <w:ind w:left="204" w:right="94"/>
              <w:rPr>
                <w:rFonts w:ascii="黑体" w:hAnsi="黑体" w:eastAsia="黑体"/>
                <w:i/>
                <w:iCs/>
                <w:w w:val="96"/>
                <w:sz w:val="18"/>
                <w:szCs w:val="18"/>
              </w:rPr>
            </w:pPr>
            <w:r>
              <w:rPr>
                <w:rFonts w:ascii="黑体" w:hAnsi="黑体" w:eastAsia="黑体"/>
                <w:sz w:val="18"/>
                <w:szCs w:val="18"/>
              </w:rPr>
              <w:t>1</w:t>
            </w:r>
            <w:r>
              <w:rPr>
                <w:rFonts w:ascii="黑体" w:hAnsi="黑体" w:eastAsia="黑体"/>
                <w:i/>
                <w:iCs/>
                <w:w w:val="96"/>
                <w:sz w:val="18"/>
                <w:szCs w:val="18"/>
              </w:rPr>
              <w:t xml:space="preserve"> </w:t>
            </w:r>
          </w:p>
        </w:tc>
        <w:tc>
          <w:tcPr>
            <w:tcW w:w="7375" w:type="dxa"/>
            <w:tcBorders>
              <w:top w:val="single" w:color="000000" w:sz="4" w:space="0"/>
              <w:left w:val="single" w:color="000000" w:sz="4" w:space="0"/>
              <w:bottom w:val="single" w:color="000000" w:sz="4" w:space="0"/>
              <w:right w:val="single" w:color="000000" w:sz="4" w:space="0"/>
            </w:tcBorders>
          </w:tcPr>
          <w:p w14:paraId="1CD3E71D">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供方承诺给买方工程师和工程服务商提供免费培训，培训教师、培训设施等相关培训资源</w:t>
            </w:r>
          </w:p>
          <w:p w14:paraId="14CBB5D6">
            <w:pPr>
              <w:pStyle w:val="132"/>
              <w:kinsoku w:val="0"/>
              <w:overflowPunct w:val="0"/>
              <w:spacing w:before="5" w:line="217" w:lineRule="exact"/>
              <w:ind w:left="110"/>
              <w:rPr>
                <w:rFonts w:ascii="黑体" w:hAnsi="黑体" w:eastAsia="黑体"/>
                <w:sz w:val="18"/>
                <w:szCs w:val="18"/>
              </w:rPr>
            </w:pPr>
            <w:r>
              <w:rPr>
                <w:rFonts w:hint="eastAsia" w:ascii="黑体" w:hAnsi="黑体" w:eastAsia="黑体"/>
                <w:sz w:val="18"/>
                <w:szCs w:val="18"/>
              </w:rPr>
              <w:t>由供方负责，已确保买方能够安装、操作和维护产品，培训地点由买方指定。</w:t>
            </w:r>
          </w:p>
        </w:tc>
        <w:tc>
          <w:tcPr>
            <w:tcW w:w="1133" w:type="dxa"/>
            <w:tcBorders>
              <w:top w:val="single" w:color="000000" w:sz="4" w:space="0"/>
              <w:left w:val="single" w:color="000000" w:sz="4" w:space="0"/>
              <w:bottom w:val="single" w:color="000000" w:sz="4" w:space="0"/>
              <w:right w:val="single" w:color="000000" w:sz="4" w:space="0"/>
            </w:tcBorders>
          </w:tcPr>
          <w:p w14:paraId="044A68E3">
            <w:pPr>
              <w:pStyle w:val="132"/>
              <w:kinsoku w:val="0"/>
              <w:overflowPunct w:val="0"/>
              <w:rPr>
                <w:rFonts w:ascii="黑体" w:hAnsi="黑体" w:eastAsia="黑体" w:cs="Times New Roman"/>
                <w:sz w:val="18"/>
                <w:szCs w:val="18"/>
              </w:rPr>
            </w:pPr>
          </w:p>
        </w:tc>
      </w:tr>
      <w:tr w14:paraId="79A57E52">
        <w:tblPrEx>
          <w:tblCellMar>
            <w:top w:w="0" w:type="dxa"/>
            <w:left w:w="0" w:type="dxa"/>
            <w:bottom w:w="0" w:type="dxa"/>
            <w:right w:w="0" w:type="dxa"/>
          </w:tblCellMar>
        </w:tblPrEx>
        <w:trPr>
          <w:trHeight w:val="700" w:hRule="atLeast"/>
        </w:trPr>
        <w:tc>
          <w:tcPr>
            <w:tcW w:w="677" w:type="dxa"/>
            <w:tcBorders>
              <w:top w:val="single" w:color="000000" w:sz="4" w:space="0"/>
              <w:left w:val="single" w:color="000000" w:sz="4" w:space="0"/>
              <w:bottom w:val="single" w:color="000000" w:sz="4" w:space="0"/>
              <w:right w:val="single" w:color="000000" w:sz="4" w:space="0"/>
            </w:tcBorders>
          </w:tcPr>
          <w:p w14:paraId="6BEA00FB">
            <w:pPr>
              <w:pStyle w:val="132"/>
              <w:kinsoku w:val="0"/>
              <w:overflowPunct w:val="0"/>
              <w:spacing w:before="4"/>
              <w:rPr>
                <w:rFonts w:ascii="黑体" w:hAnsi="黑体" w:eastAsia="黑体"/>
                <w:b/>
                <w:bCs/>
                <w:sz w:val="18"/>
                <w:szCs w:val="18"/>
              </w:rPr>
            </w:pPr>
          </w:p>
          <w:p w14:paraId="69651A6D">
            <w:pPr>
              <w:pStyle w:val="132"/>
              <w:kinsoku w:val="0"/>
              <w:overflowPunct w:val="0"/>
              <w:ind w:left="204" w:right="94"/>
              <w:rPr>
                <w:rFonts w:ascii="黑体" w:hAnsi="黑体" w:eastAsia="黑体"/>
                <w:sz w:val="18"/>
                <w:szCs w:val="18"/>
              </w:rPr>
            </w:pPr>
            <w:r>
              <w:rPr>
                <w:rFonts w:ascii="黑体" w:hAnsi="黑体" w:eastAsia="黑体"/>
                <w:sz w:val="18"/>
                <w:szCs w:val="18"/>
              </w:rPr>
              <w:t xml:space="preserve">2 </w:t>
            </w:r>
          </w:p>
        </w:tc>
        <w:tc>
          <w:tcPr>
            <w:tcW w:w="7375" w:type="dxa"/>
            <w:tcBorders>
              <w:top w:val="single" w:color="000000" w:sz="4" w:space="0"/>
              <w:left w:val="single" w:color="000000" w:sz="4" w:space="0"/>
              <w:bottom w:val="single" w:color="000000" w:sz="4" w:space="0"/>
              <w:right w:val="single" w:color="000000" w:sz="4" w:space="0"/>
            </w:tcBorders>
          </w:tcPr>
          <w:p w14:paraId="75112BF5">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供方需提供</w:t>
            </w:r>
            <w:r>
              <w:rPr>
                <w:rFonts w:ascii="黑体" w:hAnsi="黑体" w:eastAsia="黑体"/>
                <w:sz w:val="18"/>
                <w:szCs w:val="18"/>
              </w:rPr>
              <w:t xml:space="preserve"> </w:t>
            </w:r>
            <w:r>
              <w:rPr>
                <w:rFonts w:ascii="黑体" w:hAnsi="黑体" w:eastAsia="黑体" w:cs="Calibri"/>
                <w:sz w:val="18"/>
                <w:szCs w:val="18"/>
              </w:rPr>
              <w:t xml:space="preserve">2 </w:t>
            </w:r>
            <w:r>
              <w:rPr>
                <w:rFonts w:hint="eastAsia" w:ascii="黑体" w:hAnsi="黑体" w:eastAsia="黑体"/>
                <w:sz w:val="18"/>
                <w:szCs w:val="18"/>
              </w:rPr>
              <w:t>种类型的培训：</w:t>
            </w:r>
          </w:p>
          <w:p w14:paraId="2A000AF9">
            <w:pPr>
              <w:pStyle w:val="132"/>
              <w:numPr>
                <w:ilvl w:val="0"/>
                <w:numId w:val="141"/>
              </w:numPr>
              <w:tabs>
                <w:tab w:val="left" w:pos="533"/>
              </w:tabs>
              <w:kinsoku w:val="0"/>
              <w:overflowPunct w:val="0"/>
              <w:rPr>
                <w:rFonts w:ascii="黑体" w:hAnsi="黑体" w:eastAsia="黑体"/>
                <w:spacing w:val="-5"/>
                <w:sz w:val="18"/>
                <w:szCs w:val="18"/>
              </w:rPr>
            </w:pPr>
            <w:r>
              <w:rPr>
                <w:rFonts w:hint="eastAsia" w:ascii="黑体" w:hAnsi="黑体" w:eastAsia="黑体"/>
                <w:spacing w:val="-5"/>
                <w:sz w:val="18"/>
                <w:szCs w:val="18"/>
              </w:rPr>
              <w:t>项目现场的工作培训</w:t>
            </w:r>
          </w:p>
          <w:p w14:paraId="314DC680">
            <w:pPr>
              <w:pStyle w:val="132"/>
              <w:numPr>
                <w:ilvl w:val="0"/>
                <w:numId w:val="141"/>
              </w:numPr>
              <w:tabs>
                <w:tab w:val="left" w:pos="533"/>
              </w:tabs>
              <w:kinsoku w:val="0"/>
              <w:overflowPunct w:val="0"/>
              <w:spacing w:before="4" w:line="217" w:lineRule="exact"/>
              <w:rPr>
                <w:rFonts w:ascii="黑体" w:hAnsi="黑体" w:eastAsia="黑体"/>
                <w:spacing w:val="-2"/>
                <w:sz w:val="18"/>
                <w:szCs w:val="18"/>
              </w:rPr>
            </w:pPr>
            <w:r>
              <w:rPr>
                <w:rFonts w:hint="eastAsia" w:ascii="黑体" w:hAnsi="黑体" w:eastAsia="黑体"/>
                <w:spacing w:val="-2"/>
                <w:sz w:val="18"/>
                <w:szCs w:val="18"/>
              </w:rPr>
              <w:t>产品培训</w:t>
            </w:r>
          </w:p>
        </w:tc>
        <w:tc>
          <w:tcPr>
            <w:tcW w:w="1133" w:type="dxa"/>
            <w:tcBorders>
              <w:top w:val="single" w:color="000000" w:sz="4" w:space="0"/>
              <w:left w:val="single" w:color="000000" w:sz="4" w:space="0"/>
              <w:bottom w:val="single" w:color="000000" w:sz="4" w:space="0"/>
              <w:right w:val="single" w:color="000000" w:sz="4" w:space="0"/>
            </w:tcBorders>
          </w:tcPr>
          <w:p w14:paraId="06D73756">
            <w:pPr>
              <w:pStyle w:val="132"/>
              <w:kinsoku w:val="0"/>
              <w:overflowPunct w:val="0"/>
              <w:rPr>
                <w:rFonts w:ascii="黑体" w:hAnsi="黑体" w:eastAsia="黑体" w:cs="Times New Roman"/>
                <w:sz w:val="18"/>
                <w:szCs w:val="18"/>
              </w:rPr>
            </w:pPr>
          </w:p>
        </w:tc>
      </w:tr>
      <w:tr w14:paraId="7C0B6143">
        <w:tblPrEx>
          <w:tblCellMar>
            <w:top w:w="0" w:type="dxa"/>
            <w:left w:w="0" w:type="dxa"/>
            <w:bottom w:w="0" w:type="dxa"/>
            <w:right w:w="0" w:type="dxa"/>
          </w:tblCellMar>
        </w:tblPrEx>
        <w:trPr>
          <w:trHeight w:val="465" w:hRule="atLeast"/>
        </w:trPr>
        <w:tc>
          <w:tcPr>
            <w:tcW w:w="677" w:type="dxa"/>
            <w:tcBorders>
              <w:top w:val="single" w:color="000000" w:sz="4" w:space="0"/>
              <w:left w:val="single" w:color="000000" w:sz="4" w:space="0"/>
              <w:bottom w:val="single" w:color="000000" w:sz="4" w:space="0"/>
              <w:right w:val="single" w:color="000000" w:sz="4" w:space="0"/>
            </w:tcBorders>
          </w:tcPr>
          <w:p w14:paraId="7451F4C6">
            <w:pPr>
              <w:pStyle w:val="132"/>
              <w:kinsoku w:val="0"/>
              <w:overflowPunct w:val="0"/>
              <w:spacing w:before="102"/>
              <w:ind w:left="204" w:right="94"/>
              <w:rPr>
                <w:rFonts w:ascii="黑体" w:hAnsi="黑体" w:eastAsia="黑体"/>
                <w:sz w:val="18"/>
                <w:szCs w:val="18"/>
              </w:rPr>
            </w:pPr>
            <w:r>
              <w:rPr>
                <w:rFonts w:ascii="黑体" w:hAnsi="黑体" w:eastAsia="黑体"/>
                <w:sz w:val="18"/>
                <w:szCs w:val="18"/>
              </w:rPr>
              <w:t xml:space="preserve">3 </w:t>
            </w:r>
          </w:p>
        </w:tc>
        <w:tc>
          <w:tcPr>
            <w:tcW w:w="7375" w:type="dxa"/>
            <w:tcBorders>
              <w:top w:val="single" w:color="000000" w:sz="4" w:space="0"/>
              <w:left w:val="single" w:color="000000" w:sz="4" w:space="0"/>
              <w:bottom w:val="single" w:color="000000" w:sz="4" w:space="0"/>
              <w:right w:val="single" w:color="000000" w:sz="4" w:space="0"/>
            </w:tcBorders>
          </w:tcPr>
          <w:p w14:paraId="622AFCF6">
            <w:pPr>
              <w:pStyle w:val="132"/>
              <w:kinsoku w:val="0"/>
              <w:overflowPunct w:val="0"/>
              <w:spacing w:line="228" w:lineRule="exact"/>
              <w:ind w:left="110"/>
              <w:rPr>
                <w:rFonts w:ascii="黑体" w:hAnsi="黑体" w:eastAsia="黑体"/>
                <w:sz w:val="18"/>
                <w:szCs w:val="18"/>
              </w:rPr>
            </w:pPr>
            <w:r>
              <w:rPr>
                <w:rFonts w:hint="eastAsia" w:ascii="黑体" w:hAnsi="黑体" w:eastAsia="黑体"/>
                <w:sz w:val="18"/>
                <w:szCs w:val="18"/>
              </w:rPr>
              <w:t>供方承诺委派合格的、经验丰富的培训教师进行授课，以确保培训质量，培训教师要求有</w:t>
            </w:r>
          </w:p>
          <w:p w14:paraId="3B038154">
            <w:pPr>
              <w:pStyle w:val="132"/>
              <w:kinsoku w:val="0"/>
              <w:overflowPunct w:val="0"/>
              <w:spacing w:line="217" w:lineRule="exact"/>
              <w:ind w:left="110"/>
              <w:rPr>
                <w:rFonts w:ascii="黑体" w:hAnsi="黑体" w:eastAsia="黑体"/>
                <w:sz w:val="18"/>
                <w:szCs w:val="18"/>
              </w:rPr>
            </w:pPr>
            <w:r>
              <w:rPr>
                <w:rFonts w:hint="eastAsia" w:ascii="黑体" w:hAnsi="黑体" w:eastAsia="黑体"/>
                <w:sz w:val="18"/>
                <w:szCs w:val="18"/>
              </w:rPr>
              <w:t>良好的授课能力。</w:t>
            </w:r>
          </w:p>
        </w:tc>
        <w:tc>
          <w:tcPr>
            <w:tcW w:w="1133" w:type="dxa"/>
            <w:tcBorders>
              <w:top w:val="single" w:color="000000" w:sz="4" w:space="0"/>
              <w:left w:val="single" w:color="000000" w:sz="4" w:space="0"/>
              <w:bottom w:val="single" w:color="000000" w:sz="4" w:space="0"/>
              <w:right w:val="single" w:color="000000" w:sz="4" w:space="0"/>
            </w:tcBorders>
          </w:tcPr>
          <w:p w14:paraId="7CF38C75">
            <w:pPr>
              <w:pStyle w:val="132"/>
              <w:kinsoku w:val="0"/>
              <w:overflowPunct w:val="0"/>
              <w:rPr>
                <w:rFonts w:ascii="黑体" w:hAnsi="黑体" w:eastAsia="黑体" w:cs="Times New Roman"/>
                <w:sz w:val="18"/>
                <w:szCs w:val="18"/>
              </w:rPr>
            </w:pPr>
          </w:p>
        </w:tc>
      </w:tr>
      <w:tr w14:paraId="3AC9A5DF">
        <w:tblPrEx>
          <w:tblCellMar>
            <w:top w:w="0" w:type="dxa"/>
            <w:left w:w="0" w:type="dxa"/>
            <w:bottom w:w="0" w:type="dxa"/>
            <w:right w:w="0" w:type="dxa"/>
          </w:tblCellMar>
        </w:tblPrEx>
        <w:trPr>
          <w:trHeight w:val="935" w:hRule="atLeast"/>
        </w:trPr>
        <w:tc>
          <w:tcPr>
            <w:tcW w:w="677" w:type="dxa"/>
            <w:tcBorders>
              <w:top w:val="single" w:color="000000" w:sz="4" w:space="0"/>
              <w:left w:val="single" w:color="000000" w:sz="4" w:space="0"/>
              <w:bottom w:val="single" w:color="000000" w:sz="4" w:space="0"/>
              <w:right w:val="single" w:color="000000" w:sz="4" w:space="0"/>
            </w:tcBorders>
          </w:tcPr>
          <w:p w14:paraId="562AA01C">
            <w:pPr>
              <w:pStyle w:val="132"/>
              <w:kinsoku w:val="0"/>
              <w:overflowPunct w:val="0"/>
              <w:spacing w:before="4"/>
              <w:rPr>
                <w:rFonts w:ascii="黑体" w:hAnsi="黑体" w:eastAsia="黑体"/>
                <w:b/>
                <w:bCs/>
                <w:sz w:val="18"/>
                <w:szCs w:val="18"/>
              </w:rPr>
            </w:pPr>
          </w:p>
          <w:p w14:paraId="783760E5">
            <w:pPr>
              <w:pStyle w:val="132"/>
              <w:kinsoku w:val="0"/>
              <w:overflowPunct w:val="0"/>
              <w:ind w:left="204" w:right="94"/>
              <w:rPr>
                <w:rFonts w:ascii="黑体" w:hAnsi="黑体" w:eastAsia="黑体"/>
                <w:sz w:val="18"/>
                <w:szCs w:val="18"/>
              </w:rPr>
            </w:pPr>
            <w:r>
              <w:rPr>
                <w:rFonts w:ascii="黑体" w:hAnsi="黑体" w:eastAsia="黑体"/>
                <w:sz w:val="18"/>
                <w:szCs w:val="18"/>
              </w:rPr>
              <w:t xml:space="preserve">4 </w:t>
            </w:r>
          </w:p>
        </w:tc>
        <w:tc>
          <w:tcPr>
            <w:tcW w:w="7375" w:type="dxa"/>
            <w:tcBorders>
              <w:top w:val="single" w:color="000000" w:sz="4" w:space="0"/>
              <w:left w:val="single" w:color="000000" w:sz="4" w:space="0"/>
              <w:bottom w:val="single" w:color="000000" w:sz="4" w:space="0"/>
              <w:right w:val="single" w:color="000000" w:sz="4" w:space="0"/>
            </w:tcBorders>
          </w:tcPr>
          <w:p w14:paraId="798408E2">
            <w:pPr>
              <w:pStyle w:val="132"/>
              <w:kinsoku w:val="0"/>
              <w:overflowPunct w:val="0"/>
              <w:spacing w:line="242" w:lineRule="auto"/>
              <w:ind w:left="110" w:right="146"/>
              <w:rPr>
                <w:rFonts w:ascii="黑体" w:hAnsi="黑体" w:eastAsia="黑体"/>
                <w:spacing w:val="-5"/>
                <w:sz w:val="18"/>
                <w:szCs w:val="18"/>
              </w:rPr>
            </w:pPr>
            <w:r>
              <w:rPr>
                <w:rFonts w:hint="eastAsia" w:ascii="黑体" w:hAnsi="黑体" w:eastAsia="黑体"/>
                <w:spacing w:val="-5"/>
                <w:sz w:val="18"/>
                <w:szCs w:val="18"/>
              </w:rPr>
              <w:t>供方承诺给每位参加培训的学员提供一套完整的课程计划、手册、培训胶片以及辅助的培</w:t>
            </w:r>
            <w:r>
              <w:rPr>
                <w:rFonts w:ascii="黑体" w:hAnsi="黑体" w:eastAsia="黑体"/>
                <w:spacing w:val="-5"/>
                <w:sz w:val="18"/>
                <w:szCs w:val="18"/>
              </w:rPr>
              <w:t xml:space="preserve"> </w:t>
            </w:r>
            <w:r>
              <w:rPr>
                <w:rFonts w:hint="eastAsia" w:ascii="黑体" w:hAnsi="黑体" w:eastAsia="黑体"/>
                <w:spacing w:val="-3"/>
                <w:sz w:val="18"/>
                <w:szCs w:val="18"/>
              </w:rPr>
              <w:t>训材料；供方承诺给买方提供一份</w:t>
            </w:r>
            <w:r>
              <w:rPr>
                <w:rFonts w:ascii="黑体" w:hAnsi="黑体" w:eastAsia="黑体" w:cs="Calibri"/>
                <w:sz w:val="18"/>
                <w:szCs w:val="18"/>
              </w:rPr>
              <w:t xml:space="preserve">WORD </w:t>
            </w:r>
            <w:r>
              <w:rPr>
                <w:rFonts w:hint="eastAsia" w:ascii="黑体" w:hAnsi="黑体" w:eastAsia="黑体"/>
                <w:spacing w:val="19"/>
                <w:sz w:val="18"/>
                <w:szCs w:val="18"/>
              </w:rPr>
              <w:t>或者</w:t>
            </w:r>
            <w:r>
              <w:rPr>
                <w:rFonts w:ascii="黑体" w:hAnsi="黑体" w:eastAsia="黑体" w:cs="Calibri"/>
                <w:sz w:val="18"/>
                <w:szCs w:val="18"/>
              </w:rPr>
              <w:t xml:space="preserve">PowerPoint </w:t>
            </w:r>
            <w:r>
              <w:rPr>
                <w:rFonts w:hint="eastAsia" w:ascii="黑体" w:hAnsi="黑体" w:eastAsia="黑体"/>
                <w:spacing w:val="-5"/>
                <w:sz w:val="18"/>
                <w:szCs w:val="18"/>
              </w:rPr>
              <w:t>格式的培训材料电子档；供方承诺将培训材料样例给买方检视；如果产品升级，供方承诺免费提供新特性的培训文档给买</w:t>
            </w:r>
            <w:r>
              <w:rPr>
                <w:rFonts w:hint="eastAsia" w:ascii="黑体" w:hAnsi="黑体" w:eastAsia="黑体"/>
                <w:sz w:val="18"/>
                <w:szCs w:val="18"/>
              </w:rPr>
              <w:t>方。</w:t>
            </w:r>
          </w:p>
        </w:tc>
        <w:tc>
          <w:tcPr>
            <w:tcW w:w="1133" w:type="dxa"/>
            <w:tcBorders>
              <w:top w:val="single" w:color="000000" w:sz="4" w:space="0"/>
              <w:left w:val="single" w:color="000000" w:sz="4" w:space="0"/>
              <w:bottom w:val="single" w:color="000000" w:sz="4" w:space="0"/>
              <w:right w:val="single" w:color="000000" w:sz="4" w:space="0"/>
            </w:tcBorders>
          </w:tcPr>
          <w:p w14:paraId="11D38312">
            <w:pPr>
              <w:pStyle w:val="132"/>
              <w:kinsoku w:val="0"/>
              <w:overflowPunct w:val="0"/>
              <w:rPr>
                <w:rFonts w:ascii="黑体" w:hAnsi="黑体" w:eastAsia="黑体" w:cs="Times New Roman"/>
                <w:sz w:val="18"/>
                <w:szCs w:val="18"/>
              </w:rPr>
            </w:pPr>
          </w:p>
        </w:tc>
      </w:tr>
    </w:tbl>
    <w:p w14:paraId="3F836A10">
      <w:pPr>
        <w:pStyle w:val="97"/>
        <w:rPr>
          <w:b/>
          <w:bCs/>
        </w:rPr>
      </w:pPr>
      <w:r>
        <w:rPr>
          <w:rFonts w:hint="eastAsia"/>
          <w:b/>
          <w:bCs/>
          <w:spacing w:val="1"/>
        </w:rPr>
        <w:t>售后服务</w:t>
      </w:r>
    </w:p>
    <w:tbl>
      <w:tblPr>
        <w:tblStyle w:val="36"/>
        <w:tblW w:w="0" w:type="auto"/>
        <w:tblInd w:w="115" w:type="dxa"/>
        <w:tblLayout w:type="fixed"/>
        <w:tblCellMar>
          <w:top w:w="0" w:type="dxa"/>
          <w:left w:w="0" w:type="dxa"/>
          <w:bottom w:w="0" w:type="dxa"/>
          <w:right w:w="0" w:type="dxa"/>
        </w:tblCellMar>
      </w:tblPr>
      <w:tblGrid>
        <w:gridCol w:w="1172"/>
        <w:gridCol w:w="6881"/>
        <w:gridCol w:w="1133"/>
      </w:tblGrid>
      <w:tr w14:paraId="5FCED605">
        <w:tblPrEx>
          <w:tblCellMar>
            <w:top w:w="0" w:type="dxa"/>
            <w:left w:w="0" w:type="dxa"/>
            <w:bottom w:w="0" w:type="dxa"/>
            <w:right w:w="0" w:type="dxa"/>
          </w:tblCellMar>
        </w:tblPrEx>
        <w:trPr>
          <w:trHeight w:val="407" w:hRule="atLeast"/>
        </w:trPr>
        <w:tc>
          <w:tcPr>
            <w:tcW w:w="1172" w:type="dxa"/>
            <w:tcBorders>
              <w:top w:val="single" w:color="000000" w:sz="4" w:space="0"/>
              <w:left w:val="single" w:color="000000" w:sz="4" w:space="0"/>
              <w:bottom w:val="single" w:color="000000" w:sz="4" w:space="0"/>
              <w:right w:val="single" w:color="000000" w:sz="4" w:space="0"/>
            </w:tcBorders>
            <w:shd w:val="clear" w:color="auto" w:fill="DBE4F0"/>
          </w:tcPr>
          <w:p w14:paraId="36F9639D">
            <w:pPr>
              <w:pStyle w:val="132"/>
              <w:kinsoku w:val="0"/>
              <w:overflowPunct w:val="0"/>
              <w:spacing w:before="58"/>
              <w:ind w:left="421" w:right="258"/>
              <w:rPr>
                <w:rFonts w:ascii="黑体" w:hAnsi="黑体" w:eastAsia="黑体"/>
                <w:b/>
                <w:bCs/>
                <w:sz w:val="18"/>
                <w:szCs w:val="18"/>
              </w:rPr>
            </w:pPr>
            <w:r>
              <w:rPr>
                <w:rFonts w:hint="eastAsia" w:ascii="黑体" w:hAnsi="黑体" w:eastAsia="黑体"/>
                <w:b/>
                <w:bCs/>
                <w:sz w:val="18"/>
                <w:szCs w:val="18"/>
              </w:rPr>
              <w:t>序号</w:t>
            </w:r>
          </w:p>
        </w:tc>
        <w:tc>
          <w:tcPr>
            <w:tcW w:w="6881" w:type="dxa"/>
            <w:tcBorders>
              <w:top w:val="single" w:color="000000" w:sz="4" w:space="0"/>
              <w:left w:val="single" w:color="000000" w:sz="4" w:space="0"/>
              <w:bottom w:val="single" w:color="000000" w:sz="4" w:space="0"/>
              <w:right w:val="single" w:color="000000" w:sz="4" w:space="0"/>
            </w:tcBorders>
            <w:shd w:val="clear" w:color="auto" w:fill="DBE4F0"/>
          </w:tcPr>
          <w:p w14:paraId="7559150F">
            <w:pPr>
              <w:pStyle w:val="132"/>
              <w:kinsoku w:val="0"/>
              <w:overflowPunct w:val="0"/>
              <w:spacing w:before="58"/>
              <w:ind w:left="2980" w:right="2966"/>
              <w:rPr>
                <w:rFonts w:ascii="黑体" w:hAnsi="黑体" w:eastAsia="黑体"/>
                <w:b/>
                <w:bCs/>
                <w:sz w:val="18"/>
                <w:szCs w:val="18"/>
              </w:rPr>
            </w:pPr>
            <w:r>
              <w:rPr>
                <w:rFonts w:hint="eastAsia" w:ascii="黑体" w:hAnsi="黑体" w:eastAsia="黑体"/>
                <w:b/>
                <w:bCs/>
                <w:sz w:val="18"/>
                <w:szCs w:val="18"/>
              </w:rPr>
              <w:t>项目说明</w:t>
            </w:r>
          </w:p>
        </w:tc>
        <w:tc>
          <w:tcPr>
            <w:tcW w:w="1133" w:type="dxa"/>
            <w:tcBorders>
              <w:top w:val="single" w:color="000000" w:sz="4" w:space="0"/>
              <w:left w:val="single" w:color="000000" w:sz="4" w:space="0"/>
              <w:bottom w:val="single" w:color="000000" w:sz="4" w:space="0"/>
              <w:right w:val="single" w:color="000000" w:sz="4" w:space="0"/>
            </w:tcBorders>
            <w:shd w:val="clear" w:color="auto" w:fill="DBE4F0"/>
          </w:tcPr>
          <w:p w14:paraId="7D55CBE9">
            <w:pPr>
              <w:pStyle w:val="132"/>
              <w:kinsoku w:val="0"/>
              <w:overflowPunct w:val="0"/>
              <w:spacing w:before="58"/>
              <w:ind w:left="340"/>
              <w:rPr>
                <w:rFonts w:ascii="黑体" w:hAnsi="黑体" w:eastAsia="黑体"/>
                <w:b/>
                <w:bCs/>
                <w:sz w:val="18"/>
                <w:szCs w:val="18"/>
              </w:rPr>
            </w:pPr>
            <w:r>
              <w:rPr>
                <w:rFonts w:hint="eastAsia" w:ascii="黑体" w:hAnsi="黑体" w:eastAsia="黑体"/>
                <w:b/>
                <w:bCs/>
                <w:sz w:val="18"/>
                <w:szCs w:val="18"/>
              </w:rPr>
              <w:t>备注</w:t>
            </w:r>
          </w:p>
        </w:tc>
      </w:tr>
      <w:tr w14:paraId="693AC217">
        <w:tblPrEx>
          <w:tblCellMar>
            <w:top w:w="0" w:type="dxa"/>
            <w:left w:w="0" w:type="dxa"/>
            <w:bottom w:w="0" w:type="dxa"/>
            <w:right w:w="0" w:type="dxa"/>
          </w:tblCellMar>
        </w:tblPrEx>
        <w:trPr>
          <w:trHeight w:val="465" w:hRule="atLeast"/>
        </w:trPr>
        <w:tc>
          <w:tcPr>
            <w:tcW w:w="1172" w:type="dxa"/>
            <w:tcBorders>
              <w:top w:val="single" w:color="000000" w:sz="4" w:space="0"/>
              <w:left w:val="single" w:color="000000" w:sz="4" w:space="0"/>
              <w:bottom w:val="single" w:color="000000" w:sz="4" w:space="0"/>
              <w:right w:val="single" w:color="000000" w:sz="4" w:space="0"/>
            </w:tcBorders>
          </w:tcPr>
          <w:p w14:paraId="09C4E366">
            <w:pPr>
              <w:pStyle w:val="132"/>
              <w:kinsoku w:val="0"/>
              <w:overflowPunct w:val="0"/>
              <w:spacing w:before="107"/>
              <w:ind w:left="373" w:right="258"/>
              <w:rPr>
                <w:rFonts w:ascii="黑体" w:hAnsi="黑体" w:eastAsia="黑体"/>
                <w:i/>
                <w:iCs/>
                <w:w w:val="96"/>
                <w:sz w:val="18"/>
                <w:szCs w:val="18"/>
              </w:rPr>
            </w:pPr>
            <w:r>
              <w:rPr>
                <w:rFonts w:ascii="黑体" w:hAnsi="黑体" w:eastAsia="黑体"/>
                <w:sz w:val="18"/>
                <w:szCs w:val="18"/>
              </w:rPr>
              <w:t>1</w:t>
            </w:r>
            <w:r>
              <w:rPr>
                <w:rFonts w:ascii="黑体" w:hAnsi="黑体" w:eastAsia="黑体"/>
                <w:i/>
                <w:iCs/>
                <w:w w:val="96"/>
                <w:sz w:val="18"/>
                <w:szCs w:val="18"/>
              </w:rPr>
              <w:t xml:space="preserve"> </w:t>
            </w:r>
          </w:p>
        </w:tc>
        <w:tc>
          <w:tcPr>
            <w:tcW w:w="6881" w:type="dxa"/>
            <w:tcBorders>
              <w:top w:val="single" w:color="000000" w:sz="4" w:space="0"/>
              <w:left w:val="single" w:color="000000" w:sz="4" w:space="0"/>
              <w:bottom w:val="single" w:color="000000" w:sz="4" w:space="0"/>
              <w:right w:val="single" w:color="000000" w:sz="4" w:space="0"/>
            </w:tcBorders>
          </w:tcPr>
          <w:p w14:paraId="3D1DAE97">
            <w:pPr>
              <w:pStyle w:val="132"/>
              <w:kinsoku w:val="0"/>
              <w:overflowPunct w:val="0"/>
              <w:spacing w:line="228" w:lineRule="exact"/>
              <w:ind w:left="109"/>
              <w:rPr>
                <w:rFonts w:ascii="黑体" w:hAnsi="黑体" w:eastAsia="黑体"/>
                <w:sz w:val="18"/>
                <w:szCs w:val="18"/>
              </w:rPr>
            </w:pPr>
            <w:r>
              <w:rPr>
                <w:rFonts w:hint="eastAsia" w:ascii="黑体" w:hAnsi="黑体" w:eastAsia="黑体"/>
                <w:sz w:val="18"/>
                <w:szCs w:val="18"/>
              </w:rPr>
              <w:t>供方能够提供的维保服务应包括：咨询服务、远程电话技术支持服务、现场技术支持</w:t>
            </w:r>
          </w:p>
          <w:p w14:paraId="7F4EF7E3">
            <w:pPr>
              <w:pStyle w:val="132"/>
              <w:kinsoku w:val="0"/>
              <w:overflowPunct w:val="0"/>
              <w:spacing w:before="4" w:line="213" w:lineRule="exact"/>
              <w:ind w:left="109"/>
              <w:rPr>
                <w:rFonts w:ascii="黑体" w:hAnsi="黑体" w:eastAsia="黑体"/>
                <w:sz w:val="18"/>
                <w:szCs w:val="18"/>
              </w:rPr>
            </w:pPr>
            <w:r>
              <w:rPr>
                <w:rFonts w:hint="eastAsia" w:ascii="黑体" w:hAnsi="黑体" w:eastAsia="黑体"/>
                <w:sz w:val="18"/>
                <w:szCs w:val="18"/>
              </w:rPr>
              <w:t>服务、资料与经验共享服务、故障硬件维修服务。</w:t>
            </w:r>
          </w:p>
        </w:tc>
        <w:tc>
          <w:tcPr>
            <w:tcW w:w="1133" w:type="dxa"/>
            <w:tcBorders>
              <w:top w:val="single" w:color="000000" w:sz="4" w:space="0"/>
              <w:left w:val="single" w:color="000000" w:sz="4" w:space="0"/>
              <w:bottom w:val="single" w:color="000000" w:sz="4" w:space="0"/>
              <w:right w:val="single" w:color="000000" w:sz="4" w:space="0"/>
            </w:tcBorders>
          </w:tcPr>
          <w:p w14:paraId="2A040CCC">
            <w:pPr>
              <w:pStyle w:val="132"/>
              <w:kinsoku w:val="0"/>
              <w:overflowPunct w:val="0"/>
              <w:rPr>
                <w:rFonts w:ascii="黑体" w:hAnsi="黑体" w:eastAsia="黑体" w:cs="Times New Roman"/>
                <w:sz w:val="18"/>
                <w:szCs w:val="18"/>
              </w:rPr>
            </w:pPr>
          </w:p>
        </w:tc>
      </w:tr>
      <w:tr w14:paraId="67A3F254">
        <w:tblPrEx>
          <w:tblCellMar>
            <w:top w:w="0" w:type="dxa"/>
            <w:left w:w="0" w:type="dxa"/>
            <w:bottom w:w="0" w:type="dxa"/>
            <w:right w:w="0" w:type="dxa"/>
          </w:tblCellMar>
        </w:tblPrEx>
        <w:trPr>
          <w:trHeight w:val="258" w:hRule="atLeast"/>
        </w:trPr>
        <w:tc>
          <w:tcPr>
            <w:tcW w:w="1172" w:type="dxa"/>
            <w:tcBorders>
              <w:top w:val="single" w:color="000000" w:sz="4" w:space="0"/>
              <w:left w:val="single" w:color="000000" w:sz="4" w:space="0"/>
              <w:bottom w:val="single" w:color="000000" w:sz="4" w:space="0"/>
              <w:right w:val="single" w:color="000000" w:sz="4" w:space="0"/>
            </w:tcBorders>
          </w:tcPr>
          <w:p w14:paraId="4FD28979">
            <w:pPr>
              <w:pStyle w:val="132"/>
              <w:kinsoku w:val="0"/>
              <w:overflowPunct w:val="0"/>
              <w:spacing w:before="1" w:line="237" w:lineRule="exact"/>
              <w:ind w:left="373" w:right="258"/>
              <w:rPr>
                <w:rFonts w:ascii="黑体" w:hAnsi="黑体" w:eastAsia="黑体"/>
                <w:sz w:val="18"/>
                <w:szCs w:val="18"/>
              </w:rPr>
            </w:pPr>
            <w:r>
              <w:rPr>
                <w:rFonts w:ascii="黑体" w:hAnsi="黑体" w:eastAsia="黑体"/>
                <w:sz w:val="18"/>
                <w:szCs w:val="18"/>
              </w:rPr>
              <w:t xml:space="preserve">2 </w:t>
            </w:r>
          </w:p>
        </w:tc>
        <w:tc>
          <w:tcPr>
            <w:tcW w:w="6881" w:type="dxa"/>
            <w:tcBorders>
              <w:top w:val="single" w:color="000000" w:sz="4" w:space="0"/>
              <w:left w:val="single" w:color="000000" w:sz="4" w:space="0"/>
              <w:bottom w:val="single" w:color="000000" w:sz="4" w:space="0"/>
              <w:right w:val="single" w:color="000000" w:sz="4" w:space="0"/>
            </w:tcBorders>
          </w:tcPr>
          <w:p w14:paraId="4A086782">
            <w:pPr>
              <w:pStyle w:val="132"/>
              <w:kinsoku w:val="0"/>
              <w:overflowPunct w:val="0"/>
              <w:spacing w:line="228" w:lineRule="exact"/>
              <w:ind w:left="109"/>
              <w:rPr>
                <w:rFonts w:ascii="黑体" w:hAnsi="黑体" w:eastAsia="黑体"/>
                <w:sz w:val="18"/>
                <w:szCs w:val="18"/>
              </w:rPr>
            </w:pPr>
            <w:r>
              <w:rPr>
                <w:rFonts w:hint="eastAsia" w:ascii="黑体" w:hAnsi="黑体" w:eastAsia="黑体"/>
                <w:sz w:val="18"/>
                <w:szCs w:val="18"/>
              </w:rPr>
              <w:t>供方能够提供</w:t>
            </w:r>
            <w:r>
              <w:rPr>
                <w:rFonts w:ascii="黑体" w:hAnsi="黑体" w:eastAsia="黑体"/>
                <w:sz w:val="18"/>
                <w:szCs w:val="18"/>
              </w:rPr>
              <w:t xml:space="preserve"> </w:t>
            </w:r>
            <w:r>
              <w:rPr>
                <w:rFonts w:ascii="黑体" w:hAnsi="黑体" w:eastAsia="黑体" w:cs="Calibri"/>
                <w:sz w:val="18"/>
                <w:szCs w:val="18"/>
              </w:rPr>
              <w:t xml:space="preserve">7*24 </w:t>
            </w:r>
            <w:r>
              <w:rPr>
                <w:rFonts w:hint="eastAsia" w:ascii="黑体" w:hAnsi="黑体" w:eastAsia="黑体"/>
                <w:sz w:val="18"/>
                <w:szCs w:val="18"/>
              </w:rPr>
              <w:t>小时电话咨询服务，提供</w:t>
            </w:r>
            <w:r>
              <w:rPr>
                <w:rFonts w:ascii="黑体" w:hAnsi="黑体" w:eastAsia="黑体"/>
                <w:sz w:val="18"/>
                <w:szCs w:val="18"/>
              </w:rPr>
              <w:t xml:space="preserve"> </w:t>
            </w:r>
            <w:r>
              <w:rPr>
                <w:rFonts w:ascii="黑体" w:hAnsi="黑体" w:eastAsia="黑体" w:cs="Calibri"/>
                <w:sz w:val="18"/>
                <w:szCs w:val="18"/>
              </w:rPr>
              <w:t xml:space="preserve">5*8 </w:t>
            </w:r>
            <w:r>
              <w:rPr>
                <w:rFonts w:hint="eastAsia" w:ascii="黑体" w:hAnsi="黑体" w:eastAsia="黑体"/>
                <w:sz w:val="18"/>
                <w:szCs w:val="18"/>
              </w:rPr>
              <w:t>提供紧急现场支持服务。</w:t>
            </w:r>
          </w:p>
        </w:tc>
        <w:tc>
          <w:tcPr>
            <w:tcW w:w="1133" w:type="dxa"/>
            <w:tcBorders>
              <w:top w:val="single" w:color="000000" w:sz="4" w:space="0"/>
              <w:left w:val="single" w:color="000000" w:sz="4" w:space="0"/>
              <w:bottom w:val="single" w:color="000000" w:sz="4" w:space="0"/>
              <w:right w:val="single" w:color="000000" w:sz="4" w:space="0"/>
            </w:tcBorders>
          </w:tcPr>
          <w:p w14:paraId="69F12459">
            <w:pPr>
              <w:pStyle w:val="132"/>
              <w:kinsoku w:val="0"/>
              <w:overflowPunct w:val="0"/>
              <w:rPr>
                <w:rFonts w:ascii="黑体" w:hAnsi="黑体" w:eastAsia="黑体" w:cs="Times New Roman"/>
                <w:sz w:val="18"/>
                <w:szCs w:val="18"/>
              </w:rPr>
            </w:pPr>
          </w:p>
        </w:tc>
      </w:tr>
      <w:tr w14:paraId="057AACAA">
        <w:tblPrEx>
          <w:tblCellMar>
            <w:top w:w="0" w:type="dxa"/>
            <w:left w:w="0" w:type="dxa"/>
            <w:bottom w:w="0" w:type="dxa"/>
            <w:right w:w="0" w:type="dxa"/>
          </w:tblCellMar>
        </w:tblPrEx>
        <w:trPr>
          <w:trHeight w:val="470" w:hRule="atLeast"/>
        </w:trPr>
        <w:tc>
          <w:tcPr>
            <w:tcW w:w="1172" w:type="dxa"/>
            <w:tcBorders>
              <w:top w:val="single" w:color="000000" w:sz="4" w:space="0"/>
              <w:left w:val="single" w:color="000000" w:sz="4" w:space="0"/>
              <w:bottom w:val="single" w:color="000000" w:sz="4" w:space="0"/>
              <w:right w:val="single" w:color="000000" w:sz="4" w:space="0"/>
            </w:tcBorders>
          </w:tcPr>
          <w:p w14:paraId="49A4AA89">
            <w:pPr>
              <w:pStyle w:val="132"/>
              <w:kinsoku w:val="0"/>
              <w:overflowPunct w:val="0"/>
              <w:spacing w:before="107"/>
              <w:ind w:left="373" w:right="258"/>
              <w:rPr>
                <w:rFonts w:ascii="黑体" w:hAnsi="黑体" w:eastAsia="黑体"/>
                <w:sz w:val="18"/>
                <w:szCs w:val="18"/>
              </w:rPr>
            </w:pPr>
            <w:r>
              <w:rPr>
                <w:rFonts w:ascii="黑体" w:hAnsi="黑体" w:eastAsia="黑体"/>
                <w:sz w:val="18"/>
                <w:szCs w:val="18"/>
              </w:rPr>
              <w:t xml:space="preserve">3 </w:t>
            </w:r>
          </w:p>
        </w:tc>
        <w:tc>
          <w:tcPr>
            <w:tcW w:w="6881" w:type="dxa"/>
            <w:tcBorders>
              <w:top w:val="single" w:color="000000" w:sz="4" w:space="0"/>
              <w:left w:val="single" w:color="000000" w:sz="4" w:space="0"/>
              <w:bottom w:val="single" w:color="000000" w:sz="4" w:space="0"/>
              <w:right w:val="single" w:color="000000" w:sz="4" w:space="0"/>
            </w:tcBorders>
          </w:tcPr>
          <w:p w14:paraId="1BE7E199">
            <w:pPr>
              <w:pStyle w:val="132"/>
              <w:kinsoku w:val="0"/>
              <w:overflowPunct w:val="0"/>
              <w:spacing w:line="228" w:lineRule="exact"/>
              <w:ind w:left="109"/>
              <w:rPr>
                <w:rFonts w:ascii="黑体" w:hAnsi="黑体" w:eastAsia="黑体"/>
                <w:sz w:val="18"/>
                <w:szCs w:val="18"/>
              </w:rPr>
            </w:pPr>
            <w:r>
              <w:rPr>
                <w:rFonts w:hint="eastAsia" w:ascii="黑体" w:hAnsi="黑体" w:eastAsia="黑体"/>
                <w:sz w:val="18"/>
                <w:szCs w:val="18"/>
              </w:rPr>
              <w:t>供方能够提供终验后</w:t>
            </w:r>
            <w:r>
              <w:rPr>
                <w:rFonts w:ascii="黑体" w:hAnsi="黑体" w:eastAsia="黑体"/>
                <w:sz w:val="18"/>
                <w:szCs w:val="18"/>
              </w:rPr>
              <w:t xml:space="preserve"> </w:t>
            </w:r>
            <w:r>
              <w:rPr>
                <w:rFonts w:ascii="黑体" w:hAnsi="黑体" w:eastAsia="黑体" w:cs="Calibri"/>
                <w:sz w:val="18"/>
                <w:szCs w:val="18"/>
              </w:rPr>
              <w:t xml:space="preserve">3 </w:t>
            </w:r>
            <w:r>
              <w:rPr>
                <w:rFonts w:hint="eastAsia" w:ascii="黑体" w:hAnsi="黑体" w:eastAsia="黑体"/>
                <w:sz w:val="18"/>
                <w:szCs w:val="18"/>
              </w:rPr>
              <w:t>年质保服务，在保修期内供方必须提供免费的维护和替换货</w:t>
            </w:r>
          </w:p>
          <w:p w14:paraId="7CB96AF5">
            <w:pPr>
              <w:pStyle w:val="132"/>
              <w:kinsoku w:val="0"/>
              <w:overflowPunct w:val="0"/>
              <w:spacing w:before="5" w:line="217" w:lineRule="exact"/>
              <w:ind w:left="109"/>
              <w:rPr>
                <w:rFonts w:ascii="黑体" w:hAnsi="黑体" w:eastAsia="黑体"/>
                <w:sz w:val="18"/>
                <w:szCs w:val="18"/>
              </w:rPr>
            </w:pPr>
            <w:r>
              <w:rPr>
                <w:rFonts w:hint="eastAsia" w:ascii="黑体" w:hAnsi="黑体" w:eastAsia="黑体"/>
                <w:sz w:val="18"/>
                <w:szCs w:val="18"/>
              </w:rPr>
              <w:t>服务。</w:t>
            </w:r>
          </w:p>
        </w:tc>
        <w:tc>
          <w:tcPr>
            <w:tcW w:w="1133" w:type="dxa"/>
            <w:tcBorders>
              <w:top w:val="single" w:color="000000" w:sz="4" w:space="0"/>
              <w:left w:val="single" w:color="000000" w:sz="4" w:space="0"/>
              <w:bottom w:val="single" w:color="000000" w:sz="4" w:space="0"/>
              <w:right w:val="single" w:color="000000" w:sz="4" w:space="0"/>
            </w:tcBorders>
          </w:tcPr>
          <w:p w14:paraId="0E04E569">
            <w:pPr>
              <w:pStyle w:val="132"/>
              <w:kinsoku w:val="0"/>
              <w:overflowPunct w:val="0"/>
              <w:rPr>
                <w:rFonts w:ascii="黑体" w:hAnsi="黑体" w:eastAsia="黑体" w:cs="Times New Roman"/>
                <w:sz w:val="18"/>
                <w:szCs w:val="18"/>
              </w:rPr>
            </w:pPr>
          </w:p>
        </w:tc>
      </w:tr>
      <w:tr w14:paraId="30994868">
        <w:tblPrEx>
          <w:tblCellMar>
            <w:top w:w="0" w:type="dxa"/>
            <w:left w:w="0" w:type="dxa"/>
            <w:bottom w:w="0" w:type="dxa"/>
            <w:right w:w="0" w:type="dxa"/>
          </w:tblCellMar>
        </w:tblPrEx>
        <w:trPr>
          <w:trHeight w:val="465" w:hRule="atLeast"/>
        </w:trPr>
        <w:tc>
          <w:tcPr>
            <w:tcW w:w="1172" w:type="dxa"/>
            <w:tcBorders>
              <w:top w:val="single" w:color="000000" w:sz="4" w:space="0"/>
              <w:left w:val="single" w:color="000000" w:sz="4" w:space="0"/>
              <w:bottom w:val="single" w:color="000000" w:sz="4" w:space="0"/>
              <w:right w:val="single" w:color="000000" w:sz="4" w:space="0"/>
            </w:tcBorders>
          </w:tcPr>
          <w:p w14:paraId="5021D7EE">
            <w:pPr>
              <w:pStyle w:val="132"/>
              <w:kinsoku w:val="0"/>
              <w:overflowPunct w:val="0"/>
              <w:spacing w:before="102"/>
              <w:ind w:left="373" w:right="258"/>
              <w:rPr>
                <w:rFonts w:ascii="黑体" w:hAnsi="黑体" w:eastAsia="黑体"/>
                <w:sz w:val="18"/>
                <w:szCs w:val="18"/>
              </w:rPr>
            </w:pPr>
            <w:r>
              <w:rPr>
                <w:rFonts w:ascii="黑体" w:hAnsi="黑体" w:eastAsia="黑体"/>
                <w:sz w:val="18"/>
                <w:szCs w:val="18"/>
              </w:rPr>
              <w:t xml:space="preserve">4 </w:t>
            </w:r>
          </w:p>
        </w:tc>
        <w:tc>
          <w:tcPr>
            <w:tcW w:w="6881" w:type="dxa"/>
            <w:tcBorders>
              <w:top w:val="single" w:color="000000" w:sz="4" w:space="0"/>
              <w:left w:val="single" w:color="000000" w:sz="4" w:space="0"/>
              <w:bottom w:val="single" w:color="000000" w:sz="4" w:space="0"/>
              <w:right w:val="single" w:color="000000" w:sz="4" w:space="0"/>
            </w:tcBorders>
          </w:tcPr>
          <w:p w14:paraId="0A8E5879">
            <w:pPr>
              <w:pStyle w:val="132"/>
              <w:kinsoku w:val="0"/>
              <w:overflowPunct w:val="0"/>
              <w:spacing w:line="228" w:lineRule="exact"/>
              <w:ind w:left="109"/>
              <w:rPr>
                <w:rFonts w:ascii="黑体" w:hAnsi="黑体" w:eastAsia="黑体"/>
                <w:sz w:val="18"/>
                <w:szCs w:val="18"/>
              </w:rPr>
            </w:pPr>
            <w:r>
              <w:rPr>
                <w:rFonts w:hint="eastAsia" w:ascii="黑体" w:hAnsi="黑体" w:eastAsia="黑体"/>
                <w:sz w:val="18"/>
                <w:szCs w:val="18"/>
              </w:rPr>
              <w:t>供方所修复的产品，供方应在产品维修处贴上供方公司标签并注明修复日期，验</w:t>
            </w:r>
          </w:p>
          <w:p w14:paraId="272B4220">
            <w:pPr>
              <w:pStyle w:val="132"/>
              <w:kinsoku w:val="0"/>
              <w:overflowPunct w:val="0"/>
              <w:spacing w:line="217" w:lineRule="exact"/>
              <w:ind w:left="109"/>
              <w:rPr>
                <w:rFonts w:ascii="黑体" w:hAnsi="黑体" w:eastAsia="黑体"/>
                <w:sz w:val="18"/>
                <w:szCs w:val="18"/>
              </w:rPr>
            </w:pPr>
            <w:r>
              <w:rPr>
                <w:rFonts w:hint="eastAsia" w:ascii="黑体" w:hAnsi="黑体" w:eastAsia="黑体"/>
                <w:sz w:val="18"/>
                <w:szCs w:val="18"/>
              </w:rPr>
              <w:t>收合格后，在维保期内产品维保期限增加</w:t>
            </w:r>
            <w:r>
              <w:rPr>
                <w:rFonts w:ascii="黑体" w:hAnsi="黑体" w:eastAsia="黑体"/>
                <w:sz w:val="18"/>
                <w:szCs w:val="18"/>
              </w:rPr>
              <w:t xml:space="preserve"> </w:t>
            </w:r>
            <w:r>
              <w:rPr>
                <w:rFonts w:ascii="黑体" w:hAnsi="黑体" w:eastAsia="黑体" w:cs="Calibri"/>
                <w:sz w:val="18"/>
                <w:szCs w:val="18"/>
              </w:rPr>
              <w:t xml:space="preserve">6 </w:t>
            </w:r>
            <w:r>
              <w:rPr>
                <w:rFonts w:hint="eastAsia" w:ascii="黑体" w:hAnsi="黑体" w:eastAsia="黑体"/>
                <w:sz w:val="18"/>
                <w:szCs w:val="18"/>
              </w:rPr>
              <w:t>个月，在维保期外产品保修</w:t>
            </w:r>
            <w:r>
              <w:rPr>
                <w:rFonts w:ascii="黑体" w:hAnsi="黑体" w:eastAsia="黑体"/>
                <w:sz w:val="18"/>
                <w:szCs w:val="18"/>
              </w:rPr>
              <w:t xml:space="preserve"> </w:t>
            </w:r>
            <w:r>
              <w:rPr>
                <w:rFonts w:ascii="黑体" w:hAnsi="黑体" w:eastAsia="黑体" w:cs="Calibri"/>
                <w:sz w:val="18"/>
                <w:szCs w:val="18"/>
              </w:rPr>
              <w:t xml:space="preserve">6 </w:t>
            </w:r>
            <w:r>
              <w:rPr>
                <w:rFonts w:hint="eastAsia" w:ascii="黑体" w:hAnsi="黑体" w:eastAsia="黑体"/>
                <w:sz w:val="18"/>
                <w:szCs w:val="18"/>
              </w:rPr>
              <w:t>个月。</w:t>
            </w:r>
          </w:p>
        </w:tc>
        <w:tc>
          <w:tcPr>
            <w:tcW w:w="1133" w:type="dxa"/>
            <w:tcBorders>
              <w:top w:val="single" w:color="000000" w:sz="4" w:space="0"/>
              <w:left w:val="single" w:color="000000" w:sz="4" w:space="0"/>
              <w:bottom w:val="single" w:color="000000" w:sz="4" w:space="0"/>
              <w:right w:val="single" w:color="000000" w:sz="4" w:space="0"/>
            </w:tcBorders>
          </w:tcPr>
          <w:p w14:paraId="3DCA7ABC">
            <w:pPr>
              <w:pStyle w:val="132"/>
              <w:kinsoku w:val="0"/>
              <w:overflowPunct w:val="0"/>
              <w:rPr>
                <w:rFonts w:ascii="黑体" w:hAnsi="黑体" w:eastAsia="黑体" w:cs="Times New Roman"/>
                <w:sz w:val="18"/>
                <w:szCs w:val="18"/>
              </w:rPr>
            </w:pPr>
          </w:p>
        </w:tc>
      </w:tr>
      <w:tr w14:paraId="79EB65A5">
        <w:tblPrEx>
          <w:tblCellMar>
            <w:top w:w="0" w:type="dxa"/>
            <w:left w:w="0" w:type="dxa"/>
            <w:bottom w:w="0" w:type="dxa"/>
            <w:right w:w="0" w:type="dxa"/>
          </w:tblCellMar>
        </w:tblPrEx>
        <w:trPr>
          <w:trHeight w:val="465" w:hRule="atLeast"/>
        </w:trPr>
        <w:tc>
          <w:tcPr>
            <w:tcW w:w="1172" w:type="dxa"/>
            <w:tcBorders>
              <w:top w:val="single" w:color="000000" w:sz="4" w:space="0"/>
              <w:left w:val="single" w:color="000000" w:sz="4" w:space="0"/>
              <w:bottom w:val="single" w:color="000000" w:sz="4" w:space="0"/>
              <w:right w:val="single" w:color="000000" w:sz="4" w:space="0"/>
            </w:tcBorders>
          </w:tcPr>
          <w:p w14:paraId="34F06249">
            <w:pPr>
              <w:pStyle w:val="132"/>
              <w:kinsoku w:val="0"/>
              <w:overflowPunct w:val="0"/>
              <w:spacing w:before="107"/>
              <w:ind w:left="373" w:right="258"/>
              <w:rPr>
                <w:rFonts w:ascii="黑体" w:hAnsi="黑体" w:eastAsia="黑体"/>
                <w:sz w:val="18"/>
                <w:szCs w:val="18"/>
              </w:rPr>
            </w:pPr>
            <w:r>
              <w:rPr>
                <w:rFonts w:ascii="黑体" w:hAnsi="黑体" w:eastAsia="黑体"/>
                <w:sz w:val="18"/>
                <w:szCs w:val="18"/>
              </w:rPr>
              <w:t xml:space="preserve">5 </w:t>
            </w:r>
          </w:p>
        </w:tc>
        <w:tc>
          <w:tcPr>
            <w:tcW w:w="6881" w:type="dxa"/>
            <w:tcBorders>
              <w:top w:val="single" w:color="000000" w:sz="4" w:space="0"/>
              <w:left w:val="single" w:color="000000" w:sz="4" w:space="0"/>
              <w:bottom w:val="single" w:color="000000" w:sz="4" w:space="0"/>
              <w:right w:val="single" w:color="000000" w:sz="4" w:space="0"/>
            </w:tcBorders>
          </w:tcPr>
          <w:p w14:paraId="618191C7">
            <w:pPr>
              <w:pStyle w:val="132"/>
              <w:kinsoku w:val="0"/>
              <w:overflowPunct w:val="0"/>
              <w:spacing w:line="228" w:lineRule="exact"/>
              <w:ind w:left="109"/>
              <w:rPr>
                <w:rFonts w:ascii="黑体" w:hAnsi="黑体" w:eastAsia="黑体"/>
                <w:sz w:val="18"/>
                <w:szCs w:val="18"/>
              </w:rPr>
            </w:pPr>
            <w:r>
              <w:rPr>
                <w:rFonts w:hint="eastAsia" w:ascii="黑体" w:hAnsi="黑体" w:eastAsia="黑体"/>
                <w:sz w:val="18"/>
                <w:szCs w:val="18"/>
              </w:rPr>
              <w:t>对于超过免费保修期的故障硬件供应商需要提供有偿的维修服务，其他服务仍需免费</w:t>
            </w:r>
          </w:p>
          <w:p w14:paraId="4700925E">
            <w:pPr>
              <w:pStyle w:val="132"/>
              <w:kinsoku w:val="0"/>
              <w:overflowPunct w:val="0"/>
              <w:spacing w:before="4" w:line="213" w:lineRule="exact"/>
              <w:ind w:left="109"/>
              <w:rPr>
                <w:rFonts w:ascii="黑体" w:hAnsi="黑体" w:eastAsia="黑体"/>
                <w:sz w:val="18"/>
                <w:szCs w:val="18"/>
              </w:rPr>
            </w:pPr>
            <w:r>
              <w:rPr>
                <w:rFonts w:hint="eastAsia" w:ascii="黑体" w:hAnsi="黑体" w:eastAsia="黑体"/>
                <w:sz w:val="18"/>
                <w:szCs w:val="18"/>
              </w:rPr>
              <w:t>提供。</w:t>
            </w:r>
          </w:p>
        </w:tc>
        <w:tc>
          <w:tcPr>
            <w:tcW w:w="1133" w:type="dxa"/>
            <w:tcBorders>
              <w:top w:val="single" w:color="000000" w:sz="4" w:space="0"/>
              <w:left w:val="single" w:color="000000" w:sz="4" w:space="0"/>
              <w:bottom w:val="single" w:color="000000" w:sz="4" w:space="0"/>
              <w:right w:val="single" w:color="000000" w:sz="4" w:space="0"/>
            </w:tcBorders>
          </w:tcPr>
          <w:p w14:paraId="3C58F29E">
            <w:pPr>
              <w:pStyle w:val="132"/>
              <w:kinsoku w:val="0"/>
              <w:overflowPunct w:val="0"/>
              <w:rPr>
                <w:rFonts w:ascii="黑体" w:hAnsi="黑体" w:eastAsia="黑体" w:cs="Times New Roman"/>
                <w:sz w:val="18"/>
                <w:szCs w:val="18"/>
              </w:rPr>
            </w:pPr>
          </w:p>
        </w:tc>
      </w:tr>
      <w:tr w14:paraId="582BDAFB">
        <w:tblPrEx>
          <w:tblCellMar>
            <w:top w:w="0" w:type="dxa"/>
            <w:left w:w="0" w:type="dxa"/>
            <w:bottom w:w="0" w:type="dxa"/>
            <w:right w:w="0" w:type="dxa"/>
          </w:tblCellMar>
        </w:tblPrEx>
        <w:trPr>
          <w:trHeight w:val="263" w:hRule="atLeast"/>
        </w:trPr>
        <w:tc>
          <w:tcPr>
            <w:tcW w:w="1172" w:type="dxa"/>
            <w:tcBorders>
              <w:top w:val="single" w:color="000000" w:sz="4" w:space="0"/>
              <w:left w:val="single" w:color="000000" w:sz="4" w:space="0"/>
              <w:bottom w:val="single" w:color="000000" w:sz="4" w:space="0"/>
              <w:right w:val="single" w:color="000000" w:sz="4" w:space="0"/>
            </w:tcBorders>
          </w:tcPr>
          <w:p w14:paraId="2FA42B7E">
            <w:pPr>
              <w:pStyle w:val="132"/>
              <w:kinsoku w:val="0"/>
              <w:overflowPunct w:val="0"/>
              <w:spacing w:before="6" w:line="237" w:lineRule="exact"/>
              <w:ind w:left="373" w:right="258"/>
              <w:rPr>
                <w:rFonts w:ascii="黑体" w:hAnsi="黑体" w:eastAsia="黑体"/>
                <w:sz w:val="18"/>
                <w:szCs w:val="18"/>
              </w:rPr>
            </w:pPr>
            <w:r>
              <w:rPr>
                <w:rFonts w:ascii="黑体" w:hAnsi="黑体" w:eastAsia="黑体"/>
                <w:sz w:val="18"/>
                <w:szCs w:val="18"/>
              </w:rPr>
              <w:t xml:space="preserve">6 </w:t>
            </w:r>
          </w:p>
        </w:tc>
        <w:tc>
          <w:tcPr>
            <w:tcW w:w="6881" w:type="dxa"/>
            <w:tcBorders>
              <w:top w:val="single" w:color="000000" w:sz="4" w:space="0"/>
              <w:left w:val="single" w:color="000000" w:sz="4" w:space="0"/>
              <w:bottom w:val="single" w:color="000000" w:sz="4" w:space="0"/>
              <w:right w:val="single" w:color="000000" w:sz="4" w:space="0"/>
            </w:tcBorders>
          </w:tcPr>
          <w:p w14:paraId="03825BC8">
            <w:pPr>
              <w:pStyle w:val="132"/>
              <w:kinsoku w:val="0"/>
              <w:overflowPunct w:val="0"/>
              <w:spacing w:before="2"/>
              <w:ind w:left="109"/>
              <w:rPr>
                <w:rFonts w:ascii="黑体" w:hAnsi="黑体" w:eastAsia="黑体"/>
                <w:sz w:val="18"/>
                <w:szCs w:val="18"/>
              </w:rPr>
            </w:pPr>
            <w:r>
              <w:rPr>
                <w:rFonts w:hint="eastAsia" w:ascii="黑体" w:hAnsi="黑体" w:eastAsia="黑体"/>
                <w:sz w:val="18"/>
                <w:szCs w:val="18"/>
              </w:rPr>
              <w:t>同一物料一年内出现一次以上故障或单次故障维修一次以上未能解决问题。</w:t>
            </w:r>
            <w:r>
              <w:rPr>
                <w:rFonts w:ascii="黑体" w:hAnsi="黑体" w:eastAsia="黑体"/>
                <w:sz w:val="18"/>
                <w:szCs w:val="18"/>
              </w:rPr>
              <w:t xml:space="preserve"> </w:t>
            </w:r>
          </w:p>
        </w:tc>
        <w:tc>
          <w:tcPr>
            <w:tcW w:w="1133" w:type="dxa"/>
            <w:tcBorders>
              <w:top w:val="single" w:color="000000" w:sz="4" w:space="0"/>
              <w:left w:val="single" w:color="000000" w:sz="4" w:space="0"/>
              <w:bottom w:val="single" w:color="000000" w:sz="4" w:space="0"/>
              <w:right w:val="single" w:color="000000" w:sz="4" w:space="0"/>
            </w:tcBorders>
          </w:tcPr>
          <w:p w14:paraId="4FB1C3BB">
            <w:pPr>
              <w:pStyle w:val="132"/>
              <w:kinsoku w:val="0"/>
              <w:overflowPunct w:val="0"/>
              <w:rPr>
                <w:rFonts w:ascii="黑体" w:hAnsi="黑体" w:eastAsia="黑体" w:cs="Times New Roman"/>
                <w:sz w:val="18"/>
                <w:szCs w:val="18"/>
              </w:rPr>
            </w:pPr>
          </w:p>
        </w:tc>
      </w:tr>
    </w:tbl>
    <w:p w14:paraId="47F8187A">
      <w:pPr>
        <w:pStyle w:val="49"/>
        <w:tabs>
          <w:tab w:val="left" w:pos="941"/>
        </w:tabs>
        <w:kinsoku w:val="0"/>
        <w:overflowPunct w:val="0"/>
        <w:autoSpaceDE w:val="0"/>
        <w:autoSpaceDN w:val="0"/>
        <w:adjustRightInd w:val="0"/>
        <w:spacing w:before="196"/>
        <w:ind w:left="941" w:firstLine="0" w:firstLineChars="0"/>
        <w:jc w:val="left"/>
        <w:rPr>
          <w:rFonts w:ascii="黑体" w:hAnsi="黑体"/>
          <w:b/>
          <w:bCs/>
          <w:szCs w:val="18"/>
        </w:rPr>
        <w:sectPr>
          <w:pgSz w:w="11910" w:h="16840"/>
          <w:pgMar w:top="1660" w:right="700" w:bottom="1340" w:left="1220" w:header="720" w:footer="1146" w:gutter="0"/>
          <w:pgNumType w:fmt="decimal"/>
          <w:cols w:space="720" w:num="1"/>
        </w:sectPr>
      </w:pPr>
    </w:p>
    <w:p w14:paraId="7E38DC0E">
      <w:pPr>
        <w:pStyle w:val="3"/>
        <w:jc w:val="left"/>
      </w:pPr>
      <w:bookmarkStart w:id="107" w:name="_Toc174556822"/>
      <w:bookmarkStart w:id="108" w:name="_Toc312832014"/>
      <w:bookmarkStart w:id="109" w:name="OLE_LINK12"/>
      <w:bookmarkStart w:id="110" w:name="OLE_LINK13"/>
      <w:r>
        <w:rPr>
          <w:rFonts w:hint="eastAsia"/>
        </w:rPr>
        <w:t>混凝土硬化地面</w:t>
      </w:r>
      <w:bookmarkEnd w:id="107"/>
    </w:p>
    <w:p w14:paraId="7FF04524">
      <w:pPr>
        <w:pStyle w:val="97"/>
        <w:rPr>
          <w:b/>
        </w:rPr>
      </w:pPr>
      <w:r>
        <w:rPr>
          <w:rFonts w:hint="eastAsia"/>
          <w:b/>
        </w:rPr>
        <w:t>适用范围</w:t>
      </w:r>
    </w:p>
    <w:p w14:paraId="432C9180">
      <w:pPr>
        <w:spacing w:line="360" w:lineRule="auto"/>
        <w:ind w:left="729" w:leftChars="405"/>
        <w:jc w:val="left"/>
        <w:rPr>
          <w:rFonts w:ascii="黑体" w:hAnsi="黑体" w:cs="宋体"/>
          <w:kern w:val="0"/>
          <w:szCs w:val="18"/>
        </w:rPr>
      </w:pPr>
      <w:r>
        <w:rPr>
          <w:rFonts w:hint="eastAsia" w:ascii="黑体" w:hAnsi="黑体" w:cs="宋体"/>
          <w:kern w:val="0"/>
          <w:szCs w:val="18"/>
        </w:rPr>
        <w:t>本技术要求适用于在建项目的混凝土硬化地面。</w:t>
      </w:r>
    </w:p>
    <w:p w14:paraId="46FD8CD3">
      <w:pPr>
        <w:pStyle w:val="97"/>
        <w:rPr>
          <w:b/>
        </w:rPr>
      </w:pPr>
      <w:r>
        <w:rPr>
          <w:rFonts w:hint="eastAsia"/>
          <w:b/>
        </w:rPr>
        <w:t>材料要求</w:t>
      </w:r>
    </w:p>
    <w:p w14:paraId="0E905DB1">
      <w:pPr>
        <w:pStyle w:val="49"/>
        <w:numPr>
          <w:ilvl w:val="0"/>
          <w:numId w:val="142"/>
        </w:numPr>
        <w:spacing w:line="400" w:lineRule="exact"/>
        <w:ind w:firstLineChars="0"/>
        <w:jc w:val="left"/>
        <w:rPr>
          <w:rFonts w:ascii="黑体" w:hAnsi="黑体"/>
          <w:szCs w:val="18"/>
        </w:rPr>
      </w:pPr>
      <w:r>
        <w:rPr>
          <w:rFonts w:hint="eastAsia" w:ascii="黑体" w:hAnsi="黑体"/>
          <w:szCs w:val="18"/>
        </w:rPr>
        <w:t>渗透型液体硬化剂。</w:t>
      </w:r>
      <w:bookmarkEnd w:id="108"/>
    </w:p>
    <w:p w14:paraId="57CD7076">
      <w:pPr>
        <w:pStyle w:val="97"/>
        <w:rPr>
          <w:b/>
        </w:rPr>
      </w:pPr>
      <w:r>
        <w:rPr>
          <w:rFonts w:hint="eastAsia"/>
          <w:b/>
        </w:rPr>
        <w:t>相关</w:t>
      </w:r>
      <w:r>
        <w:rPr>
          <w:b/>
        </w:rPr>
        <w:t>规范</w:t>
      </w:r>
    </w:p>
    <w:p w14:paraId="1F0032D3">
      <w:pPr>
        <w:pStyle w:val="49"/>
        <w:numPr>
          <w:ilvl w:val="0"/>
          <w:numId w:val="142"/>
        </w:numPr>
        <w:spacing w:line="400" w:lineRule="exact"/>
        <w:ind w:firstLineChars="0"/>
        <w:jc w:val="left"/>
        <w:rPr>
          <w:rFonts w:ascii="黑体" w:hAnsi="黑体"/>
          <w:szCs w:val="18"/>
        </w:rPr>
      </w:pPr>
      <w:r>
        <w:rPr>
          <w:rFonts w:hint="eastAsia" w:ascii="黑体" w:hAnsi="黑体"/>
          <w:szCs w:val="18"/>
        </w:rPr>
        <w:t>JC</w:t>
      </w:r>
      <w:r>
        <w:rPr>
          <w:rFonts w:ascii="黑体" w:hAnsi="黑体"/>
          <w:szCs w:val="18"/>
        </w:rPr>
        <w:t>/T 2158</w:t>
      </w:r>
      <w:r>
        <w:rPr>
          <w:rFonts w:hint="eastAsia" w:ascii="黑体" w:hAnsi="黑体"/>
          <w:szCs w:val="18"/>
        </w:rPr>
        <w:t>《渗透型</w:t>
      </w:r>
      <w:r>
        <w:rPr>
          <w:rFonts w:ascii="黑体" w:hAnsi="黑体"/>
          <w:szCs w:val="18"/>
        </w:rPr>
        <w:t>液体硬化剂》</w:t>
      </w:r>
      <w:r>
        <w:rPr>
          <w:rFonts w:hint="eastAsia" w:ascii="黑体" w:hAnsi="黑体"/>
          <w:szCs w:val="18"/>
        </w:rPr>
        <w:t>；</w:t>
      </w:r>
    </w:p>
    <w:p w14:paraId="4BD25610">
      <w:pPr>
        <w:pStyle w:val="49"/>
        <w:numPr>
          <w:ilvl w:val="0"/>
          <w:numId w:val="142"/>
        </w:numPr>
        <w:spacing w:line="400" w:lineRule="exact"/>
        <w:ind w:firstLineChars="0"/>
        <w:jc w:val="left"/>
        <w:rPr>
          <w:rFonts w:ascii="黑体" w:hAnsi="黑体"/>
          <w:szCs w:val="18"/>
        </w:rPr>
      </w:pPr>
      <w:r>
        <w:rPr>
          <w:rFonts w:hint="eastAsia" w:ascii="黑体" w:hAnsi="黑体"/>
          <w:szCs w:val="18"/>
        </w:rPr>
        <w:t>JC</w:t>
      </w:r>
      <w:r>
        <w:rPr>
          <w:rFonts w:ascii="黑体" w:hAnsi="黑体"/>
          <w:szCs w:val="18"/>
        </w:rPr>
        <w:t xml:space="preserve">/T </w:t>
      </w:r>
      <w:r>
        <w:rPr>
          <w:rFonts w:hint="eastAsia" w:ascii="黑体" w:hAnsi="黑体"/>
          <w:szCs w:val="18"/>
        </w:rPr>
        <w:t>906《混凝土地面用水泥基耐磨材料</w:t>
      </w:r>
      <w:r>
        <w:rPr>
          <w:rFonts w:ascii="黑体" w:hAnsi="黑体"/>
          <w:szCs w:val="18"/>
        </w:rPr>
        <w:t>》</w:t>
      </w:r>
      <w:r>
        <w:rPr>
          <w:rFonts w:hint="eastAsia" w:ascii="黑体" w:hAnsi="黑体"/>
          <w:szCs w:val="18"/>
        </w:rPr>
        <w:t>；</w:t>
      </w:r>
    </w:p>
    <w:p w14:paraId="034A05CF">
      <w:pPr>
        <w:pStyle w:val="49"/>
        <w:numPr>
          <w:ilvl w:val="0"/>
          <w:numId w:val="142"/>
        </w:numPr>
        <w:spacing w:line="400" w:lineRule="exact"/>
        <w:ind w:firstLineChars="0"/>
        <w:jc w:val="left"/>
        <w:rPr>
          <w:rFonts w:ascii="黑体" w:hAnsi="黑体"/>
          <w:szCs w:val="18"/>
        </w:rPr>
      </w:pPr>
      <w:r>
        <w:rPr>
          <w:rFonts w:hint="eastAsia" w:ascii="黑体" w:hAnsi="黑体"/>
          <w:szCs w:val="18"/>
        </w:rPr>
        <w:t>CECS 328《整体地面工程技术规程》；</w:t>
      </w:r>
    </w:p>
    <w:p w14:paraId="1557A59C">
      <w:pPr>
        <w:pStyle w:val="49"/>
        <w:numPr>
          <w:ilvl w:val="0"/>
          <w:numId w:val="142"/>
        </w:numPr>
        <w:spacing w:line="400" w:lineRule="exact"/>
        <w:ind w:firstLineChars="0"/>
        <w:jc w:val="left"/>
        <w:rPr>
          <w:rFonts w:ascii="黑体" w:hAnsi="黑体"/>
          <w:szCs w:val="18"/>
        </w:rPr>
      </w:pPr>
      <w:r>
        <w:rPr>
          <w:rFonts w:hint="eastAsia" w:ascii="黑体" w:hAnsi="黑体"/>
          <w:szCs w:val="18"/>
        </w:rPr>
        <w:t>GB50037《建筑地面设计规范》；</w:t>
      </w:r>
    </w:p>
    <w:p w14:paraId="12F60A3E">
      <w:pPr>
        <w:pStyle w:val="49"/>
        <w:numPr>
          <w:ilvl w:val="0"/>
          <w:numId w:val="142"/>
        </w:numPr>
        <w:spacing w:line="400" w:lineRule="exact"/>
        <w:ind w:firstLineChars="0"/>
        <w:jc w:val="left"/>
        <w:rPr>
          <w:rFonts w:ascii="黑体" w:hAnsi="黑体"/>
          <w:szCs w:val="18"/>
        </w:rPr>
      </w:pPr>
      <w:r>
        <w:rPr>
          <w:rFonts w:hint="eastAsia" w:ascii="黑体" w:hAnsi="黑体"/>
          <w:szCs w:val="18"/>
        </w:rPr>
        <w:t>GB50209《建筑地面工程施工质量验收规范》；</w:t>
      </w:r>
    </w:p>
    <w:p w14:paraId="67DF2658">
      <w:pPr>
        <w:pStyle w:val="49"/>
        <w:numPr>
          <w:ilvl w:val="0"/>
          <w:numId w:val="142"/>
        </w:numPr>
        <w:spacing w:line="400" w:lineRule="exact"/>
        <w:ind w:firstLineChars="0"/>
        <w:jc w:val="left"/>
        <w:rPr>
          <w:rFonts w:ascii="黑体" w:hAnsi="黑体"/>
          <w:szCs w:val="18"/>
        </w:rPr>
      </w:pPr>
      <w:r>
        <w:rPr>
          <w:rFonts w:ascii="黑体" w:hAnsi="黑体"/>
          <w:szCs w:val="18"/>
        </w:rPr>
        <w:t>12J304</w:t>
      </w:r>
      <w:r>
        <w:rPr>
          <w:rFonts w:hint="eastAsia" w:ascii="黑体" w:hAnsi="黑体"/>
          <w:szCs w:val="18"/>
        </w:rPr>
        <w:t>《楼地面</w:t>
      </w:r>
      <w:r>
        <w:rPr>
          <w:rFonts w:ascii="黑体" w:hAnsi="黑体"/>
          <w:szCs w:val="18"/>
        </w:rPr>
        <w:t>建筑</w:t>
      </w:r>
      <w:r>
        <w:rPr>
          <w:rFonts w:hint="eastAsia" w:ascii="黑体" w:hAnsi="黑体"/>
          <w:szCs w:val="18"/>
        </w:rPr>
        <w:t>构造</w:t>
      </w:r>
      <w:r>
        <w:rPr>
          <w:rFonts w:ascii="黑体" w:hAnsi="黑体"/>
          <w:szCs w:val="18"/>
        </w:rPr>
        <w:t>》</w:t>
      </w:r>
      <w:r>
        <w:rPr>
          <w:rFonts w:hint="eastAsia" w:ascii="黑体" w:hAnsi="黑体"/>
          <w:szCs w:val="18"/>
        </w:rPr>
        <w:t>；</w:t>
      </w:r>
    </w:p>
    <w:p w14:paraId="386F814C">
      <w:pPr>
        <w:pStyle w:val="49"/>
        <w:numPr>
          <w:ilvl w:val="0"/>
          <w:numId w:val="142"/>
        </w:numPr>
        <w:spacing w:line="400" w:lineRule="exact"/>
        <w:ind w:firstLineChars="0"/>
        <w:jc w:val="left"/>
        <w:rPr>
          <w:rFonts w:ascii="黑体" w:hAnsi="黑体"/>
          <w:szCs w:val="18"/>
        </w:rPr>
      </w:pPr>
      <w:r>
        <w:rPr>
          <w:rFonts w:hint="eastAsia" w:ascii="黑体" w:hAnsi="黑体"/>
          <w:szCs w:val="18"/>
        </w:rPr>
        <w:t>GB</w:t>
      </w:r>
      <w:r>
        <w:rPr>
          <w:rFonts w:ascii="黑体" w:hAnsi="黑体"/>
          <w:szCs w:val="18"/>
        </w:rPr>
        <w:t xml:space="preserve"> 18582</w:t>
      </w:r>
      <w:r>
        <w:rPr>
          <w:rFonts w:hint="eastAsia" w:ascii="黑体" w:hAnsi="黑体"/>
          <w:szCs w:val="18"/>
        </w:rPr>
        <w:t>《室内</w:t>
      </w:r>
      <w:r>
        <w:rPr>
          <w:rFonts w:ascii="黑体" w:hAnsi="黑体"/>
          <w:szCs w:val="18"/>
        </w:rPr>
        <w:t>装饰装修材料</w:t>
      </w:r>
      <w:r>
        <w:rPr>
          <w:rFonts w:hint="eastAsia" w:ascii="黑体" w:hAnsi="黑体"/>
          <w:szCs w:val="18"/>
        </w:rPr>
        <w:t>内墙</w:t>
      </w:r>
      <w:r>
        <w:rPr>
          <w:rFonts w:ascii="黑体" w:hAnsi="黑体"/>
          <w:szCs w:val="18"/>
        </w:rPr>
        <w:t>涂料中有害物质限量》</w:t>
      </w:r>
      <w:r>
        <w:rPr>
          <w:rFonts w:hint="eastAsia" w:ascii="黑体" w:hAnsi="黑体"/>
          <w:szCs w:val="18"/>
        </w:rPr>
        <w:t>；</w:t>
      </w:r>
    </w:p>
    <w:p w14:paraId="2338474E">
      <w:pPr>
        <w:pStyle w:val="49"/>
        <w:numPr>
          <w:ilvl w:val="0"/>
          <w:numId w:val="142"/>
        </w:numPr>
        <w:spacing w:line="400" w:lineRule="exact"/>
        <w:ind w:firstLineChars="0"/>
        <w:jc w:val="left"/>
        <w:rPr>
          <w:rFonts w:ascii="黑体" w:hAnsi="黑体"/>
          <w:szCs w:val="18"/>
        </w:rPr>
      </w:pPr>
      <w:r>
        <w:rPr>
          <w:rFonts w:hint="eastAsia" w:ascii="黑体" w:hAnsi="黑体"/>
          <w:szCs w:val="18"/>
        </w:rPr>
        <w:t>JC/T906《混凝土地面用水泥基耐磨材料》；</w:t>
      </w:r>
    </w:p>
    <w:p w14:paraId="51EC0C23">
      <w:pPr>
        <w:pStyle w:val="49"/>
        <w:numPr>
          <w:ilvl w:val="0"/>
          <w:numId w:val="142"/>
        </w:numPr>
        <w:spacing w:line="400" w:lineRule="exact"/>
        <w:ind w:firstLineChars="0"/>
        <w:jc w:val="left"/>
        <w:rPr>
          <w:rFonts w:ascii="黑体" w:hAnsi="黑体"/>
          <w:szCs w:val="18"/>
        </w:rPr>
      </w:pPr>
      <w:r>
        <w:rPr>
          <w:rFonts w:ascii="黑体" w:hAnsi="黑体"/>
          <w:szCs w:val="18"/>
        </w:rPr>
        <w:t>GB8624</w:t>
      </w:r>
      <w:r>
        <w:rPr>
          <w:rFonts w:hint="eastAsia" w:ascii="黑体" w:hAnsi="黑体"/>
          <w:szCs w:val="18"/>
        </w:rPr>
        <w:t>《建筑材料及制品燃烧性能分级》；</w:t>
      </w:r>
    </w:p>
    <w:p w14:paraId="0232BC19">
      <w:pPr>
        <w:pStyle w:val="49"/>
        <w:numPr>
          <w:ilvl w:val="0"/>
          <w:numId w:val="142"/>
        </w:numPr>
        <w:spacing w:line="400" w:lineRule="exact"/>
        <w:ind w:firstLineChars="0"/>
        <w:jc w:val="left"/>
        <w:rPr>
          <w:rFonts w:ascii="黑体" w:hAnsi="黑体"/>
          <w:szCs w:val="18"/>
        </w:rPr>
      </w:pPr>
      <w:r>
        <w:rPr>
          <w:rFonts w:hint="eastAsia" w:ascii="黑体" w:hAnsi="黑体"/>
          <w:szCs w:val="18"/>
        </w:rPr>
        <w:t>GB</w:t>
      </w:r>
      <w:r>
        <w:rPr>
          <w:rFonts w:ascii="黑体" w:hAnsi="黑体"/>
          <w:szCs w:val="18"/>
        </w:rPr>
        <w:t>50222</w:t>
      </w:r>
      <w:r>
        <w:rPr>
          <w:rFonts w:hint="eastAsia" w:ascii="黑体" w:hAnsi="黑体"/>
          <w:szCs w:val="18"/>
        </w:rPr>
        <w:t>《建筑</w:t>
      </w:r>
      <w:r>
        <w:rPr>
          <w:rFonts w:ascii="黑体" w:hAnsi="黑体"/>
          <w:szCs w:val="18"/>
        </w:rPr>
        <w:t>内部装修设计防火规范》</w:t>
      </w:r>
      <w:r>
        <w:rPr>
          <w:rFonts w:hint="eastAsia" w:ascii="黑体" w:hAnsi="黑体"/>
          <w:szCs w:val="18"/>
        </w:rPr>
        <w:t>；</w:t>
      </w:r>
    </w:p>
    <w:p w14:paraId="064DC8C4">
      <w:pPr>
        <w:pStyle w:val="49"/>
        <w:numPr>
          <w:ilvl w:val="0"/>
          <w:numId w:val="142"/>
        </w:numPr>
        <w:spacing w:line="400" w:lineRule="exact"/>
        <w:ind w:firstLineChars="0"/>
        <w:jc w:val="left"/>
        <w:rPr>
          <w:rFonts w:ascii="黑体" w:hAnsi="黑体"/>
          <w:szCs w:val="18"/>
        </w:rPr>
      </w:pPr>
      <w:r>
        <w:rPr>
          <w:rFonts w:hint="eastAsia" w:ascii="黑体" w:hAnsi="黑体"/>
          <w:szCs w:val="18"/>
        </w:rPr>
        <w:t>GB</w:t>
      </w:r>
      <w:r>
        <w:rPr>
          <w:rFonts w:ascii="黑体" w:hAnsi="黑体"/>
          <w:szCs w:val="18"/>
        </w:rPr>
        <w:t>500067</w:t>
      </w:r>
      <w:r>
        <w:rPr>
          <w:rFonts w:hint="eastAsia" w:ascii="黑体" w:hAnsi="黑体"/>
          <w:szCs w:val="18"/>
        </w:rPr>
        <w:t>《汽车库</w:t>
      </w:r>
      <w:r>
        <w:rPr>
          <w:rFonts w:ascii="黑体" w:hAnsi="黑体"/>
          <w:szCs w:val="18"/>
        </w:rPr>
        <w:t>、修车库、停车场</w:t>
      </w:r>
      <w:r>
        <w:rPr>
          <w:rFonts w:hint="eastAsia" w:ascii="黑体" w:hAnsi="黑体"/>
          <w:szCs w:val="18"/>
        </w:rPr>
        <w:t>设计</w:t>
      </w:r>
      <w:r>
        <w:rPr>
          <w:rFonts w:ascii="黑体" w:hAnsi="黑体"/>
          <w:szCs w:val="18"/>
        </w:rPr>
        <w:t>防火规范》</w:t>
      </w:r>
      <w:r>
        <w:rPr>
          <w:rFonts w:hint="eastAsia" w:ascii="黑体" w:hAnsi="黑体"/>
          <w:szCs w:val="18"/>
        </w:rPr>
        <w:t>；</w:t>
      </w:r>
    </w:p>
    <w:p w14:paraId="5325F2DD">
      <w:pPr>
        <w:pStyle w:val="49"/>
        <w:numPr>
          <w:ilvl w:val="0"/>
          <w:numId w:val="142"/>
        </w:numPr>
        <w:spacing w:line="400" w:lineRule="exact"/>
        <w:ind w:firstLineChars="0"/>
        <w:jc w:val="left"/>
        <w:rPr>
          <w:rFonts w:ascii="黑体" w:hAnsi="黑体"/>
          <w:szCs w:val="18"/>
        </w:rPr>
      </w:pPr>
      <w:r>
        <w:rPr>
          <w:rFonts w:hint="eastAsia" w:ascii="黑体" w:hAnsi="黑体"/>
          <w:szCs w:val="18"/>
        </w:rPr>
        <w:t>DB11/T 944《防滑地面工程施工及验收规程》。</w:t>
      </w:r>
    </w:p>
    <w:p w14:paraId="446A122F">
      <w:pPr>
        <w:pStyle w:val="97"/>
        <w:rPr>
          <w:b/>
        </w:rPr>
      </w:pPr>
      <w:r>
        <w:rPr>
          <w:rFonts w:hint="eastAsia"/>
          <w:b/>
        </w:rPr>
        <w:t>混凝土硬化地面系统构造</w:t>
      </w:r>
    </w:p>
    <w:p w14:paraId="1E53B41E">
      <w:pPr>
        <w:pStyle w:val="49"/>
        <w:numPr>
          <w:ilvl w:val="0"/>
          <w:numId w:val="142"/>
        </w:numPr>
        <w:spacing w:line="400" w:lineRule="exact"/>
        <w:ind w:firstLineChars="0"/>
        <w:jc w:val="left"/>
        <w:rPr>
          <w:rFonts w:ascii="黑体" w:hAnsi="黑体"/>
          <w:szCs w:val="18"/>
        </w:rPr>
      </w:pPr>
      <w:r>
        <w:rPr>
          <w:rFonts w:hint="eastAsia" w:ascii="黑体" w:hAnsi="黑体"/>
          <w:szCs w:val="18"/>
        </w:rPr>
        <w:t>砼硬化地面系统</w:t>
      </w:r>
      <w:r>
        <w:rPr>
          <w:rFonts w:ascii="黑体" w:hAnsi="黑体"/>
          <w:szCs w:val="18"/>
        </w:rPr>
        <w:t>由</w:t>
      </w:r>
      <w:r>
        <w:rPr>
          <w:rFonts w:hint="eastAsia" w:ascii="黑体" w:hAnsi="黑体"/>
          <w:szCs w:val="18"/>
        </w:rPr>
        <w:t>混凝土基层</w:t>
      </w:r>
      <w:r>
        <w:rPr>
          <w:rFonts w:ascii="黑体" w:hAnsi="黑体"/>
          <w:szCs w:val="18"/>
        </w:rPr>
        <w:t>、</w:t>
      </w:r>
      <w:r>
        <w:rPr>
          <w:rFonts w:hint="eastAsia" w:ascii="黑体" w:hAnsi="黑体" w:cs="宋体"/>
          <w:kern w:val="0"/>
          <w:szCs w:val="18"/>
        </w:rPr>
        <w:t>渗透型液体硬化剂渗透层</w:t>
      </w:r>
      <w:r>
        <w:rPr>
          <w:rFonts w:ascii="黑体" w:hAnsi="黑体"/>
          <w:szCs w:val="18"/>
        </w:rPr>
        <w:t>构成</w:t>
      </w:r>
      <w:r>
        <w:rPr>
          <w:rFonts w:hint="eastAsia" w:ascii="黑体" w:hAnsi="黑体"/>
          <w:szCs w:val="18"/>
        </w:rPr>
        <w:t>（图8</w:t>
      </w:r>
      <w:r>
        <w:rPr>
          <w:rFonts w:ascii="黑体" w:hAnsi="黑体"/>
          <w:szCs w:val="18"/>
        </w:rPr>
        <w:t>.</w:t>
      </w:r>
      <w:r>
        <w:rPr>
          <w:rFonts w:hint="eastAsia" w:ascii="黑体" w:hAnsi="黑体"/>
          <w:szCs w:val="18"/>
        </w:rPr>
        <w:t>6.1）：</w:t>
      </w:r>
    </w:p>
    <w:p w14:paraId="266A82FE">
      <w:pPr>
        <w:jc w:val="left"/>
        <w:rPr>
          <w:rFonts w:ascii="黑体" w:hAnsi="黑体"/>
          <w:szCs w:val="18"/>
        </w:rPr>
      </w:pPr>
      <w:bookmarkStart w:id="111" w:name="_Toc498529154"/>
      <w:bookmarkStart w:id="112" w:name="_Toc498529544"/>
      <w:r>
        <w:rPr>
          <w:rFonts w:ascii="黑体" w:hAnsi="黑体"/>
          <w:szCs w:val="18"/>
        </w:rPr>
        <w:drawing>
          <wp:inline distT="0" distB="0" distL="0" distR="0">
            <wp:extent cx="2571750" cy="136588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5" cstate="print"/>
                    <a:srcRect t="4706"/>
                    <a:stretch>
                      <a:fillRect/>
                    </a:stretch>
                  </pic:blipFill>
                  <pic:spPr>
                    <a:xfrm>
                      <a:off x="0" y="0"/>
                      <a:ext cx="2571750" cy="1365978"/>
                    </a:xfrm>
                    <a:prstGeom prst="rect">
                      <a:avLst/>
                    </a:prstGeom>
                    <a:noFill/>
                    <a:ln w="9525">
                      <a:noFill/>
                      <a:miter lim="800000"/>
                      <a:headEnd/>
                      <a:tailEnd/>
                    </a:ln>
                  </pic:spPr>
                </pic:pic>
              </a:graphicData>
            </a:graphic>
          </wp:inline>
        </w:drawing>
      </w:r>
      <w:bookmarkEnd w:id="111"/>
      <w:bookmarkEnd w:id="112"/>
    </w:p>
    <w:p w14:paraId="61549248">
      <w:pPr>
        <w:spacing w:line="400" w:lineRule="exact"/>
        <w:ind w:firstLine="1530" w:firstLineChars="850"/>
        <w:jc w:val="left"/>
        <w:rPr>
          <w:rFonts w:ascii="黑体" w:hAnsi="黑体" w:cs="宋体"/>
          <w:kern w:val="0"/>
          <w:szCs w:val="18"/>
        </w:rPr>
      </w:pPr>
      <w:r>
        <w:rPr>
          <w:rFonts w:hint="eastAsia" w:ascii="黑体" w:hAnsi="黑体" w:cs="宋体"/>
          <w:kern w:val="0"/>
          <w:szCs w:val="18"/>
        </w:rPr>
        <w:t>图8</w:t>
      </w:r>
      <w:r>
        <w:rPr>
          <w:rFonts w:ascii="黑体" w:hAnsi="黑体" w:cs="宋体"/>
          <w:kern w:val="0"/>
          <w:szCs w:val="18"/>
        </w:rPr>
        <w:t>.</w:t>
      </w:r>
      <w:r>
        <w:rPr>
          <w:rFonts w:hint="eastAsia" w:ascii="黑体" w:hAnsi="黑体" w:cs="宋体"/>
          <w:kern w:val="0"/>
          <w:szCs w:val="18"/>
        </w:rPr>
        <w:t>6.1 渗透型液体硬化地面系统构造图</w:t>
      </w:r>
    </w:p>
    <w:p w14:paraId="6922D27A">
      <w:pPr>
        <w:spacing w:line="400" w:lineRule="exact"/>
        <w:ind w:firstLine="1080" w:firstLineChars="600"/>
        <w:jc w:val="left"/>
        <w:rPr>
          <w:rFonts w:ascii="黑体" w:hAnsi="黑体" w:cs="宋体"/>
          <w:kern w:val="0"/>
          <w:szCs w:val="18"/>
        </w:rPr>
      </w:pPr>
      <w:r>
        <w:rPr>
          <w:rFonts w:ascii="黑体" w:hAnsi="黑体" w:cs="宋体"/>
          <w:kern w:val="0"/>
          <w:szCs w:val="18"/>
        </w:rPr>
        <w:t>1—混凝土基层</w:t>
      </w:r>
      <w:r>
        <w:rPr>
          <w:rFonts w:ascii="Calibri" w:hAnsi="Calibri" w:cs="Calibri"/>
          <w:kern w:val="0"/>
          <w:szCs w:val="18"/>
        </w:rPr>
        <w:t>  </w:t>
      </w:r>
      <w:r>
        <w:rPr>
          <w:rFonts w:hint="eastAsia" w:ascii="黑体" w:hAnsi="黑体" w:cs="宋体"/>
          <w:kern w:val="0"/>
          <w:szCs w:val="18"/>
        </w:rPr>
        <w:t xml:space="preserve">    </w:t>
      </w:r>
      <w:r>
        <w:rPr>
          <w:rFonts w:ascii="黑体" w:hAnsi="黑体" w:cs="宋体"/>
          <w:kern w:val="0"/>
          <w:szCs w:val="18"/>
        </w:rPr>
        <w:t>2—</w:t>
      </w:r>
      <w:r>
        <w:rPr>
          <w:rFonts w:hint="eastAsia" w:ascii="黑体" w:hAnsi="黑体" w:cs="宋体"/>
          <w:kern w:val="0"/>
          <w:szCs w:val="18"/>
        </w:rPr>
        <w:t>渗透型液体硬化剂渗透层</w:t>
      </w:r>
    </w:p>
    <w:p w14:paraId="46BBBA78">
      <w:pPr>
        <w:pStyle w:val="49"/>
        <w:numPr>
          <w:ilvl w:val="0"/>
          <w:numId w:val="142"/>
        </w:numPr>
        <w:spacing w:line="400" w:lineRule="exact"/>
        <w:ind w:firstLineChars="0"/>
        <w:jc w:val="left"/>
        <w:rPr>
          <w:rFonts w:ascii="黑体" w:hAnsi="黑体"/>
          <w:szCs w:val="18"/>
        </w:rPr>
      </w:pPr>
      <w:r>
        <w:rPr>
          <w:rFonts w:hint="eastAsia" w:ascii="黑体" w:hAnsi="黑体"/>
          <w:szCs w:val="18"/>
        </w:rPr>
        <w:t>渗透型液体硬化剂地面系统：将渗透型液体硬化剂均匀涂布在水泥基地面上，形成的坚硬、耐磨的地面系统；</w:t>
      </w:r>
    </w:p>
    <w:p w14:paraId="33555029">
      <w:pPr>
        <w:pStyle w:val="49"/>
        <w:numPr>
          <w:ilvl w:val="0"/>
          <w:numId w:val="142"/>
        </w:numPr>
        <w:spacing w:line="400" w:lineRule="exact"/>
        <w:ind w:firstLineChars="0"/>
        <w:jc w:val="left"/>
        <w:rPr>
          <w:rFonts w:ascii="黑体" w:hAnsi="黑体"/>
          <w:szCs w:val="18"/>
        </w:rPr>
      </w:pPr>
      <w:r>
        <w:rPr>
          <w:rFonts w:hint="eastAsia" w:ascii="黑体" w:hAnsi="黑体"/>
          <w:szCs w:val="18"/>
        </w:rPr>
        <w:t>整体地面系统工程应根据使用功能、环境条件、地面结构、材料性能、施工工艺和工程特点、使用寿命进行系统设计。</w:t>
      </w:r>
    </w:p>
    <w:p w14:paraId="52556419">
      <w:pPr>
        <w:pStyle w:val="97"/>
        <w:rPr>
          <w:b/>
        </w:rPr>
      </w:pPr>
      <w:r>
        <w:rPr>
          <w:rFonts w:hint="eastAsia"/>
          <w:b/>
        </w:rPr>
        <w:t>技术指标</w:t>
      </w:r>
    </w:p>
    <w:p w14:paraId="79783023">
      <w:pPr>
        <w:widowControl/>
        <w:shd w:val="clear" w:color="auto" w:fill="FFFFFF"/>
        <w:spacing w:line="360" w:lineRule="auto"/>
        <w:jc w:val="left"/>
        <w:rPr>
          <w:rFonts w:ascii="黑体" w:hAnsi="黑体" w:cs="宋体"/>
          <w:kern w:val="0"/>
          <w:szCs w:val="18"/>
        </w:rPr>
      </w:pPr>
      <w:r>
        <w:rPr>
          <w:rFonts w:hint="eastAsia" w:ascii="黑体" w:hAnsi="黑体" w:cs="宋体"/>
          <w:kern w:val="0"/>
          <w:szCs w:val="18"/>
        </w:rPr>
        <w:t>表8</w:t>
      </w:r>
      <w:r>
        <w:rPr>
          <w:rFonts w:ascii="黑体" w:hAnsi="黑体" w:cs="宋体"/>
          <w:kern w:val="0"/>
          <w:szCs w:val="18"/>
        </w:rPr>
        <w:t>.6.</w:t>
      </w:r>
      <w:r>
        <w:rPr>
          <w:rFonts w:hint="eastAsia" w:ascii="黑体" w:hAnsi="黑体"/>
          <w:szCs w:val="18"/>
        </w:rPr>
        <w:t>5.1</w:t>
      </w:r>
      <w:r>
        <w:rPr>
          <w:rFonts w:hint="eastAsia" w:ascii="黑体" w:hAnsi="黑体" w:cs="宋体"/>
          <w:kern w:val="0"/>
          <w:szCs w:val="18"/>
        </w:rPr>
        <w:t>: 硬化地面技术指标</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2805"/>
        <w:gridCol w:w="4644"/>
        <w:gridCol w:w="1299"/>
      </w:tblGrid>
      <w:tr w14:paraId="4DF8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562" w:type="pct"/>
            <w:shd w:val="clear" w:color="auto" w:fill="F1F1F1" w:themeFill="background1" w:themeFillShade="F2"/>
            <w:vAlign w:val="center"/>
          </w:tcPr>
          <w:p w14:paraId="24FEA6C9">
            <w:pPr>
              <w:autoSpaceDE w:val="0"/>
              <w:autoSpaceDN w:val="0"/>
              <w:adjustRightInd w:val="0"/>
              <w:spacing w:line="400" w:lineRule="atLeast"/>
              <w:jc w:val="left"/>
              <w:rPr>
                <w:rFonts w:ascii="黑体" w:hAnsi="黑体"/>
                <w:b/>
                <w:szCs w:val="18"/>
              </w:rPr>
            </w:pPr>
            <w:r>
              <w:rPr>
                <w:rFonts w:hint="eastAsia" w:ascii="黑体" w:hAnsi="黑体"/>
                <w:b/>
                <w:szCs w:val="18"/>
              </w:rPr>
              <w:t>编号</w:t>
            </w:r>
          </w:p>
        </w:tc>
        <w:tc>
          <w:tcPr>
            <w:tcW w:w="1423" w:type="pct"/>
            <w:shd w:val="clear" w:color="auto" w:fill="F1F1F1" w:themeFill="background1" w:themeFillShade="F2"/>
            <w:vAlign w:val="center"/>
          </w:tcPr>
          <w:p w14:paraId="130A11B0">
            <w:pPr>
              <w:autoSpaceDE w:val="0"/>
              <w:autoSpaceDN w:val="0"/>
              <w:adjustRightInd w:val="0"/>
              <w:spacing w:line="400" w:lineRule="atLeast"/>
              <w:jc w:val="left"/>
              <w:rPr>
                <w:rFonts w:ascii="黑体" w:hAnsi="黑体"/>
                <w:b/>
                <w:szCs w:val="18"/>
              </w:rPr>
            </w:pPr>
            <w:r>
              <w:rPr>
                <w:rFonts w:hint="eastAsia" w:ascii="黑体" w:hAnsi="黑体"/>
                <w:b/>
                <w:szCs w:val="18"/>
              </w:rPr>
              <w:t>项 目</w:t>
            </w:r>
          </w:p>
        </w:tc>
        <w:tc>
          <w:tcPr>
            <w:tcW w:w="2356" w:type="pct"/>
            <w:shd w:val="clear" w:color="auto" w:fill="F1F1F1" w:themeFill="background1" w:themeFillShade="F2"/>
            <w:vAlign w:val="center"/>
          </w:tcPr>
          <w:p w14:paraId="627B08BB">
            <w:pPr>
              <w:autoSpaceDE w:val="0"/>
              <w:autoSpaceDN w:val="0"/>
              <w:adjustRightInd w:val="0"/>
              <w:spacing w:line="400" w:lineRule="atLeast"/>
              <w:jc w:val="left"/>
              <w:rPr>
                <w:rFonts w:ascii="黑体" w:hAnsi="黑体"/>
                <w:b/>
                <w:szCs w:val="18"/>
              </w:rPr>
            </w:pPr>
            <w:r>
              <w:rPr>
                <w:rFonts w:hint="eastAsia" w:ascii="黑体" w:hAnsi="黑体"/>
                <w:b/>
                <w:szCs w:val="18"/>
              </w:rPr>
              <w:t>技术要求</w:t>
            </w:r>
          </w:p>
        </w:tc>
        <w:tc>
          <w:tcPr>
            <w:tcW w:w="659" w:type="pct"/>
            <w:shd w:val="clear" w:color="auto" w:fill="F1F1F1" w:themeFill="background1" w:themeFillShade="F2"/>
            <w:vAlign w:val="center"/>
          </w:tcPr>
          <w:p w14:paraId="530A9C65">
            <w:pPr>
              <w:autoSpaceDE w:val="0"/>
              <w:autoSpaceDN w:val="0"/>
              <w:adjustRightInd w:val="0"/>
              <w:spacing w:line="400" w:lineRule="atLeast"/>
              <w:jc w:val="left"/>
              <w:rPr>
                <w:rFonts w:ascii="黑体" w:hAnsi="黑体"/>
                <w:b/>
                <w:szCs w:val="18"/>
              </w:rPr>
            </w:pPr>
            <w:r>
              <w:rPr>
                <w:rFonts w:hint="eastAsia" w:ascii="黑体" w:hAnsi="黑体"/>
                <w:b/>
                <w:szCs w:val="18"/>
              </w:rPr>
              <w:t>说明</w:t>
            </w:r>
          </w:p>
        </w:tc>
      </w:tr>
      <w:tr w14:paraId="76B1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471E59B">
            <w:pPr>
              <w:autoSpaceDE w:val="0"/>
              <w:autoSpaceDN w:val="0"/>
              <w:adjustRightInd w:val="0"/>
              <w:spacing w:line="400" w:lineRule="atLeast"/>
              <w:jc w:val="left"/>
              <w:rPr>
                <w:rFonts w:ascii="黑体" w:hAnsi="黑体"/>
                <w:szCs w:val="18"/>
              </w:rPr>
            </w:pPr>
            <w:r>
              <w:rPr>
                <w:rFonts w:hint="eastAsia" w:ascii="黑体" w:hAnsi="黑体"/>
                <w:szCs w:val="18"/>
              </w:rPr>
              <w:t>1</w:t>
            </w:r>
          </w:p>
        </w:tc>
        <w:tc>
          <w:tcPr>
            <w:tcW w:w="1423" w:type="pct"/>
            <w:vAlign w:val="center"/>
          </w:tcPr>
          <w:p w14:paraId="15787B81">
            <w:pPr>
              <w:autoSpaceDE w:val="0"/>
              <w:autoSpaceDN w:val="0"/>
              <w:adjustRightInd w:val="0"/>
              <w:spacing w:line="400" w:lineRule="atLeast"/>
              <w:jc w:val="left"/>
              <w:rPr>
                <w:rFonts w:ascii="黑体" w:hAnsi="黑体"/>
                <w:szCs w:val="18"/>
              </w:rPr>
            </w:pPr>
            <w:r>
              <w:rPr>
                <w:rFonts w:hint="eastAsia" w:ascii="黑体" w:hAnsi="黑体"/>
                <w:szCs w:val="18"/>
              </w:rPr>
              <w:t>固含量</w:t>
            </w:r>
          </w:p>
        </w:tc>
        <w:tc>
          <w:tcPr>
            <w:tcW w:w="2356" w:type="pct"/>
            <w:vAlign w:val="center"/>
          </w:tcPr>
          <w:p w14:paraId="378A6300">
            <w:pPr>
              <w:autoSpaceDE w:val="0"/>
              <w:autoSpaceDN w:val="0"/>
              <w:adjustRightInd w:val="0"/>
              <w:spacing w:line="400" w:lineRule="atLeast"/>
              <w:jc w:val="left"/>
              <w:rPr>
                <w:rFonts w:ascii="黑体" w:hAnsi="黑体"/>
                <w:szCs w:val="18"/>
              </w:rPr>
            </w:pPr>
            <w:r>
              <w:rPr>
                <w:rFonts w:hint="eastAsia" w:ascii="黑体" w:hAnsi="黑体"/>
                <w:szCs w:val="18"/>
              </w:rPr>
              <w:t>规定值±2</w:t>
            </w:r>
            <w:r>
              <w:rPr>
                <w:rFonts w:ascii="黑体" w:hAnsi="黑体"/>
                <w:szCs w:val="18"/>
              </w:rPr>
              <w:t>%</w:t>
            </w:r>
          </w:p>
        </w:tc>
        <w:tc>
          <w:tcPr>
            <w:tcW w:w="659" w:type="pct"/>
          </w:tcPr>
          <w:p w14:paraId="220BFECB">
            <w:pPr>
              <w:autoSpaceDE w:val="0"/>
              <w:autoSpaceDN w:val="0"/>
              <w:adjustRightInd w:val="0"/>
              <w:spacing w:line="400" w:lineRule="atLeast"/>
              <w:jc w:val="left"/>
              <w:rPr>
                <w:rFonts w:ascii="黑体" w:hAnsi="黑体"/>
                <w:szCs w:val="18"/>
              </w:rPr>
            </w:pPr>
          </w:p>
        </w:tc>
      </w:tr>
      <w:tr w14:paraId="3E4F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36CF09EC">
            <w:pPr>
              <w:autoSpaceDE w:val="0"/>
              <w:autoSpaceDN w:val="0"/>
              <w:adjustRightInd w:val="0"/>
              <w:spacing w:line="400" w:lineRule="atLeast"/>
              <w:jc w:val="left"/>
              <w:rPr>
                <w:rFonts w:ascii="黑体" w:hAnsi="黑体"/>
                <w:szCs w:val="18"/>
              </w:rPr>
            </w:pPr>
            <w:r>
              <w:rPr>
                <w:rFonts w:hint="eastAsia" w:ascii="黑体" w:hAnsi="黑体"/>
                <w:szCs w:val="18"/>
              </w:rPr>
              <w:t>2</w:t>
            </w:r>
          </w:p>
        </w:tc>
        <w:tc>
          <w:tcPr>
            <w:tcW w:w="1423" w:type="pct"/>
            <w:vAlign w:val="center"/>
          </w:tcPr>
          <w:p w14:paraId="27C86AC4">
            <w:pPr>
              <w:autoSpaceDE w:val="0"/>
              <w:autoSpaceDN w:val="0"/>
              <w:adjustRightInd w:val="0"/>
              <w:spacing w:line="400" w:lineRule="atLeast"/>
              <w:jc w:val="left"/>
              <w:rPr>
                <w:rFonts w:ascii="黑体" w:hAnsi="黑体"/>
                <w:szCs w:val="18"/>
              </w:rPr>
            </w:pPr>
            <w:r>
              <w:rPr>
                <w:rFonts w:ascii="黑体" w:hAnsi="黑体"/>
                <w:szCs w:val="18"/>
              </w:rPr>
              <w:t>pH值</w:t>
            </w:r>
          </w:p>
        </w:tc>
        <w:tc>
          <w:tcPr>
            <w:tcW w:w="2356" w:type="pct"/>
            <w:vAlign w:val="center"/>
          </w:tcPr>
          <w:p w14:paraId="1F7C7BC8">
            <w:pPr>
              <w:autoSpaceDE w:val="0"/>
              <w:autoSpaceDN w:val="0"/>
              <w:adjustRightInd w:val="0"/>
              <w:spacing w:line="400" w:lineRule="atLeast"/>
              <w:jc w:val="left"/>
              <w:rPr>
                <w:rFonts w:ascii="黑体" w:hAnsi="黑体"/>
                <w:szCs w:val="18"/>
              </w:rPr>
            </w:pPr>
            <w:r>
              <w:rPr>
                <w:rFonts w:ascii="黑体" w:hAnsi="黑体"/>
                <w:szCs w:val="18"/>
              </w:rPr>
              <w:t>≥11.0</w:t>
            </w:r>
          </w:p>
        </w:tc>
        <w:tc>
          <w:tcPr>
            <w:tcW w:w="659" w:type="pct"/>
          </w:tcPr>
          <w:p w14:paraId="70967F3A">
            <w:pPr>
              <w:autoSpaceDE w:val="0"/>
              <w:autoSpaceDN w:val="0"/>
              <w:adjustRightInd w:val="0"/>
              <w:spacing w:line="400" w:lineRule="atLeast"/>
              <w:jc w:val="left"/>
              <w:rPr>
                <w:rFonts w:ascii="黑体" w:hAnsi="黑体"/>
                <w:szCs w:val="18"/>
              </w:rPr>
            </w:pPr>
          </w:p>
        </w:tc>
      </w:tr>
      <w:tr w14:paraId="709B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55522081">
            <w:pPr>
              <w:autoSpaceDE w:val="0"/>
              <w:autoSpaceDN w:val="0"/>
              <w:adjustRightInd w:val="0"/>
              <w:spacing w:line="400" w:lineRule="atLeast"/>
              <w:jc w:val="left"/>
              <w:rPr>
                <w:rFonts w:ascii="黑体" w:hAnsi="黑体"/>
                <w:szCs w:val="18"/>
              </w:rPr>
            </w:pPr>
            <w:r>
              <w:rPr>
                <w:rFonts w:hint="eastAsia" w:ascii="黑体" w:hAnsi="黑体"/>
                <w:szCs w:val="18"/>
              </w:rPr>
              <w:t>3</w:t>
            </w:r>
          </w:p>
        </w:tc>
        <w:tc>
          <w:tcPr>
            <w:tcW w:w="1423" w:type="pct"/>
            <w:vAlign w:val="center"/>
          </w:tcPr>
          <w:p w14:paraId="0901ADDC">
            <w:pPr>
              <w:autoSpaceDE w:val="0"/>
              <w:autoSpaceDN w:val="0"/>
              <w:adjustRightInd w:val="0"/>
              <w:spacing w:line="400" w:lineRule="atLeast"/>
              <w:jc w:val="left"/>
              <w:rPr>
                <w:rFonts w:ascii="黑体" w:hAnsi="黑体"/>
                <w:szCs w:val="18"/>
              </w:rPr>
            </w:pPr>
            <w:r>
              <w:rPr>
                <w:rFonts w:hint="eastAsia" w:ascii="黑体" w:hAnsi="黑体"/>
                <w:szCs w:val="18"/>
              </w:rPr>
              <w:t>2</w:t>
            </w:r>
            <w:r>
              <w:rPr>
                <w:rFonts w:ascii="黑体" w:hAnsi="黑体"/>
                <w:szCs w:val="18"/>
              </w:rPr>
              <w:t>4</w:t>
            </w:r>
            <w:r>
              <w:rPr>
                <w:rFonts w:hint="eastAsia" w:ascii="黑体" w:hAnsi="黑体"/>
                <w:szCs w:val="18"/>
              </w:rPr>
              <w:t>h</w:t>
            </w:r>
            <w:r>
              <w:rPr>
                <w:rFonts w:ascii="黑体" w:hAnsi="黑体"/>
                <w:szCs w:val="18"/>
              </w:rPr>
              <w:t xml:space="preserve"> </w:t>
            </w:r>
            <w:r>
              <w:rPr>
                <w:rFonts w:hint="eastAsia" w:ascii="黑体" w:hAnsi="黑体"/>
                <w:szCs w:val="18"/>
              </w:rPr>
              <w:t>表面</w:t>
            </w:r>
            <w:r>
              <w:rPr>
                <w:rFonts w:ascii="黑体" w:hAnsi="黑体"/>
                <w:szCs w:val="18"/>
              </w:rPr>
              <w:t>吸水量</w:t>
            </w:r>
          </w:p>
        </w:tc>
        <w:tc>
          <w:tcPr>
            <w:tcW w:w="2356" w:type="pct"/>
            <w:vAlign w:val="center"/>
          </w:tcPr>
          <w:p w14:paraId="0878A53D">
            <w:pPr>
              <w:autoSpaceDE w:val="0"/>
              <w:autoSpaceDN w:val="0"/>
              <w:adjustRightInd w:val="0"/>
              <w:spacing w:line="400" w:lineRule="atLeast"/>
              <w:jc w:val="left"/>
              <w:rPr>
                <w:rFonts w:ascii="黑体" w:hAnsi="黑体"/>
                <w:szCs w:val="18"/>
              </w:rPr>
            </w:pPr>
            <w:r>
              <w:rPr>
                <w:rFonts w:hint="eastAsia" w:ascii="黑体" w:hAnsi="黑体"/>
                <w:szCs w:val="18"/>
              </w:rPr>
              <w:t>≤5</w:t>
            </w:r>
            <w:r>
              <w:rPr>
                <w:rFonts w:ascii="黑体" w:hAnsi="黑体"/>
                <w:szCs w:val="18"/>
              </w:rPr>
              <w:t>mm</w:t>
            </w:r>
          </w:p>
        </w:tc>
        <w:tc>
          <w:tcPr>
            <w:tcW w:w="659" w:type="pct"/>
          </w:tcPr>
          <w:p w14:paraId="125031E3">
            <w:pPr>
              <w:autoSpaceDE w:val="0"/>
              <w:autoSpaceDN w:val="0"/>
              <w:adjustRightInd w:val="0"/>
              <w:spacing w:line="400" w:lineRule="atLeast"/>
              <w:jc w:val="left"/>
              <w:rPr>
                <w:rFonts w:ascii="黑体" w:hAnsi="黑体"/>
                <w:szCs w:val="18"/>
              </w:rPr>
            </w:pPr>
          </w:p>
        </w:tc>
      </w:tr>
      <w:tr w14:paraId="3502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AAD7BC0">
            <w:pPr>
              <w:autoSpaceDE w:val="0"/>
              <w:autoSpaceDN w:val="0"/>
              <w:adjustRightInd w:val="0"/>
              <w:spacing w:line="400" w:lineRule="atLeast"/>
              <w:jc w:val="left"/>
              <w:rPr>
                <w:rFonts w:ascii="黑体" w:hAnsi="黑体"/>
                <w:szCs w:val="18"/>
              </w:rPr>
            </w:pPr>
            <w:r>
              <w:rPr>
                <w:rFonts w:hint="eastAsia" w:ascii="黑体" w:hAnsi="黑体"/>
                <w:szCs w:val="18"/>
              </w:rPr>
              <w:t>4</w:t>
            </w:r>
          </w:p>
        </w:tc>
        <w:tc>
          <w:tcPr>
            <w:tcW w:w="1423" w:type="pct"/>
            <w:vAlign w:val="center"/>
          </w:tcPr>
          <w:p w14:paraId="544A2ECB">
            <w:pPr>
              <w:autoSpaceDE w:val="0"/>
              <w:autoSpaceDN w:val="0"/>
              <w:adjustRightInd w:val="0"/>
              <w:spacing w:line="400" w:lineRule="atLeast"/>
              <w:jc w:val="left"/>
              <w:rPr>
                <w:rFonts w:ascii="黑体" w:hAnsi="黑体"/>
                <w:szCs w:val="18"/>
              </w:rPr>
            </w:pPr>
            <w:r>
              <w:rPr>
                <w:rFonts w:hint="eastAsia" w:ascii="黑体" w:hAnsi="黑体"/>
                <w:szCs w:val="18"/>
              </w:rPr>
              <w:t>2</w:t>
            </w:r>
            <w:r>
              <w:rPr>
                <w:rFonts w:ascii="黑体" w:hAnsi="黑体"/>
                <w:szCs w:val="18"/>
              </w:rPr>
              <w:t xml:space="preserve">4h </w:t>
            </w:r>
            <w:r>
              <w:rPr>
                <w:rFonts w:hint="eastAsia" w:ascii="黑体" w:hAnsi="黑体"/>
                <w:szCs w:val="18"/>
              </w:rPr>
              <w:t>表面</w:t>
            </w:r>
            <w:r>
              <w:rPr>
                <w:rFonts w:ascii="黑体" w:hAnsi="黑体"/>
                <w:szCs w:val="18"/>
              </w:rPr>
              <w:t>吸水量降低率</w:t>
            </w:r>
          </w:p>
        </w:tc>
        <w:tc>
          <w:tcPr>
            <w:tcW w:w="2356" w:type="pct"/>
            <w:vAlign w:val="center"/>
          </w:tcPr>
          <w:p w14:paraId="76E131CC">
            <w:pPr>
              <w:autoSpaceDE w:val="0"/>
              <w:autoSpaceDN w:val="0"/>
              <w:adjustRightInd w:val="0"/>
              <w:spacing w:line="400" w:lineRule="atLeast"/>
              <w:jc w:val="left"/>
              <w:rPr>
                <w:rFonts w:ascii="黑体" w:hAnsi="黑体"/>
                <w:szCs w:val="18"/>
              </w:rPr>
            </w:pPr>
            <w:r>
              <w:rPr>
                <w:rFonts w:hint="eastAsia" w:ascii="黑体" w:hAnsi="黑体"/>
                <w:szCs w:val="18"/>
              </w:rPr>
              <w:t>≥80</w:t>
            </w:r>
            <w:r>
              <w:rPr>
                <w:rFonts w:ascii="黑体" w:hAnsi="黑体"/>
                <w:szCs w:val="18"/>
              </w:rPr>
              <w:t>%</w:t>
            </w:r>
          </w:p>
        </w:tc>
        <w:tc>
          <w:tcPr>
            <w:tcW w:w="659" w:type="pct"/>
          </w:tcPr>
          <w:p w14:paraId="2909D6D0">
            <w:pPr>
              <w:autoSpaceDE w:val="0"/>
              <w:autoSpaceDN w:val="0"/>
              <w:adjustRightInd w:val="0"/>
              <w:spacing w:line="400" w:lineRule="atLeast"/>
              <w:jc w:val="left"/>
              <w:rPr>
                <w:rFonts w:ascii="黑体" w:hAnsi="黑体"/>
                <w:szCs w:val="18"/>
              </w:rPr>
            </w:pPr>
          </w:p>
        </w:tc>
      </w:tr>
      <w:tr w14:paraId="043D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6FB70AF">
            <w:pPr>
              <w:autoSpaceDE w:val="0"/>
              <w:autoSpaceDN w:val="0"/>
              <w:adjustRightInd w:val="0"/>
              <w:spacing w:line="400" w:lineRule="atLeast"/>
              <w:jc w:val="left"/>
              <w:rPr>
                <w:rFonts w:ascii="黑体" w:hAnsi="黑体"/>
                <w:szCs w:val="18"/>
              </w:rPr>
            </w:pPr>
            <w:r>
              <w:rPr>
                <w:rFonts w:hint="eastAsia" w:ascii="黑体" w:hAnsi="黑体"/>
                <w:szCs w:val="18"/>
              </w:rPr>
              <w:t>5</w:t>
            </w:r>
          </w:p>
        </w:tc>
        <w:tc>
          <w:tcPr>
            <w:tcW w:w="1423" w:type="pct"/>
            <w:vAlign w:val="center"/>
          </w:tcPr>
          <w:p w14:paraId="1445CD82">
            <w:pPr>
              <w:autoSpaceDE w:val="0"/>
              <w:autoSpaceDN w:val="0"/>
              <w:adjustRightInd w:val="0"/>
              <w:spacing w:line="400" w:lineRule="atLeast"/>
              <w:jc w:val="left"/>
              <w:rPr>
                <w:rFonts w:ascii="黑体" w:hAnsi="黑体"/>
                <w:szCs w:val="18"/>
              </w:rPr>
            </w:pPr>
            <w:r>
              <w:rPr>
                <w:rFonts w:hint="eastAsia" w:ascii="黑体" w:hAnsi="黑体"/>
                <w:szCs w:val="18"/>
              </w:rPr>
              <w:t>耐磨度比</w:t>
            </w:r>
          </w:p>
        </w:tc>
        <w:tc>
          <w:tcPr>
            <w:tcW w:w="2356" w:type="pct"/>
            <w:vAlign w:val="center"/>
          </w:tcPr>
          <w:p w14:paraId="704E7260">
            <w:pPr>
              <w:autoSpaceDE w:val="0"/>
              <w:autoSpaceDN w:val="0"/>
              <w:adjustRightInd w:val="0"/>
              <w:spacing w:line="400" w:lineRule="atLeast"/>
              <w:jc w:val="left"/>
              <w:rPr>
                <w:rFonts w:ascii="黑体" w:hAnsi="黑体"/>
                <w:szCs w:val="18"/>
              </w:rPr>
            </w:pPr>
            <w:r>
              <w:rPr>
                <w:rFonts w:hint="eastAsia" w:ascii="黑体" w:hAnsi="黑体"/>
                <w:szCs w:val="18"/>
              </w:rPr>
              <w:t>≥140</w:t>
            </w:r>
            <w:r>
              <w:rPr>
                <w:rFonts w:ascii="黑体" w:hAnsi="黑体"/>
                <w:szCs w:val="18"/>
              </w:rPr>
              <w:t>%</w:t>
            </w:r>
          </w:p>
        </w:tc>
        <w:tc>
          <w:tcPr>
            <w:tcW w:w="659" w:type="pct"/>
          </w:tcPr>
          <w:p w14:paraId="1B62DFA2">
            <w:pPr>
              <w:autoSpaceDE w:val="0"/>
              <w:autoSpaceDN w:val="0"/>
              <w:adjustRightInd w:val="0"/>
              <w:spacing w:line="400" w:lineRule="atLeast"/>
              <w:jc w:val="left"/>
              <w:rPr>
                <w:rFonts w:ascii="黑体" w:hAnsi="黑体"/>
                <w:szCs w:val="18"/>
              </w:rPr>
            </w:pPr>
          </w:p>
        </w:tc>
      </w:tr>
      <w:tr w14:paraId="166F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CC43C18">
            <w:pPr>
              <w:autoSpaceDE w:val="0"/>
              <w:autoSpaceDN w:val="0"/>
              <w:adjustRightInd w:val="0"/>
              <w:spacing w:line="400" w:lineRule="atLeast"/>
              <w:jc w:val="left"/>
              <w:rPr>
                <w:rFonts w:ascii="黑体" w:hAnsi="黑体"/>
                <w:szCs w:val="18"/>
              </w:rPr>
            </w:pPr>
            <w:r>
              <w:rPr>
                <w:rFonts w:hint="eastAsia" w:ascii="黑体" w:hAnsi="黑体"/>
                <w:szCs w:val="18"/>
              </w:rPr>
              <w:t>6</w:t>
            </w:r>
          </w:p>
        </w:tc>
        <w:tc>
          <w:tcPr>
            <w:tcW w:w="1423" w:type="pct"/>
            <w:vAlign w:val="center"/>
          </w:tcPr>
          <w:p w14:paraId="2A43836F">
            <w:pPr>
              <w:autoSpaceDE w:val="0"/>
              <w:autoSpaceDN w:val="0"/>
              <w:adjustRightInd w:val="0"/>
              <w:spacing w:line="400" w:lineRule="atLeast"/>
              <w:jc w:val="left"/>
              <w:rPr>
                <w:rFonts w:ascii="黑体" w:hAnsi="黑体"/>
                <w:szCs w:val="18"/>
              </w:rPr>
            </w:pPr>
            <w:r>
              <w:rPr>
                <w:rFonts w:hint="eastAsia" w:ascii="黑体" w:hAnsi="黑体"/>
                <w:szCs w:val="18"/>
              </w:rPr>
              <w:t>防滑性能</w:t>
            </w:r>
          </w:p>
        </w:tc>
        <w:tc>
          <w:tcPr>
            <w:tcW w:w="2356" w:type="pct"/>
            <w:shd w:val="clear" w:color="auto" w:fill="auto"/>
            <w:vAlign w:val="center"/>
          </w:tcPr>
          <w:p w14:paraId="011C190B">
            <w:pPr>
              <w:autoSpaceDE w:val="0"/>
              <w:autoSpaceDN w:val="0"/>
              <w:adjustRightInd w:val="0"/>
              <w:spacing w:line="400" w:lineRule="atLeast"/>
              <w:jc w:val="left"/>
              <w:rPr>
                <w:rFonts w:ascii="黑体" w:hAnsi="黑体"/>
                <w:szCs w:val="18"/>
              </w:rPr>
            </w:pPr>
            <w:r>
              <w:rPr>
                <w:rFonts w:hint="eastAsia" w:ascii="黑体" w:hAnsi="黑体"/>
                <w:szCs w:val="18"/>
              </w:rPr>
              <w:t>室内摩擦系数≥0.6(干态)</w:t>
            </w:r>
          </w:p>
        </w:tc>
        <w:tc>
          <w:tcPr>
            <w:tcW w:w="659" w:type="pct"/>
          </w:tcPr>
          <w:p w14:paraId="03313252">
            <w:pPr>
              <w:autoSpaceDE w:val="0"/>
              <w:autoSpaceDN w:val="0"/>
              <w:adjustRightInd w:val="0"/>
              <w:spacing w:line="400" w:lineRule="atLeast"/>
              <w:jc w:val="left"/>
              <w:rPr>
                <w:rFonts w:ascii="黑体" w:hAnsi="黑体"/>
                <w:szCs w:val="18"/>
              </w:rPr>
            </w:pPr>
          </w:p>
        </w:tc>
      </w:tr>
      <w:tr w14:paraId="2064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665B616D">
            <w:pPr>
              <w:autoSpaceDE w:val="0"/>
              <w:autoSpaceDN w:val="0"/>
              <w:adjustRightInd w:val="0"/>
              <w:spacing w:line="400" w:lineRule="atLeast"/>
              <w:jc w:val="left"/>
              <w:rPr>
                <w:rFonts w:ascii="黑体" w:hAnsi="黑体"/>
                <w:szCs w:val="18"/>
              </w:rPr>
            </w:pPr>
            <w:r>
              <w:rPr>
                <w:rFonts w:hint="eastAsia" w:ascii="黑体" w:hAnsi="黑体"/>
                <w:szCs w:val="18"/>
              </w:rPr>
              <w:t>7</w:t>
            </w:r>
          </w:p>
        </w:tc>
        <w:tc>
          <w:tcPr>
            <w:tcW w:w="1423" w:type="pct"/>
            <w:vAlign w:val="center"/>
          </w:tcPr>
          <w:p w14:paraId="542B0989">
            <w:pPr>
              <w:autoSpaceDE w:val="0"/>
              <w:autoSpaceDN w:val="0"/>
              <w:adjustRightInd w:val="0"/>
              <w:spacing w:line="400" w:lineRule="atLeast"/>
              <w:jc w:val="left"/>
              <w:rPr>
                <w:rFonts w:ascii="黑体" w:hAnsi="黑体"/>
                <w:szCs w:val="18"/>
              </w:rPr>
            </w:pPr>
            <w:r>
              <w:rPr>
                <w:rFonts w:hint="eastAsia" w:ascii="黑体" w:hAnsi="黑体"/>
                <w:szCs w:val="18"/>
              </w:rPr>
              <w:t>VOC（挥发性有机化合物含量）</w:t>
            </w:r>
          </w:p>
        </w:tc>
        <w:tc>
          <w:tcPr>
            <w:tcW w:w="2356" w:type="pct"/>
            <w:vAlign w:val="center"/>
          </w:tcPr>
          <w:p w14:paraId="18E8E78B">
            <w:pPr>
              <w:autoSpaceDE w:val="0"/>
              <w:autoSpaceDN w:val="0"/>
              <w:adjustRightInd w:val="0"/>
              <w:spacing w:line="400" w:lineRule="atLeast"/>
              <w:jc w:val="left"/>
              <w:rPr>
                <w:rFonts w:ascii="黑体" w:hAnsi="黑体"/>
                <w:szCs w:val="18"/>
              </w:rPr>
            </w:pPr>
            <w:r>
              <w:rPr>
                <w:rFonts w:hint="eastAsia" w:ascii="黑体" w:hAnsi="黑体"/>
                <w:szCs w:val="18"/>
              </w:rPr>
              <w:t>≤30</w:t>
            </w:r>
            <w:r>
              <w:rPr>
                <w:rFonts w:ascii="黑体" w:hAnsi="黑体"/>
                <w:szCs w:val="18"/>
              </w:rPr>
              <w:t>g/L</w:t>
            </w:r>
          </w:p>
        </w:tc>
        <w:tc>
          <w:tcPr>
            <w:tcW w:w="659" w:type="pct"/>
          </w:tcPr>
          <w:p w14:paraId="5F53337C">
            <w:pPr>
              <w:autoSpaceDE w:val="0"/>
              <w:autoSpaceDN w:val="0"/>
              <w:adjustRightInd w:val="0"/>
              <w:spacing w:line="400" w:lineRule="atLeast"/>
              <w:jc w:val="left"/>
              <w:rPr>
                <w:rFonts w:ascii="黑体" w:hAnsi="黑体"/>
                <w:szCs w:val="18"/>
              </w:rPr>
            </w:pPr>
          </w:p>
        </w:tc>
      </w:tr>
      <w:tr w14:paraId="4D7F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03A68C37">
            <w:pPr>
              <w:autoSpaceDE w:val="0"/>
              <w:autoSpaceDN w:val="0"/>
              <w:adjustRightInd w:val="0"/>
              <w:spacing w:line="400" w:lineRule="atLeast"/>
              <w:jc w:val="left"/>
              <w:rPr>
                <w:rFonts w:ascii="黑体" w:hAnsi="黑体"/>
                <w:szCs w:val="18"/>
              </w:rPr>
            </w:pPr>
            <w:r>
              <w:rPr>
                <w:rFonts w:hint="eastAsia" w:ascii="黑体" w:hAnsi="黑体"/>
                <w:szCs w:val="18"/>
              </w:rPr>
              <w:t>8</w:t>
            </w:r>
          </w:p>
        </w:tc>
        <w:tc>
          <w:tcPr>
            <w:tcW w:w="1423" w:type="pct"/>
            <w:vAlign w:val="center"/>
          </w:tcPr>
          <w:p w14:paraId="27954454">
            <w:pPr>
              <w:autoSpaceDE w:val="0"/>
              <w:autoSpaceDN w:val="0"/>
              <w:adjustRightInd w:val="0"/>
              <w:spacing w:line="400" w:lineRule="atLeast"/>
              <w:jc w:val="left"/>
              <w:rPr>
                <w:rFonts w:ascii="黑体" w:hAnsi="黑体"/>
                <w:szCs w:val="18"/>
              </w:rPr>
            </w:pPr>
            <w:r>
              <w:rPr>
                <w:rFonts w:hint="eastAsia" w:ascii="黑体" w:hAnsi="黑体"/>
                <w:szCs w:val="18"/>
              </w:rPr>
              <w:t>硬化剂用量</w:t>
            </w:r>
          </w:p>
        </w:tc>
        <w:tc>
          <w:tcPr>
            <w:tcW w:w="2356" w:type="pct"/>
          </w:tcPr>
          <w:p w14:paraId="722B8EE5">
            <w:pPr>
              <w:autoSpaceDE w:val="0"/>
              <w:autoSpaceDN w:val="0"/>
              <w:adjustRightInd w:val="0"/>
              <w:spacing w:line="400" w:lineRule="atLeast"/>
              <w:jc w:val="left"/>
              <w:rPr>
                <w:rFonts w:ascii="黑体" w:hAnsi="黑体"/>
                <w:szCs w:val="18"/>
              </w:rPr>
            </w:pPr>
            <w:r>
              <w:rPr>
                <w:rFonts w:hint="eastAsia" w:ascii="黑体" w:hAnsi="黑体"/>
                <w:szCs w:val="18"/>
              </w:rPr>
              <w:t>≥0.2kg/m2(金刚砂地面)；</w:t>
            </w:r>
          </w:p>
          <w:p w14:paraId="5AA835A7">
            <w:pPr>
              <w:autoSpaceDE w:val="0"/>
              <w:autoSpaceDN w:val="0"/>
              <w:adjustRightInd w:val="0"/>
              <w:spacing w:line="400" w:lineRule="atLeast"/>
              <w:jc w:val="left"/>
              <w:rPr>
                <w:rFonts w:ascii="黑体" w:hAnsi="黑体"/>
                <w:szCs w:val="18"/>
              </w:rPr>
            </w:pPr>
            <w:r>
              <w:rPr>
                <w:rFonts w:hint="eastAsia" w:ascii="黑体" w:hAnsi="黑体"/>
                <w:szCs w:val="18"/>
              </w:rPr>
              <w:t>≥0.3kg/m2(混凝土地面)</w:t>
            </w:r>
          </w:p>
        </w:tc>
        <w:tc>
          <w:tcPr>
            <w:tcW w:w="659" w:type="pct"/>
          </w:tcPr>
          <w:p w14:paraId="1C095B71">
            <w:pPr>
              <w:autoSpaceDE w:val="0"/>
              <w:autoSpaceDN w:val="0"/>
              <w:adjustRightInd w:val="0"/>
              <w:spacing w:line="400" w:lineRule="atLeast"/>
              <w:jc w:val="left"/>
              <w:rPr>
                <w:rFonts w:ascii="黑体" w:hAnsi="黑体"/>
                <w:szCs w:val="18"/>
              </w:rPr>
            </w:pPr>
          </w:p>
        </w:tc>
      </w:tr>
      <w:tr w14:paraId="75D1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7FD1F02">
            <w:pPr>
              <w:autoSpaceDE w:val="0"/>
              <w:autoSpaceDN w:val="0"/>
              <w:adjustRightInd w:val="0"/>
              <w:spacing w:line="400" w:lineRule="atLeast"/>
              <w:jc w:val="left"/>
              <w:rPr>
                <w:rFonts w:ascii="黑体" w:hAnsi="黑体"/>
                <w:szCs w:val="18"/>
              </w:rPr>
            </w:pPr>
            <w:r>
              <w:rPr>
                <w:rFonts w:hint="eastAsia" w:ascii="黑体" w:hAnsi="黑体"/>
                <w:szCs w:val="18"/>
              </w:rPr>
              <w:t>9</w:t>
            </w:r>
          </w:p>
        </w:tc>
        <w:tc>
          <w:tcPr>
            <w:tcW w:w="1423" w:type="pct"/>
            <w:vAlign w:val="center"/>
          </w:tcPr>
          <w:p w14:paraId="19707D3E">
            <w:pPr>
              <w:autoSpaceDE w:val="0"/>
              <w:autoSpaceDN w:val="0"/>
              <w:adjustRightInd w:val="0"/>
              <w:spacing w:line="400" w:lineRule="atLeast"/>
              <w:jc w:val="left"/>
              <w:rPr>
                <w:rFonts w:ascii="黑体" w:hAnsi="黑体"/>
                <w:szCs w:val="18"/>
              </w:rPr>
            </w:pPr>
            <w:r>
              <w:rPr>
                <w:rFonts w:hint="eastAsia" w:ascii="黑体" w:hAnsi="黑体"/>
                <w:szCs w:val="18"/>
              </w:rPr>
              <w:t>莫氏硬度</w:t>
            </w:r>
          </w:p>
        </w:tc>
        <w:tc>
          <w:tcPr>
            <w:tcW w:w="2356" w:type="pct"/>
            <w:vAlign w:val="center"/>
          </w:tcPr>
          <w:p w14:paraId="2B71A622">
            <w:pPr>
              <w:autoSpaceDE w:val="0"/>
              <w:autoSpaceDN w:val="0"/>
              <w:adjustRightInd w:val="0"/>
              <w:spacing w:line="400" w:lineRule="atLeast"/>
              <w:jc w:val="left"/>
              <w:rPr>
                <w:rFonts w:ascii="黑体" w:hAnsi="黑体"/>
                <w:szCs w:val="18"/>
              </w:rPr>
            </w:pPr>
            <w:r>
              <w:rPr>
                <w:rFonts w:hint="eastAsia" w:ascii="黑体" w:hAnsi="黑体"/>
                <w:szCs w:val="18"/>
              </w:rPr>
              <w:t>6~8级</w:t>
            </w:r>
          </w:p>
        </w:tc>
        <w:tc>
          <w:tcPr>
            <w:tcW w:w="659" w:type="pct"/>
          </w:tcPr>
          <w:p w14:paraId="7D984F1F">
            <w:pPr>
              <w:autoSpaceDE w:val="0"/>
              <w:autoSpaceDN w:val="0"/>
              <w:adjustRightInd w:val="0"/>
              <w:spacing w:line="400" w:lineRule="atLeast"/>
              <w:jc w:val="left"/>
              <w:rPr>
                <w:rFonts w:ascii="黑体" w:hAnsi="黑体"/>
                <w:szCs w:val="18"/>
              </w:rPr>
            </w:pPr>
          </w:p>
        </w:tc>
      </w:tr>
      <w:tr w14:paraId="1DF5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2F6DB6F">
            <w:pPr>
              <w:autoSpaceDE w:val="0"/>
              <w:autoSpaceDN w:val="0"/>
              <w:adjustRightInd w:val="0"/>
              <w:spacing w:line="400" w:lineRule="atLeast"/>
              <w:jc w:val="left"/>
              <w:rPr>
                <w:rFonts w:ascii="黑体" w:hAnsi="黑体"/>
                <w:szCs w:val="18"/>
              </w:rPr>
            </w:pPr>
            <w:r>
              <w:rPr>
                <w:rFonts w:hint="eastAsia" w:ascii="黑体" w:hAnsi="黑体"/>
                <w:szCs w:val="18"/>
              </w:rPr>
              <w:t>10</w:t>
            </w:r>
          </w:p>
        </w:tc>
        <w:tc>
          <w:tcPr>
            <w:tcW w:w="1423" w:type="pct"/>
            <w:vAlign w:val="center"/>
          </w:tcPr>
          <w:p w14:paraId="0545714F">
            <w:pPr>
              <w:autoSpaceDE w:val="0"/>
              <w:autoSpaceDN w:val="0"/>
              <w:adjustRightInd w:val="0"/>
              <w:spacing w:line="400" w:lineRule="atLeast"/>
              <w:jc w:val="left"/>
              <w:rPr>
                <w:rFonts w:ascii="黑体" w:hAnsi="黑体"/>
                <w:szCs w:val="18"/>
              </w:rPr>
            </w:pPr>
            <w:r>
              <w:rPr>
                <w:rFonts w:hint="eastAsia" w:ascii="黑体" w:hAnsi="黑体"/>
                <w:szCs w:val="18"/>
              </w:rPr>
              <w:t>燃烧性能等级</w:t>
            </w:r>
          </w:p>
        </w:tc>
        <w:tc>
          <w:tcPr>
            <w:tcW w:w="2356" w:type="pct"/>
            <w:vAlign w:val="center"/>
          </w:tcPr>
          <w:p w14:paraId="1C31AE09">
            <w:pPr>
              <w:autoSpaceDE w:val="0"/>
              <w:autoSpaceDN w:val="0"/>
              <w:adjustRightInd w:val="0"/>
              <w:spacing w:line="400" w:lineRule="atLeast"/>
              <w:jc w:val="left"/>
              <w:rPr>
                <w:rFonts w:ascii="黑体" w:hAnsi="黑体"/>
                <w:szCs w:val="18"/>
              </w:rPr>
            </w:pPr>
            <w:r>
              <w:rPr>
                <w:rFonts w:hint="eastAsia" w:ascii="黑体" w:hAnsi="黑体"/>
                <w:szCs w:val="18"/>
              </w:rPr>
              <w:t>A1级</w:t>
            </w:r>
          </w:p>
        </w:tc>
        <w:tc>
          <w:tcPr>
            <w:tcW w:w="659" w:type="pct"/>
          </w:tcPr>
          <w:p w14:paraId="64CD984F">
            <w:pPr>
              <w:autoSpaceDE w:val="0"/>
              <w:autoSpaceDN w:val="0"/>
              <w:adjustRightInd w:val="0"/>
              <w:spacing w:line="400" w:lineRule="atLeast"/>
              <w:jc w:val="left"/>
              <w:rPr>
                <w:rFonts w:ascii="黑体" w:hAnsi="黑体"/>
                <w:szCs w:val="18"/>
              </w:rPr>
            </w:pPr>
          </w:p>
        </w:tc>
      </w:tr>
      <w:tr w14:paraId="0883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75BB8827">
            <w:pPr>
              <w:autoSpaceDE w:val="0"/>
              <w:autoSpaceDN w:val="0"/>
              <w:adjustRightInd w:val="0"/>
              <w:spacing w:line="400" w:lineRule="atLeast"/>
              <w:jc w:val="left"/>
              <w:rPr>
                <w:rFonts w:ascii="黑体" w:hAnsi="黑体"/>
                <w:szCs w:val="18"/>
              </w:rPr>
            </w:pPr>
            <w:r>
              <w:rPr>
                <w:rFonts w:hint="eastAsia" w:ascii="黑体" w:hAnsi="黑体"/>
                <w:szCs w:val="18"/>
              </w:rPr>
              <w:t>11</w:t>
            </w:r>
          </w:p>
        </w:tc>
        <w:tc>
          <w:tcPr>
            <w:tcW w:w="1423" w:type="pct"/>
            <w:vAlign w:val="center"/>
          </w:tcPr>
          <w:p w14:paraId="0170BA9E">
            <w:pPr>
              <w:autoSpaceDE w:val="0"/>
              <w:autoSpaceDN w:val="0"/>
              <w:adjustRightInd w:val="0"/>
              <w:spacing w:line="400" w:lineRule="atLeast"/>
              <w:jc w:val="left"/>
              <w:rPr>
                <w:rFonts w:ascii="黑体" w:hAnsi="黑体"/>
                <w:szCs w:val="18"/>
              </w:rPr>
            </w:pPr>
            <w:r>
              <w:rPr>
                <w:rFonts w:hint="eastAsia" w:ascii="黑体" w:hAnsi="黑体"/>
                <w:szCs w:val="18"/>
              </w:rPr>
              <w:t>外观</w:t>
            </w:r>
          </w:p>
        </w:tc>
        <w:tc>
          <w:tcPr>
            <w:tcW w:w="2356" w:type="pct"/>
            <w:vAlign w:val="center"/>
          </w:tcPr>
          <w:p w14:paraId="68EAD228">
            <w:pPr>
              <w:autoSpaceDE w:val="0"/>
              <w:autoSpaceDN w:val="0"/>
              <w:adjustRightInd w:val="0"/>
              <w:spacing w:line="400" w:lineRule="atLeast"/>
              <w:jc w:val="left"/>
              <w:rPr>
                <w:rFonts w:ascii="黑体" w:hAnsi="黑体"/>
                <w:szCs w:val="18"/>
              </w:rPr>
            </w:pPr>
            <w:r>
              <w:rPr>
                <w:rFonts w:hint="eastAsia" w:ascii="黑体" w:hAnsi="黑体"/>
                <w:szCs w:val="18"/>
              </w:rPr>
              <w:t>无色，</w:t>
            </w:r>
            <w:r>
              <w:rPr>
                <w:rFonts w:ascii="黑体" w:hAnsi="黑体"/>
                <w:szCs w:val="18"/>
              </w:rPr>
              <w:t>透明，均匀液体</w:t>
            </w:r>
          </w:p>
        </w:tc>
        <w:tc>
          <w:tcPr>
            <w:tcW w:w="659" w:type="pct"/>
          </w:tcPr>
          <w:p w14:paraId="3165DADD">
            <w:pPr>
              <w:autoSpaceDE w:val="0"/>
              <w:autoSpaceDN w:val="0"/>
              <w:adjustRightInd w:val="0"/>
              <w:spacing w:line="400" w:lineRule="atLeast"/>
              <w:jc w:val="left"/>
              <w:rPr>
                <w:rFonts w:ascii="黑体" w:hAnsi="黑体"/>
                <w:szCs w:val="18"/>
              </w:rPr>
            </w:pPr>
          </w:p>
        </w:tc>
      </w:tr>
      <w:tr w14:paraId="24F4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6FE2EDC8">
            <w:pPr>
              <w:autoSpaceDE w:val="0"/>
              <w:autoSpaceDN w:val="0"/>
              <w:adjustRightInd w:val="0"/>
              <w:spacing w:line="400" w:lineRule="atLeast"/>
              <w:jc w:val="left"/>
              <w:rPr>
                <w:rFonts w:ascii="黑体" w:hAnsi="黑体"/>
                <w:szCs w:val="18"/>
              </w:rPr>
            </w:pPr>
            <w:r>
              <w:rPr>
                <w:rFonts w:hint="eastAsia" w:ascii="黑体" w:hAnsi="黑体"/>
                <w:szCs w:val="18"/>
              </w:rPr>
              <w:t>12</w:t>
            </w:r>
          </w:p>
        </w:tc>
        <w:tc>
          <w:tcPr>
            <w:tcW w:w="1423" w:type="pct"/>
            <w:vAlign w:val="center"/>
          </w:tcPr>
          <w:p w14:paraId="443B70C6">
            <w:pPr>
              <w:autoSpaceDE w:val="0"/>
              <w:autoSpaceDN w:val="0"/>
              <w:adjustRightInd w:val="0"/>
              <w:spacing w:line="400" w:lineRule="atLeast"/>
              <w:jc w:val="left"/>
              <w:rPr>
                <w:rFonts w:ascii="黑体" w:hAnsi="黑体"/>
                <w:szCs w:val="18"/>
              </w:rPr>
            </w:pPr>
            <w:r>
              <w:rPr>
                <w:rFonts w:hint="eastAsia" w:ascii="黑体" w:hAnsi="黑体"/>
                <w:szCs w:val="18"/>
              </w:rPr>
              <w:t>泛白</w:t>
            </w:r>
          </w:p>
        </w:tc>
        <w:tc>
          <w:tcPr>
            <w:tcW w:w="2356" w:type="pct"/>
            <w:vAlign w:val="center"/>
          </w:tcPr>
          <w:p w14:paraId="586BB358">
            <w:pPr>
              <w:autoSpaceDE w:val="0"/>
              <w:autoSpaceDN w:val="0"/>
              <w:adjustRightInd w:val="0"/>
              <w:spacing w:line="400" w:lineRule="atLeast"/>
              <w:jc w:val="left"/>
              <w:rPr>
                <w:rFonts w:ascii="黑体" w:hAnsi="黑体"/>
                <w:szCs w:val="18"/>
              </w:rPr>
            </w:pPr>
            <w:r>
              <w:rPr>
                <w:rFonts w:hint="eastAsia" w:ascii="黑体" w:hAnsi="黑体"/>
                <w:szCs w:val="18"/>
              </w:rPr>
              <w:t>不泛白</w:t>
            </w:r>
          </w:p>
        </w:tc>
        <w:tc>
          <w:tcPr>
            <w:tcW w:w="659" w:type="pct"/>
          </w:tcPr>
          <w:p w14:paraId="24967B6A">
            <w:pPr>
              <w:autoSpaceDE w:val="0"/>
              <w:autoSpaceDN w:val="0"/>
              <w:adjustRightInd w:val="0"/>
              <w:spacing w:line="400" w:lineRule="atLeast"/>
              <w:jc w:val="left"/>
              <w:rPr>
                <w:rFonts w:ascii="黑体" w:hAnsi="黑体"/>
                <w:szCs w:val="18"/>
              </w:rPr>
            </w:pPr>
          </w:p>
        </w:tc>
      </w:tr>
      <w:tr w14:paraId="333F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37D480DF">
            <w:pPr>
              <w:autoSpaceDE w:val="0"/>
              <w:autoSpaceDN w:val="0"/>
              <w:adjustRightInd w:val="0"/>
              <w:spacing w:line="400" w:lineRule="atLeast"/>
              <w:jc w:val="left"/>
              <w:rPr>
                <w:rFonts w:ascii="黑体" w:hAnsi="黑体"/>
                <w:szCs w:val="18"/>
              </w:rPr>
            </w:pPr>
            <w:r>
              <w:rPr>
                <w:rFonts w:hint="eastAsia" w:ascii="黑体" w:hAnsi="黑体"/>
                <w:szCs w:val="18"/>
              </w:rPr>
              <w:t>13</w:t>
            </w:r>
          </w:p>
        </w:tc>
        <w:tc>
          <w:tcPr>
            <w:tcW w:w="1423" w:type="pct"/>
            <w:vAlign w:val="center"/>
          </w:tcPr>
          <w:p w14:paraId="1B30D755">
            <w:pPr>
              <w:autoSpaceDE w:val="0"/>
              <w:autoSpaceDN w:val="0"/>
              <w:adjustRightInd w:val="0"/>
              <w:spacing w:line="400" w:lineRule="atLeast"/>
              <w:jc w:val="left"/>
              <w:rPr>
                <w:rFonts w:ascii="黑体" w:hAnsi="黑体"/>
                <w:szCs w:val="18"/>
              </w:rPr>
            </w:pPr>
            <w:r>
              <w:rPr>
                <w:rFonts w:hint="eastAsia" w:ascii="黑体" w:hAnsi="黑体"/>
                <w:szCs w:val="18"/>
              </w:rPr>
              <w:t>防尘效果</w:t>
            </w:r>
          </w:p>
        </w:tc>
        <w:tc>
          <w:tcPr>
            <w:tcW w:w="2356" w:type="pct"/>
            <w:vAlign w:val="center"/>
          </w:tcPr>
          <w:p w14:paraId="57D966CF">
            <w:pPr>
              <w:autoSpaceDE w:val="0"/>
              <w:autoSpaceDN w:val="0"/>
              <w:adjustRightInd w:val="0"/>
              <w:spacing w:line="400" w:lineRule="atLeast"/>
              <w:jc w:val="left"/>
              <w:rPr>
                <w:rFonts w:ascii="黑体" w:hAnsi="黑体"/>
                <w:szCs w:val="18"/>
              </w:rPr>
            </w:pPr>
            <w:r>
              <w:rPr>
                <w:rFonts w:hint="eastAsia" w:ascii="黑体" w:hAnsi="黑体"/>
                <w:szCs w:val="18"/>
              </w:rPr>
              <w:t>无尘</w:t>
            </w:r>
          </w:p>
        </w:tc>
        <w:tc>
          <w:tcPr>
            <w:tcW w:w="659" w:type="pct"/>
          </w:tcPr>
          <w:p w14:paraId="569D1A0C">
            <w:pPr>
              <w:autoSpaceDE w:val="0"/>
              <w:autoSpaceDN w:val="0"/>
              <w:adjustRightInd w:val="0"/>
              <w:spacing w:line="400" w:lineRule="atLeast"/>
              <w:jc w:val="left"/>
              <w:rPr>
                <w:rFonts w:ascii="黑体" w:hAnsi="黑体"/>
                <w:szCs w:val="18"/>
              </w:rPr>
            </w:pPr>
          </w:p>
        </w:tc>
      </w:tr>
      <w:tr w14:paraId="67AA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0CAB6B6">
            <w:pPr>
              <w:autoSpaceDE w:val="0"/>
              <w:autoSpaceDN w:val="0"/>
              <w:adjustRightInd w:val="0"/>
              <w:spacing w:line="400" w:lineRule="atLeast"/>
              <w:jc w:val="left"/>
              <w:rPr>
                <w:rFonts w:ascii="黑体" w:hAnsi="黑体"/>
                <w:szCs w:val="18"/>
              </w:rPr>
            </w:pPr>
            <w:r>
              <w:rPr>
                <w:rFonts w:hint="eastAsia" w:ascii="黑体" w:hAnsi="黑体"/>
                <w:szCs w:val="18"/>
              </w:rPr>
              <w:t>14</w:t>
            </w:r>
          </w:p>
        </w:tc>
        <w:tc>
          <w:tcPr>
            <w:tcW w:w="1423" w:type="pct"/>
            <w:vAlign w:val="center"/>
          </w:tcPr>
          <w:p w14:paraId="6C78E375">
            <w:pPr>
              <w:autoSpaceDE w:val="0"/>
              <w:autoSpaceDN w:val="0"/>
              <w:adjustRightInd w:val="0"/>
              <w:spacing w:line="400" w:lineRule="atLeast"/>
              <w:jc w:val="left"/>
              <w:rPr>
                <w:rFonts w:ascii="黑体" w:hAnsi="黑体"/>
                <w:szCs w:val="18"/>
              </w:rPr>
            </w:pPr>
            <w:r>
              <w:rPr>
                <w:rFonts w:hint="eastAsia" w:ascii="黑体" w:hAnsi="黑体"/>
                <w:szCs w:val="18"/>
              </w:rPr>
              <w:t>光泽度</w:t>
            </w:r>
          </w:p>
        </w:tc>
        <w:tc>
          <w:tcPr>
            <w:tcW w:w="2356" w:type="pct"/>
            <w:vAlign w:val="center"/>
          </w:tcPr>
          <w:p w14:paraId="3525A8C0">
            <w:pPr>
              <w:autoSpaceDE w:val="0"/>
              <w:autoSpaceDN w:val="0"/>
              <w:adjustRightInd w:val="0"/>
              <w:spacing w:line="400" w:lineRule="atLeast"/>
              <w:jc w:val="left"/>
              <w:rPr>
                <w:rFonts w:ascii="黑体" w:hAnsi="黑体"/>
                <w:szCs w:val="18"/>
              </w:rPr>
            </w:pPr>
            <w:r>
              <w:rPr>
                <w:rFonts w:hint="eastAsia" w:ascii="黑体" w:hAnsi="黑体"/>
                <w:szCs w:val="18"/>
              </w:rPr>
              <w:t>颜色均匀且不褪色，光泽度≥15</w:t>
            </w:r>
          </w:p>
        </w:tc>
        <w:tc>
          <w:tcPr>
            <w:tcW w:w="659" w:type="pct"/>
          </w:tcPr>
          <w:p w14:paraId="7552315D">
            <w:pPr>
              <w:autoSpaceDE w:val="0"/>
              <w:autoSpaceDN w:val="0"/>
              <w:adjustRightInd w:val="0"/>
              <w:spacing w:line="400" w:lineRule="atLeast"/>
              <w:jc w:val="left"/>
              <w:rPr>
                <w:rFonts w:ascii="黑体" w:hAnsi="黑体"/>
                <w:szCs w:val="18"/>
              </w:rPr>
            </w:pPr>
          </w:p>
        </w:tc>
      </w:tr>
      <w:tr w14:paraId="4426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562" w:type="pct"/>
            <w:vAlign w:val="center"/>
          </w:tcPr>
          <w:p w14:paraId="78A3AA9E">
            <w:pPr>
              <w:autoSpaceDE w:val="0"/>
              <w:autoSpaceDN w:val="0"/>
              <w:adjustRightInd w:val="0"/>
              <w:spacing w:line="400" w:lineRule="atLeast"/>
              <w:jc w:val="left"/>
              <w:rPr>
                <w:rFonts w:ascii="黑体" w:hAnsi="黑体"/>
                <w:szCs w:val="18"/>
              </w:rPr>
            </w:pPr>
            <w:r>
              <w:rPr>
                <w:rFonts w:hint="eastAsia" w:ascii="黑体" w:hAnsi="黑体"/>
                <w:szCs w:val="18"/>
              </w:rPr>
              <w:t>15</w:t>
            </w:r>
          </w:p>
        </w:tc>
        <w:tc>
          <w:tcPr>
            <w:tcW w:w="1423" w:type="pct"/>
            <w:vAlign w:val="center"/>
          </w:tcPr>
          <w:p w14:paraId="06A23397">
            <w:pPr>
              <w:autoSpaceDE w:val="0"/>
              <w:autoSpaceDN w:val="0"/>
              <w:adjustRightInd w:val="0"/>
              <w:spacing w:line="400" w:lineRule="atLeast"/>
              <w:jc w:val="left"/>
              <w:rPr>
                <w:rFonts w:ascii="黑体" w:hAnsi="黑体"/>
                <w:szCs w:val="18"/>
              </w:rPr>
            </w:pPr>
            <w:r>
              <w:rPr>
                <w:rFonts w:hint="eastAsia" w:ascii="黑体" w:hAnsi="黑体"/>
                <w:szCs w:val="18"/>
              </w:rPr>
              <w:t>结合力</w:t>
            </w:r>
          </w:p>
        </w:tc>
        <w:tc>
          <w:tcPr>
            <w:tcW w:w="2356" w:type="pct"/>
            <w:vAlign w:val="center"/>
          </w:tcPr>
          <w:p w14:paraId="02E43329">
            <w:pPr>
              <w:autoSpaceDE w:val="0"/>
              <w:autoSpaceDN w:val="0"/>
              <w:adjustRightInd w:val="0"/>
              <w:spacing w:line="400" w:lineRule="atLeast"/>
              <w:jc w:val="left"/>
              <w:rPr>
                <w:rFonts w:ascii="黑体" w:hAnsi="黑体"/>
                <w:szCs w:val="18"/>
              </w:rPr>
            </w:pPr>
            <w:r>
              <w:rPr>
                <w:rFonts w:hint="eastAsia" w:ascii="黑体" w:hAnsi="黑体"/>
                <w:szCs w:val="18"/>
              </w:rPr>
              <w:t>涂敷渗透剂后渗透水泥基础结合力强</w:t>
            </w:r>
          </w:p>
        </w:tc>
        <w:tc>
          <w:tcPr>
            <w:tcW w:w="659" w:type="pct"/>
          </w:tcPr>
          <w:p w14:paraId="451F0EB8">
            <w:pPr>
              <w:autoSpaceDE w:val="0"/>
              <w:autoSpaceDN w:val="0"/>
              <w:adjustRightInd w:val="0"/>
              <w:spacing w:line="400" w:lineRule="atLeast"/>
              <w:jc w:val="left"/>
              <w:rPr>
                <w:rFonts w:ascii="黑体" w:hAnsi="黑体"/>
                <w:szCs w:val="18"/>
              </w:rPr>
            </w:pPr>
          </w:p>
        </w:tc>
      </w:tr>
      <w:tr w14:paraId="763C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7EE2A26C">
            <w:pPr>
              <w:autoSpaceDE w:val="0"/>
              <w:autoSpaceDN w:val="0"/>
              <w:adjustRightInd w:val="0"/>
              <w:spacing w:line="400" w:lineRule="atLeast"/>
              <w:jc w:val="left"/>
              <w:rPr>
                <w:rFonts w:ascii="黑体" w:hAnsi="黑体"/>
                <w:szCs w:val="18"/>
              </w:rPr>
            </w:pPr>
            <w:r>
              <w:rPr>
                <w:rFonts w:hint="eastAsia" w:ascii="黑体" w:hAnsi="黑体"/>
                <w:szCs w:val="18"/>
              </w:rPr>
              <w:t>16</w:t>
            </w:r>
          </w:p>
        </w:tc>
        <w:tc>
          <w:tcPr>
            <w:tcW w:w="1423" w:type="pct"/>
            <w:vAlign w:val="center"/>
          </w:tcPr>
          <w:p w14:paraId="157EE299">
            <w:pPr>
              <w:autoSpaceDE w:val="0"/>
              <w:autoSpaceDN w:val="0"/>
              <w:adjustRightInd w:val="0"/>
              <w:spacing w:line="400" w:lineRule="atLeast"/>
              <w:jc w:val="left"/>
              <w:rPr>
                <w:rFonts w:ascii="黑体" w:hAnsi="黑体"/>
                <w:szCs w:val="18"/>
              </w:rPr>
            </w:pPr>
            <w:r>
              <w:rPr>
                <w:rFonts w:hint="eastAsia" w:ascii="黑体" w:hAnsi="黑体"/>
                <w:szCs w:val="18"/>
              </w:rPr>
              <w:t>环保要求</w:t>
            </w:r>
          </w:p>
        </w:tc>
        <w:tc>
          <w:tcPr>
            <w:tcW w:w="2356" w:type="pct"/>
            <w:vAlign w:val="center"/>
          </w:tcPr>
          <w:p w14:paraId="35696A16">
            <w:pPr>
              <w:autoSpaceDE w:val="0"/>
              <w:autoSpaceDN w:val="0"/>
              <w:adjustRightInd w:val="0"/>
              <w:spacing w:line="400" w:lineRule="atLeast"/>
              <w:jc w:val="left"/>
              <w:rPr>
                <w:rFonts w:ascii="黑体" w:hAnsi="黑体"/>
                <w:szCs w:val="18"/>
              </w:rPr>
            </w:pPr>
            <w:r>
              <w:rPr>
                <w:rFonts w:hint="eastAsia" w:ascii="黑体" w:hAnsi="黑体"/>
                <w:szCs w:val="18"/>
              </w:rPr>
              <w:t>无色、无臭、无毒、无气味、环保</w:t>
            </w:r>
          </w:p>
        </w:tc>
        <w:tc>
          <w:tcPr>
            <w:tcW w:w="659" w:type="pct"/>
          </w:tcPr>
          <w:p w14:paraId="74580AD3">
            <w:pPr>
              <w:autoSpaceDE w:val="0"/>
              <w:autoSpaceDN w:val="0"/>
              <w:adjustRightInd w:val="0"/>
              <w:spacing w:line="400" w:lineRule="atLeast"/>
              <w:jc w:val="left"/>
              <w:rPr>
                <w:rFonts w:ascii="黑体" w:hAnsi="黑体"/>
                <w:szCs w:val="18"/>
              </w:rPr>
            </w:pPr>
          </w:p>
        </w:tc>
      </w:tr>
      <w:tr w14:paraId="2732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restart"/>
            <w:vAlign w:val="center"/>
          </w:tcPr>
          <w:p w14:paraId="4B3413B3">
            <w:pPr>
              <w:autoSpaceDE w:val="0"/>
              <w:autoSpaceDN w:val="0"/>
              <w:adjustRightInd w:val="0"/>
              <w:spacing w:line="400" w:lineRule="atLeast"/>
              <w:jc w:val="left"/>
              <w:rPr>
                <w:rFonts w:ascii="黑体" w:hAnsi="黑体"/>
                <w:szCs w:val="18"/>
              </w:rPr>
            </w:pPr>
            <w:r>
              <w:rPr>
                <w:rFonts w:hint="eastAsia" w:ascii="黑体" w:hAnsi="黑体"/>
                <w:szCs w:val="18"/>
              </w:rPr>
              <w:t>17</w:t>
            </w:r>
          </w:p>
          <w:p w14:paraId="5A428CD6">
            <w:pPr>
              <w:autoSpaceDE w:val="0"/>
              <w:autoSpaceDN w:val="0"/>
              <w:adjustRightInd w:val="0"/>
              <w:spacing w:line="400" w:lineRule="atLeast"/>
              <w:jc w:val="left"/>
              <w:rPr>
                <w:rFonts w:ascii="黑体" w:hAnsi="黑体"/>
                <w:szCs w:val="18"/>
              </w:rPr>
            </w:pPr>
          </w:p>
        </w:tc>
        <w:tc>
          <w:tcPr>
            <w:tcW w:w="1423" w:type="pct"/>
            <w:vMerge w:val="restart"/>
            <w:vAlign w:val="center"/>
          </w:tcPr>
          <w:p w14:paraId="469944CD">
            <w:pPr>
              <w:autoSpaceDE w:val="0"/>
              <w:autoSpaceDN w:val="0"/>
              <w:adjustRightInd w:val="0"/>
              <w:spacing w:line="400" w:lineRule="atLeast"/>
              <w:jc w:val="left"/>
              <w:rPr>
                <w:rFonts w:ascii="黑体" w:hAnsi="黑体"/>
                <w:szCs w:val="18"/>
              </w:rPr>
            </w:pPr>
            <w:r>
              <w:rPr>
                <w:rFonts w:hint="eastAsia" w:ascii="黑体" w:hAnsi="黑体"/>
                <w:szCs w:val="18"/>
              </w:rPr>
              <w:t>保养及维护</w:t>
            </w:r>
          </w:p>
        </w:tc>
        <w:tc>
          <w:tcPr>
            <w:tcW w:w="2356" w:type="pct"/>
            <w:vAlign w:val="center"/>
          </w:tcPr>
          <w:p w14:paraId="69A6A3C3">
            <w:pPr>
              <w:autoSpaceDE w:val="0"/>
              <w:autoSpaceDN w:val="0"/>
              <w:adjustRightInd w:val="0"/>
              <w:spacing w:line="400" w:lineRule="atLeast"/>
              <w:jc w:val="left"/>
              <w:rPr>
                <w:rFonts w:ascii="黑体" w:hAnsi="黑体"/>
                <w:szCs w:val="18"/>
              </w:rPr>
            </w:pPr>
            <w:r>
              <w:rPr>
                <w:rFonts w:hint="eastAsia" w:ascii="黑体" w:hAnsi="黑体"/>
                <w:szCs w:val="18"/>
              </w:rPr>
              <w:t>1、不易渗油、易清洁、难磨损﹑不起壳，使用时间越长越光亮，抗酸性物质腐蚀强</w:t>
            </w:r>
          </w:p>
        </w:tc>
        <w:tc>
          <w:tcPr>
            <w:tcW w:w="659" w:type="pct"/>
          </w:tcPr>
          <w:p w14:paraId="4E39FEA5">
            <w:pPr>
              <w:autoSpaceDE w:val="0"/>
              <w:autoSpaceDN w:val="0"/>
              <w:adjustRightInd w:val="0"/>
              <w:spacing w:line="400" w:lineRule="atLeast"/>
              <w:jc w:val="left"/>
              <w:rPr>
                <w:rFonts w:ascii="黑体" w:hAnsi="黑体"/>
                <w:szCs w:val="18"/>
              </w:rPr>
            </w:pPr>
          </w:p>
        </w:tc>
      </w:tr>
      <w:tr w14:paraId="3A25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continue"/>
            <w:vAlign w:val="center"/>
          </w:tcPr>
          <w:p w14:paraId="44B61273">
            <w:pPr>
              <w:autoSpaceDE w:val="0"/>
              <w:autoSpaceDN w:val="0"/>
              <w:adjustRightInd w:val="0"/>
              <w:spacing w:line="400" w:lineRule="atLeast"/>
              <w:jc w:val="left"/>
              <w:rPr>
                <w:rFonts w:ascii="黑体" w:hAnsi="黑体"/>
                <w:szCs w:val="18"/>
              </w:rPr>
            </w:pPr>
          </w:p>
        </w:tc>
        <w:tc>
          <w:tcPr>
            <w:tcW w:w="1423" w:type="pct"/>
            <w:vMerge w:val="continue"/>
            <w:vAlign w:val="center"/>
          </w:tcPr>
          <w:p w14:paraId="17A3C325">
            <w:pPr>
              <w:autoSpaceDE w:val="0"/>
              <w:autoSpaceDN w:val="0"/>
              <w:adjustRightInd w:val="0"/>
              <w:spacing w:line="400" w:lineRule="atLeast"/>
              <w:jc w:val="left"/>
              <w:rPr>
                <w:rFonts w:ascii="黑体" w:hAnsi="黑体"/>
                <w:szCs w:val="18"/>
              </w:rPr>
            </w:pPr>
          </w:p>
        </w:tc>
        <w:tc>
          <w:tcPr>
            <w:tcW w:w="2356" w:type="pct"/>
            <w:vAlign w:val="center"/>
          </w:tcPr>
          <w:p w14:paraId="5CD5B0E0">
            <w:pPr>
              <w:autoSpaceDE w:val="0"/>
              <w:autoSpaceDN w:val="0"/>
              <w:adjustRightInd w:val="0"/>
              <w:spacing w:line="400" w:lineRule="atLeast"/>
              <w:jc w:val="left"/>
              <w:rPr>
                <w:rFonts w:ascii="黑体" w:hAnsi="黑体"/>
                <w:szCs w:val="18"/>
              </w:rPr>
            </w:pPr>
            <w:r>
              <w:rPr>
                <w:rFonts w:hint="eastAsia" w:ascii="黑体" w:hAnsi="黑体"/>
                <w:szCs w:val="18"/>
              </w:rPr>
              <w:t>2、无需打蜡，仅需清水或肥皂水拖洗即可，清洁便捷</w:t>
            </w:r>
          </w:p>
        </w:tc>
        <w:tc>
          <w:tcPr>
            <w:tcW w:w="659" w:type="pct"/>
          </w:tcPr>
          <w:p w14:paraId="20E7B048">
            <w:pPr>
              <w:autoSpaceDE w:val="0"/>
              <w:autoSpaceDN w:val="0"/>
              <w:adjustRightInd w:val="0"/>
              <w:spacing w:line="400" w:lineRule="atLeast"/>
              <w:jc w:val="left"/>
              <w:rPr>
                <w:rFonts w:ascii="黑体" w:hAnsi="黑体"/>
                <w:szCs w:val="18"/>
              </w:rPr>
            </w:pPr>
          </w:p>
        </w:tc>
      </w:tr>
      <w:tr w14:paraId="6F7A0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Merge w:val="restart"/>
            <w:vAlign w:val="center"/>
          </w:tcPr>
          <w:p w14:paraId="0BD5146A">
            <w:pPr>
              <w:autoSpaceDE w:val="0"/>
              <w:autoSpaceDN w:val="0"/>
              <w:adjustRightInd w:val="0"/>
              <w:spacing w:line="400" w:lineRule="atLeast"/>
              <w:jc w:val="left"/>
              <w:rPr>
                <w:rFonts w:ascii="黑体" w:hAnsi="黑体"/>
                <w:szCs w:val="18"/>
              </w:rPr>
            </w:pPr>
          </w:p>
          <w:p w14:paraId="5DC521E3">
            <w:pPr>
              <w:autoSpaceDE w:val="0"/>
              <w:autoSpaceDN w:val="0"/>
              <w:adjustRightInd w:val="0"/>
              <w:spacing w:line="400" w:lineRule="atLeast"/>
              <w:jc w:val="left"/>
              <w:rPr>
                <w:rFonts w:ascii="黑体" w:hAnsi="黑体"/>
                <w:szCs w:val="18"/>
              </w:rPr>
            </w:pPr>
            <w:r>
              <w:rPr>
                <w:rFonts w:hint="eastAsia" w:ascii="黑体" w:hAnsi="黑体"/>
                <w:szCs w:val="18"/>
              </w:rPr>
              <w:t>18</w:t>
            </w:r>
          </w:p>
        </w:tc>
        <w:tc>
          <w:tcPr>
            <w:tcW w:w="1423" w:type="pct"/>
            <w:vMerge w:val="restart"/>
            <w:vAlign w:val="center"/>
          </w:tcPr>
          <w:p w14:paraId="4FE69F6E">
            <w:pPr>
              <w:autoSpaceDE w:val="0"/>
              <w:autoSpaceDN w:val="0"/>
              <w:adjustRightInd w:val="0"/>
              <w:spacing w:line="400" w:lineRule="atLeast"/>
              <w:jc w:val="left"/>
              <w:rPr>
                <w:rFonts w:ascii="黑体" w:hAnsi="黑体"/>
                <w:szCs w:val="18"/>
              </w:rPr>
            </w:pPr>
            <w:r>
              <w:rPr>
                <w:rFonts w:hint="eastAsia" w:ascii="黑体" w:hAnsi="黑体"/>
                <w:szCs w:val="18"/>
              </w:rPr>
              <w:t>其他要求</w:t>
            </w:r>
          </w:p>
        </w:tc>
        <w:tc>
          <w:tcPr>
            <w:tcW w:w="2356" w:type="pct"/>
            <w:vAlign w:val="center"/>
          </w:tcPr>
          <w:p w14:paraId="153FE1DA">
            <w:pPr>
              <w:autoSpaceDE w:val="0"/>
              <w:autoSpaceDN w:val="0"/>
              <w:adjustRightInd w:val="0"/>
              <w:spacing w:line="400" w:lineRule="atLeast"/>
              <w:jc w:val="left"/>
              <w:rPr>
                <w:rFonts w:ascii="黑体" w:hAnsi="黑体"/>
                <w:szCs w:val="18"/>
              </w:rPr>
            </w:pPr>
            <w:r>
              <w:rPr>
                <w:rFonts w:hint="eastAsia" w:ascii="黑体" w:hAnsi="黑体"/>
                <w:szCs w:val="18"/>
              </w:rPr>
              <w:t>1、防尘、耐碱、防水、防滑、不脱层、防起砂、防腐、防剥落、防风化、硬化、抗渗、上光</w:t>
            </w:r>
          </w:p>
        </w:tc>
        <w:tc>
          <w:tcPr>
            <w:tcW w:w="659" w:type="pct"/>
          </w:tcPr>
          <w:p w14:paraId="37998811">
            <w:pPr>
              <w:autoSpaceDE w:val="0"/>
              <w:autoSpaceDN w:val="0"/>
              <w:adjustRightInd w:val="0"/>
              <w:spacing w:line="400" w:lineRule="atLeast"/>
              <w:jc w:val="left"/>
              <w:rPr>
                <w:rFonts w:ascii="黑体" w:hAnsi="黑体"/>
                <w:szCs w:val="18"/>
              </w:rPr>
            </w:pPr>
          </w:p>
        </w:tc>
      </w:tr>
      <w:tr w14:paraId="7543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62" w:type="pct"/>
            <w:vMerge w:val="continue"/>
            <w:vAlign w:val="center"/>
          </w:tcPr>
          <w:p w14:paraId="1B87EEC3">
            <w:pPr>
              <w:autoSpaceDE w:val="0"/>
              <w:autoSpaceDN w:val="0"/>
              <w:adjustRightInd w:val="0"/>
              <w:spacing w:line="400" w:lineRule="atLeast"/>
              <w:jc w:val="left"/>
              <w:rPr>
                <w:rFonts w:ascii="黑体" w:hAnsi="黑体"/>
                <w:szCs w:val="18"/>
              </w:rPr>
            </w:pPr>
          </w:p>
        </w:tc>
        <w:tc>
          <w:tcPr>
            <w:tcW w:w="1423" w:type="pct"/>
            <w:vMerge w:val="continue"/>
            <w:vAlign w:val="center"/>
          </w:tcPr>
          <w:p w14:paraId="75AF0458">
            <w:pPr>
              <w:autoSpaceDE w:val="0"/>
              <w:autoSpaceDN w:val="0"/>
              <w:adjustRightInd w:val="0"/>
              <w:spacing w:line="400" w:lineRule="atLeast"/>
              <w:jc w:val="left"/>
              <w:rPr>
                <w:rFonts w:ascii="黑体" w:hAnsi="黑体"/>
                <w:szCs w:val="18"/>
              </w:rPr>
            </w:pPr>
          </w:p>
        </w:tc>
        <w:tc>
          <w:tcPr>
            <w:tcW w:w="2356" w:type="pct"/>
            <w:vAlign w:val="center"/>
          </w:tcPr>
          <w:p w14:paraId="4F921347">
            <w:pPr>
              <w:autoSpaceDE w:val="0"/>
              <w:autoSpaceDN w:val="0"/>
              <w:adjustRightInd w:val="0"/>
              <w:spacing w:line="400" w:lineRule="atLeast"/>
              <w:jc w:val="left"/>
              <w:rPr>
                <w:rFonts w:ascii="黑体" w:hAnsi="黑体"/>
                <w:szCs w:val="18"/>
              </w:rPr>
            </w:pPr>
            <w:r>
              <w:rPr>
                <w:rFonts w:hint="eastAsia" w:ascii="黑体" w:hAnsi="黑体"/>
                <w:szCs w:val="18"/>
              </w:rPr>
              <w:t>2、维护简单方便、造价低廉</w:t>
            </w:r>
          </w:p>
        </w:tc>
        <w:tc>
          <w:tcPr>
            <w:tcW w:w="659" w:type="pct"/>
          </w:tcPr>
          <w:p w14:paraId="41E3EF69">
            <w:pPr>
              <w:autoSpaceDE w:val="0"/>
              <w:autoSpaceDN w:val="0"/>
              <w:adjustRightInd w:val="0"/>
              <w:spacing w:line="400" w:lineRule="atLeast"/>
              <w:jc w:val="left"/>
              <w:rPr>
                <w:rFonts w:ascii="黑体" w:hAnsi="黑体"/>
                <w:szCs w:val="18"/>
              </w:rPr>
            </w:pPr>
          </w:p>
        </w:tc>
      </w:tr>
      <w:tr w14:paraId="1DD9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562" w:type="pct"/>
            <w:vMerge w:val="continue"/>
            <w:vAlign w:val="center"/>
          </w:tcPr>
          <w:p w14:paraId="6EBDA633">
            <w:pPr>
              <w:autoSpaceDE w:val="0"/>
              <w:autoSpaceDN w:val="0"/>
              <w:adjustRightInd w:val="0"/>
              <w:spacing w:line="400" w:lineRule="atLeast"/>
              <w:jc w:val="left"/>
              <w:rPr>
                <w:rFonts w:ascii="黑体" w:hAnsi="黑体"/>
                <w:szCs w:val="18"/>
              </w:rPr>
            </w:pPr>
          </w:p>
        </w:tc>
        <w:tc>
          <w:tcPr>
            <w:tcW w:w="1423" w:type="pct"/>
            <w:vMerge w:val="continue"/>
            <w:vAlign w:val="center"/>
          </w:tcPr>
          <w:p w14:paraId="7BC8BFE2">
            <w:pPr>
              <w:autoSpaceDE w:val="0"/>
              <w:autoSpaceDN w:val="0"/>
              <w:adjustRightInd w:val="0"/>
              <w:spacing w:line="400" w:lineRule="atLeast"/>
              <w:jc w:val="left"/>
              <w:rPr>
                <w:rFonts w:ascii="黑体" w:hAnsi="黑体"/>
                <w:szCs w:val="18"/>
              </w:rPr>
            </w:pPr>
          </w:p>
        </w:tc>
        <w:tc>
          <w:tcPr>
            <w:tcW w:w="2356" w:type="pct"/>
            <w:vAlign w:val="center"/>
          </w:tcPr>
          <w:p w14:paraId="3B01ECA0">
            <w:pPr>
              <w:autoSpaceDE w:val="0"/>
              <w:autoSpaceDN w:val="0"/>
              <w:adjustRightInd w:val="0"/>
              <w:spacing w:line="400" w:lineRule="atLeast"/>
              <w:jc w:val="left"/>
              <w:rPr>
                <w:rFonts w:ascii="黑体" w:hAnsi="黑体"/>
                <w:szCs w:val="18"/>
              </w:rPr>
            </w:pPr>
            <w:r>
              <w:rPr>
                <w:rFonts w:hint="eastAsia" w:ascii="黑体" w:hAnsi="黑体"/>
                <w:szCs w:val="18"/>
              </w:rPr>
              <w:t>3、处理后耐磨性、粘合性、摩擦止滑性、渗水性、保水性、防氯化物的渗入性、硬化性等得到明显改善</w:t>
            </w:r>
          </w:p>
        </w:tc>
        <w:tc>
          <w:tcPr>
            <w:tcW w:w="659" w:type="pct"/>
          </w:tcPr>
          <w:p w14:paraId="5A2B4E33">
            <w:pPr>
              <w:autoSpaceDE w:val="0"/>
              <w:autoSpaceDN w:val="0"/>
              <w:adjustRightInd w:val="0"/>
              <w:spacing w:line="400" w:lineRule="atLeast"/>
              <w:jc w:val="left"/>
              <w:rPr>
                <w:rFonts w:ascii="黑体" w:hAnsi="黑体"/>
                <w:szCs w:val="18"/>
              </w:rPr>
            </w:pPr>
          </w:p>
        </w:tc>
      </w:tr>
      <w:tr w14:paraId="4F31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62" w:type="pct"/>
            <w:vAlign w:val="center"/>
          </w:tcPr>
          <w:p w14:paraId="32FDFFD2">
            <w:pPr>
              <w:autoSpaceDE w:val="0"/>
              <w:autoSpaceDN w:val="0"/>
              <w:adjustRightInd w:val="0"/>
              <w:spacing w:line="400" w:lineRule="atLeast"/>
              <w:jc w:val="left"/>
              <w:rPr>
                <w:rFonts w:ascii="黑体" w:hAnsi="黑体"/>
                <w:szCs w:val="18"/>
              </w:rPr>
            </w:pPr>
            <w:r>
              <w:rPr>
                <w:rFonts w:hint="eastAsia" w:ascii="黑体" w:hAnsi="黑体"/>
                <w:szCs w:val="18"/>
              </w:rPr>
              <w:t>19</w:t>
            </w:r>
          </w:p>
        </w:tc>
        <w:tc>
          <w:tcPr>
            <w:tcW w:w="1423" w:type="pct"/>
            <w:vAlign w:val="center"/>
          </w:tcPr>
          <w:p w14:paraId="4B39C060">
            <w:pPr>
              <w:autoSpaceDE w:val="0"/>
              <w:autoSpaceDN w:val="0"/>
              <w:adjustRightInd w:val="0"/>
              <w:spacing w:line="400" w:lineRule="atLeast"/>
              <w:jc w:val="left"/>
              <w:rPr>
                <w:rFonts w:ascii="黑体" w:hAnsi="黑体"/>
                <w:szCs w:val="18"/>
              </w:rPr>
            </w:pPr>
            <w:r>
              <w:rPr>
                <w:rFonts w:hint="eastAsia" w:ascii="黑体" w:hAnsi="黑体"/>
                <w:szCs w:val="18"/>
              </w:rPr>
              <w:t>工程质保年限</w:t>
            </w:r>
          </w:p>
        </w:tc>
        <w:tc>
          <w:tcPr>
            <w:tcW w:w="2356" w:type="pct"/>
            <w:vAlign w:val="center"/>
          </w:tcPr>
          <w:p w14:paraId="3753B7FC">
            <w:pPr>
              <w:autoSpaceDE w:val="0"/>
              <w:autoSpaceDN w:val="0"/>
              <w:adjustRightInd w:val="0"/>
              <w:spacing w:line="400" w:lineRule="atLeast"/>
              <w:jc w:val="left"/>
              <w:rPr>
                <w:rFonts w:ascii="黑体" w:hAnsi="黑体"/>
                <w:szCs w:val="18"/>
              </w:rPr>
            </w:pPr>
            <w:r>
              <w:rPr>
                <w:rFonts w:hint="eastAsia" w:ascii="黑体" w:hAnsi="黑体"/>
                <w:szCs w:val="18"/>
              </w:rPr>
              <w:t>≥20年</w:t>
            </w:r>
          </w:p>
        </w:tc>
        <w:tc>
          <w:tcPr>
            <w:tcW w:w="659" w:type="pct"/>
          </w:tcPr>
          <w:p w14:paraId="5A0047BF">
            <w:pPr>
              <w:autoSpaceDE w:val="0"/>
              <w:autoSpaceDN w:val="0"/>
              <w:adjustRightInd w:val="0"/>
              <w:spacing w:line="400" w:lineRule="atLeast"/>
              <w:jc w:val="left"/>
              <w:rPr>
                <w:rFonts w:ascii="黑体" w:hAnsi="黑体"/>
                <w:szCs w:val="18"/>
              </w:rPr>
            </w:pPr>
          </w:p>
        </w:tc>
      </w:tr>
    </w:tbl>
    <w:p w14:paraId="2BD79D99">
      <w:pPr>
        <w:pStyle w:val="97"/>
        <w:rPr>
          <w:b/>
        </w:rPr>
      </w:pPr>
      <w:bookmarkStart w:id="113" w:name="_Toc312832015"/>
      <w:r>
        <w:rPr>
          <w:rFonts w:hint="eastAsia"/>
          <w:b/>
        </w:rPr>
        <w:t>总体要求</w:t>
      </w:r>
    </w:p>
    <w:p w14:paraId="49C32516">
      <w:pPr>
        <w:pStyle w:val="49"/>
        <w:numPr>
          <w:ilvl w:val="0"/>
          <w:numId w:val="142"/>
        </w:numPr>
        <w:spacing w:line="400" w:lineRule="exact"/>
        <w:ind w:firstLineChars="0"/>
        <w:jc w:val="left"/>
        <w:rPr>
          <w:rFonts w:ascii="黑体" w:hAnsi="黑体"/>
          <w:szCs w:val="18"/>
        </w:rPr>
      </w:pPr>
      <w:r>
        <w:rPr>
          <w:rFonts w:hint="eastAsia" w:ascii="黑体" w:hAnsi="黑体"/>
          <w:szCs w:val="18"/>
        </w:rPr>
        <w:t>可对</w:t>
      </w:r>
      <w:r>
        <w:rPr>
          <w:rFonts w:ascii="黑体" w:hAnsi="黑体"/>
          <w:szCs w:val="18"/>
        </w:rPr>
        <w:t>混凝土进行致密、密封</w:t>
      </w:r>
      <w:r>
        <w:rPr>
          <w:rFonts w:hint="eastAsia" w:ascii="黑体" w:hAnsi="黑体"/>
          <w:szCs w:val="18"/>
        </w:rPr>
        <w:t>和</w:t>
      </w:r>
      <w:r>
        <w:rPr>
          <w:rFonts w:ascii="黑体" w:hAnsi="黑体"/>
          <w:szCs w:val="18"/>
        </w:rPr>
        <w:t>防尘处理</w:t>
      </w:r>
      <w:r>
        <w:rPr>
          <w:rFonts w:hint="eastAsia" w:ascii="黑体" w:hAnsi="黑体"/>
          <w:szCs w:val="18"/>
        </w:rPr>
        <w:t>；</w:t>
      </w:r>
    </w:p>
    <w:p w14:paraId="774FF6CD">
      <w:pPr>
        <w:pStyle w:val="49"/>
        <w:numPr>
          <w:ilvl w:val="0"/>
          <w:numId w:val="142"/>
        </w:numPr>
        <w:spacing w:line="400" w:lineRule="exact"/>
        <w:ind w:firstLineChars="0"/>
        <w:jc w:val="left"/>
        <w:rPr>
          <w:rFonts w:ascii="黑体" w:hAnsi="黑体"/>
          <w:szCs w:val="18"/>
        </w:rPr>
      </w:pPr>
      <w:r>
        <w:rPr>
          <w:rFonts w:hint="eastAsia" w:ascii="黑体" w:hAnsi="黑体"/>
          <w:szCs w:val="18"/>
        </w:rPr>
        <w:t>表面光泽度</w:t>
      </w:r>
      <w:r>
        <w:rPr>
          <w:rFonts w:ascii="黑体" w:hAnsi="黑体"/>
          <w:szCs w:val="18"/>
        </w:rPr>
        <w:t>随时间的推移越来越好</w:t>
      </w:r>
      <w:r>
        <w:rPr>
          <w:rFonts w:hint="eastAsia" w:ascii="黑体" w:hAnsi="黑体"/>
          <w:szCs w:val="18"/>
        </w:rPr>
        <w:t>；</w:t>
      </w:r>
    </w:p>
    <w:p w14:paraId="47632DD7">
      <w:pPr>
        <w:pStyle w:val="49"/>
        <w:numPr>
          <w:ilvl w:val="0"/>
          <w:numId w:val="142"/>
        </w:numPr>
        <w:spacing w:line="400" w:lineRule="exact"/>
        <w:ind w:firstLineChars="0"/>
        <w:jc w:val="left"/>
        <w:rPr>
          <w:rFonts w:ascii="黑体" w:hAnsi="黑体"/>
          <w:szCs w:val="18"/>
        </w:rPr>
      </w:pPr>
      <w:r>
        <w:rPr>
          <w:rFonts w:ascii="黑体" w:hAnsi="黑体"/>
          <w:szCs w:val="18"/>
        </w:rPr>
        <w:t>耐磨</w:t>
      </w:r>
      <w:r>
        <w:rPr>
          <w:rFonts w:hint="eastAsia" w:ascii="黑体" w:hAnsi="黑体"/>
          <w:szCs w:val="18"/>
        </w:rPr>
        <w:t>、</w:t>
      </w:r>
      <w:r>
        <w:rPr>
          <w:rFonts w:ascii="黑体" w:hAnsi="黑体"/>
          <w:szCs w:val="18"/>
        </w:rPr>
        <w:t>防滑</w:t>
      </w:r>
      <w:r>
        <w:rPr>
          <w:rFonts w:hint="eastAsia" w:ascii="黑体" w:hAnsi="黑体"/>
          <w:szCs w:val="18"/>
        </w:rPr>
        <w:t>；</w:t>
      </w:r>
    </w:p>
    <w:p w14:paraId="7CC9E125">
      <w:pPr>
        <w:pStyle w:val="49"/>
        <w:numPr>
          <w:ilvl w:val="0"/>
          <w:numId w:val="142"/>
        </w:numPr>
        <w:spacing w:line="400" w:lineRule="exact"/>
        <w:ind w:firstLineChars="0"/>
        <w:jc w:val="left"/>
        <w:rPr>
          <w:rFonts w:ascii="黑体" w:hAnsi="黑体"/>
          <w:szCs w:val="18"/>
        </w:rPr>
      </w:pPr>
      <w:r>
        <w:rPr>
          <w:rFonts w:ascii="黑体" w:hAnsi="黑体"/>
          <w:szCs w:val="18"/>
        </w:rPr>
        <w:t>不会</w:t>
      </w:r>
      <w:r>
        <w:rPr>
          <w:rFonts w:hint="eastAsia" w:ascii="黑体" w:hAnsi="黑体"/>
          <w:szCs w:val="18"/>
        </w:rPr>
        <w:t>泛白、</w:t>
      </w:r>
      <w:r>
        <w:rPr>
          <w:rFonts w:ascii="黑体" w:hAnsi="黑体"/>
          <w:szCs w:val="18"/>
        </w:rPr>
        <w:t>黄变、</w:t>
      </w:r>
      <w:r>
        <w:rPr>
          <w:rFonts w:hint="eastAsia" w:ascii="黑体" w:hAnsi="黑体"/>
          <w:szCs w:val="18"/>
        </w:rPr>
        <w:t>起砂、起尘、脱层、</w:t>
      </w:r>
      <w:r>
        <w:rPr>
          <w:rFonts w:ascii="黑体" w:hAnsi="黑体"/>
          <w:szCs w:val="18"/>
        </w:rPr>
        <w:t>剥落</w:t>
      </w:r>
      <w:r>
        <w:rPr>
          <w:rFonts w:hint="eastAsia" w:ascii="黑体" w:hAnsi="黑体"/>
          <w:szCs w:val="18"/>
        </w:rPr>
        <w:t>、脱皮</w:t>
      </w:r>
      <w:r>
        <w:rPr>
          <w:rFonts w:ascii="黑体" w:hAnsi="黑体"/>
          <w:szCs w:val="18"/>
        </w:rPr>
        <w:t>或褪色</w:t>
      </w:r>
      <w:r>
        <w:rPr>
          <w:rFonts w:hint="eastAsia" w:ascii="黑体" w:hAnsi="黑体"/>
          <w:szCs w:val="18"/>
        </w:rPr>
        <w:t>；</w:t>
      </w:r>
    </w:p>
    <w:p w14:paraId="39951C95">
      <w:pPr>
        <w:pStyle w:val="49"/>
        <w:numPr>
          <w:ilvl w:val="0"/>
          <w:numId w:val="142"/>
        </w:numPr>
        <w:spacing w:line="400" w:lineRule="atLeast"/>
        <w:ind w:firstLineChars="0"/>
        <w:jc w:val="left"/>
        <w:rPr>
          <w:rFonts w:ascii="黑体" w:hAnsi="黑体"/>
          <w:szCs w:val="18"/>
        </w:rPr>
      </w:pPr>
      <w:r>
        <w:rPr>
          <w:rFonts w:hint="eastAsia" w:ascii="黑体" w:hAnsi="黑体"/>
          <w:szCs w:val="18"/>
        </w:rPr>
        <w:t>符合VOC</w:t>
      </w:r>
      <w:r>
        <w:rPr>
          <w:rFonts w:ascii="黑体" w:hAnsi="黑体"/>
          <w:szCs w:val="18"/>
        </w:rPr>
        <w:t>含量要求</w:t>
      </w:r>
      <w:r>
        <w:rPr>
          <w:rFonts w:hint="eastAsia" w:ascii="黑体" w:hAnsi="黑体"/>
          <w:szCs w:val="18"/>
        </w:rPr>
        <w:t>，</w:t>
      </w:r>
      <w:r>
        <w:rPr>
          <w:rFonts w:ascii="黑体" w:hAnsi="黑体"/>
          <w:szCs w:val="18"/>
        </w:rPr>
        <w:t>绿色环保</w:t>
      </w:r>
      <w:r>
        <w:rPr>
          <w:rFonts w:hint="eastAsia" w:ascii="黑体" w:hAnsi="黑体"/>
          <w:szCs w:val="18"/>
        </w:rPr>
        <w:t>；</w:t>
      </w:r>
    </w:p>
    <w:p w14:paraId="3A2E7A54">
      <w:pPr>
        <w:pStyle w:val="49"/>
        <w:numPr>
          <w:ilvl w:val="0"/>
          <w:numId w:val="142"/>
        </w:numPr>
        <w:spacing w:line="400" w:lineRule="exact"/>
        <w:ind w:firstLineChars="0"/>
        <w:jc w:val="left"/>
        <w:rPr>
          <w:rFonts w:ascii="黑体" w:hAnsi="黑体"/>
          <w:szCs w:val="18"/>
        </w:rPr>
      </w:pPr>
      <w:r>
        <w:rPr>
          <w:rFonts w:hint="eastAsia" w:ascii="黑体" w:hAnsi="黑体"/>
          <w:szCs w:val="18"/>
        </w:rPr>
        <w:t>清洁及维护便捷。</w:t>
      </w:r>
    </w:p>
    <w:p w14:paraId="6E694E09">
      <w:pPr>
        <w:pStyle w:val="97"/>
        <w:rPr>
          <w:b/>
        </w:rPr>
      </w:pPr>
      <w:r>
        <w:rPr>
          <w:rFonts w:hint="eastAsia"/>
          <w:b/>
        </w:rPr>
        <w:t>样板要求</w:t>
      </w:r>
    </w:p>
    <w:p w14:paraId="26B66D08">
      <w:pPr>
        <w:pStyle w:val="49"/>
        <w:numPr>
          <w:ilvl w:val="0"/>
          <w:numId w:val="142"/>
        </w:numPr>
        <w:spacing w:line="400" w:lineRule="exact"/>
        <w:ind w:firstLineChars="0"/>
        <w:jc w:val="left"/>
        <w:rPr>
          <w:rFonts w:ascii="黑体" w:hAnsi="黑体"/>
          <w:szCs w:val="18"/>
        </w:rPr>
      </w:pPr>
      <w:r>
        <w:rPr>
          <w:rFonts w:hint="eastAsia" w:ascii="黑体" w:hAnsi="黑体"/>
          <w:szCs w:val="18"/>
        </w:rPr>
        <w:t>样板具体位置和面积由项目组现场进行指定。</w:t>
      </w:r>
    </w:p>
    <w:p w14:paraId="75174605">
      <w:pPr>
        <w:pStyle w:val="97"/>
        <w:rPr>
          <w:b/>
        </w:rPr>
      </w:pPr>
      <w:r>
        <w:rPr>
          <w:rFonts w:hint="eastAsia"/>
          <w:b/>
        </w:rPr>
        <w:t>施工方案</w:t>
      </w:r>
    </w:p>
    <w:bookmarkEnd w:id="109"/>
    <w:bookmarkEnd w:id="110"/>
    <w:bookmarkEnd w:id="113"/>
    <w:p w14:paraId="5625F6F8">
      <w:pPr>
        <w:pStyle w:val="5"/>
        <w:jc w:val="left"/>
        <w:rPr>
          <w:rFonts w:ascii="黑体" w:hAnsi="黑体" w:eastAsia="黑体"/>
          <w:color w:val="auto"/>
        </w:rPr>
      </w:pPr>
      <w:r>
        <w:rPr>
          <w:rFonts w:hint="eastAsia" w:ascii="黑体" w:hAnsi="黑体" w:eastAsia="黑体"/>
          <w:color w:val="auto"/>
        </w:rPr>
        <w:t>施工要求</w:t>
      </w:r>
    </w:p>
    <w:p w14:paraId="10121D69">
      <w:pPr>
        <w:pStyle w:val="49"/>
        <w:numPr>
          <w:ilvl w:val="0"/>
          <w:numId w:val="142"/>
        </w:numPr>
        <w:spacing w:line="400" w:lineRule="exact"/>
        <w:ind w:firstLineChars="0"/>
        <w:jc w:val="left"/>
        <w:rPr>
          <w:rFonts w:ascii="黑体" w:hAnsi="黑体"/>
          <w:szCs w:val="18"/>
        </w:rPr>
      </w:pPr>
      <w:r>
        <w:rPr>
          <w:rFonts w:hint="eastAsia" w:ascii="黑体" w:hAnsi="黑体"/>
          <w:szCs w:val="18"/>
        </w:rPr>
        <w:t>在项目施工前，应结合项目具体情况，并结合本技术要求提供具体的施工方案；</w:t>
      </w:r>
    </w:p>
    <w:p w14:paraId="4351E7B3">
      <w:pPr>
        <w:pStyle w:val="49"/>
        <w:numPr>
          <w:ilvl w:val="0"/>
          <w:numId w:val="142"/>
        </w:numPr>
        <w:spacing w:line="400" w:lineRule="exact"/>
        <w:ind w:firstLineChars="0"/>
        <w:jc w:val="left"/>
        <w:rPr>
          <w:rFonts w:ascii="黑体" w:hAnsi="黑体"/>
          <w:szCs w:val="18"/>
        </w:rPr>
      </w:pPr>
      <w:r>
        <w:rPr>
          <w:rFonts w:hint="eastAsia" w:ascii="黑体" w:hAnsi="黑体"/>
          <w:szCs w:val="18"/>
        </w:rPr>
        <w:t>硬化剂地面系统工程施工前应进行基层检查，并依据基层验收报告编制施工组织方案，经相关部门审定并进行技术交底后按方案组织施工；</w:t>
      </w:r>
    </w:p>
    <w:p w14:paraId="7F26D85B">
      <w:pPr>
        <w:pStyle w:val="49"/>
        <w:numPr>
          <w:ilvl w:val="0"/>
          <w:numId w:val="142"/>
        </w:numPr>
        <w:spacing w:line="400" w:lineRule="exact"/>
        <w:ind w:firstLineChars="0"/>
        <w:jc w:val="left"/>
        <w:rPr>
          <w:rFonts w:ascii="黑体" w:hAnsi="黑体"/>
          <w:szCs w:val="18"/>
        </w:rPr>
      </w:pPr>
      <w:r>
        <w:fldChar w:fldCharType="begin"/>
      </w:r>
      <w:r>
        <w:instrText xml:space="preserve"> HYPERLINK "http://www.dpwang.com" \t "_blank" </w:instrText>
      </w:r>
      <w:r>
        <w:fldChar w:fldCharType="separate"/>
      </w:r>
      <w:r>
        <w:rPr>
          <w:rFonts w:ascii="黑体" w:hAnsi="黑体"/>
          <w:szCs w:val="18"/>
        </w:rPr>
        <w:t>硬化剂</w:t>
      </w:r>
      <w:r>
        <w:rPr>
          <w:rFonts w:ascii="黑体" w:hAnsi="黑体"/>
          <w:szCs w:val="18"/>
        </w:rPr>
        <w:fldChar w:fldCharType="end"/>
      </w:r>
      <w:r>
        <w:rPr>
          <w:rFonts w:ascii="黑体" w:hAnsi="黑体"/>
          <w:szCs w:val="18"/>
        </w:rPr>
        <w:t>材料应贮存在阴凉、干燥、通风、远离火和热源的场所，不得露天存放和曝晒，贮存温度宜为10℃</w:t>
      </w:r>
      <w:r>
        <w:rPr>
          <w:rFonts w:hint="eastAsia" w:ascii="黑体" w:hAnsi="黑体"/>
          <w:szCs w:val="18"/>
        </w:rPr>
        <w:t>~</w:t>
      </w:r>
      <w:r>
        <w:rPr>
          <w:rFonts w:ascii="黑体" w:hAnsi="黑体"/>
          <w:szCs w:val="18"/>
        </w:rPr>
        <w:t>25℃</w:t>
      </w:r>
      <w:r>
        <w:rPr>
          <w:rFonts w:hint="eastAsia" w:ascii="黑体" w:hAnsi="黑体"/>
          <w:szCs w:val="18"/>
        </w:rPr>
        <w:t>；</w:t>
      </w:r>
    </w:p>
    <w:p w14:paraId="40A3DED9">
      <w:pPr>
        <w:pStyle w:val="49"/>
        <w:numPr>
          <w:ilvl w:val="0"/>
          <w:numId w:val="142"/>
        </w:numPr>
        <w:spacing w:line="400" w:lineRule="exact"/>
        <w:ind w:firstLineChars="0"/>
        <w:jc w:val="left"/>
        <w:rPr>
          <w:rFonts w:ascii="黑体" w:hAnsi="黑体"/>
          <w:szCs w:val="18"/>
        </w:rPr>
      </w:pPr>
      <w:r>
        <w:rPr>
          <w:rFonts w:hint="eastAsia" w:ascii="黑体" w:hAnsi="黑体"/>
          <w:szCs w:val="18"/>
        </w:rPr>
        <w:t>施工现场应封闭，严禁交叉作业；</w:t>
      </w:r>
    </w:p>
    <w:p w14:paraId="08D288F9">
      <w:pPr>
        <w:pStyle w:val="49"/>
        <w:numPr>
          <w:ilvl w:val="0"/>
          <w:numId w:val="142"/>
        </w:numPr>
        <w:spacing w:line="400" w:lineRule="exact"/>
        <w:ind w:firstLineChars="0"/>
        <w:jc w:val="left"/>
        <w:rPr>
          <w:rFonts w:ascii="黑体" w:hAnsi="黑体"/>
          <w:szCs w:val="18"/>
        </w:rPr>
      </w:pPr>
      <w:r>
        <w:rPr>
          <w:rFonts w:hint="eastAsia" w:ascii="黑体" w:hAnsi="黑体"/>
          <w:szCs w:val="18"/>
        </w:rPr>
        <w:t>进行整体地面系统工程施工时，应配备施工人员和设备的安全防护装置；</w:t>
      </w:r>
    </w:p>
    <w:p w14:paraId="0986F909">
      <w:pPr>
        <w:pStyle w:val="49"/>
        <w:numPr>
          <w:ilvl w:val="0"/>
          <w:numId w:val="142"/>
        </w:numPr>
        <w:spacing w:line="400" w:lineRule="exact"/>
        <w:ind w:firstLineChars="0"/>
        <w:jc w:val="left"/>
        <w:rPr>
          <w:rFonts w:ascii="黑体" w:hAnsi="黑体"/>
          <w:szCs w:val="18"/>
        </w:rPr>
      </w:pPr>
      <w:r>
        <w:rPr>
          <w:rFonts w:ascii="黑体" w:hAnsi="黑体"/>
          <w:szCs w:val="18"/>
        </w:rPr>
        <w:t>施工单位应建立各道工序的自检、互检和专职人员检验制度，并应有完整的施工检查记录</w:t>
      </w:r>
      <w:r>
        <w:rPr>
          <w:rFonts w:hint="eastAsia" w:ascii="黑体" w:hAnsi="黑体"/>
          <w:szCs w:val="18"/>
        </w:rPr>
        <w:t>，</w:t>
      </w:r>
      <w:r>
        <w:rPr>
          <w:rFonts w:ascii="黑体" w:hAnsi="黑体"/>
          <w:szCs w:val="18"/>
        </w:rPr>
        <w:t>隐蔽工程施工检查记录应经业主代表或监理签字确认后，方可进行下道工序施工</w:t>
      </w:r>
      <w:r>
        <w:rPr>
          <w:rFonts w:hint="eastAsia" w:ascii="黑体" w:hAnsi="黑体"/>
          <w:szCs w:val="18"/>
        </w:rPr>
        <w:t>；</w:t>
      </w:r>
    </w:p>
    <w:p w14:paraId="3AD7126D">
      <w:pPr>
        <w:pStyle w:val="49"/>
        <w:numPr>
          <w:ilvl w:val="0"/>
          <w:numId w:val="142"/>
        </w:numPr>
        <w:spacing w:line="400" w:lineRule="exact"/>
        <w:ind w:firstLineChars="0"/>
        <w:jc w:val="left"/>
        <w:rPr>
          <w:rFonts w:ascii="黑体" w:hAnsi="黑体"/>
          <w:szCs w:val="18"/>
        </w:rPr>
      </w:pPr>
      <w:r>
        <w:rPr>
          <w:rFonts w:hint="eastAsia" w:ascii="黑体" w:hAnsi="黑体"/>
          <w:szCs w:val="18"/>
        </w:rPr>
        <w:t>渗透型液体硬化地面程施工环境温度应≥5℃；</w:t>
      </w:r>
    </w:p>
    <w:p w14:paraId="445F24AD">
      <w:pPr>
        <w:pStyle w:val="49"/>
        <w:numPr>
          <w:ilvl w:val="0"/>
          <w:numId w:val="142"/>
        </w:numPr>
        <w:spacing w:line="400" w:lineRule="exact"/>
        <w:ind w:firstLineChars="0"/>
        <w:jc w:val="left"/>
        <w:rPr>
          <w:rFonts w:ascii="黑体" w:hAnsi="黑体"/>
          <w:szCs w:val="18"/>
        </w:rPr>
      </w:pPr>
      <w:r>
        <w:rPr>
          <w:rFonts w:hint="eastAsia" w:ascii="黑体" w:hAnsi="黑体"/>
          <w:szCs w:val="18"/>
        </w:rPr>
        <w:t>渗透型液体硬化地面系统工程施工应采用专用机具。</w:t>
      </w:r>
    </w:p>
    <w:p w14:paraId="026309D0">
      <w:pPr>
        <w:pStyle w:val="5"/>
        <w:jc w:val="left"/>
        <w:rPr>
          <w:rFonts w:ascii="黑体" w:hAnsi="黑体" w:eastAsia="黑体"/>
          <w:color w:val="auto"/>
        </w:rPr>
      </w:pPr>
      <w:r>
        <w:rPr>
          <w:rFonts w:hint="eastAsia" w:ascii="黑体" w:hAnsi="黑体" w:eastAsia="黑体"/>
          <w:color w:val="auto"/>
        </w:rPr>
        <w:t>基层要求及处理方式</w:t>
      </w:r>
    </w:p>
    <w:p w14:paraId="1ECC4EAE">
      <w:pPr>
        <w:pStyle w:val="49"/>
        <w:numPr>
          <w:ilvl w:val="0"/>
          <w:numId w:val="142"/>
        </w:numPr>
        <w:spacing w:line="400" w:lineRule="exact"/>
        <w:ind w:firstLineChars="0"/>
        <w:jc w:val="left"/>
        <w:rPr>
          <w:rFonts w:ascii="黑体" w:hAnsi="黑体"/>
          <w:szCs w:val="18"/>
        </w:rPr>
      </w:pPr>
      <w:r>
        <w:rPr>
          <w:rFonts w:hint="eastAsia" w:ascii="黑体" w:hAnsi="黑体"/>
          <w:szCs w:val="18"/>
        </w:rPr>
        <w:t>基层混凝土应坚固、密实，混凝土强度等级不应低于C25，水灰比应小于0.5；塌落度宜12~14cm；粉煤灰掺量应小于水泥用量的10%；水泥选用普通硅酸盐水泥，不得用其他水泥。</w:t>
      </w:r>
    </w:p>
    <w:p w14:paraId="481E51E2">
      <w:pPr>
        <w:pStyle w:val="49"/>
        <w:numPr>
          <w:ilvl w:val="0"/>
          <w:numId w:val="142"/>
        </w:numPr>
        <w:spacing w:line="400" w:lineRule="exact"/>
        <w:ind w:firstLineChars="0"/>
        <w:jc w:val="left"/>
        <w:rPr>
          <w:rFonts w:ascii="黑体" w:hAnsi="黑体"/>
          <w:szCs w:val="18"/>
        </w:rPr>
      </w:pPr>
      <w:r>
        <w:rPr>
          <w:rFonts w:hint="eastAsia" w:ascii="黑体" w:hAnsi="黑体"/>
          <w:szCs w:val="18"/>
        </w:rPr>
        <w:t>基层混凝土浇筑应优先使用自动或激光找平机施工，地下车库平整度应控制在2m靠尺5mm以内，排水坡度应满设计及规范要求；基层表面收光，清洁，无油脂、裂缝、空鼓、损坏或其他污染物；如现场基层不达要求，需采用其他方式进行补强、找平及其他基层处理措施；</w:t>
      </w:r>
    </w:p>
    <w:p w14:paraId="6FAC47C8">
      <w:pPr>
        <w:pStyle w:val="49"/>
        <w:numPr>
          <w:ilvl w:val="0"/>
          <w:numId w:val="142"/>
        </w:numPr>
        <w:spacing w:line="400" w:lineRule="exact"/>
        <w:ind w:firstLineChars="0"/>
        <w:jc w:val="left"/>
        <w:rPr>
          <w:rFonts w:ascii="黑体" w:hAnsi="黑体"/>
          <w:szCs w:val="18"/>
        </w:rPr>
      </w:pPr>
      <w:r>
        <w:rPr>
          <w:rFonts w:hint="eastAsia" w:ascii="黑体" w:hAnsi="黑体"/>
          <w:szCs w:val="18"/>
        </w:rPr>
        <w:t>当混凝土基层有大于0.2mm裂缝，除处于继续开展而未稳定的活动裂缝和渗水裂缝外，应进行填充密封处理；</w:t>
      </w:r>
    </w:p>
    <w:p w14:paraId="6FD99935">
      <w:pPr>
        <w:pStyle w:val="49"/>
        <w:numPr>
          <w:ilvl w:val="0"/>
          <w:numId w:val="142"/>
        </w:numPr>
        <w:spacing w:line="400" w:lineRule="exact"/>
        <w:ind w:firstLineChars="0"/>
        <w:jc w:val="left"/>
        <w:rPr>
          <w:rFonts w:ascii="黑体" w:hAnsi="黑体"/>
          <w:szCs w:val="18"/>
        </w:rPr>
      </w:pPr>
      <w:r>
        <w:rPr>
          <w:rFonts w:hint="eastAsia" w:ascii="黑体" w:hAnsi="黑体"/>
          <w:szCs w:val="18"/>
        </w:rPr>
        <w:t>混凝土基层出现空鼓时，空鼓面积不大于1㎡时，可采用注浆法处理；当空鼓面积大于1㎡时，应剔除后重新施工找平层；</w:t>
      </w:r>
    </w:p>
    <w:p w14:paraId="535580B4">
      <w:pPr>
        <w:pStyle w:val="49"/>
        <w:numPr>
          <w:ilvl w:val="0"/>
          <w:numId w:val="142"/>
        </w:numPr>
        <w:spacing w:line="400" w:lineRule="exact"/>
        <w:ind w:firstLineChars="0"/>
        <w:jc w:val="left"/>
        <w:rPr>
          <w:rFonts w:ascii="黑体" w:hAnsi="黑体"/>
          <w:szCs w:val="18"/>
        </w:rPr>
      </w:pPr>
      <w:r>
        <w:rPr>
          <w:rFonts w:hint="eastAsia" w:ascii="黑体" w:hAnsi="黑体"/>
          <w:szCs w:val="18"/>
        </w:rPr>
        <w:t>当基层出现起砂、浮浆、表面脱落现象时，应用机械清除；</w:t>
      </w:r>
    </w:p>
    <w:p w14:paraId="7C0176C1">
      <w:pPr>
        <w:pStyle w:val="49"/>
        <w:numPr>
          <w:ilvl w:val="0"/>
          <w:numId w:val="142"/>
        </w:numPr>
        <w:spacing w:line="400" w:lineRule="exact"/>
        <w:ind w:firstLineChars="0"/>
        <w:jc w:val="left"/>
        <w:rPr>
          <w:rFonts w:ascii="黑体" w:hAnsi="黑体"/>
          <w:szCs w:val="18"/>
        </w:rPr>
      </w:pPr>
      <w:r>
        <w:rPr>
          <w:rFonts w:hint="eastAsia" w:ascii="黑体" w:hAnsi="黑体"/>
          <w:szCs w:val="18"/>
        </w:rPr>
        <w:t>当基层平整度用2m靠尺检查，地下车库平整度偏差大于5mm时，应进行找平处理；</w:t>
      </w:r>
    </w:p>
    <w:p w14:paraId="390F9564">
      <w:pPr>
        <w:pStyle w:val="49"/>
        <w:numPr>
          <w:ilvl w:val="0"/>
          <w:numId w:val="142"/>
        </w:numPr>
        <w:spacing w:line="400" w:lineRule="exact"/>
        <w:ind w:firstLineChars="0"/>
        <w:jc w:val="left"/>
        <w:rPr>
          <w:rFonts w:ascii="黑体" w:hAnsi="黑体"/>
          <w:szCs w:val="18"/>
        </w:rPr>
      </w:pPr>
      <w:r>
        <w:rPr>
          <w:rFonts w:hint="eastAsia" w:ascii="黑体" w:hAnsi="黑体"/>
          <w:szCs w:val="18"/>
        </w:rPr>
        <w:t>基层含水率在4~8%之间时，可采用通风、提高室内温度等方式降低混凝土含水率或采用防潮底涂进行封闭处理；</w:t>
      </w:r>
    </w:p>
    <w:p w14:paraId="3452A09B">
      <w:pPr>
        <w:pStyle w:val="49"/>
        <w:numPr>
          <w:ilvl w:val="0"/>
          <w:numId w:val="142"/>
        </w:numPr>
        <w:spacing w:line="400" w:lineRule="exact"/>
        <w:ind w:firstLineChars="0"/>
        <w:jc w:val="left"/>
        <w:rPr>
          <w:rFonts w:ascii="黑体" w:hAnsi="黑体"/>
          <w:szCs w:val="18"/>
        </w:rPr>
      </w:pPr>
      <w:r>
        <w:rPr>
          <w:rFonts w:hint="eastAsia" w:ascii="黑体" w:hAnsi="黑体"/>
          <w:szCs w:val="18"/>
        </w:rPr>
        <w:t>基层要求表面清洁，干燥，无裂缝、空鼓、损坏，当基层出现起砂、浮浆、表面脱落现象时，应用机械清除；</w:t>
      </w:r>
    </w:p>
    <w:p w14:paraId="4F4AA316">
      <w:pPr>
        <w:pStyle w:val="49"/>
        <w:numPr>
          <w:ilvl w:val="0"/>
          <w:numId w:val="142"/>
        </w:numPr>
        <w:spacing w:line="400" w:lineRule="exact"/>
        <w:ind w:firstLineChars="0"/>
        <w:jc w:val="left"/>
        <w:rPr>
          <w:rFonts w:ascii="黑体" w:hAnsi="黑体"/>
          <w:szCs w:val="18"/>
        </w:rPr>
      </w:pPr>
      <w:r>
        <w:rPr>
          <w:rFonts w:hint="eastAsia" w:ascii="黑体" w:hAnsi="黑体"/>
          <w:szCs w:val="18"/>
        </w:rPr>
        <w:t>基层表面原浆收光，不得有起砂、空鼓、起壳、脱皮、疏松、麻面、油脂、灰尘、裂纹等缺陷；</w:t>
      </w:r>
    </w:p>
    <w:p w14:paraId="23A36199">
      <w:pPr>
        <w:pStyle w:val="49"/>
        <w:numPr>
          <w:ilvl w:val="0"/>
          <w:numId w:val="142"/>
        </w:numPr>
        <w:spacing w:line="400" w:lineRule="exact"/>
        <w:ind w:firstLineChars="0"/>
        <w:jc w:val="left"/>
        <w:rPr>
          <w:rFonts w:ascii="黑体" w:hAnsi="黑体"/>
          <w:szCs w:val="18"/>
        </w:rPr>
      </w:pPr>
      <w:r>
        <w:rPr>
          <w:rFonts w:hint="eastAsia" w:ascii="黑体" w:hAnsi="黑体"/>
          <w:szCs w:val="18"/>
        </w:rPr>
        <w:t>按现行国家标准《建筑地面工程施工质量验收规范》GB50209进行基层检查，验收合格后方可施工；</w:t>
      </w:r>
    </w:p>
    <w:p w14:paraId="6D929C81">
      <w:pPr>
        <w:pStyle w:val="49"/>
        <w:numPr>
          <w:ilvl w:val="0"/>
          <w:numId w:val="142"/>
        </w:numPr>
        <w:spacing w:line="400" w:lineRule="exact"/>
        <w:ind w:firstLineChars="0"/>
        <w:jc w:val="left"/>
        <w:rPr>
          <w:rFonts w:ascii="黑体" w:hAnsi="黑体"/>
          <w:szCs w:val="18"/>
        </w:rPr>
      </w:pPr>
      <w:r>
        <w:rPr>
          <w:rFonts w:ascii="黑体" w:hAnsi="黑体"/>
          <w:szCs w:val="18"/>
        </w:rPr>
        <w:t>地面表面保持清洁，不能有油污、油漆、地板蜡、化学涂料等残余物质</w:t>
      </w:r>
      <w:r>
        <w:rPr>
          <w:rFonts w:hint="eastAsia" w:ascii="黑体" w:hAnsi="黑体"/>
          <w:szCs w:val="18"/>
        </w:rPr>
        <w:t>；</w:t>
      </w:r>
    </w:p>
    <w:p w14:paraId="193E17D2">
      <w:pPr>
        <w:pStyle w:val="49"/>
        <w:numPr>
          <w:ilvl w:val="0"/>
          <w:numId w:val="142"/>
        </w:numPr>
        <w:spacing w:line="400" w:lineRule="exact"/>
        <w:ind w:firstLineChars="0"/>
        <w:jc w:val="left"/>
        <w:rPr>
          <w:rFonts w:ascii="黑体" w:hAnsi="黑体"/>
          <w:szCs w:val="18"/>
        </w:rPr>
      </w:pPr>
      <w:r>
        <w:rPr>
          <w:rFonts w:hint="eastAsia" w:ascii="黑体" w:hAnsi="黑体"/>
          <w:szCs w:val="18"/>
        </w:rPr>
        <w:t>新浇混凝土建议养护3周左右；</w:t>
      </w:r>
    </w:p>
    <w:p w14:paraId="1B7C6EDC">
      <w:pPr>
        <w:pStyle w:val="49"/>
        <w:numPr>
          <w:ilvl w:val="0"/>
          <w:numId w:val="142"/>
        </w:numPr>
        <w:spacing w:line="400" w:lineRule="exact"/>
        <w:ind w:firstLineChars="0"/>
        <w:jc w:val="left"/>
        <w:rPr>
          <w:rFonts w:ascii="黑体" w:hAnsi="黑体"/>
          <w:szCs w:val="18"/>
        </w:rPr>
      </w:pPr>
      <w:r>
        <w:rPr>
          <w:rFonts w:hint="eastAsia" w:ascii="黑体" w:hAnsi="黑体"/>
          <w:szCs w:val="18"/>
        </w:rPr>
        <w:t>基层</w:t>
      </w:r>
      <w:r>
        <w:rPr>
          <w:rFonts w:ascii="黑体" w:hAnsi="黑体"/>
          <w:szCs w:val="18"/>
        </w:rPr>
        <w:t>温度宜为</w:t>
      </w:r>
      <w:r>
        <w:rPr>
          <w:rFonts w:hint="eastAsia" w:ascii="黑体" w:hAnsi="黑体"/>
          <w:szCs w:val="18"/>
        </w:rPr>
        <w:t>10℃~</w:t>
      </w:r>
      <w:r>
        <w:rPr>
          <w:rFonts w:ascii="黑体" w:hAnsi="黑体"/>
          <w:szCs w:val="18"/>
        </w:rPr>
        <w:t>25</w:t>
      </w:r>
      <w:r>
        <w:rPr>
          <w:rFonts w:hint="eastAsia" w:ascii="黑体" w:hAnsi="黑体"/>
          <w:szCs w:val="18"/>
        </w:rPr>
        <w:t>℃</w:t>
      </w:r>
      <w:r>
        <w:rPr>
          <w:rFonts w:ascii="黑体" w:hAnsi="黑体"/>
          <w:szCs w:val="18"/>
        </w:rPr>
        <w:t>，不宜低于5</w:t>
      </w:r>
      <w:r>
        <w:rPr>
          <w:rFonts w:hint="eastAsia" w:ascii="黑体" w:hAnsi="黑体"/>
          <w:szCs w:val="18"/>
        </w:rPr>
        <w:t>℃，不宜高于35℃；</w:t>
      </w:r>
    </w:p>
    <w:p w14:paraId="33C31FBF">
      <w:pPr>
        <w:pStyle w:val="49"/>
        <w:numPr>
          <w:ilvl w:val="0"/>
          <w:numId w:val="142"/>
        </w:numPr>
        <w:spacing w:line="400" w:lineRule="exact"/>
        <w:ind w:firstLineChars="0"/>
        <w:jc w:val="left"/>
        <w:rPr>
          <w:rFonts w:ascii="黑体" w:hAnsi="黑体"/>
          <w:szCs w:val="18"/>
        </w:rPr>
      </w:pPr>
      <w:r>
        <w:rPr>
          <w:rFonts w:hint="eastAsia" w:ascii="黑体" w:hAnsi="黑体"/>
          <w:szCs w:val="18"/>
        </w:rPr>
        <w:t>基面湿度：可在无明水新鲜的混凝土上施工；</w:t>
      </w:r>
    </w:p>
    <w:p w14:paraId="0221194B">
      <w:pPr>
        <w:pStyle w:val="49"/>
        <w:numPr>
          <w:ilvl w:val="0"/>
          <w:numId w:val="142"/>
        </w:numPr>
        <w:spacing w:line="400" w:lineRule="exact"/>
        <w:ind w:firstLineChars="0"/>
        <w:jc w:val="left"/>
        <w:rPr>
          <w:rFonts w:ascii="黑体" w:hAnsi="黑体"/>
          <w:szCs w:val="18"/>
        </w:rPr>
      </w:pPr>
      <w:r>
        <w:rPr>
          <w:rFonts w:hint="eastAsia" w:ascii="黑体" w:hAnsi="黑体"/>
          <w:szCs w:val="18"/>
        </w:rPr>
        <w:t>结露点：注意水汽凝结，基面和未固化的地面温度必须至少高于露点3℃，以降低完工地面的凝结和形成斑点的风险。</w:t>
      </w:r>
      <w:r>
        <w:rPr>
          <w:rFonts w:ascii="黑体" w:hAnsi="黑体"/>
          <w:szCs w:val="18"/>
        </w:rPr>
        <w:t xml:space="preserve"> </w:t>
      </w:r>
    </w:p>
    <w:p w14:paraId="30538B72">
      <w:pPr>
        <w:pStyle w:val="5"/>
        <w:jc w:val="left"/>
        <w:rPr>
          <w:rFonts w:ascii="黑体" w:hAnsi="黑体" w:eastAsia="黑体"/>
          <w:color w:val="auto"/>
        </w:rPr>
      </w:pPr>
      <w:r>
        <w:rPr>
          <w:rFonts w:hint="eastAsia" w:ascii="黑体" w:hAnsi="黑体" w:eastAsia="黑体"/>
          <w:color w:val="auto"/>
        </w:rPr>
        <w:t>施工工艺</w:t>
      </w:r>
    </w:p>
    <w:p w14:paraId="30A31603">
      <w:pPr>
        <w:pStyle w:val="49"/>
        <w:numPr>
          <w:ilvl w:val="0"/>
          <w:numId w:val="142"/>
        </w:numPr>
        <w:spacing w:line="400" w:lineRule="exact"/>
        <w:ind w:firstLineChars="0"/>
        <w:jc w:val="left"/>
        <w:rPr>
          <w:rFonts w:ascii="黑体" w:hAnsi="黑体"/>
          <w:szCs w:val="18"/>
        </w:rPr>
      </w:pPr>
      <w:r>
        <w:rPr>
          <w:rFonts w:hint="eastAsia" w:ascii="黑体" w:hAnsi="黑体"/>
          <w:szCs w:val="18"/>
        </w:rPr>
        <w:t>渗透型液体硬化地面工程应按下列工序进行施工：</w:t>
      </w:r>
    </w:p>
    <w:p w14:paraId="2F841A08">
      <w:pPr>
        <w:spacing w:line="400" w:lineRule="exact"/>
        <w:ind w:left="480" w:firstLine="90" w:firstLineChars="50"/>
        <w:jc w:val="left"/>
        <w:rPr>
          <w:rFonts w:ascii="黑体" w:hAnsi="黑体"/>
          <w:szCs w:val="18"/>
        </w:rPr>
      </w:pPr>
      <w:r>
        <w:rPr>
          <w:rFonts w:hint="eastAsia" w:ascii="黑体" w:hAnsi="黑体"/>
          <w:szCs w:val="18"/>
        </w:rPr>
        <w:t>1）基层清理，彻底清除基层浮尘、浮浆及各种残留物等；</w:t>
      </w:r>
    </w:p>
    <w:p w14:paraId="47D4985B">
      <w:pPr>
        <w:spacing w:line="400" w:lineRule="exact"/>
        <w:ind w:firstLine="450" w:firstLineChars="250"/>
        <w:jc w:val="left"/>
        <w:rPr>
          <w:rFonts w:ascii="黑体" w:hAnsi="黑体"/>
          <w:szCs w:val="18"/>
        </w:rPr>
      </w:pPr>
      <w:r>
        <w:rPr>
          <w:rFonts w:hint="eastAsia" w:ascii="黑体" w:hAnsi="黑体"/>
          <w:szCs w:val="18"/>
        </w:rPr>
        <w:t>2）均匀喷洒或辊涂渗透型液体硬化剂；</w:t>
      </w:r>
    </w:p>
    <w:p w14:paraId="5141E9E5">
      <w:pPr>
        <w:spacing w:line="400" w:lineRule="exact"/>
        <w:ind w:firstLine="450" w:firstLineChars="250"/>
        <w:jc w:val="left"/>
        <w:rPr>
          <w:rFonts w:ascii="黑体" w:hAnsi="黑体"/>
          <w:szCs w:val="18"/>
        </w:rPr>
      </w:pPr>
      <w:r>
        <w:rPr>
          <w:rFonts w:hint="eastAsia" w:ascii="黑体" w:hAnsi="黑体"/>
          <w:szCs w:val="18"/>
        </w:rPr>
        <w:t>2）清洗地面，彻底清除地面残留物并干燥；</w:t>
      </w:r>
    </w:p>
    <w:p w14:paraId="5115C788">
      <w:pPr>
        <w:spacing w:line="400" w:lineRule="exact"/>
        <w:ind w:firstLine="450" w:firstLineChars="250"/>
        <w:jc w:val="left"/>
        <w:rPr>
          <w:rFonts w:ascii="黑体" w:hAnsi="黑体"/>
          <w:szCs w:val="18"/>
        </w:rPr>
      </w:pPr>
      <w:r>
        <w:rPr>
          <w:rFonts w:hint="eastAsia" w:ascii="黑体" w:hAnsi="黑体"/>
          <w:szCs w:val="18"/>
        </w:rPr>
        <w:t>3</w:t>
      </w:r>
      <w:r>
        <w:rPr>
          <w:rFonts w:ascii="Calibri" w:hAnsi="Calibri" w:cs="Calibri"/>
          <w:szCs w:val="18"/>
        </w:rPr>
        <w:t> </w:t>
      </w:r>
      <w:r>
        <w:rPr>
          <w:rFonts w:hint="eastAsia" w:ascii="黑体" w:hAnsi="黑体"/>
          <w:szCs w:val="18"/>
        </w:rPr>
        <w:t>）抛光处理；</w:t>
      </w:r>
    </w:p>
    <w:p w14:paraId="6F182159">
      <w:pPr>
        <w:spacing w:line="400" w:lineRule="exact"/>
        <w:ind w:firstLine="450" w:firstLineChars="250"/>
        <w:jc w:val="left"/>
        <w:rPr>
          <w:rFonts w:ascii="黑体" w:hAnsi="黑体"/>
          <w:szCs w:val="18"/>
        </w:rPr>
      </w:pPr>
      <w:r>
        <w:rPr>
          <w:rFonts w:hint="eastAsia" w:ascii="黑体" w:hAnsi="黑体"/>
          <w:szCs w:val="18"/>
        </w:rPr>
        <w:t>4</w:t>
      </w:r>
      <w:r>
        <w:rPr>
          <w:rFonts w:ascii="Calibri" w:hAnsi="Calibri" w:cs="Calibri"/>
          <w:szCs w:val="18"/>
        </w:rPr>
        <w:t> </w:t>
      </w:r>
      <w:r>
        <w:rPr>
          <w:rFonts w:hint="eastAsia" w:ascii="黑体" w:hAnsi="黑体"/>
          <w:szCs w:val="18"/>
        </w:rPr>
        <w:t>）成品保护。</w:t>
      </w:r>
    </w:p>
    <w:p w14:paraId="5B77D4C3">
      <w:pPr>
        <w:pStyle w:val="49"/>
        <w:numPr>
          <w:ilvl w:val="0"/>
          <w:numId w:val="142"/>
        </w:numPr>
        <w:spacing w:line="400" w:lineRule="exact"/>
        <w:ind w:firstLineChars="0"/>
        <w:jc w:val="left"/>
        <w:rPr>
          <w:rFonts w:ascii="黑体" w:hAnsi="黑体"/>
          <w:szCs w:val="18"/>
        </w:rPr>
      </w:pPr>
      <w:r>
        <w:rPr>
          <w:rFonts w:hint="eastAsia" w:ascii="黑体" w:hAnsi="黑体"/>
          <w:szCs w:val="18"/>
        </w:rPr>
        <w:t>施工工艺应符合下列规定：</w:t>
      </w:r>
    </w:p>
    <w:p w14:paraId="1DAF91C0">
      <w:pPr>
        <w:spacing w:line="400" w:lineRule="exact"/>
        <w:ind w:firstLine="360" w:firstLineChars="200"/>
        <w:jc w:val="left"/>
        <w:rPr>
          <w:rFonts w:ascii="黑体" w:hAnsi="黑体"/>
          <w:szCs w:val="18"/>
        </w:rPr>
      </w:pPr>
      <w:r>
        <w:rPr>
          <w:rFonts w:hint="eastAsia" w:ascii="黑体" w:hAnsi="黑体"/>
          <w:szCs w:val="18"/>
        </w:rPr>
        <w:t>1）将渗透型液体硬化剂均匀喷洒或辊涂在地面上，不得漏涂，保持地面湿润30min-45min，保证充分渗透，渗透厚度应≥3mm；</w:t>
      </w:r>
    </w:p>
    <w:p w14:paraId="6C3E5CFE">
      <w:pPr>
        <w:spacing w:line="400" w:lineRule="exact"/>
        <w:ind w:firstLine="360" w:firstLineChars="200"/>
        <w:jc w:val="left"/>
        <w:rPr>
          <w:rFonts w:ascii="黑体" w:hAnsi="黑体"/>
          <w:szCs w:val="18"/>
        </w:rPr>
      </w:pPr>
      <w:r>
        <w:rPr>
          <w:rFonts w:hint="eastAsia" w:ascii="黑体" w:hAnsi="黑体"/>
          <w:szCs w:val="18"/>
        </w:rPr>
        <w:t>2）应用水清洗地面，彻底清除地面残留物；</w:t>
      </w:r>
    </w:p>
    <w:p w14:paraId="62560BAF">
      <w:pPr>
        <w:spacing w:line="400" w:lineRule="exact"/>
        <w:ind w:firstLine="360" w:firstLineChars="200"/>
        <w:jc w:val="left"/>
        <w:rPr>
          <w:rFonts w:ascii="黑体" w:hAnsi="黑体"/>
          <w:szCs w:val="18"/>
        </w:rPr>
      </w:pPr>
      <w:r>
        <w:rPr>
          <w:rFonts w:hint="eastAsia" w:ascii="黑体" w:hAnsi="黑体"/>
          <w:szCs w:val="18"/>
        </w:rPr>
        <w:t>3）要求使用抛光机对整体基面进行全面抛光，直至地面手感光滑并带有光泽为止，光泽度应达到现场样板的要求，不允许使用光亮剂；</w:t>
      </w:r>
    </w:p>
    <w:p w14:paraId="6355B28A">
      <w:pPr>
        <w:spacing w:line="400" w:lineRule="exact"/>
        <w:ind w:firstLine="360" w:firstLineChars="200"/>
        <w:jc w:val="left"/>
        <w:rPr>
          <w:rFonts w:ascii="黑体" w:hAnsi="黑体"/>
          <w:szCs w:val="18"/>
        </w:rPr>
      </w:pPr>
      <w:r>
        <w:rPr>
          <w:rFonts w:hint="eastAsia" w:ascii="黑体" w:hAnsi="黑体"/>
          <w:szCs w:val="18"/>
        </w:rPr>
        <w:t>4）施工完成后的渗透型液体硬化地面应做好成品保护。</w:t>
      </w:r>
    </w:p>
    <w:p w14:paraId="15CB6DF7">
      <w:pPr>
        <w:pStyle w:val="5"/>
        <w:jc w:val="left"/>
        <w:rPr>
          <w:rFonts w:ascii="黑体" w:hAnsi="黑体" w:eastAsia="黑体"/>
          <w:color w:val="auto"/>
        </w:rPr>
      </w:pPr>
      <w:r>
        <w:rPr>
          <w:rFonts w:hint="eastAsia" w:ascii="黑体" w:hAnsi="黑体" w:eastAsia="黑体"/>
          <w:color w:val="auto"/>
        </w:rPr>
        <w:t>混凝土基层缩缝设置</w:t>
      </w:r>
    </w:p>
    <w:p w14:paraId="3B2F7896">
      <w:pPr>
        <w:pStyle w:val="49"/>
        <w:numPr>
          <w:ilvl w:val="0"/>
          <w:numId w:val="142"/>
        </w:numPr>
        <w:spacing w:line="400" w:lineRule="exact"/>
        <w:ind w:firstLineChars="0"/>
        <w:jc w:val="left"/>
        <w:rPr>
          <w:rFonts w:ascii="黑体" w:hAnsi="黑体"/>
          <w:szCs w:val="18"/>
        </w:rPr>
      </w:pPr>
      <w:r>
        <w:rPr>
          <w:rFonts w:hint="eastAsia" w:ascii="黑体" w:hAnsi="黑体"/>
          <w:szCs w:val="18"/>
        </w:rPr>
        <w:t>混凝土基层应根据梁柱分布设置纵向缩缝和横向缩缝，分缝图应报业主确认后施工，并符合下列要求：</w:t>
      </w:r>
    </w:p>
    <w:p w14:paraId="1BAE3D1A">
      <w:pPr>
        <w:spacing w:line="400" w:lineRule="exact"/>
        <w:ind w:firstLine="360" w:firstLineChars="200"/>
        <w:jc w:val="left"/>
        <w:rPr>
          <w:rFonts w:ascii="黑体" w:hAnsi="黑体"/>
          <w:szCs w:val="18"/>
        </w:rPr>
      </w:pPr>
      <w:r>
        <w:rPr>
          <w:rFonts w:hint="eastAsia" w:ascii="黑体" w:hAnsi="黑体"/>
          <w:szCs w:val="18"/>
        </w:rPr>
        <w:t>1）纵向缩缝应采用平头缝，其间距宜为3~6m；</w:t>
      </w:r>
    </w:p>
    <w:p w14:paraId="1D59FFF1">
      <w:pPr>
        <w:spacing w:line="400" w:lineRule="exact"/>
        <w:ind w:firstLine="360" w:firstLineChars="200"/>
        <w:jc w:val="left"/>
        <w:rPr>
          <w:rFonts w:ascii="黑体" w:hAnsi="黑体"/>
          <w:szCs w:val="18"/>
        </w:rPr>
      </w:pPr>
      <w:r>
        <w:rPr>
          <w:rFonts w:hint="eastAsia" w:ascii="黑体" w:hAnsi="黑体"/>
          <w:szCs w:val="18"/>
        </w:rPr>
        <w:t>2）横向缩缝宜采用假缝，其间距宜为3m~6m；柱边菱形切缝；假缝的宽度宜为5mm~12mm；高度宜为基层厚度的1/3；混凝土浇筑完成，在合理时间范围内，按柱网放出缝宽度线双线，用无齿锯切割，完成地坪切割。切割时应保证顺直、宽窄一致并避免出现毛边，切割后将槽内混凝土清除，表面清理干净后覆盖保护，养护完成后填缝，采用水泥砂浆或膨胀型砂浆填缝（或经认可的更好的填缝材料，如聚氨酯填缝剂等），颜色和地面相同。</w:t>
      </w:r>
    </w:p>
    <w:p w14:paraId="5485E991">
      <w:pPr>
        <w:jc w:val="left"/>
        <w:rPr>
          <w:rFonts w:ascii="黑体" w:hAnsi="黑体"/>
          <w:szCs w:val="18"/>
        </w:rPr>
      </w:pPr>
      <w:bookmarkStart w:id="114" w:name="_Toc498529549"/>
      <w:bookmarkStart w:id="115" w:name="_Toc498529155"/>
      <w:r>
        <w:rPr>
          <w:rFonts w:hint="eastAsia" w:ascii="黑体" w:hAnsi="黑体"/>
          <w:szCs w:val="18"/>
        </w:rPr>
        <w:drawing>
          <wp:inline distT="0" distB="0" distL="0" distR="0">
            <wp:extent cx="2550795" cy="1127760"/>
            <wp:effectExtent l="19050" t="0" r="1317"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56" cstate="print"/>
                    <a:srcRect t="5128" r="4929" b="11795"/>
                    <a:stretch>
                      <a:fillRect/>
                    </a:stretch>
                  </pic:blipFill>
                  <pic:spPr>
                    <a:xfrm>
                      <a:off x="0" y="0"/>
                      <a:ext cx="2560986" cy="1132005"/>
                    </a:xfrm>
                    <a:prstGeom prst="rect">
                      <a:avLst/>
                    </a:prstGeom>
                    <a:noFill/>
                    <a:ln w="9525">
                      <a:noFill/>
                      <a:miter lim="800000"/>
                      <a:headEnd/>
                      <a:tailEnd/>
                    </a:ln>
                  </pic:spPr>
                </pic:pic>
              </a:graphicData>
            </a:graphic>
          </wp:inline>
        </w:drawing>
      </w:r>
      <w:r>
        <w:rPr>
          <w:rFonts w:ascii="黑体" w:hAnsi="黑体"/>
          <w:szCs w:val="18"/>
        </w:rPr>
        <w:drawing>
          <wp:inline distT="0" distB="0" distL="0" distR="0">
            <wp:extent cx="1816100" cy="1055370"/>
            <wp:effectExtent l="19050" t="0" r="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noChangeArrowheads="1"/>
                    </pic:cNvPicPr>
                  </pic:nvPicPr>
                  <pic:blipFill>
                    <a:blip r:embed="rId57" cstate="print"/>
                    <a:srcRect/>
                    <a:stretch>
                      <a:fillRect/>
                    </a:stretch>
                  </pic:blipFill>
                  <pic:spPr>
                    <a:xfrm>
                      <a:off x="0" y="0"/>
                      <a:ext cx="1828966" cy="1063029"/>
                    </a:xfrm>
                    <a:prstGeom prst="rect">
                      <a:avLst/>
                    </a:prstGeom>
                    <a:noFill/>
                    <a:ln w="9525">
                      <a:noFill/>
                      <a:miter lim="800000"/>
                      <a:headEnd/>
                      <a:tailEnd/>
                    </a:ln>
                  </pic:spPr>
                </pic:pic>
              </a:graphicData>
            </a:graphic>
          </wp:inline>
        </w:drawing>
      </w:r>
      <w:bookmarkEnd w:id="114"/>
      <w:bookmarkEnd w:id="115"/>
    </w:p>
    <w:p w14:paraId="0670B1E5">
      <w:pPr>
        <w:tabs>
          <w:tab w:val="left" w:pos="2552"/>
          <w:tab w:val="left" w:pos="6379"/>
        </w:tabs>
        <w:spacing w:line="360" w:lineRule="auto"/>
        <w:ind w:firstLine="900" w:firstLineChars="500"/>
        <w:jc w:val="left"/>
        <w:rPr>
          <w:rFonts w:ascii="黑体" w:hAnsi="黑体" w:cs="宋体"/>
          <w:kern w:val="0"/>
          <w:szCs w:val="18"/>
        </w:rPr>
      </w:pPr>
      <w:r>
        <w:rPr>
          <w:rFonts w:ascii="黑体" w:hAnsi="黑体" w:cs="宋体"/>
          <w:kern w:val="0"/>
          <w:szCs w:val="18"/>
        </w:rPr>
        <w:tab/>
      </w:r>
      <w:r>
        <w:rPr>
          <w:rFonts w:hint="eastAsia" w:ascii="黑体" w:hAnsi="黑体" w:cs="宋体"/>
          <w:kern w:val="0"/>
          <w:szCs w:val="18"/>
        </w:rPr>
        <w:t xml:space="preserve">图8.4.1 平头缝           </w:t>
      </w:r>
      <w:r>
        <w:rPr>
          <w:rFonts w:ascii="黑体" w:hAnsi="黑体" w:cs="宋体"/>
          <w:kern w:val="0"/>
          <w:szCs w:val="18"/>
        </w:rPr>
        <w:tab/>
      </w:r>
      <w:r>
        <w:rPr>
          <w:rFonts w:hint="eastAsia" w:ascii="黑体" w:hAnsi="黑体" w:cs="宋体"/>
          <w:kern w:val="0"/>
          <w:szCs w:val="18"/>
        </w:rPr>
        <w:t>图8.4.2 假缝</w:t>
      </w:r>
    </w:p>
    <w:p w14:paraId="1295893B">
      <w:pPr>
        <w:pStyle w:val="5"/>
        <w:jc w:val="left"/>
        <w:rPr>
          <w:rFonts w:ascii="黑体" w:hAnsi="黑体" w:eastAsia="黑体"/>
          <w:color w:val="auto"/>
        </w:rPr>
      </w:pPr>
      <w:r>
        <w:rPr>
          <w:rFonts w:hint="eastAsia" w:ascii="黑体" w:hAnsi="黑体" w:eastAsia="黑体"/>
          <w:color w:val="auto"/>
        </w:rPr>
        <w:t>质量控制</w:t>
      </w:r>
    </w:p>
    <w:p w14:paraId="487B6E17">
      <w:pPr>
        <w:pStyle w:val="49"/>
        <w:numPr>
          <w:ilvl w:val="0"/>
          <w:numId w:val="142"/>
        </w:numPr>
        <w:spacing w:line="400" w:lineRule="exact"/>
        <w:ind w:firstLineChars="0"/>
        <w:jc w:val="left"/>
        <w:rPr>
          <w:rFonts w:ascii="黑体" w:hAnsi="黑体"/>
          <w:szCs w:val="18"/>
        </w:rPr>
      </w:pPr>
      <w:r>
        <w:rPr>
          <w:rFonts w:hint="eastAsia" w:ascii="黑体" w:hAnsi="黑体"/>
          <w:szCs w:val="18"/>
        </w:rPr>
        <w:t>工业地面涂装对环境及施工工艺都有比较高的要求，须严格把好质量关，任何违反材料技术指标的施工行为都可能给地面质量或外观带来严重影响；</w:t>
      </w:r>
    </w:p>
    <w:p w14:paraId="0C47ACA3">
      <w:pPr>
        <w:pStyle w:val="49"/>
        <w:numPr>
          <w:ilvl w:val="0"/>
          <w:numId w:val="142"/>
        </w:numPr>
        <w:spacing w:line="400" w:lineRule="exact"/>
        <w:ind w:firstLineChars="0"/>
        <w:jc w:val="left"/>
        <w:rPr>
          <w:rFonts w:ascii="黑体" w:hAnsi="黑体"/>
          <w:szCs w:val="18"/>
        </w:rPr>
      </w:pPr>
      <w:r>
        <w:rPr>
          <w:rFonts w:hint="eastAsia" w:ascii="黑体" w:hAnsi="黑体"/>
          <w:szCs w:val="18"/>
        </w:rPr>
        <w:t>开工前应特别注意给待涂装区域进行合理的分区以确保操作简单，各施工区域衔接合理，以及正确的涂布率；</w:t>
      </w:r>
    </w:p>
    <w:p w14:paraId="41087E63">
      <w:pPr>
        <w:pStyle w:val="49"/>
        <w:numPr>
          <w:ilvl w:val="0"/>
          <w:numId w:val="142"/>
        </w:numPr>
        <w:spacing w:line="400" w:lineRule="exact"/>
        <w:ind w:firstLineChars="0"/>
        <w:jc w:val="left"/>
        <w:rPr>
          <w:rFonts w:ascii="黑体" w:hAnsi="黑体"/>
          <w:szCs w:val="18"/>
        </w:rPr>
      </w:pPr>
      <w:r>
        <w:rPr>
          <w:rFonts w:hint="eastAsia" w:ascii="黑体" w:hAnsi="黑体"/>
          <w:szCs w:val="18"/>
        </w:rPr>
        <w:t>表面处理作为确保涂层寿命的决定性因素，去除混凝土表面的水泥翻沫层，打磨并达到硬化剂所要求的平整度；</w:t>
      </w:r>
    </w:p>
    <w:p w14:paraId="60C5EE22">
      <w:pPr>
        <w:pStyle w:val="49"/>
        <w:numPr>
          <w:ilvl w:val="0"/>
          <w:numId w:val="142"/>
        </w:numPr>
        <w:spacing w:line="400" w:lineRule="exact"/>
        <w:ind w:firstLineChars="0"/>
        <w:jc w:val="left"/>
        <w:rPr>
          <w:rFonts w:ascii="黑体" w:hAnsi="黑体"/>
          <w:szCs w:val="18"/>
        </w:rPr>
      </w:pPr>
      <w:r>
        <w:rPr>
          <w:rFonts w:hint="eastAsia" w:ascii="黑体" w:hAnsi="黑体"/>
          <w:szCs w:val="18"/>
        </w:rPr>
        <w:t>合理地组织施工操作人员和材料的运输，确保材料的及时供应并在施工寿命内涂布完毕，超出施工寿命的材料必须按废料处理；</w:t>
      </w:r>
    </w:p>
    <w:p w14:paraId="174339BF">
      <w:pPr>
        <w:pStyle w:val="49"/>
        <w:numPr>
          <w:ilvl w:val="0"/>
          <w:numId w:val="142"/>
        </w:numPr>
        <w:spacing w:line="400" w:lineRule="exact"/>
        <w:ind w:firstLineChars="0"/>
        <w:jc w:val="left"/>
        <w:rPr>
          <w:rFonts w:ascii="黑体" w:hAnsi="黑体"/>
          <w:szCs w:val="18"/>
        </w:rPr>
      </w:pPr>
      <w:r>
        <w:rPr>
          <w:rFonts w:hint="eastAsia" w:ascii="黑体" w:hAnsi="黑体"/>
          <w:szCs w:val="18"/>
        </w:rPr>
        <w:t>对于通道区、出入口等交通繁忙的区域，应当加大力度并适当增加材料用量，确保该区域良好的耐受负荷的能力；</w:t>
      </w:r>
    </w:p>
    <w:p w14:paraId="74D4C831">
      <w:pPr>
        <w:pStyle w:val="49"/>
        <w:numPr>
          <w:ilvl w:val="0"/>
          <w:numId w:val="142"/>
        </w:numPr>
        <w:spacing w:line="400" w:lineRule="exact"/>
        <w:ind w:firstLineChars="0"/>
        <w:jc w:val="left"/>
        <w:rPr>
          <w:rFonts w:ascii="黑体" w:hAnsi="黑体"/>
          <w:szCs w:val="18"/>
        </w:rPr>
      </w:pPr>
      <w:r>
        <w:rPr>
          <w:rFonts w:hint="eastAsia" w:ascii="黑体" w:hAnsi="黑体"/>
          <w:szCs w:val="18"/>
        </w:rPr>
        <w:t>施工过程中做好相关资料的成型收集和整理工作，上道工序验收合格后，方进入下道工序施工；</w:t>
      </w:r>
    </w:p>
    <w:p w14:paraId="303851EE">
      <w:pPr>
        <w:pStyle w:val="49"/>
        <w:numPr>
          <w:ilvl w:val="0"/>
          <w:numId w:val="142"/>
        </w:numPr>
        <w:spacing w:line="400" w:lineRule="exact"/>
        <w:ind w:firstLineChars="0"/>
        <w:jc w:val="left"/>
        <w:rPr>
          <w:rFonts w:ascii="黑体" w:hAnsi="黑体"/>
          <w:szCs w:val="18"/>
        </w:rPr>
      </w:pPr>
      <w:r>
        <w:rPr>
          <w:rFonts w:hint="eastAsia" w:ascii="黑体" w:hAnsi="黑体"/>
          <w:szCs w:val="18"/>
        </w:rPr>
        <w:t>工程所用材料应具有产品质量证明文件，其质量不得低于国家现行标准的规定；当材料没有国家现行标准时，应符合《整体地面工程技术规程》CECS 328的规定；</w:t>
      </w:r>
    </w:p>
    <w:p w14:paraId="0A5D3190">
      <w:pPr>
        <w:pStyle w:val="49"/>
        <w:numPr>
          <w:ilvl w:val="0"/>
          <w:numId w:val="142"/>
        </w:numPr>
        <w:spacing w:line="400" w:lineRule="exact"/>
        <w:ind w:firstLineChars="0"/>
        <w:jc w:val="left"/>
        <w:rPr>
          <w:rFonts w:ascii="黑体" w:hAnsi="黑体"/>
          <w:szCs w:val="18"/>
        </w:rPr>
      </w:pPr>
      <w:r>
        <w:rPr>
          <w:rFonts w:hint="eastAsia" w:ascii="黑体" w:hAnsi="黑体"/>
          <w:szCs w:val="18"/>
        </w:rPr>
        <w:t>产品质量证明文件，应包括下列内容：</w:t>
      </w:r>
    </w:p>
    <w:p w14:paraId="1E8AE8DE">
      <w:pPr>
        <w:pStyle w:val="49"/>
        <w:spacing w:line="400" w:lineRule="exact"/>
        <w:ind w:left="900" w:firstLine="90" w:firstLineChars="50"/>
        <w:jc w:val="left"/>
        <w:rPr>
          <w:rFonts w:ascii="黑体" w:hAnsi="黑体"/>
          <w:szCs w:val="18"/>
        </w:rPr>
      </w:pPr>
      <w:r>
        <w:rPr>
          <w:rFonts w:hint="eastAsia" w:ascii="黑体" w:hAnsi="黑体"/>
          <w:szCs w:val="18"/>
        </w:rPr>
        <w:t>1</w:t>
      </w:r>
      <w:r>
        <w:rPr>
          <w:rFonts w:ascii="Calibri" w:hAnsi="Calibri" w:cs="Calibri"/>
          <w:szCs w:val="18"/>
        </w:rPr>
        <w:t> </w:t>
      </w:r>
      <w:r>
        <w:rPr>
          <w:rFonts w:hint="eastAsia" w:ascii="黑体" w:hAnsi="黑体"/>
          <w:szCs w:val="18"/>
        </w:rPr>
        <w:t>）产品质量合格证及材料检测报告；</w:t>
      </w:r>
    </w:p>
    <w:p w14:paraId="768349CD">
      <w:pPr>
        <w:pStyle w:val="49"/>
        <w:spacing w:line="400" w:lineRule="exact"/>
        <w:ind w:left="900" w:firstLine="90" w:firstLineChars="50"/>
        <w:jc w:val="left"/>
        <w:rPr>
          <w:rFonts w:ascii="黑体" w:hAnsi="黑体"/>
          <w:szCs w:val="18"/>
        </w:rPr>
      </w:pPr>
      <w:r>
        <w:rPr>
          <w:rFonts w:hint="eastAsia" w:ascii="黑体" w:hAnsi="黑体"/>
          <w:szCs w:val="18"/>
        </w:rPr>
        <w:t>2</w:t>
      </w:r>
      <w:r>
        <w:rPr>
          <w:rFonts w:ascii="Calibri" w:hAnsi="Calibri" w:cs="Calibri"/>
          <w:szCs w:val="18"/>
        </w:rPr>
        <w:t> </w:t>
      </w:r>
      <w:r>
        <w:rPr>
          <w:rFonts w:hint="eastAsia" w:ascii="黑体" w:hAnsi="黑体"/>
          <w:szCs w:val="18"/>
        </w:rPr>
        <w:t>）质量技术指标及检测方法；</w:t>
      </w:r>
    </w:p>
    <w:p w14:paraId="297C0270">
      <w:pPr>
        <w:pStyle w:val="49"/>
        <w:spacing w:line="400" w:lineRule="exact"/>
        <w:ind w:left="900" w:firstLine="90" w:firstLineChars="50"/>
        <w:jc w:val="left"/>
        <w:rPr>
          <w:rFonts w:ascii="黑体" w:hAnsi="黑体"/>
          <w:szCs w:val="18"/>
        </w:rPr>
      </w:pPr>
      <w:r>
        <w:rPr>
          <w:rFonts w:hint="eastAsia" w:ascii="黑体" w:hAnsi="黑体"/>
          <w:szCs w:val="18"/>
        </w:rPr>
        <w:t>3</w:t>
      </w:r>
      <w:r>
        <w:rPr>
          <w:rFonts w:ascii="Calibri" w:hAnsi="Calibri" w:cs="Calibri"/>
          <w:szCs w:val="18"/>
        </w:rPr>
        <w:t> </w:t>
      </w:r>
      <w:r>
        <w:rPr>
          <w:rFonts w:hint="eastAsia" w:ascii="黑体" w:hAnsi="黑体"/>
          <w:szCs w:val="18"/>
        </w:rPr>
        <w:t>）复验报告或技术鉴定文件。</w:t>
      </w:r>
    </w:p>
    <w:p w14:paraId="6604470D">
      <w:pPr>
        <w:pStyle w:val="5"/>
        <w:jc w:val="left"/>
        <w:rPr>
          <w:rFonts w:ascii="黑体" w:hAnsi="黑体" w:eastAsia="黑体"/>
          <w:color w:val="auto"/>
        </w:rPr>
      </w:pPr>
      <w:r>
        <w:rPr>
          <w:rFonts w:hint="eastAsia" w:ascii="黑体" w:hAnsi="黑体" w:eastAsia="黑体"/>
          <w:color w:val="auto"/>
        </w:rPr>
        <w:t>养护清洁</w:t>
      </w:r>
    </w:p>
    <w:p w14:paraId="43857A5E">
      <w:pPr>
        <w:pStyle w:val="49"/>
        <w:numPr>
          <w:ilvl w:val="0"/>
          <w:numId w:val="142"/>
        </w:numPr>
        <w:spacing w:line="400" w:lineRule="exact"/>
        <w:ind w:firstLineChars="0"/>
        <w:jc w:val="left"/>
        <w:rPr>
          <w:rFonts w:ascii="黑体" w:hAnsi="黑体"/>
          <w:szCs w:val="18"/>
        </w:rPr>
      </w:pPr>
      <w:r>
        <w:rPr>
          <w:rFonts w:hint="eastAsia" w:ascii="黑体" w:hAnsi="黑体"/>
          <w:szCs w:val="18"/>
        </w:rPr>
        <w:t>完工后在没完全干燥时，避免上人和物；</w:t>
      </w:r>
    </w:p>
    <w:p w14:paraId="7912860F">
      <w:pPr>
        <w:pStyle w:val="49"/>
        <w:numPr>
          <w:ilvl w:val="0"/>
          <w:numId w:val="142"/>
        </w:numPr>
        <w:spacing w:line="400" w:lineRule="exact"/>
        <w:ind w:firstLineChars="0"/>
        <w:jc w:val="left"/>
        <w:rPr>
          <w:rFonts w:ascii="黑体" w:hAnsi="黑体"/>
          <w:szCs w:val="18"/>
        </w:rPr>
      </w:pPr>
      <w:r>
        <w:rPr>
          <w:rFonts w:hint="eastAsia" w:ascii="黑体" w:hAnsi="黑体"/>
          <w:szCs w:val="18"/>
        </w:rPr>
        <w:t>为确保施工地面美观，应立刻清除硬化剂溅出物，定期进行保养和清洁。</w:t>
      </w:r>
    </w:p>
    <w:p w14:paraId="3872A772">
      <w:pPr>
        <w:pStyle w:val="5"/>
        <w:jc w:val="left"/>
        <w:rPr>
          <w:rFonts w:ascii="黑体" w:hAnsi="黑体" w:eastAsia="黑体"/>
          <w:color w:val="auto"/>
        </w:rPr>
      </w:pPr>
      <w:r>
        <w:rPr>
          <w:rFonts w:hint="eastAsia" w:ascii="黑体" w:hAnsi="黑体" w:eastAsia="黑体"/>
          <w:color w:val="auto"/>
        </w:rPr>
        <w:t>安全措施</w:t>
      </w:r>
    </w:p>
    <w:p w14:paraId="054AD18D">
      <w:pPr>
        <w:pStyle w:val="49"/>
        <w:numPr>
          <w:ilvl w:val="0"/>
          <w:numId w:val="142"/>
        </w:numPr>
        <w:spacing w:line="400" w:lineRule="exact"/>
        <w:ind w:firstLineChars="0"/>
        <w:jc w:val="left"/>
        <w:rPr>
          <w:rFonts w:ascii="黑体" w:hAnsi="黑体"/>
          <w:szCs w:val="18"/>
        </w:rPr>
      </w:pPr>
      <w:r>
        <w:rPr>
          <w:rFonts w:hint="eastAsia" w:ascii="黑体" w:hAnsi="黑体"/>
          <w:szCs w:val="18"/>
        </w:rPr>
        <w:t>施工期间保证良好通风，避免焊接在内的明火，穿戴正确的保护装置。</w:t>
      </w:r>
    </w:p>
    <w:p w14:paraId="6480AA04">
      <w:pPr>
        <w:pStyle w:val="49"/>
        <w:spacing w:line="400" w:lineRule="exact"/>
        <w:ind w:left="900" w:firstLine="0" w:firstLineChars="0"/>
        <w:jc w:val="left"/>
        <w:rPr>
          <w:rFonts w:ascii="黑体" w:hAnsi="黑体"/>
          <w:szCs w:val="18"/>
        </w:rPr>
      </w:pPr>
    </w:p>
    <w:p w14:paraId="41782C40">
      <w:pPr>
        <w:pStyle w:val="97"/>
        <w:rPr>
          <w:b/>
        </w:rPr>
      </w:pPr>
      <w:r>
        <w:rPr>
          <w:rFonts w:hint="eastAsia"/>
          <w:b/>
        </w:rPr>
        <w:t>质量</w:t>
      </w:r>
      <w:r>
        <w:rPr>
          <w:b/>
        </w:rPr>
        <w:t>验收</w:t>
      </w:r>
    </w:p>
    <w:p w14:paraId="27C5CDAE">
      <w:pPr>
        <w:pStyle w:val="5"/>
        <w:numPr>
          <w:ilvl w:val="0"/>
          <w:numId w:val="143"/>
        </w:numPr>
        <w:jc w:val="left"/>
        <w:rPr>
          <w:rFonts w:ascii="黑体" w:hAnsi="黑体" w:eastAsia="黑体"/>
          <w:color w:val="auto"/>
        </w:rPr>
      </w:pPr>
      <w:r>
        <w:rPr>
          <w:rFonts w:ascii="黑体" w:hAnsi="黑体" w:eastAsia="黑体"/>
          <w:color w:val="auto"/>
        </w:rPr>
        <w:t>一般规定</w:t>
      </w:r>
    </w:p>
    <w:p w14:paraId="3AAC36C8">
      <w:pPr>
        <w:pStyle w:val="49"/>
        <w:numPr>
          <w:ilvl w:val="0"/>
          <w:numId w:val="142"/>
        </w:numPr>
        <w:spacing w:line="400" w:lineRule="exact"/>
        <w:ind w:firstLineChars="0"/>
        <w:jc w:val="left"/>
        <w:rPr>
          <w:rFonts w:ascii="黑体" w:hAnsi="黑体"/>
          <w:szCs w:val="18"/>
        </w:rPr>
      </w:pPr>
      <w:r>
        <w:rPr>
          <w:rFonts w:hint="eastAsia" w:ascii="黑体" w:hAnsi="黑体"/>
          <w:szCs w:val="18"/>
        </w:rPr>
        <w:t>地面</w:t>
      </w:r>
      <w:r>
        <w:rPr>
          <w:rFonts w:ascii="黑体" w:hAnsi="黑体"/>
          <w:szCs w:val="18"/>
        </w:rPr>
        <w:t>工程验收时应提供材料进场时的抽样复检合格报告</w:t>
      </w:r>
      <w:r>
        <w:rPr>
          <w:rFonts w:hint="eastAsia" w:ascii="黑体" w:hAnsi="黑体"/>
          <w:szCs w:val="18"/>
        </w:rPr>
        <w:t xml:space="preserve">；                                   </w:t>
      </w:r>
    </w:p>
    <w:p w14:paraId="2951B156">
      <w:pPr>
        <w:pStyle w:val="49"/>
        <w:numPr>
          <w:ilvl w:val="0"/>
          <w:numId w:val="142"/>
        </w:numPr>
        <w:spacing w:line="400" w:lineRule="exact"/>
        <w:ind w:firstLineChars="0"/>
        <w:jc w:val="left"/>
        <w:rPr>
          <w:rFonts w:ascii="黑体" w:hAnsi="黑体"/>
          <w:szCs w:val="18"/>
        </w:rPr>
      </w:pPr>
      <w:r>
        <w:rPr>
          <w:rFonts w:hint="eastAsia" w:ascii="黑体" w:hAnsi="黑体"/>
          <w:szCs w:val="18"/>
        </w:rPr>
        <w:t>硬化剂地面</w:t>
      </w:r>
      <w:r>
        <w:rPr>
          <w:rFonts w:ascii="黑体" w:hAnsi="黑体"/>
          <w:szCs w:val="18"/>
        </w:rPr>
        <w:t>工程质量检验与验收应符合现行标准</w:t>
      </w:r>
      <w:r>
        <w:rPr>
          <w:rFonts w:hint="eastAsia" w:ascii="黑体" w:hAnsi="黑体"/>
          <w:szCs w:val="18"/>
        </w:rPr>
        <w:t>《整体地面工程技术规程》CECS 328和</w:t>
      </w:r>
      <w:r>
        <w:rPr>
          <w:rFonts w:ascii="黑体" w:hAnsi="黑体"/>
          <w:szCs w:val="18"/>
        </w:rPr>
        <w:t>《建筑地面工程施工质量验收规范》GB50209的规定</w:t>
      </w:r>
      <w:r>
        <w:rPr>
          <w:rFonts w:hint="eastAsia" w:ascii="黑体" w:hAnsi="黑体"/>
          <w:szCs w:val="18"/>
        </w:rPr>
        <w:t>；</w:t>
      </w:r>
    </w:p>
    <w:p w14:paraId="6F76AC2C">
      <w:pPr>
        <w:pStyle w:val="49"/>
        <w:numPr>
          <w:ilvl w:val="0"/>
          <w:numId w:val="142"/>
        </w:numPr>
        <w:spacing w:line="400" w:lineRule="exact"/>
        <w:ind w:firstLineChars="0"/>
        <w:jc w:val="left"/>
        <w:rPr>
          <w:rFonts w:ascii="黑体" w:hAnsi="黑体"/>
          <w:szCs w:val="18"/>
        </w:rPr>
      </w:pPr>
      <w:r>
        <w:rPr>
          <w:rFonts w:hint="eastAsia" w:ascii="黑体" w:hAnsi="黑体"/>
          <w:szCs w:val="18"/>
        </w:rPr>
        <w:t>完工后表面平整、光洁、无杂质、耐磨度明显增加、防水性明显增强；</w:t>
      </w:r>
    </w:p>
    <w:p w14:paraId="60630513">
      <w:pPr>
        <w:pStyle w:val="49"/>
        <w:numPr>
          <w:ilvl w:val="0"/>
          <w:numId w:val="142"/>
        </w:numPr>
        <w:spacing w:line="400" w:lineRule="exact"/>
        <w:ind w:firstLineChars="0"/>
        <w:jc w:val="left"/>
        <w:rPr>
          <w:rFonts w:ascii="黑体" w:hAnsi="黑体"/>
          <w:szCs w:val="18"/>
        </w:rPr>
      </w:pPr>
      <w:r>
        <w:rPr>
          <w:rFonts w:hint="eastAsia" w:ascii="黑体" w:hAnsi="黑体"/>
          <w:szCs w:val="18"/>
        </w:rPr>
        <w:t>硬化剂地面</w:t>
      </w:r>
      <w:r>
        <w:rPr>
          <w:rFonts w:ascii="黑体" w:hAnsi="黑体"/>
          <w:szCs w:val="18"/>
        </w:rPr>
        <w:t>工程质量检验与验收批次应符合下列规定</w:t>
      </w:r>
      <w:r>
        <w:rPr>
          <w:rFonts w:hint="eastAsia" w:ascii="黑体" w:hAnsi="黑体"/>
          <w:szCs w:val="18"/>
        </w:rPr>
        <w:t>：</w:t>
      </w:r>
    </w:p>
    <w:p w14:paraId="4C34EF55">
      <w:pPr>
        <w:pStyle w:val="49"/>
        <w:spacing w:line="400" w:lineRule="exact"/>
        <w:ind w:firstLine="360"/>
        <w:jc w:val="left"/>
        <w:rPr>
          <w:rFonts w:ascii="黑体" w:hAnsi="黑体"/>
          <w:szCs w:val="18"/>
        </w:rPr>
      </w:pPr>
      <w:r>
        <w:rPr>
          <w:rFonts w:hint="eastAsia" w:ascii="黑体" w:hAnsi="黑体"/>
          <w:szCs w:val="18"/>
        </w:rPr>
        <w:t>1）应按每一层或每层施工段或变形缝作为一个检验批；</w:t>
      </w:r>
    </w:p>
    <w:p w14:paraId="0508D136">
      <w:pPr>
        <w:pStyle w:val="49"/>
        <w:spacing w:line="400" w:lineRule="exact"/>
        <w:ind w:firstLine="360"/>
        <w:jc w:val="left"/>
        <w:rPr>
          <w:rFonts w:ascii="黑体" w:hAnsi="黑体"/>
          <w:szCs w:val="18"/>
        </w:rPr>
      </w:pPr>
      <w:r>
        <w:rPr>
          <w:rFonts w:hint="eastAsia" w:ascii="黑体" w:hAnsi="黑体"/>
          <w:szCs w:val="18"/>
        </w:rPr>
        <w:t>2）</w:t>
      </w:r>
      <w:r>
        <w:rPr>
          <w:rFonts w:ascii="黑体" w:hAnsi="黑体"/>
          <w:szCs w:val="18"/>
        </w:rPr>
        <w:t>每个检验批应按自然间或标准间随机检验，抽查数量不应少于3 间，不足3 间时，应全数检查</w:t>
      </w:r>
      <w:r>
        <w:rPr>
          <w:rFonts w:hint="eastAsia" w:ascii="黑体" w:hAnsi="黑体"/>
          <w:szCs w:val="18"/>
        </w:rPr>
        <w:t>，</w:t>
      </w:r>
      <w:r>
        <w:rPr>
          <w:rFonts w:ascii="黑体" w:hAnsi="黑体"/>
          <w:szCs w:val="18"/>
        </w:rPr>
        <w:t>走廊（过道）应以10 延长米为1 间</w:t>
      </w:r>
      <w:r>
        <w:rPr>
          <w:rFonts w:hint="eastAsia" w:ascii="黑体" w:hAnsi="黑体"/>
          <w:szCs w:val="18"/>
        </w:rPr>
        <w:t>，地下车库以两个轴线为</w:t>
      </w:r>
      <w:r>
        <w:rPr>
          <w:rFonts w:ascii="黑体" w:hAnsi="黑体"/>
          <w:szCs w:val="18"/>
        </w:rPr>
        <w:t xml:space="preserve">1 </w:t>
      </w:r>
      <w:r>
        <w:rPr>
          <w:rFonts w:hint="eastAsia" w:ascii="黑体" w:hAnsi="黑体"/>
          <w:szCs w:val="18"/>
        </w:rPr>
        <w:t>间计算。</w:t>
      </w:r>
    </w:p>
    <w:p w14:paraId="31D46974">
      <w:pPr>
        <w:pStyle w:val="5"/>
        <w:numPr>
          <w:ilvl w:val="0"/>
          <w:numId w:val="143"/>
        </w:numPr>
        <w:jc w:val="left"/>
        <w:rPr>
          <w:rFonts w:ascii="黑体" w:hAnsi="黑体" w:eastAsia="黑体"/>
          <w:color w:val="auto"/>
        </w:rPr>
      </w:pPr>
      <w:r>
        <w:rPr>
          <w:rFonts w:hint="eastAsia" w:ascii="黑体" w:hAnsi="黑体" w:eastAsia="黑体"/>
          <w:color w:val="auto"/>
        </w:rPr>
        <w:t>主控项目</w:t>
      </w:r>
    </w:p>
    <w:p w14:paraId="5392E5A1">
      <w:pPr>
        <w:pStyle w:val="49"/>
        <w:numPr>
          <w:ilvl w:val="0"/>
          <w:numId w:val="142"/>
        </w:numPr>
        <w:spacing w:line="400" w:lineRule="exact"/>
        <w:ind w:firstLineChars="0"/>
        <w:jc w:val="left"/>
        <w:rPr>
          <w:rFonts w:ascii="黑体" w:hAnsi="黑体"/>
          <w:szCs w:val="18"/>
        </w:rPr>
      </w:pPr>
      <w:r>
        <w:rPr>
          <w:rFonts w:hint="eastAsia" w:ascii="黑体" w:hAnsi="黑体"/>
          <w:szCs w:val="18"/>
        </w:rPr>
        <w:t>渗透型液体硬化地面主控</w:t>
      </w:r>
      <w:r>
        <w:rPr>
          <w:rFonts w:ascii="黑体" w:hAnsi="黑体"/>
          <w:szCs w:val="18"/>
        </w:rPr>
        <w:t>项目</w:t>
      </w:r>
      <w:r>
        <w:rPr>
          <w:rFonts w:hint="eastAsia" w:ascii="黑体" w:hAnsi="黑体"/>
          <w:szCs w:val="18"/>
        </w:rPr>
        <w:t>应符合表9.2.1的规定。</w:t>
      </w:r>
    </w:p>
    <w:p w14:paraId="77914A15">
      <w:pPr>
        <w:widowControl/>
        <w:shd w:val="clear" w:color="auto" w:fill="FFFFFF"/>
        <w:spacing w:line="360" w:lineRule="auto"/>
        <w:jc w:val="left"/>
        <w:rPr>
          <w:rFonts w:ascii="黑体" w:hAnsi="黑体" w:cs="宋体"/>
          <w:kern w:val="0"/>
          <w:szCs w:val="18"/>
        </w:rPr>
      </w:pPr>
      <w:r>
        <w:rPr>
          <w:rFonts w:hint="eastAsia" w:ascii="黑体" w:hAnsi="黑体" w:cs="宋体"/>
          <w:kern w:val="0"/>
          <w:szCs w:val="18"/>
        </w:rPr>
        <w:t>表</w:t>
      </w:r>
      <w:r>
        <w:rPr>
          <w:rFonts w:hint="eastAsia" w:ascii="黑体" w:hAnsi="黑体"/>
          <w:szCs w:val="18"/>
        </w:rPr>
        <w:t>9.2.1</w:t>
      </w:r>
      <w:r>
        <w:rPr>
          <w:rFonts w:hint="eastAsia" w:ascii="黑体" w:hAnsi="黑体" w:cs="宋体"/>
          <w:kern w:val="0"/>
          <w:szCs w:val="18"/>
        </w:rPr>
        <w:t>: 主控</w:t>
      </w:r>
      <w:r>
        <w:rPr>
          <w:rFonts w:ascii="黑体" w:hAnsi="黑体" w:cs="宋体"/>
          <w:kern w:val="0"/>
          <w:szCs w:val="18"/>
        </w:rPr>
        <w:t>项目</w:t>
      </w:r>
    </w:p>
    <w:tbl>
      <w:tblPr>
        <w:tblStyle w:val="36"/>
        <w:tblW w:w="4856" w:type="pct"/>
        <w:tblInd w:w="0" w:type="dxa"/>
        <w:tblLayout w:type="autofit"/>
        <w:tblCellMar>
          <w:top w:w="0" w:type="dxa"/>
          <w:left w:w="108" w:type="dxa"/>
          <w:bottom w:w="0" w:type="dxa"/>
          <w:right w:w="108" w:type="dxa"/>
        </w:tblCellMar>
      </w:tblPr>
      <w:tblGrid>
        <w:gridCol w:w="781"/>
        <w:gridCol w:w="1826"/>
        <w:gridCol w:w="2902"/>
        <w:gridCol w:w="4062"/>
      </w:tblGrid>
      <w:tr w14:paraId="2613E1B0">
        <w:tblPrEx>
          <w:tblCellMar>
            <w:top w:w="0" w:type="dxa"/>
            <w:left w:w="108" w:type="dxa"/>
            <w:bottom w:w="0" w:type="dxa"/>
            <w:right w:w="108" w:type="dxa"/>
          </w:tblCellMar>
        </w:tblPrEx>
        <w:trPr>
          <w:trHeight w:val="492" w:hRule="atLeast"/>
        </w:trPr>
        <w:tc>
          <w:tcPr>
            <w:tcW w:w="408"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611D88F7">
            <w:pPr>
              <w:widowControl/>
              <w:jc w:val="left"/>
              <w:rPr>
                <w:rFonts w:ascii="黑体" w:hAnsi="黑体" w:cs="宋体"/>
                <w:b/>
                <w:kern w:val="0"/>
                <w:szCs w:val="18"/>
              </w:rPr>
            </w:pPr>
            <w:r>
              <w:rPr>
                <w:rFonts w:hint="eastAsia" w:ascii="黑体" w:hAnsi="黑体" w:cs="宋体"/>
                <w:b/>
                <w:kern w:val="0"/>
                <w:szCs w:val="18"/>
              </w:rPr>
              <w:t>编号</w:t>
            </w:r>
          </w:p>
        </w:tc>
        <w:tc>
          <w:tcPr>
            <w:tcW w:w="954"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3C6F5ED0">
            <w:pPr>
              <w:widowControl/>
              <w:jc w:val="left"/>
              <w:rPr>
                <w:rFonts w:ascii="黑体" w:hAnsi="黑体" w:cs="宋体"/>
                <w:b/>
                <w:kern w:val="0"/>
                <w:szCs w:val="18"/>
              </w:rPr>
            </w:pPr>
            <w:r>
              <w:rPr>
                <w:rFonts w:hint="eastAsia" w:ascii="黑体" w:hAnsi="黑体" w:cs="宋体"/>
                <w:b/>
                <w:kern w:val="0"/>
                <w:szCs w:val="18"/>
              </w:rPr>
              <w:t>项目</w:t>
            </w:r>
          </w:p>
        </w:tc>
        <w:tc>
          <w:tcPr>
            <w:tcW w:w="1516"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14:paraId="50DB892E">
            <w:pPr>
              <w:widowControl/>
              <w:jc w:val="left"/>
              <w:rPr>
                <w:rFonts w:ascii="黑体" w:hAnsi="黑体" w:cs="宋体"/>
                <w:b/>
                <w:kern w:val="0"/>
                <w:szCs w:val="18"/>
              </w:rPr>
            </w:pPr>
            <w:r>
              <w:rPr>
                <w:rFonts w:hint="eastAsia" w:ascii="黑体" w:hAnsi="黑体" w:cs="宋体"/>
                <w:b/>
                <w:kern w:val="0"/>
                <w:szCs w:val="18"/>
              </w:rPr>
              <w:t>渗透型液体硬化地面</w:t>
            </w:r>
          </w:p>
        </w:tc>
        <w:tc>
          <w:tcPr>
            <w:tcW w:w="2122"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14:paraId="0CFD099F">
            <w:pPr>
              <w:widowControl/>
              <w:jc w:val="left"/>
              <w:rPr>
                <w:rFonts w:ascii="黑体" w:hAnsi="黑体" w:cs="宋体"/>
                <w:b/>
                <w:kern w:val="0"/>
                <w:szCs w:val="18"/>
              </w:rPr>
            </w:pPr>
            <w:r>
              <w:rPr>
                <w:rFonts w:hint="eastAsia" w:ascii="黑体" w:hAnsi="黑体" w:cs="宋体"/>
                <w:b/>
                <w:kern w:val="0"/>
                <w:szCs w:val="18"/>
              </w:rPr>
              <w:t>检测方法</w:t>
            </w:r>
          </w:p>
        </w:tc>
      </w:tr>
      <w:tr w14:paraId="5806A4A1">
        <w:tblPrEx>
          <w:tblCellMar>
            <w:top w:w="0" w:type="dxa"/>
            <w:left w:w="108" w:type="dxa"/>
            <w:bottom w:w="0" w:type="dxa"/>
            <w:right w:w="108" w:type="dxa"/>
          </w:tblCellMar>
        </w:tblPrEx>
        <w:trPr>
          <w:trHeight w:val="876" w:hRule="atLeast"/>
        </w:trPr>
        <w:tc>
          <w:tcPr>
            <w:tcW w:w="408" w:type="pct"/>
            <w:tcBorders>
              <w:top w:val="nil"/>
              <w:left w:val="single" w:color="000000" w:sz="4" w:space="0"/>
              <w:bottom w:val="single" w:color="000000" w:sz="4" w:space="0"/>
              <w:right w:val="single" w:color="000000" w:sz="4" w:space="0"/>
            </w:tcBorders>
            <w:vAlign w:val="center"/>
          </w:tcPr>
          <w:p w14:paraId="136442EE">
            <w:pPr>
              <w:widowControl/>
              <w:jc w:val="left"/>
              <w:rPr>
                <w:rFonts w:ascii="黑体" w:hAnsi="黑体" w:cs="宋体"/>
                <w:kern w:val="0"/>
                <w:szCs w:val="18"/>
              </w:rPr>
            </w:pPr>
            <w:r>
              <w:rPr>
                <w:rFonts w:hint="eastAsia" w:ascii="黑体" w:hAnsi="黑体" w:cs="宋体"/>
                <w:kern w:val="0"/>
                <w:szCs w:val="18"/>
              </w:rPr>
              <w:t>1</w:t>
            </w:r>
          </w:p>
        </w:tc>
        <w:tc>
          <w:tcPr>
            <w:tcW w:w="954" w:type="pct"/>
            <w:tcBorders>
              <w:top w:val="nil"/>
              <w:left w:val="single" w:color="000000" w:sz="4" w:space="0"/>
              <w:bottom w:val="single" w:color="000000" w:sz="4" w:space="0"/>
              <w:right w:val="single" w:color="000000" w:sz="4" w:space="0"/>
            </w:tcBorders>
            <w:shd w:val="clear" w:color="auto" w:fill="auto"/>
            <w:vAlign w:val="center"/>
          </w:tcPr>
          <w:p w14:paraId="2DE4C176">
            <w:pPr>
              <w:widowControl/>
              <w:jc w:val="left"/>
              <w:rPr>
                <w:rFonts w:ascii="黑体" w:hAnsi="黑体" w:cs="宋体"/>
                <w:kern w:val="0"/>
                <w:szCs w:val="18"/>
              </w:rPr>
            </w:pPr>
            <w:r>
              <w:rPr>
                <w:rFonts w:hint="eastAsia" w:ascii="黑体" w:hAnsi="黑体" w:cs="宋体"/>
                <w:kern w:val="0"/>
                <w:szCs w:val="18"/>
              </w:rPr>
              <w:t>外观</w:t>
            </w:r>
          </w:p>
        </w:tc>
        <w:tc>
          <w:tcPr>
            <w:tcW w:w="1516" w:type="pct"/>
            <w:tcBorders>
              <w:top w:val="nil"/>
              <w:left w:val="nil"/>
              <w:bottom w:val="single" w:color="000000" w:sz="4" w:space="0"/>
              <w:right w:val="single" w:color="000000" w:sz="4" w:space="0"/>
            </w:tcBorders>
            <w:shd w:val="clear" w:color="auto" w:fill="auto"/>
            <w:vAlign w:val="center"/>
          </w:tcPr>
          <w:p w14:paraId="085CC3A8">
            <w:pPr>
              <w:widowControl/>
              <w:jc w:val="left"/>
              <w:rPr>
                <w:rFonts w:ascii="黑体" w:hAnsi="黑体" w:cs="宋体"/>
                <w:kern w:val="0"/>
                <w:szCs w:val="18"/>
              </w:rPr>
            </w:pPr>
            <w:r>
              <w:rPr>
                <w:rFonts w:hint="eastAsia" w:ascii="黑体" w:hAnsi="黑体" w:cs="宋体"/>
                <w:kern w:val="0"/>
                <w:szCs w:val="18"/>
              </w:rPr>
              <w:t>无起砂、无胶膜</w:t>
            </w:r>
          </w:p>
        </w:tc>
        <w:tc>
          <w:tcPr>
            <w:tcW w:w="2122" w:type="pct"/>
            <w:tcBorders>
              <w:top w:val="nil"/>
              <w:left w:val="nil"/>
              <w:bottom w:val="single" w:color="000000" w:sz="4" w:space="0"/>
              <w:right w:val="single" w:color="000000" w:sz="4" w:space="0"/>
            </w:tcBorders>
            <w:shd w:val="clear" w:color="auto" w:fill="auto"/>
            <w:vAlign w:val="center"/>
          </w:tcPr>
          <w:p w14:paraId="023F1B65">
            <w:pPr>
              <w:widowControl/>
              <w:jc w:val="left"/>
              <w:rPr>
                <w:rFonts w:ascii="黑体" w:hAnsi="黑体" w:cs="宋体"/>
                <w:kern w:val="0"/>
                <w:szCs w:val="18"/>
              </w:rPr>
            </w:pPr>
            <w:r>
              <w:rPr>
                <w:rFonts w:hint="eastAsia" w:ascii="黑体" w:hAnsi="黑体" w:cs="宋体"/>
                <w:kern w:val="0"/>
                <w:szCs w:val="18"/>
              </w:rPr>
              <w:t>距表面1m处垂直观察，至少90%的表面无肉眼可见缺陷</w:t>
            </w:r>
          </w:p>
        </w:tc>
      </w:tr>
    </w:tbl>
    <w:p w14:paraId="1455C558">
      <w:pPr>
        <w:pStyle w:val="5"/>
        <w:numPr>
          <w:ilvl w:val="0"/>
          <w:numId w:val="143"/>
        </w:numPr>
        <w:jc w:val="left"/>
        <w:rPr>
          <w:rFonts w:ascii="黑体" w:hAnsi="黑体" w:eastAsia="黑体"/>
          <w:color w:val="auto"/>
        </w:rPr>
      </w:pPr>
      <w:r>
        <w:rPr>
          <w:rFonts w:hint="eastAsia" w:ascii="黑体" w:hAnsi="黑体" w:eastAsia="黑体"/>
          <w:color w:val="auto"/>
        </w:rPr>
        <w:t>一般项目</w:t>
      </w:r>
    </w:p>
    <w:p w14:paraId="57FE7A5C">
      <w:pPr>
        <w:pStyle w:val="49"/>
        <w:numPr>
          <w:ilvl w:val="0"/>
          <w:numId w:val="142"/>
        </w:numPr>
        <w:spacing w:line="400" w:lineRule="exact"/>
        <w:ind w:firstLineChars="0"/>
        <w:jc w:val="left"/>
        <w:rPr>
          <w:rFonts w:ascii="黑体" w:hAnsi="黑体"/>
          <w:szCs w:val="18"/>
        </w:rPr>
      </w:pPr>
      <w:r>
        <w:rPr>
          <w:rFonts w:hint="eastAsia" w:ascii="黑体" w:hAnsi="黑体"/>
          <w:szCs w:val="18"/>
        </w:rPr>
        <w:t>渗透型液体硬化地面一般</w:t>
      </w:r>
      <w:r>
        <w:rPr>
          <w:rFonts w:ascii="黑体" w:hAnsi="黑体"/>
          <w:szCs w:val="18"/>
        </w:rPr>
        <w:t>项目</w:t>
      </w:r>
      <w:r>
        <w:rPr>
          <w:rFonts w:hint="eastAsia" w:ascii="黑体" w:hAnsi="黑体"/>
          <w:szCs w:val="18"/>
        </w:rPr>
        <w:t>的验收应符合表9.3.1的规定。</w:t>
      </w:r>
    </w:p>
    <w:p w14:paraId="6A086368">
      <w:pPr>
        <w:widowControl/>
        <w:shd w:val="clear" w:color="auto" w:fill="FFFFFF"/>
        <w:spacing w:line="360" w:lineRule="auto"/>
        <w:jc w:val="left"/>
        <w:rPr>
          <w:rFonts w:ascii="黑体" w:hAnsi="黑体" w:cs="宋体"/>
          <w:kern w:val="0"/>
          <w:szCs w:val="18"/>
        </w:rPr>
      </w:pPr>
      <w:r>
        <w:rPr>
          <w:rFonts w:hint="eastAsia" w:ascii="黑体" w:hAnsi="黑体" w:cs="宋体"/>
          <w:kern w:val="0"/>
          <w:szCs w:val="18"/>
        </w:rPr>
        <w:t>表</w:t>
      </w:r>
      <w:r>
        <w:rPr>
          <w:rFonts w:hint="eastAsia" w:ascii="黑体" w:hAnsi="黑体"/>
          <w:szCs w:val="18"/>
        </w:rPr>
        <w:t>9.3.1</w:t>
      </w:r>
      <w:r>
        <w:rPr>
          <w:rFonts w:hint="eastAsia" w:ascii="黑体" w:hAnsi="黑体" w:cs="宋体"/>
          <w:kern w:val="0"/>
          <w:szCs w:val="18"/>
        </w:rPr>
        <w:t>: 一般</w:t>
      </w:r>
      <w:r>
        <w:rPr>
          <w:rFonts w:ascii="黑体" w:hAnsi="黑体" w:cs="宋体"/>
          <w:kern w:val="0"/>
          <w:szCs w:val="18"/>
        </w:rPr>
        <w:t>项目</w:t>
      </w:r>
    </w:p>
    <w:tbl>
      <w:tblPr>
        <w:tblStyle w:val="36"/>
        <w:tblW w:w="5000" w:type="pct"/>
        <w:tblInd w:w="0" w:type="dxa"/>
        <w:tblLayout w:type="autofit"/>
        <w:tblCellMar>
          <w:top w:w="0" w:type="dxa"/>
          <w:left w:w="108" w:type="dxa"/>
          <w:bottom w:w="0" w:type="dxa"/>
          <w:right w:w="108" w:type="dxa"/>
        </w:tblCellMar>
      </w:tblPr>
      <w:tblGrid>
        <w:gridCol w:w="780"/>
        <w:gridCol w:w="2133"/>
        <w:gridCol w:w="2742"/>
        <w:gridCol w:w="4200"/>
      </w:tblGrid>
      <w:tr w14:paraId="497EA8A1">
        <w:tblPrEx>
          <w:tblCellMar>
            <w:top w:w="0" w:type="dxa"/>
            <w:left w:w="108" w:type="dxa"/>
            <w:bottom w:w="0" w:type="dxa"/>
            <w:right w:w="108" w:type="dxa"/>
          </w:tblCellMar>
        </w:tblPrEx>
        <w:trPr>
          <w:trHeight w:val="492" w:hRule="atLeast"/>
        </w:trPr>
        <w:tc>
          <w:tcPr>
            <w:tcW w:w="396"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7EE9E930">
            <w:pPr>
              <w:widowControl/>
              <w:jc w:val="left"/>
              <w:rPr>
                <w:rFonts w:ascii="黑体" w:hAnsi="黑体" w:cs="宋体"/>
                <w:b/>
                <w:kern w:val="0"/>
                <w:szCs w:val="18"/>
              </w:rPr>
            </w:pPr>
            <w:r>
              <w:rPr>
                <w:rFonts w:hint="eastAsia" w:ascii="黑体" w:hAnsi="黑体" w:cs="宋体"/>
                <w:b/>
                <w:kern w:val="0"/>
                <w:szCs w:val="18"/>
              </w:rPr>
              <w:t>编号</w:t>
            </w:r>
          </w:p>
        </w:tc>
        <w:tc>
          <w:tcPr>
            <w:tcW w:w="1082" w:type="pct"/>
            <w:tcBorders>
              <w:top w:val="single" w:color="000000" w:sz="4" w:space="0"/>
              <w:left w:val="single" w:color="000000" w:sz="4" w:space="0"/>
              <w:bottom w:val="single" w:color="000000" w:sz="4" w:space="0"/>
              <w:right w:val="single" w:color="000000" w:sz="4" w:space="0"/>
            </w:tcBorders>
            <w:shd w:val="clear" w:color="auto" w:fill="F1F1F1" w:themeFill="background1" w:themeFillShade="F2"/>
            <w:vAlign w:val="center"/>
          </w:tcPr>
          <w:p w14:paraId="12BF70D3">
            <w:pPr>
              <w:widowControl/>
              <w:jc w:val="left"/>
              <w:rPr>
                <w:rFonts w:ascii="黑体" w:hAnsi="黑体" w:cs="宋体"/>
                <w:b/>
                <w:kern w:val="0"/>
                <w:szCs w:val="18"/>
              </w:rPr>
            </w:pPr>
            <w:r>
              <w:rPr>
                <w:rFonts w:hint="eastAsia" w:ascii="黑体" w:hAnsi="黑体" w:cs="宋体"/>
                <w:b/>
                <w:kern w:val="0"/>
                <w:szCs w:val="18"/>
              </w:rPr>
              <w:t>项目</w:t>
            </w:r>
          </w:p>
        </w:tc>
        <w:tc>
          <w:tcPr>
            <w:tcW w:w="1391"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14:paraId="390BAB53">
            <w:pPr>
              <w:widowControl/>
              <w:jc w:val="left"/>
              <w:rPr>
                <w:rFonts w:ascii="黑体" w:hAnsi="黑体" w:cs="宋体"/>
                <w:b/>
                <w:kern w:val="0"/>
                <w:szCs w:val="18"/>
              </w:rPr>
            </w:pPr>
            <w:r>
              <w:rPr>
                <w:rFonts w:hint="eastAsia" w:ascii="黑体" w:hAnsi="黑体" w:cs="宋体"/>
                <w:b/>
                <w:kern w:val="0"/>
                <w:szCs w:val="18"/>
              </w:rPr>
              <w:t>渗透型液体硬化地面</w:t>
            </w:r>
          </w:p>
        </w:tc>
        <w:tc>
          <w:tcPr>
            <w:tcW w:w="2132" w:type="pct"/>
            <w:tcBorders>
              <w:top w:val="single" w:color="000000" w:sz="4" w:space="0"/>
              <w:left w:val="nil"/>
              <w:bottom w:val="single" w:color="000000" w:sz="4" w:space="0"/>
              <w:right w:val="single" w:color="000000" w:sz="4" w:space="0"/>
            </w:tcBorders>
            <w:shd w:val="clear" w:color="auto" w:fill="F1F1F1" w:themeFill="background1" w:themeFillShade="F2"/>
            <w:vAlign w:val="center"/>
          </w:tcPr>
          <w:p w14:paraId="2607077A">
            <w:pPr>
              <w:widowControl/>
              <w:jc w:val="left"/>
              <w:rPr>
                <w:rFonts w:ascii="黑体" w:hAnsi="黑体" w:cs="宋体"/>
                <w:b/>
                <w:kern w:val="0"/>
                <w:szCs w:val="18"/>
              </w:rPr>
            </w:pPr>
            <w:r>
              <w:rPr>
                <w:rFonts w:hint="eastAsia" w:ascii="黑体" w:hAnsi="黑体" w:cs="宋体"/>
                <w:b/>
                <w:kern w:val="0"/>
                <w:szCs w:val="18"/>
              </w:rPr>
              <w:t>检测方法</w:t>
            </w:r>
          </w:p>
        </w:tc>
      </w:tr>
      <w:tr w14:paraId="4FE9320B">
        <w:tblPrEx>
          <w:tblCellMar>
            <w:top w:w="0" w:type="dxa"/>
            <w:left w:w="108" w:type="dxa"/>
            <w:bottom w:w="0" w:type="dxa"/>
            <w:right w:w="108" w:type="dxa"/>
          </w:tblCellMar>
        </w:tblPrEx>
        <w:trPr>
          <w:trHeight w:val="415" w:hRule="atLeast"/>
        </w:trPr>
        <w:tc>
          <w:tcPr>
            <w:tcW w:w="396" w:type="pct"/>
            <w:tcBorders>
              <w:top w:val="nil"/>
              <w:left w:val="single" w:color="000000" w:sz="4" w:space="0"/>
              <w:bottom w:val="single" w:color="000000" w:sz="4" w:space="0"/>
              <w:right w:val="single" w:color="000000" w:sz="4" w:space="0"/>
            </w:tcBorders>
            <w:vAlign w:val="center"/>
          </w:tcPr>
          <w:p w14:paraId="0D860BCD">
            <w:pPr>
              <w:widowControl/>
              <w:jc w:val="left"/>
              <w:rPr>
                <w:rFonts w:ascii="黑体" w:hAnsi="黑体" w:cs="宋体"/>
                <w:kern w:val="0"/>
                <w:szCs w:val="18"/>
              </w:rPr>
            </w:pPr>
            <w:r>
              <w:rPr>
                <w:rFonts w:hint="eastAsia" w:ascii="黑体" w:hAnsi="黑体" w:cs="宋体"/>
                <w:kern w:val="0"/>
                <w:szCs w:val="18"/>
              </w:rPr>
              <w:t>1</w:t>
            </w:r>
          </w:p>
        </w:tc>
        <w:tc>
          <w:tcPr>
            <w:tcW w:w="1082" w:type="pct"/>
            <w:tcBorders>
              <w:top w:val="nil"/>
              <w:left w:val="single" w:color="000000" w:sz="4" w:space="0"/>
              <w:bottom w:val="single" w:color="000000" w:sz="4" w:space="0"/>
              <w:right w:val="single" w:color="000000" w:sz="4" w:space="0"/>
            </w:tcBorders>
            <w:shd w:val="clear" w:color="auto" w:fill="auto"/>
            <w:vAlign w:val="center"/>
          </w:tcPr>
          <w:p w14:paraId="3B179603">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耐冲击性</w:t>
            </w:r>
          </w:p>
        </w:tc>
        <w:tc>
          <w:tcPr>
            <w:tcW w:w="1391" w:type="pct"/>
            <w:tcBorders>
              <w:top w:val="nil"/>
              <w:left w:val="nil"/>
              <w:bottom w:val="single" w:color="000000" w:sz="4" w:space="0"/>
              <w:right w:val="single" w:color="000000" w:sz="4" w:space="0"/>
            </w:tcBorders>
            <w:shd w:val="clear" w:color="auto" w:fill="auto"/>
            <w:vAlign w:val="center"/>
          </w:tcPr>
          <w:p w14:paraId="721490A6">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无裂纹、无剥落</w:t>
            </w:r>
          </w:p>
        </w:tc>
        <w:tc>
          <w:tcPr>
            <w:tcW w:w="2132" w:type="pct"/>
            <w:tcBorders>
              <w:top w:val="nil"/>
              <w:left w:val="nil"/>
              <w:bottom w:val="single" w:color="000000" w:sz="4" w:space="0"/>
              <w:right w:val="single" w:color="000000" w:sz="4" w:space="0"/>
            </w:tcBorders>
            <w:shd w:val="clear" w:color="auto" w:fill="auto"/>
            <w:vAlign w:val="center"/>
          </w:tcPr>
          <w:p w14:paraId="080B53CA">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直径</w:t>
            </w:r>
            <w:r>
              <w:rPr>
                <w:rFonts w:ascii="黑体" w:hAnsi="黑体" w:cs="宋体"/>
                <w:kern w:val="0"/>
                <w:szCs w:val="18"/>
              </w:rPr>
              <w:t>50m</w:t>
            </w:r>
            <w:r>
              <w:rPr>
                <w:rFonts w:hint="eastAsia" w:ascii="黑体" w:hAnsi="黑体" w:cs="宋体"/>
                <w:kern w:val="0"/>
                <w:szCs w:val="18"/>
              </w:rPr>
              <w:t>m的钢球，距离面层</w:t>
            </w:r>
            <w:r>
              <w:rPr>
                <w:rFonts w:ascii="黑体" w:hAnsi="黑体" w:cs="宋体"/>
                <w:kern w:val="0"/>
                <w:szCs w:val="18"/>
              </w:rPr>
              <w:t>500mm</w:t>
            </w:r>
          </w:p>
        </w:tc>
      </w:tr>
      <w:tr w14:paraId="0AF7C4AA">
        <w:tblPrEx>
          <w:tblCellMar>
            <w:top w:w="0" w:type="dxa"/>
            <w:left w:w="108" w:type="dxa"/>
            <w:bottom w:w="0" w:type="dxa"/>
            <w:right w:w="108" w:type="dxa"/>
          </w:tblCellMar>
        </w:tblPrEx>
        <w:trPr>
          <w:trHeight w:val="405" w:hRule="atLeast"/>
        </w:trPr>
        <w:tc>
          <w:tcPr>
            <w:tcW w:w="396" w:type="pct"/>
            <w:tcBorders>
              <w:top w:val="nil"/>
              <w:left w:val="single" w:color="000000" w:sz="4" w:space="0"/>
              <w:bottom w:val="single" w:color="000000" w:sz="4" w:space="0"/>
              <w:right w:val="single" w:color="000000" w:sz="4" w:space="0"/>
            </w:tcBorders>
            <w:vAlign w:val="center"/>
          </w:tcPr>
          <w:p w14:paraId="74A50BE0">
            <w:pPr>
              <w:widowControl/>
              <w:jc w:val="left"/>
              <w:rPr>
                <w:rFonts w:ascii="黑体" w:hAnsi="黑体" w:cs="宋体"/>
                <w:kern w:val="0"/>
                <w:szCs w:val="18"/>
              </w:rPr>
            </w:pPr>
            <w:r>
              <w:rPr>
                <w:rFonts w:hint="eastAsia" w:ascii="黑体" w:hAnsi="黑体" w:cs="宋体"/>
                <w:kern w:val="0"/>
                <w:szCs w:val="18"/>
              </w:rPr>
              <w:t>2</w:t>
            </w:r>
          </w:p>
        </w:tc>
        <w:tc>
          <w:tcPr>
            <w:tcW w:w="1082" w:type="pct"/>
            <w:tcBorders>
              <w:top w:val="nil"/>
              <w:left w:val="single" w:color="000000" w:sz="4" w:space="0"/>
              <w:bottom w:val="single" w:color="000000" w:sz="4" w:space="0"/>
              <w:right w:val="single" w:color="000000" w:sz="4" w:space="0"/>
            </w:tcBorders>
            <w:shd w:val="clear" w:color="auto" w:fill="auto"/>
            <w:vAlign w:val="center"/>
          </w:tcPr>
          <w:p w14:paraId="7A8FFE2F">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耐摩性（AR2/mm）</w:t>
            </w:r>
          </w:p>
        </w:tc>
        <w:tc>
          <w:tcPr>
            <w:tcW w:w="1391" w:type="pct"/>
            <w:tcBorders>
              <w:top w:val="nil"/>
              <w:left w:val="nil"/>
              <w:bottom w:val="single" w:color="000000" w:sz="4" w:space="0"/>
              <w:right w:val="single" w:color="000000" w:sz="4" w:space="0"/>
            </w:tcBorders>
            <w:shd w:val="clear" w:color="auto" w:fill="auto"/>
            <w:vAlign w:val="center"/>
          </w:tcPr>
          <w:p w14:paraId="4AE8B291">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0.2</w:t>
            </w:r>
          </w:p>
        </w:tc>
        <w:tc>
          <w:tcPr>
            <w:tcW w:w="2132" w:type="pct"/>
            <w:tcBorders>
              <w:top w:val="nil"/>
              <w:left w:val="nil"/>
              <w:bottom w:val="single" w:color="000000" w:sz="4" w:space="0"/>
              <w:right w:val="single" w:color="000000" w:sz="4" w:space="0"/>
            </w:tcBorders>
            <w:shd w:val="clear" w:color="auto" w:fill="auto"/>
            <w:vAlign w:val="center"/>
          </w:tcPr>
          <w:p w14:paraId="148605D7">
            <w:pPr>
              <w:widowControl/>
              <w:spacing w:before="100" w:beforeAutospacing="1" w:after="100" w:afterAutospacing="1" w:line="360" w:lineRule="auto"/>
              <w:ind w:left="-2" w:leftChars="-1"/>
              <w:jc w:val="left"/>
              <w:rPr>
                <w:rFonts w:ascii="黑体" w:hAnsi="黑体" w:cs="宋体"/>
                <w:kern w:val="0"/>
                <w:szCs w:val="18"/>
              </w:rPr>
            </w:pPr>
            <w:r>
              <w:rPr>
                <w:rFonts w:hint="eastAsia" w:ascii="黑体" w:hAnsi="黑体" w:cs="宋体"/>
                <w:kern w:val="0"/>
                <w:szCs w:val="18"/>
              </w:rPr>
              <w:t>BS 8204-2</w:t>
            </w:r>
          </w:p>
        </w:tc>
      </w:tr>
    </w:tbl>
    <w:p w14:paraId="428EA6AF">
      <w:pPr>
        <w:pStyle w:val="5"/>
        <w:numPr>
          <w:ilvl w:val="0"/>
          <w:numId w:val="143"/>
        </w:numPr>
        <w:jc w:val="left"/>
        <w:rPr>
          <w:rFonts w:ascii="黑体" w:hAnsi="黑体" w:eastAsia="黑体"/>
          <w:color w:val="auto"/>
        </w:rPr>
      </w:pPr>
      <w:r>
        <w:rPr>
          <w:rFonts w:ascii="黑体" w:hAnsi="黑体" w:eastAsia="黑体"/>
          <w:color w:val="auto"/>
        </w:rPr>
        <w:t>验收</w:t>
      </w:r>
      <w:r>
        <w:rPr>
          <w:rFonts w:hint="eastAsia" w:ascii="黑体" w:hAnsi="黑体" w:eastAsia="黑体"/>
          <w:color w:val="auto"/>
        </w:rPr>
        <w:t>要求</w:t>
      </w:r>
    </w:p>
    <w:p w14:paraId="06ADA0FE">
      <w:pPr>
        <w:pStyle w:val="49"/>
        <w:numPr>
          <w:ilvl w:val="0"/>
          <w:numId w:val="142"/>
        </w:numPr>
        <w:spacing w:line="400" w:lineRule="exact"/>
        <w:ind w:firstLineChars="0"/>
        <w:jc w:val="left"/>
        <w:rPr>
          <w:rFonts w:ascii="黑体" w:hAnsi="黑体"/>
          <w:szCs w:val="18"/>
        </w:rPr>
      </w:pPr>
      <w:r>
        <w:rPr>
          <w:rFonts w:hint="eastAsia" w:ascii="黑体" w:hAnsi="黑体"/>
          <w:szCs w:val="18"/>
        </w:rPr>
        <w:t>硬化剂地面</w:t>
      </w:r>
      <w:r>
        <w:rPr>
          <w:rFonts w:ascii="黑体" w:hAnsi="黑体"/>
          <w:szCs w:val="18"/>
        </w:rPr>
        <w:t>工程的检验验收应在检验批质量检验合格的基础上，确认达到验收条件后方可进行</w:t>
      </w:r>
      <w:r>
        <w:rPr>
          <w:rFonts w:hint="eastAsia" w:ascii="黑体" w:hAnsi="黑体"/>
          <w:szCs w:val="18"/>
        </w:rPr>
        <w:t>；</w:t>
      </w:r>
    </w:p>
    <w:p w14:paraId="15317E80">
      <w:pPr>
        <w:pStyle w:val="49"/>
        <w:numPr>
          <w:ilvl w:val="0"/>
          <w:numId w:val="142"/>
        </w:numPr>
        <w:spacing w:line="400" w:lineRule="exact"/>
        <w:ind w:firstLineChars="0"/>
        <w:jc w:val="left"/>
        <w:rPr>
          <w:rFonts w:ascii="黑体" w:hAnsi="黑体"/>
          <w:szCs w:val="18"/>
        </w:rPr>
      </w:pPr>
      <w:r>
        <w:rPr>
          <w:rFonts w:hint="eastAsia" w:ascii="黑体" w:hAnsi="黑体"/>
          <w:szCs w:val="18"/>
        </w:rPr>
        <w:t>硬化剂地面</w:t>
      </w:r>
      <w:r>
        <w:rPr>
          <w:rFonts w:ascii="黑体" w:hAnsi="黑体"/>
          <w:szCs w:val="18"/>
        </w:rPr>
        <w:t>工程验收合格应符合下列规定：</w:t>
      </w:r>
    </w:p>
    <w:p w14:paraId="2741C0E2">
      <w:pPr>
        <w:spacing w:line="400" w:lineRule="exact"/>
        <w:ind w:left="480"/>
        <w:jc w:val="left"/>
        <w:rPr>
          <w:rFonts w:ascii="黑体" w:hAnsi="黑体"/>
          <w:szCs w:val="18"/>
        </w:rPr>
      </w:pPr>
      <w:r>
        <w:rPr>
          <w:rFonts w:ascii="黑体" w:hAnsi="黑体"/>
          <w:szCs w:val="18"/>
        </w:rPr>
        <w:t>1</w:t>
      </w:r>
      <w:r>
        <w:rPr>
          <w:rFonts w:hint="eastAsia" w:ascii="黑体" w:hAnsi="黑体"/>
          <w:szCs w:val="18"/>
        </w:rPr>
        <w:t>）</w:t>
      </w:r>
      <w:r>
        <w:rPr>
          <w:rFonts w:ascii="黑体" w:hAnsi="黑体"/>
          <w:szCs w:val="18"/>
        </w:rPr>
        <w:t>检验批应按主控项目和一般项目验收</w:t>
      </w:r>
      <w:r>
        <w:rPr>
          <w:rFonts w:hint="eastAsia" w:ascii="黑体" w:hAnsi="黑体"/>
          <w:szCs w:val="18"/>
        </w:rPr>
        <w:t>；</w:t>
      </w:r>
    </w:p>
    <w:p w14:paraId="4E4055A3">
      <w:pPr>
        <w:spacing w:line="400" w:lineRule="exact"/>
        <w:ind w:left="480"/>
        <w:jc w:val="left"/>
        <w:rPr>
          <w:rFonts w:ascii="黑体" w:hAnsi="黑体"/>
          <w:szCs w:val="18"/>
        </w:rPr>
      </w:pPr>
      <w:r>
        <w:rPr>
          <w:rFonts w:ascii="黑体" w:hAnsi="黑体"/>
          <w:szCs w:val="18"/>
        </w:rPr>
        <w:t>2</w:t>
      </w:r>
      <w:r>
        <w:rPr>
          <w:rFonts w:hint="eastAsia" w:ascii="黑体" w:hAnsi="黑体"/>
          <w:szCs w:val="18"/>
        </w:rPr>
        <w:t>）</w:t>
      </w:r>
      <w:r>
        <w:rPr>
          <w:rFonts w:ascii="黑体" w:hAnsi="黑体"/>
          <w:szCs w:val="18"/>
        </w:rPr>
        <w:t>主控项目应全部合格</w:t>
      </w:r>
      <w:r>
        <w:rPr>
          <w:rFonts w:hint="eastAsia" w:ascii="黑体" w:hAnsi="黑体"/>
          <w:szCs w:val="18"/>
        </w:rPr>
        <w:t>；</w:t>
      </w:r>
    </w:p>
    <w:p w14:paraId="7B3AFA9C">
      <w:pPr>
        <w:spacing w:line="400" w:lineRule="exact"/>
        <w:ind w:left="480"/>
        <w:jc w:val="left"/>
        <w:rPr>
          <w:rFonts w:ascii="黑体" w:hAnsi="黑体"/>
          <w:szCs w:val="18"/>
        </w:rPr>
      </w:pPr>
      <w:r>
        <w:rPr>
          <w:rFonts w:ascii="黑体" w:hAnsi="黑体"/>
          <w:szCs w:val="18"/>
        </w:rPr>
        <w:t>3</w:t>
      </w:r>
      <w:r>
        <w:rPr>
          <w:rFonts w:hint="eastAsia" w:ascii="黑体" w:hAnsi="黑体"/>
          <w:szCs w:val="18"/>
        </w:rPr>
        <w:t>）</w:t>
      </w:r>
      <w:r>
        <w:rPr>
          <w:rFonts w:ascii="黑体" w:hAnsi="黑体"/>
          <w:szCs w:val="18"/>
        </w:rPr>
        <w:t>一般项目至少应有80%以上的检验点合格，且不合格点不得影响使用</w:t>
      </w:r>
      <w:r>
        <w:rPr>
          <w:rFonts w:hint="eastAsia" w:ascii="黑体" w:hAnsi="黑体"/>
          <w:szCs w:val="18"/>
        </w:rPr>
        <w:t>；</w:t>
      </w:r>
      <w:r>
        <w:rPr>
          <w:rFonts w:ascii="黑体" w:hAnsi="黑体"/>
          <w:szCs w:val="18"/>
        </w:rPr>
        <w:br w:type="textWrapping"/>
      </w:r>
      <w:r>
        <w:rPr>
          <w:rFonts w:hint="eastAsia" w:ascii="黑体" w:hAnsi="黑体"/>
          <w:szCs w:val="18"/>
        </w:rPr>
        <w:t>4）</w:t>
      </w:r>
      <w:r>
        <w:rPr>
          <w:rFonts w:ascii="黑体" w:hAnsi="黑体"/>
          <w:szCs w:val="18"/>
        </w:rPr>
        <w:t>需提供材料进场时复检合格报告</w:t>
      </w:r>
      <w:r>
        <w:rPr>
          <w:rFonts w:hint="eastAsia" w:ascii="黑体" w:hAnsi="黑体"/>
          <w:szCs w:val="18"/>
        </w:rPr>
        <w:t>；</w:t>
      </w:r>
      <w:r>
        <w:rPr>
          <w:rFonts w:ascii="黑体" w:hAnsi="黑体"/>
          <w:szCs w:val="18"/>
        </w:rPr>
        <w:br w:type="textWrapping"/>
      </w:r>
      <w:r>
        <w:rPr>
          <w:rFonts w:hint="eastAsia" w:ascii="黑体" w:hAnsi="黑体"/>
          <w:szCs w:val="18"/>
        </w:rPr>
        <w:t>5）</w:t>
      </w:r>
      <w:r>
        <w:rPr>
          <w:rFonts w:ascii="黑体" w:hAnsi="黑体"/>
          <w:szCs w:val="18"/>
        </w:rPr>
        <w:t>施工方案和质量验收记录应完整</w:t>
      </w:r>
      <w:r>
        <w:rPr>
          <w:rFonts w:hint="eastAsia" w:ascii="黑体" w:hAnsi="黑体"/>
          <w:szCs w:val="18"/>
        </w:rPr>
        <w:t>；</w:t>
      </w:r>
      <w:r>
        <w:rPr>
          <w:rFonts w:ascii="黑体" w:hAnsi="黑体"/>
          <w:szCs w:val="18"/>
        </w:rPr>
        <w:br w:type="textWrapping"/>
      </w:r>
      <w:r>
        <w:rPr>
          <w:rFonts w:hint="eastAsia" w:ascii="黑体" w:hAnsi="黑体"/>
          <w:szCs w:val="18"/>
        </w:rPr>
        <w:t>6）覆盖前</w:t>
      </w:r>
      <w:r>
        <w:rPr>
          <w:rFonts w:ascii="黑体" w:hAnsi="黑体"/>
          <w:szCs w:val="18"/>
        </w:rPr>
        <w:t>隐蔽工程施工质量记录应完整。</w:t>
      </w:r>
    </w:p>
    <w:p w14:paraId="3C802268">
      <w:pPr>
        <w:spacing w:line="400" w:lineRule="exact"/>
        <w:jc w:val="left"/>
        <w:rPr>
          <w:rFonts w:ascii="黑体" w:hAnsi="黑体"/>
          <w:b/>
          <w:szCs w:val="18"/>
        </w:rPr>
      </w:pPr>
    </w:p>
    <w:p w14:paraId="3F185603">
      <w:pPr>
        <w:pStyle w:val="97"/>
        <w:rPr>
          <w:b/>
        </w:rPr>
      </w:pPr>
      <w:r>
        <w:rPr>
          <w:rFonts w:hint="eastAsia"/>
          <w:b/>
        </w:rPr>
        <w:t>外观效果要求</w:t>
      </w:r>
    </w:p>
    <w:p w14:paraId="67F8F43D">
      <w:pPr>
        <w:pStyle w:val="49"/>
        <w:numPr>
          <w:ilvl w:val="0"/>
          <w:numId w:val="142"/>
        </w:numPr>
        <w:spacing w:line="400" w:lineRule="exact"/>
        <w:ind w:firstLineChars="0"/>
        <w:jc w:val="left"/>
        <w:rPr>
          <w:rFonts w:ascii="黑体" w:hAnsi="黑体"/>
          <w:szCs w:val="18"/>
        </w:rPr>
      </w:pPr>
      <w:r>
        <w:rPr>
          <w:rFonts w:hint="eastAsia" w:ascii="黑体" w:hAnsi="黑体"/>
          <w:szCs w:val="18"/>
        </w:rPr>
        <w:t xml:space="preserve">要求大面积为保浆效果。不出现起尘、起砂、龟裂纹，同时应注意避免骨料大面积暴露等情况。 </w:t>
      </w:r>
    </w:p>
    <w:p w14:paraId="63AB778A">
      <w:pPr>
        <w:pStyle w:val="49"/>
        <w:numPr>
          <w:ilvl w:val="0"/>
          <w:numId w:val="142"/>
        </w:numPr>
        <w:spacing w:line="400" w:lineRule="exact"/>
        <w:ind w:firstLineChars="0"/>
        <w:jc w:val="left"/>
        <w:rPr>
          <w:rFonts w:ascii="黑体" w:hAnsi="黑体"/>
          <w:szCs w:val="18"/>
        </w:rPr>
      </w:pPr>
      <w:r>
        <w:rPr>
          <w:rFonts w:hint="eastAsia" w:ascii="黑体" w:hAnsi="黑体"/>
          <w:szCs w:val="18"/>
        </w:rPr>
        <w:t>不能接受的地坪完成效果，如图10.1所示：</w:t>
      </w:r>
    </w:p>
    <w:p w14:paraId="7E9D92C1">
      <w:pPr>
        <w:jc w:val="left"/>
        <w:rPr>
          <w:rFonts w:ascii="黑体" w:hAnsi="黑体"/>
          <w:szCs w:val="18"/>
        </w:rPr>
      </w:pPr>
      <w:r>
        <w:rPr>
          <w:rFonts w:hint="eastAsia" w:ascii="黑体" w:hAnsi="黑体"/>
          <w:szCs w:val="18"/>
        </w:rPr>
        <w:drawing>
          <wp:inline distT="0" distB="0" distL="0" distR="0">
            <wp:extent cx="4256405" cy="3192780"/>
            <wp:effectExtent l="19050" t="0" r="0" b="0"/>
            <wp:docPr id="5" name="图片 7" descr="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0606.JPG"/>
                    <pic:cNvPicPr>
                      <a:picLocks noChangeAspect="1"/>
                    </pic:cNvPicPr>
                  </pic:nvPicPr>
                  <pic:blipFill>
                    <a:blip r:embed="rId58" cstate="print"/>
                    <a:stretch>
                      <a:fillRect/>
                    </a:stretch>
                  </pic:blipFill>
                  <pic:spPr>
                    <a:xfrm>
                      <a:off x="0" y="0"/>
                      <a:ext cx="4258066" cy="3193805"/>
                    </a:xfrm>
                    <a:prstGeom prst="rect">
                      <a:avLst/>
                    </a:prstGeom>
                  </pic:spPr>
                </pic:pic>
              </a:graphicData>
            </a:graphic>
          </wp:inline>
        </w:drawing>
      </w:r>
    </w:p>
    <w:p w14:paraId="7E07EC54">
      <w:pPr>
        <w:jc w:val="left"/>
        <w:rPr>
          <w:rFonts w:ascii="黑体" w:hAnsi="黑体"/>
          <w:szCs w:val="18"/>
        </w:rPr>
      </w:pPr>
      <w:r>
        <w:rPr>
          <w:rFonts w:hint="eastAsia" w:ascii="黑体" w:hAnsi="黑体"/>
          <w:szCs w:val="18"/>
        </w:rPr>
        <w:t>图10.1</w:t>
      </w:r>
    </w:p>
    <w:p w14:paraId="458A9F64">
      <w:pPr>
        <w:pStyle w:val="97"/>
        <w:rPr>
          <w:b/>
        </w:rPr>
      </w:pPr>
      <w:r>
        <w:rPr>
          <w:rFonts w:hint="eastAsia"/>
          <w:b/>
        </w:rPr>
        <w:t>非金属骨料耐磨硬化地面技术要求</w:t>
      </w:r>
    </w:p>
    <w:p w14:paraId="6BD41E24">
      <w:pPr>
        <w:pStyle w:val="111"/>
        <w:ind w:left="1276"/>
        <w:jc w:val="left"/>
      </w:pPr>
      <w:r>
        <w:t>使用范围</w:t>
      </w:r>
      <w:r>
        <w:rPr>
          <w:rFonts w:hint="eastAsia"/>
        </w:rPr>
        <w:t>：有特殊耐磨要求的区域，如物流、仓库、工厂生产等区域，具体以设计交付标准和施工图为准。</w:t>
      </w:r>
    </w:p>
    <w:p w14:paraId="1F5827F5">
      <w:pPr>
        <w:pStyle w:val="111"/>
        <w:ind w:left="1276"/>
        <w:jc w:val="left"/>
      </w:pPr>
      <w:r>
        <w:rPr>
          <w:rFonts w:hint="eastAsia"/>
        </w:rPr>
        <w:t>非金属骨料耐磨硬化地面除执行上述8</w:t>
      </w:r>
      <w:r>
        <w:t>.6.1</w:t>
      </w:r>
      <w:r>
        <w:rPr>
          <w:rFonts w:hint="eastAsia"/>
        </w:rPr>
        <w:t>~</w:t>
      </w:r>
      <w:r>
        <w:t>11节</w:t>
      </w:r>
      <w:r>
        <w:rPr>
          <w:rFonts w:hint="eastAsia"/>
        </w:rPr>
        <w:t>的技术要求外，还应符合《混凝土地面用水泥基耐磨材料（JC</w:t>
      </w:r>
      <w:r>
        <w:t xml:space="preserve">/T </w:t>
      </w:r>
      <w:r>
        <w:rPr>
          <w:rFonts w:hint="eastAsia"/>
        </w:rPr>
        <w:t>906）</w:t>
      </w:r>
      <w:r>
        <w:t>》</w:t>
      </w:r>
      <w:r>
        <w:rPr>
          <w:rFonts w:hint="eastAsia"/>
        </w:rPr>
        <w:t>相关技术要求，如下表所示：</w:t>
      </w:r>
    </w:p>
    <w:p w14:paraId="79CA840B">
      <w:pPr>
        <w:pStyle w:val="49"/>
        <w:spacing w:line="400" w:lineRule="exact"/>
        <w:ind w:left="900" w:right="480" w:firstLine="0" w:firstLineChars="0"/>
        <w:jc w:val="left"/>
        <w:rPr>
          <w:rFonts w:ascii="黑体" w:hAnsi="黑体"/>
          <w:szCs w:val="18"/>
        </w:rPr>
      </w:pPr>
      <w:r>
        <w:rPr>
          <w:rFonts w:hint="eastAsia" w:ascii="黑体" w:hAnsi="黑体"/>
          <w:szCs w:val="18"/>
        </w:rPr>
        <w:t>表11.1</w:t>
      </w:r>
    </w:p>
    <w:tbl>
      <w:tblPr>
        <w:tblStyle w:val="37"/>
        <w:tblW w:w="4284"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2962"/>
        <w:gridCol w:w="2756"/>
        <w:gridCol w:w="1743"/>
      </w:tblGrid>
      <w:tr w14:paraId="4A2F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82" w:type="pct"/>
            <w:shd w:val="clear" w:color="auto" w:fill="F1F1F1" w:themeFill="background1" w:themeFillShade="F2"/>
            <w:vAlign w:val="center"/>
          </w:tcPr>
          <w:p w14:paraId="07D496E2">
            <w:pPr>
              <w:autoSpaceDE w:val="0"/>
              <w:autoSpaceDN w:val="0"/>
              <w:adjustRightInd w:val="0"/>
              <w:spacing w:line="400" w:lineRule="atLeast"/>
              <w:jc w:val="left"/>
              <w:rPr>
                <w:rFonts w:ascii="黑体" w:hAnsi="黑体"/>
                <w:b/>
                <w:szCs w:val="18"/>
              </w:rPr>
            </w:pPr>
            <w:r>
              <w:rPr>
                <w:rFonts w:hint="eastAsia" w:ascii="黑体" w:hAnsi="黑体"/>
                <w:b/>
                <w:szCs w:val="18"/>
              </w:rPr>
              <w:t>编号</w:t>
            </w:r>
          </w:p>
        </w:tc>
        <w:tc>
          <w:tcPr>
            <w:tcW w:w="1754" w:type="pct"/>
            <w:shd w:val="clear" w:color="auto" w:fill="F1F1F1" w:themeFill="background1" w:themeFillShade="F2"/>
            <w:vAlign w:val="center"/>
          </w:tcPr>
          <w:p w14:paraId="3ADBCF6D">
            <w:pPr>
              <w:autoSpaceDE w:val="0"/>
              <w:autoSpaceDN w:val="0"/>
              <w:adjustRightInd w:val="0"/>
              <w:spacing w:line="400" w:lineRule="atLeast"/>
              <w:jc w:val="left"/>
              <w:rPr>
                <w:rFonts w:ascii="黑体" w:hAnsi="黑体"/>
                <w:b/>
                <w:szCs w:val="18"/>
              </w:rPr>
            </w:pPr>
            <w:r>
              <w:rPr>
                <w:rFonts w:hint="eastAsia" w:ascii="黑体" w:hAnsi="黑体"/>
                <w:b/>
                <w:szCs w:val="18"/>
              </w:rPr>
              <w:t>项 目</w:t>
            </w:r>
          </w:p>
        </w:tc>
        <w:tc>
          <w:tcPr>
            <w:tcW w:w="1632" w:type="pct"/>
            <w:shd w:val="clear" w:color="auto" w:fill="F1F1F1" w:themeFill="background1" w:themeFillShade="F2"/>
            <w:vAlign w:val="center"/>
          </w:tcPr>
          <w:p w14:paraId="6FEB6A4D">
            <w:pPr>
              <w:autoSpaceDE w:val="0"/>
              <w:autoSpaceDN w:val="0"/>
              <w:adjustRightInd w:val="0"/>
              <w:spacing w:line="400" w:lineRule="atLeast"/>
              <w:jc w:val="left"/>
              <w:rPr>
                <w:rFonts w:ascii="黑体" w:hAnsi="黑体"/>
                <w:b/>
                <w:szCs w:val="18"/>
              </w:rPr>
            </w:pPr>
            <w:r>
              <w:rPr>
                <w:rFonts w:hint="eastAsia" w:ascii="黑体" w:hAnsi="黑体"/>
                <w:b/>
                <w:szCs w:val="18"/>
              </w:rPr>
              <w:t>技术要求</w:t>
            </w:r>
          </w:p>
        </w:tc>
        <w:tc>
          <w:tcPr>
            <w:tcW w:w="1032" w:type="pct"/>
            <w:shd w:val="clear" w:color="auto" w:fill="F1F1F1" w:themeFill="background1" w:themeFillShade="F2"/>
            <w:vAlign w:val="center"/>
          </w:tcPr>
          <w:p w14:paraId="44C80077">
            <w:pPr>
              <w:autoSpaceDE w:val="0"/>
              <w:autoSpaceDN w:val="0"/>
              <w:adjustRightInd w:val="0"/>
              <w:spacing w:line="400" w:lineRule="atLeast"/>
              <w:jc w:val="left"/>
              <w:rPr>
                <w:rFonts w:ascii="黑体" w:hAnsi="黑体"/>
                <w:b/>
                <w:szCs w:val="18"/>
              </w:rPr>
            </w:pPr>
            <w:r>
              <w:rPr>
                <w:rFonts w:hint="eastAsia" w:ascii="黑体" w:hAnsi="黑体"/>
                <w:b/>
                <w:szCs w:val="18"/>
              </w:rPr>
              <w:t>执行标准</w:t>
            </w:r>
          </w:p>
        </w:tc>
      </w:tr>
      <w:tr w14:paraId="43D0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6CD91BE6">
            <w:pPr>
              <w:autoSpaceDE w:val="0"/>
              <w:autoSpaceDN w:val="0"/>
              <w:adjustRightInd w:val="0"/>
              <w:spacing w:line="400" w:lineRule="atLeast"/>
              <w:jc w:val="left"/>
              <w:rPr>
                <w:rFonts w:ascii="黑体" w:hAnsi="黑体"/>
                <w:szCs w:val="18"/>
              </w:rPr>
            </w:pPr>
            <w:r>
              <w:rPr>
                <w:rFonts w:hint="eastAsia" w:ascii="黑体" w:hAnsi="黑体"/>
                <w:szCs w:val="18"/>
              </w:rPr>
              <w:t>1</w:t>
            </w:r>
          </w:p>
        </w:tc>
        <w:tc>
          <w:tcPr>
            <w:tcW w:w="1754" w:type="pct"/>
            <w:shd w:val="clear" w:color="auto" w:fill="FFFFFF" w:themeFill="background1"/>
            <w:vAlign w:val="center"/>
          </w:tcPr>
          <w:p w14:paraId="2D9147FB">
            <w:pPr>
              <w:autoSpaceDE w:val="0"/>
              <w:autoSpaceDN w:val="0"/>
              <w:adjustRightInd w:val="0"/>
              <w:spacing w:line="400" w:lineRule="atLeast"/>
              <w:jc w:val="left"/>
              <w:rPr>
                <w:rFonts w:ascii="黑体" w:hAnsi="黑体"/>
                <w:szCs w:val="18"/>
              </w:rPr>
            </w:pPr>
            <w:r>
              <w:rPr>
                <w:rFonts w:hint="eastAsia" w:ascii="黑体" w:hAnsi="黑体"/>
                <w:szCs w:val="18"/>
              </w:rPr>
              <w:t>非金属耐磨材料用量，kg/m2</w:t>
            </w:r>
          </w:p>
        </w:tc>
        <w:tc>
          <w:tcPr>
            <w:tcW w:w="1632" w:type="pct"/>
            <w:shd w:val="clear" w:color="auto" w:fill="FFFFFF" w:themeFill="background1"/>
            <w:vAlign w:val="center"/>
          </w:tcPr>
          <w:p w14:paraId="73794722">
            <w:pPr>
              <w:autoSpaceDE w:val="0"/>
              <w:autoSpaceDN w:val="0"/>
              <w:adjustRightInd w:val="0"/>
              <w:spacing w:line="400" w:lineRule="atLeast"/>
              <w:jc w:val="left"/>
              <w:rPr>
                <w:rFonts w:ascii="黑体" w:hAnsi="黑体"/>
                <w:szCs w:val="18"/>
              </w:rPr>
            </w:pPr>
            <w:r>
              <w:rPr>
                <w:rFonts w:hint="eastAsia" w:ascii="黑体" w:hAnsi="黑体"/>
                <w:szCs w:val="18"/>
              </w:rPr>
              <w:t>≥5</w:t>
            </w:r>
          </w:p>
        </w:tc>
        <w:tc>
          <w:tcPr>
            <w:tcW w:w="1032" w:type="pct"/>
            <w:shd w:val="clear" w:color="auto" w:fill="FFFFFF" w:themeFill="background1"/>
          </w:tcPr>
          <w:p w14:paraId="586E6BBC">
            <w:pPr>
              <w:autoSpaceDE w:val="0"/>
              <w:autoSpaceDN w:val="0"/>
              <w:adjustRightInd w:val="0"/>
              <w:spacing w:line="400" w:lineRule="atLeast"/>
              <w:jc w:val="left"/>
              <w:rPr>
                <w:rFonts w:ascii="黑体" w:hAnsi="黑体"/>
                <w:szCs w:val="18"/>
              </w:rPr>
            </w:pPr>
          </w:p>
        </w:tc>
      </w:tr>
      <w:tr w14:paraId="7E53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1FD2211A">
            <w:pPr>
              <w:autoSpaceDE w:val="0"/>
              <w:autoSpaceDN w:val="0"/>
              <w:adjustRightInd w:val="0"/>
              <w:spacing w:line="400" w:lineRule="atLeast"/>
              <w:jc w:val="left"/>
              <w:rPr>
                <w:rFonts w:ascii="黑体" w:hAnsi="黑体"/>
                <w:szCs w:val="18"/>
              </w:rPr>
            </w:pPr>
            <w:r>
              <w:rPr>
                <w:rFonts w:hint="eastAsia" w:ascii="黑体" w:hAnsi="黑体"/>
                <w:szCs w:val="18"/>
              </w:rPr>
              <w:t>2</w:t>
            </w:r>
          </w:p>
        </w:tc>
        <w:tc>
          <w:tcPr>
            <w:tcW w:w="1754" w:type="pct"/>
            <w:shd w:val="clear" w:color="auto" w:fill="FFFFFF" w:themeFill="background1"/>
            <w:vAlign w:val="center"/>
          </w:tcPr>
          <w:p w14:paraId="29B06C80">
            <w:pPr>
              <w:autoSpaceDE w:val="0"/>
              <w:autoSpaceDN w:val="0"/>
              <w:adjustRightInd w:val="0"/>
              <w:spacing w:line="400" w:lineRule="atLeast"/>
              <w:jc w:val="left"/>
              <w:rPr>
                <w:rFonts w:ascii="黑体" w:hAnsi="黑体"/>
                <w:szCs w:val="18"/>
              </w:rPr>
            </w:pPr>
            <w:r>
              <w:rPr>
                <w:rFonts w:hint="eastAsia" w:ascii="黑体" w:hAnsi="黑体"/>
                <w:szCs w:val="18"/>
              </w:rPr>
              <w:t>外观</w:t>
            </w:r>
          </w:p>
        </w:tc>
        <w:tc>
          <w:tcPr>
            <w:tcW w:w="1632" w:type="pct"/>
            <w:shd w:val="clear" w:color="auto" w:fill="FFFFFF" w:themeFill="background1"/>
            <w:vAlign w:val="center"/>
          </w:tcPr>
          <w:p w14:paraId="74C67D7C">
            <w:pPr>
              <w:autoSpaceDE w:val="0"/>
              <w:autoSpaceDN w:val="0"/>
              <w:adjustRightInd w:val="0"/>
              <w:spacing w:line="400" w:lineRule="atLeast"/>
              <w:jc w:val="left"/>
              <w:rPr>
                <w:rFonts w:ascii="黑体" w:hAnsi="黑体"/>
                <w:szCs w:val="18"/>
              </w:rPr>
            </w:pPr>
            <w:r>
              <w:rPr>
                <w:rFonts w:hint="eastAsia" w:ascii="黑体" w:hAnsi="黑体"/>
                <w:szCs w:val="18"/>
              </w:rPr>
              <w:t>均匀、无结块</w:t>
            </w:r>
          </w:p>
        </w:tc>
        <w:tc>
          <w:tcPr>
            <w:tcW w:w="1032" w:type="pct"/>
            <w:shd w:val="clear" w:color="auto" w:fill="FFFFFF" w:themeFill="background1"/>
          </w:tcPr>
          <w:p w14:paraId="770D4B0A">
            <w:pPr>
              <w:autoSpaceDE w:val="0"/>
              <w:autoSpaceDN w:val="0"/>
              <w:adjustRightInd w:val="0"/>
              <w:spacing w:line="400" w:lineRule="atLeast"/>
              <w:jc w:val="left"/>
              <w:rPr>
                <w:rFonts w:ascii="黑体" w:hAnsi="黑体"/>
                <w:szCs w:val="18"/>
              </w:rPr>
            </w:pPr>
            <w:r>
              <w:rPr>
                <w:rFonts w:hint="eastAsia" w:ascii="黑体" w:hAnsi="黑体"/>
                <w:szCs w:val="18"/>
              </w:rPr>
              <w:t>JC/T 906</w:t>
            </w:r>
          </w:p>
        </w:tc>
      </w:tr>
      <w:tr w14:paraId="0876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641AF081">
            <w:pPr>
              <w:autoSpaceDE w:val="0"/>
              <w:autoSpaceDN w:val="0"/>
              <w:adjustRightInd w:val="0"/>
              <w:spacing w:line="400" w:lineRule="atLeast"/>
              <w:jc w:val="left"/>
              <w:rPr>
                <w:rFonts w:ascii="黑体" w:hAnsi="黑体"/>
                <w:szCs w:val="18"/>
              </w:rPr>
            </w:pPr>
            <w:r>
              <w:rPr>
                <w:rFonts w:hint="eastAsia" w:ascii="黑体" w:hAnsi="黑体"/>
                <w:szCs w:val="18"/>
              </w:rPr>
              <w:t>3</w:t>
            </w:r>
          </w:p>
        </w:tc>
        <w:tc>
          <w:tcPr>
            <w:tcW w:w="1754" w:type="pct"/>
            <w:shd w:val="clear" w:color="auto" w:fill="FFFFFF" w:themeFill="background1"/>
            <w:vAlign w:val="center"/>
          </w:tcPr>
          <w:p w14:paraId="4E442909">
            <w:pPr>
              <w:autoSpaceDE w:val="0"/>
              <w:autoSpaceDN w:val="0"/>
              <w:adjustRightInd w:val="0"/>
              <w:spacing w:line="400" w:lineRule="atLeast"/>
              <w:jc w:val="left"/>
              <w:rPr>
                <w:rFonts w:ascii="黑体" w:hAnsi="黑体"/>
                <w:szCs w:val="18"/>
              </w:rPr>
            </w:pPr>
            <w:r>
              <w:rPr>
                <w:rFonts w:hint="eastAsia" w:ascii="黑体" w:hAnsi="黑体"/>
                <w:szCs w:val="18"/>
              </w:rPr>
              <w:t>抗折强度，28d，MPa</w:t>
            </w:r>
          </w:p>
        </w:tc>
        <w:tc>
          <w:tcPr>
            <w:tcW w:w="1632" w:type="pct"/>
            <w:shd w:val="clear" w:color="auto" w:fill="FFFFFF" w:themeFill="background1"/>
            <w:vAlign w:val="center"/>
          </w:tcPr>
          <w:p w14:paraId="52752C43">
            <w:pPr>
              <w:autoSpaceDE w:val="0"/>
              <w:autoSpaceDN w:val="0"/>
              <w:adjustRightInd w:val="0"/>
              <w:spacing w:line="400" w:lineRule="atLeast"/>
              <w:jc w:val="left"/>
              <w:rPr>
                <w:rFonts w:ascii="黑体" w:hAnsi="黑体"/>
                <w:szCs w:val="18"/>
              </w:rPr>
            </w:pPr>
            <w:r>
              <w:rPr>
                <w:rFonts w:ascii="黑体" w:hAnsi="黑体"/>
                <w:szCs w:val="18"/>
              </w:rPr>
              <w:t>≥11.</w:t>
            </w:r>
            <w:r>
              <w:rPr>
                <w:rFonts w:hint="eastAsia" w:ascii="黑体" w:hAnsi="黑体"/>
                <w:szCs w:val="18"/>
              </w:rPr>
              <w:t>5</w:t>
            </w:r>
          </w:p>
        </w:tc>
        <w:tc>
          <w:tcPr>
            <w:tcW w:w="1032" w:type="pct"/>
            <w:shd w:val="clear" w:color="auto" w:fill="FFFFFF" w:themeFill="background1"/>
          </w:tcPr>
          <w:p w14:paraId="026807F9">
            <w:pPr>
              <w:jc w:val="left"/>
              <w:rPr>
                <w:rFonts w:ascii="黑体" w:hAnsi="黑体"/>
                <w:szCs w:val="18"/>
              </w:rPr>
            </w:pPr>
            <w:r>
              <w:rPr>
                <w:rFonts w:hint="eastAsia" w:ascii="黑体" w:hAnsi="黑体"/>
                <w:szCs w:val="18"/>
              </w:rPr>
              <w:t>JC/T 906</w:t>
            </w:r>
          </w:p>
        </w:tc>
      </w:tr>
      <w:tr w14:paraId="4446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655AAAE6">
            <w:pPr>
              <w:autoSpaceDE w:val="0"/>
              <w:autoSpaceDN w:val="0"/>
              <w:adjustRightInd w:val="0"/>
              <w:spacing w:line="400" w:lineRule="atLeast"/>
              <w:jc w:val="left"/>
              <w:rPr>
                <w:rFonts w:ascii="黑体" w:hAnsi="黑体"/>
                <w:szCs w:val="18"/>
              </w:rPr>
            </w:pPr>
            <w:r>
              <w:rPr>
                <w:rFonts w:hint="eastAsia" w:ascii="黑体" w:hAnsi="黑体"/>
                <w:szCs w:val="18"/>
              </w:rPr>
              <w:t>4</w:t>
            </w:r>
          </w:p>
        </w:tc>
        <w:tc>
          <w:tcPr>
            <w:tcW w:w="1754" w:type="pct"/>
            <w:shd w:val="clear" w:color="auto" w:fill="FFFFFF" w:themeFill="background1"/>
            <w:vAlign w:val="center"/>
          </w:tcPr>
          <w:p w14:paraId="272F1F38">
            <w:pPr>
              <w:autoSpaceDE w:val="0"/>
              <w:autoSpaceDN w:val="0"/>
              <w:adjustRightInd w:val="0"/>
              <w:spacing w:line="400" w:lineRule="atLeast"/>
              <w:jc w:val="left"/>
              <w:rPr>
                <w:rFonts w:ascii="黑体" w:hAnsi="黑体"/>
                <w:szCs w:val="18"/>
              </w:rPr>
            </w:pPr>
            <w:r>
              <w:rPr>
                <w:rFonts w:hint="eastAsia" w:ascii="黑体" w:hAnsi="黑体"/>
                <w:szCs w:val="18"/>
              </w:rPr>
              <w:t>抗压强度，28d，MPa</w:t>
            </w:r>
          </w:p>
        </w:tc>
        <w:tc>
          <w:tcPr>
            <w:tcW w:w="1632" w:type="pct"/>
            <w:shd w:val="clear" w:color="auto" w:fill="FFFFFF" w:themeFill="background1"/>
            <w:vAlign w:val="center"/>
          </w:tcPr>
          <w:p w14:paraId="2FF6D2F7">
            <w:pPr>
              <w:autoSpaceDE w:val="0"/>
              <w:autoSpaceDN w:val="0"/>
              <w:adjustRightInd w:val="0"/>
              <w:spacing w:line="400" w:lineRule="atLeast"/>
              <w:jc w:val="left"/>
              <w:rPr>
                <w:rFonts w:ascii="黑体" w:hAnsi="黑体"/>
                <w:szCs w:val="18"/>
              </w:rPr>
            </w:pPr>
            <w:r>
              <w:rPr>
                <w:rFonts w:ascii="黑体" w:hAnsi="黑体"/>
                <w:szCs w:val="18"/>
              </w:rPr>
              <w:t>≥</w:t>
            </w:r>
            <w:r>
              <w:rPr>
                <w:rFonts w:hint="eastAsia" w:ascii="黑体" w:hAnsi="黑体"/>
                <w:szCs w:val="18"/>
              </w:rPr>
              <w:t>80</w:t>
            </w:r>
            <w:r>
              <w:rPr>
                <w:rFonts w:ascii="黑体" w:hAnsi="黑体"/>
                <w:szCs w:val="18"/>
              </w:rPr>
              <w:t>.</w:t>
            </w:r>
            <w:r>
              <w:rPr>
                <w:rFonts w:hint="eastAsia" w:ascii="黑体" w:hAnsi="黑体"/>
                <w:szCs w:val="18"/>
              </w:rPr>
              <w:t>0</w:t>
            </w:r>
          </w:p>
        </w:tc>
        <w:tc>
          <w:tcPr>
            <w:tcW w:w="1032" w:type="pct"/>
            <w:shd w:val="clear" w:color="auto" w:fill="FFFFFF" w:themeFill="background1"/>
          </w:tcPr>
          <w:p w14:paraId="3F1D7879">
            <w:pPr>
              <w:jc w:val="left"/>
              <w:rPr>
                <w:rFonts w:ascii="黑体" w:hAnsi="黑体"/>
                <w:szCs w:val="18"/>
              </w:rPr>
            </w:pPr>
            <w:r>
              <w:rPr>
                <w:rFonts w:hint="eastAsia" w:ascii="黑体" w:hAnsi="黑体"/>
                <w:szCs w:val="18"/>
              </w:rPr>
              <w:t>JC/T 906</w:t>
            </w:r>
          </w:p>
        </w:tc>
      </w:tr>
      <w:tr w14:paraId="718A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552C046C">
            <w:pPr>
              <w:autoSpaceDE w:val="0"/>
              <w:autoSpaceDN w:val="0"/>
              <w:adjustRightInd w:val="0"/>
              <w:spacing w:line="400" w:lineRule="atLeast"/>
              <w:jc w:val="left"/>
              <w:rPr>
                <w:rFonts w:ascii="黑体" w:hAnsi="黑体"/>
                <w:szCs w:val="18"/>
              </w:rPr>
            </w:pPr>
            <w:r>
              <w:rPr>
                <w:rFonts w:hint="eastAsia" w:ascii="黑体" w:hAnsi="黑体"/>
                <w:szCs w:val="18"/>
              </w:rPr>
              <w:t>5</w:t>
            </w:r>
          </w:p>
        </w:tc>
        <w:tc>
          <w:tcPr>
            <w:tcW w:w="1754" w:type="pct"/>
            <w:shd w:val="clear" w:color="auto" w:fill="FFFFFF" w:themeFill="background1"/>
            <w:vAlign w:val="center"/>
          </w:tcPr>
          <w:p w14:paraId="4A248FAA">
            <w:pPr>
              <w:autoSpaceDE w:val="0"/>
              <w:autoSpaceDN w:val="0"/>
              <w:adjustRightInd w:val="0"/>
              <w:spacing w:line="400" w:lineRule="atLeast"/>
              <w:jc w:val="left"/>
              <w:rPr>
                <w:rFonts w:ascii="黑体" w:hAnsi="黑体"/>
                <w:szCs w:val="18"/>
              </w:rPr>
            </w:pPr>
            <w:r>
              <w:rPr>
                <w:rFonts w:hint="eastAsia" w:ascii="黑体" w:hAnsi="黑体"/>
                <w:szCs w:val="18"/>
              </w:rPr>
              <w:t>耐磨度比，%</w:t>
            </w:r>
          </w:p>
        </w:tc>
        <w:tc>
          <w:tcPr>
            <w:tcW w:w="1632" w:type="pct"/>
            <w:shd w:val="clear" w:color="auto" w:fill="FFFFFF" w:themeFill="background1"/>
            <w:vAlign w:val="center"/>
          </w:tcPr>
          <w:p w14:paraId="7D6158C3">
            <w:pPr>
              <w:autoSpaceDE w:val="0"/>
              <w:autoSpaceDN w:val="0"/>
              <w:adjustRightInd w:val="0"/>
              <w:spacing w:line="400" w:lineRule="atLeast"/>
              <w:jc w:val="left"/>
              <w:rPr>
                <w:rFonts w:ascii="黑体" w:hAnsi="黑体"/>
                <w:szCs w:val="18"/>
              </w:rPr>
            </w:pPr>
            <w:r>
              <w:rPr>
                <w:rFonts w:hint="eastAsia" w:ascii="黑体" w:hAnsi="黑体"/>
                <w:szCs w:val="18"/>
              </w:rPr>
              <w:t>≥300</w:t>
            </w:r>
          </w:p>
        </w:tc>
        <w:tc>
          <w:tcPr>
            <w:tcW w:w="1032" w:type="pct"/>
            <w:shd w:val="clear" w:color="auto" w:fill="FFFFFF" w:themeFill="background1"/>
          </w:tcPr>
          <w:p w14:paraId="1937E779">
            <w:pPr>
              <w:jc w:val="left"/>
              <w:rPr>
                <w:rFonts w:ascii="黑体" w:hAnsi="黑体"/>
                <w:szCs w:val="18"/>
              </w:rPr>
            </w:pPr>
            <w:r>
              <w:rPr>
                <w:rFonts w:hint="eastAsia" w:ascii="黑体" w:hAnsi="黑体"/>
                <w:szCs w:val="18"/>
              </w:rPr>
              <w:t>JC/T 906</w:t>
            </w:r>
          </w:p>
        </w:tc>
      </w:tr>
      <w:tr w14:paraId="1BE5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73926EDA">
            <w:pPr>
              <w:autoSpaceDE w:val="0"/>
              <w:autoSpaceDN w:val="0"/>
              <w:adjustRightInd w:val="0"/>
              <w:spacing w:line="400" w:lineRule="atLeast"/>
              <w:jc w:val="left"/>
              <w:rPr>
                <w:rFonts w:ascii="黑体" w:hAnsi="黑体"/>
                <w:szCs w:val="18"/>
              </w:rPr>
            </w:pPr>
            <w:r>
              <w:rPr>
                <w:rFonts w:hint="eastAsia" w:ascii="黑体" w:hAnsi="黑体"/>
                <w:szCs w:val="18"/>
              </w:rPr>
              <w:t>6</w:t>
            </w:r>
          </w:p>
        </w:tc>
        <w:tc>
          <w:tcPr>
            <w:tcW w:w="1754" w:type="pct"/>
            <w:shd w:val="clear" w:color="auto" w:fill="FFFFFF" w:themeFill="background1"/>
            <w:vAlign w:val="center"/>
          </w:tcPr>
          <w:p w14:paraId="0544F116">
            <w:pPr>
              <w:autoSpaceDE w:val="0"/>
              <w:autoSpaceDN w:val="0"/>
              <w:adjustRightInd w:val="0"/>
              <w:spacing w:line="400" w:lineRule="atLeast"/>
              <w:jc w:val="left"/>
              <w:rPr>
                <w:rFonts w:ascii="黑体" w:hAnsi="黑体"/>
                <w:szCs w:val="18"/>
              </w:rPr>
            </w:pPr>
            <w:r>
              <w:rPr>
                <w:rFonts w:hint="eastAsia" w:ascii="黑体" w:hAnsi="黑体"/>
                <w:szCs w:val="18"/>
              </w:rPr>
              <w:t>表面强度（压痕直径），mm</w:t>
            </w:r>
          </w:p>
        </w:tc>
        <w:tc>
          <w:tcPr>
            <w:tcW w:w="1632" w:type="pct"/>
            <w:shd w:val="clear" w:color="auto" w:fill="FFFFFF" w:themeFill="background1"/>
            <w:vAlign w:val="center"/>
          </w:tcPr>
          <w:p w14:paraId="03560406">
            <w:pPr>
              <w:autoSpaceDE w:val="0"/>
              <w:autoSpaceDN w:val="0"/>
              <w:adjustRightInd w:val="0"/>
              <w:spacing w:line="400" w:lineRule="atLeast"/>
              <w:jc w:val="left"/>
              <w:rPr>
                <w:rFonts w:ascii="黑体" w:hAnsi="黑体"/>
                <w:szCs w:val="18"/>
              </w:rPr>
            </w:pPr>
            <w:r>
              <w:rPr>
                <w:rFonts w:hint="eastAsia" w:ascii="黑体" w:hAnsi="黑体"/>
                <w:szCs w:val="18"/>
              </w:rPr>
              <w:t>≤3.3</w:t>
            </w:r>
          </w:p>
        </w:tc>
        <w:tc>
          <w:tcPr>
            <w:tcW w:w="1032" w:type="pct"/>
            <w:shd w:val="clear" w:color="auto" w:fill="FFFFFF" w:themeFill="background1"/>
          </w:tcPr>
          <w:p w14:paraId="6ED373A3">
            <w:pPr>
              <w:jc w:val="left"/>
              <w:rPr>
                <w:rFonts w:ascii="黑体" w:hAnsi="黑体"/>
                <w:szCs w:val="18"/>
              </w:rPr>
            </w:pPr>
            <w:r>
              <w:rPr>
                <w:rFonts w:hint="eastAsia" w:ascii="黑体" w:hAnsi="黑体"/>
                <w:szCs w:val="18"/>
              </w:rPr>
              <w:t>JC/T 906</w:t>
            </w:r>
          </w:p>
        </w:tc>
      </w:tr>
      <w:tr w14:paraId="62FE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53C1CDDD">
            <w:pPr>
              <w:autoSpaceDE w:val="0"/>
              <w:autoSpaceDN w:val="0"/>
              <w:adjustRightInd w:val="0"/>
              <w:spacing w:line="400" w:lineRule="atLeast"/>
              <w:jc w:val="left"/>
              <w:rPr>
                <w:rFonts w:ascii="黑体" w:hAnsi="黑体"/>
                <w:szCs w:val="18"/>
              </w:rPr>
            </w:pPr>
            <w:r>
              <w:rPr>
                <w:rFonts w:hint="eastAsia" w:ascii="黑体" w:hAnsi="黑体"/>
                <w:szCs w:val="18"/>
              </w:rPr>
              <w:t>7</w:t>
            </w:r>
          </w:p>
        </w:tc>
        <w:tc>
          <w:tcPr>
            <w:tcW w:w="1754" w:type="pct"/>
            <w:shd w:val="clear" w:color="auto" w:fill="FFFFFF" w:themeFill="background1"/>
            <w:vAlign w:val="center"/>
          </w:tcPr>
          <w:p w14:paraId="2128A034">
            <w:pPr>
              <w:autoSpaceDE w:val="0"/>
              <w:autoSpaceDN w:val="0"/>
              <w:adjustRightInd w:val="0"/>
              <w:spacing w:line="400" w:lineRule="atLeast"/>
              <w:jc w:val="left"/>
              <w:rPr>
                <w:rFonts w:ascii="黑体" w:hAnsi="黑体"/>
                <w:szCs w:val="18"/>
              </w:rPr>
            </w:pPr>
            <w:r>
              <w:rPr>
                <w:rFonts w:hint="eastAsia" w:ascii="黑体" w:hAnsi="黑体"/>
                <w:szCs w:val="18"/>
              </w:rPr>
              <w:t>骨料含量偏差</w:t>
            </w:r>
          </w:p>
        </w:tc>
        <w:tc>
          <w:tcPr>
            <w:tcW w:w="1632" w:type="pct"/>
            <w:shd w:val="clear" w:color="auto" w:fill="FFFFFF" w:themeFill="background1"/>
            <w:vAlign w:val="center"/>
          </w:tcPr>
          <w:p w14:paraId="3190DDE5">
            <w:pPr>
              <w:autoSpaceDE w:val="0"/>
              <w:autoSpaceDN w:val="0"/>
              <w:adjustRightInd w:val="0"/>
              <w:spacing w:line="400" w:lineRule="atLeast"/>
              <w:jc w:val="left"/>
              <w:rPr>
                <w:rFonts w:ascii="黑体" w:hAnsi="黑体"/>
                <w:szCs w:val="18"/>
              </w:rPr>
            </w:pPr>
            <w:r>
              <w:rPr>
                <w:rFonts w:hint="eastAsia" w:ascii="黑体" w:hAnsi="黑体"/>
                <w:szCs w:val="18"/>
              </w:rPr>
              <w:t>厂家控制指标的±5%</w:t>
            </w:r>
          </w:p>
        </w:tc>
        <w:tc>
          <w:tcPr>
            <w:tcW w:w="1032" w:type="pct"/>
            <w:shd w:val="clear" w:color="auto" w:fill="FFFFFF" w:themeFill="background1"/>
          </w:tcPr>
          <w:p w14:paraId="4A01EE0F">
            <w:pPr>
              <w:autoSpaceDE w:val="0"/>
              <w:autoSpaceDN w:val="0"/>
              <w:adjustRightInd w:val="0"/>
              <w:spacing w:line="400" w:lineRule="atLeast"/>
              <w:jc w:val="left"/>
              <w:rPr>
                <w:rFonts w:ascii="黑体" w:hAnsi="黑体"/>
                <w:szCs w:val="18"/>
              </w:rPr>
            </w:pPr>
          </w:p>
        </w:tc>
      </w:tr>
      <w:tr w14:paraId="00A4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4684164E">
            <w:pPr>
              <w:autoSpaceDE w:val="0"/>
              <w:autoSpaceDN w:val="0"/>
              <w:adjustRightInd w:val="0"/>
              <w:spacing w:line="400" w:lineRule="atLeast"/>
              <w:jc w:val="left"/>
              <w:rPr>
                <w:rFonts w:ascii="黑体" w:hAnsi="黑体"/>
                <w:szCs w:val="18"/>
              </w:rPr>
            </w:pPr>
            <w:r>
              <w:rPr>
                <w:rFonts w:hint="eastAsia" w:ascii="黑体" w:hAnsi="黑体"/>
                <w:szCs w:val="18"/>
              </w:rPr>
              <w:t>8</w:t>
            </w:r>
          </w:p>
        </w:tc>
        <w:tc>
          <w:tcPr>
            <w:tcW w:w="1754" w:type="pct"/>
            <w:shd w:val="clear" w:color="auto" w:fill="FFFFFF" w:themeFill="background1"/>
            <w:vAlign w:val="center"/>
          </w:tcPr>
          <w:p w14:paraId="0C0931DA">
            <w:pPr>
              <w:autoSpaceDE w:val="0"/>
              <w:autoSpaceDN w:val="0"/>
              <w:adjustRightInd w:val="0"/>
              <w:spacing w:line="400" w:lineRule="atLeast"/>
              <w:jc w:val="left"/>
              <w:rPr>
                <w:rFonts w:ascii="黑体" w:hAnsi="黑体"/>
                <w:szCs w:val="18"/>
              </w:rPr>
            </w:pPr>
            <w:r>
              <w:rPr>
                <w:rFonts w:hint="eastAsia" w:ascii="黑体" w:hAnsi="黑体"/>
                <w:szCs w:val="18"/>
              </w:rPr>
              <w:t>颜色</w:t>
            </w:r>
          </w:p>
        </w:tc>
        <w:tc>
          <w:tcPr>
            <w:tcW w:w="1632" w:type="pct"/>
            <w:shd w:val="clear" w:color="auto" w:fill="FFFFFF" w:themeFill="background1"/>
            <w:vAlign w:val="center"/>
          </w:tcPr>
          <w:p w14:paraId="2CAD2D4E">
            <w:pPr>
              <w:autoSpaceDE w:val="0"/>
              <w:autoSpaceDN w:val="0"/>
              <w:adjustRightInd w:val="0"/>
              <w:spacing w:line="400" w:lineRule="atLeast"/>
              <w:jc w:val="left"/>
              <w:rPr>
                <w:rFonts w:ascii="黑体" w:hAnsi="黑体"/>
                <w:szCs w:val="18"/>
              </w:rPr>
            </w:pPr>
            <w:r>
              <w:rPr>
                <w:rFonts w:hint="eastAsia" w:ascii="黑体" w:hAnsi="黑体"/>
                <w:szCs w:val="18"/>
              </w:rPr>
              <w:t>近似~微</w:t>
            </w:r>
          </w:p>
        </w:tc>
        <w:tc>
          <w:tcPr>
            <w:tcW w:w="1032" w:type="pct"/>
            <w:shd w:val="clear" w:color="auto" w:fill="FFFFFF" w:themeFill="background1"/>
          </w:tcPr>
          <w:p w14:paraId="4309EBBC">
            <w:pPr>
              <w:autoSpaceDE w:val="0"/>
              <w:autoSpaceDN w:val="0"/>
              <w:adjustRightInd w:val="0"/>
              <w:spacing w:line="400" w:lineRule="atLeast"/>
              <w:jc w:val="left"/>
              <w:rPr>
                <w:rFonts w:ascii="黑体" w:hAnsi="黑体"/>
                <w:szCs w:val="18"/>
              </w:rPr>
            </w:pPr>
          </w:p>
        </w:tc>
      </w:tr>
      <w:tr w14:paraId="281B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shd w:val="clear" w:color="auto" w:fill="FFFFFF" w:themeFill="background1"/>
            <w:vAlign w:val="center"/>
          </w:tcPr>
          <w:p w14:paraId="3265EAE9">
            <w:pPr>
              <w:autoSpaceDE w:val="0"/>
              <w:autoSpaceDN w:val="0"/>
              <w:adjustRightInd w:val="0"/>
              <w:spacing w:line="400" w:lineRule="atLeast"/>
              <w:jc w:val="left"/>
              <w:rPr>
                <w:rFonts w:ascii="黑体" w:hAnsi="黑体"/>
                <w:szCs w:val="18"/>
              </w:rPr>
            </w:pPr>
            <w:r>
              <w:rPr>
                <w:rFonts w:hint="eastAsia" w:ascii="黑体" w:hAnsi="黑体"/>
                <w:szCs w:val="18"/>
              </w:rPr>
              <w:t>9</w:t>
            </w:r>
          </w:p>
        </w:tc>
        <w:tc>
          <w:tcPr>
            <w:tcW w:w="1754" w:type="pct"/>
            <w:shd w:val="clear" w:color="auto" w:fill="FFFFFF" w:themeFill="background1"/>
            <w:vAlign w:val="center"/>
          </w:tcPr>
          <w:p w14:paraId="0CD64ACD">
            <w:pPr>
              <w:autoSpaceDE w:val="0"/>
              <w:autoSpaceDN w:val="0"/>
              <w:adjustRightInd w:val="0"/>
              <w:spacing w:line="400" w:lineRule="atLeast"/>
              <w:jc w:val="left"/>
              <w:rPr>
                <w:rFonts w:ascii="黑体" w:hAnsi="黑体"/>
                <w:szCs w:val="18"/>
              </w:rPr>
            </w:pPr>
            <w:r>
              <w:rPr>
                <w:rFonts w:hint="eastAsia" w:ascii="黑体" w:hAnsi="黑体"/>
                <w:szCs w:val="18"/>
              </w:rPr>
              <w:t>施工温度范围</w:t>
            </w:r>
          </w:p>
        </w:tc>
        <w:tc>
          <w:tcPr>
            <w:tcW w:w="1632" w:type="pct"/>
            <w:shd w:val="clear" w:color="auto" w:fill="FFFFFF" w:themeFill="background1"/>
            <w:vAlign w:val="center"/>
          </w:tcPr>
          <w:p w14:paraId="6300FF38">
            <w:pPr>
              <w:autoSpaceDE w:val="0"/>
              <w:autoSpaceDN w:val="0"/>
              <w:adjustRightInd w:val="0"/>
              <w:spacing w:line="400" w:lineRule="atLeast"/>
              <w:jc w:val="left"/>
              <w:rPr>
                <w:rFonts w:ascii="黑体" w:hAnsi="黑体"/>
                <w:szCs w:val="18"/>
              </w:rPr>
            </w:pPr>
            <w:r>
              <w:rPr>
                <w:rFonts w:hint="eastAsia" w:ascii="黑体" w:hAnsi="黑体"/>
                <w:szCs w:val="18"/>
              </w:rPr>
              <w:t>+5℃≤T≤35℃</w:t>
            </w:r>
          </w:p>
        </w:tc>
        <w:tc>
          <w:tcPr>
            <w:tcW w:w="1032" w:type="pct"/>
            <w:shd w:val="clear" w:color="auto" w:fill="FFFFFF" w:themeFill="background1"/>
          </w:tcPr>
          <w:p w14:paraId="2951D76C">
            <w:pPr>
              <w:autoSpaceDE w:val="0"/>
              <w:autoSpaceDN w:val="0"/>
              <w:adjustRightInd w:val="0"/>
              <w:spacing w:line="400" w:lineRule="atLeast"/>
              <w:jc w:val="left"/>
              <w:rPr>
                <w:rFonts w:ascii="黑体" w:hAnsi="黑体"/>
                <w:szCs w:val="18"/>
              </w:rPr>
            </w:pPr>
          </w:p>
        </w:tc>
      </w:tr>
      <w:tr w14:paraId="4C9D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FFFFFF" w:themeFill="background1"/>
            <w:vAlign w:val="center"/>
          </w:tcPr>
          <w:p w14:paraId="35AAA7A5">
            <w:pPr>
              <w:autoSpaceDE w:val="0"/>
              <w:autoSpaceDN w:val="0"/>
              <w:adjustRightInd w:val="0"/>
              <w:spacing w:line="400" w:lineRule="atLeast"/>
              <w:jc w:val="left"/>
              <w:rPr>
                <w:rFonts w:ascii="黑体" w:hAnsi="黑体"/>
                <w:szCs w:val="18"/>
              </w:rPr>
            </w:pPr>
            <w:r>
              <w:rPr>
                <w:rFonts w:hint="eastAsia" w:ascii="黑体" w:hAnsi="黑体"/>
                <w:szCs w:val="18"/>
              </w:rPr>
              <w:t>备注：“近似”表示用肉眼基本看不出色差，“微”表示用肉眼看似乎有点色差。</w:t>
            </w:r>
          </w:p>
        </w:tc>
      </w:tr>
    </w:tbl>
    <w:p w14:paraId="2DFEF609">
      <w:pPr>
        <w:spacing w:line="400" w:lineRule="exact"/>
        <w:jc w:val="left"/>
        <w:rPr>
          <w:rFonts w:ascii="黑体" w:hAnsi="黑体"/>
          <w:szCs w:val="18"/>
        </w:rPr>
      </w:pPr>
    </w:p>
    <w:p w14:paraId="35745DD1">
      <w:pPr>
        <w:pStyle w:val="97"/>
        <w:rPr>
          <w:b/>
        </w:rPr>
      </w:pPr>
      <w:r>
        <w:rPr>
          <w:rFonts w:hint="eastAsia"/>
          <w:b/>
        </w:rPr>
        <w:t>其他规定</w:t>
      </w:r>
    </w:p>
    <w:p w14:paraId="70BE2D5E">
      <w:pPr>
        <w:spacing w:line="360" w:lineRule="auto"/>
        <w:ind w:left="729" w:leftChars="405"/>
        <w:jc w:val="left"/>
        <w:rPr>
          <w:rFonts w:ascii="黑体" w:hAnsi="黑体" w:cs="Arial"/>
          <w:szCs w:val="18"/>
        </w:rPr>
      </w:pPr>
      <w:r>
        <w:rPr>
          <w:rFonts w:hint="eastAsia" w:ascii="黑体" w:hAnsi="黑体" w:cs="宋体"/>
          <w:kern w:val="0"/>
          <w:szCs w:val="18"/>
        </w:rPr>
        <w:t>其他未尽事宜，以国家、行业规范、标准和规程为准。</w:t>
      </w:r>
    </w:p>
    <w:p w14:paraId="441C9311">
      <w:pPr>
        <w:pStyle w:val="49"/>
        <w:spacing w:line="360" w:lineRule="auto"/>
        <w:ind w:firstLineChars="0"/>
        <w:jc w:val="left"/>
        <w:rPr>
          <w:rFonts w:ascii="黑体" w:hAnsi="黑体" w:cs="宋体"/>
          <w:kern w:val="0"/>
          <w:szCs w:val="18"/>
        </w:rPr>
        <w:sectPr>
          <w:footerReference r:id="rId9" w:type="default"/>
          <w:pgSz w:w="11906" w:h="16838"/>
          <w:pgMar w:top="709" w:right="1133" w:bottom="720" w:left="1134" w:header="794" w:footer="490" w:gutter="0"/>
          <w:pgNumType w:fmt="decimal"/>
          <w:cols w:space="425" w:num="1"/>
          <w:docGrid w:type="lines" w:linePitch="312" w:charSpace="0"/>
        </w:sectPr>
      </w:pPr>
    </w:p>
    <w:p w14:paraId="21E22CA6">
      <w:pPr>
        <w:pStyle w:val="2"/>
        <w:ind w:left="365" w:hanging="365"/>
        <w:rPr>
          <w:sz w:val="21"/>
        </w:rPr>
      </w:pPr>
      <w:bookmarkStart w:id="116" w:name="_Toc174556823"/>
      <w:bookmarkStart w:id="117" w:name="_Toc399689015"/>
      <w:r>
        <w:rPr>
          <w:rFonts w:hint="eastAsia"/>
          <w:sz w:val="21"/>
        </w:rPr>
        <w:t>墙面</w:t>
      </w:r>
      <w:bookmarkEnd w:id="116"/>
      <w:bookmarkEnd w:id="117"/>
    </w:p>
    <w:p w14:paraId="45C4E683">
      <w:pPr>
        <w:pStyle w:val="3"/>
        <w:jc w:val="left"/>
      </w:pPr>
      <w:bookmarkStart w:id="118" w:name="_Toc174556824"/>
      <w:bookmarkStart w:id="119" w:name="_Toc399689016"/>
      <w:r>
        <w:rPr>
          <w:rFonts w:hint="eastAsia"/>
        </w:rPr>
        <w:t>概述</w:t>
      </w:r>
      <w:bookmarkEnd w:id="118"/>
      <w:bookmarkEnd w:id="119"/>
    </w:p>
    <w:p w14:paraId="3358970F">
      <w:pPr>
        <w:widowControl/>
        <w:spacing w:line="360" w:lineRule="auto"/>
        <w:ind w:left="729" w:leftChars="405"/>
        <w:jc w:val="left"/>
        <w:rPr>
          <w:rFonts w:ascii="黑体" w:hAnsi="黑体" w:cs="宋体"/>
          <w:kern w:val="0"/>
          <w:szCs w:val="18"/>
        </w:rPr>
      </w:pPr>
      <w:r>
        <w:rPr>
          <w:rFonts w:hint="eastAsia" w:ascii="黑体" w:hAnsi="黑体" w:cs="宋体"/>
          <w:kern w:val="0"/>
          <w:szCs w:val="18"/>
        </w:rPr>
        <w:t>本章节涉及内容包括外墙涂料、非幕墙区域的干挂石材、湿贴石材；室内的非精装区的墙面做法，包括乳胶漆、陶瓷砖、吸音墙面。</w:t>
      </w:r>
    </w:p>
    <w:p w14:paraId="19EFD726">
      <w:pPr>
        <w:widowControl/>
        <w:spacing w:line="360" w:lineRule="auto"/>
        <w:ind w:firstLine="318" w:firstLineChars="177"/>
        <w:jc w:val="left"/>
        <w:rPr>
          <w:rFonts w:ascii="黑体" w:hAnsi="黑体" w:cs="宋体"/>
          <w:kern w:val="0"/>
          <w:szCs w:val="18"/>
        </w:rPr>
      </w:pPr>
    </w:p>
    <w:p w14:paraId="1D7392B5">
      <w:pPr>
        <w:pStyle w:val="3"/>
        <w:jc w:val="left"/>
      </w:pPr>
      <w:bookmarkStart w:id="120" w:name="_Toc174556825"/>
      <w:bookmarkStart w:id="121" w:name="_Toc399689017"/>
      <w:r>
        <w:rPr>
          <w:rFonts w:hint="eastAsia"/>
        </w:rPr>
        <w:t>外墙涂料</w:t>
      </w:r>
      <w:bookmarkEnd w:id="120"/>
      <w:bookmarkEnd w:id="121"/>
    </w:p>
    <w:p w14:paraId="72FEA6A5">
      <w:pPr>
        <w:pStyle w:val="97"/>
        <w:rPr>
          <w:b/>
        </w:rPr>
      </w:pPr>
      <w:r>
        <w:rPr>
          <w:rFonts w:hint="eastAsia"/>
          <w:b/>
        </w:rPr>
        <w:t>使用部位</w:t>
      </w:r>
    </w:p>
    <w:p w14:paraId="66637BAD">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研发楼出屋面的机房外墙、构件外墙、女儿墙背面。</w:t>
      </w:r>
    </w:p>
    <w:p w14:paraId="385203F9">
      <w:pPr>
        <w:pStyle w:val="49"/>
        <w:spacing w:line="360" w:lineRule="auto"/>
        <w:ind w:left="284" w:firstLine="0" w:firstLineChars="0"/>
        <w:jc w:val="left"/>
        <w:rPr>
          <w:rFonts w:ascii="黑体" w:hAnsi="黑体" w:cs="宋体"/>
          <w:kern w:val="0"/>
          <w:szCs w:val="18"/>
        </w:rPr>
      </w:pPr>
    </w:p>
    <w:p w14:paraId="7B1E5EF1">
      <w:pPr>
        <w:pStyle w:val="97"/>
        <w:rPr>
          <w:b/>
        </w:rPr>
      </w:pPr>
      <w:r>
        <w:rPr>
          <w:b/>
        </w:rPr>
        <w:t>技术规范</w:t>
      </w:r>
      <w:r>
        <w:rPr>
          <w:rFonts w:hint="eastAsia"/>
          <w:b/>
        </w:rPr>
        <w:t>、规程、要求</w:t>
      </w:r>
    </w:p>
    <w:p w14:paraId="109E7BA4">
      <w:pPr>
        <w:pStyle w:val="111"/>
        <w:jc w:val="left"/>
      </w:pPr>
      <w:r>
        <w:rPr>
          <w:rFonts w:hint="eastAsia"/>
        </w:rPr>
        <w:t>相关技术规范规程</w:t>
      </w:r>
    </w:p>
    <w:p w14:paraId="22C36C0F">
      <w:pPr>
        <w:numPr>
          <w:ilvl w:val="0"/>
          <w:numId w:val="144"/>
        </w:numPr>
        <w:spacing w:line="360" w:lineRule="auto"/>
        <w:ind w:left="851"/>
        <w:jc w:val="left"/>
        <w:rPr>
          <w:rFonts w:ascii="黑体" w:hAnsi="黑体"/>
          <w:szCs w:val="18"/>
        </w:rPr>
      </w:pPr>
      <w:r>
        <w:rPr>
          <w:rFonts w:hint="eastAsia" w:ascii="黑体" w:hAnsi="黑体"/>
          <w:szCs w:val="18"/>
        </w:rPr>
        <w:t>《</w:t>
      </w:r>
      <w:r>
        <w:rPr>
          <w:rFonts w:ascii="黑体" w:hAnsi="黑体"/>
          <w:szCs w:val="18"/>
        </w:rPr>
        <w:t xml:space="preserve">建筑工程施工质量验收统一标准》GB50300 </w:t>
      </w:r>
    </w:p>
    <w:p w14:paraId="22F5137A">
      <w:pPr>
        <w:numPr>
          <w:ilvl w:val="0"/>
          <w:numId w:val="144"/>
        </w:numPr>
        <w:spacing w:line="360" w:lineRule="auto"/>
        <w:ind w:left="851"/>
        <w:jc w:val="left"/>
        <w:rPr>
          <w:rFonts w:ascii="黑体" w:hAnsi="黑体"/>
          <w:szCs w:val="18"/>
        </w:rPr>
      </w:pPr>
      <w:r>
        <w:rPr>
          <w:rFonts w:ascii="黑体" w:hAnsi="黑体"/>
          <w:szCs w:val="18"/>
        </w:rPr>
        <w:t xml:space="preserve">《建筑装饰装修工程质量验收规范》GB50210 </w:t>
      </w:r>
    </w:p>
    <w:p w14:paraId="5EA12A5B">
      <w:pPr>
        <w:numPr>
          <w:ilvl w:val="0"/>
          <w:numId w:val="144"/>
        </w:numPr>
        <w:spacing w:line="360" w:lineRule="auto"/>
        <w:ind w:left="851"/>
        <w:jc w:val="left"/>
        <w:rPr>
          <w:rFonts w:ascii="黑体" w:hAnsi="黑体"/>
          <w:szCs w:val="18"/>
        </w:rPr>
      </w:pPr>
      <w:r>
        <w:rPr>
          <w:rFonts w:ascii="黑体" w:hAnsi="黑体"/>
          <w:szCs w:val="18"/>
        </w:rPr>
        <w:t xml:space="preserve">《建筑涂饰工程施工及验收规程》JGJ/T 29 </w:t>
      </w:r>
    </w:p>
    <w:p w14:paraId="476147B5">
      <w:pPr>
        <w:numPr>
          <w:ilvl w:val="0"/>
          <w:numId w:val="144"/>
        </w:numPr>
        <w:spacing w:line="360" w:lineRule="auto"/>
        <w:ind w:left="851"/>
        <w:jc w:val="left"/>
        <w:rPr>
          <w:rFonts w:ascii="黑体" w:hAnsi="黑体"/>
          <w:szCs w:val="18"/>
        </w:rPr>
      </w:pPr>
      <w:r>
        <w:rPr>
          <w:rFonts w:ascii="黑体" w:hAnsi="黑体"/>
          <w:szCs w:val="18"/>
        </w:rPr>
        <w:t xml:space="preserve">《合成树脂乳液外墙涂料》GB/T 9755 </w:t>
      </w:r>
    </w:p>
    <w:p w14:paraId="626090F5">
      <w:pPr>
        <w:numPr>
          <w:ilvl w:val="0"/>
          <w:numId w:val="144"/>
        </w:numPr>
        <w:spacing w:line="360" w:lineRule="auto"/>
        <w:ind w:left="851"/>
        <w:jc w:val="left"/>
        <w:rPr>
          <w:rFonts w:ascii="黑体" w:hAnsi="黑体"/>
          <w:szCs w:val="18"/>
        </w:rPr>
      </w:pPr>
      <w:r>
        <w:rPr>
          <w:rFonts w:ascii="黑体" w:hAnsi="黑体"/>
          <w:szCs w:val="18"/>
        </w:rPr>
        <w:t xml:space="preserve">《弹性建筑涂料》JG/T 172 </w:t>
      </w:r>
    </w:p>
    <w:p w14:paraId="3C2AAA44">
      <w:pPr>
        <w:numPr>
          <w:ilvl w:val="0"/>
          <w:numId w:val="144"/>
        </w:numPr>
        <w:spacing w:line="360" w:lineRule="auto"/>
        <w:ind w:left="851"/>
        <w:jc w:val="left"/>
        <w:rPr>
          <w:rFonts w:ascii="黑体" w:hAnsi="黑体"/>
          <w:szCs w:val="18"/>
        </w:rPr>
      </w:pPr>
      <w:r>
        <w:rPr>
          <w:rFonts w:ascii="黑体" w:hAnsi="黑体"/>
          <w:szCs w:val="18"/>
        </w:rPr>
        <w:t>《建筑涂饰工程施工及验收规程》JGJ/T29</w:t>
      </w:r>
    </w:p>
    <w:p w14:paraId="2E2D42FA">
      <w:pPr>
        <w:numPr>
          <w:ilvl w:val="0"/>
          <w:numId w:val="144"/>
        </w:numPr>
        <w:spacing w:line="360" w:lineRule="auto"/>
        <w:ind w:left="851"/>
        <w:jc w:val="left"/>
        <w:rPr>
          <w:rFonts w:ascii="黑体" w:hAnsi="黑体"/>
          <w:szCs w:val="18"/>
        </w:rPr>
      </w:pPr>
      <w:r>
        <w:rPr>
          <w:rFonts w:ascii="黑体" w:hAnsi="黑体"/>
          <w:szCs w:val="18"/>
        </w:rPr>
        <w:t>《建筑外墙用腻子》JG/T 157</w:t>
      </w:r>
    </w:p>
    <w:p w14:paraId="3AB6C66F">
      <w:pPr>
        <w:spacing w:line="360" w:lineRule="auto"/>
        <w:ind w:left="420"/>
        <w:jc w:val="left"/>
        <w:rPr>
          <w:rFonts w:ascii="黑体" w:hAnsi="黑体" w:cs="Arial"/>
          <w:szCs w:val="18"/>
        </w:rPr>
      </w:pPr>
    </w:p>
    <w:p w14:paraId="7197693B">
      <w:pPr>
        <w:pStyle w:val="97"/>
        <w:rPr>
          <w:b/>
        </w:rPr>
      </w:pPr>
      <w:r>
        <w:rPr>
          <w:rFonts w:hint="eastAsia"/>
          <w:b/>
        </w:rPr>
        <w:t>材料要求</w:t>
      </w:r>
    </w:p>
    <w:p w14:paraId="35EA43C5">
      <w:pPr>
        <w:pStyle w:val="111"/>
        <w:jc w:val="left"/>
      </w:pPr>
      <w:r>
        <w:t>产</w:t>
      </w:r>
      <w:r>
        <w:rPr>
          <w:rFonts w:hint="eastAsia"/>
        </w:rPr>
        <w:t>品类型：柔性硅丙外墙乳胶涂料</w:t>
      </w:r>
    </w:p>
    <w:p w14:paraId="39E4AA46">
      <w:pPr>
        <w:pStyle w:val="111"/>
        <w:jc w:val="left"/>
      </w:pPr>
      <w:r>
        <w:t>材料相容性</w:t>
      </w:r>
      <w:r>
        <w:rPr>
          <w:rFonts w:hint="eastAsia"/>
        </w:rPr>
        <w:t>：</w:t>
      </w:r>
      <w:r>
        <w:t>涂料系统中的每种材料都应与其他材料和基底相容，相容性由制造商测试和现场实验证明。</w:t>
      </w:r>
    </w:p>
    <w:p w14:paraId="4F119218">
      <w:pPr>
        <w:pStyle w:val="111"/>
        <w:jc w:val="left"/>
      </w:pPr>
      <w:r>
        <w:rPr>
          <w:rFonts w:hint="eastAsia"/>
        </w:rPr>
        <w:t>性能要求：</w:t>
      </w:r>
    </w:p>
    <w:tbl>
      <w:tblPr>
        <w:tblStyle w:val="36"/>
        <w:tblW w:w="66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69"/>
        <w:gridCol w:w="3260"/>
      </w:tblGrid>
      <w:tr w14:paraId="3E893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2D4B53FB">
            <w:pPr>
              <w:widowControl/>
              <w:spacing w:line="360" w:lineRule="atLeast"/>
              <w:jc w:val="left"/>
              <w:rPr>
                <w:rFonts w:ascii="黑体" w:hAnsi="黑体" w:cs="宋体"/>
                <w:kern w:val="0"/>
                <w:szCs w:val="18"/>
              </w:rPr>
            </w:pPr>
            <w:r>
              <w:rPr>
                <w:rFonts w:ascii="黑体" w:hAnsi="黑体" w:cs="宋体"/>
                <w:kern w:val="0"/>
                <w:szCs w:val="18"/>
              </w:rPr>
              <w:t xml:space="preserve">检测项目 </w:t>
            </w:r>
          </w:p>
        </w:tc>
        <w:tc>
          <w:tcPr>
            <w:tcW w:w="3260" w:type="dxa"/>
          </w:tcPr>
          <w:p w14:paraId="05BE01E9">
            <w:pPr>
              <w:widowControl/>
              <w:spacing w:line="360" w:lineRule="atLeast"/>
              <w:jc w:val="left"/>
              <w:rPr>
                <w:rFonts w:ascii="黑体" w:hAnsi="黑体" w:cs="宋体"/>
                <w:kern w:val="0"/>
                <w:szCs w:val="18"/>
              </w:rPr>
            </w:pPr>
            <w:r>
              <w:rPr>
                <w:rFonts w:ascii="黑体" w:hAnsi="黑体" w:cs="宋体"/>
                <w:kern w:val="0"/>
                <w:szCs w:val="18"/>
              </w:rPr>
              <w:t xml:space="preserve">技术指标 </w:t>
            </w:r>
          </w:p>
        </w:tc>
      </w:tr>
      <w:tr w14:paraId="3C34D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296481FA">
            <w:pPr>
              <w:widowControl/>
              <w:spacing w:line="360" w:lineRule="atLeast"/>
              <w:jc w:val="left"/>
              <w:rPr>
                <w:rFonts w:ascii="黑体" w:hAnsi="黑体" w:cs="宋体"/>
                <w:kern w:val="0"/>
                <w:szCs w:val="18"/>
              </w:rPr>
            </w:pPr>
            <w:r>
              <w:rPr>
                <w:rFonts w:ascii="黑体" w:hAnsi="黑体" w:cs="宋体"/>
                <w:kern w:val="0"/>
                <w:szCs w:val="18"/>
              </w:rPr>
              <w:t xml:space="preserve">在容器中状态 </w:t>
            </w:r>
          </w:p>
        </w:tc>
        <w:tc>
          <w:tcPr>
            <w:tcW w:w="3260" w:type="dxa"/>
          </w:tcPr>
          <w:p w14:paraId="2A57748F">
            <w:pPr>
              <w:widowControl/>
              <w:spacing w:line="360" w:lineRule="atLeast"/>
              <w:jc w:val="left"/>
              <w:rPr>
                <w:rFonts w:ascii="黑体" w:hAnsi="黑体" w:cs="宋体"/>
                <w:kern w:val="0"/>
                <w:szCs w:val="18"/>
              </w:rPr>
            </w:pPr>
            <w:r>
              <w:rPr>
                <w:rFonts w:ascii="黑体" w:hAnsi="黑体" w:cs="宋体"/>
                <w:kern w:val="0"/>
                <w:szCs w:val="18"/>
              </w:rPr>
              <w:t xml:space="preserve">无硬块，搅拌呈均匀状态 </w:t>
            </w:r>
          </w:p>
        </w:tc>
      </w:tr>
      <w:tr w14:paraId="7B6D2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6604351C">
            <w:pPr>
              <w:widowControl/>
              <w:spacing w:line="360" w:lineRule="atLeast"/>
              <w:jc w:val="left"/>
              <w:rPr>
                <w:rFonts w:ascii="黑体" w:hAnsi="黑体" w:cs="宋体"/>
                <w:kern w:val="0"/>
                <w:szCs w:val="18"/>
              </w:rPr>
            </w:pPr>
            <w:r>
              <w:rPr>
                <w:rFonts w:ascii="黑体" w:hAnsi="黑体" w:cs="宋体"/>
                <w:kern w:val="0"/>
                <w:szCs w:val="18"/>
              </w:rPr>
              <w:t>施工性</w:t>
            </w:r>
          </w:p>
        </w:tc>
        <w:tc>
          <w:tcPr>
            <w:tcW w:w="3260" w:type="dxa"/>
          </w:tcPr>
          <w:p w14:paraId="68DC2E2E">
            <w:pPr>
              <w:widowControl/>
              <w:spacing w:line="360" w:lineRule="atLeast"/>
              <w:jc w:val="left"/>
              <w:rPr>
                <w:rFonts w:ascii="黑体" w:hAnsi="黑体" w:cs="宋体"/>
                <w:kern w:val="0"/>
                <w:szCs w:val="18"/>
              </w:rPr>
            </w:pPr>
            <w:r>
              <w:rPr>
                <w:rFonts w:ascii="黑体" w:hAnsi="黑体" w:cs="宋体"/>
                <w:kern w:val="0"/>
                <w:szCs w:val="18"/>
              </w:rPr>
              <w:t xml:space="preserve">刷涂第2道无障碍 </w:t>
            </w:r>
          </w:p>
        </w:tc>
      </w:tr>
      <w:tr w14:paraId="1EC2A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6076886D">
            <w:pPr>
              <w:widowControl/>
              <w:spacing w:line="360" w:lineRule="atLeast"/>
              <w:jc w:val="left"/>
              <w:rPr>
                <w:rFonts w:ascii="黑体" w:hAnsi="黑体" w:cs="宋体"/>
                <w:kern w:val="0"/>
                <w:szCs w:val="18"/>
              </w:rPr>
            </w:pPr>
            <w:r>
              <w:rPr>
                <w:rFonts w:ascii="黑体" w:hAnsi="黑体" w:cs="宋体"/>
                <w:kern w:val="0"/>
                <w:szCs w:val="18"/>
              </w:rPr>
              <w:t>外观</w:t>
            </w:r>
          </w:p>
        </w:tc>
        <w:tc>
          <w:tcPr>
            <w:tcW w:w="3260" w:type="dxa"/>
          </w:tcPr>
          <w:p w14:paraId="5D7C8C8A">
            <w:pPr>
              <w:widowControl/>
              <w:spacing w:line="360" w:lineRule="atLeast"/>
              <w:jc w:val="left"/>
              <w:rPr>
                <w:rFonts w:ascii="黑体" w:hAnsi="黑体" w:cs="宋体"/>
                <w:kern w:val="0"/>
                <w:szCs w:val="18"/>
              </w:rPr>
            </w:pPr>
            <w:r>
              <w:rPr>
                <w:rFonts w:ascii="黑体" w:hAnsi="黑体" w:cs="宋体"/>
                <w:kern w:val="0"/>
                <w:szCs w:val="18"/>
              </w:rPr>
              <w:t>正常</w:t>
            </w:r>
          </w:p>
        </w:tc>
      </w:tr>
      <w:tr w14:paraId="446AF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004A43E4">
            <w:pPr>
              <w:widowControl/>
              <w:spacing w:line="360" w:lineRule="atLeast"/>
              <w:jc w:val="left"/>
              <w:rPr>
                <w:rFonts w:ascii="黑体" w:hAnsi="黑体" w:cs="宋体"/>
                <w:kern w:val="0"/>
                <w:szCs w:val="18"/>
              </w:rPr>
            </w:pPr>
            <w:r>
              <w:rPr>
                <w:rFonts w:ascii="黑体" w:hAnsi="黑体" w:cs="宋体"/>
                <w:kern w:val="0"/>
                <w:szCs w:val="18"/>
              </w:rPr>
              <w:t xml:space="preserve">低温稳定性 </w:t>
            </w:r>
          </w:p>
        </w:tc>
        <w:tc>
          <w:tcPr>
            <w:tcW w:w="3260" w:type="dxa"/>
          </w:tcPr>
          <w:p w14:paraId="6B38E929">
            <w:pPr>
              <w:widowControl/>
              <w:spacing w:line="360" w:lineRule="atLeast"/>
              <w:jc w:val="left"/>
              <w:rPr>
                <w:rFonts w:ascii="黑体" w:hAnsi="黑体" w:cs="宋体"/>
                <w:kern w:val="0"/>
                <w:szCs w:val="18"/>
              </w:rPr>
            </w:pPr>
            <w:r>
              <w:rPr>
                <w:rFonts w:ascii="黑体" w:hAnsi="黑体" w:cs="宋体"/>
                <w:kern w:val="0"/>
                <w:szCs w:val="18"/>
              </w:rPr>
              <w:t xml:space="preserve">不变质 </w:t>
            </w:r>
          </w:p>
        </w:tc>
      </w:tr>
      <w:tr w14:paraId="48A34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0BCADD2A">
            <w:pPr>
              <w:widowControl/>
              <w:spacing w:line="360" w:lineRule="atLeast"/>
              <w:jc w:val="left"/>
              <w:rPr>
                <w:rFonts w:ascii="黑体" w:hAnsi="黑体" w:cs="宋体"/>
                <w:kern w:val="0"/>
                <w:szCs w:val="18"/>
              </w:rPr>
            </w:pPr>
            <w:r>
              <w:rPr>
                <w:rFonts w:ascii="黑体" w:hAnsi="黑体" w:cs="宋体"/>
                <w:kern w:val="0"/>
                <w:szCs w:val="18"/>
              </w:rPr>
              <w:t>对比率（白色和浅色）</w:t>
            </w:r>
          </w:p>
        </w:tc>
        <w:tc>
          <w:tcPr>
            <w:tcW w:w="3260" w:type="dxa"/>
          </w:tcPr>
          <w:p w14:paraId="74510BFD">
            <w:pPr>
              <w:widowControl/>
              <w:spacing w:line="360" w:lineRule="atLeast"/>
              <w:jc w:val="left"/>
              <w:rPr>
                <w:rFonts w:ascii="黑体" w:hAnsi="黑体" w:cs="宋体"/>
                <w:kern w:val="0"/>
                <w:szCs w:val="18"/>
              </w:rPr>
            </w:pPr>
            <w:r>
              <w:rPr>
                <w:rFonts w:ascii="黑体" w:hAnsi="黑体" w:cs="宋体"/>
                <w:kern w:val="0"/>
                <w:szCs w:val="18"/>
              </w:rPr>
              <w:t xml:space="preserve">≥0.87 </w:t>
            </w:r>
          </w:p>
        </w:tc>
      </w:tr>
      <w:tr w14:paraId="6E378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50909A2B">
            <w:pPr>
              <w:widowControl/>
              <w:spacing w:line="360" w:lineRule="atLeast"/>
              <w:jc w:val="left"/>
              <w:rPr>
                <w:rFonts w:ascii="黑体" w:hAnsi="黑体" w:cs="宋体"/>
                <w:kern w:val="0"/>
                <w:szCs w:val="18"/>
              </w:rPr>
            </w:pPr>
            <w:r>
              <w:rPr>
                <w:rFonts w:ascii="黑体" w:hAnsi="黑体" w:cs="宋体"/>
                <w:kern w:val="0"/>
                <w:szCs w:val="18"/>
              </w:rPr>
              <w:t>干燥时间（表干）/h</w:t>
            </w:r>
          </w:p>
        </w:tc>
        <w:tc>
          <w:tcPr>
            <w:tcW w:w="3260" w:type="dxa"/>
          </w:tcPr>
          <w:p w14:paraId="5EF0CF9E">
            <w:pPr>
              <w:widowControl/>
              <w:spacing w:line="360" w:lineRule="atLeast"/>
              <w:jc w:val="left"/>
              <w:rPr>
                <w:rFonts w:ascii="黑体" w:hAnsi="黑体" w:cs="宋体"/>
                <w:kern w:val="0"/>
                <w:szCs w:val="18"/>
              </w:rPr>
            </w:pPr>
            <w:r>
              <w:rPr>
                <w:rFonts w:ascii="黑体" w:hAnsi="黑体" w:cs="宋体"/>
                <w:kern w:val="0"/>
                <w:szCs w:val="18"/>
              </w:rPr>
              <w:t>≤2</w:t>
            </w:r>
          </w:p>
        </w:tc>
      </w:tr>
      <w:tr w14:paraId="28AA5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5D81E5F3">
            <w:pPr>
              <w:widowControl/>
              <w:spacing w:line="360" w:lineRule="atLeast"/>
              <w:jc w:val="left"/>
              <w:rPr>
                <w:rFonts w:ascii="黑体" w:hAnsi="黑体" w:cs="宋体"/>
                <w:kern w:val="0"/>
                <w:szCs w:val="18"/>
              </w:rPr>
            </w:pPr>
            <w:r>
              <w:rPr>
                <w:rFonts w:ascii="黑体" w:hAnsi="黑体" w:cs="宋体"/>
                <w:kern w:val="0"/>
                <w:szCs w:val="18"/>
              </w:rPr>
              <w:t>耐水性（96h）</w:t>
            </w:r>
          </w:p>
        </w:tc>
        <w:tc>
          <w:tcPr>
            <w:tcW w:w="3260" w:type="dxa"/>
          </w:tcPr>
          <w:p w14:paraId="6DFBB883">
            <w:pPr>
              <w:widowControl/>
              <w:spacing w:line="360" w:lineRule="atLeast"/>
              <w:jc w:val="left"/>
              <w:rPr>
                <w:rFonts w:ascii="黑体" w:hAnsi="黑体" w:cs="宋体"/>
                <w:kern w:val="0"/>
                <w:szCs w:val="18"/>
              </w:rPr>
            </w:pPr>
            <w:r>
              <w:rPr>
                <w:rFonts w:ascii="黑体" w:hAnsi="黑体" w:cs="宋体"/>
                <w:kern w:val="0"/>
                <w:szCs w:val="18"/>
              </w:rPr>
              <w:t>无异常</w:t>
            </w:r>
          </w:p>
        </w:tc>
      </w:tr>
      <w:tr w14:paraId="18154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60BD97EC">
            <w:pPr>
              <w:widowControl/>
              <w:spacing w:line="360" w:lineRule="atLeast"/>
              <w:jc w:val="left"/>
              <w:rPr>
                <w:rFonts w:ascii="黑体" w:hAnsi="黑体" w:cs="宋体"/>
                <w:kern w:val="0"/>
                <w:szCs w:val="18"/>
              </w:rPr>
            </w:pPr>
            <w:r>
              <w:rPr>
                <w:rFonts w:ascii="黑体" w:hAnsi="黑体" w:cs="宋体"/>
                <w:kern w:val="0"/>
                <w:szCs w:val="18"/>
              </w:rPr>
              <w:t>耐碱性（48h）</w:t>
            </w:r>
          </w:p>
        </w:tc>
        <w:tc>
          <w:tcPr>
            <w:tcW w:w="3260" w:type="dxa"/>
          </w:tcPr>
          <w:p w14:paraId="3A35A84B">
            <w:pPr>
              <w:widowControl/>
              <w:spacing w:line="360" w:lineRule="atLeast"/>
              <w:jc w:val="left"/>
              <w:rPr>
                <w:rFonts w:ascii="黑体" w:hAnsi="黑体" w:cs="宋体"/>
                <w:kern w:val="0"/>
                <w:szCs w:val="18"/>
              </w:rPr>
            </w:pPr>
            <w:r>
              <w:rPr>
                <w:rFonts w:ascii="黑体" w:hAnsi="黑体" w:cs="宋体"/>
                <w:kern w:val="0"/>
                <w:szCs w:val="18"/>
              </w:rPr>
              <w:t xml:space="preserve">无异常 </w:t>
            </w:r>
          </w:p>
        </w:tc>
      </w:tr>
      <w:tr w14:paraId="07D7D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30ABFD32">
            <w:pPr>
              <w:widowControl/>
              <w:spacing w:line="360" w:lineRule="atLeast"/>
              <w:jc w:val="left"/>
              <w:rPr>
                <w:rFonts w:ascii="黑体" w:hAnsi="黑体" w:cs="宋体"/>
                <w:kern w:val="0"/>
                <w:szCs w:val="18"/>
              </w:rPr>
            </w:pPr>
            <w:r>
              <w:rPr>
                <w:rFonts w:ascii="黑体" w:hAnsi="黑体" w:cs="宋体"/>
                <w:kern w:val="0"/>
                <w:szCs w:val="18"/>
              </w:rPr>
              <w:t>耐洗刷性/次</w:t>
            </w:r>
          </w:p>
        </w:tc>
        <w:tc>
          <w:tcPr>
            <w:tcW w:w="3260" w:type="dxa"/>
          </w:tcPr>
          <w:p w14:paraId="29A92428">
            <w:pPr>
              <w:widowControl/>
              <w:spacing w:line="360" w:lineRule="atLeast"/>
              <w:jc w:val="left"/>
              <w:rPr>
                <w:rFonts w:ascii="黑体" w:hAnsi="黑体" w:cs="宋体"/>
                <w:kern w:val="0"/>
                <w:szCs w:val="18"/>
              </w:rPr>
            </w:pPr>
            <w:r>
              <w:rPr>
                <w:rFonts w:ascii="黑体" w:hAnsi="黑体" w:cs="宋体"/>
                <w:kern w:val="0"/>
                <w:szCs w:val="18"/>
              </w:rPr>
              <w:t xml:space="preserve">≥500 </w:t>
            </w:r>
          </w:p>
        </w:tc>
      </w:tr>
      <w:tr w14:paraId="31D0A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6B6C093A">
            <w:pPr>
              <w:widowControl/>
              <w:spacing w:line="360" w:lineRule="atLeast"/>
              <w:jc w:val="left"/>
              <w:rPr>
                <w:rFonts w:ascii="黑体" w:hAnsi="黑体" w:cs="宋体"/>
                <w:kern w:val="0"/>
                <w:szCs w:val="18"/>
              </w:rPr>
            </w:pPr>
            <w:r>
              <w:rPr>
                <w:rFonts w:ascii="黑体" w:hAnsi="黑体" w:cs="宋体"/>
                <w:kern w:val="0"/>
                <w:szCs w:val="18"/>
              </w:rPr>
              <w:t xml:space="preserve">耐温变性（5次循环） </w:t>
            </w:r>
          </w:p>
        </w:tc>
        <w:tc>
          <w:tcPr>
            <w:tcW w:w="3260" w:type="dxa"/>
          </w:tcPr>
          <w:p w14:paraId="6235EEB3">
            <w:pPr>
              <w:widowControl/>
              <w:spacing w:line="360" w:lineRule="atLeast"/>
              <w:jc w:val="left"/>
              <w:rPr>
                <w:rFonts w:ascii="黑体" w:hAnsi="黑体" w:cs="宋体"/>
                <w:kern w:val="0"/>
                <w:szCs w:val="18"/>
              </w:rPr>
            </w:pPr>
            <w:r>
              <w:rPr>
                <w:rFonts w:ascii="黑体" w:hAnsi="黑体" w:cs="宋体"/>
                <w:kern w:val="0"/>
                <w:szCs w:val="18"/>
              </w:rPr>
              <w:t>无异常</w:t>
            </w:r>
          </w:p>
        </w:tc>
      </w:tr>
      <w:tr w14:paraId="13AEF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24452B99">
            <w:pPr>
              <w:widowControl/>
              <w:spacing w:line="360" w:lineRule="atLeast"/>
              <w:jc w:val="left"/>
              <w:rPr>
                <w:rFonts w:ascii="黑体" w:hAnsi="黑体" w:cs="宋体"/>
                <w:kern w:val="0"/>
                <w:szCs w:val="18"/>
              </w:rPr>
            </w:pPr>
            <w:r>
              <w:rPr>
                <w:rFonts w:ascii="黑体" w:hAnsi="黑体" w:cs="宋体"/>
                <w:kern w:val="0"/>
                <w:szCs w:val="18"/>
              </w:rPr>
              <w:t xml:space="preserve">耐沾污性（白色和浅色）/% </w:t>
            </w:r>
          </w:p>
        </w:tc>
        <w:tc>
          <w:tcPr>
            <w:tcW w:w="3260" w:type="dxa"/>
          </w:tcPr>
          <w:p w14:paraId="764B15AE">
            <w:pPr>
              <w:widowControl/>
              <w:spacing w:line="360" w:lineRule="atLeast"/>
              <w:jc w:val="left"/>
              <w:rPr>
                <w:rFonts w:ascii="黑体" w:hAnsi="黑体" w:cs="宋体"/>
                <w:kern w:val="0"/>
                <w:szCs w:val="18"/>
              </w:rPr>
            </w:pPr>
            <w:r>
              <w:rPr>
                <w:rFonts w:ascii="黑体" w:hAnsi="黑体" w:cs="宋体"/>
                <w:kern w:val="0"/>
                <w:szCs w:val="18"/>
              </w:rPr>
              <w:t xml:space="preserve">≤20 </w:t>
            </w:r>
          </w:p>
        </w:tc>
      </w:tr>
      <w:tr w14:paraId="5C4E6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3B3CA7CB">
            <w:pPr>
              <w:widowControl/>
              <w:spacing w:line="360" w:lineRule="atLeast"/>
              <w:jc w:val="left"/>
              <w:rPr>
                <w:rFonts w:ascii="黑体" w:hAnsi="黑体" w:cs="宋体"/>
                <w:kern w:val="0"/>
                <w:szCs w:val="18"/>
              </w:rPr>
            </w:pPr>
            <w:r>
              <w:rPr>
                <w:rFonts w:ascii="黑体" w:hAnsi="黑体" w:cs="宋体"/>
                <w:kern w:val="0"/>
                <w:szCs w:val="18"/>
              </w:rPr>
              <w:t>拉伸强度（标准状态下）/MPa</w:t>
            </w:r>
          </w:p>
        </w:tc>
        <w:tc>
          <w:tcPr>
            <w:tcW w:w="3260" w:type="dxa"/>
          </w:tcPr>
          <w:p w14:paraId="22CCAD5A">
            <w:pPr>
              <w:widowControl/>
              <w:spacing w:line="360" w:lineRule="atLeast"/>
              <w:jc w:val="left"/>
              <w:rPr>
                <w:rFonts w:ascii="黑体" w:hAnsi="黑体" w:cs="宋体"/>
                <w:kern w:val="0"/>
                <w:szCs w:val="18"/>
              </w:rPr>
            </w:pPr>
            <w:r>
              <w:rPr>
                <w:rFonts w:ascii="黑体" w:hAnsi="黑体" w:cs="宋体"/>
                <w:kern w:val="0"/>
                <w:szCs w:val="18"/>
              </w:rPr>
              <w:t xml:space="preserve">—— </w:t>
            </w:r>
          </w:p>
        </w:tc>
      </w:tr>
      <w:tr w14:paraId="4EB8B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369" w:type="dxa"/>
          </w:tcPr>
          <w:p w14:paraId="2C7EA29E">
            <w:pPr>
              <w:widowControl/>
              <w:spacing w:line="360" w:lineRule="atLeast"/>
              <w:jc w:val="left"/>
              <w:rPr>
                <w:rFonts w:ascii="黑体" w:hAnsi="黑体" w:cs="宋体"/>
                <w:kern w:val="0"/>
                <w:szCs w:val="18"/>
              </w:rPr>
            </w:pPr>
            <w:r>
              <w:rPr>
                <w:rFonts w:ascii="黑体" w:hAnsi="黑体" w:cs="宋体"/>
                <w:kern w:val="0"/>
                <w:szCs w:val="18"/>
              </w:rPr>
              <w:t>断裂伸长率（标准状态下）/%</w:t>
            </w:r>
          </w:p>
        </w:tc>
        <w:tc>
          <w:tcPr>
            <w:tcW w:w="3260" w:type="dxa"/>
          </w:tcPr>
          <w:p w14:paraId="6DA36C87">
            <w:pPr>
              <w:widowControl/>
              <w:spacing w:line="360" w:lineRule="atLeast"/>
              <w:jc w:val="left"/>
              <w:rPr>
                <w:rFonts w:ascii="黑体" w:hAnsi="黑体" w:cs="宋体"/>
                <w:kern w:val="0"/>
                <w:szCs w:val="18"/>
              </w:rPr>
            </w:pPr>
            <w:r>
              <w:rPr>
                <w:rFonts w:ascii="黑体" w:hAnsi="黑体" w:cs="宋体"/>
                <w:kern w:val="0"/>
                <w:szCs w:val="18"/>
              </w:rPr>
              <w:t>——</w:t>
            </w:r>
          </w:p>
        </w:tc>
      </w:tr>
    </w:tbl>
    <w:p w14:paraId="276CB359">
      <w:pPr>
        <w:pStyle w:val="111"/>
        <w:jc w:val="left"/>
      </w:pPr>
      <w:r>
        <w:t>专用外墙弹性涂料腻子</w:t>
      </w:r>
    </w:p>
    <w:p w14:paraId="6950BF9E">
      <w:pPr>
        <w:numPr>
          <w:ilvl w:val="0"/>
          <w:numId w:val="144"/>
        </w:numPr>
        <w:spacing w:line="360" w:lineRule="auto"/>
        <w:ind w:left="851"/>
        <w:jc w:val="left"/>
        <w:rPr>
          <w:rFonts w:ascii="黑体" w:hAnsi="黑体"/>
          <w:szCs w:val="18"/>
        </w:rPr>
      </w:pPr>
      <w:r>
        <w:rPr>
          <w:rFonts w:ascii="黑体" w:hAnsi="黑体"/>
          <w:szCs w:val="18"/>
        </w:rPr>
        <w:t>保证系统与基面间附着力，满足装饰系统平整度要求</w:t>
      </w:r>
    </w:p>
    <w:p w14:paraId="5D134DBF">
      <w:pPr>
        <w:numPr>
          <w:ilvl w:val="0"/>
          <w:numId w:val="144"/>
        </w:numPr>
        <w:spacing w:line="360" w:lineRule="auto"/>
        <w:ind w:left="851"/>
        <w:jc w:val="left"/>
        <w:rPr>
          <w:rFonts w:ascii="黑体" w:hAnsi="黑体"/>
          <w:szCs w:val="18"/>
        </w:rPr>
      </w:pPr>
      <w:r>
        <w:rPr>
          <w:rFonts w:ascii="黑体" w:hAnsi="黑体"/>
          <w:szCs w:val="18"/>
        </w:rPr>
        <w:t>表干时间：≤5h</w:t>
      </w:r>
    </w:p>
    <w:p w14:paraId="3EFA96B6">
      <w:pPr>
        <w:numPr>
          <w:ilvl w:val="0"/>
          <w:numId w:val="144"/>
        </w:numPr>
        <w:spacing w:line="360" w:lineRule="auto"/>
        <w:ind w:left="851"/>
        <w:jc w:val="left"/>
        <w:rPr>
          <w:rFonts w:ascii="黑体" w:hAnsi="黑体"/>
          <w:szCs w:val="18"/>
        </w:rPr>
      </w:pPr>
      <w:r>
        <w:rPr>
          <w:rFonts w:ascii="黑体" w:hAnsi="黑体"/>
          <w:szCs w:val="18"/>
        </w:rPr>
        <w:t>耐碱性：5%NaOH溶液浸泡48h无异常</w:t>
      </w:r>
    </w:p>
    <w:p w14:paraId="1794A9E7">
      <w:pPr>
        <w:numPr>
          <w:ilvl w:val="0"/>
          <w:numId w:val="144"/>
        </w:numPr>
        <w:spacing w:line="360" w:lineRule="auto"/>
        <w:ind w:left="851"/>
        <w:jc w:val="left"/>
        <w:rPr>
          <w:rFonts w:ascii="黑体" w:hAnsi="黑体"/>
          <w:szCs w:val="18"/>
        </w:rPr>
      </w:pPr>
      <w:r>
        <w:rPr>
          <w:rFonts w:ascii="黑体" w:hAnsi="黑体"/>
          <w:szCs w:val="18"/>
        </w:rPr>
        <w:t>耐水性：浸水48</w:t>
      </w:r>
      <w:r>
        <w:rPr>
          <w:rFonts w:hint="eastAsia" w:ascii="黑体" w:hAnsi="黑体"/>
          <w:szCs w:val="18"/>
        </w:rPr>
        <w:t>h</w:t>
      </w:r>
      <w:r>
        <w:rPr>
          <w:rFonts w:ascii="黑体" w:hAnsi="黑体"/>
          <w:szCs w:val="18"/>
        </w:rPr>
        <w:t>无异常</w:t>
      </w:r>
    </w:p>
    <w:p w14:paraId="478CEDAD">
      <w:pPr>
        <w:numPr>
          <w:ilvl w:val="0"/>
          <w:numId w:val="144"/>
        </w:numPr>
        <w:spacing w:line="360" w:lineRule="auto"/>
        <w:ind w:left="851"/>
        <w:jc w:val="left"/>
        <w:rPr>
          <w:rFonts w:ascii="黑体" w:hAnsi="黑体"/>
          <w:szCs w:val="18"/>
        </w:rPr>
      </w:pPr>
      <w:r>
        <w:rPr>
          <w:rFonts w:ascii="黑体" w:hAnsi="黑体"/>
          <w:szCs w:val="18"/>
        </w:rPr>
        <w:t>粘结强度：标准状态≥0.6MPa；浸水后≥0.4MPa</w:t>
      </w:r>
    </w:p>
    <w:p w14:paraId="0D5F3632">
      <w:pPr>
        <w:pStyle w:val="49"/>
        <w:spacing w:line="360" w:lineRule="auto"/>
        <w:ind w:firstLine="0" w:firstLineChars="0"/>
        <w:jc w:val="left"/>
        <w:rPr>
          <w:rFonts w:ascii="黑体" w:hAnsi="黑体" w:cs="宋体"/>
          <w:kern w:val="0"/>
          <w:szCs w:val="18"/>
        </w:rPr>
      </w:pPr>
    </w:p>
    <w:p w14:paraId="7DBCBF96">
      <w:pPr>
        <w:pStyle w:val="97"/>
        <w:rPr>
          <w:b/>
        </w:rPr>
      </w:pPr>
      <w:r>
        <w:rPr>
          <w:rFonts w:hint="eastAsia"/>
          <w:b/>
        </w:rPr>
        <w:t>供应商</w:t>
      </w:r>
      <w:r>
        <w:rPr>
          <w:b/>
        </w:rPr>
        <w:t>提交资料</w:t>
      </w:r>
    </w:p>
    <w:p w14:paraId="3EE7F05B">
      <w:pPr>
        <w:pStyle w:val="111"/>
        <w:jc w:val="left"/>
      </w:pPr>
      <w:r>
        <w:t xml:space="preserve">提供厂商资质、工程案例 </w:t>
      </w:r>
    </w:p>
    <w:p w14:paraId="616377B6">
      <w:pPr>
        <w:pStyle w:val="111"/>
        <w:jc w:val="left"/>
      </w:pPr>
      <w:r>
        <w:t xml:space="preserve">产品资料：各指定产品的产品说明、施工规范、产品质量检验报告、认证证书及合同中要求的其他文件。 </w:t>
      </w:r>
    </w:p>
    <w:p w14:paraId="50656572">
      <w:pPr>
        <w:pStyle w:val="111"/>
        <w:jc w:val="left"/>
      </w:pPr>
      <w:r>
        <w:t xml:space="preserve">样品：  </w:t>
      </w:r>
    </w:p>
    <w:p w14:paraId="45120498">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样品提供在大小为400mm*600mm的硬质背板上，产品色卡一套 </w:t>
      </w:r>
    </w:p>
    <w:p w14:paraId="35C3B026">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每个涂料样品标上标签，标明使用位置和区域 </w:t>
      </w:r>
    </w:p>
    <w:p w14:paraId="4B5F9810">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产品清单：清单使用区域上标明产品名称。清单和图纸上产品使用同样的名称。 </w:t>
      </w:r>
    </w:p>
    <w:p w14:paraId="55B9F963">
      <w:pPr>
        <w:pStyle w:val="111"/>
        <w:jc w:val="left"/>
      </w:pPr>
      <w:r>
        <w:t xml:space="preserve"> 施工样板 </w:t>
      </w:r>
    </w:p>
    <w:p w14:paraId="1A22B142">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将每个指定的涂料的各种颜色和装饰效果做成标准样板，以检验与提交阶段的样品样板的装饰效果、材料和施工是否一致。 </w:t>
      </w:r>
    </w:p>
    <w:p w14:paraId="6C1FE0B4">
      <w:pPr>
        <w:pStyle w:val="49"/>
        <w:spacing w:line="360" w:lineRule="auto"/>
        <w:ind w:left="851" w:firstLine="0" w:firstLineChars="0"/>
        <w:jc w:val="left"/>
        <w:rPr>
          <w:rFonts w:ascii="黑体" w:hAnsi="黑体" w:cs="宋体"/>
          <w:kern w:val="0"/>
          <w:szCs w:val="18"/>
        </w:rPr>
      </w:pPr>
      <w:r>
        <w:rPr>
          <w:rFonts w:ascii="黑体" w:hAnsi="黑体" w:cs="宋体"/>
          <w:kern w:val="0"/>
          <w:szCs w:val="18"/>
        </w:rPr>
        <w:t>由设计挑选垂直面和水平面的代表施工区域作为样板施工区域，样板工程区域</w:t>
      </w:r>
      <w:r>
        <w:rPr>
          <w:rFonts w:hint="eastAsia" w:ascii="黑体" w:hAnsi="黑体" w:cs="宋体"/>
          <w:kern w:val="0"/>
          <w:szCs w:val="18"/>
        </w:rPr>
        <w:t>50~100㎡。</w:t>
      </w:r>
    </w:p>
    <w:p w14:paraId="1560E297">
      <w:pPr>
        <w:pStyle w:val="111"/>
        <w:jc w:val="left"/>
      </w:pPr>
      <w:r>
        <w:t>样板工程由设计认可后，才能按照样板工程开始其它区域的外墙涂料施工。</w:t>
      </w:r>
    </w:p>
    <w:p w14:paraId="01F9ACEC">
      <w:pPr>
        <w:pStyle w:val="111"/>
        <w:jc w:val="left"/>
      </w:pPr>
      <w:r>
        <w:t>样板制作：在至少10m2的区域按照设计厚度和要求进行样板区域的施工：如果样板区域施工达不到设计师要求，必须重新施工直到设计认可</w:t>
      </w:r>
      <w:r>
        <w:rPr>
          <w:rFonts w:hint="eastAsia"/>
        </w:rPr>
        <w:t>，</w:t>
      </w:r>
      <w:r>
        <w:t>样板区域可作为最后整个地坪涂料工程的一部分</w:t>
      </w:r>
      <w:r>
        <w:rPr>
          <w:rFonts w:hint="eastAsia"/>
        </w:rPr>
        <w:t>。</w:t>
      </w:r>
    </w:p>
    <w:p w14:paraId="1E671070">
      <w:pPr>
        <w:pStyle w:val="49"/>
        <w:spacing w:line="360" w:lineRule="auto"/>
        <w:ind w:firstLine="0" w:firstLineChars="0"/>
        <w:jc w:val="left"/>
        <w:rPr>
          <w:rFonts w:ascii="黑体" w:hAnsi="黑体" w:cs="宋体"/>
          <w:kern w:val="0"/>
          <w:szCs w:val="18"/>
        </w:rPr>
      </w:pPr>
    </w:p>
    <w:p w14:paraId="4695AA75">
      <w:pPr>
        <w:pStyle w:val="97"/>
        <w:rPr>
          <w:b/>
        </w:rPr>
      </w:pPr>
      <w:r>
        <w:rPr>
          <w:rFonts w:hint="eastAsia"/>
          <w:b/>
        </w:rPr>
        <w:t>施工</w:t>
      </w:r>
    </w:p>
    <w:p w14:paraId="4E61E40F">
      <w:pPr>
        <w:spacing w:line="360" w:lineRule="auto"/>
        <w:ind w:left="851"/>
        <w:jc w:val="left"/>
        <w:rPr>
          <w:rFonts w:ascii="黑体" w:hAnsi="黑体"/>
          <w:szCs w:val="18"/>
        </w:rPr>
      </w:pPr>
      <w:r>
        <w:rPr>
          <w:rFonts w:hint="eastAsia" w:ascii="黑体" w:hAnsi="黑体" w:cs="宋体"/>
          <w:kern w:val="0"/>
          <w:szCs w:val="18"/>
        </w:rPr>
        <w:t>参见</w:t>
      </w:r>
      <w:r>
        <w:rPr>
          <w:rFonts w:ascii="黑体" w:hAnsi="黑体"/>
          <w:szCs w:val="18"/>
        </w:rPr>
        <w:t>《建筑涂饰工程施工及验收规程》JGJ/T29</w:t>
      </w:r>
    </w:p>
    <w:p w14:paraId="5534E18F">
      <w:pPr>
        <w:pStyle w:val="3"/>
        <w:jc w:val="left"/>
      </w:pPr>
      <w:bookmarkStart w:id="122" w:name="_Toc174556826"/>
      <w:r>
        <w:rPr>
          <w:rFonts w:hint="eastAsia"/>
        </w:rPr>
        <w:t>真石漆</w:t>
      </w:r>
      <w:bookmarkEnd w:id="122"/>
    </w:p>
    <w:p w14:paraId="0DF647DC">
      <w:pPr>
        <w:pStyle w:val="97"/>
      </w:pPr>
      <w:r>
        <w:rPr>
          <w:rFonts w:hint="eastAsia"/>
        </w:rPr>
        <w:t>使用部位：建筑外墙</w:t>
      </w:r>
    </w:p>
    <w:p w14:paraId="2582B03A">
      <w:pPr>
        <w:pStyle w:val="97"/>
      </w:pPr>
      <w:r>
        <w:rPr>
          <w:rFonts w:hint="eastAsia"/>
        </w:rPr>
        <w:t xml:space="preserve"> 技术规范、规程、要求</w:t>
      </w:r>
    </w:p>
    <w:p w14:paraId="2BF77029">
      <w:pPr>
        <w:pStyle w:val="49"/>
        <w:numPr>
          <w:ilvl w:val="0"/>
          <w:numId w:val="145"/>
        </w:numPr>
        <w:spacing w:line="360" w:lineRule="auto"/>
        <w:ind w:firstLineChars="0"/>
        <w:jc w:val="left"/>
        <w:rPr>
          <w:rFonts w:ascii="黑体" w:hAnsi="黑体"/>
          <w:szCs w:val="18"/>
        </w:rPr>
      </w:pPr>
      <w:r>
        <w:rPr>
          <w:rFonts w:hint="eastAsia" w:ascii="黑体" w:hAnsi="黑体"/>
          <w:szCs w:val="18"/>
        </w:rPr>
        <w:t>GB 50210-2018《建筑装饰装修工程质量验收规范》</w:t>
      </w:r>
    </w:p>
    <w:p w14:paraId="289DCE3C">
      <w:pPr>
        <w:pStyle w:val="49"/>
        <w:numPr>
          <w:ilvl w:val="0"/>
          <w:numId w:val="145"/>
        </w:numPr>
        <w:spacing w:line="360" w:lineRule="auto"/>
        <w:ind w:firstLineChars="0"/>
        <w:jc w:val="left"/>
        <w:rPr>
          <w:rFonts w:ascii="黑体" w:hAnsi="黑体"/>
          <w:szCs w:val="18"/>
        </w:rPr>
      </w:pPr>
      <w:r>
        <w:rPr>
          <w:rFonts w:hint="eastAsia" w:ascii="黑体" w:hAnsi="黑体"/>
          <w:szCs w:val="18"/>
        </w:rPr>
        <w:t>JGJ 169-2009 《清水混凝土应用技术规程》</w:t>
      </w:r>
    </w:p>
    <w:p w14:paraId="24C9A323">
      <w:pPr>
        <w:pStyle w:val="49"/>
        <w:numPr>
          <w:ilvl w:val="0"/>
          <w:numId w:val="145"/>
        </w:numPr>
        <w:spacing w:line="360" w:lineRule="auto"/>
        <w:ind w:firstLineChars="0"/>
        <w:jc w:val="left"/>
        <w:rPr>
          <w:rFonts w:ascii="黑体" w:hAnsi="黑体"/>
          <w:szCs w:val="18"/>
        </w:rPr>
      </w:pPr>
      <w:r>
        <w:rPr>
          <w:rFonts w:hint="eastAsia" w:ascii="黑体" w:hAnsi="黑体"/>
          <w:szCs w:val="18"/>
        </w:rPr>
        <w:t>JG/T 157-2009《建筑外墙用腻子》</w:t>
      </w:r>
    </w:p>
    <w:p w14:paraId="7843E715">
      <w:pPr>
        <w:pStyle w:val="49"/>
        <w:numPr>
          <w:ilvl w:val="0"/>
          <w:numId w:val="145"/>
        </w:numPr>
        <w:spacing w:line="360" w:lineRule="auto"/>
        <w:ind w:firstLineChars="0"/>
        <w:jc w:val="left"/>
        <w:rPr>
          <w:rFonts w:ascii="黑体" w:hAnsi="黑体"/>
          <w:szCs w:val="18"/>
        </w:rPr>
      </w:pPr>
      <w:r>
        <w:rPr>
          <w:rFonts w:ascii="黑体" w:hAnsi="黑体"/>
          <w:szCs w:val="18"/>
        </w:rPr>
        <w:t xml:space="preserve">JC/T </w:t>
      </w:r>
      <w:r>
        <w:rPr>
          <w:rFonts w:hint="eastAsia" w:ascii="黑体" w:hAnsi="黑体"/>
          <w:szCs w:val="18"/>
        </w:rPr>
        <w:t>907-2018《混凝土界面处理剂》</w:t>
      </w:r>
      <w:r>
        <w:rPr>
          <w:rFonts w:ascii="黑体" w:hAnsi="黑体"/>
          <w:szCs w:val="18"/>
        </w:rPr>
        <w:t>JG/T 210-20</w:t>
      </w:r>
      <w:r>
        <w:rPr>
          <w:rFonts w:hint="eastAsia" w:ascii="黑体" w:hAnsi="黑体"/>
          <w:szCs w:val="18"/>
        </w:rPr>
        <w:t>18</w:t>
      </w:r>
      <w:r>
        <w:rPr>
          <w:rFonts w:ascii="黑体" w:hAnsi="黑体"/>
          <w:szCs w:val="18"/>
        </w:rPr>
        <w:t>《建筑内外墙用底漆》</w:t>
      </w:r>
    </w:p>
    <w:p w14:paraId="0D81BF3D">
      <w:pPr>
        <w:pStyle w:val="49"/>
        <w:numPr>
          <w:ilvl w:val="0"/>
          <w:numId w:val="145"/>
        </w:numPr>
        <w:spacing w:line="360" w:lineRule="auto"/>
        <w:ind w:firstLineChars="0"/>
        <w:jc w:val="left"/>
        <w:rPr>
          <w:rFonts w:ascii="黑体" w:hAnsi="黑体"/>
          <w:szCs w:val="18"/>
        </w:rPr>
      </w:pPr>
      <w:r>
        <w:rPr>
          <w:rFonts w:ascii="黑体" w:hAnsi="黑体"/>
          <w:szCs w:val="18"/>
        </w:rPr>
        <w:t>JG/T 24-20</w:t>
      </w:r>
      <w:r>
        <w:rPr>
          <w:rFonts w:hint="eastAsia" w:ascii="黑体" w:hAnsi="黑体"/>
          <w:szCs w:val="18"/>
        </w:rPr>
        <w:t>18</w:t>
      </w:r>
      <w:r>
        <w:rPr>
          <w:rFonts w:ascii="黑体" w:hAnsi="黑体"/>
          <w:szCs w:val="18"/>
        </w:rPr>
        <w:t>《合成树脂乳液砂壁状建筑涂料》</w:t>
      </w:r>
    </w:p>
    <w:p w14:paraId="5F981AD5">
      <w:pPr>
        <w:pStyle w:val="49"/>
        <w:numPr>
          <w:ilvl w:val="0"/>
          <w:numId w:val="145"/>
        </w:numPr>
        <w:spacing w:line="360" w:lineRule="auto"/>
        <w:ind w:firstLineChars="0"/>
        <w:jc w:val="left"/>
        <w:rPr>
          <w:rFonts w:ascii="黑体" w:hAnsi="黑体"/>
          <w:szCs w:val="18"/>
        </w:rPr>
      </w:pPr>
      <w:r>
        <w:rPr>
          <w:rFonts w:ascii="黑体" w:hAnsi="黑体"/>
          <w:szCs w:val="18"/>
        </w:rPr>
        <w:t>GB/T 9755-20</w:t>
      </w:r>
      <w:r>
        <w:rPr>
          <w:rFonts w:hint="eastAsia" w:ascii="黑体" w:hAnsi="黑体"/>
          <w:szCs w:val="18"/>
        </w:rPr>
        <w:t>14</w:t>
      </w:r>
      <w:r>
        <w:rPr>
          <w:rFonts w:ascii="黑体" w:hAnsi="黑体"/>
          <w:szCs w:val="18"/>
        </w:rPr>
        <w:t>《合成树脂乳液外墙涂料》</w:t>
      </w:r>
    </w:p>
    <w:p w14:paraId="19E001B1">
      <w:pPr>
        <w:pStyle w:val="49"/>
        <w:numPr>
          <w:ilvl w:val="0"/>
          <w:numId w:val="145"/>
        </w:numPr>
        <w:spacing w:line="360" w:lineRule="auto"/>
        <w:ind w:firstLineChars="0"/>
        <w:jc w:val="left"/>
        <w:rPr>
          <w:rFonts w:ascii="黑体" w:hAnsi="黑体"/>
          <w:szCs w:val="18"/>
        </w:rPr>
      </w:pPr>
      <w:r>
        <w:rPr>
          <w:rFonts w:hint="eastAsia" w:ascii="黑体" w:hAnsi="黑体"/>
          <w:szCs w:val="18"/>
        </w:rPr>
        <w:t>GB/T 9779-2015《复层建筑涂料》</w:t>
      </w:r>
    </w:p>
    <w:p w14:paraId="394D9CB8">
      <w:pPr>
        <w:pStyle w:val="49"/>
        <w:numPr>
          <w:ilvl w:val="0"/>
          <w:numId w:val="145"/>
        </w:numPr>
        <w:spacing w:line="360" w:lineRule="auto"/>
        <w:ind w:firstLineChars="0"/>
        <w:jc w:val="left"/>
        <w:rPr>
          <w:rFonts w:ascii="黑体" w:hAnsi="黑体"/>
          <w:szCs w:val="18"/>
        </w:rPr>
      </w:pPr>
      <w:r>
        <w:rPr>
          <w:rFonts w:hint="eastAsia" w:ascii="黑体" w:hAnsi="黑体"/>
          <w:szCs w:val="18"/>
        </w:rPr>
        <w:t>GB 24408-2009 《建筑用外墙涂料中有害物质限量》</w:t>
      </w:r>
    </w:p>
    <w:p w14:paraId="5B1EC519">
      <w:pPr>
        <w:pStyle w:val="49"/>
        <w:numPr>
          <w:ilvl w:val="0"/>
          <w:numId w:val="145"/>
        </w:numPr>
        <w:spacing w:line="360" w:lineRule="auto"/>
        <w:ind w:firstLineChars="0"/>
        <w:jc w:val="left"/>
        <w:rPr>
          <w:rFonts w:ascii="黑体" w:hAnsi="黑体"/>
          <w:szCs w:val="18"/>
        </w:rPr>
      </w:pPr>
      <w:r>
        <w:rPr>
          <w:rFonts w:ascii="黑体" w:hAnsi="黑体"/>
          <w:szCs w:val="18"/>
        </w:rPr>
        <w:t>GB</w:t>
      </w:r>
      <w:r>
        <w:rPr>
          <w:rFonts w:hint="eastAsia" w:ascii="黑体" w:hAnsi="黑体"/>
          <w:szCs w:val="18"/>
        </w:rPr>
        <w:t xml:space="preserve"> </w:t>
      </w:r>
      <w:r>
        <w:rPr>
          <w:rFonts w:ascii="黑体" w:hAnsi="黑体"/>
          <w:szCs w:val="18"/>
        </w:rPr>
        <w:t>50300－201</w:t>
      </w:r>
      <w:r>
        <w:rPr>
          <w:rFonts w:hint="eastAsia" w:ascii="黑体" w:hAnsi="黑体"/>
          <w:szCs w:val="18"/>
        </w:rPr>
        <w:t>3</w:t>
      </w:r>
      <w:r>
        <w:rPr>
          <w:rFonts w:ascii="黑体" w:hAnsi="黑体"/>
          <w:szCs w:val="18"/>
        </w:rPr>
        <w:t>《建筑工程施工质量验收统一标准》</w:t>
      </w:r>
    </w:p>
    <w:p w14:paraId="683D2A97">
      <w:pPr>
        <w:pStyle w:val="49"/>
        <w:numPr>
          <w:ilvl w:val="0"/>
          <w:numId w:val="145"/>
        </w:numPr>
        <w:spacing w:line="360" w:lineRule="auto"/>
        <w:ind w:firstLineChars="0"/>
        <w:jc w:val="left"/>
        <w:rPr>
          <w:rFonts w:ascii="黑体" w:hAnsi="黑体"/>
          <w:szCs w:val="18"/>
        </w:rPr>
      </w:pPr>
      <w:r>
        <w:rPr>
          <w:rFonts w:ascii="黑体" w:hAnsi="黑体"/>
          <w:szCs w:val="18"/>
        </w:rPr>
        <w:t>HJ/T</w:t>
      </w:r>
      <w:r>
        <w:rPr>
          <w:rFonts w:hint="eastAsia" w:ascii="黑体" w:hAnsi="黑体"/>
          <w:szCs w:val="18"/>
        </w:rPr>
        <w:t xml:space="preserve"> 2537-2014《环境标志产品技术要求 水性涂料》</w:t>
      </w:r>
    </w:p>
    <w:p w14:paraId="7418174D">
      <w:pPr>
        <w:pStyle w:val="49"/>
        <w:numPr>
          <w:ilvl w:val="0"/>
          <w:numId w:val="145"/>
        </w:numPr>
        <w:spacing w:line="360" w:lineRule="auto"/>
        <w:ind w:firstLineChars="0"/>
        <w:jc w:val="left"/>
        <w:rPr>
          <w:rFonts w:ascii="黑体" w:hAnsi="黑体"/>
          <w:szCs w:val="18"/>
        </w:rPr>
      </w:pPr>
      <w:r>
        <w:rPr>
          <w:rFonts w:hint="eastAsia" w:ascii="黑体" w:hAnsi="黑体"/>
          <w:szCs w:val="18"/>
        </w:rPr>
        <w:t>设计文件及图纸</w:t>
      </w:r>
    </w:p>
    <w:p w14:paraId="0D7F39B4">
      <w:pPr>
        <w:pStyle w:val="49"/>
        <w:numPr>
          <w:ilvl w:val="0"/>
          <w:numId w:val="145"/>
        </w:numPr>
        <w:spacing w:line="360" w:lineRule="auto"/>
        <w:ind w:firstLineChars="0"/>
        <w:jc w:val="left"/>
        <w:rPr>
          <w:rFonts w:ascii="黑体" w:hAnsi="黑体"/>
          <w:szCs w:val="18"/>
        </w:rPr>
      </w:pPr>
      <w:r>
        <w:rPr>
          <w:rFonts w:hint="eastAsia" w:ascii="黑体" w:hAnsi="黑体"/>
          <w:szCs w:val="18"/>
        </w:rPr>
        <w:t>所有规定必须满足</w:t>
      </w:r>
      <w:r>
        <w:rPr>
          <w:rFonts w:ascii="黑体" w:hAnsi="黑体"/>
          <w:szCs w:val="18"/>
        </w:rPr>
        <w:t>国家规范为前提，本</w:t>
      </w:r>
      <w:r>
        <w:rPr>
          <w:rFonts w:hint="eastAsia" w:ascii="黑体" w:hAnsi="黑体"/>
          <w:szCs w:val="18"/>
        </w:rPr>
        <w:t>技术规格</w:t>
      </w:r>
      <w:r>
        <w:rPr>
          <w:rFonts w:ascii="黑体" w:hAnsi="黑体"/>
          <w:szCs w:val="18"/>
        </w:rPr>
        <w:t>书如有冲突，以规范为</w:t>
      </w:r>
      <w:r>
        <w:rPr>
          <w:rFonts w:hint="eastAsia" w:ascii="黑体" w:hAnsi="黑体"/>
          <w:szCs w:val="18"/>
        </w:rPr>
        <w:t>准</w:t>
      </w:r>
      <w:r>
        <w:rPr>
          <w:rFonts w:ascii="黑体" w:hAnsi="黑体"/>
          <w:szCs w:val="18"/>
        </w:rPr>
        <w:t>。</w:t>
      </w:r>
    </w:p>
    <w:p w14:paraId="54D191C3">
      <w:pPr>
        <w:pStyle w:val="97"/>
      </w:pPr>
      <w:r>
        <w:rPr>
          <w:rFonts w:hint="eastAsia"/>
        </w:rPr>
        <w:t>基层要求：</w:t>
      </w:r>
    </w:p>
    <w:p w14:paraId="642D6624">
      <w:pPr>
        <w:widowControl/>
        <w:autoSpaceDE w:val="0"/>
        <w:autoSpaceDN w:val="0"/>
        <w:adjustRightInd w:val="0"/>
        <w:spacing w:line="360" w:lineRule="auto"/>
        <w:ind w:left="900" w:leftChars="500" w:firstLine="360" w:firstLineChars="200"/>
        <w:jc w:val="left"/>
        <w:rPr>
          <w:rFonts w:ascii="黑体" w:hAnsi="黑体"/>
          <w:kern w:val="0"/>
          <w:szCs w:val="18"/>
        </w:rPr>
      </w:pPr>
      <w:r>
        <w:rPr>
          <w:rFonts w:ascii="黑体" w:hAnsi="黑体"/>
          <w:kern w:val="0"/>
          <w:szCs w:val="18"/>
        </w:rPr>
        <w:t>A</w:t>
      </w:r>
      <w:r>
        <w:rPr>
          <w:rFonts w:hint="eastAsia" w:ascii="黑体" w:hAnsi="黑体"/>
          <w:kern w:val="0"/>
          <w:szCs w:val="18"/>
        </w:rPr>
        <w:t>、抹灰基层要求</w:t>
      </w:r>
    </w:p>
    <w:p w14:paraId="5C004E6B">
      <w:pPr>
        <w:widowControl/>
        <w:numPr>
          <w:ilvl w:val="0"/>
          <w:numId w:val="146"/>
        </w:numPr>
        <w:autoSpaceDE w:val="0"/>
        <w:autoSpaceDN w:val="0"/>
        <w:adjustRightInd w:val="0"/>
        <w:spacing w:line="360" w:lineRule="auto"/>
        <w:jc w:val="left"/>
        <w:rPr>
          <w:rFonts w:ascii="黑体" w:hAnsi="黑体"/>
          <w:kern w:val="0"/>
          <w:szCs w:val="18"/>
        </w:rPr>
      </w:pPr>
      <w:r>
        <w:rPr>
          <w:rFonts w:hint="eastAsia" w:ascii="黑体" w:hAnsi="黑体"/>
          <w:kern w:val="0"/>
          <w:szCs w:val="18"/>
        </w:rPr>
        <w:t>合格的基层应当不掉粉，不起砂，无空鼓、起层、开裂和剥离现象，表面抹灰颜色一致，无抹痕，接槎平缓，且表面平整、干燥、阴阳角垂直和方正、立面垂直、分隔缝深浅一致。</w:t>
      </w:r>
    </w:p>
    <w:p w14:paraId="0923D9F5">
      <w:pPr>
        <w:widowControl/>
        <w:numPr>
          <w:ilvl w:val="0"/>
          <w:numId w:val="146"/>
        </w:numPr>
        <w:autoSpaceDE w:val="0"/>
        <w:autoSpaceDN w:val="0"/>
        <w:adjustRightInd w:val="0"/>
        <w:spacing w:line="360" w:lineRule="auto"/>
        <w:jc w:val="left"/>
        <w:rPr>
          <w:rFonts w:ascii="黑体" w:hAnsi="黑体"/>
          <w:kern w:val="0"/>
          <w:szCs w:val="18"/>
        </w:rPr>
      </w:pPr>
      <w:r>
        <w:rPr>
          <w:rFonts w:hint="eastAsia" w:ascii="黑体" w:hAnsi="黑体"/>
          <w:kern w:val="0"/>
          <w:szCs w:val="18"/>
        </w:rPr>
        <w:t>公司项目要求基层满足高级抹灰要求，同时满足相关施工技术及验收要求。</w:t>
      </w:r>
    </w:p>
    <w:p w14:paraId="1B9F98E8">
      <w:pPr>
        <w:widowControl/>
        <w:autoSpaceDE w:val="0"/>
        <w:autoSpaceDN w:val="0"/>
        <w:adjustRightInd w:val="0"/>
        <w:spacing w:line="360" w:lineRule="auto"/>
        <w:ind w:left="900" w:leftChars="500" w:firstLine="360" w:firstLineChars="200"/>
        <w:jc w:val="left"/>
        <w:rPr>
          <w:rFonts w:ascii="黑体" w:hAnsi="黑体"/>
          <w:kern w:val="0"/>
          <w:szCs w:val="18"/>
        </w:rPr>
      </w:pPr>
      <w:r>
        <w:rPr>
          <w:rFonts w:hint="eastAsia" w:ascii="黑体" w:hAnsi="黑体"/>
          <w:kern w:val="0"/>
          <w:szCs w:val="18"/>
        </w:rPr>
        <w:t>B、混凝土基层要求</w:t>
      </w:r>
    </w:p>
    <w:p w14:paraId="4FCFDD75">
      <w:pPr>
        <w:widowControl/>
        <w:numPr>
          <w:ilvl w:val="0"/>
          <w:numId w:val="147"/>
        </w:numPr>
        <w:autoSpaceDE w:val="0"/>
        <w:autoSpaceDN w:val="0"/>
        <w:adjustRightInd w:val="0"/>
        <w:spacing w:line="360" w:lineRule="auto"/>
        <w:jc w:val="left"/>
        <w:rPr>
          <w:rFonts w:ascii="黑体" w:hAnsi="黑体"/>
          <w:kern w:val="0"/>
          <w:szCs w:val="18"/>
        </w:rPr>
      </w:pPr>
      <w:r>
        <w:rPr>
          <w:rFonts w:hint="eastAsia" w:ascii="黑体" w:hAnsi="黑体"/>
          <w:kern w:val="0"/>
          <w:szCs w:val="18"/>
        </w:rPr>
        <w:t>采用混凝土作为真石漆基层需要满足JGJ 169-2009 《清水混凝土应用技术规程》中饰面混凝土有关规定。</w:t>
      </w:r>
    </w:p>
    <w:p w14:paraId="71C2A17F">
      <w:pPr>
        <w:widowControl/>
        <w:autoSpaceDE w:val="0"/>
        <w:autoSpaceDN w:val="0"/>
        <w:adjustRightInd w:val="0"/>
        <w:spacing w:line="360" w:lineRule="auto"/>
        <w:ind w:left="900" w:leftChars="500" w:firstLine="360" w:firstLineChars="200"/>
        <w:jc w:val="left"/>
        <w:rPr>
          <w:rFonts w:ascii="黑体" w:hAnsi="黑体"/>
          <w:kern w:val="0"/>
          <w:szCs w:val="18"/>
        </w:rPr>
      </w:pPr>
      <w:r>
        <w:rPr>
          <w:rFonts w:ascii="黑体" w:hAnsi="黑体"/>
          <w:kern w:val="0"/>
          <w:szCs w:val="18"/>
        </w:rPr>
        <w:t>C</w:t>
      </w:r>
      <w:r>
        <w:rPr>
          <w:rFonts w:hint="eastAsia" w:ascii="黑体" w:hAnsi="黑体"/>
          <w:kern w:val="0"/>
          <w:szCs w:val="18"/>
        </w:rPr>
        <w:t>、界面要求</w:t>
      </w:r>
    </w:p>
    <w:p w14:paraId="50727EBC">
      <w:pPr>
        <w:widowControl/>
        <w:numPr>
          <w:ilvl w:val="0"/>
          <w:numId w:val="147"/>
        </w:numPr>
        <w:autoSpaceDE w:val="0"/>
        <w:autoSpaceDN w:val="0"/>
        <w:adjustRightInd w:val="0"/>
        <w:spacing w:line="360" w:lineRule="auto"/>
        <w:jc w:val="left"/>
        <w:rPr>
          <w:rFonts w:ascii="黑体" w:hAnsi="黑体"/>
          <w:kern w:val="0"/>
          <w:szCs w:val="18"/>
        </w:rPr>
      </w:pPr>
      <w:r>
        <w:rPr>
          <w:rFonts w:hint="eastAsia" w:ascii="黑体" w:hAnsi="黑体"/>
          <w:kern w:val="0"/>
          <w:szCs w:val="18"/>
        </w:rPr>
        <w:t>混凝土拆模后表面需平整坚实，无浮尘、疏松物、脱模剂、油污等杂质，且太光滑表面需增强附着力，使用满足</w:t>
      </w:r>
      <w:r>
        <w:rPr>
          <w:rFonts w:ascii="黑体" w:hAnsi="黑体"/>
          <w:kern w:val="0"/>
          <w:szCs w:val="18"/>
        </w:rPr>
        <w:t>JC/T 907-2018</w:t>
      </w:r>
      <w:r>
        <w:rPr>
          <w:rFonts w:hint="eastAsia" w:ascii="黑体" w:hAnsi="黑体"/>
          <w:kern w:val="0"/>
          <w:szCs w:val="18"/>
        </w:rPr>
        <w:t>《混凝土界面处理剂》Ⅰ型的水泥混凝土的界面处理剂处理。按照产品施工要求配比做拉毛工艺，满涂无漏涂，凿毛高度合理、强度优异，且达到抹灰工程施工或腻子施工对基面的施工技术要求。</w:t>
      </w:r>
    </w:p>
    <w:p w14:paraId="7EB444C6">
      <w:pPr>
        <w:widowControl/>
        <w:autoSpaceDE w:val="0"/>
        <w:autoSpaceDN w:val="0"/>
        <w:adjustRightInd w:val="0"/>
        <w:spacing w:line="360" w:lineRule="auto"/>
        <w:ind w:left="1276"/>
        <w:jc w:val="left"/>
        <w:rPr>
          <w:rFonts w:ascii="黑体" w:hAnsi="黑体"/>
          <w:kern w:val="0"/>
          <w:szCs w:val="18"/>
        </w:rPr>
      </w:pPr>
    </w:p>
    <w:p w14:paraId="294DA093">
      <w:pPr>
        <w:pStyle w:val="97"/>
      </w:pPr>
      <w:r>
        <w:rPr>
          <w:rFonts w:hint="eastAsia"/>
        </w:rPr>
        <w:t>主要材料要求</w:t>
      </w:r>
    </w:p>
    <w:p w14:paraId="3F9B8924">
      <w:pPr>
        <w:widowControl/>
        <w:autoSpaceDE w:val="0"/>
        <w:autoSpaceDN w:val="0"/>
        <w:adjustRightInd w:val="0"/>
        <w:spacing w:line="360" w:lineRule="auto"/>
        <w:ind w:firstLine="542" w:firstLineChars="300"/>
        <w:jc w:val="left"/>
        <w:rPr>
          <w:rFonts w:ascii="黑体" w:hAnsi="黑体"/>
          <w:b/>
          <w:kern w:val="0"/>
          <w:szCs w:val="18"/>
        </w:rPr>
      </w:pPr>
      <w:r>
        <w:rPr>
          <w:rFonts w:hint="eastAsia" w:ascii="黑体" w:hAnsi="黑体"/>
          <w:b/>
          <w:kern w:val="0"/>
          <w:szCs w:val="18"/>
        </w:rPr>
        <w:t>A、外墙</w:t>
      </w:r>
      <w:r>
        <w:rPr>
          <w:rFonts w:ascii="黑体" w:hAnsi="黑体"/>
          <w:b/>
          <w:kern w:val="0"/>
          <w:szCs w:val="18"/>
        </w:rPr>
        <w:t>腻子</w:t>
      </w:r>
      <w:r>
        <w:rPr>
          <w:rFonts w:hint="eastAsia" w:ascii="黑体" w:hAnsi="黑体"/>
          <w:b/>
          <w:kern w:val="0"/>
          <w:szCs w:val="18"/>
        </w:rPr>
        <w:t>：公司项目选用R型（柔性）腻子</w:t>
      </w:r>
    </w:p>
    <w:p w14:paraId="37576E49">
      <w:pPr>
        <w:widowControl/>
        <w:autoSpaceDE w:val="0"/>
        <w:autoSpaceDN w:val="0"/>
        <w:adjustRightInd w:val="0"/>
        <w:spacing w:line="360" w:lineRule="auto"/>
        <w:ind w:firstLine="900" w:firstLineChars="500"/>
        <w:jc w:val="left"/>
        <w:rPr>
          <w:rFonts w:ascii="黑体" w:hAnsi="黑体"/>
          <w:szCs w:val="18"/>
        </w:rPr>
      </w:pPr>
      <w:r>
        <w:rPr>
          <w:rFonts w:ascii="黑体" w:hAnsi="黑体"/>
          <w:szCs w:val="18"/>
        </w:rPr>
        <w:t>外</w:t>
      </w:r>
      <w:r>
        <w:rPr>
          <w:rFonts w:hint="eastAsia" w:ascii="黑体" w:hAnsi="黑体"/>
          <w:szCs w:val="18"/>
        </w:rPr>
        <w:t>墙</w:t>
      </w:r>
      <w:r>
        <w:rPr>
          <w:rFonts w:ascii="黑体" w:hAnsi="黑体"/>
          <w:szCs w:val="18"/>
        </w:rPr>
        <w:t>腻子需要刮抹至少2遍</w:t>
      </w:r>
      <w:r>
        <w:rPr>
          <w:rFonts w:hint="eastAsia" w:ascii="黑体" w:hAnsi="黑体"/>
          <w:szCs w:val="18"/>
        </w:rPr>
        <w:t>柔性腻子，且符合腻子施工总厚度要求。施工后腻子层表面需平整坚实无裂纹，光滑</w:t>
      </w:r>
    </w:p>
    <w:p w14:paraId="62F9DDAF">
      <w:pPr>
        <w:widowControl/>
        <w:autoSpaceDE w:val="0"/>
        <w:autoSpaceDN w:val="0"/>
        <w:adjustRightInd w:val="0"/>
        <w:spacing w:line="360" w:lineRule="auto"/>
        <w:ind w:firstLine="900" w:firstLineChars="500"/>
        <w:jc w:val="left"/>
        <w:rPr>
          <w:rFonts w:ascii="黑体" w:hAnsi="黑体"/>
          <w:szCs w:val="18"/>
        </w:rPr>
      </w:pPr>
      <w:r>
        <w:rPr>
          <w:rFonts w:hint="eastAsia" w:ascii="黑体" w:hAnsi="黑体"/>
          <w:szCs w:val="18"/>
        </w:rPr>
        <w:t>且有附着力，</w:t>
      </w:r>
      <w:r>
        <w:rPr>
          <w:rFonts w:ascii="黑体" w:hAnsi="黑体"/>
          <w:szCs w:val="18"/>
        </w:rPr>
        <w:t>面层平整度、垂直度和阴阳角方正满足国家规范要求，且能满足JG/T</w:t>
      </w:r>
      <w:r>
        <w:rPr>
          <w:rFonts w:hint="eastAsia" w:ascii="黑体" w:hAnsi="黑体"/>
          <w:szCs w:val="18"/>
        </w:rPr>
        <w:t xml:space="preserve"> 157-2009《建筑外墙用腻子》</w:t>
      </w:r>
    </w:p>
    <w:p w14:paraId="636AE837">
      <w:pPr>
        <w:widowControl/>
        <w:autoSpaceDE w:val="0"/>
        <w:autoSpaceDN w:val="0"/>
        <w:adjustRightInd w:val="0"/>
        <w:spacing w:line="360" w:lineRule="auto"/>
        <w:ind w:firstLine="900" w:firstLineChars="500"/>
        <w:jc w:val="left"/>
        <w:rPr>
          <w:rFonts w:ascii="黑体" w:hAnsi="黑体"/>
          <w:szCs w:val="18"/>
        </w:rPr>
      </w:pPr>
      <w:r>
        <w:rPr>
          <w:rFonts w:hint="eastAsia" w:ascii="黑体" w:hAnsi="黑体"/>
          <w:szCs w:val="18"/>
        </w:rPr>
        <w:t>R型（柔性）腻子要求</w:t>
      </w:r>
      <w:r>
        <w:rPr>
          <w:rFonts w:ascii="黑体" w:hAnsi="黑体"/>
          <w:szCs w:val="18"/>
        </w:rPr>
        <w:t>。</w:t>
      </w:r>
      <w:r>
        <w:rPr>
          <w:rFonts w:hint="eastAsia" w:ascii="黑体" w:hAnsi="黑体"/>
          <w:szCs w:val="18"/>
        </w:rPr>
        <w:t>外墙柔性腻子须选用符合要求的产品，产品进场必须提供书面的审批批号和出厂质量证</w:t>
      </w:r>
    </w:p>
    <w:p w14:paraId="3ECC0F46">
      <w:pPr>
        <w:widowControl/>
        <w:autoSpaceDE w:val="0"/>
        <w:autoSpaceDN w:val="0"/>
        <w:adjustRightInd w:val="0"/>
        <w:spacing w:line="360" w:lineRule="auto"/>
        <w:ind w:firstLine="900" w:firstLineChars="500"/>
        <w:jc w:val="left"/>
        <w:rPr>
          <w:rFonts w:ascii="黑体" w:hAnsi="黑体"/>
          <w:szCs w:val="18"/>
        </w:rPr>
      </w:pPr>
      <w:r>
        <w:rPr>
          <w:rFonts w:hint="eastAsia" w:ascii="黑体" w:hAnsi="黑体"/>
          <w:szCs w:val="18"/>
        </w:rPr>
        <w:t>明文件。</w:t>
      </w:r>
    </w:p>
    <w:p w14:paraId="56356713">
      <w:pPr>
        <w:widowControl/>
        <w:autoSpaceDE w:val="0"/>
        <w:autoSpaceDN w:val="0"/>
        <w:adjustRightInd w:val="0"/>
        <w:spacing w:line="360" w:lineRule="auto"/>
        <w:ind w:firstLine="904" w:firstLineChars="500"/>
        <w:jc w:val="left"/>
        <w:rPr>
          <w:rFonts w:ascii="黑体" w:hAnsi="黑体"/>
          <w:b/>
          <w:szCs w:val="18"/>
        </w:rPr>
      </w:pPr>
      <w:r>
        <w:rPr>
          <w:rFonts w:hint="eastAsia" w:ascii="黑体" w:hAnsi="黑体"/>
          <w:b/>
          <w:kern w:val="0"/>
          <w:szCs w:val="18"/>
        </w:rPr>
        <w:t>其他要求：</w:t>
      </w:r>
    </w:p>
    <w:p w14:paraId="2E7DE10F">
      <w:pPr>
        <w:widowControl/>
        <w:numPr>
          <w:ilvl w:val="0"/>
          <w:numId w:val="148"/>
        </w:numPr>
        <w:autoSpaceDE w:val="0"/>
        <w:autoSpaceDN w:val="0"/>
        <w:adjustRightInd w:val="0"/>
        <w:spacing w:line="360" w:lineRule="auto"/>
        <w:jc w:val="left"/>
        <w:rPr>
          <w:rFonts w:ascii="黑体" w:hAnsi="黑体"/>
          <w:szCs w:val="18"/>
        </w:rPr>
      </w:pPr>
      <w:r>
        <w:rPr>
          <w:rFonts w:hint="eastAsia" w:ascii="黑体" w:hAnsi="黑体"/>
          <w:kern w:val="0"/>
          <w:szCs w:val="18"/>
        </w:rPr>
        <w:t>外墙所有材料如：粘结砂浆、抗裂砂浆、锚栓等质量必需符合设计、规范要求且按规范要求进行材料报验。</w:t>
      </w:r>
    </w:p>
    <w:p w14:paraId="4594FD17">
      <w:pPr>
        <w:widowControl/>
        <w:numPr>
          <w:ilvl w:val="0"/>
          <w:numId w:val="148"/>
        </w:numPr>
        <w:autoSpaceDE w:val="0"/>
        <w:autoSpaceDN w:val="0"/>
        <w:adjustRightInd w:val="0"/>
        <w:spacing w:line="360" w:lineRule="auto"/>
        <w:jc w:val="left"/>
        <w:rPr>
          <w:rFonts w:ascii="黑体" w:hAnsi="黑体"/>
          <w:szCs w:val="18"/>
        </w:rPr>
      </w:pPr>
      <w:r>
        <w:rPr>
          <w:rFonts w:hint="eastAsia" w:ascii="黑体" w:hAnsi="黑体"/>
          <w:szCs w:val="18"/>
        </w:rPr>
        <w:t>墙面上各种构件、预埋件、水暖设施等应按设计要求及早安装定位，外露钢铁件须做好除锈、防锈处理，腻子及涂料施工前，必须</w:t>
      </w:r>
      <w:r>
        <w:rPr>
          <w:rFonts w:ascii="黑体" w:hAnsi="黑体"/>
          <w:szCs w:val="18"/>
        </w:rPr>
        <w:t>清除基层表面尘土和其它粘附物</w:t>
      </w:r>
      <w:r>
        <w:rPr>
          <w:rFonts w:hint="eastAsia" w:ascii="黑体" w:hAnsi="黑体"/>
          <w:szCs w:val="18"/>
        </w:rPr>
        <w:t>，彻底清洁基层油污类物质，满足真石漆施工条件。</w:t>
      </w:r>
    </w:p>
    <w:p w14:paraId="79946860">
      <w:pPr>
        <w:widowControl/>
        <w:numPr>
          <w:ilvl w:val="0"/>
          <w:numId w:val="148"/>
        </w:numPr>
        <w:autoSpaceDE w:val="0"/>
        <w:autoSpaceDN w:val="0"/>
        <w:adjustRightInd w:val="0"/>
        <w:spacing w:line="360" w:lineRule="auto"/>
        <w:jc w:val="left"/>
        <w:rPr>
          <w:rFonts w:ascii="黑体" w:hAnsi="黑体"/>
          <w:szCs w:val="18"/>
        </w:rPr>
      </w:pPr>
      <w:r>
        <w:rPr>
          <w:rFonts w:hint="eastAsia" w:ascii="黑体" w:hAnsi="黑体"/>
          <w:szCs w:val="18"/>
        </w:rPr>
        <w:t>真石涂料在施工前须采用专用塑料保护膜对门、窗、栏杆等易污染部位进行的保护。</w:t>
      </w:r>
    </w:p>
    <w:p w14:paraId="6F6F522C">
      <w:pPr>
        <w:widowControl/>
        <w:autoSpaceDE w:val="0"/>
        <w:autoSpaceDN w:val="0"/>
        <w:adjustRightInd w:val="0"/>
        <w:spacing w:line="360" w:lineRule="auto"/>
        <w:ind w:firstLine="542" w:firstLineChars="300"/>
        <w:jc w:val="left"/>
        <w:rPr>
          <w:rFonts w:ascii="黑体" w:hAnsi="黑体"/>
          <w:b/>
          <w:kern w:val="0"/>
          <w:szCs w:val="18"/>
        </w:rPr>
      </w:pPr>
      <w:r>
        <w:rPr>
          <w:rFonts w:hint="eastAsia" w:ascii="黑体" w:hAnsi="黑体"/>
          <w:b/>
          <w:kern w:val="0"/>
          <w:szCs w:val="18"/>
        </w:rPr>
        <w:t>B、混凝土界面处理剂技术要求：公司项目选用混凝土界面处理剂（D类 Ⅰ型）界面剂</w:t>
      </w:r>
    </w:p>
    <w:p w14:paraId="2E1805B7">
      <w:pPr>
        <w:widowControl/>
        <w:numPr>
          <w:ilvl w:val="0"/>
          <w:numId w:val="148"/>
        </w:numPr>
        <w:autoSpaceDE w:val="0"/>
        <w:autoSpaceDN w:val="0"/>
        <w:adjustRightInd w:val="0"/>
        <w:spacing w:line="360" w:lineRule="auto"/>
        <w:jc w:val="left"/>
        <w:rPr>
          <w:rFonts w:ascii="黑体" w:hAnsi="黑体"/>
          <w:kern w:val="0"/>
          <w:szCs w:val="18"/>
        </w:rPr>
      </w:pPr>
      <w:r>
        <w:rPr>
          <w:rFonts w:hint="eastAsia" w:ascii="黑体" w:hAnsi="黑体"/>
          <w:szCs w:val="18"/>
        </w:rPr>
        <w:t>产品应符合JC/T 907-2018《混凝土界面处理剂》D类Ⅰ型水泥混凝土的界面处理剂的技术要求。</w:t>
      </w:r>
    </w:p>
    <w:p w14:paraId="57CF55D4">
      <w:pPr>
        <w:widowControl/>
        <w:autoSpaceDE w:val="0"/>
        <w:autoSpaceDN w:val="0"/>
        <w:adjustRightInd w:val="0"/>
        <w:spacing w:line="360" w:lineRule="auto"/>
        <w:ind w:firstLine="542" w:firstLineChars="300"/>
        <w:jc w:val="left"/>
        <w:rPr>
          <w:rFonts w:ascii="黑体" w:hAnsi="黑体"/>
          <w:kern w:val="0"/>
          <w:szCs w:val="18"/>
        </w:rPr>
      </w:pPr>
      <w:r>
        <w:rPr>
          <w:rFonts w:hint="eastAsia" w:ascii="黑体" w:hAnsi="黑体"/>
          <w:b/>
          <w:kern w:val="0"/>
          <w:szCs w:val="18"/>
        </w:rPr>
        <w:t>C、</w:t>
      </w:r>
      <w:r>
        <w:rPr>
          <w:rFonts w:ascii="黑体" w:hAnsi="黑体"/>
          <w:b/>
          <w:kern w:val="0"/>
          <w:szCs w:val="18"/>
        </w:rPr>
        <w:t>封闭底漆技术要求</w:t>
      </w:r>
      <w:r>
        <w:rPr>
          <w:rFonts w:hint="eastAsia" w:ascii="黑体" w:hAnsi="黑体"/>
          <w:b/>
          <w:kern w:val="0"/>
          <w:szCs w:val="18"/>
        </w:rPr>
        <w:t>：公司项目选用I型底漆，水性底漆</w:t>
      </w:r>
    </w:p>
    <w:p w14:paraId="4101235C">
      <w:pPr>
        <w:widowControl/>
        <w:numPr>
          <w:ilvl w:val="0"/>
          <w:numId w:val="149"/>
        </w:numPr>
        <w:autoSpaceDE w:val="0"/>
        <w:autoSpaceDN w:val="0"/>
        <w:adjustRightInd w:val="0"/>
        <w:spacing w:line="360" w:lineRule="auto"/>
        <w:jc w:val="left"/>
        <w:rPr>
          <w:rFonts w:ascii="黑体" w:hAnsi="黑体"/>
          <w:kern w:val="0"/>
          <w:szCs w:val="18"/>
        </w:rPr>
      </w:pPr>
      <w:r>
        <w:rPr>
          <w:rFonts w:ascii="黑体" w:hAnsi="黑体"/>
          <w:kern w:val="0"/>
          <w:szCs w:val="18"/>
        </w:rPr>
        <w:t>涂刷具抗碱功能的</w:t>
      </w:r>
      <w:r>
        <w:rPr>
          <w:rFonts w:hint="eastAsia" w:ascii="黑体" w:hAnsi="黑体"/>
          <w:kern w:val="0"/>
          <w:szCs w:val="18"/>
        </w:rPr>
        <w:t>配套有色</w:t>
      </w:r>
      <w:r>
        <w:rPr>
          <w:rFonts w:ascii="黑体" w:hAnsi="黑体"/>
          <w:kern w:val="0"/>
          <w:szCs w:val="18"/>
        </w:rPr>
        <w:t>底漆</w:t>
      </w:r>
      <w:r>
        <w:rPr>
          <w:rFonts w:hint="eastAsia" w:ascii="黑体" w:hAnsi="黑体"/>
          <w:kern w:val="0"/>
          <w:szCs w:val="18"/>
        </w:rPr>
        <w:t>，</w:t>
      </w:r>
      <w:r>
        <w:rPr>
          <w:rFonts w:ascii="黑体" w:hAnsi="黑体"/>
          <w:kern w:val="0"/>
          <w:szCs w:val="18"/>
        </w:rPr>
        <w:t>符合JG/T210-2018《建筑内外墙用底漆》</w:t>
      </w:r>
      <w:r>
        <w:rPr>
          <w:rFonts w:hint="eastAsia" w:ascii="黑体" w:hAnsi="黑体"/>
          <w:kern w:val="0"/>
          <w:szCs w:val="18"/>
        </w:rPr>
        <w:t>I型底漆</w:t>
      </w:r>
      <w:r>
        <w:rPr>
          <w:rFonts w:ascii="黑体" w:hAnsi="黑体"/>
          <w:kern w:val="0"/>
          <w:szCs w:val="18"/>
        </w:rPr>
        <w:t>标准</w:t>
      </w:r>
      <w:r>
        <w:rPr>
          <w:rFonts w:hint="eastAsia" w:ascii="黑体" w:hAnsi="黑体"/>
          <w:kern w:val="0"/>
          <w:szCs w:val="18"/>
        </w:rPr>
        <w:t>，要求具有足够的粘聚力，保证面层不起皮、起泡、脱落，表面平滑，无滚涂痕迹、厚薄一致、光泽一致、无漏涂。</w:t>
      </w:r>
    </w:p>
    <w:p w14:paraId="6FD33B22">
      <w:pPr>
        <w:widowControl/>
        <w:autoSpaceDE w:val="0"/>
        <w:autoSpaceDN w:val="0"/>
        <w:adjustRightInd w:val="0"/>
        <w:spacing w:line="360" w:lineRule="auto"/>
        <w:ind w:firstLine="542" w:firstLineChars="300"/>
        <w:jc w:val="left"/>
        <w:rPr>
          <w:rFonts w:ascii="黑体" w:hAnsi="黑体"/>
          <w:kern w:val="0"/>
          <w:szCs w:val="18"/>
        </w:rPr>
      </w:pPr>
      <w:r>
        <w:rPr>
          <w:rFonts w:ascii="黑体" w:hAnsi="黑体"/>
          <w:b/>
          <w:kern w:val="0"/>
          <w:szCs w:val="18"/>
        </w:rPr>
        <w:t>D</w:t>
      </w:r>
      <w:r>
        <w:rPr>
          <w:rFonts w:hint="eastAsia" w:ascii="黑体" w:hAnsi="黑体"/>
          <w:b/>
          <w:kern w:val="0"/>
          <w:szCs w:val="18"/>
        </w:rPr>
        <w:t xml:space="preserve">、 </w:t>
      </w:r>
      <w:r>
        <w:rPr>
          <w:rFonts w:ascii="黑体" w:hAnsi="黑体"/>
          <w:b/>
          <w:kern w:val="0"/>
          <w:szCs w:val="18"/>
        </w:rPr>
        <w:t>真石漆</w:t>
      </w:r>
      <w:r>
        <w:rPr>
          <w:rFonts w:hint="eastAsia" w:ascii="黑体" w:hAnsi="黑体"/>
          <w:b/>
          <w:kern w:val="0"/>
          <w:szCs w:val="18"/>
        </w:rPr>
        <w:t>：公司项目选用W型（外用）</w:t>
      </w:r>
    </w:p>
    <w:p w14:paraId="621BAD0D">
      <w:pPr>
        <w:widowControl/>
        <w:autoSpaceDE w:val="0"/>
        <w:autoSpaceDN w:val="0"/>
        <w:adjustRightInd w:val="0"/>
        <w:spacing w:line="360" w:lineRule="auto"/>
        <w:ind w:firstLine="900" w:firstLineChars="500"/>
        <w:jc w:val="left"/>
        <w:rPr>
          <w:rFonts w:ascii="黑体" w:hAnsi="黑体"/>
          <w:kern w:val="0"/>
          <w:szCs w:val="18"/>
        </w:rPr>
      </w:pPr>
      <w:r>
        <w:rPr>
          <w:rFonts w:ascii="黑体" w:hAnsi="黑体"/>
          <w:kern w:val="0"/>
          <w:szCs w:val="18"/>
        </w:rPr>
        <w:t>D1</w:t>
      </w:r>
      <w:r>
        <w:rPr>
          <w:rFonts w:hint="eastAsia" w:ascii="黑体" w:hAnsi="黑体"/>
          <w:kern w:val="0"/>
          <w:szCs w:val="18"/>
        </w:rPr>
        <w:t xml:space="preserve">、 </w:t>
      </w:r>
      <w:r>
        <w:rPr>
          <w:rFonts w:ascii="黑体" w:hAnsi="黑体"/>
          <w:kern w:val="0"/>
          <w:szCs w:val="18"/>
        </w:rPr>
        <w:t>材料相容性</w:t>
      </w:r>
    </w:p>
    <w:p w14:paraId="6C207EDB">
      <w:pPr>
        <w:widowControl/>
        <w:autoSpaceDE w:val="0"/>
        <w:autoSpaceDN w:val="0"/>
        <w:adjustRightInd w:val="0"/>
        <w:spacing w:line="360" w:lineRule="auto"/>
        <w:ind w:left="360" w:firstLine="1260" w:firstLineChars="700"/>
        <w:jc w:val="left"/>
        <w:rPr>
          <w:rFonts w:ascii="黑体" w:hAnsi="黑体"/>
          <w:kern w:val="0"/>
          <w:szCs w:val="18"/>
        </w:rPr>
      </w:pPr>
      <w:r>
        <w:rPr>
          <w:rFonts w:ascii="黑体" w:hAnsi="黑体"/>
          <w:kern w:val="0"/>
          <w:szCs w:val="18"/>
        </w:rPr>
        <w:t>真石漆系统中的每种材料都应与其他材料和基底相容，相容性由制造商测试和现场实验证明。</w:t>
      </w:r>
    </w:p>
    <w:p w14:paraId="6EE88633">
      <w:pPr>
        <w:widowControl/>
        <w:autoSpaceDE w:val="0"/>
        <w:autoSpaceDN w:val="0"/>
        <w:adjustRightInd w:val="0"/>
        <w:spacing w:line="360" w:lineRule="auto"/>
        <w:ind w:left="360" w:firstLine="540" w:firstLineChars="300"/>
        <w:jc w:val="left"/>
        <w:rPr>
          <w:rFonts w:ascii="黑体" w:hAnsi="黑体"/>
          <w:kern w:val="0"/>
          <w:szCs w:val="18"/>
        </w:rPr>
      </w:pPr>
      <w:r>
        <w:rPr>
          <w:rFonts w:ascii="黑体" w:hAnsi="黑体"/>
          <w:kern w:val="0"/>
          <w:szCs w:val="18"/>
        </w:rPr>
        <w:t>D2</w:t>
      </w:r>
      <w:r>
        <w:rPr>
          <w:rFonts w:hint="eastAsia" w:ascii="黑体" w:hAnsi="黑体"/>
          <w:kern w:val="0"/>
          <w:szCs w:val="18"/>
        </w:rPr>
        <w:t>、 性能要求：真石漆应符合JG/T24-20</w:t>
      </w:r>
      <w:r>
        <w:rPr>
          <w:rFonts w:ascii="黑体" w:hAnsi="黑体"/>
          <w:kern w:val="0"/>
          <w:szCs w:val="18"/>
        </w:rPr>
        <w:t>18《合成树脂乳液砂壁状建筑涂料》中W型的技术要求，</w:t>
      </w:r>
      <w:r>
        <w:rPr>
          <w:rFonts w:hint="eastAsia" w:ascii="黑体" w:hAnsi="黑体"/>
          <w:kern w:val="0"/>
          <w:szCs w:val="18"/>
        </w:rPr>
        <w:t>公司同时要求</w:t>
      </w:r>
      <w:r>
        <w:rPr>
          <w:rFonts w:ascii="黑体" w:hAnsi="黑体"/>
          <w:kern w:val="0"/>
          <w:szCs w:val="18"/>
        </w:rPr>
        <w:t>须满足以下</w:t>
      </w:r>
      <w:r>
        <w:rPr>
          <w:rFonts w:hint="eastAsia" w:ascii="黑体" w:hAnsi="黑体"/>
          <w:kern w:val="0"/>
          <w:szCs w:val="18"/>
        </w:rPr>
        <w:t>项目</w:t>
      </w:r>
      <w:r>
        <w:rPr>
          <w:rFonts w:ascii="黑体" w:hAnsi="黑体"/>
          <w:kern w:val="0"/>
          <w:szCs w:val="18"/>
        </w:rPr>
        <w:t>指标要求</w:t>
      </w:r>
      <w:r>
        <w:rPr>
          <w:rFonts w:hint="eastAsia" w:ascii="黑体" w:hAnsi="黑体"/>
          <w:kern w:val="0"/>
          <w:szCs w:val="18"/>
        </w:rPr>
        <w:t>：</w:t>
      </w:r>
    </w:p>
    <w:tbl>
      <w:tblPr>
        <w:tblStyle w:val="36"/>
        <w:tblW w:w="849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276"/>
        <w:gridCol w:w="2835"/>
        <w:gridCol w:w="2683"/>
      </w:tblGrid>
      <w:tr w14:paraId="216C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right"/>
        </w:trPr>
        <w:tc>
          <w:tcPr>
            <w:tcW w:w="2972" w:type="dxa"/>
            <w:gridSpan w:val="2"/>
            <w:vMerge w:val="restart"/>
            <w:shd w:val="clear" w:color="auto" w:fill="auto"/>
            <w:vAlign w:val="center"/>
          </w:tcPr>
          <w:p w14:paraId="3CEEE354">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项 目</w:t>
            </w:r>
          </w:p>
        </w:tc>
        <w:tc>
          <w:tcPr>
            <w:tcW w:w="2835" w:type="dxa"/>
            <w:shd w:val="clear" w:color="auto" w:fill="auto"/>
            <w:vAlign w:val="center"/>
          </w:tcPr>
          <w:p w14:paraId="34785435">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行业技术指标</w:t>
            </w:r>
          </w:p>
        </w:tc>
        <w:tc>
          <w:tcPr>
            <w:tcW w:w="2683" w:type="dxa"/>
            <w:vMerge w:val="restart"/>
            <w:shd w:val="clear" w:color="auto" w:fill="auto"/>
            <w:vAlign w:val="center"/>
          </w:tcPr>
          <w:p w14:paraId="284EB0D1">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项目技术指标</w:t>
            </w:r>
          </w:p>
        </w:tc>
      </w:tr>
      <w:tr w14:paraId="10A4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right"/>
        </w:trPr>
        <w:tc>
          <w:tcPr>
            <w:tcW w:w="2972" w:type="dxa"/>
            <w:gridSpan w:val="2"/>
            <w:vMerge w:val="continue"/>
            <w:shd w:val="clear" w:color="auto" w:fill="auto"/>
            <w:vAlign w:val="center"/>
          </w:tcPr>
          <w:p w14:paraId="0E932213">
            <w:pPr>
              <w:widowControl/>
              <w:adjustRightInd w:val="0"/>
              <w:snapToGrid w:val="0"/>
              <w:spacing w:line="360" w:lineRule="auto"/>
              <w:jc w:val="left"/>
              <w:rPr>
                <w:rFonts w:ascii="黑体" w:hAnsi="黑体" w:cs="宋体"/>
                <w:kern w:val="0"/>
                <w:szCs w:val="18"/>
              </w:rPr>
            </w:pPr>
          </w:p>
        </w:tc>
        <w:tc>
          <w:tcPr>
            <w:tcW w:w="2835" w:type="dxa"/>
            <w:shd w:val="clear" w:color="auto" w:fill="auto"/>
            <w:vAlign w:val="center"/>
          </w:tcPr>
          <w:p w14:paraId="28D6BD97">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（JG/T24-20</w:t>
            </w:r>
            <w:r>
              <w:rPr>
                <w:rFonts w:ascii="黑体" w:hAnsi="黑体" w:cs="宋体"/>
                <w:kern w:val="0"/>
                <w:szCs w:val="18"/>
              </w:rPr>
              <w:t>18</w:t>
            </w:r>
            <w:r>
              <w:rPr>
                <w:rFonts w:hint="eastAsia" w:ascii="黑体" w:hAnsi="黑体" w:cs="宋体"/>
                <w:kern w:val="0"/>
                <w:szCs w:val="18"/>
              </w:rPr>
              <w:t>)</w:t>
            </w:r>
          </w:p>
        </w:tc>
        <w:tc>
          <w:tcPr>
            <w:tcW w:w="2683" w:type="dxa"/>
            <w:vMerge w:val="continue"/>
            <w:shd w:val="clear" w:color="auto" w:fill="auto"/>
            <w:vAlign w:val="center"/>
          </w:tcPr>
          <w:p w14:paraId="29BFA312">
            <w:pPr>
              <w:widowControl/>
              <w:adjustRightInd w:val="0"/>
              <w:snapToGrid w:val="0"/>
              <w:spacing w:line="360" w:lineRule="auto"/>
              <w:jc w:val="left"/>
              <w:rPr>
                <w:rFonts w:ascii="黑体" w:hAnsi="黑体" w:cs="宋体"/>
                <w:kern w:val="0"/>
                <w:szCs w:val="18"/>
              </w:rPr>
            </w:pPr>
          </w:p>
        </w:tc>
      </w:tr>
      <w:tr w14:paraId="369C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right"/>
        </w:trPr>
        <w:tc>
          <w:tcPr>
            <w:tcW w:w="2972" w:type="dxa"/>
            <w:gridSpan w:val="2"/>
            <w:vMerge w:val="continue"/>
            <w:vAlign w:val="center"/>
          </w:tcPr>
          <w:p w14:paraId="53675F34">
            <w:pPr>
              <w:widowControl/>
              <w:adjustRightInd w:val="0"/>
              <w:snapToGrid w:val="0"/>
              <w:spacing w:line="360" w:lineRule="auto"/>
              <w:jc w:val="left"/>
              <w:rPr>
                <w:rFonts w:ascii="黑体" w:hAnsi="黑体" w:cs="宋体"/>
                <w:kern w:val="0"/>
                <w:szCs w:val="18"/>
              </w:rPr>
            </w:pPr>
          </w:p>
        </w:tc>
        <w:tc>
          <w:tcPr>
            <w:tcW w:w="2835" w:type="dxa"/>
            <w:shd w:val="clear" w:color="auto" w:fill="auto"/>
            <w:vAlign w:val="center"/>
          </w:tcPr>
          <w:p w14:paraId="39BAF670">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W型（外用）</w:t>
            </w:r>
          </w:p>
        </w:tc>
        <w:tc>
          <w:tcPr>
            <w:tcW w:w="2683" w:type="dxa"/>
            <w:shd w:val="clear" w:color="auto" w:fill="auto"/>
            <w:vAlign w:val="center"/>
          </w:tcPr>
          <w:p w14:paraId="7C5D8C55">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W型（外用）</w:t>
            </w:r>
          </w:p>
        </w:tc>
      </w:tr>
      <w:tr w14:paraId="6C40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right"/>
        </w:trPr>
        <w:tc>
          <w:tcPr>
            <w:tcW w:w="2972" w:type="dxa"/>
            <w:gridSpan w:val="2"/>
            <w:shd w:val="clear" w:color="auto" w:fill="auto"/>
            <w:vAlign w:val="center"/>
          </w:tcPr>
          <w:p w14:paraId="52FB274B">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耐沾污性</w:t>
            </w:r>
          </w:p>
        </w:tc>
        <w:tc>
          <w:tcPr>
            <w:tcW w:w="2835" w:type="dxa"/>
            <w:shd w:val="clear" w:color="auto" w:fill="auto"/>
            <w:vAlign w:val="center"/>
          </w:tcPr>
          <w:p w14:paraId="396D8B23">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5次循环试验后≤2级</w:t>
            </w:r>
          </w:p>
        </w:tc>
        <w:tc>
          <w:tcPr>
            <w:tcW w:w="2683" w:type="dxa"/>
            <w:shd w:val="clear" w:color="auto" w:fill="auto"/>
            <w:vAlign w:val="center"/>
          </w:tcPr>
          <w:p w14:paraId="31E95C60">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5次循环试验后≤2级</w:t>
            </w:r>
          </w:p>
        </w:tc>
      </w:tr>
      <w:tr w14:paraId="096F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right"/>
        </w:trPr>
        <w:tc>
          <w:tcPr>
            <w:tcW w:w="1696" w:type="dxa"/>
            <w:vMerge w:val="restart"/>
            <w:shd w:val="clear" w:color="auto" w:fill="auto"/>
            <w:vAlign w:val="center"/>
          </w:tcPr>
          <w:p w14:paraId="57606451">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粘结强度</w:t>
            </w:r>
          </w:p>
          <w:p w14:paraId="346D347D">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MPa</w:t>
            </w:r>
          </w:p>
        </w:tc>
        <w:tc>
          <w:tcPr>
            <w:tcW w:w="1276" w:type="dxa"/>
            <w:shd w:val="clear" w:color="auto" w:fill="auto"/>
            <w:vAlign w:val="center"/>
          </w:tcPr>
          <w:p w14:paraId="77D5867A">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标准状态</w:t>
            </w:r>
          </w:p>
        </w:tc>
        <w:tc>
          <w:tcPr>
            <w:tcW w:w="2835" w:type="dxa"/>
            <w:shd w:val="clear" w:color="auto" w:fill="auto"/>
            <w:vAlign w:val="center"/>
          </w:tcPr>
          <w:p w14:paraId="4F69BB97">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≥0.</w:t>
            </w:r>
            <w:r>
              <w:rPr>
                <w:rFonts w:ascii="黑体" w:hAnsi="黑体" w:cs="宋体"/>
                <w:kern w:val="0"/>
                <w:szCs w:val="18"/>
              </w:rPr>
              <w:t>6</w:t>
            </w:r>
            <w:r>
              <w:rPr>
                <w:rFonts w:hint="eastAsia" w:ascii="黑体" w:hAnsi="黑体" w:cs="宋体"/>
                <w:kern w:val="0"/>
                <w:szCs w:val="18"/>
              </w:rPr>
              <w:t>0</w:t>
            </w:r>
          </w:p>
        </w:tc>
        <w:tc>
          <w:tcPr>
            <w:tcW w:w="2683" w:type="dxa"/>
            <w:shd w:val="clear" w:color="auto" w:fill="auto"/>
          </w:tcPr>
          <w:p w14:paraId="09B605C4">
            <w:pPr>
              <w:adjustRightInd w:val="0"/>
              <w:snapToGrid w:val="0"/>
              <w:spacing w:line="360" w:lineRule="auto"/>
              <w:jc w:val="left"/>
              <w:rPr>
                <w:rFonts w:ascii="黑体" w:hAnsi="黑体"/>
                <w:szCs w:val="18"/>
              </w:rPr>
            </w:pPr>
            <w:r>
              <w:rPr>
                <w:rFonts w:hint="eastAsia" w:ascii="黑体" w:hAnsi="黑体" w:cs="宋体"/>
                <w:kern w:val="0"/>
                <w:szCs w:val="18"/>
              </w:rPr>
              <w:t>≥0.</w:t>
            </w:r>
            <w:r>
              <w:rPr>
                <w:rFonts w:ascii="黑体" w:hAnsi="黑体" w:cs="宋体"/>
                <w:kern w:val="0"/>
                <w:szCs w:val="18"/>
              </w:rPr>
              <w:t>70</w:t>
            </w:r>
          </w:p>
        </w:tc>
      </w:tr>
      <w:tr w14:paraId="6C84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right"/>
        </w:trPr>
        <w:tc>
          <w:tcPr>
            <w:tcW w:w="1696" w:type="dxa"/>
            <w:vMerge w:val="continue"/>
            <w:shd w:val="clear" w:color="auto" w:fill="auto"/>
            <w:vAlign w:val="center"/>
          </w:tcPr>
          <w:p w14:paraId="6759E949">
            <w:pPr>
              <w:widowControl/>
              <w:adjustRightInd w:val="0"/>
              <w:snapToGrid w:val="0"/>
              <w:spacing w:line="360" w:lineRule="auto"/>
              <w:jc w:val="left"/>
              <w:rPr>
                <w:rFonts w:ascii="黑体" w:hAnsi="黑体" w:cs="宋体"/>
                <w:kern w:val="0"/>
                <w:szCs w:val="18"/>
              </w:rPr>
            </w:pPr>
          </w:p>
        </w:tc>
        <w:tc>
          <w:tcPr>
            <w:tcW w:w="1276" w:type="dxa"/>
            <w:shd w:val="clear" w:color="auto" w:fill="auto"/>
            <w:vAlign w:val="center"/>
          </w:tcPr>
          <w:p w14:paraId="3CE0D8F8">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浸水后</w:t>
            </w:r>
          </w:p>
        </w:tc>
        <w:tc>
          <w:tcPr>
            <w:tcW w:w="2835" w:type="dxa"/>
            <w:shd w:val="clear" w:color="auto" w:fill="auto"/>
            <w:vAlign w:val="center"/>
          </w:tcPr>
          <w:p w14:paraId="1AA1F2A1">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≥0.</w:t>
            </w:r>
            <w:r>
              <w:rPr>
                <w:rFonts w:ascii="黑体" w:hAnsi="黑体" w:cs="宋体"/>
                <w:kern w:val="0"/>
                <w:szCs w:val="18"/>
              </w:rPr>
              <w:t>4</w:t>
            </w:r>
            <w:r>
              <w:rPr>
                <w:rFonts w:hint="eastAsia" w:ascii="黑体" w:hAnsi="黑体" w:cs="宋体"/>
                <w:kern w:val="0"/>
                <w:szCs w:val="18"/>
              </w:rPr>
              <w:t>0</w:t>
            </w:r>
          </w:p>
        </w:tc>
        <w:tc>
          <w:tcPr>
            <w:tcW w:w="2683" w:type="dxa"/>
            <w:shd w:val="clear" w:color="auto" w:fill="auto"/>
          </w:tcPr>
          <w:p w14:paraId="29A433A5">
            <w:pPr>
              <w:adjustRightInd w:val="0"/>
              <w:snapToGrid w:val="0"/>
              <w:spacing w:line="360" w:lineRule="auto"/>
              <w:jc w:val="left"/>
              <w:rPr>
                <w:rFonts w:ascii="黑体" w:hAnsi="黑体"/>
                <w:szCs w:val="18"/>
              </w:rPr>
            </w:pPr>
            <w:r>
              <w:rPr>
                <w:rFonts w:hint="eastAsia" w:ascii="黑体" w:hAnsi="黑体" w:cs="宋体"/>
                <w:kern w:val="0"/>
                <w:szCs w:val="18"/>
              </w:rPr>
              <w:t>≥0.</w:t>
            </w:r>
            <w:r>
              <w:rPr>
                <w:rFonts w:ascii="黑体" w:hAnsi="黑体" w:cs="宋体"/>
                <w:kern w:val="0"/>
                <w:szCs w:val="18"/>
              </w:rPr>
              <w:t>50</w:t>
            </w:r>
          </w:p>
        </w:tc>
      </w:tr>
      <w:tr w14:paraId="1881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right"/>
        </w:trPr>
        <w:tc>
          <w:tcPr>
            <w:tcW w:w="2972" w:type="dxa"/>
            <w:gridSpan w:val="2"/>
            <w:shd w:val="clear" w:color="auto" w:fill="auto"/>
            <w:vAlign w:val="center"/>
          </w:tcPr>
          <w:p w14:paraId="24408E72">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耐人工老化性</w:t>
            </w:r>
          </w:p>
        </w:tc>
        <w:tc>
          <w:tcPr>
            <w:tcW w:w="2835" w:type="dxa"/>
            <w:shd w:val="clear" w:color="auto" w:fill="auto"/>
            <w:vAlign w:val="center"/>
          </w:tcPr>
          <w:p w14:paraId="58CB2932">
            <w:pPr>
              <w:widowControl/>
              <w:adjustRightInd w:val="0"/>
              <w:snapToGrid w:val="0"/>
              <w:spacing w:line="360" w:lineRule="auto"/>
              <w:jc w:val="left"/>
              <w:rPr>
                <w:rFonts w:ascii="黑体" w:hAnsi="黑体" w:cs="宋体"/>
                <w:kern w:val="0"/>
                <w:szCs w:val="18"/>
              </w:rPr>
            </w:pPr>
            <w:r>
              <w:rPr>
                <w:rFonts w:hint="eastAsia" w:ascii="黑体" w:hAnsi="黑体" w:cs="宋体"/>
                <w:kern w:val="0"/>
                <w:szCs w:val="18"/>
              </w:rPr>
              <w:t>50</w:t>
            </w:r>
            <w:r>
              <w:rPr>
                <w:rFonts w:ascii="黑体" w:hAnsi="黑体" w:cs="宋体"/>
                <w:kern w:val="0"/>
                <w:szCs w:val="18"/>
              </w:rPr>
              <w:t>0h</w:t>
            </w:r>
            <w:r>
              <w:rPr>
                <w:rFonts w:hint="eastAsia" w:ascii="黑体" w:hAnsi="黑体" w:cs="宋体"/>
                <w:kern w:val="0"/>
                <w:szCs w:val="18"/>
              </w:rPr>
              <w:t>涂层无开裂、起鼓、剥落、粉化0级；变色≤1级</w:t>
            </w:r>
          </w:p>
        </w:tc>
        <w:tc>
          <w:tcPr>
            <w:tcW w:w="2683" w:type="dxa"/>
            <w:shd w:val="clear" w:color="auto" w:fill="auto"/>
            <w:vAlign w:val="center"/>
          </w:tcPr>
          <w:p w14:paraId="62FE0467">
            <w:pPr>
              <w:widowControl/>
              <w:adjustRightInd w:val="0"/>
              <w:snapToGrid w:val="0"/>
              <w:spacing w:line="360" w:lineRule="auto"/>
              <w:jc w:val="left"/>
              <w:rPr>
                <w:rFonts w:ascii="黑体" w:hAnsi="黑体" w:cs="宋体"/>
                <w:b/>
                <w:kern w:val="0"/>
                <w:szCs w:val="18"/>
              </w:rPr>
            </w:pPr>
            <w:r>
              <w:rPr>
                <w:rFonts w:hint="eastAsia" w:ascii="黑体" w:hAnsi="黑体" w:cs="宋体"/>
                <w:b/>
                <w:kern w:val="0"/>
                <w:szCs w:val="18"/>
              </w:rPr>
              <w:t>100</w:t>
            </w:r>
            <w:r>
              <w:rPr>
                <w:rFonts w:ascii="黑体" w:hAnsi="黑体" w:cs="宋体"/>
                <w:b/>
                <w:kern w:val="0"/>
                <w:szCs w:val="18"/>
              </w:rPr>
              <w:t>0h</w:t>
            </w:r>
            <w:r>
              <w:rPr>
                <w:rFonts w:hint="eastAsia" w:ascii="黑体" w:hAnsi="黑体" w:cs="宋体"/>
                <w:b/>
                <w:kern w:val="0"/>
                <w:szCs w:val="18"/>
              </w:rPr>
              <w:t>涂层无开裂、起鼓、剥落、粉化0级；变色≤1级</w:t>
            </w:r>
          </w:p>
        </w:tc>
      </w:tr>
    </w:tbl>
    <w:p w14:paraId="5C337396">
      <w:pPr>
        <w:widowControl/>
        <w:autoSpaceDE w:val="0"/>
        <w:autoSpaceDN w:val="0"/>
        <w:adjustRightInd w:val="0"/>
        <w:spacing w:line="360" w:lineRule="auto"/>
        <w:ind w:left="360" w:firstLine="540" w:firstLineChars="300"/>
        <w:jc w:val="left"/>
        <w:rPr>
          <w:rFonts w:ascii="黑体" w:hAnsi="黑体"/>
          <w:kern w:val="0"/>
          <w:szCs w:val="18"/>
        </w:rPr>
      </w:pPr>
    </w:p>
    <w:p w14:paraId="30D89722">
      <w:pPr>
        <w:widowControl/>
        <w:autoSpaceDE w:val="0"/>
        <w:autoSpaceDN w:val="0"/>
        <w:adjustRightInd w:val="0"/>
        <w:spacing w:line="360" w:lineRule="auto"/>
        <w:ind w:left="360" w:firstLine="540" w:firstLineChars="300"/>
        <w:jc w:val="left"/>
        <w:rPr>
          <w:rFonts w:ascii="黑体" w:hAnsi="黑体"/>
          <w:kern w:val="0"/>
          <w:szCs w:val="18"/>
        </w:rPr>
      </w:pPr>
      <w:r>
        <w:rPr>
          <w:rFonts w:hint="eastAsia" w:ascii="黑体" w:hAnsi="黑体"/>
          <w:kern w:val="0"/>
          <w:szCs w:val="18"/>
        </w:rPr>
        <w:t>D</w:t>
      </w:r>
      <w:r>
        <w:rPr>
          <w:rFonts w:ascii="黑体" w:hAnsi="黑体"/>
          <w:kern w:val="0"/>
          <w:szCs w:val="18"/>
        </w:rPr>
        <w:t>3</w:t>
      </w:r>
      <w:r>
        <w:rPr>
          <w:rFonts w:hint="eastAsia" w:ascii="黑体" w:hAnsi="黑体"/>
          <w:kern w:val="0"/>
          <w:szCs w:val="18"/>
        </w:rPr>
        <w:t>、  公司项目另外要求柔韧性要达到以下要求：</w:t>
      </w:r>
    </w:p>
    <w:tbl>
      <w:tblPr>
        <w:tblStyle w:val="36"/>
        <w:tblW w:w="8505" w:type="dxa"/>
        <w:tblInd w:w="112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01"/>
        <w:gridCol w:w="4111"/>
        <w:gridCol w:w="2693"/>
      </w:tblGrid>
      <w:tr w14:paraId="3141C1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701" w:type="dxa"/>
            <w:vMerge w:val="restart"/>
            <w:shd w:val="clear" w:color="auto" w:fill="auto"/>
            <w:vAlign w:val="center"/>
          </w:tcPr>
          <w:p w14:paraId="72921590">
            <w:pPr>
              <w:spacing w:line="360" w:lineRule="auto"/>
              <w:jc w:val="left"/>
              <w:rPr>
                <w:rFonts w:ascii="黑体" w:hAnsi="黑体" w:cs="宋体"/>
                <w:kern w:val="0"/>
                <w:szCs w:val="18"/>
              </w:rPr>
            </w:pPr>
            <w:r>
              <w:rPr>
                <w:rFonts w:hint="eastAsia" w:ascii="黑体" w:hAnsi="黑体" w:cs="宋体"/>
                <w:kern w:val="0"/>
                <w:szCs w:val="18"/>
              </w:rPr>
              <w:t>柔韧性</w:t>
            </w:r>
          </w:p>
        </w:tc>
        <w:tc>
          <w:tcPr>
            <w:tcW w:w="4111" w:type="dxa"/>
            <w:shd w:val="clear" w:color="auto" w:fill="auto"/>
            <w:vAlign w:val="center"/>
          </w:tcPr>
          <w:p w14:paraId="70A4E2D7">
            <w:pPr>
              <w:widowControl/>
              <w:spacing w:line="360" w:lineRule="auto"/>
              <w:jc w:val="left"/>
              <w:rPr>
                <w:rFonts w:ascii="黑体" w:hAnsi="黑体" w:cs="宋体"/>
                <w:kern w:val="0"/>
                <w:szCs w:val="18"/>
              </w:rPr>
            </w:pPr>
            <w:r>
              <w:rPr>
                <w:rFonts w:hint="eastAsia" w:ascii="黑体" w:hAnsi="黑体"/>
                <w:szCs w:val="18"/>
              </w:rPr>
              <w:t>GB/T1748-1979(1989) 《腻子膜柔韧性测定法》</w:t>
            </w:r>
          </w:p>
        </w:tc>
        <w:tc>
          <w:tcPr>
            <w:tcW w:w="2693" w:type="dxa"/>
            <w:shd w:val="clear" w:color="auto" w:fill="auto"/>
            <w:vAlign w:val="center"/>
          </w:tcPr>
          <w:p w14:paraId="34B8A9C8">
            <w:pPr>
              <w:spacing w:line="360" w:lineRule="auto"/>
              <w:jc w:val="left"/>
              <w:rPr>
                <w:rFonts w:ascii="黑体" w:hAnsi="黑体" w:cs="宋体"/>
                <w:kern w:val="0"/>
                <w:szCs w:val="18"/>
              </w:rPr>
            </w:pPr>
            <w:r>
              <w:rPr>
                <w:rFonts w:hint="eastAsia" w:ascii="黑体" w:hAnsi="黑体" w:cs="宋体"/>
                <w:kern w:val="0"/>
                <w:szCs w:val="18"/>
              </w:rPr>
              <w:t>项目技术要求</w:t>
            </w:r>
          </w:p>
        </w:tc>
      </w:tr>
      <w:tr w14:paraId="099C0D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701" w:type="dxa"/>
            <w:vMerge w:val="continue"/>
            <w:shd w:val="clear" w:color="auto" w:fill="auto"/>
            <w:vAlign w:val="center"/>
          </w:tcPr>
          <w:p w14:paraId="50E972BA">
            <w:pPr>
              <w:widowControl/>
              <w:spacing w:line="360" w:lineRule="auto"/>
              <w:jc w:val="left"/>
              <w:rPr>
                <w:rFonts w:ascii="黑体" w:hAnsi="黑体" w:cs="宋体"/>
                <w:kern w:val="0"/>
                <w:szCs w:val="18"/>
              </w:rPr>
            </w:pPr>
          </w:p>
        </w:tc>
        <w:tc>
          <w:tcPr>
            <w:tcW w:w="4111" w:type="dxa"/>
            <w:shd w:val="clear" w:color="auto" w:fill="auto"/>
            <w:vAlign w:val="center"/>
          </w:tcPr>
          <w:p w14:paraId="17F20081">
            <w:pPr>
              <w:widowControl/>
              <w:spacing w:line="360" w:lineRule="auto"/>
              <w:jc w:val="left"/>
              <w:rPr>
                <w:rFonts w:ascii="黑体" w:hAnsi="黑体" w:cs="宋体"/>
                <w:kern w:val="0"/>
                <w:szCs w:val="18"/>
              </w:rPr>
            </w:pPr>
            <w:r>
              <w:rPr>
                <w:rFonts w:hint="eastAsia" w:ascii="黑体" w:hAnsi="黑体" w:cs="宋体"/>
                <w:kern w:val="0"/>
                <w:szCs w:val="18"/>
              </w:rPr>
              <w:t>——</w:t>
            </w:r>
          </w:p>
        </w:tc>
        <w:tc>
          <w:tcPr>
            <w:tcW w:w="2693" w:type="dxa"/>
            <w:shd w:val="clear" w:color="auto" w:fill="auto"/>
            <w:vAlign w:val="center"/>
          </w:tcPr>
          <w:p w14:paraId="3C90FB17">
            <w:pPr>
              <w:widowControl/>
              <w:spacing w:line="360" w:lineRule="auto"/>
              <w:jc w:val="left"/>
              <w:rPr>
                <w:rFonts w:ascii="黑体" w:hAnsi="黑体" w:cs="宋体"/>
                <w:kern w:val="0"/>
                <w:szCs w:val="18"/>
              </w:rPr>
            </w:pPr>
            <w:r>
              <w:rPr>
                <w:rFonts w:hint="eastAsia" w:ascii="黑体" w:hAnsi="黑体" w:cs="宋体"/>
                <w:kern w:val="0"/>
                <w:szCs w:val="18"/>
              </w:rPr>
              <w:t>Φ50mm弯折无裂纹</w:t>
            </w:r>
          </w:p>
        </w:tc>
      </w:tr>
    </w:tbl>
    <w:p w14:paraId="69F1AA65">
      <w:pPr>
        <w:widowControl/>
        <w:autoSpaceDE w:val="0"/>
        <w:autoSpaceDN w:val="0"/>
        <w:adjustRightInd w:val="0"/>
        <w:spacing w:line="360" w:lineRule="auto"/>
        <w:ind w:firstLine="542" w:firstLineChars="300"/>
        <w:jc w:val="left"/>
        <w:rPr>
          <w:rFonts w:ascii="黑体" w:hAnsi="黑体"/>
          <w:b/>
          <w:kern w:val="0"/>
          <w:szCs w:val="18"/>
        </w:rPr>
      </w:pPr>
      <w:r>
        <w:rPr>
          <w:rFonts w:ascii="黑体" w:hAnsi="黑体"/>
          <w:b/>
          <w:kern w:val="0"/>
          <w:szCs w:val="18"/>
        </w:rPr>
        <w:t>E</w:t>
      </w:r>
      <w:r>
        <w:rPr>
          <w:rFonts w:hint="eastAsia" w:ascii="黑体" w:hAnsi="黑体"/>
          <w:b/>
          <w:kern w:val="0"/>
          <w:szCs w:val="18"/>
        </w:rPr>
        <w:t>、 真石漆耐候</w:t>
      </w:r>
      <w:r>
        <w:rPr>
          <w:rFonts w:ascii="黑体" w:hAnsi="黑体"/>
          <w:b/>
          <w:kern w:val="0"/>
          <w:szCs w:val="18"/>
        </w:rPr>
        <w:t>罩面漆</w:t>
      </w:r>
      <w:r>
        <w:rPr>
          <w:rFonts w:hint="eastAsia" w:ascii="黑体" w:hAnsi="黑体"/>
          <w:b/>
          <w:kern w:val="0"/>
          <w:szCs w:val="18"/>
        </w:rPr>
        <w:t>：面漆采用GB/T 9755-2014《合成树脂乳液外墙涂料》中优等品性能，水性面漆，并符合以下技术指标。</w:t>
      </w:r>
    </w:p>
    <w:p w14:paraId="6F784419">
      <w:pPr>
        <w:widowControl/>
        <w:autoSpaceDE w:val="0"/>
        <w:autoSpaceDN w:val="0"/>
        <w:adjustRightInd w:val="0"/>
        <w:spacing w:line="360" w:lineRule="auto"/>
        <w:ind w:left="360" w:firstLine="360" w:firstLineChars="200"/>
        <w:jc w:val="left"/>
        <w:rPr>
          <w:rFonts w:ascii="黑体" w:hAnsi="黑体"/>
          <w:kern w:val="0"/>
          <w:szCs w:val="18"/>
        </w:rPr>
      </w:pPr>
      <w:r>
        <w:rPr>
          <w:rFonts w:hint="eastAsia" w:ascii="黑体" w:hAnsi="黑体"/>
          <w:kern w:val="0"/>
          <w:szCs w:val="18"/>
        </w:rPr>
        <w:t>须具有</w:t>
      </w:r>
      <w:r>
        <w:rPr>
          <w:rFonts w:ascii="黑体" w:hAnsi="黑体"/>
          <w:kern w:val="0"/>
          <w:szCs w:val="18"/>
        </w:rPr>
        <w:t>抗紫外线照射、耐久性能、抗污染性能</w:t>
      </w:r>
      <w:r>
        <w:rPr>
          <w:rFonts w:hint="eastAsia" w:ascii="黑体" w:hAnsi="黑体"/>
          <w:kern w:val="0"/>
          <w:szCs w:val="18"/>
        </w:rPr>
        <w:t>，</w:t>
      </w:r>
      <w:r>
        <w:rPr>
          <w:rFonts w:ascii="黑体" w:hAnsi="黑体"/>
          <w:kern w:val="0"/>
          <w:szCs w:val="18"/>
        </w:rPr>
        <w:t>罩面漆应保证有充分的干燥时间，光泽度为</w:t>
      </w:r>
      <w:r>
        <w:rPr>
          <w:rFonts w:hint="eastAsia" w:ascii="黑体" w:hAnsi="黑体"/>
          <w:kern w:val="0"/>
          <w:szCs w:val="18"/>
        </w:rPr>
        <w:t>高</w:t>
      </w:r>
      <w:r>
        <w:rPr>
          <w:rFonts w:ascii="黑体" w:hAnsi="黑体"/>
          <w:kern w:val="0"/>
          <w:szCs w:val="18"/>
        </w:rPr>
        <w:t>光，附检测报告。具体外墙的颜色、效果和光泽度等以实际封样为准，施工中不得出现漏刷、涂刷不均、流坠和污染等现象，否则将视同工程不合格。</w:t>
      </w:r>
    </w:p>
    <w:p w14:paraId="593CBC9D">
      <w:pPr>
        <w:widowControl/>
        <w:autoSpaceDE w:val="0"/>
        <w:autoSpaceDN w:val="0"/>
        <w:adjustRightInd w:val="0"/>
        <w:spacing w:line="360" w:lineRule="auto"/>
        <w:ind w:left="360" w:firstLine="360" w:firstLineChars="200"/>
        <w:jc w:val="left"/>
        <w:rPr>
          <w:rFonts w:ascii="黑体" w:hAnsi="黑体"/>
          <w:kern w:val="0"/>
          <w:szCs w:val="18"/>
        </w:rPr>
      </w:pPr>
      <w:r>
        <w:rPr>
          <w:rFonts w:hint="eastAsia" w:ascii="黑体" w:hAnsi="黑体"/>
          <w:kern w:val="0"/>
          <w:szCs w:val="18"/>
        </w:rPr>
        <w:t>公司同时要求</w:t>
      </w:r>
      <w:r>
        <w:rPr>
          <w:rFonts w:ascii="黑体" w:hAnsi="黑体"/>
          <w:kern w:val="0"/>
          <w:szCs w:val="18"/>
        </w:rPr>
        <w:t>须满足以下</w:t>
      </w:r>
      <w:r>
        <w:rPr>
          <w:rFonts w:hint="eastAsia" w:ascii="黑体" w:hAnsi="黑体"/>
          <w:kern w:val="0"/>
          <w:szCs w:val="18"/>
        </w:rPr>
        <w:t>项目</w:t>
      </w:r>
      <w:r>
        <w:rPr>
          <w:rFonts w:ascii="黑体" w:hAnsi="黑体"/>
          <w:kern w:val="0"/>
          <w:szCs w:val="18"/>
        </w:rPr>
        <w:t>指标要求</w:t>
      </w:r>
    </w:p>
    <w:tbl>
      <w:tblPr>
        <w:tblStyle w:val="36"/>
        <w:tblW w:w="8222" w:type="dxa"/>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2886"/>
        <w:gridCol w:w="2926"/>
      </w:tblGrid>
      <w:tr w14:paraId="2506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2410" w:type="dxa"/>
            <w:vMerge w:val="restart"/>
            <w:vAlign w:val="center"/>
          </w:tcPr>
          <w:p w14:paraId="6C55EB67">
            <w:pPr>
              <w:spacing w:line="360" w:lineRule="auto"/>
              <w:jc w:val="left"/>
              <w:rPr>
                <w:rFonts w:ascii="黑体" w:hAnsi="黑体"/>
                <w:szCs w:val="18"/>
              </w:rPr>
            </w:pPr>
            <w:r>
              <w:rPr>
                <w:rFonts w:ascii="黑体" w:hAnsi="黑体"/>
                <w:szCs w:val="18"/>
              </w:rPr>
              <w:t>项目</w:t>
            </w:r>
          </w:p>
        </w:tc>
        <w:tc>
          <w:tcPr>
            <w:tcW w:w="2886" w:type="dxa"/>
            <w:vAlign w:val="center"/>
          </w:tcPr>
          <w:p w14:paraId="1A399E32">
            <w:pPr>
              <w:spacing w:line="360" w:lineRule="auto"/>
              <w:jc w:val="left"/>
              <w:rPr>
                <w:rFonts w:ascii="黑体" w:hAnsi="黑体"/>
                <w:szCs w:val="18"/>
              </w:rPr>
            </w:pPr>
            <w:r>
              <w:rPr>
                <w:rFonts w:ascii="黑体" w:hAnsi="黑体"/>
                <w:szCs w:val="18"/>
              </w:rPr>
              <w:t>技术指标</w:t>
            </w:r>
          </w:p>
        </w:tc>
        <w:tc>
          <w:tcPr>
            <w:tcW w:w="2926" w:type="dxa"/>
            <w:vMerge w:val="restart"/>
            <w:vAlign w:val="center"/>
          </w:tcPr>
          <w:p w14:paraId="0260BBAA">
            <w:pPr>
              <w:spacing w:line="360" w:lineRule="auto"/>
              <w:jc w:val="left"/>
              <w:rPr>
                <w:rFonts w:ascii="黑体" w:hAnsi="黑体"/>
                <w:szCs w:val="18"/>
              </w:rPr>
            </w:pPr>
            <w:r>
              <w:rPr>
                <w:rFonts w:ascii="黑体" w:hAnsi="黑体"/>
                <w:szCs w:val="18"/>
              </w:rPr>
              <w:t>技术要求</w:t>
            </w:r>
          </w:p>
        </w:tc>
      </w:tr>
      <w:tr w14:paraId="3C0B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2410" w:type="dxa"/>
            <w:vMerge w:val="continue"/>
            <w:vAlign w:val="center"/>
          </w:tcPr>
          <w:p w14:paraId="0A4A460A">
            <w:pPr>
              <w:spacing w:line="360" w:lineRule="auto"/>
              <w:ind w:left="-60"/>
              <w:jc w:val="left"/>
              <w:rPr>
                <w:rFonts w:ascii="黑体" w:hAnsi="黑体"/>
                <w:szCs w:val="18"/>
              </w:rPr>
            </w:pPr>
          </w:p>
        </w:tc>
        <w:tc>
          <w:tcPr>
            <w:tcW w:w="2886" w:type="dxa"/>
            <w:vAlign w:val="center"/>
          </w:tcPr>
          <w:p w14:paraId="6D670E16">
            <w:pPr>
              <w:spacing w:line="360" w:lineRule="auto"/>
              <w:ind w:left="-60"/>
              <w:jc w:val="left"/>
              <w:rPr>
                <w:rFonts w:ascii="黑体" w:hAnsi="黑体"/>
                <w:szCs w:val="18"/>
              </w:rPr>
            </w:pPr>
            <w:r>
              <w:rPr>
                <w:rFonts w:ascii="黑体" w:hAnsi="黑体"/>
                <w:szCs w:val="18"/>
              </w:rPr>
              <w:t>优等品</w:t>
            </w:r>
          </w:p>
        </w:tc>
        <w:tc>
          <w:tcPr>
            <w:tcW w:w="2926" w:type="dxa"/>
            <w:vMerge w:val="continue"/>
            <w:vAlign w:val="center"/>
          </w:tcPr>
          <w:p w14:paraId="68885C96">
            <w:pPr>
              <w:spacing w:line="360" w:lineRule="auto"/>
              <w:ind w:left="-60"/>
              <w:jc w:val="left"/>
              <w:rPr>
                <w:rFonts w:ascii="黑体" w:hAnsi="黑体"/>
                <w:szCs w:val="18"/>
              </w:rPr>
            </w:pPr>
          </w:p>
        </w:tc>
      </w:tr>
      <w:tr w14:paraId="6100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2410" w:type="dxa"/>
            <w:shd w:val="clear" w:color="auto" w:fill="auto"/>
            <w:vAlign w:val="center"/>
          </w:tcPr>
          <w:p w14:paraId="591A8C35">
            <w:pPr>
              <w:spacing w:line="360" w:lineRule="auto"/>
              <w:ind w:left="-60"/>
              <w:jc w:val="left"/>
              <w:rPr>
                <w:rFonts w:ascii="黑体" w:hAnsi="黑体"/>
                <w:szCs w:val="18"/>
              </w:rPr>
            </w:pPr>
            <w:r>
              <w:rPr>
                <w:rFonts w:ascii="黑体" w:hAnsi="黑体"/>
                <w:szCs w:val="18"/>
              </w:rPr>
              <w:t>耐候性（白色和浅色）</w:t>
            </w:r>
          </w:p>
        </w:tc>
        <w:tc>
          <w:tcPr>
            <w:tcW w:w="2886" w:type="dxa"/>
            <w:vAlign w:val="center"/>
          </w:tcPr>
          <w:p w14:paraId="04AB60D1">
            <w:pPr>
              <w:spacing w:line="360" w:lineRule="auto"/>
              <w:ind w:left="-60"/>
              <w:jc w:val="left"/>
              <w:rPr>
                <w:rFonts w:ascii="黑体" w:hAnsi="黑体"/>
                <w:szCs w:val="18"/>
              </w:rPr>
            </w:pPr>
            <w:r>
              <w:rPr>
                <w:rFonts w:ascii="黑体" w:hAnsi="黑体"/>
                <w:szCs w:val="18"/>
              </w:rPr>
              <w:t>600h不起泡、不剥落、无裂纹，粉化</w:t>
            </w:r>
            <w:r>
              <w:rPr>
                <w:rFonts w:ascii="黑体" w:hAnsi="黑体"/>
                <w:kern w:val="0"/>
                <w:szCs w:val="18"/>
              </w:rPr>
              <w:t>≤1级，变色≤2级</w:t>
            </w:r>
          </w:p>
        </w:tc>
        <w:tc>
          <w:tcPr>
            <w:tcW w:w="2926" w:type="dxa"/>
            <w:vAlign w:val="center"/>
          </w:tcPr>
          <w:p w14:paraId="58086CE9">
            <w:pPr>
              <w:spacing w:line="360" w:lineRule="auto"/>
              <w:ind w:left="-60"/>
              <w:jc w:val="left"/>
              <w:rPr>
                <w:rFonts w:ascii="黑体" w:hAnsi="黑体"/>
                <w:b/>
                <w:szCs w:val="18"/>
              </w:rPr>
            </w:pPr>
            <w:r>
              <w:rPr>
                <w:rFonts w:ascii="黑体" w:hAnsi="黑体"/>
                <w:b/>
                <w:szCs w:val="18"/>
              </w:rPr>
              <w:t>1000h不起泡、不剥落、无裂纹，粉化</w:t>
            </w:r>
            <w:r>
              <w:rPr>
                <w:rFonts w:ascii="黑体" w:hAnsi="黑体"/>
                <w:b/>
                <w:kern w:val="0"/>
                <w:szCs w:val="18"/>
              </w:rPr>
              <w:t>≤1级，变色≤2级</w:t>
            </w:r>
          </w:p>
        </w:tc>
      </w:tr>
      <w:tr w14:paraId="5A5E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2410" w:type="dxa"/>
            <w:shd w:val="clear" w:color="auto" w:fill="auto"/>
            <w:vAlign w:val="center"/>
          </w:tcPr>
          <w:p w14:paraId="4527EDE1">
            <w:pPr>
              <w:spacing w:line="360" w:lineRule="auto"/>
              <w:ind w:left="-60"/>
              <w:jc w:val="left"/>
              <w:rPr>
                <w:rFonts w:ascii="黑体" w:hAnsi="黑体"/>
                <w:szCs w:val="18"/>
              </w:rPr>
            </w:pPr>
            <w:r>
              <w:rPr>
                <w:rFonts w:hint="eastAsia" w:ascii="黑体" w:hAnsi="黑体"/>
                <w:szCs w:val="18"/>
              </w:rPr>
              <w:t>耐洗刷性（2000次）</w:t>
            </w:r>
          </w:p>
        </w:tc>
        <w:tc>
          <w:tcPr>
            <w:tcW w:w="2886" w:type="dxa"/>
            <w:vAlign w:val="center"/>
          </w:tcPr>
          <w:p w14:paraId="1EC2FB01">
            <w:pPr>
              <w:spacing w:line="360" w:lineRule="auto"/>
              <w:ind w:left="-60"/>
              <w:jc w:val="left"/>
              <w:rPr>
                <w:rFonts w:ascii="黑体" w:hAnsi="黑体"/>
                <w:szCs w:val="18"/>
              </w:rPr>
            </w:pPr>
            <w:r>
              <w:rPr>
                <w:rFonts w:hint="eastAsia" w:ascii="黑体" w:hAnsi="黑体"/>
                <w:szCs w:val="18"/>
              </w:rPr>
              <w:t>漆膜未损坏</w:t>
            </w:r>
          </w:p>
        </w:tc>
        <w:tc>
          <w:tcPr>
            <w:tcW w:w="2926" w:type="dxa"/>
            <w:vAlign w:val="center"/>
          </w:tcPr>
          <w:p w14:paraId="65D19201">
            <w:pPr>
              <w:spacing w:line="360" w:lineRule="auto"/>
              <w:ind w:left="-60"/>
              <w:jc w:val="left"/>
              <w:rPr>
                <w:rFonts w:ascii="黑体" w:hAnsi="黑体"/>
                <w:b/>
                <w:szCs w:val="18"/>
              </w:rPr>
            </w:pPr>
            <w:r>
              <w:rPr>
                <w:rFonts w:hint="eastAsia" w:ascii="黑体" w:hAnsi="黑体"/>
                <w:b/>
                <w:szCs w:val="18"/>
              </w:rPr>
              <w:t>2000次漆膜未损坏</w:t>
            </w:r>
          </w:p>
        </w:tc>
      </w:tr>
    </w:tbl>
    <w:p w14:paraId="4F6A39AC">
      <w:pPr>
        <w:widowControl/>
        <w:autoSpaceDE w:val="0"/>
        <w:autoSpaceDN w:val="0"/>
        <w:adjustRightInd w:val="0"/>
        <w:spacing w:line="360" w:lineRule="auto"/>
        <w:ind w:firstLine="542" w:firstLineChars="300"/>
        <w:jc w:val="left"/>
        <w:rPr>
          <w:rFonts w:ascii="黑体" w:hAnsi="黑体"/>
          <w:b/>
          <w:kern w:val="0"/>
          <w:szCs w:val="18"/>
        </w:rPr>
      </w:pPr>
      <w:r>
        <w:rPr>
          <w:rFonts w:ascii="黑体" w:hAnsi="黑体"/>
          <w:b/>
          <w:kern w:val="0"/>
          <w:szCs w:val="18"/>
        </w:rPr>
        <w:t>F</w:t>
      </w:r>
      <w:r>
        <w:rPr>
          <w:rFonts w:hint="eastAsia" w:ascii="黑体" w:hAnsi="黑体"/>
          <w:b/>
          <w:kern w:val="0"/>
          <w:szCs w:val="18"/>
        </w:rPr>
        <w:t>、 其他要求</w:t>
      </w:r>
    </w:p>
    <w:p w14:paraId="30EDE5A4">
      <w:pPr>
        <w:widowControl/>
        <w:numPr>
          <w:ilvl w:val="1"/>
          <w:numId w:val="150"/>
        </w:numPr>
        <w:autoSpaceDE w:val="0"/>
        <w:autoSpaceDN w:val="0"/>
        <w:adjustRightInd w:val="0"/>
        <w:spacing w:line="360" w:lineRule="auto"/>
        <w:jc w:val="left"/>
        <w:rPr>
          <w:rFonts w:ascii="黑体" w:hAnsi="黑体"/>
          <w:kern w:val="0"/>
          <w:szCs w:val="18"/>
        </w:rPr>
      </w:pPr>
      <w:r>
        <w:rPr>
          <w:rFonts w:hint="eastAsia" w:ascii="黑体" w:hAnsi="黑体"/>
          <w:kern w:val="0"/>
          <w:szCs w:val="18"/>
        </w:rPr>
        <w:t>外墙涂料性能应符合</w:t>
      </w:r>
      <w:r>
        <w:rPr>
          <w:rFonts w:ascii="黑体" w:hAnsi="黑体"/>
          <w:kern w:val="0"/>
          <w:szCs w:val="18"/>
        </w:rPr>
        <w:t>HJ/T</w:t>
      </w:r>
      <w:r>
        <w:rPr>
          <w:rFonts w:hint="eastAsia" w:ascii="黑体" w:hAnsi="黑体"/>
          <w:kern w:val="0"/>
          <w:szCs w:val="18"/>
        </w:rPr>
        <w:t>2537-2014《环境标志产品技术要求 水性涂料》对涂料产品的技术要求。</w:t>
      </w:r>
    </w:p>
    <w:p w14:paraId="646B1244">
      <w:pPr>
        <w:widowControl/>
        <w:numPr>
          <w:ilvl w:val="1"/>
          <w:numId w:val="150"/>
        </w:numPr>
        <w:autoSpaceDE w:val="0"/>
        <w:autoSpaceDN w:val="0"/>
        <w:adjustRightInd w:val="0"/>
        <w:spacing w:line="360" w:lineRule="auto"/>
        <w:jc w:val="left"/>
        <w:rPr>
          <w:rFonts w:ascii="黑体" w:hAnsi="黑体"/>
          <w:kern w:val="0"/>
          <w:szCs w:val="18"/>
        </w:rPr>
      </w:pPr>
      <w:r>
        <w:rPr>
          <w:rFonts w:hint="eastAsia" w:ascii="黑体" w:hAnsi="黑体"/>
          <w:kern w:val="0"/>
          <w:szCs w:val="18"/>
        </w:rPr>
        <w:t>外墙涂料必须符合</w:t>
      </w:r>
      <w:r>
        <w:rPr>
          <w:rFonts w:ascii="黑体" w:hAnsi="黑体"/>
          <w:kern w:val="0"/>
          <w:szCs w:val="18"/>
        </w:rPr>
        <w:t>GB24408-2009</w:t>
      </w:r>
      <w:r>
        <w:rPr>
          <w:rFonts w:hint="eastAsia" w:ascii="黑体" w:hAnsi="黑体"/>
          <w:kern w:val="0"/>
          <w:szCs w:val="18"/>
        </w:rPr>
        <w:t>《外墙涂料有害物质限量》的规定。</w:t>
      </w:r>
    </w:p>
    <w:p w14:paraId="09BCCF85">
      <w:pPr>
        <w:widowControl/>
        <w:numPr>
          <w:ilvl w:val="1"/>
          <w:numId w:val="150"/>
        </w:numPr>
        <w:autoSpaceDE w:val="0"/>
        <w:autoSpaceDN w:val="0"/>
        <w:adjustRightInd w:val="0"/>
        <w:spacing w:line="360" w:lineRule="auto"/>
        <w:jc w:val="left"/>
        <w:rPr>
          <w:rFonts w:ascii="黑体" w:hAnsi="黑体" w:cs="Arial"/>
          <w:b/>
          <w:bCs/>
          <w:kern w:val="0"/>
          <w:szCs w:val="18"/>
        </w:rPr>
      </w:pPr>
      <w:r>
        <w:rPr>
          <w:rFonts w:hint="eastAsia" w:ascii="黑体" w:hAnsi="黑体"/>
          <w:kern w:val="0"/>
          <w:szCs w:val="18"/>
        </w:rPr>
        <w:t>外墙涂料工程施工质量必须符合</w:t>
      </w:r>
      <w:r>
        <w:rPr>
          <w:rFonts w:ascii="黑体" w:hAnsi="黑体"/>
          <w:kern w:val="0"/>
          <w:szCs w:val="18"/>
        </w:rPr>
        <w:t>GB50210</w:t>
      </w:r>
      <w:r>
        <w:rPr>
          <w:rFonts w:hint="eastAsia" w:ascii="黑体" w:hAnsi="黑体"/>
          <w:kern w:val="0"/>
          <w:szCs w:val="18"/>
        </w:rPr>
        <w:t>－</w:t>
      </w:r>
      <w:r>
        <w:rPr>
          <w:rFonts w:ascii="黑体" w:hAnsi="黑体"/>
          <w:kern w:val="0"/>
          <w:szCs w:val="18"/>
        </w:rPr>
        <w:t>2018</w:t>
      </w:r>
      <w:r>
        <w:rPr>
          <w:rFonts w:hint="eastAsia" w:ascii="黑体" w:hAnsi="黑体"/>
          <w:kern w:val="0"/>
          <w:szCs w:val="18"/>
        </w:rPr>
        <w:t>《建筑装饰装修工程质量验收规范》的规定。</w:t>
      </w:r>
    </w:p>
    <w:p w14:paraId="662E225A">
      <w:pPr>
        <w:widowControl/>
        <w:autoSpaceDE w:val="0"/>
        <w:autoSpaceDN w:val="0"/>
        <w:adjustRightInd w:val="0"/>
        <w:spacing w:line="360" w:lineRule="auto"/>
        <w:ind w:left="709"/>
        <w:jc w:val="left"/>
        <w:rPr>
          <w:rFonts w:ascii="黑体" w:hAnsi="黑体" w:cs="Arial"/>
          <w:b/>
          <w:bCs/>
          <w:kern w:val="0"/>
          <w:szCs w:val="18"/>
        </w:rPr>
      </w:pPr>
      <w:r>
        <w:rPr>
          <w:rFonts w:hint="eastAsia" w:ascii="黑体" w:hAnsi="黑体" w:cs="Arial"/>
          <w:b/>
          <w:bCs/>
          <w:kern w:val="0"/>
          <w:szCs w:val="18"/>
        </w:rPr>
        <w:t>同时公司对主要有害物质的含量作如下限定：</w:t>
      </w:r>
    </w:p>
    <w:tbl>
      <w:tblPr>
        <w:tblStyle w:val="36"/>
        <w:tblW w:w="8391" w:type="dxa"/>
        <w:tblInd w:w="704" w:type="dxa"/>
        <w:tblLayout w:type="autofit"/>
        <w:tblCellMar>
          <w:top w:w="0" w:type="dxa"/>
          <w:left w:w="108" w:type="dxa"/>
          <w:bottom w:w="0" w:type="dxa"/>
          <w:right w:w="108" w:type="dxa"/>
        </w:tblCellMar>
      </w:tblPr>
      <w:tblGrid>
        <w:gridCol w:w="2125"/>
        <w:gridCol w:w="3181"/>
        <w:gridCol w:w="3085"/>
      </w:tblGrid>
      <w:tr w14:paraId="3B51D55B">
        <w:tblPrEx>
          <w:tblCellMar>
            <w:top w:w="0" w:type="dxa"/>
            <w:left w:w="108" w:type="dxa"/>
            <w:bottom w:w="0" w:type="dxa"/>
            <w:right w:w="108" w:type="dxa"/>
          </w:tblCellMar>
        </w:tblPrEx>
        <w:trPr>
          <w:trHeight w:val="238" w:hRule="atLeast"/>
        </w:trPr>
        <w:tc>
          <w:tcPr>
            <w:tcW w:w="2125" w:type="dxa"/>
            <w:vMerge w:val="restart"/>
            <w:tcBorders>
              <w:top w:val="single" w:color="auto" w:sz="4" w:space="0"/>
              <w:left w:val="single" w:color="auto" w:sz="4" w:space="0"/>
              <w:right w:val="single" w:color="auto" w:sz="4" w:space="0"/>
            </w:tcBorders>
            <w:shd w:val="clear" w:color="auto" w:fill="auto"/>
            <w:vAlign w:val="center"/>
          </w:tcPr>
          <w:p w14:paraId="7EAFFA62">
            <w:pPr>
              <w:widowControl/>
              <w:spacing w:line="360" w:lineRule="auto"/>
              <w:jc w:val="left"/>
              <w:rPr>
                <w:rFonts w:ascii="黑体" w:hAnsi="黑体" w:cs="宋体"/>
                <w:kern w:val="0"/>
                <w:szCs w:val="18"/>
              </w:rPr>
            </w:pPr>
            <w:r>
              <w:rPr>
                <w:rFonts w:hint="eastAsia" w:ascii="黑体" w:hAnsi="黑体" w:cs="宋体"/>
                <w:kern w:val="0"/>
                <w:szCs w:val="18"/>
              </w:rPr>
              <w:t>环保性能</w:t>
            </w:r>
          </w:p>
        </w:tc>
        <w:tc>
          <w:tcPr>
            <w:tcW w:w="3181" w:type="dxa"/>
            <w:tcBorders>
              <w:top w:val="single" w:color="auto" w:sz="4" w:space="0"/>
              <w:left w:val="nil"/>
              <w:bottom w:val="single" w:color="auto" w:sz="4" w:space="0"/>
              <w:right w:val="single" w:color="auto" w:sz="4" w:space="0"/>
            </w:tcBorders>
            <w:shd w:val="clear" w:color="auto" w:fill="auto"/>
            <w:vAlign w:val="center"/>
          </w:tcPr>
          <w:p w14:paraId="32E03F3A">
            <w:pPr>
              <w:widowControl/>
              <w:spacing w:line="360" w:lineRule="auto"/>
              <w:jc w:val="left"/>
              <w:rPr>
                <w:rFonts w:ascii="黑体" w:hAnsi="黑体" w:cs="宋体"/>
                <w:kern w:val="0"/>
                <w:szCs w:val="18"/>
              </w:rPr>
            </w:pPr>
            <w:r>
              <w:rPr>
                <w:rFonts w:hint="eastAsia" w:ascii="黑体" w:hAnsi="黑体" w:cs="宋体"/>
                <w:kern w:val="0"/>
                <w:szCs w:val="18"/>
              </w:rPr>
              <w:t>规范规定</w:t>
            </w:r>
          </w:p>
        </w:tc>
        <w:tc>
          <w:tcPr>
            <w:tcW w:w="3085" w:type="dxa"/>
            <w:vMerge w:val="restart"/>
            <w:tcBorders>
              <w:top w:val="single" w:color="auto" w:sz="4" w:space="0"/>
              <w:left w:val="nil"/>
              <w:right w:val="single" w:color="auto" w:sz="4" w:space="0"/>
            </w:tcBorders>
            <w:shd w:val="clear" w:color="auto" w:fill="auto"/>
            <w:vAlign w:val="center"/>
          </w:tcPr>
          <w:p w14:paraId="26242D42">
            <w:pPr>
              <w:widowControl/>
              <w:spacing w:line="360" w:lineRule="auto"/>
              <w:jc w:val="left"/>
              <w:rPr>
                <w:rFonts w:ascii="黑体" w:hAnsi="黑体" w:cs="宋体"/>
                <w:kern w:val="0"/>
                <w:szCs w:val="18"/>
              </w:rPr>
            </w:pPr>
            <w:r>
              <w:rPr>
                <w:rFonts w:hint="eastAsia" w:ascii="黑体" w:hAnsi="黑体" w:cs="宋体"/>
                <w:kern w:val="0"/>
                <w:szCs w:val="18"/>
              </w:rPr>
              <w:t>项目技术要求</w:t>
            </w:r>
          </w:p>
        </w:tc>
      </w:tr>
      <w:tr w14:paraId="690C6D06">
        <w:tblPrEx>
          <w:tblCellMar>
            <w:top w:w="0" w:type="dxa"/>
            <w:left w:w="108" w:type="dxa"/>
            <w:bottom w:w="0" w:type="dxa"/>
            <w:right w:w="108" w:type="dxa"/>
          </w:tblCellMar>
        </w:tblPrEx>
        <w:trPr>
          <w:trHeight w:val="238" w:hRule="atLeast"/>
        </w:trPr>
        <w:tc>
          <w:tcPr>
            <w:tcW w:w="2125" w:type="dxa"/>
            <w:vMerge w:val="continue"/>
            <w:tcBorders>
              <w:left w:val="single" w:color="auto" w:sz="4" w:space="0"/>
              <w:bottom w:val="single" w:color="auto" w:sz="4" w:space="0"/>
              <w:right w:val="single" w:color="auto" w:sz="4" w:space="0"/>
            </w:tcBorders>
            <w:shd w:val="clear" w:color="auto" w:fill="auto"/>
            <w:vAlign w:val="center"/>
          </w:tcPr>
          <w:p w14:paraId="4FBF9372">
            <w:pPr>
              <w:widowControl/>
              <w:spacing w:line="360" w:lineRule="auto"/>
              <w:jc w:val="left"/>
              <w:rPr>
                <w:rFonts w:ascii="黑体" w:hAnsi="黑体" w:cs="宋体"/>
                <w:kern w:val="0"/>
                <w:szCs w:val="18"/>
              </w:rPr>
            </w:pPr>
          </w:p>
        </w:tc>
        <w:tc>
          <w:tcPr>
            <w:tcW w:w="3181" w:type="dxa"/>
            <w:tcBorders>
              <w:top w:val="single" w:color="auto" w:sz="4" w:space="0"/>
              <w:left w:val="nil"/>
              <w:bottom w:val="single" w:color="auto" w:sz="4" w:space="0"/>
              <w:right w:val="single" w:color="auto" w:sz="4" w:space="0"/>
            </w:tcBorders>
            <w:shd w:val="clear" w:color="auto" w:fill="auto"/>
            <w:vAlign w:val="center"/>
          </w:tcPr>
          <w:p w14:paraId="54AD191F">
            <w:pPr>
              <w:widowControl/>
              <w:spacing w:line="360" w:lineRule="auto"/>
              <w:jc w:val="left"/>
              <w:rPr>
                <w:rFonts w:ascii="黑体" w:hAnsi="黑体" w:cs="宋体"/>
                <w:kern w:val="0"/>
                <w:szCs w:val="18"/>
              </w:rPr>
            </w:pPr>
            <w:r>
              <w:rPr>
                <w:rFonts w:hint="eastAsia" w:ascii="黑体" w:hAnsi="黑体" w:cs="宋体"/>
                <w:kern w:val="0"/>
                <w:szCs w:val="18"/>
              </w:rPr>
              <w:t>水性涂料</w:t>
            </w:r>
          </w:p>
        </w:tc>
        <w:tc>
          <w:tcPr>
            <w:tcW w:w="3085" w:type="dxa"/>
            <w:vMerge w:val="continue"/>
            <w:tcBorders>
              <w:left w:val="nil"/>
              <w:bottom w:val="single" w:color="auto" w:sz="4" w:space="0"/>
              <w:right w:val="single" w:color="auto" w:sz="4" w:space="0"/>
            </w:tcBorders>
            <w:shd w:val="clear" w:color="auto" w:fill="auto"/>
            <w:vAlign w:val="center"/>
          </w:tcPr>
          <w:p w14:paraId="2F014A1B">
            <w:pPr>
              <w:widowControl/>
              <w:spacing w:line="360" w:lineRule="auto"/>
              <w:jc w:val="left"/>
              <w:rPr>
                <w:rFonts w:ascii="黑体" w:hAnsi="黑体" w:cs="宋体"/>
                <w:kern w:val="0"/>
                <w:szCs w:val="18"/>
              </w:rPr>
            </w:pPr>
          </w:p>
        </w:tc>
      </w:tr>
      <w:tr w14:paraId="65237304">
        <w:tblPrEx>
          <w:tblCellMar>
            <w:top w:w="0" w:type="dxa"/>
            <w:left w:w="108" w:type="dxa"/>
            <w:bottom w:w="0" w:type="dxa"/>
            <w:right w:w="108" w:type="dxa"/>
          </w:tblCellMar>
        </w:tblPrEx>
        <w:trPr>
          <w:trHeight w:val="238" w:hRule="atLeast"/>
        </w:trPr>
        <w:tc>
          <w:tcPr>
            <w:tcW w:w="2125" w:type="dxa"/>
            <w:tcBorders>
              <w:top w:val="single" w:color="auto" w:sz="4" w:space="0"/>
              <w:left w:val="single" w:color="auto" w:sz="4" w:space="0"/>
              <w:bottom w:val="single" w:color="auto" w:sz="4" w:space="0"/>
              <w:right w:val="single" w:color="auto" w:sz="4" w:space="0"/>
            </w:tcBorders>
            <w:shd w:val="clear" w:color="auto" w:fill="auto"/>
            <w:vAlign w:val="center"/>
          </w:tcPr>
          <w:p w14:paraId="49F33670">
            <w:pPr>
              <w:widowControl/>
              <w:spacing w:line="360" w:lineRule="auto"/>
              <w:jc w:val="left"/>
              <w:rPr>
                <w:rFonts w:ascii="黑体" w:hAnsi="黑体" w:cs="宋体"/>
                <w:kern w:val="0"/>
                <w:szCs w:val="18"/>
              </w:rPr>
            </w:pPr>
            <w:r>
              <w:rPr>
                <w:rFonts w:hint="eastAsia" w:ascii="黑体" w:hAnsi="黑体" w:cs="宋体"/>
                <w:kern w:val="0"/>
                <w:szCs w:val="18"/>
              </w:rPr>
              <w:t>可溶性铅</w:t>
            </w:r>
          </w:p>
        </w:tc>
        <w:tc>
          <w:tcPr>
            <w:tcW w:w="3181" w:type="dxa"/>
            <w:tcBorders>
              <w:top w:val="single" w:color="auto" w:sz="4" w:space="0"/>
              <w:left w:val="nil"/>
              <w:bottom w:val="single" w:color="auto" w:sz="4" w:space="0"/>
              <w:right w:val="single" w:color="auto" w:sz="4" w:space="0"/>
            </w:tcBorders>
            <w:shd w:val="clear" w:color="auto" w:fill="auto"/>
            <w:vAlign w:val="center"/>
          </w:tcPr>
          <w:p w14:paraId="13015A30">
            <w:pPr>
              <w:spacing w:line="360" w:lineRule="auto"/>
              <w:jc w:val="left"/>
              <w:rPr>
                <w:rFonts w:ascii="黑体" w:hAnsi="黑体"/>
                <w:szCs w:val="18"/>
              </w:rPr>
            </w:pPr>
            <w:r>
              <w:rPr>
                <w:rFonts w:hint="eastAsia" w:ascii="黑体" w:hAnsi="黑体"/>
                <w:szCs w:val="18"/>
              </w:rPr>
              <w:t>≤90mg/kg</w:t>
            </w:r>
          </w:p>
        </w:tc>
        <w:tc>
          <w:tcPr>
            <w:tcW w:w="3085" w:type="dxa"/>
            <w:tcBorders>
              <w:top w:val="single" w:color="auto" w:sz="4" w:space="0"/>
              <w:left w:val="nil"/>
              <w:bottom w:val="single" w:color="auto" w:sz="4" w:space="0"/>
              <w:right w:val="single" w:color="auto" w:sz="4" w:space="0"/>
            </w:tcBorders>
            <w:shd w:val="clear" w:color="auto" w:fill="auto"/>
            <w:vAlign w:val="center"/>
          </w:tcPr>
          <w:p w14:paraId="65186CE7">
            <w:pPr>
              <w:spacing w:line="360" w:lineRule="auto"/>
              <w:jc w:val="left"/>
              <w:rPr>
                <w:rFonts w:ascii="黑体" w:hAnsi="黑体"/>
                <w:szCs w:val="18"/>
              </w:rPr>
            </w:pPr>
            <w:r>
              <w:rPr>
                <w:rFonts w:hint="eastAsia" w:ascii="黑体" w:hAnsi="黑体" w:cs="宋体"/>
                <w:kern w:val="0"/>
                <w:szCs w:val="18"/>
              </w:rPr>
              <w:t>≤30mg/kg</w:t>
            </w:r>
          </w:p>
        </w:tc>
      </w:tr>
      <w:tr w14:paraId="4547CDA8">
        <w:tblPrEx>
          <w:tblCellMar>
            <w:top w:w="0" w:type="dxa"/>
            <w:left w:w="108" w:type="dxa"/>
            <w:bottom w:w="0" w:type="dxa"/>
            <w:right w:w="108" w:type="dxa"/>
          </w:tblCellMar>
        </w:tblPrEx>
        <w:trPr>
          <w:trHeight w:val="238" w:hRule="atLeast"/>
        </w:trPr>
        <w:tc>
          <w:tcPr>
            <w:tcW w:w="2125" w:type="dxa"/>
            <w:tcBorders>
              <w:top w:val="single" w:color="auto" w:sz="4" w:space="0"/>
              <w:left w:val="single" w:color="auto" w:sz="4" w:space="0"/>
              <w:bottom w:val="single" w:color="auto" w:sz="4" w:space="0"/>
              <w:right w:val="single" w:color="auto" w:sz="4" w:space="0"/>
            </w:tcBorders>
            <w:shd w:val="clear" w:color="auto" w:fill="auto"/>
          </w:tcPr>
          <w:p w14:paraId="245334A9">
            <w:pPr>
              <w:spacing w:line="360" w:lineRule="auto"/>
              <w:jc w:val="left"/>
              <w:rPr>
                <w:rFonts w:ascii="黑体" w:hAnsi="黑体"/>
                <w:szCs w:val="18"/>
              </w:rPr>
            </w:pPr>
            <w:r>
              <w:rPr>
                <w:rFonts w:hint="eastAsia" w:ascii="黑体" w:hAnsi="黑体"/>
                <w:szCs w:val="18"/>
              </w:rPr>
              <w:t>可溶性镉</w:t>
            </w:r>
          </w:p>
        </w:tc>
        <w:tc>
          <w:tcPr>
            <w:tcW w:w="3181" w:type="dxa"/>
            <w:tcBorders>
              <w:top w:val="single" w:color="auto" w:sz="4" w:space="0"/>
              <w:left w:val="nil"/>
              <w:bottom w:val="single" w:color="auto" w:sz="4" w:space="0"/>
              <w:right w:val="single" w:color="auto" w:sz="4" w:space="0"/>
            </w:tcBorders>
            <w:shd w:val="clear" w:color="auto" w:fill="auto"/>
            <w:vAlign w:val="center"/>
          </w:tcPr>
          <w:p w14:paraId="52E7F7D8">
            <w:pPr>
              <w:spacing w:line="360" w:lineRule="auto"/>
              <w:jc w:val="left"/>
              <w:rPr>
                <w:rFonts w:ascii="黑体" w:hAnsi="黑体"/>
                <w:szCs w:val="18"/>
              </w:rPr>
            </w:pPr>
            <w:r>
              <w:rPr>
                <w:rFonts w:hint="eastAsia" w:ascii="黑体" w:hAnsi="黑体"/>
                <w:szCs w:val="18"/>
              </w:rPr>
              <w:t>≤75mg/kg</w:t>
            </w:r>
          </w:p>
        </w:tc>
        <w:tc>
          <w:tcPr>
            <w:tcW w:w="3085" w:type="dxa"/>
            <w:tcBorders>
              <w:top w:val="single" w:color="auto" w:sz="4" w:space="0"/>
              <w:left w:val="nil"/>
              <w:bottom w:val="single" w:color="auto" w:sz="4" w:space="0"/>
              <w:right w:val="single" w:color="auto" w:sz="4" w:space="0"/>
            </w:tcBorders>
            <w:shd w:val="clear" w:color="auto" w:fill="auto"/>
            <w:vAlign w:val="center"/>
          </w:tcPr>
          <w:p w14:paraId="692283A0">
            <w:pPr>
              <w:spacing w:line="360" w:lineRule="auto"/>
              <w:jc w:val="left"/>
              <w:rPr>
                <w:rFonts w:ascii="黑体" w:hAnsi="黑体"/>
                <w:szCs w:val="18"/>
              </w:rPr>
            </w:pPr>
            <w:r>
              <w:rPr>
                <w:rFonts w:hint="eastAsia" w:ascii="黑体" w:hAnsi="黑体" w:cs="宋体"/>
                <w:kern w:val="0"/>
                <w:szCs w:val="18"/>
              </w:rPr>
              <w:t>≤30mg/kg</w:t>
            </w:r>
          </w:p>
        </w:tc>
      </w:tr>
      <w:tr w14:paraId="3EB19958">
        <w:tblPrEx>
          <w:tblCellMar>
            <w:top w:w="0" w:type="dxa"/>
            <w:left w:w="108" w:type="dxa"/>
            <w:bottom w:w="0" w:type="dxa"/>
            <w:right w:w="108" w:type="dxa"/>
          </w:tblCellMar>
        </w:tblPrEx>
        <w:trPr>
          <w:trHeight w:val="238" w:hRule="atLeast"/>
        </w:trPr>
        <w:tc>
          <w:tcPr>
            <w:tcW w:w="2125" w:type="dxa"/>
            <w:tcBorders>
              <w:top w:val="single" w:color="auto" w:sz="4" w:space="0"/>
              <w:left w:val="single" w:color="auto" w:sz="4" w:space="0"/>
              <w:bottom w:val="single" w:color="auto" w:sz="4" w:space="0"/>
              <w:right w:val="single" w:color="auto" w:sz="4" w:space="0"/>
            </w:tcBorders>
            <w:shd w:val="clear" w:color="auto" w:fill="auto"/>
          </w:tcPr>
          <w:p w14:paraId="7C37D783">
            <w:pPr>
              <w:spacing w:line="360" w:lineRule="auto"/>
              <w:jc w:val="left"/>
              <w:rPr>
                <w:rFonts w:ascii="黑体" w:hAnsi="黑体"/>
                <w:szCs w:val="18"/>
              </w:rPr>
            </w:pPr>
            <w:r>
              <w:rPr>
                <w:rFonts w:hint="eastAsia" w:ascii="黑体" w:hAnsi="黑体"/>
                <w:szCs w:val="18"/>
              </w:rPr>
              <w:t>可溶性铬</w:t>
            </w:r>
          </w:p>
        </w:tc>
        <w:tc>
          <w:tcPr>
            <w:tcW w:w="3181" w:type="dxa"/>
            <w:tcBorders>
              <w:top w:val="single" w:color="auto" w:sz="4" w:space="0"/>
              <w:left w:val="nil"/>
              <w:bottom w:val="single" w:color="auto" w:sz="4" w:space="0"/>
              <w:right w:val="single" w:color="auto" w:sz="4" w:space="0"/>
            </w:tcBorders>
            <w:shd w:val="clear" w:color="auto" w:fill="auto"/>
            <w:vAlign w:val="center"/>
          </w:tcPr>
          <w:p w14:paraId="7E166D4F">
            <w:pPr>
              <w:spacing w:line="360" w:lineRule="auto"/>
              <w:jc w:val="left"/>
              <w:rPr>
                <w:rFonts w:ascii="黑体" w:hAnsi="黑体"/>
                <w:szCs w:val="18"/>
              </w:rPr>
            </w:pPr>
            <w:r>
              <w:rPr>
                <w:rFonts w:hint="eastAsia" w:ascii="黑体" w:hAnsi="黑体"/>
                <w:szCs w:val="18"/>
              </w:rPr>
              <w:t>≤60mg/kg</w:t>
            </w:r>
          </w:p>
        </w:tc>
        <w:tc>
          <w:tcPr>
            <w:tcW w:w="3085" w:type="dxa"/>
            <w:tcBorders>
              <w:top w:val="single" w:color="auto" w:sz="4" w:space="0"/>
              <w:left w:val="nil"/>
              <w:bottom w:val="single" w:color="auto" w:sz="4" w:space="0"/>
              <w:right w:val="single" w:color="auto" w:sz="4" w:space="0"/>
            </w:tcBorders>
            <w:shd w:val="clear" w:color="auto" w:fill="auto"/>
            <w:vAlign w:val="center"/>
          </w:tcPr>
          <w:p w14:paraId="25C58949">
            <w:pPr>
              <w:spacing w:line="360" w:lineRule="auto"/>
              <w:jc w:val="left"/>
              <w:rPr>
                <w:rFonts w:ascii="黑体" w:hAnsi="黑体"/>
                <w:szCs w:val="18"/>
              </w:rPr>
            </w:pPr>
            <w:r>
              <w:rPr>
                <w:rFonts w:hint="eastAsia" w:ascii="黑体" w:hAnsi="黑体" w:cs="宋体"/>
                <w:kern w:val="0"/>
                <w:szCs w:val="18"/>
              </w:rPr>
              <w:t>≤30mg/kg</w:t>
            </w:r>
          </w:p>
        </w:tc>
      </w:tr>
      <w:tr w14:paraId="4AB3D188">
        <w:tblPrEx>
          <w:tblCellMar>
            <w:top w:w="0" w:type="dxa"/>
            <w:left w:w="108" w:type="dxa"/>
            <w:bottom w:w="0" w:type="dxa"/>
            <w:right w:w="108" w:type="dxa"/>
          </w:tblCellMar>
        </w:tblPrEx>
        <w:trPr>
          <w:trHeight w:val="238" w:hRule="atLeast"/>
        </w:trPr>
        <w:tc>
          <w:tcPr>
            <w:tcW w:w="2125" w:type="dxa"/>
            <w:tcBorders>
              <w:top w:val="single" w:color="auto" w:sz="4" w:space="0"/>
              <w:left w:val="single" w:color="auto" w:sz="4" w:space="0"/>
              <w:bottom w:val="single" w:color="auto" w:sz="4" w:space="0"/>
              <w:right w:val="single" w:color="auto" w:sz="4" w:space="0"/>
            </w:tcBorders>
            <w:shd w:val="clear" w:color="auto" w:fill="auto"/>
          </w:tcPr>
          <w:p w14:paraId="0BCB17E5">
            <w:pPr>
              <w:spacing w:line="360" w:lineRule="auto"/>
              <w:jc w:val="left"/>
              <w:rPr>
                <w:rFonts w:ascii="黑体" w:hAnsi="黑体"/>
                <w:szCs w:val="18"/>
              </w:rPr>
            </w:pPr>
            <w:r>
              <w:rPr>
                <w:rFonts w:hint="eastAsia" w:ascii="黑体" w:hAnsi="黑体"/>
                <w:szCs w:val="18"/>
              </w:rPr>
              <w:t>可溶性汞</w:t>
            </w:r>
          </w:p>
        </w:tc>
        <w:tc>
          <w:tcPr>
            <w:tcW w:w="3181" w:type="dxa"/>
            <w:tcBorders>
              <w:top w:val="single" w:color="auto" w:sz="4" w:space="0"/>
              <w:left w:val="nil"/>
              <w:bottom w:val="single" w:color="auto" w:sz="4" w:space="0"/>
              <w:right w:val="single" w:color="auto" w:sz="4" w:space="0"/>
            </w:tcBorders>
            <w:shd w:val="clear" w:color="auto" w:fill="auto"/>
            <w:vAlign w:val="center"/>
          </w:tcPr>
          <w:p w14:paraId="3D489E7A">
            <w:pPr>
              <w:spacing w:line="360" w:lineRule="auto"/>
              <w:jc w:val="left"/>
              <w:rPr>
                <w:rFonts w:ascii="黑体" w:hAnsi="黑体"/>
                <w:szCs w:val="18"/>
              </w:rPr>
            </w:pPr>
            <w:r>
              <w:rPr>
                <w:rFonts w:hint="eastAsia" w:ascii="黑体" w:hAnsi="黑体"/>
                <w:szCs w:val="18"/>
              </w:rPr>
              <w:t>≤60mg/kg</w:t>
            </w:r>
          </w:p>
        </w:tc>
        <w:tc>
          <w:tcPr>
            <w:tcW w:w="3085" w:type="dxa"/>
            <w:tcBorders>
              <w:top w:val="single" w:color="auto" w:sz="4" w:space="0"/>
              <w:left w:val="nil"/>
              <w:bottom w:val="single" w:color="auto" w:sz="4" w:space="0"/>
              <w:right w:val="single" w:color="auto" w:sz="4" w:space="0"/>
            </w:tcBorders>
            <w:shd w:val="clear" w:color="auto" w:fill="auto"/>
            <w:vAlign w:val="center"/>
          </w:tcPr>
          <w:p w14:paraId="0FDD9D26">
            <w:pPr>
              <w:spacing w:line="360" w:lineRule="auto"/>
              <w:jc w:val="left"/>
              <w:rPr>
                <w:rFonts w:ascii="黑体" w:hAnsi="黑体"/>
                <w:szCs w:val="18"/>
              </w:rPr>
            </w:pPr>
            <w:r>
              <w:rPr>
                <w:rFonts w:hint="eastAsia" w:ascii="黑体" w:hAnsi="黑体" w:cs="宋体"/>
                <w:kern w:val="0"/>
                <w:szCs w:val="18"/>
              </w:rPr>
              <w:t>≤30mg/kg</w:t>
            </w:r>
          </w:p>
        </w:tc>
      </w:tr>
    </w:tbl>
    <w:p w14:paraId="5698EECC">
      <w:pPr>
        <w:widowControl/>
        <w:spacing w:line="360" w:lineRule="auto"/>
        <w:ind w:left="450" w:hanging="450" w:hangingChars="250"/>
        <w:jc w:val="left"/>
        <w:rPr>
          <w:rFonts w:ascii="黑体" w:hAnsi="黑体" w:cs="Arial"/>
          <w:bCs/>
          <w:kern w:val="0"/>
          <w:szCs w:val="18"/>
          <w:lang w:val="zh-CN"/>
        </w:rPr>
      </w:pPr>
    </w:p>
    <w:p w14:paraId="69860875">
      <w:pPr>
        <w:pStyle w:val="97"/>
        <w:rPr>
          <w:b/>
        </w:rPr>
      </w:pPr>
      <w:r>
        <w:rPr>
          <w:rFonts w:hint="eastAsia"/>
          <w:b/>
        </w:rPr>
        <w:t>施工要求</w:t>
      </w:r>
    </w:p>
    <w:p w14:paraId="12E443DF">
      <w:pPr>
        <w:widowControl/>
        <w:numPr>
          <w:ilvl w:val="0"/>
          <w:numId w:val="151"/>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施工步骤及方法</w:t>
      </w:r>
      <w:r>
        <w:rPr>
          <w:rFonts w:hint="eastAsia" w:ascii="黑体" w:hAnsi="黑体" w:cs="Arial"/>
          <w:bCs/>
          <w:kern w:val="0"/>
          <w:szCs w:val="18"/>
        </w:rPr>
        <w:t>：</w:t>
      </w:r>
    </w:p>
    <w:p w14:paraId="4B70884B">
      <w:pPr>
        <w:widowControl/>
        <w:numPr>
          <w:ilvl w:val="0"/>
          <w:numId w:val="152"/>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检查主体墙面平整度及线条是否顺直清晰，要求基层</w:t>
      </w:r>
      <w:r>
        <w:rPr>
          <w:rFonts w:hint="eastAsia" w:ascii="黑体" w:hAnsi="黑体" w:cs="Arial"/>
          <w:bCs/>
          <w:kern w:val="0"/>
          <w:szCs w:val="18"/>
        </w:rPr>
        <w:t>牢固，无空鼓、开裂、起砂；</w:t>
      </w:r>
      <w:r>
        <w:rPr>
          <w:rFonts w:ascii="黑体" w:hAnsi="黑体" w:cs="Arial"/>
          <w:bCs/>
          <w:kern w:val="0"/>
          <w:szCs w:val="18"/>
        </w:rPr>
        <w:t>表面平整</w:t>
      </w:r>
      <w:r>
        <w:rPr>
          <w:rFonts w:hint="eastAsia" w:ascii="黑体" w:hAnsi="黑体" w:cs="Arial"/>
          <w:bCs/>
          <w:kern w:val="0"/>
          <w:szCs w:val="18"/>
        </w:rPr>
        <w:t>，</w:t>
      </w:r>
      <w:r>
        <w:rPr>
          <w:rFonts w:ascii="黑体" w:hAnsi="黑体" w:cs="Arial"/>
          <w:bCs/>
          <w:kern w:val="0"/>
          <w:szCs w:val="18"/>
        </w:rPr>
        <w:t>干燥（水泥砂浆面应保养</w:t>
      </w:r>
      <w:r>
        <w:rPr>
          <w:rFonts w:hint="eastAsia" w:ascii="黑体" w:hAnsi="黑体" w:cs="Arial"/>
          <w:bCs/>
          <w:kern w:val="0"/>
          <w:szCs w:val="18"/>
        </w:rPr>
        <w:t>28</w:t>
      </w:r>
      <w:r>
        <w:rPr>
          <w:rFonts w:ascii="黑体" w:hAnsi="黑体" w:cs="Arial"/>
          <w:bCs/>
          <w:kern w:val="0"/>
          <w:szCs w:val="18"/>
        </w:rPr>
        <w:t xml:space="preserve"> 天以上）</w:t>
      </w:r>
      <w:r>
        <w:rPr>
          <w:rFonts w:hint="eastAsia" w:ascii="黑体" w:hAnsi="黑体" w:cs="Arial"/>
          <w:bCs/>
          <w:kern w:val="0"/>
          <w:szCs w:val="18"/>
        </w:rPr>
        <w:t>、无明显湿痕或渗水现象；</w:t>
      </w:r>
      <w:r>
        <w:rPr>
          <w:rFonts w:ascii="黑体" w:hAnsi="黑体" w:cs="Arial"/>
          <w:bCs/>
          <w:kern w:val="0"/>
          <w:szCs w:val="18"/>
        </w:rPr>
        <w:t>无浮灰、</w:t>
      </w:r>
      <w:r>
        <w:rPr>
          <w:rFonts w:hint="eastAsia" w:ascii="黑体" w:hAnsi="黑体" w:cs="Arial"/>
          <w:bCs/>
          <w:kern w:val="0"/>
          <w:szCs w:val="18"/>
        </w:rPr>
        <w:t>油渍、盐类析出物</w:t>
      </w:r>
      <w:r>
        <w:rPr>
          <w:rFonts w:ascii="黑体" w:hAnsi="黑体" w:cs="Arial"/>
          <w:bCs/>
          <w:kern w:val="0"/>
          <w:szCs w:val="18"/>
        </w:rPr>
        <w:t>等污渍</w:t>
      </w:r>
      <w:r>
        <w:rPr>
          <w:rFonts w:hint="eastAsia" w:ascii="黑体" w:hAnsi="黑体" w:cs="Arial"/>
          <w:bCs/>
          <w:kern w:val="0"/>
          <w:szCs w:val="18"/>
        </w:rPr>
        <w:t>；基层应偏于中性，</w:t>
      </w:r>
      <w:r>
        <w:rPr>
          <w:rFonts w:ascii="黑体" w:hAnsi="黑体" w:cs="Arial"/>
          <w:bCs/>
          <w:kern w:val="0"/>
          <w:szCs w:val="18"/>
        </w:rPr>
        <w:t xml:space="preserve">PH＜10， </w:t>
      </w:r>
      <w:r>
        <w:rPr>
          <w:rFonts w:hint="eastAsia" w:ascii="黑体" w:hAnsi="黑体" w:cs="Arial"/>
          <w:bCs/>
          <w:kern w:val="0"/>
          <w:szCs w:val="18"/>
        </w:rPr>
        <w:t>且</w:t>
      </w:r>
      <w:r>
        <w:rPr>
          <w:rFonts w:ascii="黑体" w:hAnsi="黑体" w:cs="Arial"/>
          <w:bCs/>
          <w:kern w:val="0"/>
          <w:szCs w:val="18"/>
        </w:rPr>
        <w:t>含水率＜</w:t>
      </w:r>
      <w:r>
        <w:rPr>
          <w:rFonts w:hint="eastAsia" w:ascii="黑体" w:hAnsi="黑体" w:cs="Arial"/>
          <w:bCs/>
          <w:kern w:val="0"/>
          <w:szCs w:val="18"/>
        </w:rPr>
        <w:t>8</w:t>
      </w:r>
      <w:r>
        <w:rPr>
          <w:rFonts w:ascii="黑体" w:hAnsi="黑体" w:cs="Arial"/>
          <w:bCs/>
          <w:kern w:val="0"/>
          <w:szCs w:val="18"/>
        </w:rPr>
        <w:t>%。</w:t>
      </w:r>
    </w:p>
    <w:p w14:paraId="2AA5646D">
      <w:pPr>
        <w:widowControl/>
        <w:numPr>
          <w:ilvl w:val="0"/>
          <w:numId w:val="152"/>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旧水泥面应铲去浮层，确保基底牢固，清除墙面的杂质，对多孔质、粗糙基面，</w:t>
      </w:r>
      <w:r>
        <w:rPr>
          <w:rFonts w:hint="eastAsia" w:ascii="黑体" w:hAnsi="黑体" w:cs="Arial"/>
          <w:bCs/>
          <w:kern w:val="0"/>
          <w:szCs w:val="18"/>
        </w:rPr>
        <w:t>采用水泥砂浆</w:t>
      </w:r>
      <w:r>
        <w:rPr>
          <w:rFonts w:ascii="黑体" w:hAnsi="黑体" w:cs="Arial"/>
          <w:bCs/>
          <w:kern w:val="0"/>
          <w:szCs w:val="18"/>
        </w:rPr>
        <w:t>修补，再用砂轮磨平。</w:t>
      </w:r>
    </w:p>
    <w:p w14:paraId="144A6042">
      <w:pPr>
        <w:widowControl/>
        <w:numPr>
          <w:ilvl w:val="0"/>
          <w:numId w:val="152"/>
        </w:numPr>
        <w:autoSpaceDE w:val="0"/>
        <w:autoSpaceDN w:val="0"/>
        <w:adjustRightInd w:val="0"/>
        <w:spacing w:line="360" w:lineRule="auto"/>
        <w:jc w:val="left"/>
        <w:rPr>
          <w:rFonts w:ascii="黑体" w:hAnsi="黑体" w:cs="Arial"/>
          <w:bCs/>
          <w:kern w:val="0"/>
          <w:szCs w:val="18"/>
        </w:rPr>
      </w:pPr>
      <w:r>
        <w:rPr>
          <w:rFonts w:hint="eastAsia" w:ascii="黑体" w:hAnsi="黑体" w:cs="Arial"/>
          <w:bCs/>
          <w:kern w:val="0"/>
          <w:szCs w:val="18"/>
        </w:rPr>
        <w:t>新脱模混凝土基面，若表面光滑需做界面处理，打磨清理掉脱模剂等杂质，同时使用界面处理剂做拉毛工艺，增加混凝土表面粗糙度，提高饰面层与基层的粘结力</w:t>
      </w:r>
      <w:r>
        <w:rPr>
          <w:rFonts w:ascii="黑体" w:hAnsi="黑体" w:cs="Arial"/>
          <w:bCs/>
          <w:kern w:val="0"/>
          <w:szCs w:val="18"/>
        </w:rPr>
        <w:t>。</w:t>
      </w:r>
    </w:p>
    <w:p w14:paraId="669C7BCE">
      <w:pPr>
        <w:widowControl/>
        <w:numPr>
          <w:ilvl w:val="0"/>
          <w:numId w:val="152"/>
        </w:numPr>
        <w:autoSpaceDE w:val="0"/>
        <w:autoSpaceDN w:val="0"/>
        <w:adjustRightInd w:val="0"/>
        <w:spacing w:line="360" w:lineRule="auto"/>
        <w:jc w:val="left"/>
        <w:rPr>
          <w:rFonts w:ascii="黑体" w:hAnsi="黑体" w:cs="Arial"/>
          <w:bCs/>
          <w:kern w:val="0"/>
          <w:szCs w:val="18"/>
        </w:rPr>
      </w:pPr>
      <w:r>
        <w:rPr>
          <w:rFonts w:hint="eastAsia" w:ascii="黑体" w:hAnsi="黑体" w:cs="Arial"/>
          <w:bCs/>
          <w:kern w:val="0"/>
          <w:szCs w:val="18"/>
        </w:rPr>
        <w:t>按腻子施工工艺及养护要求进行施工。</w:t>
      </w:r>
    </w:p>
    <w:p w14:paraId="191FAEFC">
      <w:pPr>
        <w:widowControl/>
        <w:numPr>
          <w:ilvl w:val="0"/>
          <w:numId w:val="152"/>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根据装饰的要求，用胶带纸将基面分割成所需图形（每个分割面最好不大于 1.5m</w:t>
      </w:r>
      <w:r>
        <w:rPr>
          <w:rFonts w:ascii="黑体" w:hAnsi="黑体" w:cs="Arial"/>
          <w:bCs/>
          <w:kern w:val="0"/>
          <w:szCs w:val="18"/>
          <w:vertAlign w:val="superscript"/>
        </w:rPr>
        <w:t>2</w:t>
      </w:r>
      <w:r>
        <w:rPr>
          <w:rFonts w:ascii="黑体" w:hAnsi="黑体" w:cs="Arial"/>
          <w:bCs/>
          <w:kern w:val="0"/>
          <w:szCs w:val="18"/>
        </w:rPr>
        <w:t>）。</w:t>
      </w:r>
    </w:p>
    <w:p w14:paraId="5E3099EB">
      <w:pPr>
        <w:widowControl/>
        <w:numPr>
          <w:ilvl w:val="0"/>
          <w:numId w:val="152"/>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底涂层施工</w:t>
      </w:r>
    </w:p>
    <w:p w14:paraId="3A6686DB">
      <w:pPr>
        <w:widowControl/>
        <w:numPr>
          <w:ilvl w:val="0"/>
          <w:numId w:val="153"/>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底漆施工：将墙面用清水冲净，待墙面干燥后，进行底漆施工。</w:t>
      </w:r>
    </w:p>
    <w:p w14:paraId="7D7BA183">
      <w:pPr>
        <w:widowControl/>
        <w:numPr>
          <w:ilvl w:val="0"/>
          <w:numId w:val="153"/>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底涂层可采用刷涂、滚涂法施工。</w:t>
      </w:r>
    </w:p>
    <w:p w14:paraId="423177DB">
      <w:pPr>
        <w:widowControl/>
        <w:numPr>
          <w:ilvl w:val="0"/>
          <w:numId w:val="152"/>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主涂层（真石漆）施工：待底涂层完全干燥后（一般需 4-6小时），即可进行施工，根据不同的装饰要求，先进行试验喷涂，以确定施工所需的压力、喷枪口径及喷涂量。</w:t>
      </w:r>
      <w:r>
        <w:rPr>
          <w:rFonts w:hint="eastAsia" w:ascii="黑体" w:hAnsi="黑体" w:cs="Arial"/>
          <w:bCs/>
          <w:kern w:val="0"/>
          <w:szCs w:val="18"/>
        </w:rPr>
        <w:t>主漆</w:t>
      </w:r>
      <w:r>
        <w:rPr>
          <w:rFonts w:ascii="黑体" w:hAnsi="黑体" w:cs="Arial"/>
          <w:bCs/>
          <w:kern w:val="0"/>
          <w:szCs w:val="18"/>
        </w:rPr>
        <w:t>分两次喷涂为宜</w:t>
      </w:r>
      <w:r>
        <w:rPr>
          <w:rFonts w:hint="eastAsia" w:ascii="黑体" w:hAnsi="黑体" w:cs="Arial"/>
          <w:bCs/>
          <w:kern w:val="0"/>
          <w:szCs w:val="18"/>
        </w:rPr>
        <w:t>，</w:t>
      </w:r>
      <w:r>
        <w:rPr>
          <w:rFonts w:ascii="黑体" w:hAnsi="黑体" w:cs="Arial"/>
          <w:bCs/>
          <w:kern w:val="0"/>
          <w:szCs w:val="18"/>
        </w:rPr>
        <w:t>第一道涂膜未干燥前，即可喷涂第二道。</w:t>
      </w:r>
    </w:p>
    <w:p w14:paraId="7C686D72">
      <w:pPr>
        <w:widowControl/>
        <w:numPr>
          <w:ilvl w:val="0"/>
          <w:numId w:val="152"/>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辅助处理：揭去分割胶带，根据装饰需要进行勾缝处理。</w:t>
      </w:r>
    </w:p>
    <w:p w14:paraId="330413A0">
      <w:pPr>
        <w:widowControl/>
        <w:numPr>
          <w:ilvl w:val="0"/>
          <w:numId w:val="152"/>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罩面层（</w:t>
      </w:r>
      <w:r>
        <w:rPr>
          <w:rFonts w:hint="eastAsia" w:ascii="黑体" w:hAnsi="黑体" w:cs="Arial"/>
          <w:bCs/>
          <w:kern w:val="0"/>
          <w:szCs w:val="18"/>
        </w:rPr>
        <w:t>面</w:t>
      </w:r>
      <w:r>
        <w:rPr>
          <w:rFonts w:ascii="黑体" w:hAnsi="黑体" w:cs="Arial"/>
          <w:bCs/>
          <w:kern w:val="0"/>
          <w:szCs w:val="18"/>
        </w:rPr>
        <w:t>漆）施工：在主涂层完全干燥后（一般约需 48 小时）才能进行施工。</w:t>
      </w:r>
    </w:p>
    <w:p w14:paraId="595B0CFF">
      <w:pPr>
        <w:widowControl/>
        <w:numPr>
          <w:ilvl w:val="0"/>
          <w:numId w:val="152"/>
        </w:numPr>
        <w:autoSpaceDE w:val="0"/>
        <w:autoSpaceDN w:val="0"/>
        <w:adjustRightInd w:val="0"/>
        <w:spacing w:line="360" w:lineRule="auto"/>
        <w:jc w:val="left"/>
        <w:rPr>
          <w:rFonts w:ascii="黑体" w:hAnsi="黑体" w:cs="Arial"/>
          <w:bCs/>
          <w:kern w:val="0"/>
          <w:szCs w:val="18"/>
        </w:rPr>
      </w:pPr>
      <w:r>
        <w:rPr>
          <w:rFonts w:hint="eastAsia" w:ascii="黑体" w:hAnsi="黑体" w:cs="Arial"/>
          <w:bCs/>
          <w:kern w:val="0"/>
          <w:szCs w:val="18"/>
        </w:rPr>
        <w:t>施工方在施工前应把施工方案、技术交底文件报备到甲方及监理。</w:t>
      </w:r>
    </w:p>
    <w:p w14:paraId="2A3C35D6">
      <w:pPr>
        <w:widowControl/>
        <w:numPr>
          <w:ilvl w:val="4"/>
          <w:numId w:val="49"/>
        </w:numPr>
        <w:autoSpaceDE w:val="0"/>
        <w:autoSpaceDN w:val="0"/>
        <w:adjustRightInd w:val="0"/>
        <w:spacing w:line="360" w:lineRule="auto"/>
        <w:ind w:left="927" w:hanging="360"/>
        <w:jc w:val="left"/>
        <w:rPr>
          <w:rFonts w:ascii="黑体" w:hAnsi="黑体" w:cs="Arial"/>
          <w:bCs/>
          <w:kern w:val="0"/>
          <w:szCs w:val="18"/>
        </w:rPr>
      </w:pPr>
      <w:r>
        <w:rPr>
          <w:rFonts w:ascii="黑体" w:hAnsi="黑体" w:cs="Arial"/>
          <w:bCs/>
          <w:kern w:val="0"/>
          <w:szCs w:val="18"/>
        </w:rPr>
        <w:t>注意事项</w:t>
      </w:r>
    </w:p>
    <w:p w14:paraId="58E6E858">
      <w:pPr>
        <w:widowControl/>
        <w:autoSpaceDE w:val="0"/>
        <w:autoSpaceDN w:val="0"/>
        <w:adjustRightInd w:val="0"/>
        <w:spacing w:line="360" w:lineRule="auto"/>
        <w:ind w:left="448"/>
        <w:jc w:val="left"/>
        <w:rPr>
          <w:rFonts w:ascii="黑体" w:hAnsi="黑体" w:cs="Arial"/>
          <w:bCs/>
          <w:kern w:val="0"/>
          <w:szCs w:val="18"/>
        </w:rPr>
      </w:pPr>
      <w:r>
        <w:rPr>
          <w:rFonts w:hint="eastAsia" w:ascii="黑体" w:hAnsi="黑体" w:cs="Arial"/>
          <w:bCs/>
          <w:kern w:val="0"/>
          <w:szCs w:val="18"/>
        </w:rPr>
        <w:t xml:space="preserve">     真石漆采用吊篮施工。</w:t>
      </w:r>
    </w:p>
    <w:p w14:paraId="2937A5E3">
      <w:pPr>
        <w:widowControl/>
        <w:numPr>
          <w:ilvl w:val="0"/>
          <w:numId w:val="154"/>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施工时，应距离墙面 30cm 左右，如距离太近，上下层喷涂部分可能有接痕，影响装饰效果。</w:t>
      </w:r>
    </w:p>
    <w:p w14:paraId="32C12BCD">
      <w:pPr>
        <w:widowControl/>
        <w:numPr>
          <w:ilvl w:val="0"/>
          <w:numId w:val="154"/>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不喷涂部分及物件，应用挡板或纸张等隔开。</w:t>
      </w:r>
    </w:p>
    <w:p w14:paraId="0328DB53">
      <w:pPr>
        <w:widowControl/>
        <w:numPr>
          <w:ilvl w:val="0"/>
          <w:numId w:val="154"/>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施工时气温应高于 5</w:t>
      </w:r>
      <w:r>
        <w:rPr>
          <w:rFonts w:hint="eastAsia" w:ascii="黑体" w:hAnsi="黑体" w:cs="Arial"/>
          <w:bCs/>
          <w:kern w:val="0"/>
          <w:szCs w:val="18"/>
        </w:rPr>
        <w:t>℃</w:t>
      </w:r>
      <w:r>
        <w:rPr>
          <w:rFonts w:ascii="黑体" w:hAnsi="黑体" w:cs="Arial"/>
          <w:bCs/>
          <w:kern w:val="0"/>
          <w:szCs w:val="18"/>
        </w:rPr>
        <w:t>,风力大于4级时不宜施工。主涂层喷涂24小时内应避免雨雪。</w:t>
      </w:r>
    </w:p>
    <w:p w14:paraId="5489DC77">
      <w:pPr>
        <w:widowControl/>
        <w:numPr>
          <w:ilvl w:val="0"/>
          <w:numId w:val="154"/>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在施工过程中，严禁在用料中随意加水稀释。</w:t>
      </w:r>
    </w:p>
    <w:p w14:paraId="41DEF146">
      <w:pPr>
        <w:widowControl/>
        <w:numPr>
          <w:ilvl w:val="0"/>
          <w:numId w:val="154"/>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施工完毕，工具应即</w:t>
      </w:r>
      <w:r>
        <w:rPr>
          <w:rFonts w:hint="eastAsia" w:ascii="黑体" w:hAnsi="黑体" w:cs="Arial"/>
          <w:bCs/>
          <w:kern w:val="0"/>
          <w:szCs w:val="18"/>
        </w:rPr>
        <w:t>时</w:t>
      </w:r>
      <w:r>
        <w:rPr>
          <w:rFonts w:ascii="黑体" w:hAnsi="黑体" w:cs="Arial"/>
          <w:bCs/>
          <w:kern w:val="0"/>
          <w:szCs w:val="18"/>
        </w:rPr>
        <w:t>清洗。</w:t>
      </w:r>
    </w:p>
    <w:p w14:paraId="087BEDF6">
      <w:pPr>
        <w:widowControl/>
        <w:numPr>
          <w:ilvl w:val="0"/>
          <w:numId w:val="154"/>
        </w:numPr>
        <w:autoSpaceDE w:val="0"/>
        <w:autoSpaceDN w:val="0"/>
        <w:adjustRightInd w:val="0"/>
        <w:spacing w:line="360" w:lineRule="auto"/>
        <w:jc w:val="left"/>
        <w:rPr>
          <w:rFonts w:ascii="黑体" w:hAnsi="黑体" w:cs="Arial"/>
          <w:bCs/>
          <w:kern w:val="0"/>
          <w:szCs w:val="18"/>
        </w:rPr>
      </w:pPr>
      <w:r>
        <w:rPr>
          <w:rFonts w:hint="eastAsia" w:ascii="黑体" w:hAnsi="黑体" w:cs="Arial"/>
          <w:bCs/>
          <w:kern w:val="0"/>
          <w:szCs w:val="18"/>
        </w:rPr>
        <w:t>施工用</w:t>
      </w:r>
      <w:r>
        <w:rPr>
          <w:rFonts w:ascii="黑体" w:hAnsi="黑体" w:cs="Arial"/>
          <w:bCs/>
          <w:kern w:val="0"/>
          <w:szCs w:val="18"/>
        </w:rPr>
        <w:t>漆属易燃危险品，施工时应严禁烟火</w:t>
      </w:r>
      <w:r>
        <w:rPr>
          <w:rFonts w:hint="eastAsia" w:ascii="黑体" w:hAnsi="黑体" w:cs="Arial"/>
          <w:bCs/>
          <w:kern w:val="0"/>
          <w:szCs w:val="18"/>
        </w:rPr>
        <w:t>，按</w:t>
      </w:r>
      <w:r>
        <w:rPr>
          <w:rFonts w:ascii="黑体" w:hAnsi="黑体" w:cs="Arial"/>
          <w:bCs/>
          <w:kern w:val="0"/>
          <w:szCs w:val="18"/>
        </w:rPr>
        <w:t>易燃危险品</w:t>
      </w:r>
      <w:r>
        <w:rPr>
          <w:rFonts w:hint="eastAsia" w:ascii="黑体" w:hAnsi="黑体" w:cs="Arial"/>
          <w:bCs/>
          <w:kern w:val="0"/>
          <w:szCs w:val="18"/>
        </w:rPr>
        <w:t>相关管理执行</w:t>
      </w:r>
      <w:r>
        <w:rPr>
          <w:rFonts w:ascii="黑体" w:hAnsi="黑体" w:cs="Arial"/>
          <w:bCs/>
          <w:kern w:val="0"/>
          <w:szCs w:val="18"/>
        </w:rPr>
        <w:t>。</w:t>
      </w:r>
    </w:p>
    <w:p w14:paraId="268FB086">
      <w:pPr>
        <w:widowControl/>
        <w:numPr>
          <w:ilvl w:val="0"/>
          <w:numId w:val="154"/>
        </w:numPr>
        <w:autoSpaceDE w:val="0"/>
        <w:autoSpaceDN w:val="0"/>
        <w:adjustRightInd w:val="0"/>
        <w:spacing w:line="360" w:lineRule="auto"/>
        <w:jc w:val="left"/>
        <w:rPr>
          <w:rFonts w:ascii="黑体" w:hAnsi="黑体" w:cs="Arial"/>
          <w:bCs/>
          <w:kern w:val="0"/>
          <w:szCs w:val="18"/>
        </w:rPr>
      </w:pPr>
      <w:r>
        <w:rPr>
          <w:rFonts w:hint="eastAsia" w:ascii="黑体" w:hAnsi="黑体" w:cs="Arial"/>
          <w:bCs/>
          <w:kern w:val="0"/>
          <w:szCs w:val="18"/>
        </w:rPr>
        <w:t>施工用</w:t>
      </w:r>
      <w:r>
        <w:rPr>
          <w:rFonts w:ascii="黑体" w:hAnsi="黑体" w:cs="Arial"/>
          <w:bCs/>
          <w:kern w:val="0"/>
          <w:szCs w:val="18"/>
        </w:rPr>
        <w:t>漆</w:t>
      </w:r>
      <w:r>
        <w:rPr>
          <w:rFonts w:hint="eastAsia" w:ascii="黑体" w:hAnsi="黑体" w:cs="Arial"/>
          <w:bCs/>
          <w:kern w:val="0"/>
          <w:szCs w:val="18"/>
        </w:rPr>
        <w:t>在施工过程挥发对人体有害的物质，应注意施工环境、工人的施工保护。</w:t>
      </w:r>
    </w:p>
    <w:p w14:paraId="6634B74E">
      <w:pPr>
        <w:pStyle w:val="97"/>
      </w:pPr>
      <w:r>
        <w:rPr>
          <w:rFonts w:hint="eastAsia"/>
        </w:rPr>
        <w:t>有关验收</w:t>
      </w:r>
    </w:p>
    <w:p w14:paraId="60F56D32">
      <w:pPr>
        <w:widowControl/>
        <w:autoSpaceDE w:val="0"/>
        <w:autoSpaceDN w:val="0"/>
        <w:adjustRightInd w:val="0"/>
        <w:spacing w:line="360" w:lineRule="auto"/>
        <w:ind w:left="448" w:firstLine="180" w:firstLineChars="100"/>
        <w:jc w:val="left"/>
        <w:rPr>
          <w:rFonts w:ascii="黑体" w:hAnsi="黑体" w:cs="Arial"/>
          <w:b/>
          <w:bCs/>
          <w:kern w:val="0"/>
          <w:szCs w:val="18"/>
        </w:rPr>
      </w:pPr>
      <w:r>
        <w:rPr>
          <w:rFonts w:ascii="黑体" w:hAnsi="黑体" w:cs="Arial"/>
          <w:bCs/>
          <w:kern w:val="0"/>
          <w:szCs w:val="18"/>
        </w:rPr>
        <w:t>A</w:t>
      </w:r>
      <w:r>
        <w:rPr>
          <w:rFonts w:hint="eastAsia" w:ascii="黑体" w:hAnsi="黑体" w:cs="Arial"/>
          <w:bCs/>
          <w:kern w:val="0"/>
          <w:szCs w:val="18"/>
        </w:rPr>
        <w:t>、</w:t>
      </w:r>
      <w:r>
        <w:rPr>
          <w:rFonts w:ascii="黑体" w:hAnsi="黑体" w:cs="Arial"/>
          <w:bCs/>
          <w:kern w:val="0"/>
          <w:szCs w:val="18"/>
        </w:rPr>
        <w:t>材料进场验收</w:t>
      </w:r>
    </w:p>
    <w:p w14:paraId="0FC03899">
      <w:pPr>
        <w:widowControl/>
        <w:numPr>
          <w:ilvl w:val="0"/>
          <w:numId w:val="155"/>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材料进场必须同时提供对应同批次产品的检测报告、使用说明书、出厂合格证书等技术证明资料，并同时通知发包方项目工程师与监理工程师及材料接收方共同验货与接收。</w:t>
      </w:r>
    </w:p>
    <w:p w14:paraId="1F5EF4EC">
      <w:pPr>
        <w:widowControl/>
        <w:numPr>
          <w:ilvl w:val="0"/>
          <w:numId w:val="155"/>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所有进场材料需要进行见证抽样送检（地方行政主管部门有特殊要求的情况，按当地要求检验频次执行，见证人为发包方工程师或授权监理工程师）。现场抽样送检频次</w:t>
      </w:r>
      <w:r>
        <w:rPr>
          <w:rFonts w:hint="eastAsia" w:ascii="黑体" w:hAnsi="黑体" w:cs="Arial"/>
          <w:bCs/>
          <w:kern w:val="0"/>
          <w:szCs w:val="18"/>
        </w:rPr>
        <w:t>：</w:t>
      </w:r>
      <w:r>
        <w:rPr>
          <w:rFonts w:ascii="黑体" w:hAnsi="黑体" w:cs="Arial"/>
          <w:bCs/>
          <w:kern w:val="0"/>
          <w:szCs w:val="18"/>
        </w:rPr>
        <w:t>以项目标段为单位，项目现场随机见证抽样检验</w:t>
      </w:r>
      <w:r>
        <w:rPr>
          <w:rFonts w:hint="eastAsia" w:ascii="黑体" w:hAnsi="黑体" w:cs="Arial"/>
          <w:bCs/>
          <w:kern w:val="0"/>
          <w:szCs w:val="18"/>
        </w:rPr>
        <w:t>，按进场批次，同一规格型号数量的1%，并不少于3桶。</w:t>
      </w:r>
    </w:p>
    <w:p w14:paraId="44F3FBFC">
      <w:pPr>
        <w:widowControl/>
        <w:numPr>
          <w:ilvl w:val="0"/>
          <w:numId w:val="155"/>
        </w:numPr>
        <w:autoSpaceDE w:val="0"/>
        <w:autoSpaceDN w:val="0"/>
        <w:adjustRightInd w:val="0"/>
        <w:spacing w:line="360" w:lineRule="auto"/>
        <w:jc w:val="left"/>
        <w:rPr>
          <w:rFonts w:ascii="黑体" w:hAnsi="黑体"/>
          <w:szCs w:val="18"/>
        </w:rPr>
      </w:pPr>
      <w:r>
        <w:rPr>
          <w:rFonts w:ascii="黑体" w:hAnsi="黑体" w:cs="Arial"/>
          <w:bCs/>
          <w:szCs w:val="18"/>
        </w:rPr>
        <w:t>过程验收：中标方须根据规范要求执行过程自检，并如实填写相关质量表格。</w:t>
      </w:r>
      <w:r>
        <w:rPr>
          <w:rFonts w:hint="eastAsia" w:ascii="黑体" w:hAnsi="黑体" w:cs="Arial"/>
          <w:bCs/>
          <w:szCs w:val="18"/>
        </w:rPr>
        <w:t>同一批次、不同批次间均要求无明显色差，颜色与验收原始样板基本一致。真石漆上墙效果、纹理应与验收原始样板基本一致。</w:t>
      </w:r>
    </w:p>
    <w:p w14:paraId="692CCDF0">
      <w:pPr>
        <w:widowControl/>
        <w:autoSpaceDE w:val="0"/>
        <w:autoSpaceDN w:val="0"/>
        <w:adjustRightInd w:val="0"/>
        <w:spacing w:line="360" w:lineRule="auto"/>
        <w:ind w:left="1984"/>
        <w:jc w:val="left"/>
        <w:rPr>
          <w:rFonts w:ascii="黑体" w:hAnsi="黑体"/>
          <w:kern w:val="0"/>
          <w:szCs w:val="18"/>
        </w:rPr>
      </w:pPr>
      <w:r>
        <w:rPr>
          <w:rFonts w:hint="eastAsia" w:ascii="黑体" w:hAnsi="黑体" w:cs="Arial"/>
          <w:bCs/>
          <w:kern w:val="0"/>
          <w:szCs w:val="18"/>
        </w:rPr>
        <w:t>外墙涂料现场质量检查标准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693"/>
        <w:gridCol w:w="3402"/>
      </w:tblGrid>
      <w:tr w14:paraId="7E27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93" w:type="dxa"/>
            <w:vAlign w:val="center"/>
          </w:tcPr>
          <w:p w14:paraId="6B7EBAAA">
            <w:pPr>
              <w:snapToGrid w:val="0"/>
              <w:spacing w:line="360" w:lineRule="auto"/>
              <w:jc w:val="left"/>
              <w:rPr>
                <w:rFonts w:ascii="黑体" w:hAnsi="黑体"/>
                <w:szCs w:val="18"/>
              </w:rPr>
            </w:pPr>
            <w:r>
              <w:rPr>
                <w:rFonts w:hint="eastAsia" w:ascii="黑体" w:hAnsi="黑体"/>
                <w:szCs w:val="18"/>
              </w:rPr>
              <w:t>序号</w:t>
            </w:r>
          </w:p>
        </w:tc>
        <w:tc>
          <w:tcPr>
            <w:tcW w:w="2693" w:type="dxa"/>
            <w:vAlign w:val="center"/>
          </w:tcPr>
          <w:p w14:paraId="7682B191">
            <w:pPr>
              <w:snapToGrid w:val="0"/>
              <w:spacing w:line="360" w:lineRule="auto"/>
              <w:jc w:val="left"/>
              <w:rPr>
                <w:rFonts w:ascii="黑体" w:hAnsi="黑体"/>
                <w:szCs w:val="18"/>
              </w:rPr>
            </w:pPr>
            <w:r>
              <w:rPr>
                <w:rFonts w:hint="eastAsia" w:ascii="黑体" w:hAnsi="黑体"/>
                <w:szCs w:val="18"/>
              </w:rPr>
              <w:t>检查项目</w:t>
            </w:r>
          </w:p>
        </w:tc>
        <w:tc>
          <w:tcPr>
            <w:tcW w:w="3402" w:type="dxa"/>
            <w:vAlign w:val="center"/>
          </w:tcPr>
          <w:p w14:paraId="3DB7F221">
            <w:pPr>
              <w:snapToGrid w:val="0"/>
              <w:spacing w:line="360" w:lineRule="auto"/>
              <w:jc w:val="left"/>
              <w:rPr>
                <w:rFonts w:ascii="黑体" w:hAnsi="黑体"/>
                <w:szCs w:val="18"/>
              </w:rPr>
            </w:pPr>
            <w:r>
              <w:rPr>
                <w:rFonts w:hint="eastAsia" w:ascii="黑体" w:hAnsi="黑体"/>
                <w:szCs w:val="18"/>
              </w:rPr>
              <w:t>质量标准</w:t>
            </w:r>
          </w:p>
        </w:tc>
      </w:tr>
      <w:tr w14:paraId="4824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93" w:type="dxa"/>
            <w:vAlign w:val="center"/>
          </w:tcPr>
          <w:p w14:paraId="6FF90F98">
            <w:pPr>
              <w:snapToGrid w:val="0"/>
              <w:spacing w:line="360" w:lineRule="auto"/>
              <w:jc w:val="left"/>
              <w:rPr>
                <w:rFonts w:ascii="黑体" w:hAnsi="黑体"/>
                <w:szCs w:val="18"/>
              </w:rPr>
            </w:pPr>
            <w:r>
              <w:rPr>
                <w:rFonts w:hint="eastAsia" w:ascii="黑体" w:hAnsi="黑体"/>
                <w:szCs w:val="18"/>
              </w:rPr>
              <w:t>1</w:t>
            </w:r>
          </w:p>
        </w:tc>
        <w:tc>
          <w:tcPr>
            <w:tcW w:w="2693" w:type="dxa"/>
            <w:vAlign w:val="center"/>
          </w:tcPr>
          <w:p w14:paraId="5E147B06">
            <w:pPr>
              <w:snapToGrid w:val="0"/>
              <w:spacing w:line="360" w:lineRule="auto"/>
              <w:jc w:val="left"/>
              <w:rPr>
                <w:rFonts w:ascii="黑体" w:hAnsi="黑体"/>
                <w:szCs w:val="18"/>
              </w:rPr>
            </w:pPr>
            <w:r>
              <w:rPr>
                <w:rFonts w:hint="eastAsia" w:ascii="黑体" w:hAnsi="黑体"/>
                <w:szCs w:val="18"/>
              </w:rPr>
              <w:t>反锈、掉粉、起皮</w:t>
            </w:r>
          </w:p>
        </w:tc>
        <w:tc>
          <w:tcPr>
            <w:tcW w:w="3402" w:type="dxa"/>
            <w:vAlign w:val="center"/>
          </w:tcPr>
          <w:p w14:paraId="024D80B2">
            <w:pPr>
              <w:snapToGrid w:val="0"/>
              <w:spacing w:line="360" w:lineRule="auto"/>
              <w:jc w:val="left"/>
              <w:rPr>
                <w:rFonts w:ascii="黑体" w:hAnsi="黑体"/>
                <w:szCs w:val="18"/>
              </w:rPr>
            </w:pPr>
            <w:r>
              <w:rPr>
                <w:rFonts w:hint="eastAsia" w:ascii="黑体" w:hAnsi="黑体"/>
                <w:szCs w:val="18"/>
              </w:rPr>
              <w:t>不允许</w:t>
            </w:r>
          </w:p>
        </w:tc>
      </w:tr>
      <w:tr w14:paraId="0D07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93" w:type="dxa"/>
            <w:vAlign w:val="center"/>
          </w:tcPr>
          <w:p w14:paraId="4D189F18">
            <w:pPr>
              <w:snapToGrid w:val="0"/>
              <w:spacing w:line="360" w:lineRule="auto"/>
              <w:jc w:val="left"/>
              <w:rPr>
                <w:rFonts w:ascii="黑体" w:hAnsi="黑体"/>
                <w:szCs w:val="18"/>
              </w:rPr>
            </w:pPr>
            <w:r>
              <w:rPr>
                <w:rFonts w:hint="eastAsia" w:ascii="黑体" w:hAnsi="黑体"/>
                <w:szCs w:val="18"/>
              </w:rPr>
              <w:t>2</w:t>
            </w:r>
          </w:p>
        </w:tc>
        <w:tc>
          <w:tcPr>
            <w:tcW w:w="2693" w:type="dxa"/>
            <w:vAlign w:val="center"/>
          </w:tcPr>
          <w:p w14:paraId="1D842E70">
            <w:pPr>
              <w:snapToGrid w:val="0"/>
              <w:spacing w:line="360" w:lineRule="auto"/>
              <w:jc w:val="left"/>
              <w:rPr>
                <w:rFonts w:ascii="黑体" w:hAnsi="黑体"/>
                <w:szCs w:val="18"/>
              </w:rPr>
            </w:pPr>
            <w:r>
              <w:rPr>
                <w:rFonts w:hint="eastAsia" w:ascii="黑体" w:hAnsi="黑体"/>
                <w:szCs w:val="18"/>
              </w:rPr>
              <w:t>漏刷、透底</w:t>
            </w:r>
          </w:p>
        </w:tc>
        <w:tc>
          <w:tcPr>
            <w:tcW w:w="3402" w:type="dxa"/>
            <w:vAlign w:val="center"/>
          </w:tcPr>
          <w:p w14:paraId="56BE1DE0">
            <w:pPr>
              <w:snapToGrid w:val="0"/>
              <w:spacing w:line="360" w:lineRule="auto"/>
              <w:jc w:val="left"/>
              <w:rPr>
                <w:rFonts w:ascii="黑体" w:hAnsi="黑体"/>
                <w:szCs w:val="18"/>
              </w:rPr>
            </w:pPr>
            <w:r>
              <w:rPr>
                <w:rFonts w:hint="eastAsia" w:ascii="黑体" w:hAnsi="黑体"/>
                <w:szCs w:val="18"/>
              </w:rPr>
              <w:t>不允许</w:t>
            </w:r>
          </w:p>
        </w:tc>
      </w:tr>
      <w:tr w14:paraId="5E81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993" w:type="dxa"/>
            <w:vAlign w:val="center"/>
          </w:tcPr>
          <w:p w14:paraId="2FFA409B">
            <w:pPr>
              <w:snapToGrid w:val="0"/>
              <w:spacing w:line="360" w:lineRule="auto"/>
              <w:jc w:val="left"/>
              <w:rPr>
                <w:rFonts w:ascii="黑体" w:hAnsi="黑体"/>
                <w:szCs w:val="18"/>
              </w:rPr>
            </w:pPr>
            <w:r>
              <w:rPr>
                <w:rFonts w:hint="eastAsia" w:ascii="黑体" w:hAnsi="黑体"/>
                <w:szCs w:val="18"/>
              </w:rPr>
              <w:t>3</w:t>
            </w:r>
          </w:p>
        </w:tc>
        <w:tc>
          <w:tcPr>
            <w:tcW w:w="2693" w:type="dxa"/>
            <w:vAlign w:val="center"/>
          </w:tcPr>
          <w:p w14:paraId="36028183">
            <w:pPr>
              <w:snapToGrid w:val="0"/>
              <w:spacing w:line="360" w:lineRule="auto"/>
              <w:jc w:val="left"/>
              <w:rPr>
                <w:rFonts w:ascii="黑体" w:hAnsi="黑体"/>
                <w:szCs w:val="18"/>
              </w:rPr>
            </w:pPr>
            <w:r>
              <w:rPr>
                <w:rFonts w:hint="eastAsia" w:ascii="黑体" w:hAnsi="黑体"/>
                <w:szCs w:val="18"/>
              </w:rPr>
              <w:t>泛碱、咬色</w:t>
            </w:r>
          </w:p>
        </w:tc>
        <w:tc>
          <w:tcPr>
            <w:tcW w:w="3402" w:type="dxa"/>
            <w:vAlign w:val="center"/>
          </w:tcPr>
          <w:p w14:paraId="4024A5FB">
            <w:pPr>
              <w:snapToGrid w:val="0"/>
              <w:spacing w:line="360" w:lineRule="auto"/>
              <w:jc w:val="left"/>
              <w:rPr>
                <w:rFonts w:ascii="黑体" w:hAnsi="黑体"/>
                <w:szCs w:val="18"/>
              </w:rPr>
            </w:pPr>
            <w:r>
              <w:rPr>
                <w:rFonts w:hint="eastAsia" w:ascii="黑体" w:hAnsi="黑体"/>
                <w:szCs w:val="18"/>
              </w:rPr>
              <w:t>不允许</w:t>
            </w:r>
          </w:p>
        </w:tc>
      </w:tr>
      <w:tr w14:paraId="12F9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993" w:type="dxa"/>
            <w:vAlign w:val="center"/>
          </w:tcPr>
          <w:p w14:paraId="45C9EACF">
            <w:pPr>
              <w:snapToGrid w:val="0"/>
              <w:spacing w:line="360" w:lineRule="auto"/>
              <w:jc w:val="left"/>
              <w:rPr>
                <w:rFonts w:ascii="黑体" w:hAnsi="黑体"/>
                <w:szCs w:val="18"/>
              </w:rPr>
            </w:pPr>
            <w:r>
              <w:rPr>
                <w:rFonts w:hint="eastAsia" w:ascii="黑体" w:hAnsi="黑体"/>
                <w:szCs w:val="18"/>
              </w:rPr>
              <w:t>4</w:t>
            </w:r>
          </w:p>
        </w:tc>
        <w:tc>
          <w:tcPr>
            <w:tcW w:w="2693" w:type="dxa"/>
            <w:vAlign w:val="center"/>
          </w:tcPr>
          <w:p w14:paraId="186E0A11">
            <w:pPr>
              <w:snapToGrid w:val="0"/>
              <w:spacing w:line="360" w:lineRule="auto"/>
              <w:jc w:val="left"/>
              <w:rPr>
                <w:rFonts w:ascii="黑体" w:hAnsi="黑体"/>
                <w:szCs w:val="18"/>
              </w:rPr>
            </w:pPr>
            <w:r>
              <w:rPr>
                <w:rFonts w:hint="eastAsia" w:ascii="黑体" w:hAnsi="黑体"/>
                <w:szCs w:val="18"/>
              </w:rPr>
              <w:t>流坠、疙瘩</w:t>
            </w:r>
          </w:p>
        </w:tc>
        <w:tc>
          <w:tcPr>
            <w:tcW w:w="3402" w:type="dxa"/>
            <w:vAlign w:val="center"/>
          </w:tcPr>
          <w:p w14:paraId="07A2C04D">
            <w:pPr>
              <w:snapToGrid w:val="0"/>
              <w:spacing w:line="360" w:lineRule="auto"/>
              <w:jc w:val="left"/>
              <w:rPr>
                <w:rFonts w:ascii="黑体" w:hAnsi="黑体"/>
                <w:szCs w:val="18"/>
              </w:rPr>
            </w:pPr>
            <w:r>
              <w:rPr>
                <w:rFonts w:hint="eastAsia" w:ascii="黑体" w:hAnsi="黑体"/>
                <w:szCs w:val="18"/>
              </w:rPr>
              <w:t>不允许</w:t>
            </w:r>
          </w:p>
        </w:tc>
      </w:tr>
      <w:tr w14:paraId="7458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93" w:type="dxa"/>
            <w:vAlign w:val="center"/>
          </w:tcPr>
          <w:p w14:paraId="63704992">
            <w:pPr>
              <w:snapToGrid w:val="0"/>
              <w:spacing w:line="360" w:lineRule="auto"/>
              <w:jc w:val="left"/>
              <w:rPr>
                <w:rFonts w:ascii="黑体" w:hAnsi="黑体"/>
                <w:szCs w:val="18"/>
              </w:rPr>
            </w:pPr>
            <w:r>
              <w:rPr>
                <w:rFonts w:hint="eastAsia" w:ascii="黑体" w:hAnsi="黑体"/>
                <w:szCs w:val="18"/>
              </w:rPr>
              <w:t>5</w:t>
            </w:r>
          </w:p>
        </w:tc>
        <w:tc>
          <w:tcPr>
            <w:tcW w:w="2693" w:type="dxa"/>
            <w:vAlign w:val="center"/>
          </w:tcPr>
          <w:p w14:paraId="45C04B60">
            <w:pPr>
              <w:snapToGrid w:val="0"/>
              <w:spacing w:line="360" w:lineRule="auto"/>
              <w:jc w:val="left"/>
              <w:rPr>
                <w:rFonts w:ascii="黑体" w:hAnsi="黑体"/>
                <w:szCs w:val="18"/>
              </w:rPr>
            </w:pPr>
            <w:r>
              <w:rPr>
                <w:rFonts w:hint="eastAsia" w:ascii="黑体" w:hAnsi="黑体"/>
                <w:szCs w:val="18"/>
              </w:rPr>
              <w:t>颜色、刷纹</w:t>
            </w:r>
          </w:p>
        </w:tc>
        <w:tc>
          <w:tcPr>
            <w:tcW w:w="3402" w:type="dxa"/>
            <w:vAlign w:val="center"/>
          </w:tcPr>
          <w:p w14:paraId="34BB8FCA">
            <w:pPr>
              <w:snapToGrid w:val="0"/>
              <w:spacing w:line="360" w:lineRule="auto"/>
              <w:jc w:val="left"/>
              <w:rPr>
                <w:rFonts w:ascii="黑体" w:hAnsi="黑体"/>
                <w:szCs w:val="18"/>
              </w:rPr>
            </w:pPr>
            <w:r>
              <w:rPr>
                <w:rFonts w:ascii="黑体" w:hAnsi="黑体"/>
                <w:szCs w:val="18"/>
              </w:rPr>
              <w:t>颜色一致、无刷纹</w:t>
            </w:r>
          </w:p>
        </w:tc>
      </w:tr>
      <w:tr w14:paraId="4789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93" w:type="dxa"/>
            <w:vAlign w:val="center"/>
          </w:tcPr>
          <w:p w14:paraId="59B945AA">
            <w:pPr>
              <w:snapToGrid w:val="0"/>
              <w:spacing w:line="360" w:lineRule="auto"/>
              <w:jc w:val="left"/>
              <w:rPr>
                <w:rFonts w:ascii="黑体" w:hAnsi="黑体"/>
                <w:szCs w:val="18"/>
              </w:rPr>
            </w:pPr>
            <w:r>
              <w:rPr>
                <w:rFonts w:hint="eastAsia" w:ascii="黑体" w:hAnsi="黑体"/>
                <w:szCs w:val="18"/>
              </w:rPr>
              <w:t>6</w:t>
            </w:r>
          </w:p>
        </w:tc>
        <w:tc>
          <w:tcPr>
            <w:tcW w:w="2693" w:type="dxa"/>
            <w:vAlign w:val="center"/>
          </w:tcPr>
          <w:p w14:paraId="31062BF9">
            <w:pPr>
              <w:snapToGrid w:val="0"/>
              <w:spacing w:line="360" w:lineRule="auto"/>
              <w:jc w:val="left"/>
              <w:rPr>
                <w:rFonts w:ascii="黑体" w:hAnsi="黑体"/>
                <w:szCs w:val="18"/>
              </w:rPr>
            </w:pPr>
            <w:r>
              <w:rPr>
                <w:rFonts w:hint="eastAsia" w:ascii="黑体" w:hAnsi="黑体"/>
                <w:szCs w:val="18"/>
              </w:rPr>
              <w:t>光泽</w:t>
            </w:r>
          </w:p>
        </w:tc>
        <w:tc>
          <w:tcPr>
            <w:tcW w:w="3402" w:type="dxa"/>
            <w:vAlign w:val="center"/>
          </w:tcPr>
          <w:p w14:paraId="66AE115E">
            <w:pPr>
              <w:snapToGrid w:val="0"/>
              <w:spacing w:line="360" w:lineRule="auto"/>
              <w:jc w:val="left"/>
              <w:rPr>
                <w:rFonts w:ascii="黑体" w:hAnsi="黑体"/>
                <w:szCs w:val="18"/>
              </w:rPr>
            </w:pPr>
            <w:r>
              <w:rPr>
                <w:rFonts w:ascii="黑体" w:hAnsi="黑体"/>
                <w:szCs w:val="18"/>
              </w:rPr>
              <w:t>均匀一致</w:t>
            </w:r>
          </w:p>
        </w:tc>
      </w:tr>
      <w:tr w14:paraId="464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993" w:type="dxa"/>
            <w:vAlign w:val="center"/>
          </w:tcPr>
          <w:p w14:paraId="38ADE0F1">
            <w:pPr>
              <w:snapToGrid w:val="0"/>
              <w:spacing w:line="360" w:lineRule="auto"/>
              <w:jc w:val="left"/>
              <w:rPr>
                <w:rFonts w:ascii="黑体" w:hAnsi="黑体"/>
                <w:szCs w:val="18"/>
              </w:rPr>
            </w:pPr>
            <w:r>
              <w:rPr>
                <w:rFonts w:hint="eastAsia" w:ascii="黑体" w:hAnsi="黑体"/>
                <w:szCs w:val="18"/>
              </w:rPr>
              <w:t>7</w:t>
            </w:r>
          </w:p>
        </w:tc>
        <w:tc>
          <w:tcPr>
            <w:tcW w:w="2693" w:type="dxa"/>
            <w:vAlign w:val="center"/>
          </w:tcPr>
          <w:p w14:paraId="1AD29360">
            <w:pPr>
              <w:snapToGrid w:val="0"/>
              <w:spacing w:line="360" w:lineRule="auto"/>
              <w:jc w:val="left"/>
              <w:rPr>
                <w:rFonts w:ascii="黑体" w:hAnsi="黑体"/>
                <w:szCs w:val="18"/>
              </w:rPr>
            </w:pPr>
            <w:r>
              <w:rPr>
                <w:rFonts w:hint="eastAsia" w:ascii="黑体" w:hAnsi="黑体"/>
                <w:szCs w:val="18"/>
              </w:rPr>
              <w:t>开裂</w:t>
            </w:r>
          </w:p>
        </w:tc>
        <w:tc>
          <w:tcPr>
            <w:tcW w:w="3402" w:type="dxa"/>
            <w:vAlign w:val="center"/>
          </w:tcPr>
          <w:p w14:paraId="785449E6">
            <w:pPr>
              <w:snapToGrid w:val="0"/>
              <w:spacing w:line="360" w:lineRule="auto"/>
              <w:jc w:val="left"/>
              <w:rPr>
                <w:rFonts w:ascii="黑体" w:hAnsi="黑体"/>
                <w:szCs w:val="18"/>
              </w:rPr>
            </w:pPr>
            <w:r>
              <w:rPr>
                <w:rFonts w:hint="eastAsia" w:ascii="黑体" w:hAnsi="黑体"/>
                <w:szCs w:val="18"/>
              </w:rPr>
              <w:t>不允许</w:t>
            </w:r>
          </w:p>
        </w:tc>
      </w:tr>
      <w:tr w14:paraId="7DF0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93" w:type="dxa"/>
            <w:vAlign w:val="center"/>
          </w:tcPr>
          <w:p w14:paraId="0FECC7C6">
            <w:pPr>
              <w:snapToGrid w:val="0"/>
              <w:spacing w:line="360" w:lineRule="auto"/>
              <w:jc w:val="left"/>
              <w:rPr>
                <w:rFonts w:ascii="黑体" w:hAnsi="黑体"/>
                <w:szCs w:val="18"/>
              </w:rPr>
            </w:pPr>
            <w:r>
              <w:rPr>
                <w:rFonts w:hint="eastAsia" w:ascii="黑体" w:hAnsi="黑体"/>
                <w:szCs w:val="18"/>
              </w:rPr>
              <w:t>8</w:t>
            </w:r>
          </w:p>
        </w:tc>
        <w:tc>
          <w:tcPr>
            <w:tcW w:w="2693" w:type="dxa"/>
            <w:vAlign w:val="center"/>
          </w:tcPr>
          <w:p w14:paraId="05483A4A">
            <w:pPr>
              <w:snapToGrid w:val="0"/>
              <w:spacing w:line="360" w:lineRule="auto"/>
              <w:jc w:val="left"/>
              <w:rPr>
                <w:rFonts w:ascii="黑体" w:hAnsi="黑体"/>
                <w:szCs w:val="18"/>
              </w:rPr>
            </w:pPr>
            <w:r>
              <w:rPr>
                <w:rFonts w:hint="eastAsia" w:ascii="黑体" w:hAnsi="黑体"/>
                <w:szCs w:val="18"/>
              </w:rPr>
              <w:t>针孔、砂眼</w:t>
            </w:r>
          </w:p>
        </w:tc>
        <w:tc>
          <w:tcPr>
            <w:tcW w:w="3402" w:type="dxa"/>
            <w:vAlign w:val="center"/>
          </w:tcPr>
          <w:p w14:paraId="3A9092BF">
            <w:pPr>
              <w:snapToGrid w:val="0"/>
              <w:spacing w:line="360" w:lineRule="auto"/>
              <w:jc w:val="left"/>
              <w:rPr>
                <w:rFonts w:ascii="黑体" w:hAnsi="黑体"/>
                <w:szCs w:val="18"/>
              </w:rPr>
            </w:pPr>
            <w:r>
              <w:rPr>
                <w:rFonts w:ascii="黑体" w:hAnsi="黑体"/>
                <w:szCs w:val="18"/>
              </w:rPr>
              <w:t>允许少量</w:t>
            </w:r>
          </w:p>
        </w:tc>
      </w:tr>
      <w:tr w14:paraId="4B35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93" w:type="dxa"/>
            <w:vAlign w:val="center"/>
          </w:tcPr>
          <w:p w14:paraId="44EEEBE9">
            <w:pPr>
              <w:snapToGrid w:val="0"/>
              <w:spacing w:line="360" w:lineRule="auto"/>
              <w:jc w:val="left"/>
              <w:rPr>
                <w:rFonts w:ascii="黑体" w:hAnsi="黑体"/>
                <w:szCs w:val="18"/>
              </w:rPr>
            </w:pPr>
            <w:r>
              <w:rPr>
                <w:rFonts w:hint="eastAsia" w:ascii="黑体" w:hAnsi="黑体"/>
                <w:szCs w:val="18"/>
              </w:rPr>
              <w:t>9</w:t>
            </w:r>
          </w:p>
        </w:tc>
        <w:tc>
          <w:tcPr>
            <w:tcW w:w="2693" w:type="dxa"/>
            <w:vAlign w:val="center"/>
          </w:tcPr>
          <w:p w14:paraId="3399942A">
            <w:pPr>
              <w:snapToGrid w:val="0"/>
              <w:spacing w:line="360" w:lineRule="auto"/>
              <w:jc w:val="left"/>
              <w:rPr>
                <w:rFonts w:ascii="黑体" w:hAnsi="黑体"/>
                <w:szCs w:val="18"/>
              </w:rPr>
            </w:pPr>
            <w:r>
              <w:rPr>
                <w:rFonts w:hint="eastAsia" w:ascii="黑体" w:hAnsi="黑体"/>
                <w:szCs w:val="18"/>
              </w:rPr>
              <w:t>分色线平直（拉5m线检查、不足5m拉通线检查）</w:t>
            </w:r>
          </w:p>
        </w:tc>
        <w:tc>
          <w:tcPr>
            <w:tcW w:w="3402" w:type="dxa"/>
            <w:vAlign w:val="center"/>
          </w:tcPr>
          <w:p w14:paraId="7F002039">
            <w:pPr>
              <w:snapToGrid w:val="0"/>
              <w:spacing w:line="360" w:lineRule="auto"/>
              <w:jc w:val="left"/>
              <w:rPr>
                <w:rFonts w:ascii="黑体" w:hAnsi="黑体"/>
                <w:szCs w:val="18"/>
              </w:rPr>
            </w:pPr>
            <w:r>
              <w:rPr>
                <w:rFonts w:ascii="黑体" w:hAnsi="黑体"/>
                <w:szCs w:val="18"/>
              </w:rPr>
              <w:t>偏差不大于</w:t>
            </w:r>
            <w:r>
              <w:rPr>
                <w:rFonts w:hint="eastAsia" w:ascii="黑体" w:hAnsi="黑体"/>
                <w:szCs w:val="18"/>
              </w:rPr>
              <w:t>2</w:t>
            </w:r>
            <w:r>
              <w:rPr>
                <w:rFonts w:ascii="黑体" w:hAnsi="黑体"/>
                <w:szCs w:val="18"/>
              </w:rPr>
              <w:t>㎜</w:t>
            </w:r>
          </w:p>
        </w:tc>
      </w:tr>
      <w:tr w14:paraId="6A24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93" w:type="dxa"/>
            <w:vAlign w:val="center"/>
          </w:tcPr>
          <w:p w14:paraId="2D35CF6D">
            <w:pPr>
              <w:snapToGrid w:val="0"/>
              <w:spacing w:line="360" w:lineRule="auto"/>
              <w:jc w:val="left"/>
              <w:rPr>
                <w:rFonts w:ascii="黑体" w:hAnsi="黑体"/>
                <w:szCs w:val="18"/>
              </w:rPr>
            </w:pPr>
            <w:r>
              <w:rPr>
                <w:rFonts w:hint="eastAsia" w:ascii="黑体" w:hAnsi="黑体"/>
                <w:szCs w:val="18"/>
              </w:rPr>
              <w:t>10</w:t>
            </w:r>
          </w:p>
        </w:tc>
        <w:tc>
          <w:tcPr>
            <w:tcW w:w="2693" w:type="dxa"/>
            <w:vAlign w:val="center"/>
          </w:tcPr>
          <w:p w14:paraId="478AF7DC">
            <w:pPr>
              <w:snapToGrid w:val="0"/>
              <w:spacing w:line="360" w:lineRule="auto"/>
              <w:jc w:val="left"/>
              <w:rPr>
                <w:rFonts w:ascii="黑体" w:hAnsi="黑体"/>
                <w:szCs w:val="18"/>
              </w:rPr>
            </w:pPr>
            <w:r>
              <w:rPr>
                <w:rFonts w:hint="eastAsia" w:ascii="黑体" w:hAnsi="黑体"/>
                <w:szCs w:val="18"/>
              </w:rPr>
              <w:t>门窗、栏杆等</w:t>
            </w:r>
          </w:p>
        </w:tc>
        <w:tc>
          <w:tcPr>
            <w:tcW w:w="3402" w:type="dxa"/>
            <w:vAlign w:val="center"/>
          </w:tcPr>
          <w:p w14:paraId="78CAF61F">
            <w:pPr>
              <w:snapToGrid w:val="0"/>
              <w:spacing w:line="360" w:lineRule="auto"/>
              <w:jc w:val="left"/>
              <w:rPr>
                <w:rFonts w:ascii="黑体" w:hAnsi="黑体"/>
                <w:szCs w:val="18"/>
              </w:rPr>
            </w:pPr>
            <w:r>
              <w:rPr>
                <w:rFonts w:hint="eastAsia" w:ascii="黑体" w:hAnsi="黑体"/>
                <w:szCs w:val="18"/>
              </w:rPr>
              <w:t>无污染</w:t>
            </w:r>
          </w:p>
        </w:tc>
      </w:tr>
    </w:tbl>
    <w:p w14:paraId="0B6669E4">
      <w:pPr>
        <w:widowControl/>
        <w:numPr>
          <w:ilvl w:val="0"/>
          <w:numId w:val="156"/>
        </w:numPr>
        <w:autoSpaceDE w:val="0"/>
        <w:autoSpaceDN w:val="0"/>
        <w:adjustRightInd w:val="0"/>
        <w:spacing w:line="360" w:lineRule="auto"/>
        <w:jc w:val="left"/>
        <w:rPr>
          <w:rFonts w:ascii="黑体" w:hAnsi="黑体"/>
          <w:kern w:val="0"/>
          <w:szCs w:val="18"/>
        </w:rPr>
      </w:pPr>
      <w:r>
        <w:rPr>
          <w:rFonts w:hint="eastAsia" w:ascii="黑体" w:hAnsi="黑体"/>
          <w:kern w:val="0"/>
          <w:szCs w:val="18"/>
        </w:rPr>
        <w:t>涂漆前基材面要达到《建筑涂饰工程施工及验收规程 JGJ/T 29-2003》的相关要求，中标方验收基层，并签认相关记录。施工前确认施工环境亦能达到施工要求。必要情况保留相关可追溯性质量记录（含文字与图片记录）。按照发包方或监理的要求接受停点验收、隐蔽验收，以及发包方各级主管部门随机实测验收，并签认相关质量记录。隐蔽工程未经验收不允许自行封闭，否则该部分工程将不参与结算。</w:t>
      </w:r>
    </w:p>
    <w:p w14:paraId="389E12BB">
      <w:pPr>
        <w:widowControl/>
        <w:numPr>
          <w:ilvl w:val="0"/>
          <w:numId w:val="156"/>
        </w:numPr>
        <w:autoSpaceDE w:val="0"/>
        <w:autoSpaceDN w:val="0"/>
        <w:adjustRightInd w:val="0"/>
        <w:spacing w:line="360" w:lineRule="auto"/>
        <w:jc w:val="left"/>
        <w:rPr>
          <w:rFonts w:ascii="黑体" w:hAnsi="黑体"/>
          <w:kern w:val="0"/>
          <w:szCs w:val="18"/>
        </w:rPr>
      </w:pPr>
      <w:r>
        <w:rPr>
          <w:rFonts w:hint="eastAsia" w:ascii="黑体" w:hAnsi="黑体"/>
          <w:kern w:val="0"/>
          <w:szCs w:val="18"/>
        </w:rPr>
        <w:t>所有验收流程文件按合同及现场管理需要规定执行。</w:t>
      </w:r>
    </w:p>
    <w:p w14:paraId="5F179644">
      <w:pPr>
        <w:widowControl/>
        <w:autoSpaceDE w:val="0"/>
        <w:autoSpaceDN w:val="0"/>
        <w:adjustRightInd w:val="0"/>
        <w:spacing w:line="360" w:lineRule="auto"/>
        <w:ind w:firstLine="542" w:firstLineChars="300"/>
        <w:jc w:val="left"/>
        <w:rPr>
          <w:rFonts w:ascii="黑体" w:hAnsi="黑体" w:cs="Arial"/>
          <w:bCs/>
          <w:kern w:val="0"/>
          <w:szCs w:val="18"/>
        </w:rPr>
      </w:pPr>
      <w:r>
        <w:rPr>
          <w:rFonts w:ascii="黑体" w:hAnsi="黑体"/>
          <w:b/>
          <w:bCs/>
          <w:szCs w:val="18"/>
        </w:rPr>
        <w:t>B</w:t>
      </w:r>
      <w:r>
        <w:rPr>
          <w:rFonts w:hint="eastAsia" w:ascii="黑体" w:hAnsi="黑体"/>
          <w:b/>
          <w:bCs/>
          <w:szCs w:val="18"/>
        </w:rPr>
        <w:t>、</w:t>
      </w:r>
      <w:r>
        <w:rPr>
          <w:rFonts w:ascii="黑体" w:hAnsi="黑体" w:cs="Arial"/>
          <w:bCs/>
          <w:kern w:val="0"/>
          <w:szCs w:val="18"/>
        </w:rPr>
        <w:t>竣工验收：</w:t>
      </w:r>
    </w:p>
    <w:p w14:paraId="038508C8">
      <w:pPr>
        <w:widowControl/>
        <w:numPr>
          <w:ilvl w:val="0"/>
          <w:numId w:val="46"/>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工程交付前必须进行细部质量验收及工程移交。</w:t>
      </w:r>
    </w:p>
    <w:p w14:paraId="38E7D389">
      <w:pPr>
        <w:widowControl/>
        <w:numPr>
          <w:ilvl w:val="0"/>
          <w:numId w:val="46"/>
        </w:numPr>
        <w:autoSpaceDE w:val="0"/>
        <w:autoSpaceDN w:val="0"/>
        <w:adjustRightInd w:val="0"/>
        <w:spacing w:line="360" w:lineRule="auto"/>
        <w:jc w:val="left"/>
        <w:rPr>
          <w:rFonts w:ascii="黑体" w:hAnsi="黑体" w:cs="Arial"/>
          <w:bCs/>
          <w:kern w:val="0"/>
          <w:szCs w:val="18"/>
        </w:rPr>
      </w:pPr>
      <w:r>
        <w:rPr>
          <w:rFonts w:ascii="黑体" w:hAnsi="黑体" w:cs="Arial"/>
          <w:bCs/>
          <w:kern w:val="0"/>
          <w:szCs w:val="18"/>
        </w:rPr>
        <w:t>配合分部分项工程竣工验收，配合竣工资料的提交与归档工作</w:t>
      </w:r>
    </w:p>
    <w:p w14:paraId="5BF692DA">
      <w:pPr>
        <w:pStyle w:val="97"/>
      </w:pPr>
      <w:r>
        <w:rPr>
          <w:rFonts w:hint="eastAsia"/>
        </w:rPr>
        <w:t>保修要求：</w:t>
      </w:r>
    </w:p>
    <w:p w14:paraId="7E5E30BE">
      <w:pPr>
        <w:widowControl/>
        <w:numPr>
          <w:ilvl w:val="0"/>
          <w:numId w:val="157"/>
        </w:numPr>
        <w:autoSpaceDE w:val="0"/>
        <w:autoSpaceDN w:val="0"/>
        <w:adjustRightInd w:val="0"/>
        <w:spacing w:line="360" w:lineRule="auto"/>
        <w:jc w:val="left"/>
        <w:rPr>
          <w:rFonts w:ascii="黑体" w:hAnsi="黑体"/>
          <w:kern w:val="0"/>
          <w:szCs w:val="18"/>
        </w:rPr>
      </w:pPr>
      <w:r>
        <w:rPr>
          <w:rFonts w:hint="eastAsia" w:ascii="黑体" w:hAnsi="黑体"/>
          <w:kern w:val="0"/>
          <w:szCs w:val="18"/>
        </w:rPr>
        <w:t>保修期：自业主集中交付之日起一个月后开始计算，分批交付的，分批计算，保修期为10年。</w:t>
      </w:r>
    </w:p>
    <w:p w14:paraId="5A528A92">
      <w:pPr>
        <w:spacing w:line="360" w:lineRule="auto"/>
        <w:ind w:left="420"/>
        <w:jc w:val="left"/>
        <w:rPr>
          <w:rFonts w:ascii="黑体" w:hAnsi="黑体"/>
          <w:szCs w:val="18"/>
        </w:rPr>
      </w:pPr>
      <w:r>
        <w:rPr>
          <w:rFonts w:hint="eastAsia" w:ascii="黑体" w:hAnsi="黑体"/>
          <w:szCs w:val="18"/>
        </w:rPr>
        <w:t>业主报修后，维修人员必须在24小时内到达现场。</w:t>
      </w:r>
    </w:p>
    <w:p w14:paraId="149E47D3">
      <w:pPr>
        <w:spacing w:line="360" w:lineRule="auto"/>
        <w:ind w:left="420"/>
        <w:jc w:val="left"/>
        <w:rPr>
          <w:rFonts w:ascii="黑体" w:hAnsi="黑体"/>
          <w:szCs w:val="18"/>
        </w:rPr>
      </w:pPr>
    </w:p>
    <w:p w14:paraId="1B58F15D">
      <w:pPr>
        <w:pStyle w:val="3"/>
        <w:jc w:val="left"/>
      </w:pPr>
      <w:bookmarkStart w:id="123" w:name="_Toc399689018"/>
      <w:bookmarkStart w:id="124" w:name="_Toc174556827"/>
      <w:r>
        <w:rPr>
          <w:rFonts w:hint="eastAsia"/>
        </w:rPr>
        <w:t>干挂、湿贴石材</w:t>
      </w:r>
      <w:bookmarkEnd w:id="123"/>
      <w:bookmarkEnd w:id="124"/>
    </w:p>
    <w:p w14:paraId="1E50F1DB">
      <w:pPr>
        <w:pStyle w:val="97"/>
        <w:rPr>
          <w:b/>
        </w:rPr>
      </w:pPr>
      <w:r>
        <w:rPr>
          <w:rFonts w:hint="eastAsia"/>
          <w:b/>
        </w:rPr>
        <w:t>使用部位</w:t>
      </w:r>
    </w:p>
    <w:p w14:paraId="3B2B6098">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地库坡道、室外楼梯外墙</w:t>
      </w:r>
    </w:p>
    <w:p w14:paraId="7EDEB466">
      <w:pPr>
        <w:pStyle w:val="49"/>
        <w:spacing w:line="360" w:lineRule="auto"/>
        <w:ind w:left="284" w:firstLine="0" w:firstLineChars="0"/>
        <w:jc w:val="left"/>
        <w:rPr>
          <w:rFonts w:ascii="黑体" w:hAnsi="黑体" w:cs="宋体"/>
          <w:kern w:val="0"/>
          <w:szCs w:val="18"/>
        </w:rPr>
      </w:pPr>
    </w:p>
    <w:p w14:paraId="22AA902A">
      <w:pPr>
        <w:pStyle w:val="97"/>
        <w:rPr>
          <w:b/>
        </w:rPr>
      </w:pPr>
      <w:r>
        <w:rPr>
          <w:rFonts w:hint="eastAsia"/>
          <w:b/>
        </w:rPr>
        <w:t xml:space="preserve"> </w:t>
      </w:r>
      <w:r>
        <w:rPr>
          <w:b/>
        </w:rPr>
        <w:t>技术规范</w:t>
      </w:r>
      <w:r>
        <w:rPr>
          <w:rFonts w:hint="eastAsia"/>
          <w:b/>
        </w:rPr>
        <w:t>、规程、要求</w:t>
      </w:r>
    </w:p>
    <w:p w14:paraId="792341FA">
      <w:pPr>
        <w:pStyle w:val="111"/>
        <w:jc w:val="left"/>
      </w:pPr>
      <w:r>
        <w:rPr>
          <w:rFonts w:hint="eastAsia"/>
        </w:rPr>
        <w:t>相关技术规范规程</w:t>
      </w:r>
    </w:p>
    <w:p w14:paraId="581D60E0">
      <w:pPr>
        <w:numPr>
          <w:ilvl w:val="0"/>
          <w:numId w:val="144"/>
        </w:numPr>
        <w:spacing w:line="360" w:lineRule="auto"/>
        <w:ind w:left="851"/>
        <w:jc w:val="left"/>
        <w:rPr>
          <w:rFonts w:ascii="黑体" w:hAnsi="黑体"/>
          <w:szCs w:val="18"/>
        </w:rPr>
      </w:pPr>
      <w:r>
        <w:rPr>
          <w:rFonts w:ascii="黑体" w:hAnsi="黑体"/>
          <w:szCs w:val="18"/>
        </w:rPr>
        <w:t>《建筑材料放射性核素限量》</w:t>
      </w:r>
      <w:r>
        <w:rPr>
          <w:rFonts w:hint="eastAsia" w:ascii="黑体" w:hAnsi="黑体"/>
          <w:szCs w:val="18"/>
        </w:rPr>
        <w:t>(GB6566)</w:t>
      </w:r>
    </w:p>
    <w:p w14:paraId="4938C16D">
      <w:pPr>
        <w:numPr>
          <w:ilvl w:val="0"/>
          <w:numId w:val="144"/>
        </w:numPr>
        <w:spacing w:line="360" w:lineRule="auto"/>
        <w:ind w:left="851"/>
        <w:jc w:val="left"/>
        <w:rPr>
          <w:rFonts w:ascii="黑体" w:hAnsi="黑体"/>
          <w:szCs w:val="18"/>
        </w:rPr>
      </w:pPr>
      <w:r>
        <w:rPr>
          <w:rFonts w:ascii="黑体" w:hAnsi="黑体"/>
          <w:szCs w:val="18"/>
        </w:rPr>
        <w:t>《天然板石》</w:t>
      </w:r>
      <w:r>
        <w:rPr>
          <w:rFonts w:hint="eastAsia" w:ascii="黑体" w:hAnsi="黑体"/>
          <w:szCs w:val="18"/>
        </w:rPr>
        <w:t>(</w:t>
      </w:r>
      <w:r>
        <w:rPr>
          <w:rFonts w:ascii="黑体" w:hAnsi="黑体"/>
          <w:szCs w:val="18"/>
        </w:rPr>
        <w:t>GB</w:t>
      </w:r>
      <w:r>
        <w:rPr>
          <w:rFonts w:hint="eastAsia" w:ascii="黑体" w:hAnsi="黑体"/>
          <w:szCs w:val="18"/>
        </w:rPr>
        <w:t>/</w:t>
      </w:r>
      <w:r>
        <w:rPr>
          <w:rFonts w:ascii="黑体" w:hAnsi="黑体"/>
          <w:szCs w:val="18"/>
        </w:rPr>
        <w:t>T18600</w:t>
      </w:r>
      <w:r>
        <w:rPr>
          <w:rFonts w:hint="eastAsia" w:ascii="黑体" w:hAnsi="黑体"/>
          <w:szCs w:val="18"/>
        </w:rPr>
        <w:t>)</w:t>
      </w:r>
    </w:p>
    <w:p w14:paraId="4A695760">
      <w:pPr>
        <w:numPr>
          <w:ilvl w:val="0"/>
          <w:numId w:val="144"/>
        </w:numPr>
        <w:spacing w:line="360" w:lineRule="auto"/>
        <w:ind w:left="851"/>
        <w:jc w:val="left"/>
        <w:rPr>
          <w:rFonts w:ascii="黑体" w:hAnsi="黑体"/>
          <w:szCs w:val="18"/>
        </w:rPr>
      </w:pPr>
      <w:r>
        <w:rPr>
          <w:rFonts w:ascii="黑体" w:hAnsi="黑体"/>
          <w:szCs w:val="18"/>
        </w:rPr>
        <w:t>《天然花岗石建筑板材》</w:t>
      </w:r>
      <w:r>
        <w:rPr>
          <w:rFonts w:hint="eastAsia" w:ascii="黑体" w:hAnsi="黑体"/>
          <w:szCs w:val="18"/>
        </w:rPr>
        <w:t>(</w:t>
      </w:r>
      <w:r>
        <w:rPr>
          <w:rFonts w:ascii="黑体" w:hAnsi="黑体"/>
          <w:szCs w:val="18"/>
        </w:rPr>
        <w:t>GB</w:t>
      </w:r>
      <w:r>
        <w:rPr>
          <w:rFonts w:hint="eastAsia" w:ascii="黑体" w:hAnsi="黑体"/>
          <w:szCs w:val="18"/>
        </w:rPr>
        <w:t>/</w:t>
      </w:r>
      <w:r>
        <w:rPr>
          <w:rFonts w:ascii="黑体" w:hAnsi="黑体"/>
          <w:szCs w:val="18"/>
        </w:rPr>
        <w:t>T18601</w:t>
      </w:r>
      <w:r>
        <w:rPr>
          <w:rFonts w:hint="eastAsia" w:ascii="黑体" w:hAnsi="黑体"/>
          <w:szCs w:val="18"/>
        </w:rPr>
        <w:t>)</w:t>
      </w:r>
    </w:p>
    <w:p w14:paraId="731C440B">
      <w:pPr>
        <w:numPr>
          <w:ilvl w:val="0"/>
          <w:numId w:val="144"/>
        </w:numPr>
        <w:spacing w:line="360" w:lineRule="auto"/>
        <w:ind w:left="851"/>
        <w:jc w:val="left"/>
        <w:rPr>
          <w:rFonts w:ascii="黑体" w:hAnsi="黑体"/>
          <w:szCs w:val="18"/>
        </w:rPr>
      </w:pPr>
      <w:r>
        <w:rPr>
          <w:rFonts w:ascii="黑体" w:hAnsi="黑体"/>
          <w:szCs w:val="18"/>
        </w:rPr>
        <w:t>《干挂饰面石材及其金属挂件第1部分：干挂饰面石材》</w:t>
      </w:r>
      <w:r>
        <w:rPr>
          <w:rFonts w:hint="eastAsia" w:ascii="黑体" w:hAnsi="黑体"/>
          <w:szCs w:val="18"/>
        </w:rPr>
        <w:t>(</w:t>
      </w:r>
      <w:r>
        <w:rPr>
          <w:rFonts w:ascii="黑体" w:hAnsi="黑体"/>
          <w:szCs w:val="18"/>
        </w:rPr>
        <w:t>JC 830．1</w:t>
      </w:r>
      <w:r>
        <w:rPr>
          <w:rFonts w:hint="eastAsia" w:ascii="黑体" w:hAnsi="黑体"/>
          <w:szCs w:val="18"/>
        </w:rPr>
        <w:t>)</w:t>
      </w:r>
    </w:p>
    <w:p w14:paraId="63C3BB86">
      <w:pPr>
        <w:numPr>
          <w:ilvl w:val="0"/>
          <w:numId w:val="144"/>
        </w:numPr>
        <w:spacing w:line="360" w:lineRule="auto"/>
        <w:ind w:left="851"/>
        <w:jc w:val="left"/>
        <w:rPr>
          <w:rFonts w:ascii="黑体" w:hAnsi="黑体"/>
          <w:szCs w:val="18"/>
        </w:rPr>
      </w:pPr>
      <w:r>
        <w:rPr>
          <w:rFonts w:ascii="黑体" w:hAnsi="黑体"/>
          <w:szCs w:val="18"/>
        </w:rPr>
        <w:t>《天然石材装饰工程技术规程》</w:t>
      </w:r>
      <w:r>
        <w:rPr>
          <w:rFonts w:hint="eastAsia" w:ascii="黑体" w:hAnsi="黑体"/>
          <w:szCs w:val="18"/>
        </w:rPr>
        <w:t>(</w:t>
      </w:r>
      <w:r>
        <w:rPr>
          <w:rFonts w:ascii="黑体" w:hAnsi="黑体"/>
          <w:szCs w:val="18"/>
        </w:rPr>
        <w:t>JCG</w:t>
      </w:r>
      <w:r>
        <w:rPr>
          <w:rFonts w:hint="eastAsia" w:ascii="黑体" w:hAnsi="黑体"/>
          <w:szCs w:val="18"/>
        </w:rPr>
        <w:t>/</w:t>
      </w:r>
      <w:r>
        <w:rPr>
          <w:rFonts w:ascii="黑体" w:hAnsi="黑体"/>
          <w:szCs w:val="18"/>
        </w:rPr>
        <w:t>T 60001</w:t>
      </w:r>
      <w:r>
        <w:rPr>
          <w:rFonts w:hint="eastAsia" w:ascii="黑体" w:hAnsi="黑体"/>
          <w:szCs w:val="18"/>
        </w:rPr>
        <w:t>)</w:t>
      </w:r>
    </w:p>
    <w:p w14:paraId="3EAD7FAB">
      <w:pPr>
        <w:numPr>
          <w:ilvl w:val="0"/>
          <w:numId w:val="144"/>
        </w:numPr>
        <w:spacing w:line="360" w:lineRule="auto"/>
        <w:ind w:left="851"/>
        <w:jc w:val="left"/>
        <w:rPr>
          <w:rFonts w:ascii="黑体" w:hAnsi="黑体"/>
          <w:szCs w:val="18"/>
        </w:rPr>
      </w:pPr>
      <w:r>
        <w:rPr>
          <w:rFonts w:ascii="黑体" w:hAnsi="黑体"/>
          <w:szCs w:val="18"/>
        </w:rPr>
        <w:t>《金属与石材幕墙工程技术规范》</w:t>
      </w:r>
      <w:r>
        <w:rPr>
          <w:rFonts w:hint="eastAsia" w:ascii="黑体" w:hAnsi="黑体"/>
          <w:szCs w:val="18"/>
        </w:rPr>
        <w:t>(JGJ133）</w:t>
      </w:r>
    </w:p>
    <w:p w14:paraId="2516C086">
      <w:pPr>
        <w:spacing w:line="360" w:lineRule="auto"/>
        <w:ind w:left="420"/>
        <w:jc w:val="left"/>
        <w:rPr>
          <w:rFonts w:ascii="黑体" w:hAnsi="黑体" w:cs="Arial"/>
          <w:szCs w:val="18"/>
        </w:rPr>
      </w:pPr>
    </w:p>
    <w:p w14:paraId="76CB950C">
      <w:pPr>
        <w:pStyle w:val="97"/>
        <w:rPr>
          <w:b/>
        </w:rPr>
      </w:pPr>
      <w:r>
        <w:rPr>
          <w:rFonts w:hint="eastAsia"/>
          <w:b/>
        </w:rPr>
        <w:t>材料要求</w:t>
      </w:r>
    </w:p>
    <w:p w14:paraId="762B54B8">
      <w:pPr>
        <w:pStyle w:val="111"/>
        <w:jc w:val="left"/>
      </w:pPr>
      <w:r>
        <w:t>产</w:t>
      </w:r>
      <w:r>
        <w:rPr>
          <w:rFonts w:hint="eastAsia"/>
        </w:rPr>
        <w:t>品类型：天然花岗石建筑板材</w:t>
      </w:r>
    </w:p>
    <w:p w14:paraId="7B44445D">
      <w:pPr>
        <w:pStyle w:val="111"/>
        <w:jc w:val="left"/>
      </w:pPr>
      <w:r>
        <w:rPr>
          <w:rFonts w:hint="eastAsia"/>
        </w:rPr>
        <w:t>性能要求：</w:t>
      </w:r>
    </w:p>
    <w:p w14:paraId="4504B483">
      <w:pPr>
        <w:numPr>
          <w:ilvl w:val="0"/>
          <w:numId w:val="144"/>
        </w:numPr>
        <w:spacing w:line="360" w:lineRule="auto"/>
        <w:ind w:left="851"/>
        <w:jc w:val="left"/>
        <w:rPr>
          <w:rFonts w:ascii="黑体" w:hAnsi="黑体"/>
          <w:szCs w:val="18"/>
        </w:rPr>
      </w:pPr>
      <w:r>
        <w:rPr>
          <w:rFonts w:hint="eastAsia" w:ascii="黑体" w:hAnsi="黑体"/>
          <w:szCs w:val="18"/>
        </w:rPr>
        <w:t>厚度：30mm，火烧面，优等品，颜色同相应地面石材。</w:t>
      </w:r>
    </w:p>
    <w:p w14:paraId="43A49239">
      <w:pPr>
        <w:numPr>
          <w:ilvl w:val="0"/>
          <w:numId w:val="144"/>
        </w:numPr>
        <w:spacing w:line="360" w:lineRule="auto"/>
        <w:ind w:left="851"/>
        <w:jc w:val="left"/>
        <w:rPr>
          <w:rFonts w:ascii="黑体" w:hAnsi="黑体"/>
          <w:szCs w:val="18"/>
        </w:rPr>
      </w:pPr>
      <w:r>
        <w:rPr>
          <w:rFonts w:ascii="黑体" w:hAnsi="黑体"/>
          <w:szCs w:val="18"/>
        </w:rPr>
        <w:t>石材的放射性应符合《建筑材料放射性核素限量》GB6566的规定。</w:t>
      </w:r>
    </w:p>
    <w:p w14:paraId="25768148">
      <w:pPr>
        <w:numPr>
          <w:ilvl w:val="0"/>
          <w:numId w:val="144"/>
        </w:numPr>
        <w:spacing w:line="360" w:lineRule="auto"/>
        <w:ind w:left="851"/>
        <w:jc w:val="left"/>
        <w:rPr>
          <w:rFonts w:ascii="黑体" w:hAnsi="黑体"/>
          <w:szCs w:val="18"/>
        </w:rPr>
      </w:pPr>
      <w:r>
        <w:rPr>
          <w:rFonts w:hint="eastAsia" w:ascii="黑体" w:hAnsi="黑体"/>
          <w:szCs w:val="18"/>
        </w:rPr>
        <w:t>表面处理：</w:t>
      </w:r>
      <w:r>
        <w:rPr>
          <w:rFonts w:ascii="黑体" w:hAnsi="黑体"/>
          <w:szCs w:val="18"/>
        </w:rPr>
        <w:t>石材面板应进行表面防护处理。防护处理应在石材板面机械加工、加工面清洗和干燥完成后进行。对深色石材，在防护处理时应特别注意返碱问题；对浅色石材的防护处理，必须注意防止锈斑</w:t>
      </w:r>
      <w:r>
        <w:rPr>
          <w:rFonts w:hint="eastAsia" w:ascii="黑体" w:hAnsi="黑体"/>
          <w:szCs w:val="18"/>
        </w:rPr>
        <w:t>。</w:t>
      </w:r>
    </w:p>
    <w:p w14:paraId="72449BA7">
      <w:pPr>
        <w:numPr>
          <w:ilvl w:val="0"/>
          <w:numId w:val="144"/>
        </w:numPr>
        <w:spacing w:line="360" w:lineRule="auto"/>
        <w:ind w:left="851"/>
        <w:jc w:val="left"/>
        <w:rPr>
          <w:rFonts w:ascii="黑体" w:hAnsi="黑体"/>
          <w:szCs w:val="18"/>
        </w:rPr>
      </w:pPr>
      <w:r>
        <w:rPr>
          <w:rFonts w:ascii="黑体" w:hAnsi="黑体"/>
          <w:szCs w:val="18"/>
        </w:rPr>
        <w:t>当石材板材单件重量＞40kg或单块板材面积超过1m2或室内建筑高度在3.5m以上时，墙面和柱面应</w:t>
      </w:r>
      <w:r>
        <w:rPr>
          <w:rFonts w:hint="eastAsia" w:ascii="黑体" w:hAnsi="黑体"/>
          <w:szCs w:val="18"/>
        </w:rPr>
        <w:t>采用干</w:t>
      </w:r>
      <w:r>
        <w:rPr>
          <w:rFonts w:ascii="黑体" w:hAnsi="黑体"/>
          <w:szCs w:val="18"/>
        </w:rPr>
        <w:t>挂安装法。</w:t>
      </w:r>
    </w:p>
    <w:p w14:paraId="0A3BB5E3">
      <w:pPr>
        <w:numPr>
          <w:ilvl w:val="0"/>
          <w:numId w:val="144"/>
        </w:numPr>
        <w:spacing w:line="360" w:lineRule="auto"/>
        <w:ind w:left="851"/>
        <w:jc w:val="left"/>
        <w:rPr>
          <w:rFonts w:ascii="黑体" w:hAnsi="黑体"/>
          <w:szCs w:val="18"/>
        </w:rPr>
      </w:pPr>
      <w:r>
        <w:rPr>
          <w:rFonts w:hint="eastAsia" w:ascii="黑体" w:hAnsi="黑体"/>
          <w:szCs w:val="18"/>
        </w:rPr>
        <w:t>厚度：干挂≥30mm，湿贴</w:t>
      </w:r>
      <w:r>
        <w:rPr>
          <w:rFonts w:ascii="黑体" w:hAnsi="黑体"/>
          <w:szCs w:val="18"/>
        </w:rPr>
        <w:t>8～12mm的薄板。</w:t>
      </w:r>
    </w:p>
    <w:p w14:paraId="4DE82E90">
      <w:pPr>
        <w:numPr>
          <w:ilvl w:val="0"/>
          <w:numId w:val="144"/>
        </w:numPr>
        <w:spacing w:line="360" w:lineRule="auto"/>
        <w:ind w:left="851"/>
        <w:jc w:val="left"/>
        <w:rPr>
          <w:rFonts w:ascii="黑体" w:hAnsi="黑体"/>
          <w:szCs w:val="18"/>
        </w:rPr>
      </w:pPr>
      <w:r>
        <w:rPr>
          <w:rFonts w:hint="eastAsia" w:ascii="黑体" w:hAnsi="黑体"/>
          <w:szCs w:val="18"/>
        </w:rPr>
        <w:t>最大面积：干挂板材最大面积≤1.5m</w:t>
      </w:r>
      <w:r>
        <w:rPr>
          <w:rFonts w:hint="eastAsia" w:ascii="黑体" w:hAnsi="黑体"/>
          <w:szCs w:val="18"/>
          <w:vertAlign w:val="superscript"/>
        </w:rPr>
        <w:t>2</w:t>
      </w:r>
      <w:r>
        <w:rPr>
          <w:rFonts w:hint="eastAsia" w:ascii="黑体" w:hAnsi="黑体"/>
          <w:szCs w:val="18"/>
        </w:rPr>
        <w:t>。</w:t>
      </w:r>
    </w:p>
    <w:p w14:paraId="7C64F3BB">
      <w:pPr>
        <w:numPr>
          <w:ilvl w:val="0"/>
          <w:numId w:val="144"/>
        </w:numPr>
        <w:spacing w:line="360" w:lineRule="auto"/>
        <w:ind w:left="851"/>
        <w:jc w:val="left"/>
        <w:rPr>
          <w:rFonts w:ascii="黑体" w:hAnsi="黑体"/>
          <w:szCs w:val="18"/>
        </w:rPr>
      </w:pPr>
      <w:r>
        <w:rPr>
          <w:rFonts w:ascii="黑体" w:hAnsi="黑体"/>
          <w:szCs w:val="18"/>
        </w:rPr>
        <w:t>干挂石材中组合件各部位均应设置单独的挂件联接点。过于小的部件无法安装干挂件时应采用金属件和环氧型胶粘剂与相邻主件联接，不得单独采用结构胶粘结连接。</w:t>
      </w:r>
    </w:p>
    <w:p w14:paraId="01BAB259">
      <w:pPr>
        <w:numPr>
          <w:ilvl w:val="0"/>
          <w:numId w:val="144"/>
        </w:numPr>
        <w:spacing w:line="360" w:lineRule="auto"/>
        <w:ind w:left="851"/>
        <w:jc w:val="left"/>
        <w:rPr>
          <w:rFonts w:ascii="黑体" w:hAnsi="黑体"/>
          <w:szCs w:val="18"/>
        </w:rPr>
      </w:pPr>
      <w:r>
        <w:rPr>
          <w:rFonts w:ascii="黑体" w:hAnsi="黑体"/>
          <w:szCs w:val="18"/>
        </w:rPr>
        <w:t>干挂石材的槽孔</w:t>
      </w:r>
      <w:r>
        <w:rPr>
          <w:rFonts w:hint="eastAsia" w:ascii="黑体" w:hAnsi="黑体"/>
          <w:szCs w:val="18"/>
        </w:rPr>
        <w:t>应</w:t>
      </w:r>
      <w:r>
        <w:rPr>
          <w:rFonts w:ascii="黑体" w:hAnsi="黑体"/>
          <w:szCs w:val="18"/>
        </w:rPr>
        <w:t>在工厂加工。</w:t>
      </w:r>
    </w:p>
    <w:p w14:paraId="3B278CC6">
      <w:pPr>
        <w:numPr>
          <w:ilvl w:val="0"/>
          <w:numId w:val="144"/>
        </w:numPr>
        <w:spacing w:line="360" w:lineRule="auto"/>
        <w:ind w:left="851"/>
        <w:jc w:val="left"/>
        <w:rPr>
          <w:rFonts w:ascii="黑体" w:hAnsi="黑体"/>
          <w:szCs w:val="18"/>
        </w:rPr>
      </w:pPr>
      <w:r>
        <w:rPr>
          <w:rFonts w:hint="eastAsia" w:ascii="黑体" w:hAnsi="黑体"/>
          <w:szCs w:val="18"/>
        </w:rPr>
        <w:t>物理性能：</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3046"/>
        <w:gridCol w:w="3686"/>
      </w:tblGrid>
      <w:tr w14:paraId="5B234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9" w:type="dxa"/>
            <w:gridSpan w:val="2"/>
          </w:tcPr>
          <w:p w14:paraId="053DF68B">
            <w:pPr>
              <w:jc w:val="left"/>
              <w:rPr>
                <w:rFonts w:ascii="黑体" w:hAnsi="黑体"/>
                <w:szCs w:val="18"/>
              </w:rPr>
            </w:pPr>
            <w:r>
              <w:rPr>
                <w:rFonts w:hint="eastAsia" w:ascii="黑体" w:hAnsi="黑体"/>
                <w:szCs w:val="18"/>
              </w:rPr>
              <w:t>项目</w:t>
            </w:r>
          </w:p>
        </w:tc>
        <w:tc>
          <w:tcPr>
            <w:tcW w:w="3686" w:type="dxa"/>
          </w:tcPr>
          <w:p w14:paraId="5AE6BB66">
            <w:pPr>
              <w:jc w:val="left"/>
              <w:rPr>
                <w:rFonts w:ascii="黑体" w:hAnsi="黑体"/>
                <w:szCs w:val="18"/>
              </w:rPr>
            </w:pPr>
            <w:r>
              <w:rPr>
                <w:rFonts w:hint="eastAsia" w:ascii="黑体" w:hAnsi="黑体"/>
                <w:szCs w:val="18"/>
              </w:rPr>
              <w:t>天然花岗石</w:t>
            </w:r>
          </w:p>
        </w:tc>
      </w:tr>
      <w:tr w14:paraId="7FAC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9" w:type="dxa"/>
            <w:gridSpan w:val="2"/>
          </w:tcPr>
          <w:p w14:paraId="2E595564">
            <w:pPr>
              <w:jc w:val="left"/>
              <w:rPr>
                <w:rFonts w:ascii="黑体" w:hAnsi="黑体"/>
                <w:szCs w:val="18"/>
              </w:rPr>
            </w:pPr>
            <w:r>
              <w:rPr>
                <w:rFonts w:hint="eastAsia" w:ascii="黑体" w:hAnsi="黑体"/>
                <w:szCs w:val="18"/>
              </w:rPr>
              <w:t>体积密度（g/m</w:t>
            </w:r>
            <w:r>
              <w:rPr>
                <w:rFonts w:hint="eastAsia" w:ascii="黑体" w:hAnsi="黑体"/>
                <w:szCs w:val="18"/>
                <w:vertAlign w:val="superscript"/>
              </w:rPr>
              <w:t>3</w:t>
            </w:r>
            <w:r>
              <w:rPr>
                <w:rFonts w:ascii="黑体" w:hAnsi="黑体"/>
                <w:szCs w:val="18"/>
              </w:rPr>
              <w:t>）</w:t>
            </w:r>
            <w:r>
              <w:rPr>
                <w:rFonts w:hint="eastAsia" w:ascii="黑体" w:hAnsi="黑体"/>
                <w:szCs w:val="18"/>
              </w:rPr>
              <w:t>≥</w:t>
            </w:r>
          </w:p>
        </w:tc>
        <w:tc>
          <w:tcPr>
            <w:tcW w:w="3686" w:type="dxa"/>
          </w:tcPr>
          <w:p w14:paraId="11EECA90">
            <w:pPr>
              <w:jc w:val="left"/>
              <w:rPr>
                <w:rFonts w:ascii="黑体" w:hAnsi="黑体"/>
                <w:szCs w:val="18"/>
              </w:rPr>
            </w:pPr>
            <w:r>
              <w:rPr>
                <w:rFonts w:hint="eastAsia" w:ascii="黑体" w:hAnsi="黑体"/>
                <w:szCs w:val="18"/>
              </w:rPr>
              <w:t>2.56</w:t>
            </w:r>
          </w:p>
        </w:tc>
      </w:tr>
      <w:tr w14:paraId="2CA8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9" w:type="dxa"/>
            <w:gridSpan w:val="2"/>
          </w:tcPr>
          <w:p w14:paraId="7ECB6CB3">
            <w:pPr>
              <w:jc w:val="left"/>
              <w:rPr>
                <w:rFonts w:ascii="黑体" w:hAnsi="黑体"/>
                <w:szCs w:val="18"/>
              </w:rPr>
            </w:pPr>
            <w:r>
              <w:rPr>
                <w:rFonts w:hint="eastAsia" w:ascii="黑体" w:hAnsi="黑体"/>
                <w:szCs w:val="18"/>
              </w:rPr>
              <w:t>吸水率（%）≤</w:t>
            </w:r>
          </w:p>
        </w:tc>
        <w:tc>
          <w:tcPr>
            <w:tcW w:w="3686" w:type="dxa"/>
          </w:tcPr>
          <w:p w14:paraId="5A4BE721">
            <w:pPr>
              <w:jc w:val="left"/>
              <w:rPr>
                <w:rFonts w:ascii="黑体" w:hAnsi="黑体"/>
                <w:szCs w:val="18"/>
              </w:rPr>
            </w:pPr>
            <w:r>
              <w:rPr>
                <w:rFonts w:hint="eastAsia" w:ascii="黑体" w:hAnsi="黑体"/>
                <w:szCs w:val="18"/>
              </w:rPr>
              <w:t>0.60</w:t>
            </w:r>
          </w:p>
        </w:tc>
      </w:tr>
      <w:tr w14:paraId="3ABB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9" w:type="dxa"/>
            <w:gridSpan w:val="2"/>
          </w:tcPr>
          <w:p w14:paraId="685E1180">
            <w:pPr>
              <w:jc w:val="left"/>
              <w:rPr>
                <w:rFonts w:ascii="黑体" w:hAnsi="黑体"/>
                <w:szCs w:val="18"/>
              </w:rPr>
            </w:pPr>
            <w:r>
              <w:rPr>
                <w:rFonts w:hint="eastAsia" w:ascii="黑体" w:hAnsi="黑体"/>
                <w:szCs w:val="18"/>
              </w:rPr>
              <w:t>干燥压缩强度（MPa</w:t>
            </w:r>
            <w:r>
              <w:rPr>
                <w:rFonts w:ascii="黑体" w:hAnsi="黑体"/>
                <w:szCs w:val="18"/>
              </w:rPr>
              <w:t>）</w:t>
            </w:r>
            <w:r>
              <w:rPr>
                <w:rFonts w:hint="eastAsia" w:ascii="黑体" w:hAnsi="黑体"/>
                <w:szCs w:val="18"/>
              </w:rPr>
              <w:t>≥</w:t>
            </w:r>
          </w:p>
        </w:tc>
        <w:tc>
          <w:tcPr>
            <w:tcW w:w="3686" w:type="dxa"/>
          </w:tcPr>
          <w:p w14:paraId="3244551E">
            <w:pPr>
              <w:jc w:val="left"/>
              <w:rPr>
                <w:rFonts w:ascii="黑体" w:hAnsi="黑体"/>
                <w:szCs w:val="18"/>
              </w:rPr>
            </w:pPr>
            <w:r>
              <w:rPr>
                <w:rFonts w:hint="eastAsia" w:ascii="黑体" w:hAnsi="黑体"/>
                <w:szCs w:val="18"/>
              </w:rPr>
              <w:t>100.0</w:t>
            </w:r>
          </w:p>
        </w:tc>
      </w:tr>
      <w:tr w14:paraId="18FB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813" w:type="dxa"/>
          </w:tcPr>
          <w:p w14:paraId="26284C11">
            <w:pPr>
              <w:jc w:val="left"/>
              <w:rPr>
                <w:rFonts w:ascii="黑体" w:hAnsi="黑体"/>
                <w:szCs w:val="18"/>
              </w:rPr>
            </w:pPr>
            <w:r>
              <w:rPr>
                <w:rFonts w:hint="eastAsia" w:ascii="黑体" w:hAnsi="黑体"/>
                <w:szCs w:val="18"/>
              </w:rPr>
              <w:t>干燥</w:t>
            </w:r>
          </w:p>
        </w:tc>
        <w:tc>
          <w:tcPr>
            <w:tcW w:w="3046" w:type="dxa"/>
            <w:vMerge w:val="restart"/>
          </w:tcPr>
          <w:p w14:paraId="78876861">
            <w:pPr>
              <w:jc w:val="left"/>
              <w:rPr>
                <w:rFonts w:ascii="黑体" w:hAnsi="黑体"/>
                <w:szCs w:val="18"/>
              </w:rPr>
            </w:pPr>
            <w:r>
              <w:rPr>
                <w:rFonts w:hint="eastAsia" w:ascii="黑体" w:hAnsi="黑体"/>
                <w:szCs w:val="18"/>
              </w:rPr>
              <w:t>弯曲强度（MPa</w:t>
            </w:r>
            <w:r>
              <w:rPr>
                <w:rFonts w:ascii="黑体" w:hAnsi="黑体"/>
                <w:szCs w:val="18"/>
              </w:rPr>
              <w:t>）</w:t>
            </w:r>
            <w:r>
              <w:rPr>
                <w:rFonts w:hint="eastAsia" w:ascii="黑体" w:hAnsi="黑体"/>
                <w:szCs w:val="18"/>
              </w:rPr>
              <w:t>≥</w:t>
            </w:r>
          </w:p>
        </w:tc>
        <w:tc>
          <w:tcPr>
            <w:tcW w:w="3686" w:type="dxa"/>
            <w:vMerge w:val="restart"/>
          </w:tcPr>
          <w:p w14:paraId="698A3334">
            <w:pPr>
              <w:jc w:val="left"/>
              <w:rPr>
                <w:rFonts w:ascii="黑体" w:hAnsi="黑体"/>
                <w:szCs w:val="18"/>
              </w:rPr>
            </w:pPr>
            <w:r>
              <w:rPr>
                <w:rFonts w:hint="eastAsia" w:ascii="黑体" w:hAnsi="黑体"/>
                <w:szCs w:val="18"/>
              </w:rPr>
              <w:t>8.0</w:t>
            </w:r>
          </w:p>
        </w:tc>
      </w:tr>
      <w:tr w14:paraId="4EB3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813" w:type="dxa"/>
          </w:tcPr>
          <w:p w14:paraId="15F57D28">
            <w:pPr>
              <w:jc w:val="left"/>
              <w:rPr>
                <w:rFonts w:ascii="黑体" w:hAnsi="黑体"/>
                <w:szCs w:val="18"/>
              </w:rPr>
            </w:pPr>
            <w:r>
              <w:rPr>
                <w:rFonts w:hint="eastAsia" w:ascii="黑体" w:hAnsi="黑体"/>
                <w:szCs w:val="18"/>
              </w:rPr>
              <w:t>水饱和</w:t>
            </w:r>
          </w:p>
        </w:tc>
        <w:tc>
          <w:tcPr>
            <w:tcW w:w="3046" w:type="dxa"/>
            <w:vMerge w:val="continue"/>
          </w:tcPr>
          <w:p w14:paraId="597BE1FA">
            <w:pPr>
              <w:jc w:val="left"/>
              <w:rPr>
                <w:rFonts w:ascii="黑体" w:hAnsi="黑体"/>
                <w:szCs w:val="18"/>
              </w:rPr>
            </w:pPr>
          </w:p>
        </w:tc>
        <w:tc>
          <w:tcPr>
            <w:tcW w:w="3686" w:type="dxa"/>
            <w:vMerge w:val="continue"/>
          </w:tcPr>
          <w:p w14:paraId="69275579">
            <w:pPr>
              <w:jc w:val="left"/>
              <w:rPr>
                <w:rFonts w:ascii="黑体" w:hAnsi="黑体"/>
                <w:szCs w:val="18"/>
              </w:rPr>
            </w:pPr>
          </w:p>
        </w:tc>
      </w:tr>
      <w:tr w14:paraId="2976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9" w:type="dxa"/>
            <w:gridSpan w:val="2"/>
          </w:tcPr>
          <w:p w14:paraId="08A87C71">
            <w:pPr>
              <w:jc w:val="left"/>
              <w:rPr>
                <w:rFonts w:ascii="黑体" w:hAnsi="黑体"/>
                <w:szCs w:val="18"/>
              </w:rPr>
            </w:pPr>
            <w:r>
              <w:rPr>
                <w:rFonts w:hint="eastAsia" w:ascii="黑体" w:hAnsi="黑体"/>
                <w:szCs w:val="18"/>
              </w:rPr>
              <w:t>剪切强度（MPa</w:t>
            </w:r>
            <w:r>
              <w:rPr>
                <w:rFonts w:ascii="黑体" w:hAnsi="黑体"/>
                <w:szCs w:val="18"/>
              </w:rPr>
              <w:t>）</w:t>
            </w:r>
            <w:r>
              <w:rPr>
                <w:rFonts w:hint="eastAsia" w:ascii="黑体" w:hAnsi="黑体"/>
                <w:szCs w:val="18"/>
              </w:rPr>
              <w:t>≥</w:t>
            </w:r>
          </w:p>
        </w:tc>
        <w:tc>
          <w:tcPr>
            <w:tcW w:w="3686" w:type="dxa"/>
          </w:tcPr>
          <w:p w14:paraId="1C78E991">
            <w:pPr>
              <w:jc w:val="left"/>
              <w:rPr>
                <w:rFonts w:ascii="黑体" w:hAnsi="黑体"/>
                <w:szCs w:val="18"/>
              </w:rPr>
            </w:pPr>
            <w:r>
              <w:rPr>
                <w:rFonts w:hint="eastAsia" w:ascii="黑体" w:hAnsi="黑体"/>
                <w:szCs w:val="18"/>
              </w:rPr>
              <w:t>4.0</w:t>
            </w:r>
          </w:p>
        </w:tc>
      </w:tr>
      <w:tr w14:paraId="421D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9" w:type="dxa"/>
            <w:gridSpan w:val="2"/>
          </w:tcPr>
          <w:p w14:paraId="58C19716">
            <w:pPr>
              <w:jc w:val="left"/>
              <w:rPr>
                <w:rFonts w:ascii="黑体" w:hAnsi="黑体"/>
                <w:szCs w:val="18"/>
              </w:rPr>
            </w:pPr>
            <w:r>
              <w:rPr>
                <w:rFonts w:hint="eastAsia" w:ascii="黑体" w:hAnsi="黑体"/>
                <w:szCs w:val="18"/>
              </w:rPr>
              <w:t>抗冻系数（%）≥</w:t>
            </w:r>
          </w:p>
        </w:tc>
        <w:tc>
          <w:tcPr>
            <w:tcW w:w="3686" w:type="dxa"/>
          </w:tcPr>
          <w:p w14:paraId="6A8290A6">
            <w:pPr>
              <w:jc w:val="left"/>
              <w:rPr>
                <w:rFonts w:ascii="黑体" w:hAnsi="黑体"/>
                <w:szCs w:val="18"/>
              </w:rPr>
            </w:pPr>
            <w:r>
              <w:rPr>
                <w:rFonts w:hint="eastAsia" w:ascii="黑体" w:hAnsi="黑体"/>
                <w:szCs w:val="18"/>
              </w:rPr>
              <w:t>80</w:t>
            </w:r>
          </w:p>
        </w:tc>
      </w:tr>
    </w:tbl>
    <w:p w14:paraId="398DCB29">
      <w:pPr>
        <w:pStyle w:val="49"/>
        <w:spacing w:line="360" w:lineRule="auto"/>
        <w:ind w:firstLine="0" w:firstLineChars="0"/>
        <w:jc w:val="left"/>
        <w:rPr>
          <w:rFonts w:ascii="黑体" w:hAnsi="黑体" w:cs="宋体"/>
          <w:kern w:val="0"/>
          <w:szCs w:val="18"/>
        </w:rPr>
      </w:pPr>
    </w:p>
    <w:p w14:paraId="79E52AD1">
      <w:pPr>
        <w:pStyle w:val="97"/>
        <w:rPr>
          <w:b/>
        </w:rPr>
      </w:pPr>
      <w:r>
        <w:rPr>
          <w:rFonts w:hint="eastAsia"/>
          <w:b/>
        </w:rPr>
        <w:t>供应商</w:t>
      </w:r>
      <w:r>
        <w:rPr>
          <w:b/>
        </w:rPr>
        <w:t>提交资料</w:t>
      </w:r>
    </w:p>
    <w:p w14:paraId="6866161F">
      <w:pPr>
        <w:pStyle w:val="111"/>
        <w:jc w:val="left"/>
      </w:pPr>
      <w:r>
        <w:t xml:space="preserve">提供厂商资质、工程案例 </w:t>
      </w:r>
    </w:p>
    <w:p w14:paraId="3A0E2875">
      <w:pPr>
        <w:pStyle w:val="111"/>
        <w:jc w:val="left"/>
      </w:pPr>
      <w:r>
        <w:t xml:space="preserve">产品资料：各指定产品的产品说明、施工规范、产品质量检验报告、认证证书及合同中要求的其他文件。 </w:t>
      </w:r>
    </w:p>
    <w:p w14:paraId="713138AB">
      <w:pPr>
        <w:pStyle w:val="111"/>
        <w:jc w:val="left"/>
      </w:pPr>
      <w:r>
        <w:t xml:space="preserve">样品：  </w:t>
      </w:r>
    </w:p>
    <w:p w14:paraId="0BEAB639">
      <w:pPr>
        <w:pStyle w:val="49"/>
        <w:spacing w:line="360" w:lineRule="auto"/>
        <w:ind w:left="851" w:firstLine="0" w:firstLineChars="0"/>
        <w:jc w:val="left"/>
        <w:rPr>
          <w:rFonts w:ascii="黑体" w:hAnsi="黑体" w:cs="宋体"/>
          <w:kern w:val="0"/>
          <w:szCs w:val="18"/>
        </w:rPr>
      </w:pPr>
      <w:r>
        <w:rPr>
          <w:rFonts w:ascii="黑体" w:hAnsi="黑体" w:cs="宋体"/>
          <w:kern w:val="0"/>
          <w:szCs w:val="18"/>
        </w:rPr>
        <w:t>提供大小为</w:t>
      </w:r>
      <w:r>
        <w:rPr>
          <w:rFonts w:hint="eastAsia" w:ascii="黑体" w:hAnsi="黑体" w:cs="宋体"/>
          <w:kern w:val="0"/>
          <w:szCs w:val="18"/>
        </w:rPr>
        <w:t>6</w:t>
      </w:r>
      <w:r>
        <w:rPr>
          <w:rFonts w:ascii="黑体" w:hAnsi="黑体" w:cs="宋体"/>
          <w:kern w:val="0"/>
          <w:szCs w:val="18"/>
        </w:rPr>
        <w:t>00mm*600mm的</w:t>
      </w:r>
      <w:r>
        <w:rPr>
          <w:rFonts w:hint="eastAsia" w:ascii="黑体" w:hAnsi="黑体" w:cs="宋体"/>
          <w:kern w:val="0"/>
          <w:szCs w:val="18"/>
        </w:rPr>
        <w:t>样品</w:t>
      </w:r>
      <w:r>
        <w:rPr>
          <w:rFonts w:ascii="黑体" w:hAnsi="黑体" w:cs="宋体"/>
          <w:kern w:val="0"/>
          <w:szCs w:val="18"/>
        </w:rPr>
        <w:t>，</w:t>
      </w:r>
    </w:p>
    <w:p w14:paraId="6FBF5C49">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每个样品标上标签，标明使用位置和区域 </w:t>
      </w:r>
    </w:p>
    <w:p w14:paraId="231144A0">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产品清单：清单使用区域上标明产品名称。清单和图纸上产品使用同样的名称。 </w:t>
      </w:r>
    </w:p>
    <w:p w14:paraId="26E83AB8">
      <w:pPr>
        <w:pStyle w:val="111"/>
        <w:jc w:val="left"/>
      </w:pPr>
      <w:r>
        <w:t xml:space="preserve"> 施工样板 </w:t>
      </w:r>
    </w:p>
    <w:p w14:paraId="047D2B36">
      <w:pPr>
        <w:pStyle w:val="49"/>
        <w:spacing w:line="360" w:lineRule="auto"/>
        <w:ind w:left="851" w:firstLine="0" w:firstLineChars="0"/>
        <w:jc w:val="left"/>
        <w:rPr>
          <w:rFonts w:ascii="黑体" w:hAnsi="黑体" w:cs="宋体"/>
          <w:kern w:val="0"/>
          <w:szCs w:val="18"/>
        </w:rPr>
      </w:pPr>
      <w:r>
        <w:rPr>
          <w:rFonts w:ascii="黑体" w:hAnsi="黑体" w:cs="宋体"/>
          <w:kern w:val="0"/>
          <w:szCs w:val="18"/>
        </w:rPr>
        <w:t>样板制作：在</w:t>
      </w:r>
      <w:r>
        <w:rPr>
          <w:rFonts w:hint="eastAsia" w:ascii="黑体" w:hAnsi="黑体" w:cs="宋体"/>
          <w:kern w:val="0"/>
          <w:szCs w:val="18"/>
        </w:rPr>
        <w:t>50~100㎡</w:t>
      </w:r>
      <w:r>
        <w:rPr>
          <w:rFonts w:ascii="黑体" w:hAnsi="黑体" w:cs="宋体"/>
          <w:kern w:val="0"/>
          <w:szCs w:val="18"/>
        </w:rPr>
        <w:t>的区域按照设计厚度和要求进行样板区域的施工：样板工程由设计认可后，才能按照样板工程开始其它区域的施工。</w:t>
      </w:r>
    </w:p>
    <w:p w14:paraId="750C1101">
      <w:pPr>
        <w:pStyle w:val="49"/>
        <w:spacing w:line="360" w:lineRule="auto"/>
        <w:ind w:left="851" w:firstLine="0" w:firstLineChars="0"/>
        <w:jc w:val="left"/>
        <w:rPr>
          <w:rFonts w:ascii="黑体" w:hAnsi="黑体" w:cs="宋体"/>
          <w:kern w:val="0"/>
          <w:szCs w:val="18"/>
        </w:rPr>
      </w:pPr>
      <w:r>
        <w:rPr>
          <w:rFonts w:ascii="黑体" w:hAnsi="黑体" w:cs="宋体"/>
          <w:kern w:val="0"/>
          <w:szCs w:val="18"/>
        </w:rPr>
        <w:t>如果样板区域施工达不到设计师要求，必须重新施工直到设计认可</w:t>
      </w:r>
      <w:r>
        <w:rPr>
          <w:rFonts w:hint="eastAsia" w:ascii="黑体" w:hAnsi="黑体" w:cs="宋体"/>
          <w:kern w:val="0"/>
          <w:szCs w:val="18"/>
        </w:rPr>
        <w:t>，</w:t>
      </w:r>
      <w:r>
        <w:rPr>
          <w:rFonts w:ascii="黑体" w:hAnsi="黑体" w:cs="宋体"/>
          <w:kern w:val="0"/>
          <w:szCs w:val="18"/>
        </w:rPr>
        <w:t>样板区域可作为最后整个地坪涂料工程的一部分</w:t>
      </w:r>
      <w:r>
        <w:rPr>
          <w:rFonts w:hint="eastAsia" w:ascii="黑体" w:hAnsi="黑体" w:cs="宋体"/>
          <w:kern w:val="0"/>
          <w:szCs w:val="18"/>
        </w:rPr>
        <w:t>。</w:t>
      </w:r>
    </w:p>
    <w:p w14:paraId="5A8752ED">
      <w:pPr>
        <w:pStyle w:val="3"/>
        <w:jc w:val="left"/>
      </w:pPr>
      <w:bookmarkStart w:id="125" w:name="_Toc399689019"/>
      <w:bookmarkStart w:id="126" w:name="_Toc174556828"/>
      <w:r>
        <w:rPr>
          <w:rFonts w:hint="eastAsia"/>
        </w:rPr>
        <w:t>内墙乳胶漆</w:t>
      </w:r>
      <w:bookmarkEnd w:id="125"/>
      <w:bookmarkEnd w:id="126"/>
    </w:p>
    <w:p w14:paraId="73997821">
      <w:pPr>
        <w:pStyle w:val="97"/>
        <w:rPr>
          <w:b/>
        </w:rPr>
      </w:pPr>
      <w:r>
        <w:rPr>
          <w:rFonts w:hint="eastAsia"/>
          <w:b/>
        </w:rPr>
        <w:t>使用部位</w:t>
      </w:r>
    </w:p>
    <w:p w14:paraId="747D0105">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非精装区</w:t>
      </w:r>
    </w:p>
    <w:p w14:paraId="45F23A6A">
      <w:pPr>
        <w:pStyle w:val="97"/>
        <w:rPr>
          <w:b/>
        </w:rPr>
      </w:pPr>
      <w:r>
        <w:rPr>
          <w:b/>
        </w:rPr>
        <w:t>技术规范</w:t>
      </w:r>
      <w:r>
        <w:rPr>
          <w:rFonts w:hint="eastAsia"/>
          <w:b/>
        </w:rPr>
        <w:t>、规程、要求</w:t>
      </w:r>
    </w:p>
    <w:p w14:paraId="692F9A8E">
      <w:pPr>
        <w:pStyle w:val="111"/>
        <w:jc w:val="left"/>
      </w:pPr>
      <w:r>
        <w:rPr>
          <w:rFonts w:hint="eastAsia"/>
        </w:rPr>
        <w:t>相关技术规范规程</w:t>
      </w:r>
    </w:p>
    <w:p w14:paraId="3A3932F2">
      <w:pPr>
        <w:numPr>
          <w:ilvl w:val="0"/>
          <w:numId w:val="144"/>
        </w:numPr>
        <w:spacing w:line="360" w:lineRule="auto"/>
        <w:ind w:left="851"/>
        <w:jc w:val="left"/>
        <w:rPr>
          <w:rFonts w:ascii="黑体" w:hAnsi="黑体"/>
          <w:szCs w:val="18"/>
        </w:rPr>
      </w:pPr>
      <w:r>
        <w:rPr>
          <w:rFonts w:ascii="黑体" w:hAnsi="黑体" w:cs="宋体"/>
          <w:kern w:val="0"/>
          <w:szCs w:val="18"/>
        </w:rPr>
        <w:t xml:space="preserve">《建筑涂饰工程施工及验收规程》JGJ/T 29 </w:t>
      </w:r>
      <w:r>
        <w:rPr>
          <w:rFonts w:ascii="黑体" w:hAnsi="黑体"/>
          <w:szCs w:val="18"/>
        </w:rPr>
        <w:t xml:space="preserve"> </w:t>
      </w:r>
    </w:p>
    <w:p w14:paraId="7A3D4307">
      <w:pPr>
        <w:numPr>
          <w:ilvl w:val="0"/>
          <w:numId w:val="144"/>
        </w:numPr>
        <w:spacing w:line="360" w:lineRule="auto"/>
        <w:ind w:left="851"/>
        <w:jc w:val="left"/>
        <w:rPr>
          <w:rFonts w:ascii="黑体" w:hAnsi="黑体" w:cs="宋体"/>
          <w:kern w:val="0"/>
          <w:szCs w:val="18"/>
        </w:rPr>
      </w:pPr>
      <w:r>
        <w:rPr>
          <w:rFonts w:ascii="黑体" w:hAnsi="黑体" w:cs="宋体"/>
          <w:kern w:val="0"/>
          <w:szCs w:val="18"/>
        </w:rPr>
        <w:t>《建筑内部装修设计防火规范》GB 50221</w:t>
      </w:r>
    </w:p>
    <w:p w14:paraId="7B5769ED">
      <w:pPr>
        <w:numPr>
          <w:ilvl w:val="0"/>
          <w:numId w:val="144"/>
        </w:numPr>
        <w:spacing w:line="360" w:lineRule="auto"/>
        <w:ind w:left="851"/>
        <w:jc w:val="left"/>
        <w:rPr>
          <w:rFonts w:ascii="黑体" w:hAnsi="黑体" w:cs="宋体"/>
          <w:kern w:val="0"/>
          <w:szCs w:val="18"/>
        </w:rPr>
      </w:pPr>
      <w:r>
        <w:rPr>
          <w:rFonts w:ascii="黑体" w:hAnsi="黑体" w:cs="宋体"/>
          <w:kern w:val="0"/>
          <w:szCs w:val="18"/>
        </w:rPr>
        <w:t>《合成树脂乳液内墙涂料》GB/T 9756</w:t>
      </w:r>
    </w:p>
    <w:p w14:paraId="25E531A5">
      <w:pPr>
        <w:numPr>
          <w:ilvl w:val="0"/>
          <w:numId w:val="144"/>
        </w:numPr>
        <w:spacing w:line="360" w:lineRule="auto"/>
        <w:ind w:left="851"/>
        <w:jc w:val="left"/>
        <w:rPr>
          <w:rFonts w:ascii="黑体" w:hAnsi="黑体" w:cs="宋体"/>
          <w:kern w:val="0"/>
          <w:szCs w:val="18"/>
        </w:rPr>
      </w:pPr>
      <w:r>
        <w:rPr>
          <w:rFonts w:ascii="黑体" w:hAnsi="黑体" w:cs="宋体"/>
          <w:kern w:val="0"/>
          <w:szCs w:val="18"/>
        </w:rPr>
        <w:t>《室内用腻子》JG/T 3049</w:t>
      </w:r>
    </w:p>
    <w:p w14:paraId="646EA50A">
      <w:pPr>
        <w:numPr>
          <w:ilvl w:val="0"/>
          <w:numId w:val="144"/>
        </w:numPr>
        <w:spacing w:line="360" w:lineRule="auto"/>
        <w:ind w:left="851"/>
        <w:jc w:val="left"/>
        <w:rPr>
          <w:rFonts w:ascii="黑体" w:hAnsi="黑体" w:cs="宋体"/>
          <w:kern w:val="0"/>
          <w:szCs w:val="18"/>
        </w:rPr>
      </w:pPr>
      <w:r>
        <w:rPr>
          <w:rFonts w:ascii="黑体" w:hAnsi="黑体" w:cs="宋体"/>
          <w:kern w:val="0"/>
          <w:szCs w:val="18"/>
        </w:rPr>
        <w:t>《室内装饰装修材料内墙涂料中有害物质限量》GB 18582</w:t>
      </w:r>
    </w:p>
    <w:p w14:paraId="623C45A9">
      <w:pPr>
        <w:numPr>
          <w:ilvl w:val="0"/>
          <w:numId w:val="144"/>
        </w:numPr>
        <w:spacing w:line="360" w:lineRule="auto"/>
        <w:ind w:left="851"/>
        <w:jc w:val="left"/>
        <w:rPr>
          <w:rFonts w:ascii="黑体" w:hAnsi="黑体" w:cs="宋体"/>
          <w:kern w:val="0"/>
          <w:szCs w:val="18"/>
        </w:rPr>
      </w:pPr>
      <w:r>
        <w:rPr>
          <w:rFonts w:ascii="黑体" w:hAnsi="黑体" w:cs="宋体"/>
          <w:kern w:val="0"/>
          <w:szCs w:val="18"/>
        </w:rPr>
        <w:t>《环境标志产品认证技术要求 水性涂料》HJ/T 201</w:t>
      </w:r>
    </w:p>
    <w:p w14:paraId="156A76C6">
      <w:pPr>
        <w:numPr>
          <w:ilvl w:val="0"/>
          <w:numId w:val="144"/>
        </w:numPr>
        <w:spacing w:line="360" w:lineRule="auto"/>
        <w:ind w:left="851"/>
        <w:jc w:val="left"/>
        <w:rPr>
          <w:rFonts w:ascii="黑体" w:hAnsi="黑体" w:cs="宋体"/>
          <w:kern w:val="0"/>
          <w:szCs w:val="18"/>
        </w:rPr>
      </w:pPr>
      <w:r>
        <w:rPr>
          <w:rFonts w:ascii="黑体" w:hAnsi="黑体" w:cs="宋体"/>
          <w:kern w:val="0"/>
          <w:szCs w:val="18"/>
        </w:rPr>
        <w:t>《建筑材料燃烧等级分级方法》GB 8624</w:t>
      </w:r>
    </w:p>
    <w:p w14:paraId="7C68DEB7">
      <w:pPr>
        <w:spacing w:line="360" w:lineRule="auto"/>
        <w:ind w:left="420"/>
        <w:jc w:val="left"/>
        <w:rPr>
          <w:rFonts w:ascii="黑体" w:hAnsi="黑体" w:cs="Arial"/>
          <w:szCs w:val="18"/>
        </w:rPr>
      </w:pPr>
    </w:p>
    <w:p w14:paraId="7676BC54">
      <w:pPr>
        <w:pStyle w:val="97"/>
        <w:rPr>
          <w:b/>
        </w:rPr>
      </w:pPr>
      <w:r>
        <w:rPr>
          <w:rFonts w:hint="eastAsia"/>
          <w:b/>
        </w:rPr>
        <w:t>材料要求</w:t>
      </w:r>
    </w:p>
    <w:p w14:paraId="553ACA8E">
      <w:pPr>
        <w:pStyle w:val="111"/>
        <w:jc w:val="left"/>
      </w:pPr>
      <w:r>
        <w:t>产</w:t>
      </w:r>
      <w:r>
        <w:rPr>
          <w:rFonts w:hint="eastAsia"/>
        </w:rPr>
        <w:t>品类型：统招产品</w:t>
      </w:r>
    </w:p>
    <w:p w14:paraId="58798DF3">
      <w:pPr>
        <w:pStyle w:val="111"/>
        <w:jc w:val="left"/>
      </w:pPr>
      <w:r>
        <w:t>材料相容性</w:t>
      </w:r>
      <w:r>
        <w:rPr>
          <w:rFonts w:hint="eastAsia"/>
        </w:rPr>
        <w:t>：</w:t>
      </w:r>
      <w:r>
        <w:t>涂料系统中的每种材料都应与其他材料和基底相容，相容性由制造商测试和现场实验证明。</w:t>
      </w:r>
    </w:p>
    <w:p w14:paraId="67AC1E32">
      <w:pPr>
        <w:pStyle w:val="111"/>
        <w:jc w:val="left"/>
      </w:pPr>
      <w:r>
        <w:t xml:space="preserve">系统中要求每种涂层（如抗碱底漆和面漆等）需由同一家生产企业提供 </w:t>
      </w:r>
    </w:p>
    <w:p w14:paraId="10178E1B">
      <w:pPr>
        <w:pStyle w:val="111"/>
        <w:jc w:val="left"/>
      </w:pPr>
      <w:r>
        <w:t xml:space="preserve">颜色：设计师确认 </w:t>
      </w:r>
    </w:p>
    <w:p w14:paraId="22AB8278">
      <w:pPr>
        <w:pStyle w:val="111"/>
        <w:jc w:val="left"/>
      </w:pPr>
      <w:r>
        <w:rPr>
          <w:rFonts w:hint="eastAsia"/>
        </w:rPr>
        <w:t>性能要求：按</w:t>
      </w:r>
      <w:r>
        <w:t>统招产品的技术要求</w:t>
      </w:r>
    </w:p>
    <w:p w14:paraId="5EAF69EA">
      <w:pPr>
        <w:pStyle w:val="111"/>
        <w:jc w:val="left"/>
      </w:pPr>
      <w:r>
        <w:t xml:space="preserve">室内用腻子性能要求： </w:t>
      </w:r>
    </w:p>
    <w:p w14:paraId="703B25DA">
      <w:pPr>
        <w:pStyle w:val="18"/>
        <w:numPr>
          <w:ilvl w:val="0"/>
          <w:numId w:val="158"/>
        </w:numPr>
        <w:autoSpaceDE/>
        <w:autoSpaceDN/>
        <w:adjustRightInd/>
        <w:spacing w:line="360" w:lineRule="auto"/>
        <w:ind w:right="259" w:rightChars="144"/>
        <w:jc w:val="left"/>
        <w:rPr>
          <w:rFonts w:ascii="黑体" w:hAnsi="黑体"/>
          <w:szCs w:val="18"/>
        </w:rPr>
      </w:pPr>
      <w:r>
        <w:rPr>
          <w:rFonts w:ascii="黑体" w:hAnsi="黑体"/>
          <w:szCs w:val="18"/>
        </w:rPr>
        <w:t xml:space="preserve"> 室内用腻子，保证系统与基面间附着力，满足装饰系统平整度要求 </w:t>
      </w:r>
    </w:p>
    <w:p w14:paraId="0FF3E65A">
      <w:pPr>
        <w:pStyle w:val="18"/>
        <w:numPr>
          <w:ilvl w:val="0"/>
          <w:numId w:val="158"/>
        </w:numPr>
        <w:autoSpaceDE/>
        <w:autoSpaceDN/>
        <w:adjustRightInd/>
        <w:spacing w:line="360" w:lineRule="auto"/>
        <w:ind w:right="259" w:rightChars="144"/>
        <w:jc w:val="left"/>
        <w:rPr>
          <w:rFonts w:ascii="黑体" w:hAnsi="黑体"/>
          <w:szCs w:val="18"/>
        </w:rPr>
      </w:pPr>
      <w:r>
        <w:rPr>
          <w:rFonts w:ascii="黑体" w:hAnsi="黑体"/>
          <w:szCs w:val="18"/>
        </w:rPr>
        <w:t xml:space="preserve"> </w:t>
      </w:r>
      <w:r>
        <w:rPr>
          <w:rFonts w:hint="eastAsia" w:ascii="黑体" w:hAnsi="黑体"/>
          <w:szCs w:val="18"/>
        </w:rPr>
        <w:t>所有区域均</w:t>
      </w:r>
      <w:r>
        <w:rPr>
          <w:rFonts w:ascii="黑体" w:hAnsi="黑体"/>
          <w:szCs w:val="18"/>
        </w:rPr>
        <w:t>使用耐水腻子</w:t>
      </w:r>
      <w:r>
        <w:rPr>
          <w:rFonts w:hint="eastAsia" w:ascii="黑体" w:hAnsi="黑体"/>
          <w:szCs w:val="18"/>
        </w:rPr>
        <w:t>，</w:t>
      </w:r>
      <w:r>
        <w:rPr>
          <w:rFonts w:ascii="黑体" w:hAnsi="黑体"/>
          <w:szCs w:val="18"/>
        </w:rPr>
        <w:t>其标准出口</w:t>
      </w:r>
      <w:r>
        <w:rPr>
          <w:rFonts w:hint="eastAsia" w:ascii="黑体" w:hAnsi="黑体"/>
          <w:szCs w:val="18"/>
        </w:rPr>
        <w:t>《</w:t>
      </w:r>
      <w:r>
        <w:rPr>
          <w:rFonts w:ascii="黑体" w:hAnsi="黑体"/>
          <w:szCs w:val="18"/>
        </w:rPr>
        <w:t>建筑内墙用耐水腻子应用技术规程》DBJ01-48-2000</w:t>
      </w:r>
      <w:r>
        <w:rPr>
          <w:rFonts w:hint="eastAsia" w:ascii="黑体" w:hAnsi="黑体"/>
          <w:szCs w:val="18"/>
        </w:rPr>
        <w:t>，</w:t>
      </w:r>
      <w:r>
        <w:rPr>
          <w:rFonts w:ascii="黑体" w:hAnsi="黑体"/>
          <w:szCs w:val="18"/>
        </w:rPr>
        <w:t>其主要技术指标如下：</w:t>
      </w:r>
    </w:p>
    <w:p w14:paraId="2B2F8E53">
      <w:pPr>
        <w:pStyle w:val="18"/>
        <w:spacing w:line="360" w:lineRule="auto"/>
        <w:ind w:left="851" w:right="259" w:rightChars="144"/>
        <w:jc w:val="left"/>
        <w:rPr>
          <w:rFonts w:ascii="黑体" w:hAnsi="黑体"/>
          <w:szCs w:val="18"/>
        </w:rPr>
      </w:pPr>
      <w:r>
        <w:rPr>
          <w:rFonts w:ascii="黑体" w:hAnsi="黑体"/>
          <w:szCs w:val="18"/>
        </w:rPr>
        <w:t>表干时间：≤5h</w:t>
      </w:r>
    </w:p>
    <w:p w14:paraId="18CBB507">
      <w:pPr>
        <w:pStyle w:val="18"/>
        <w:spacing w:line="360" w:lineRule="auto"/>
        <w:ind w:left="851" w:right="259" w:rightChars="144"/>
        <w:jc w:val="left"/>
        <w:rPr>
          <w:rFonts w:ascii="黑体" w:hAnsi="黑体"/>
          <w:szCs w:val="18"/>
        </w:rPr>
      </w:pPr>
      <w:r>
        <w:rPr>
          <w:rFonts w:hint="eastAsia" w:ascii="黑体" w:hAnsi="黑体"/>
          <w:szCs w:val="18"/>
        </w:rPr>
        <w:t>打磨</w:t>
      </w:r>
      <w:r>
        <w:rPr>
          <w:rFonts w:ascii="黑体" w:hAnsi="黑体"/>
          <w:szCs w:val="18"/>
        </w:rPr>
        <w:t>性：</w:t>
      </w:r>
      <w:r>
        <w:rPr>
          <w:rFonts w:hint="eastAsia" w:ascii="黑体" w:hAnsi="黑体"/>
          <w:szCs w:val="18"/>
        </w:rPr>
        <w:t>20</w:t>
      </w:r>
      <w:r>
        <w:rPr>
          <w:rFonts w:ascii="黑体" w:hAnsi="黑体"/>
          <w:szCs w:val="18"/>
        </w:rPr>
        <w:t xml:space="preserve">-80% </w:t>
      </w:r>
    </w:p>
    <w:p w14:paraId="262647A4">
      <w:pPr>
        <w:pStyle w:val="18"/>
        <w:spacing w:line="360" w:lineRule="auto"/>
        <w:ind w:left="851" w:right="259" w:rightChars="144"/>
        <w:jc w:val="left"/>
        <w:rPr>
          <w:rFonts w:ascii="黑体" w:hAnsi="黑体"/>
          <w:szCs w:val="18"/>
        </w:rPr>
      </w:pPr>
      <w:r>
        <w:rPr>
          <w:rFonts w:ascii="黑体" w:hAnsi="黑体"/>
          <w:szCs w:val="18"/>
        </w:rPr>
        <w:t>耐水性：浸水48</w:t>
      </w:r>
      <w:r>
        <w:rPr>
          <w:rFonts w:hint="eastAsia" w:ascii="黑体" w:hAnsi="黑体"/>
          <w:szCs w:val="18"/>
        </w:rPr>
        <w:t>h</w:t>
      </w:r>
      <w:r>
        <w:rPr>
          <w:rFonts w:ascii="黑体" w:hAnsi="黑体"/>
          <w:szCs w:val="18"/>
        </w:rPr>
        <w:t>无异常</w:t>
      </w:r>
    </w:p>
    <w:p w14:paraId="5316DCCD">
      <w:pPr>
        <w:pStyle w:val="18"/>
        <w:spacing w:line="360" w:lineRule="auto"/>
        <w:ind w:left="851" w:right="259" w:rightChars="144"/>
        <w:jc w:val="left"/>
        <w:rPr>
          <w:rFonts w:ascii="黑体" w:hAnsi="黑体"/>
          <w:szCs w:val="18"/>
        </w:rPr>
      </w:pPr>
      <w:r>
        <w:rPr>
          <w:rFonts w:ascii="黑体" w:hAnsi="黑体"/>
          <w:szCs w:val="18"/>
        </w:rPr>
        <w:t>粘结强度：标准状态≥0.6MPa；浸水后≥0.35MPa</w:t>
      </w:r>
    </w:p>
    <w:p w14:paraId="38C8F8C7">
      <w:pPr>
        <w:pStyle w:val="49"/>
        <w:spacing w:line="360" w:lineRule="auto"/>
        <w:ind w:firstLine="0" w:firstLineChars="0"/>
        <w:jc w:val="left"/>
        <w:rPr>
          <w:rFonts w:ascii="黑体" w:hAnsi="黑体" w:cs="宋体"/>
          <w:kern w:val="0"/>
          <w:szCs w:val="18"/>
        </w:rPr>
      </w:pPr>
    </w:p>
    <w:p w14:paraId="520B7F57">
      <w:pPr>
        <w:pStyle w:val="97"/>
        <w:rPr>
          <w:b/>
        </w:rPr>
      </w:pPr>
      <w:r>
        <w:rPr>
          <w:rFonts w:hint="eastAsia"/>
          <w:b/>
        </w:rPr>
        <w:t>供应商</w:t>
      </w:r>
      <w:r>
        <w:rPr>
          <w:b/>
        </w:rPr>
        <w:t>提交资料</w:t>
      </w:r>
    </w:p>
    <w:p w14:paraId="06D8843E">
      <w:pPr>
        <w:pStyle w:val="111"/>
        <w:jc w:val="left"/>
      </w:pPr>
      <w:r>
        <w:t xml:space="preserve">提供厂商资质、工程案例 </w:t>
      </w:r>
    </w:p>
    <w:p w14:paraId="231B5C6E">
      <w:pPr>
        <w:pStyle w:val="111"/>
        <w:jc w:val="left"/>
      </w:pPr>
      <w:r>
        <w:t xml:space="preserve">产品资料：各指定产品的产品说明、施工规范、产品质量检验报告、认证证书及合同中要求的其他文件。 </w:t>
      </w:r>
    </w:p>
    <w:p w14:paraId="38ADF19B">
      <w:pPr>
        <w:pStyle w:val="111"/>
        <w:jc w:val="left"/>
      </w:pPr>
      <w:r>
        <w:t xml:space="preserve">样品：  </w:t>
      </w:r>
    </w:p>
    <w:p w14:paraId="5182AF54">
      <w:pPr>
        <w:pStyle w:val="18"/>
        <w:spacing w:line="360" w:lineRule="auto"/>
        <w:ind w:left="851" w:right="259" w:rightChars="144"/>
        <w:jc w:val="left"/>
        <w:rPr>
          <w:rFonts w:ascii="黑体" w:hAnsi="黑体"/>
          <w:szCs w:val="18"/>
        </w:rPr>
      </w:pPr>
      <w:r>
        <w:rPr>
          <w:rFonts w:ascii="黑体" w:hAnsi="黑体"/>
          <w:szCs w:val="18"/>
        </w:rPr>
        <w:t xml:space="preserve">样品提供在大小为400mm*600mm的硬质背板上，低光、半光和高光各一块，产品色卡一套 </w:t>
      </w:r>
    </w:p>
    <w:p w14:paraId="61E3A695">
      <w:pPr>
        <w:pStyle w:val="18"/>
        <w:spacing w:line="360" w:lineRule="auto"/>
        <w:ind w:left="851" w:right="259" w:rightChars="144"/>
        <w:jc w:val="left"/>
        <w:rPr>
          <w:rFonts w:ascii="黑体" w:hAnsi="黑体"/>
          <w:szCs w:val="18"/>
        </w:rPr>
      </w:pPr>
      <w:r>
        <w:rPr>
          <w:rFonts w:ascii="黑体" w:hAnsi="黑体"/>
          <w:szCs w:val="18"/>
        </w:rPr>
        <w:t xml:space="preserve">每个涂料样品标上标签，标明使用位置和区域 </w:t>
      </w:r>
    </w:p>
    <w:p w14:paraId="08CAFCED">
      <w:pPr>
        <w:pStyle w:val="111"/>
        <w:jc w:val="left"/>
      </w:pPr>
      <w:r>
        <w:t xml:space="preserve">产品清单：清单使用区域上标明产品名称。清单和图纸上产品使用同样的名称。  </w:t>
      </w:r>
    </w:p>
    <w:p w14:paraId="115B178B">
      <w:pPr>
        <w:pStyle w:val="18"/>
        <w:spacing w:line="360" w:lineRule="auto"/>
        <w:ind w:left="420" w:right="259" w:rightChars="144"/>
        <w:jc w:val="left"/>
        <w:rPr>
          <w:rFonts w:ascii="黑体" w:hAnsi="黑体"/>
          <w:szCs w:val="18"/>
        </w:rPr>
      </w:pPr>
    </w:p>
    <w:p w14:paraId="45EB86BA">
      <w:pPr>
        <w:pStyle w:val="97"/>
        <w:rPr>
          <w:b/>
        </w:rPr>
      </w:pPr>
      <w:r>
        <w:rPr>
          <w:b/>
        </w:rPr>
        <w:t xml:space="preserve">质量保证 </w:t>
      </w:r>
    </w:p>
    <w:p w14:paraId="48A567DD">
      <w:pPr>
        <w:pStyle w:val="111"/>
        <w:jc w:val="left"/>
      </w:pPr>
      <w:r>
        <w:t>安装施工人员的资格：施工人员必须由产品供应商认可。</w:t>
      </w:r>
    </w:p>
    <w:p w14:paraId="047E60A7">
      <w:pPr>
        <w:pStyle w:val="111"/>
        <w:jc w:val="left"/>
      </w:pPr>
      <w:r>
        <w:t>产品来源：材料必须由同一产品供应商提供</w:t>
      </w:r>
      <w:r>
        <w:rPr>
          <w:rFonts w:hint="eastAsia"/>
        </w:rPr>
        <w:t>。</w:t>
      </w:r>
    </w:p>
    <w:p w14:paraId="06AC7F6E">
      <w:pPr>
        <w:pStyle w:val="111"/>
        <w:jc w:val="left"/>
      </w:pPr>
      <w:r>
        <w:t>样板制作：在</w:t>
      </w:r>
      <w:r>
        <w:rPr>
          <w:rFonts w:hint="eastAsia"/>
        </w:rPr>
        <w:t>50~100㎡</w:t>
      </w:r>
      <w:r>
        <w:t>的区域按照设计厚度和要求进行样板区域的施工：如果样板区域施工达不到设计师要求，必须重新施工直到设计认可</w:t>
      </w:r>
      <w:r>
        <w:rPr>
          <w:rFonts w:hint="eastAsia"/>
        </w:rPr>
        <w:t>，</w:t>
      </w:r>
      <w:r>
        <w:t>样板区域可作为最后整个地坪涂料工程的一部分</w:t>
      </w:r>
      <w:r>
        <w:rPr>
          <w:rFonts w:hint="eastAsia"/>
        </w:rPr>
        <w:t>。</w:t>
      </w:r>
    </w:p>
    <w:p w14:paraId="3866DB71">
      <w:pPr>
        <w:pStyle w:val="49"/>
        <w:spacing w:line="360" w:lineRule="auto"/>
        <w:ind w:firstLine="0" w:firstLineChars="0"/>
        <w:jc w:val="left"/>
        <w:rPr>
          <w:rFonts w:ascii="黑体" w:hAnsi="黑体" w:cs="宋体"/>
          <w:kern w:val="0"/>
          <w:szCs w:val="18"/>
        </w:rPr>
      </w:pPr>
    </w:p>
    <w:p w14:paraId="0F314105">
      <w:pPr>
        <w:pStyle w:val="97"/>
        <w:rPr>
          <w:b/>
        </w:rPr>
      </w:pPr>
      <w:r>
        <w:rPr>
          <w:rFonts w:hint="eastAsia"/>
          <w:b/>
        </w:rPr>
        <w:t>施工</w:t>
      </w:r>
    </w:p>
    <w:p w14:paraId="27A2B4E8">
      <w:pPr>
        <w:spacing w:line="360" w:lineRule="auto"/>
        <w:ind w:left="851"/>
        <w:jc w:val="left"/>
        <w:rPr>
          <w:rFonts w:ascii="黑体" w:hAnsi="黑体"/>
          <w:szCs w:val="18"/>
        </w:rPr>
      </w:pPr>
      <w:r>
        <w:rPr>
          <w:rFonts w:hint="eastAsia" w:ascii="黑体" w:hAnsi="黑体" w:cs="宋体"/>
          <w:kern w:val="0"/>
          <w:szCs w:val="18"/>
        </w:rPr>
        <w:t>参见</w:t>
      </w:r>
      <w:r>
        <w:rPr>
          <w:rFonts w:ascii="黑体" w:hAnsi="黑体"/>
          <w:szCs w:val="18"/>
        </w:rPr>
        <w:t>《建筑涂饰工程施工及验收规程》JGJ/T29</w:t>
      </w:r>
    </w:p>
    <w:p w14:paraId="5A651C6A">
      <w:pPr>
        <w:pStyle w:val="49"/>
        <w:spacing w:line="360" w:lineRule="auto"/>
        <w:ind w:firstLine="0" w:firstLineChars="0"/>
        <w:jc w:val="left"/>
        <w:rPr>
          <w:rFonts w:ascii="黑体" w:hAnsi="黑体" w:cs="宋体"/>
          <w:kern w:val="0"/>
          <w:szCs w:val="18"/>
        </w:rPr>
      </w:pPr>
    </w:p>
    <w:p w14:paraId="6CA68DBB">
      <w:pPr>
        <w:pStyle w:val="3"/>
        <w:jc w:val="left"/>
      </w:pPr>
      <w:bookmarkStart w:id="127" w:name="_Toc174556829"/>
      <w:bookmarkStart w:id="128" w:name="_Toc399689020"/>
      <w:r>
        <w:rPr>
          <w:rFonts w:hint="eastAsia"/>
        </w:rPr>
        <w:t>吸音墙面</w:t>
      </w:r>
      <w:bookmarkEnd w:id="127"/>
      <w:bookmarkEnd w:id="128"/>
    </w:p>
    <w:p w14:paraId="6F970ACE">
      <w:pPr>
        <w:pStyle w:val="97"/>
        <w:rPr>
          <w:b/>
        </w:rPr>
      </w:pPr>
      <w:r>
        <w:rPr>
          <w:rFonts w:hint="eastAsia"/>
          <w:b/>
        </w:rPr>
        <w:t>使用部位</w:t>
      </w:r>
    </w:p>
    <w:p w14:paraId="13721011">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有吸音要求的设备机房（详建筑设计说明）</w:t>
      </w:r>
    </w:p>
    <w:p w14:paraId="1ED48BCF">
      <w:pPr>
        <w:pStyle w:val="18"/>
        <w:spacing w:line="360" w:lineRule="auto"/>
        <w:ind w:left="420" w:right="259" w:rightChars="144"/>
        <w:jc w:val="left"/>
        <w:rPr>
          <w:rFonts w:ascii="黑体" w:hAnsi="黑体"/>
          <w:szCs w:val="18"/>
        </w:rPr>
      </w:pPr>
    </w:p>
    <w:p w14:paraId="68B84EEF">
      <w:pPr>
        <w:pStyle w:val="97"/>
        <w:rPr>
          <w:b/>
        </w:rPr>
      </w:pPr>
      <w:r>
        <w:rPr>
          <w:b/>
        </w:rPr>
        <w:t>技术规范</w:t>
      </w:r>
      <w:r>
        <w:rPr>
          <w:rFonts w:hint="eastAsia"/>
          <w:b/>
        </w:rPr>
        <w:t>、规程、要求</w:t>
      </w:r>
    </w:p>
    <w:p w14:paraId="765E4E72">
      <w:pPr>
        <w:pStyle w:val="18"/>
        <w:spacing w:line="360" w:lineRule="auto"/>
        <w:ind w:left="729" w:leftChars="402" w:right="259" w:rightChars="144" w:hanging="5" w:hangingChars="3"/>
        <w:jc w:val="left"/>
        <w:rPr>
          <w:rFonts w:ascii="黑体" w:hAnsi="黑体"/>
          <w:szCs w:val="18"/>
        </w:rPr>
      </w:pPr>
      <w:r>
        <w:rPr>
          <w:rFonts w:hint="eastAsia" w:ascii="黑体" w:hAnsi="黑体"/>
          <w:szCs w:val="18"/>
        </w:rPr>
        <w:t>相关技术规范规程</w:t>
      </w:r>
    </w:p>
    <w:p w14:paraId="7160972A">
      <w:pPr>
        <w:numPr>
          <w:ilvl w:val="0"/>
          <w:numId w:val="144"/>
        </w:numPr>
        <w:spacing w:line="360" w:lineRule="auto"/>
        <w:ind w:left="851"/>
        <w:jc w:val="left"/>
        <w:rPr>
          <w:rFonts w:ascii="黑体" w:hAnsi="黑体"/>
          <w:szCs w:val="18"/>
        </w:rPr>
      </w:pPr>
      <w:r>
        <w:rPr>
          <w:rFonts w:ascii="黑体" w:hAnsi="黑体" w:cs="宋体"/>
          <w:kern w:val="0"/>
          <w:szCs w:val="18"/>
        </w:rPr>
        <w:t>《建筑内部装修设计防火规范》GB50222</w:t>
      </w:r>
    </w:p>
    <w:p w14:paraId="1B8B0CE1">
      <w:pPr>
        <w:numPr>
          <w:ilvl w:val="0"/>
          <w:numId w:val="144"/>
        </w:numPr>
        <w:spacing w:line="360" w:lineRule="auto"/>
        <w:ind w:left="851"/>
        <w:jc w:val="left"/>
        <w:rPr>
          <w:rFonts w:ascii="黑体" w:hAnsi="黑体"/>
          <w:szCs w:val="18"/>
        </w:rPr>
      </w:pPr>
      <w:r>
        <w:rPr>
          <w:rFonts w:ascii="黑体" w:hAnsi="黑体" w:cs="宋体"/>
          <w:kern w:val="0"/>
          <w:szCs w:val="18"/>
        </w:rPr>
        <w:t>《建筑装饰装修工程质量验收规范》GB50210</w:t>
      </w:r>
    </w:p>
    <w:p w14:paraId="4C31CAC7">
      <w:pPr>
        <w:numPr>
          <w:ilvl w:val="0"/>
          <w:numId w:val="144"/>
        </w:numPr>
        <w:autoSpaceDE w:val="0"/>
        <w:autoSpaceDN w:val="0"/>
        <w:adjustRightInd w:val="0"/>
        <w:ind w:left="851"/>
        <w:jc w:val="left"/>
        <w:rPr>
          <w:rFonts w:ascii="黑体" w:hAnsi="黑体"/>
          <w:kern w:val="0"/>
          <w:szCs w:val="18"/>
        </w:rPr>
      </w:pPr>
      <w:r>
        <w:rPr>
          <w:rFonts w:ascii="黑体" w:hAnsi="黑体" w:cs="宋体"/>
          <w:kern w:val="0"/>
          <w:szCs w:val="18"/>
        </w:rPr>
        <w:t xml:space="preserve">《建筑工程施工质量验收统一标准》GB50300 </w:t>
      </w:r>
    </w:p>
    <w:p w14:paraId="339B8F0B">
      <w:pPr>
        <w:numPr>
          <w:ilvl w:val="0"/>
          <w:numId w:val="144"/>
        </w:numPr>
        <w:spacing w:line="360" w:lineRule="auto"/>
        <w:ind w:left="851"/>
        <w:jc w:val="left"/>
        <w:rPr>
          <w:rFonts w:ascii="黑体" w:hAnsi="黑体"/>
          <w:szCs w:val="18"/>
        </w:rPr>
      </w:pPr>
      <w:r>
        <w:rPr>
          <w:rFonts w:ascii="黑体" w:hAnsi="黑体" w:cs="宋体"/>
          <w:kern w:val="0"/>
          <w:szCs w:val="18"/>
        </w:rPr>
        <w:t>《建筑用轻钢龙骨》GB/T 11981</w:t>
      </w:r>
    </w:p>
    <w:p w14:paraId="7BE98C8A">
      <w:pPr>
        <w:numPr>
          <w:ilvl w:val="0"/>
          <w:numId w:val="144"/>
        </w:numPr>
        <w:spacing w:line="360" w:lineRule="auto"/>
        <w:ind w:left="851"/>
        <w:jc w:val="left"/>
        <w:rPr>
          <w:rFonts w:ascii="黑体" w:hAnsi="黑体"/>
          <w:szCs w:val="18"/>
        </w:rPr>
      </w:pPr>
      <w:r>
        <w:rPr>
          <w:rFonts w:ascii="黑体" w:hAnsi="黑体" w:cs="宋体"/>
          <w:kern w:val="0"/>
          <w:szCs w:val="18"/>
        </w:rPr>
        <w:t>《建筑材料放射性核素限量》GB 6566</w:t>
      </w:r>
    </w:p>
    <w:p w14:paraId="6B2D2A5A">
      <w:pPr>
        <w:numPr>
          <w:ilvl w:val="0"/>
          <w:numId w:val="144"/>
        </w:numPr>
        <w:spacing w:line="360" w:lineRule="auto"/>
        <w:ind w:left="851"/>
        <w:jc w:val="left"/>
        <w:rPr>
          <w:rFonts w:ascii="黑体" w:hAnsi="黑体"/>
          <w:szCs w:val="18"/>
        </w:rPr>
      </w:pPr>
      <w:r>
        <w:rPr>
          <w:rFonts w:ascii="黑体" w:hAnsi="黑体"/>
          <w:szCs w:val="18"/>
        </w:rPr>
        <w:t>《变形铝及铝合金化学成分》GB／T3190</w:t>
      </w:r>
    </w:p>
    <w:p w14:paraId="6F66702A">
      <w:pPr>
        <w:numPr>
          <w:ilvl w:val="0"/>
          <w:numId w:val="144"/>
        </w:numPr>
        <w:spacing w:line="360" w:lineRule="auto"/>
        <w:ind w:left="851"/>
        <w:jc w:val="left"/>
        <w:rPr>
          <w:rFonts w:ascii="黑体" w:hAnsi="黑体"/>
          <w:szCs w:val="18"/>
        </w:rPr>
      </w:pPr>
      <w:r>
        <w:rPr>
          <w:rFonts w:ascii="黑体" w:hAnsi="黑体"/>
          <w:szCs w:val="18"/>
        </w:rPr>
        <w:t>《一般工业用铝及铝合金板、带材》GB／T3880．2</w:t>
      </w:r>
    </w:p>
    <w:p w14:paraId="35B4F284">
      <w:pPr>
        <w:spacing w:line="360" w:lineRule="auto"/>
        <w:ind w:left="420"/>
        <w:jc w:val="left"/>
        <w:rPr>
          <w:rFonts w:ascii="黑体" w:hAnsi="黑体"/>
          <w:szCs w:val="18"/>
        </w:rPr>
      </w:pPr>
    </w:p>
    <w:p w14:paraId="121E1074">
      <w:pPr>
        <w:pStyle w:val="97"/>
        <w:rPr>
          <w:b/>
        </w:rPr>
      </w:pPr>
      <w:r>
        <w:rPr>
          <w:rFonts w:hint="eastAsia"/>
          <w:b/>
        </w:rPr>
        <w:t>材料要求</w:t>
      </w:r>
    </w:p>
    <w:p w14:paraId="77A55517">
      <w:pPr>
        <w:pStyle w:val="111"/>
        <w:jc w:val="left"/>
      </w:pPr>
      <w:r>
        <w:rPr>
          <w:rFonts w:hint="eastAsia"/>
        </w:rPr>
        <w:t>穿孔铝板：</w:t>
      </w:r>
    </w:p>
    <w:p w14:paraId="0D7D5168">
      <w:pPr>
        <w:numPr>
          <w:ilvl w:val="0"/>
          <w:numId w:val="144"/>
        </w:numPr>
        <w:spacing w:line="360" w:lineRule="auto"/>
        <w:ind w:left="851"/>
        <w:jc w:val="left"/>
        <w:rPr>
          <w:rFonts w:ascii="黑体" w:hAnsi="黑体"/>
          <w:szCs w:val="18"/>
        </w:rPr>
      </w:pPr>
      <w:r>
        <w:rPr>
          <w:rFonts w:hint="eastAsia" w:ascii="黑体" w:hAnsi="黑体"/>
          <w:szCs w:val="18"/>
        </w:rPr>
        <w:t>规格：600*600*1</w:t>
      </w:r>
      <w:r>
        <w:rPr>
          <w:rFonts w:ascii="黑体" w:hAnsi="黑体"/>
          <w:szCs w:val="18"/>
        </w:rPr>
        <w:t>.0</w:t>
      </w:r>
      <w:r>
        <w:rPr>
          <w:rFonts w:hint="eastAsia" w:ascii="黑体" w:hAnsi="黑体"/>
          <w:szCs w:val="18"/>
        </w:rPr>
        <w:t>（厚）</w:t>
      </w:r>
    </w:p>
    <w:p w14:paraId="44349DD6">
      <w:pPr>
        <w:numPr>
          <w:ilvl w:val="0"/>
          <w:numId w:val="144"/>
        </w:numPr>
        <w:spacing w:line="360" w:lineRule="auto"/>
        <w:ind w:left="851"/>
        <w:jc w:val="left"/>
        <w:rPr>
          <w:rFonts w:ascii="黑体" w:hAnsi="黑体"/>
          <w:szCs w:val="18"/>
        </w:rPr>
      </w:pPr>
      <w:r>
        <w:rPr>
          <w:rFonts w:hint="eastAsia" w:ascii="黑体" w:hAnsi="黑体"/>
          <w:szCs w:val="18"/>
        </w:rPr>
        <w:t>饰面：乳白色</w:t>
      </w:r>
      <w:r>
        <w:rPr>
          <w:rFonts w:ascii="黑体" w:hAnsi="黑体"/>
          <w:szCs w:val="18"/>
        </w:rPr>
        <w:t>高级静电粉末喷涂</w:t>
      </w:r>
    </w:p>
    <w:p w14:paraId="6D19DB2C">
      <w:pPr>
        <w:numPr>
          <w:ilvl w:val="0"/>
          <w:numId w:val="144"/>
        </w:numPr>
        <w:spacing w:line="360" w:lineRule="auto"/>
        <w:ind w:left="851"/>
        <w:jc w:val="left"/>
        <w:rPr>
          <w:rFonts w:ascii="黑体" w:hAnsi="黑体"/>
          <w:szCs w:val="18"/>
        </w:rPr>
      </w:pPr>
      <w:r>
        <w:rPr>
          <w:rFonts w:hint="eastAsia" w:ascii="黑体" w:hAnsi="黑体"/>
          <w:szCs w:val="18"/>
        </w:rPr>
        <w:t>孔径</w:t>
      </w:r>
      <w:r>
        <w:rPr>
          <w:rFonts w:ascii="黑体" w:hAnsi="黑体"/>
          <w:szCs w:val="18"/>
        </w:rPr>
        <w:t>：</w:t>
      </w:r>
      <w:r>
        <w:rPr>
          <w:rFonts w:hint="eastAsia" w:ascii="黑体" w:hAnsi="黑体"/>
          <w:szCs w:val="18"/>
        </w:rPr>
        <w:t>2.3</w:t>
      </w:r>
      <w:r>
        <w:rPr>
          <w:rFonts w:ascii="黑体" w:hAnsi="黑体"/>
          <w:szCs w:val="18"/>
        </w:rPr>
        <w:t>mm</w:t>
      </w:r>
    </w:p>
    <w:p w14:paraId="1FB54C92">
      <w:pPr>
        <w:numPr>
          <w:ilvl w:val="0"/>
          <w:numId w:val="144"/>
        </w:numPr>
        <w:spacing w:line="360" w:lineRule="auto"/>
        <w:ind w:left="851"/>
        <w:jc w:val="left"/>
        <w:rPr>
          <w:rFonts w:ascii="黑体" w:hAnsi="黑体"/>
          <w:szCs w:val="18"/>
        </w:rPr>
      </w:pPr>
      <w:r>
        <w:rPr>
          <w:rFonts w:hint="eastAsia" w:ascii="黑体" w:hAnsi="黑体"/>
          <w:szCs w:val="18"/>
        </w:rPr>
        <w:t>开孔率：</w:t>
      </w:r>
      <w:r>
        <w:rPr>
          <w:rFonts w:ascii="黑体" w:hAnsi="黑体"/>
          <w:szCs w:val="18"/>
        </w:rPr>
        <w:t>13.7</w:t>
      </w:r>
      <w:r>
        <w:rPr>
          <w:rFonts w:hint="eastAsia" w:ascii="黑体" w:hAnsi="黑体"/>
          <w:szCs w:val="18"/>
        </w:rPr>
        <w:t>%</w:t>
      </w:r>
    </w:p>
    <w:p w14:paraId="4F93560C">
      <w:pPr>
        <w:numPr>
          <w:ilvl w:val="0"/>
          <w:numId w:val="144"/>
        </w:numPr>
        <w:spacing w:line="360" w:lineRule="auto"/>
        <w:ind w:left="851"/>
        <w:jc w:val="left"/>
        <w:rPr>
          <w:rFonts w:ascii="黑体" w:hAnsi="黑体"/>
          <w:szCs w:val="18"/>
        </w:rPr>
      </w:pPr>
      <w:r>
        <w:rPr>
          <w:rFonts w:ascii="黑体" w:hAnsi="黑体"/>
          <w:szCs w:val="18"/>
        </w:rPr>
        <w:t>铝材的化学成分和力学性能应符合《变形铝及铝合金化学成分》GB／T3190和《一般工业用铝及铝合金板、带材》GB／T3880．2的要求。</w:t>
      </w:r>
    </w:p>
    <w:p w14:paraId="3F15B6BA">
      <w:pPr>
        <w:numPr>
          <w:ilvl w:val="0"/>
          <w:numId w:val="144"/>
        </w:numPr>
        <w:spacing w:line="360" w:lineRule="auto"/>
        <w:ind w:left="851"/>
        <w:jc w:val="left"/>
        <w:rPr>
          <w:rFonts w:ascii="黑体" w:hAnsi="黑体"/>
          <w:szCs w:val="18"/>
        </w:rPr>
      </w:pPr>
      <w:r>
        <w:rPr>
          <w:rFonts w:ascii="黑体" w:hAnsi="黑体"/>
          <w:szCs w:val="18"/>
        </w:rPr>
        <w:t>外观：饰面板表面应平整，边沿应整齐，不应有污垢、裂纹、缺角、翘曲、起皮、色差和图案不完整等缺陷</w:t>
      </w:r>
      <w:r>
        <w:rPr>
          <w:rFonts w:hint="eastAsia" w:ascii="黑体" w:hAnsi="黑体"/>
          <w:szCs w:val="18"/>
        </w:rPr>
        <w:t>。</w:t>
      </w:r>
    </w:p>
    <w:p w14:paraId="1DCA05AA">
      <w:pPr>
        <w:pStyle w:val="111"/>
        <w:jc w:val="left"/>
      </w:pPr>
      <w:r>
        <w:t xml:space="preserve">轻钢龙骨 </w:t>
      </w:r>
    </w:p>
    <w:p w14:paraId="60ADB2E8">
      <w:pPr>
        <w:numPr>
          <w:ilvl w:val="0"/>
          <w:numId w:val="144"/>
        </w:numPr>
        <w:spacing w:line="360" w:lineRule="auto"/>
        <w:ind w:left="851"/>
        <w:jc w:val="left"/>
        <w:rPr>
          <w:rFonts w:ascii="黑体" w:hAnsi="黑体"/>
          <w:szCs w:val="18"/>
        </w:rPr>
      </w:pPr>
      <w:r>
        <w:rPr>
          <w:rFonts w:ascii="黑体" w:hAnsi="黑体"/>
          <w:szCs w:val="18"/>
        </w:rPr>
        <w:t>轻钢骨架规格：50mm*50mm*</w:t>
      </w:r>
      <w:r>
        <w:rPr>
          <w:rFonts w:hint="eastAsia" w:ascii="黑体" w:hAnsi="黑体"/>
          <w:szCs w:val="18"/>
        </w:rPr>
        <w:t>0.</w:t>
      </w:r>
      <w:r>
        <w:rPr>
          <w:rFonts w:ascii="黑体" w:hAnsi="黑体"/>
          <w:szCs w:val="18"/>
        </w:rPr>
        <w:t xml:space="preserve">6mm </w:t>
      </w:r>
    </w:p>
    <w:p w14:paraId="5FD202C6">
      <w:pPr>
        <w:numPr>
          <w:ilvl w:val="0"/>
          <w:numId w:val="144"/>
        </w:numPr>
        <w:spacing w:line="360" w:lineRule="auto"/>
        <w:ind w:left="851"/>
        <w:jc w:val="left"/>
        <w:rPr>
          <w:rFonts w:ascii="黑体" w:hAnsi="黑体"/>
          <w:szCs w:val="18"/>
        </w:rPr>
      </w:pPr>
      <w:r>
        <w:rPr>
          <w:rFonts w:ascii="黑体" w:hAnsi="黑体"/>
          <w:szCs w:val="18"/>
        </w:rPr>
        <w:t xml:space="preserve">符合国家标准GB/T11981《建筑用轻钢龙骨》的具体规定 </w:t>
      </w:r>
    </w:p>
    <w:p w14:paraId="27696DBB">
      <w:pPr>
        <w:numPr>
          <w:ilvl w:val="0"/>
          <w:numId w:val="144"/>
        </w:numPr>
        <w:spacing w:line="360" w:lineRule="auto"/>
        <w:ind w:left="851"/>
        <w:jc w:val="left"/>
        <w:rPr>
          <w:rFonts w:ascii="黑体" w:hAnsi="黑体"/>
          <w:szCs w:val="18"/>
        </w:rPr>
      </w:pPr>
      <w:r>
        <w:rPr>
          <w:rFonts w:ascii="黑体" w:hAnsi="黑体"/>
          <w:szCs w:val="18"/>
        </w:rPr>
        <w:t xml:space="preserve">本项目采用轻钢龙骨，外形要平整，棱角清晰，切口不允许有影响使用的毛刺和变形。 </w:t>
      </w:r>
    </w:p>
    <w:p w14:paraId="7BB7B75E">
      <w:pPr>
        <w:numPr>
          <w:ilvl w:val="0"/>
          <w:numId w:val="144"/>
        </w:numPr>
        <w:spacing w:line="360" w:lineRule="auto"/>
        <w:ind w:left="851"/>
        <w:jc w:val="left"/>
        <w:rPr>
          <w:rFonts w:ascii="黑体" w:hAnsi="黑体"/>
          <w:szCs w:val="18"/>
        </w:rPr>
      </w:pPr>
      <w:r>
        <w:rPr>
          <w:rFonts w:ascii="黑体" w:hAnsi="黑体"/>
          <w:szCs w:val="18"/>
        </w:rPr>
        <w:t xml:space="preserve">镀锌层不许有起皮、起瘤、脱落等缺陷。无腐蚀、 损伤、黑斑、麻点等缺陷， 轻钢龙骨表面应镀锌防锈，其双面镀锌量：不小于 100g／m2。 </w:t>
      </w:r>
    </w:p>
    <w:p w14:paraId="371D6453">
      <w:pPr>
        <w:numPr>
          <w:ilvl w:val="0"/>
          <w:numId w:val="144"/>
        </w:numPr>
        <w:spacing w:line="360" w:lineRule="auto"/>
        <w:ind w:left="851"/>
        <w:jc w:val="left"/>
        <w:rPr>
          <w:rFonts w:ascii="黑体" w:hAnsi="黑体"/>
          <w:szCs w:val="18"/>
        </w:rPr>
      </w:pPr>
      <w:r>
        <w:rPr>
          <w:rFonts w:ascii="黑体" w:hAnsi="黑体"/>
          <w:szCs w:val="18"/>
        </w:rPr>
        <w:t>轻钢龙骨质量等级：合格品</w:t>
      </w:r>
    </w:p>
    <w:p w14:paraId="68ECD825">
      <w:pPr>
        <w:pStyle w:val="111"/>
        <w:jc w:val="left"/>
      </w:pPr>
      <w:r>
        <w:t xml:space="preserve">填充离心玻璃棉 </w:t>
      </w:r>
    </w:p>
    <w:p w14:paraId="2777CBE4">
      <w:pPr>
        <w:numPr>
          <w:ilvl w:val="0"/>
          <w:numId w:val="144"/>
        </w:numPr>
        <w:spacing w:line="360" w:lineRule="auto"/>
        <w:ind w:left="851"/>
        <w:jc w:val="left"/>
        <w:rPr>
          <w:rFonts w:ascii="黑体" w:hAnsi="黑体"/>
          <w:szCs w:val="18"/>
        </w:rPr>
      </w:pPr>
      <w:r>
        <w:rPr>
          <w:rFonts w:hint="eastAsia" w:ascii="黑体" w:hAnsi="黑体"/>
          <w:szCs w:val="18"/>
        </w:rPr>
        <w:t>厚度按</w:t>
      </w:r>
      <w:r>
        <w:rPr>
          <w:rFonts w:ascii="黑体" w:hAnsi="黑体"/>
          <w:szCs w:val="18"/>
        </w:rPr>
        <w:t xml:space="preserve">设计 </w:t>
      </w:r>
    </w:p>
    <w:p w14:paraId="277EDA85">
      <w:pPr>
        <w:numPr>
          <w:ilvl w:val="0"/>
          <w:numId w:val="144"/>
        </w:numPr>
        <w:spacing w:line="360" w:lineRule="auto"/>
        <w:ind w:left="851"/>
        <w:jc w:val="left"/>
        <w:rPr>
          <w:rFonts w:ascii="黑体" w:hAnsi="黑体"/>
          <w:szCs w:val="18"/>
        </w:rPr>
      </w:pPr>
      <w:r>
        <w:rPr>
          <w:rFonts w:ascii="黑体" w:hAnsi="黑体"/>
          <w:szCs w:val="18"/>
        </w:rPr>
        <w:t>密度：48kg/m3，</w:t>
      </w:r>
    </w:p>
    <w:p w14:paraId="1C6A7202">
      <w:pPr>
        <w:pStyle w:val="111"/>
        <w:jc w:val="left"/>
      </w:pPr>
      <w:r>
        <w:t>膨胀螺栓：钢质、表面磷化防锈处理，符合GB/T 14210要求</w:t>
      </w:r>
    </w:p>
    <w:p w14:paraId="657A0703">
      <w:pPr>
        <w:pStyle w:val="49"/>
        <w:spacing w:line="360" w:lineRule="auto"/>
        <w:ind w:firstLine="0" w:firstLineChars="0"/>
        <w:jc w:val="left"/>
        <w:rPr>
          <w:rFonts w:ascii="黑体" w:hAnsi="黑体" w:cs="宋体"/>
          <w:kern w:val="0"/>
          <w:szCs w:val="18"/>
        </w:rPr>
      </w:pPr>
    </w:p>
    <w:p w14:paraId="25A3955F">
      <w:pPr>
        <w:pStyle w:val="97"/>
        <w:rPr>
          <w:b/>
        </w:rPr>
      </w:pPr>
      <w:r>
        <w:rPr>
          <w:b/>
        </w:rPr>
        <w:t>承包商提交资料</w:t>
      </w:r>
    </w:p>
    <w:p w14:paraId="7FFD8A2C">
      <w:pPr>
        <w:pStyle w:val="111"/>
        <w:jc w:val="left"/>
      </w:pPr>
      <w:r>
        <w:t xml:space="preserve">承包商须提供以下资料： </w:t>
      </w:r>
    </w:p>
    <w:p w14:paraId="1C3C0E30">
      <w:pPr>
        <w:numPr>
          <w:ilvl w:val="0"/>
          <w:numId w:val="144"/>
        </w:numPr>
        <w:spacing w:line="360" w:lineRule="auto"/>
        <w:ind w:left="851"/>
        <w:jc w:val="left"/>
        <w:rPr>
          <w:rFonts w:ascii="黑体" w:hAnsi="黑体"/>
          <w:szCs w:val="18"/>
        </w:rPr>
      </w:pPr>
      <w:r>
        <w:rPr>
          <w:rFonts w:ascii="黑体" w:hAnsi="黑体"/>
          <w:szCs w:val="18"/>
        </w:rPr>
        <w:t xml:space="preserve">制造商数据：所有材料和系统参数。 </w:t>
      </w:r>
    </w:p>
    <w:p w14:paraId="05CEE8F7">
      <w:pPr>
        <w:numPr>
          <w:ilvl w:val="0"/>
          <w:numId w:val="144"/>
        </w:numPr>
        <w:spacing w:line="360" w:lineRule="auto"/>
        <w:ind w:left="851"/>
        <w:jc w:val="left"/>
        <w:rPr>
          <w:rFonts w:ascii="黑体" w:hAnsi="黑体"/>
          <w:szCs w:val="18"/>
        </w:rPr>
      </w:pPr>
      <w:r>
        <w:rPr>
          <w:rFonts w:ascii="黑体" w:hAnsi="黑体"/>
          <w:szCs w:val="18"/>
        </w:rPr>
        <w:t xml:space="preserve">提交报告：即对材料和系统进行的由具有相关资源的 所作的检测报告。 </w:t>
      </w:r>
    </w:p>
    <w:p w14:paraId="15942ADA">
      <w:pPr>
        <w:pStyle w:val="111"/>
        <w:jc w:val="left"/>
      </w:pPr>
      <w:r>
        <w:t>提交相关节点图</w:t>
      </w:r>
    </w:p>
    <w:p w14:paraId="1919CDF3">
      <w:pPr>
        <w:pStyle w:val="111"/>
        <w:jc w:val="left"/>
      </w:pPr>
      <w:r>
        <w:t xml:space="preserve">确认样品： </w:t>
      </w:r>
    </w:p>
    <w:p w14:paraId="789335B5">
      <w:pPr>
        <w:numPr>
          <w:ilvl w:val="0"/>
          <w:numId w:val="144"/>
        </w:numPr>
        <w:spacing w:line="360" w:lineRule="auto"/>
        <w:ind w:left="851"/>
        <w:jc w:val="left"/>
        <w:rPr>
          <w:rFonts w:ascii="黑体" w:hAnsi="黑体"/>
          <w:szCs w:val="18"/>
        </w:rPr>
      </w:pPr>
      <w:r>
        <w:rPr>
          <w:rFonts w:ascii="黑体" w:hAnsi="黑体"/>
          <w:szCs w:val="18"/>
        </w:rPr>
        <w:t xml:space="preserve">各种规格、类型的完整尺寸样品 </w:t>
      </w:r>
    </w:p>
    <w:p w14:paraId="07445CB3">
      <w:pPr>
        <w:numPr>
          <w:ilvl w:val="0"/>
          <w:numId w:val="144"/>
        </w:numPr>
        <w:spacing w:line="360" w:lineRule="auto"/>
        <w:ind w:left="851"/>
        <w:jc w:val="left"/>
        <w:rPr>
          <w:rFonts w:ascii="黑体" w:hAnsi="黑体"/>
          <w:szCs w:val="18"/>
        </w:rPr>
      </w:pPr>
      <w:r>
        <w:rPr>
          <w:rFonts w:ascii="黑体" w:hAnsi="黑体"/>
          <w:szCs w:val="18"/>
        </w:rPr>
        <w:t xml:space="preserve">长300mm的完整龙骨配件 </w:t>
      </w:r>
    </w:p>
    <w:p w14:paraId="074183BE">
      <w:pPr>
        <w:numPr>
          <w:ilvl w:val="0"/>
          <w:numId w:val="144"/>
        </w:numPr>
        <w:spacing w:line="360" w:lineRule="auto"/>
        <w:ind w:left="851"/>
        <w:jc w:val="left"/>
        <w:rPr>
          <w:rFonts w:ascii="黑体" w:hAnsi="黑体"/>
          <w:szCs w:val="18"/>
        </w:rPr>
      </w:pPr>
      <w:r>
        <w:rPr>
          <w:rFonts w:ascii="黑体" w:hAnsi="黑体"/>
          <w:szCs w:val="18"/>
        </w:rPr>
        <w:t xml:space="preserve">300mm*300mm大小的吸声玻璃棉 </w:t>
      </w:r>
    </w:p>
    <w:p w14:paraId="71C0FB17">
      <w:pPr>
        <w:pStyle w:val="111"/>
        <w:jc w:val="left"/>
      </w:pPr>
      <w:r>
        <w:t xml:space="preserve">检测报告：承包商应当提供检测报告，证明系统达到要求的隔声等级。 </w:t>
      </w:r>
    </w:p>
    <w:p w14:paraId="26C08502">
      <w:pPr>
        <w:pStyle w:val="111"/>
        <w:jc w:val="left"/>
      </w:pPr>
      <w:r>
        <w:t>样板制作：在</w:t>
      </w:r>
      <w:r>
        <w:rPr>
          <w:rFonts w:hint="eastAsia"/>
        </w:rPr>
        <w:t>50~100㎡</w:t>
      </w:r>
      <w:r>
        <w:t>的区域按照设计厚度和要求进行轻钢龙骨石膏板隔墙的施工，包括</w:t>
      </w:r>
      <w:r>
        <w:rPr>
          <w:rFonts w:hint="eastAsia"/>
        </w:rPr>
        <w:t>穿孔铝板</w:t>
      </w:r>
      <w:r>
        <w:t>、龙骨、填充隔声岩棉等</w:t>
      </w:r>
      <w:r>
        <w:rPr>
          <w:rFonts w:hint="eastAsia"/>
        </w:rPr>
        <w:t>，</w:t>
      </w:r>
      <w:r>
        <w:t xml:space="preserve">如果样板隔墙施工或隔声效果达不到设计要求，须重新施工直到设计认可 </w:t>
      </w:r>
      <w:r>
        <w:rPr>
          <w:rFonts w:hint="eastAsia"/>
        </w:rPr>
        <w:t>，</w:t>
      </w:r>
      <w:r>
        <w:t xml:space="preserve">认可的样板区域可作为最后整个隔墙工程的一部分 </w:t>
      </w:r>
      <w:r>
        <w:rPr>
          <w:rFonts w:hint="eastAsia"/>
        </w:rPr>
        <w:t>。</w:t>
      </w:r>
    </w:p>
    <w:p w14:paraId="4B808379">
      <w:pPr>
        <w:pStyle w:val="49"/>
        <w:spacing w:line="360" w:lineRule="auto"/>
        <w:ind w:firstLine="0" w:firstLineChars="0"/>
        <w:jc w:val="left"/>
        <w:rPr>
          <w:rFonts w:ascii="黑体" w:hAnsi="黑体" w:cs="宋体"/>
          <w:kern w:val="0"/>
          <w:szCs w:val="18"/>
        </w:rPr>
      </w:pPr>
    </w:p>
    <w:p w14:paraId="5CB8258A">
      <w:pPr>
        <w:pStyle w:val="3"/>
        <w:jc w:val="left"/>
      </w:pPr>
      <w:bookmarkStart w:id="129" w:name="_Toc174556830"/>
      <w:r>
        <w:rPr>
          <w:rFonts w:hint="eastAsia"/>
        </w:rPr>
        <w:t>内隔墙板</w:t>
      </w:r>
      <w:bookmarkEnd w:id="129"/>
    </w:p>
    <w:p w14:paraId="3942C295">
      <w:pPr>
        <w:pStyle w:val="97"/>
        <w:rPr>
          <w:b/>
        </w:rPr>
      </w:pPr>
      <w:r>
        <w:rPr>
          <w:rFonts w:hint="eastAsia"/>
          <w:b/>
        </w:rPr>
        <w:t>使用部位</w:t>
      </w:r>
    </w:p>
    <w:p w14:paraId="0ABACC26">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有吸音要求的设备机房（详建筑设计说明）</w:t>
      </w:r>
    </w:p>
    <w:p w14:paraId="178F4A0D">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构造做法：</w:t>
      </w:r>
    </w:p>
    <w:p w14:paraId="29BC0E84">
      <w:pPr>
        <w:pStyle w:val="111"/>
        <w:jc w:val="left"/>
      </w:pPr>
      <w:r>
        <w:rPr>
          <w:rFonts w:hint="eastAsia"/>
        </w:rPr>
        <w:t>蒸压粉煤灰砖或钢筋混凝土墙面清理干净，满涂界面砂浆</w:t>
      </w:r>
    </w:p>
    <w:p w14:paraId="5FEB33A7">
      <w:pPr>
        <w:pStyle w:val="111"/>
        <w:jc w:val="left"/>
      </w:pPr>
      <w:r>
        <w:rPr>
          <w:rFonts w:hint="eastAsia"/>
        </w:rPr>
        <w:t>20厚DPM20干混抹灰砂浆</w:t>
      </w:r>
    </w:p>
    <w:p w14:paraId="7077F525">
      <w:pPr>
        <w:pStyle w:val="111"/>
        <w:jc w:val="left"/>
      </w:pPr>
      <w:r>
        <w:rPr>
          <w:rFonts w:hint="eastAsia"/>
        </w:rPr>
        <w:t>50X50X0.7轻钢龙骨用膨胀螺栓与墙面固定</w:t>
      </w:r>
    </w:p>
    <w:p w14:paraId="31B47224">
      <w:pPr>
        <w:pStyle w:val="111"/>
        <w:jc w:val="left"/>
      </w:pPr>
      <w:r>
        <w:rPr>
          <w:rFonts w:hint="eastAsia"/>
        </w:rPr>
        <w:t>50厚离心玻璃棉板（密度为48kg/m3）建筑胶粘贴于轻钢龙骨档内</w:t>
      </w:r>
    </w:p>
    <w:p w14:paraId="4CC8508D">
      <w:pPr>
        <w:pStyle w:val="111"/>
        <w:jc w:val="left"/>
      </w:pPr>
      <w:r>
        <w:rPr>
          <w:rFonts w:hint="eastAsia"/>
        </w:rPr>
        <w:t>玻璃丝布一层绷紧钉牢于轻钢龙骨表面</w:t>
      </w:r>
    </w:p>
    <w:p w14:paraId="7D5D48A5">
      <w:pPr>
        <w:pStyle w:val="111"/>
        <w:jc w:val="left"/>
      </w:pPr>
      <w:r>
        <w:rPr>
          <w:rFonts w:hint="eastAsia"/>
        </w:rPr>
        <w:t>1厚穿孔铝板</w:t>
      </w:r>
    </w:p>
    <w:p w14:paraId="3333EEE3">
      <w:pPr>
        <w:spacing w:line="276" w:lineRule="auto"/>
        <w:jc w:val="left"/>
        <w:rPr>
          <w:rFonts w:ascii="黑体" w:hAnsi="黑体" w:cs="宋体"/>
          <w:bCs/>
          <w:kern w:val="0"/>
          <w:szCs w:val="18"/>
        </w:rPr>
      </w:pPr>
    </w:p>
    <w:p w14:paraId="61967BC2">
      <w:pPr>
        <w:pStyle w:val="97"/>
        <w:rPr>
          <w:b/>
        </w:rPr>
      </w:pPr>
      <w:r>
        <w:rPr>
          <w:rFonts w:hint="eastAsia"/>
          <w:b/>
        </w:rPr>
        <w:t>相关标准及规范要求</w:t>
      </w:r>
    </w:p>
    <w:p w14:paraId="673D64E7">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建筑用金属面绝热夹芯板</w:t>
      </w:r>
      <w:r>
        <w:rPr>
          <w:rFonts w:hint="eastAsia" w:ascii="黑体" w:hAnsi="黑体" w:cs="宋体"/>
          <w:kern w:val="0"/>
          <w:szCs w:val="18"/>
        </w:rPr>
        <w:t>》</w:t>
      </w:r>
      <w:r>
        <w:rPr>
          <w:rFonts w:ascii="黑体" w:hAnsi="黑体" w:cs="宋体"/>
          <w:kern w:val="0"/>
          <w:szCs w:val="18"/>
        </w:rPr>
        <w:t>GB/T23923</w:t>
      </w:r>
    </w:p>
    <w:p w14:paraId="2C3694C2">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建筑用金属面绝热夹芯板安装及验收规程</w:t>
      </w:r>
      <w:r>
        <w:rPr>
          <w:rFonts w:hint="eastAsia" w:ascii="黑体" w:hAnsi="黑体" w:cs="宋体"/>
          <w:kern w:val="0"/>
          <w:szCs w:val="18"/>
        </w:rPr>
        <w:t>》</w:t>
      </w:r>
      <w:r>
        <w:rPr>
          <w:rFonts w:ascii="黑体" w:hAnsi="黑体" w:cs="宋体"/>
          <w:kern w:val="0"/>
          <w:szCs w:val="18"/>
        </w:rPr>
        <w:t>CECS304</w:t>
      </w:r>
    </w:p>
    <w:p w14:paraId="27CED950">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金属面绝热夹芯板技术规程）CECS411</w:t>
      </w:r>
    </w:p>
    <w:p w14:paraId="7B9F0A28">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《建筑用压型彩钢板》G</w:t>
      </w:r>
      <w:r>
        <w:rPr>
          <w:rFonts w:ascii="黑体" w:hAnsi="黑体" w:cs="宋体"/>
          <w:kern w:val="0"/>
          <w:szCs w:val="18"/>
        </w:rPr>
        <w:t>B/T 12775</w:t>
      </w:r>
    </w:p>
    <w:p w14:paraId="7E2748F6">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《通用冷弯开口型彩钢板尺寸，外形重量及允许偏差》G</w:t>
      </w:r>
      <w:r>
        <w:rPr>
          <w:rFonts w:ascii="黑体" w:hAnsi="黑体" w:cs="宋体"/>
          <w:kern w:val="0"/>
          <w:szCs w:val="18"/>
        </w:rPr>
        <w:t>B6723</w:t>
      </w:r>
    </w:p>
    <w:p w14:paraId="374ED300">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《冷弯薄壁型彩钢板技术规范》G</w:t>
      </w:r>
      <w:r>
        <w:rPr>
          <w:rFonts w:ascii="黑体" w:hAnsi="黑体" w:cs="宋体"/>
          <w:kern w:val="0"/>
          <w:szCs w:val="18"/>
        </w:rPr>
        <w:t>B 50018</w:t>
      </w:r>
    </w:p>
    <w:p w14:paraId="40BB6FFE">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《彩钢板结构工程施工质量验收规范》G</w:t>
      </w:r>
      <w:r>
        <w:rPr>
          <w:rFonts w:ascii="黑体" w:hAnsi="黑体" w:cs="宋体"/>
          <w:kern w:val="0"/>
          <w:szCs w:val="18"/>
        </w:rPr>
        <w:t>B 50205</w:t>
      </w:r>
    </w:p>
    <w:p w14:paraId="4490A957">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压型板、夹芯板屋面、墙体建筑构造</w:t>
      </w:r>
      <w:r>
        <w:rPr>
          <w:rFonts w:hint="eastAsia" w:ascii="黑体" w:hAnsi="黑体" w:cs="宋体"/>
          <w:kern w:val="0"/>
          <w:szCs w:val="18"/>
        </w:rPr>
        <w:t>》</w:t>
      </w:r>
      <w:r>
        <w:rPr>
          <w:rFonts w:ascii="黑体" w:hAnsi="黑体" w:cs="宋体"/>
          <w:kern w:val="0"/>
          <w:szCs w:val="18"/>
        </w:rPr>
        <w:t>01J925-1、2、3</w:t>
      </w:r>
    </w:p>
    <w:p w14:paraId="2DC3E54F">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《玻镁平板</w:t>
      </w:r>
      <w:r>
        <w:rPr>
          <w:rFonts w:ascii="黑体" w:hAnsi="黑体" w:cs="宋体"/>
          <w:kern w:val="0"/>
          <w:szCs w:val="18"/>
        </w:rPr>
        <w:t>建材行业标准</w:t>
      </w:r>
      <w:r>
        <w:rPr>
          <w:rFonts w:hint="eastAsia" w:ascii="黑体" w:hAnsi="黑体" w:cs="宋体"/>
          <w:kern w:val="0"/>
          <w:szCs w:val="18"/>
        </w:rPr>
        <w:t>》J</w:t>
      </w:r>
      <w:r>
        <w:rPr>
          <w:rFonts w:ascii="黑体" w:hAnsi="黑体" w:cs="宋体"/>
          <w:kern w:val="0"/>
          <w:szCs w:val="18"/>
        </w:rPr>
        <w:t>C688</w:t>
      </w:r>
    </w:p>
    <w:p w14:paraId="2EA288CE">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建筑用岩棉绝热制品</w:t>
      </w:r>
      <w:r>
        <w:rPr>
          <w:rFonts w:hint="eastAsia" w:ascii="黑体" w:hAnsi="黑体" w:cs="宋体"/>
          <w:kern w:val="0"/>
          <w:szCs w:val="18"/>
        </w:rPr>
        <w:t>》</w:t>
      </w:r>
      <w:r>
        <w:rPr>
          <w:rFonts w:ascii="黑体" w:hAnsi="黑体" w:cs="宋体"/>
          <w:kern w:val="0"/>
          <w:szCs w:val="18"/>
        </w:rPr>
        <w:t>GB/T19686</w:t>
      </w:r>
    </w:p>
    <w:p w14:paraId="6F4052A5">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建筑材料及制品燃烧性能分级标准</w:t>
      </w:r>
      <w:r>
        <w:rPr>
          <w:rFonts w:hint="eastAsia" w:ascii="黑体" w:hAnsi="黑体" w:cs="宋体"/>
          <w:kern w:val="0"/>
          <w:szCs w:val="18"/>
        </w:rPr>
        <w:t>》</w:t>
      </w:r>
      <w:r>
        <w:rPr>
          <w:rFonts w:ascii="黑体" w:hAnsi="黑体" w:cs="宋体"/>
          <w:kern w:val="0"/>
          <w:szCs w:val="18"/>
        </w:rPr>
        <w:t>GB8624</w:t>
      </w:r>
    </w:p>
    <w:p w14:paraId="378D588B">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建筑构件耐火试验方法通用要求</w:t>
      </w:r>
      <w:r>
        <w:rPr>
          <w:rFonts w:hint="eastAsia" w:ascii="黑体" w:hAnsi="黑体" w:cs="宋体"/>
          <w:kern w:val="0"/>
          <w:szCs w:val="18"/>
        </w:rPr>
        <w:t>》</w:t>
      </w:r>
      <w:r>
        <w:rPr>
          <w:rFonts w:ascii="黑体" w:hAnsi="黑体" w:cs="宋体"/>
          <w:kern w:val="0"/>
          <w:szCs w:val="18"/>
        </w:rPr>
        <w:t>GB/T9978</w:t>
      </w:r>
    </w:p>
    <w:p w14:paraId="736F3A61">
      <w:pPr>
        <w:pStyle w:val="49"/>
        <w:spacing w:line="360" w:lineRule="auto"/>
        <w:ind w:left="851" w:firstLine="0" w:firstLineChars="0"/>
        <w:jc w:val="left"/>
        <w:rPr>
          <w:rFonts w:ascii="黑体" w:hAnsi="黑体" w:cs="宋体"/>
          <w:kern w:val="0"/>
          <w:szCs w:val="18"/>
        </w:rPr>
      </w:pPr>
      <w:r>
        <w:rPr>
          <w:rFonts w:hint="eastAsia" w:ascii="黑体" w:hAnsi="黑体" w:cs="宋体"/>
          <w:kern w:val="0"/>
          <w:szCs w:val="18"/>
        </w:rPr>
        <w:t>其他相关的国家及项目所在地相关法律、法规、标准及规范的当前有效版本等</w:t>
      </w:r>
    </w:p>
    <w:p w14:paraId="1D990B61">
      <w:pPr>
        <w:pStyle w:val="97"/>
        <w:rPr>
          <w:b/>
        </w:rPr>
      </w:pPr>
      <w:r>
        <w:rPr>
          <w:b/>
        </w:rPr>
        <w:t>基本</w:t>
      </w:r>
      <w:r>
        <w:rPr>
          <w:rFonts w:hint="eastAsia"/>
          <w:b/>
        </w:rPr>
        <w:t>要求</w:t>
      </w:r>
    </w:p>
    <w:p w14:paraId="05EAB75D">
      <w:pPr>
        <w:pStyle w:val="111"/>
        <w:jc w:val="left"/>
      </w:pPr>
      <w:r>
        <w:rPr>
          <w:rFonts w:hint="eastAsia"/>
        </w:rPr>
        <w:t>本次招标隔墙板产品品类包含</w:t>
      </w:r>
      <w:r>
        <w:t>岩棉夹芯彩钢板及岩棉夹芯双玻镁板两类</w:t>
      </w:r>
    </w:p>
    <w:p w14:paraId="729DEB3D">
      <w:pPr>
        <w:pStyle w:val="111"/>
        <w:jc w:val="left"/>
      </w:pPr>
      <w:r>
        <w:rPr>
          <w:rFonts w:hint="eastAsia"/>
        </w:rPr>
        <w:t>本次招标产品品类使用场景环境为建筑室内内隔墙板，但厂家也应具备用于室外环境的外墙隔板生产资质及能力，作为未来匹配场景下的可能选项。</w:t>
      </w:r>
    </w:p>
    <w:p w14:paraId="5BCA09D1">
      <w:pPr>
        <w:pStyle w:val="111"/>
        <w:jc w:val="left"/>
      </w:pPr>
      <w:r>
        <w:t>市场主流的50mm,75mm,</w:t>
      </w:r>
      <w:r>
        <w:rPr>
          <w:rFonts w:hint="eastAsia"/>
        </w:rPr>
        <w:t>1</w:t>
      </w:r>
      <w:r>
        <w:t>00mm</w:t>
      </w:r>
      <w:r>
        <w:rPr>
          <w:rFonts w:hint="eastAsia"/>
        </w:rPr>
        <w:t>，1</w:t>
      </w:r>
      <w:r>
        <w:t>25mm等板材厚度规格均需提供报价</w:t>
      </w:r>
    </w:p>
    <w:p w14:paraId="689C5C73">
      <w:pPr>
        <w:pStyle w:val="111"/>
        <w:jc w:val="left"/>
      </w:pPr>
      <w:r>
        <w:rPr>
          <w:rFonts w:hint="eastAsia"/>
        </w:rPr>
        <w:t>本内隔墙板系统关键参数技术要求见下表。</w:t>
      </w:r>
    </w:p>
    <w:p w14:paraId="5B5DE626">
      <w:pPr>
        <w:spacing w:line="360" w:lineRule="auto"/>
        <w:ind w:firstLine="180" w:firstLineChars="100"/>
        <w:jc w:val="left"/>
        <w:rPr>
          <w:rFonts w:ascii="黑体" w:hAnsi="黑体" w:cs="宋体"/>
          <w:kern w:val="0"/>
          <w:szCs w:val="18"/>
        </w:rPr>
      </w:pPr>
      <w:r>
        <w:rPr>
          <w:rFonts w:hint="eastAsia" w:ascii="黑体" w:hAnsi="黑体" w:cs="宋体"/>
          <w:kern w:val="0"/>
          <w:szCs w:val="18"/>
        </w:rPr>
        <w:t>表</w:t>
      </w:r>
      <w:r>
        <w:rPr>
          <w:rFonts w:ascii="黑体" w:hAnsi="黑体" w:cs="宋体"/>
          <w:kern w:val="0"/>
          <w:szCs w:val="18"/>
        </w:rPr>
        <w:t xml:space="preserve">1 </w:t>
      </w:r>
      <w:r>
        <w:rPr>
          <w:rFonts w:hint="eastAsia" w:ascii="黑体" w:hAnsi="黑体" w:cs="宋体"/>
          <w:kern w:val="0"/>
          <w:szCs w:val="18"/>
        </w:rPr>
        <w:t>内隔墙板系统技术要求表：</w:t>
      </w:r>
    </w:p>
    <w:tbl>
      <w:tblPr>
        <w:tblStyle w:val="1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5670"/>
      </w:tblGrid>
      <w:tr w14:paraId="6AFE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6C130B4C">
            <w:pPr>
              <w:spacing w:line="276" w:lineRule="auto"/>
              <w:jc w:val="left"/>
              <w:rPr>
                <w:rFonts w:ascii="黑体" w:hAnsi="黑体" w:cs="宋体"/>
                <w:bCs/>
                <w:kern w:val="0"/>
                <w:szCs w:val="18"/>
              </w:rPr>
            </w:pPr>
            <w:r>
              <w:rPr>
                <w:rFonts w:ascii="黑体" w:hAnsi="黑体" w:cs="宋体"/>
                <w:bCs/>
                <w:kern w:val="0"/>
                <w:szCs w:val="18"/>
              </w:rPr>
              <w:t>产品品类</w:t>
            </w:r>
          </w:p>
        </w:tc>
        <w:tc>
          <w:tcPr>
            <w:tcW w:w="5670" w:type="dxa"/>
          </w:tcPr>
          <w:p w14:paraId="7E9EC640">
            <w:pPr>
              <w:spacing w:line="276" w:lineRule="auto"/>
              <w:jc w:val="left"/>
              <w:rPr>
                <w:rFonts w:ascii="黑体" w:hAnsi="黑体" w:cs="宋体"/>
                <w:bCs/>
                <w:kern w:val="0"/>
                <w:szCs w:val="18"/>
              </w:rPr>
            </w:pPr>
            <w:r>
              <w:rPr>
                <w:rFonts w:hint="eastAsia" w:ascii="黑体" w:hAnsi="黑体" w:cs="宋体"/>
                <w:bCs/>
                <w:kern w:val="0"/>
                <w:szCs w:val="18"/>
              </w:rPr>
              <w:t>1</w:t>
            </w:r>
            <w:r>
              <w:rPr>
                <w:rFonts w:ascii="黑体" w:hAnsi="黑体" w:cs="宋体"/>
                <w:bCs/>
                <w:kern w:val="0"/>
                <w:szCs w:val="18"/>
              </w:rPr>
              <w:t>岩棉夹芯彩钢内隔墙板</w:t>
            </w:r>
          </w:p>
          <w:p w14:paraId="5B7DBDA8">
            <w:pPr>
              <w:spacing w:line="276" w:lineRule="auto"/>
              <w:jc w:val="left"/>
              <w:rPr>
                <w:rFonts w:ascii="黑体" w:hAnsi="黑体" w:cs="宋体"/>
                <w:bCs/>
                <w:kern w:val="0"/>
                <w:szCs w:val="18"/>
              </w:rPr>
            </w:pPr>
            <w:r>
              <w:rPr>
                <w:rFonts w:hint="eastAsia" w:ascii="黑体" w:hAnsi="黑体" w:cs="宋体"/>
                <w:bCs/>
                <w:kern w:val="0"/>
                <w:szCs w:val="18"/>
              </w:rPr>
              <w:t>2</w:t>
            </w:r>
            <w:r>
              <w:rPr>
                <w:rFonts w:ascii="黑体" w:hAnsi="黑体" w:cs="宋体"/>
                <w:bCs/>
                <w:kern w:val="0"/>
                <w:szCs w:val="18"/>
              </w:rPr>
              <w:t xml:space="preserve"> 岩棉夹芯双玻镁内隔墙板</w:t>
            </w:r>
          </w:p>
        </w:tc>
      </w:tr>
      <w:tr w14:paraId="4255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61C34423">
            <w:pPr>
              <w:spacing w:line="276" w:lineRule="auto"/>
              <w:jc w:val="left"/>
              <w:rPr>
                <w:rFonts w:ascii="黑体" w:hAnsi="黑体" w:cs="宋体"/>
                <w:bCs/>
                <w:kern w:val="0"/>
                <w:szCs w:val="18"/>
              </w:rPr>
            </w:pPr>
            <w:r>
              <w:rPr>
                <w:rFonts w:ascii="黑体" w:hAnsi="黑体" w:cs="宋体"/>
                <w:bCs/>
                <w:kern w:val="0"/>
                <w:szCs w:val="18"/>
              </w:rPr>
              <w:t>面层钢板厚度</w:t>
            </w:r>
          </w:p>
        </w:tc>
        <w:tc>
          <w:tcPr>
            <w:tcW w:w="5670" w:type="dxa"/>
          </w:tcPr>
          <w:p w14:paraId="2234A77B">
            <w:pPr>
              <w:spacing w:line="276" w:lineRule="auto"/>
              <w:jc w:val="left"/>
              <w:rPr>
                <w:rFonts w:ascii="黑体" w:hAnsi="黑体" w:cs="宋体"/>
                <w:bCs/>
                <w:kern w:val="0"/>
                <w:szCs w:val="18"/>
              </w:rPr>
            </w:pPr>
            <w:r>
              <w:rPr>
                <w:rFonts w:hint="eastAsia" w:ascii="黑体" w:hAnsi="黑体" w:cs="宋体"/>
                <w:bCs/>
                <w:kern w:val="0"/>
                <w:szCs w:val="18"/>
              </w:rPr>
              <w:t>如用于内墙板，厚度为0</w:t>
            </w:r>
            <w:r>
              <w:rPr>
                <w:rFonts w:ascii="黑体" w:hAnsi="黑体" w:cs="宋体"/>
                <w:bCs/>
                <w:kern w:val="0"/>
                <w:szCs w:val="18"/>
              </w:rPr>
              <w:t>.6mm</w:t>
            </w:r>
            <w:r>
              <w:rPr>
                <w:rFonts w:ascii="黑体" w:hAnsi="黑体" w:cs="宋体"/>
                <w:bCs/>
                <w:kern w:val="0"/>
                <w:szCs w:val="18"/>
              </w:rPr>
              <w:br w:type="textWrapping"/>
            </w:r>
            <w:r>
              <w:rPr>
                <w:rFonts w:ascii="黑体" w:hAnsi="黑体" w:cs="宋体"/>
                <w:bCs/>
                <w:kern w:val="0"/>
                <w:szCs w:val="18"/>
              </w:rPr>
              <w:t>如</w:t>
            </w:r>
            <w:r>
              <w:rPr>
                <w:rFonts w:hint="eastAsia" w:ascii="黑体" w:hAnsi="黑体" w:cs="宋体"/>
                <w:bCs/>
                <w:kern w:val="0"/>
                <w:szCs w:val="18"/>
              </w:rPr>
              <w:t>用于</w:t>
            </w:r>
            <w:r>
              <w:rPr>
                <w:rFonts w:ascii="黑体" w:hAnsi="黑体" w:cs="宋体"/>
                <w:bCs/>
                <w:kern w:val="0"/>
                <w:szCs w:val="18"/>
              </w:rPr>
              <w:t>外墙板</w:t>
            </w:r>
            <w:r>
              <w:rPr>
                <w:rFonts w:hint="eastAsia" w:ascii="黑体" w:hAnsi="黑体" w:cs="宋体"/>
                <w:bCs/>
                <w:kern w:val="0"/>
                <w:szCs w:val="18"/>
              </w:rPr>
              <w:t>，厚度为</w:t>
            </w:r>
            <w:r>
              <w:rPr>
                <w:rFonts w:ascii="黑体" w:hAnsi="黑体" w:cs="宋体"/>
                <w:bCs/>
                <w:kern w:val="0"/>
                <w:szCs w:val="18"/>
              </w:rPr>
              <w:t>0.8mm</w:t>
            </w:r>
          </w:p>
        </w:tc>
      </w:tr>
      <w:tr w14:paraId="4367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7E99DE40">
            <w:pPr>
              <w:spacing w:line="276" w:lineRule="auto"/>
              <w:jc w:val="left"/>
              <w:rPr>
                <w:rFonts w:ascii="黑体" w:hAnsi="黑体" w:cs="宋体"/>
                <w:bCs/>
                <w:kern w:val="0"/>
                <w:szCs w:val="18"/>
              </w:rPr>
            </w:pPr>
            <w:r>
              <w:rPr>
                <w:rFonts w:hint="eastAsia" w:ascii="黑体" w:hAnsi="黑体" w:cs="宋体"/>
                <w:bCs/>
                <w:kern w:val="0"/>
                <w:szCs w:val="18"/>
              </w:rPr>
              <w:t>面层涂料处理</w:t>
            </w:r>
          </w:p>
        </w:tc>
        <w:tc>
          <w:tcPr>
            <w:tcW w:w="5670" w:type="dxa"/>
          </w:tcPr>
          <w:p w14:paraId="4E93976F">
            <w:pPr>
              <w:spacing w:line="276" w:lineRule="auto"/>
              <w:jc w:val="left"/>
              <w:rPr>
                <w:rFonts w:ascii="黑体" w:hAnsi="黑体" w:cs="宋体"/>
                <w:bCs/>
                <w:kern w:val="0"/>
                <w:szCs w:val="18"/>
              </w:rPr>
            </w:pPr>
            <w:r>
              <w:rPr>
                <w:rFonts w:hint="eastAsia" w:ascii="黑体" w:hAnsi="黑体" w:cs="宋体"/>
                <w:bCs/>
                <w:kern w:val="0"/>
                <w:szCs w:val="18"/>
              </w:rPr>
              <w:t>如用于内墙板，做法为双面普通聚酯钢板涂料</w:t>
            </w:r>
            <w:r>
              <w:rPr>
                <w:rFonts w:ascii="黑体" w:hAnsi="黑体" w:cs="宋体"/>
                <w:bCs/>
                <w:kern w:val="0"/>
                <w:szCs w:val="18"/>
              </w:rPr>
              <w:t>(PE)</w:t>
            </w:r>
            <w:r>
              <w:rPr>
                <w:rFonts w:ascii="黑体" w:hAnsi="黑体" w:cs="宋体"/>
                <w:bCs/>
                <w:kern w:val="0"/>
                <w:szCs w:val="18"/>
              </w:rPr>
              <w:br w:type="textWrapping"/>
            </w:r>
            <w:r>
              <w:rPr>
                <w:rFonts w:ascii="黑体" w:hAnsi="黑体" w:cs="宋体"/>
                <w:bCs/>
                <w:kern w:val="0"/>
                <w:szCs w:val="18"/>
              </w:rPr>
              <w:t>如</w:t>
            </w:r>
            <w:r>
              <w:rPr>
                <w:rFonts w:hint="eastAsia" w:ascii="黑体" w:hAnsi="黑体" w:cs="宋体"/>
                <w:bCs/>
                <w:kern w:val="0"/>
                <w:szCs w:val="18"/>
              </w:rPr>
              <w:t>用于</w:t>
            </w:r>
            <w:r>
              <w:rPr>
                <w:rFonts w:ascii="黑体" w:hAnsi="黑体" w:cs="宋体"/>
                <w:bCs/>
                <w:kern w:val="0"/>
                <w:szCs w:val="18"/>
              </w:rPr>
              <w:t>外墙板</w:t>
            </w:r>
            <w:r>
              <w:rPr>
                <w:rFonts w:hint="eastAsia" w:ascii="黑体" w:hAnsi="黑体" w:cs="宋体"/>
                <w:bCs/>
                <w:kern w:val="0"/>
                <w:szCs w:val="18"/>
              </w:rPr>
              <w:t>，</w:t>
            </w:r>
            <w:r>
              <w:rPr>
                <w:rFonts w:ascii="黑体" w:hAnsi="黑体" w:cs="宋体"/>
                <w:bCs/>
                <w:kern w:val="0"/>
                <w:szCs w:val="18"/>
              </w:rPr>
              <w:t>则做法为外侧氟碳涂层钢板</w:t>
            </w:r>
            <w:r>
              <w:rPr>
                <w:rFonts w:hint="eastAsia" w:ascii="黑体" w:hAnsi="黑体" w:cs="宋体"/>
                <w:bCs/>
                <w:kern w:val="0"/>
                <w:szCs w:val="18"/>
              </w:rPr>
              <w:t>（P</w:t>
            </w:r>
            <w:r>
              <w:rPr>
                <w:rFonts w:ascii="黑体" w:hAnsi="黑体" w:cs="宋体"/>
                <w:bCs/>
                <w:kern w:val="0"/>
                <w:szCs w:val="18"/>
              </w:rPr>
              <w:t>VDF</w:t>
            </w:r>
            <w:r>
              <w:rPr>
                <w:rFonts w:hint="eastAsia" w:ascii="黑体" w:hAnsi="黑体" w:cs="宋体"/>
                <w:bCs/>
                <w:kern w:val="0"/>
                <w:szCs w:val="18"/>
              </w:rPr>
              <w:t>）,</w:t>
            </w:r>
            <w:r>
              <w:rPr>
                <w:rFonts w:ascii="黑体" w:hAnsi="黑体" w:cs="宋体"/>
                <w:bCs/>
                <w:kern w:val="0"/>
                <w:szCs w:val="18"/>
              </w:rPr>
              <w:t>内侧</w:t>
            </w:r>
            <w:r>
              <w:rPr>
                <w:rFonts w:hint="eastAsia" w:ascii="黑体" w:hAnsi="黑体" w:cs="宋体"/>
                <w:bCs/>
                <w:kern w:val="0"/>
                <w:szCs w:val="18"/>
              </w:rPr>
              <w:t>P</w:t>
            </w:r>
            <w:r>
              <w:rPr>
                <w:rFonts w:ascii="黑体" w:hAnsi="黑体" w:cs="宋体"/>
                <w:bCs/>
                <w:kern w:val="0"/>
                <w:szCs w:val="18"/>
              </w:rPr>
              <w:t>E</w:t>
            </w:r>
          </w:p>
          <w:p w14:paraId="79DA3140">
            <w:pPr>
              <w:spacing w:line="276" w:lineRule="auto"/>
              <w:jc w:val="left"/>
              <w:rPr>
                <w:rFonts w:ascii="黑体" w:hAnsi="黑体" w:cs="宋体"/>
                <w:bCs/>
                <w:kern w:val="0"/>
                <w:szCs w:val="18"/>
              </w:rPr>
            </w:pPr>
            <w:r>
              <w:rPr>
                <w:rFonts w:ascii="黑体" w:hAnsi="黑体" w:cs="宋体"/>
                <w:bCs/>
                <w:kern w:val="0"/>
                <w:szCs w:val="18"/>
              </w:rPr>
              <w:t>当用作</w:t>
            </w:r>
            <w:r>
              <w:rPr>
                <w:rFonts w:hint="eastAsia" w:ascii="黑体" w:hAnsi="黑体" w:cs="宋体"/>
                <w:bCs/>
                <w:kern w:val="0"/>
                <w:szCs w:val="18"/>
              </w:rPr>
              <w:t>P</w:t>
            </w:r>
            <w:r>
              <w:rPr>
                <w:rFonts w:ascii="黑体" w:hAnsi="黑体" w:cs="宋体"/>
                <w:bCs/>
                <w:kern w:val="0"/>
                <w:szCs w:val="18"/>
              </w:rPr>
              <w:t>E涂料时</w:t>
            </w:r>
            <w:r>
              <w:rPr>
                <w:rFonts w:hint="eastAsia" w:ascii="黑体" w:hAnsi="黑体" w:cs="宋体"/>
                <w:bCs/>
                <w:kern w:val="0"/>
                <w:szCs w:val="18"/>
              </w:rPr>
              <w:t>，面涂层≧</w:t>
            </w:r>
            <w:r>
              <w:rPr>
                <w:rFonts w:ascii="黑体" w:hAnsi="黑体" w:cs="宋体"/>
                <w:bCs/>
                <w:kern w:val="0"/>
                <w:szCs w:val="18"/>
              </w:rPr>
              <w:t>20um,背涂层≧5um</w:t>
            </w:r>
          </w:p>
        </w:tc>
      </w:tr>
      <w:tr w14:paraId="0FFA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01C19714">
            <w:pPr>
              <w:spacing w:line="276" w:lineRule="auto"/>
              <w:jc w:val="left"/>
              <w:rPr>
                <w:rFonts w:ascii="黑体" w:hAnsi="黑体" w:cs="宋体"/>
                <w:bCs/>
                <w:kern w:val="0"/>
                <w:szCs w:val="18"/>
              </w:rPr>
            </w:pPr>
            <w:r>
              <w:rPr>
                <w:rFonts w:hint="eastAsia" w:ascii="黑体" w:hAnsi="黑体" w:cs="宋体"/>
                <w:bCs/>
                <w:kern w:val="0"/>
                <w:szCs w:val="18"/>
              </w:rPr>
              <w:t>墙板四周边框处理</w:t>
            </w:r>
          </w:p>
        </w:tc>
        <w:tc>
          <w:tcPr>
            <w:tcW w:w="5670" w:type="dxa"/>
          </w:tcPr>
          <w:p w14:paraId="09854669">
            <w:pPr>
              <w:spacing w:line="276" w:lineRule="auto"/>
              <w:jc w:val="left"/>
              <w:rPr>
                <w:rFonts w:ascii="黑体" w:hAnsi="黑体" w:cs="宋体"/>
                <w:bCs/>
                <w:kern w:val="0"/>
                <w:szCs w:val="18"/>
              </w:rPr>
            </w:pPr>
            <w:r>
              <w:rPr>
                <w:rFonts w:hint="eastAsia" w:ascii="黑体" w:hAnsi="黑体" w:cs="宋体"/>
                <w:bCs/>
                <w:kern w:val="0"/>
                <w:szCs w:val="18"/>
              </w:rPr>
              <w:t>墙板四周≧</w:t>
            </w:r>
            <w:r>
              <w:rPr>
                <w:rFonts w:ascii="黑体" w:hAnsi="黑体" w:cs="宋体"/>
                <w:bCs/>
                <w:kern w:val="0"/>
                <w:szCs w:val="18"/>
              </w:rPr>
              <w:t>0.75mm镀锌边框，边框连接件为非回收阻燃ABS料</w:t>
            </w:r>
          </w:p>
        </w:tc>
      </w:tr>
      <w:tr w14:paraId="7739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01E4998E">
            <w:pPr>
              <w:spacing w:line="276" w:lineRule="auto"/>
              <w:jc w:val="left"/>
              <w:rPr>
                <w:rFonts w:ascii="黑体" w:hAnsi="黑体" w:cs="宋体"/>
                <w:bCs/>
                <w:kern w:val="0"/>
                <w:szCs w:val="18"/>
              </w:rPr>
            </w:pPr>
            <w:r>
              <w:rPr>
                <w:rFonts w:hint="eastAsia" w:ascii="黑体" w:hAnsi="黑体" w:cs="宋体"/>
                <w:bCs/>
                <w:kern w:val="0"/>
                <w:szCs w:val="18"/>
              </w:rPr>
              <w:t>面层涂料层使用寿命</w:t>
            </w:r>
          </w:p>
        </w:tc>
        <w:tc>
          <w:tcPr>
            <w:tcW w:w="5670" w:type="dxa"/>
          </w:tcPr>
          <w:p w14:paraId="4DFBC3BE">
            <w:pPr>
              <w:spacing w:line="276" w:lineRule="auto"/>
              <w:jc w:val="left"/>
              <w:rPr>
                <w:rFonts w:ascii="黑体" w:hAnsi="黑体" w:cs="Arial"/>
                <w:kern w:val="0"/>
                <w:szCs w:val="18"/>
              </w:rPr>
            </w:pPr>
            <w:r>
              <w:rPr>
                <w:rFonts w:ascii="黑体" w:hAnsi="黑体" w:cs="Arial"/>
                <w:kern w:val="0"/>
                <w:szCs w:val="18"/>
              </w:rPr>
              <w:t>PVDF（氟碳涂层）使用寿命不低于20年</w:t>
            </w:r>
          </w:p>
          <w:p w14:paraId="043C6AA3">
            <w:pPr>
              <w:spacing w:line="276" w:lineRule="auto"/>
              <w:jc w:val="left"/>
              <w:rPr>
                <w:rFonts w:ascii="黑体" w:hAnsi="黑体" w:cs="Arial"/>
                <w:kern w:val="0"/>
                <w:szCs w:val="18"/>
              </w:rPr>
            </w:pPr>
            <w:r>
              <w:rPr>
                <w:rFonts w:ascii="黑体" w:hAnsi="黑体" w:cs="Arial"/>
                <w:kern w:val="0"/>
                <w:szCs w:val="18"/>
              </w:rPr>
              <w:t>HDP(高耐候涂层)使用寿命不低于15年</w:t>
            </w:r>
          </w:p>
          <w:p w14:paraId="3D16F63F">
            <w:pPr>
              <w:spacing w:line="276" w:lineRule="auto"/>
              <w:jc w:val="left"/>
              <w:rPr>
                <w:rFonts w:ascii="黑体" w:hAnsi="黑体" w:cs="宋体"/>
                <w:bCs/>
                <w:kern w:val="0"/>
                <w:szCs w:val="18"/>
              </w:rPr>
            </w:pPr>
            <w:r>
              <w:rPr>
                <w:rFonts w:ascii="黑体" w:hAnsi="黑体" w:cs="Arial"/>
                <w:kern w:val="0"/>
                <w:szCs w:val="18"/>
              </w:rPr>
              <w:t>PE（聚酯涂层）使用寿命不低于10年</w:t>
            </w:r>
          </w:p>
        </w:tc>
      </w:tr>
      <w:tr w14:paraId="2692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480173E5">
            <w:pPr>
              <w:spacing w:line="276" w:lineRule="auto"/>
              <w:jc w:val="left"/>
              <w:rPr>
                <w:rFonts w:ascii="黑体" w:hAnsi="黑体" w:cs="宋体"/>
                <w:bCs/>
                <w:kern w:val="0"/>
                <w:szCs w:val="18"/>
              </w:rPr>
            </w:pPr>
            <w:r>
              <w:rPr>
                <w:rFonts w:ascii="黑体" w:hAnsi="黑体" w:cs="宋体"/>
                <w:bCs/>
                <w:kern w:val="0"/>
                <w:szCs w:val="18"/>
              </w:rPr>
              <w:t>面层钢板参考厂家</w:t>
            </w:r>
          </w:p>
        </w:tc>
        <w:tc>
          <w:tcPr>
            <w:tcW w:w="5670" w:type="dxa"/>
          </w:tcPr>
          <w:p w14:paraId="2BF4B145">
            <w:pPr>
              <w:spacing w:line="276" w:lineRule="auto"/>
              <w:jc w:val="left"/>
              <w:rPr>
                <w:rFonts w:ascii="黑体" w:hAnsi="黑体" w:cs="宋体"/>
                <w:bCs/>
                <w:kern w:val="0"/>
                <w:szCs w:val="18"/>
              </w:rPr>
            </w:pPr>
            <w:r>
              <w:rPr>
                <w:rFonts w:hint="eastAsia" w:ascii="黑体" w:hAnsi="黑体" w:cs="宋体"/>
                <w:bCs/>
                <w:kern w:val="0"/>
                <w:szCs w:val="18"/>
              </w:rPr>
              <w:t>投标方可自行推荐，但最终钢板厂家应经发包人考察或认可</w:t>
            </w:r>
          </w:p>
        </w:tc>
      </w:tr>
      <w:tr w14:paraId="4277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4ACA8FEC">
            <w:pPr>
              <w:spacing w:line="276" w:lineRule="auto"/>
              <w:jc w:val="left"/>
              <w:rPr>
                <w:rFonts w:ascii="黑体" w:hAnsi="黑体" w:cs="宋体"/>
                <w:bCs/>
                <w:kern w:val="0"/>
                <w:szCs w:val="18"/>
              </w:rPr>
            </w:pPr>
            <w:r>
              <w:rPr>
                <w:rFonts w:ascii="黑体" w:hAnsi="黑体" w:cs="宋体"/>
                <w:bCs/>
                <w:kern w:val="0"/>
                <w:szCs w:val="18"/>
              </w:rPr>
              <w:t>基板类型</w:t>
            </w:r>
          </w:p>
        </w:tc>
        <w:tc>
          <w:tcPr>
            <w:tcW w:w="5670" w:type="dxa"/>
          </w:tcPr>
          <w:p w14:paraId="3CB2A0E5">
            <w:pPr>
              <w:spacing w:line="276" w:lineRule="auto"/>
              <w:jc w:val="left"/>
              <w:rPr>
                <w:rFonts w:ascii="黑体" w:hAnsi="黑体" w:cs="宋体"/>
                <w:bCs/>
                <w:kern w:val="0"/>
                <w:szCs w:val="18"/>
              </w:rPr>
            </w:pPr>
            <w:r>
              <w:rPr>
                <w:rFonts w:hint="eastAsia" w:ascii="黑体" w:hAnsi="黑体" w:cs="宋体"/>
                <w:bCs/>
                <w:kern w:val="0"/>
                <w:szCs w:val="18"/>
              </w:rPr>
              <w:t>热镀锌/热镀锌铝</w:t>
            </w:r>
          </w:p>
        </w:tc>
      </w:tr>
      <w:tr w14:paraId="514B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5E728555">
            <w:pPr>
              <w:spacing w:line="276" w:lineRule="auto"/>
              <w:jc w:val="left"/>
              <w:rPr>
                <w:rFonts w:ascii="黑体" w:hAnsi="黑体" w:cs="宋体"/>
                <w:bCs/>
                <w:kern w:val="0"/>
                <w:szCs w:val="18"/>
              </w:rPr>
            </w:pPr>
            <w:r>
              <w:rPr>
                <w:rFonts w:ascii="黑体" w:hAnsi="黑体" w:cs="宋体"/>
                <w:bCs/>
                <w:kern w:val="0"/>
                <w:szCs w:val="18"/>
              </w:rPr>
              <w:t>基板标准镀锌量</w:t>
            </w:r>
          </w:p>
        </w:tc>
        <w:tc>
          <w:tcPr>
            <w:tcW w:w="5670" w:type="dxa"/>
          </w:tcPr>
          <w:p w14:paraId="6F3479DD">
            <w:pPr>
              <w:spacing w:line="276" w:lineRule="auto"/>
              <w:jc w:val="left"/>
              <w:rPr>
                <w:rFonts w:ascii="黑体" w:hAnsi="黑体" w:cs="宋体"/>
                <w:bCs/>
                <w:kern w:val="0"/>
                <w:szCs w:val="18"/>
              </w:rPr>
            </w:pPr>
            <w:r>
              <w:rPr>
                <w:rFonts w:hint="eastAsia" w:ascii="黑体" w:hAnsi="黑体" w:cs="宋体"/>
                <w:bCs/>
                <w:kern w:val="0"/>
                <w:szCs w:val="18"/>
              </w:rPr>
              <w:t>如用于内墙板，</w:t>
            </w:r>
            <w:r>
              <w:rPr>
                <w:rFonts w:ascii="黑体" w:hAnsi="黑体" w:cs="宋体"/>
                <w:bCs/>
                <w:kern w:val="0"/>
                <w:szCs w:val="18"/>
              </w:rPr>
              <w:t>120</w:t>
            </w:r>
            <w:r>
              <w:rPr>
                <w:rFonts w:hint="eastAsia" w:ascii="黑体" w:hAnsi="黑体" w:cs="宋体"/>
                <w:bCs/>
                <w:kern w:val="0"/>
                <w:szCs w:val="18"/>
              </w:rPr>
              <w:t>-1</w:t>
            </w:r>
            <w:r>
              <w:rPr>
                <w:rFonts w:ascii="黑体" w:hAnsi="黑体" w:cs="宋体"/>
                <w:bCs/>
                <w:kern w:val="0"/>
                <w:szCs w:val="18"/>
              </w:rPr>
              <w:t>50g/㎡</w:t>
            </w:r>
            <w:r>
              <w:rPr>
                <w:rFonts w:hint="eastAsia" w:ascii="黑体" w:hAnsi="黑体" w:cs="宋体"/>
                <w:bCs/>
                <w:kern w:val="0"/>
                <w:szCs w:val="18"/>
              </w:rPr>
              <w:t>（双面）</w:t>
            </w:r>
            <w:r>
              <w:rPr>
                <w:rFonts w:ascii="黑体" w:hAnsi="黑体" w:cs="宋体"/>
                <w:bCs/>
                <w:kern w:val="0"/>
                <w:szCs w:val="18"/>
              </w:rPr>
              <w:br w:type="textWrapping"/>
            </w:r>
            <w:r>
              <w:rPr>
                <w:rFonts w:ascii="黑体" w:hAnsi="黑体" w:cs="宋体"/>
                <w:bCs/>
                <w:kern w:val="0"/>
                <w:szCs w:val="18"/>
              </w:rPr>
              <w:t>如</w:t>
            </w:r>
            <w:r>
              <w:rPr>
                <w:rFonts w:hint="eastAsia" w:ascii="黑体" w:hAnsi="黑体" w:cs="宋体"/>
                <w:bCs/>
                <w:kern w:val="0"/>
                <w:szCs w:val="18"/>
              </w:rPr>
              <w:t>用于</w:t>
            </w:r>
            <w:r>
              <w:rPr>
                <w:rFonts w:ascii="黑体" w:hAnsi="黑体" w:cs="宋体"/>
                <w:bCs/>
                <w:kern w:val="0"/>
                <w:szCs w:val="18"/>
              </w:rPr>
              <w:t>外墙板</w:t>
            </w:r>
            <w:r>
              <w:rPr>
                <w:rFonts w:hint="eastAsia" w:ascii="黑体" w:hAnsi="黑体" w:cs="宋体"/>
                <w:bCs/>
                <w:kern w:val="0"/>
                <w:szCs w:val="18"/>
              </w:rPr>
              <w:t>，1</w:t>
            </w:r>
            <w:r>
              <w:rPr>
                <w:rFonts w:ascii="黑体" w:hAnsi="黑体" w:cs="宋体"/>
                <w:bCs/>
                <w:kern w:val="0"/>
                <w:szCs w:val="18"/>
              </w:rPr>
              <w:t>50</w:t>
            </w:r>
            <w:r>
              <w:rPr>
                <w:rFonts w:hint="eastAsia" w:ascii="黑体" w:hAnsi="黑体" w:cs="宋体"/>
                <w:bCs/>
                <w:kern w:val="0"/>
                <w:szCs w:val="18"/>
              </w:rPr>
              <w:t>-</w:t>
            </w:r>
            <w:r>
              <w:rPr>
                <w:rFonts w:ascii="黑体" w:hAnsi="黑体" w:cs="宋体"/>
                <w:bCs/>
                <w:kern w:val="0"/>
                <w:szCs w:val="18"/>
              </w:rPr>
              <w:t>180 g/㎡</w:t>
            </w:r>
            <w:r>
              <w:rPr>
                <w:rFonts w:hint="eastAsia" w:ascii="黑体" w:hAnsi="黑体" w:cs="宋体"/>
                <w:bCs/>
                <w:kern w:val="0"/>
                <w:szCs w:val="18"/>
              </w:rPr>
              <w:t>（双面）</w:t>
            </w:r>
          </w:p>
        </w:tc>
      </w:tr>
      <w:tr w14:paraId="6BE4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0C25D777">
            <w:pPr>
              <w:spacing w:line="276" w:lineRule="auto"/>
              <w:jc w:val="left"/>
              <w:rPr>
                <w:rFonts w:ascii="黑体" w:hAnsi="黑体" w:cs="宋体"/>
                <w:bCs/>
                <w:kern w:val="0"/>
                <w:szCs w:val="18"/>
              </w:rPr>
            </w:pPr>
            <w:r>
              <w:rPr>
                <w:rFonts w:ascii="黑体" w:hAnsi="黑体" w:cs="宋体"/>
                <w:bCs/>
                <w:kern w:val="0"/>
                <w:szCs w:val="18"/>
              </w:rPr>
              <w:t>玻镁板厚度</w:t>
            </w:r>
          </w:p>
        </w:tc>
        <w:tc>
          <w:tcPr>
            <w:tcW w:w="5670" w:type="dxa"/>
          </w:tcPr>
          <w:p w14:paraId="04A452DA">
            <w:pPr>
              <w:spacing w:line="276" w:lineRule="auto"/>
              <w:jc w:val="left"/>
              <w:rPr>
                <w:rFonts w:ascii="黑体" w:hAnsi="黑体" w:cs="宋体"/>
                <w:bCs/>
                <w:kern w:val="0"/>
                <w:szCs w:val="18"/>
              </w:rPr>
            </w:pPr>
            <w:r>
              <w:rPr>
                <w:rFonts w:hint="eastAsia" w:ascii="黑体" w:hAnsi="黑体" w:cs="宋体"/>
                <w:bCs/>
                <w:kern w:val="0"/>
                <w:szCs w:val="18"/>
              </w:rPr>
              <w:t>双面</w:t>
            </w:r>
            <w:r>
              <w:rPr>
                <w:rFonts w:ascii="黑体" w:hAnsi="黑体" w:cs="宋体"/>
                <w:bCs/>
                <w:kern w:val="0"/>
                <w:szCs w:val="18"/>
              </w:rPr>
              <w:t>5mm玻镁板</w:t>
            </w:r>
          </w:p>
        </w:tc>
      </w:tr>
      <w:tr w14:paraId="2C8F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577C6209">
            <w:pPr>
              <w:spacing w:line="276" w:lineRule="auto"/>
              <w:jc w:val="left"/>
              <w:rPr>
                <w:rFonts w:ascii="黑体" w:hAnsi="黑体" w:cs="宋体"/>
                <w:bCs/>
                <w:kern w:val="0"/>
                <w:szCs w:val="18"/>
              </w:rPr>
            </w:pPr>
            <w:r>
              <w:rPr>
                <w:rFonts w:ascii="黑体" w:hAnsi="黑体" w:cs="宋体"/>
                <w:bCs/>
                <w:kern w:val="0"/>
                <w:szCs w:val="18"/>
              </w:rPr>
              <w:t>岩棉容重</w:t>
            </w:r>
          </w:p>
        </w:tc>
        <w:tc>
          <w:tcPr>
            <w:tcW w:w="5670" w:type="dxa"/>
          </w:tcPr>
          <w:p w14:paraId="3BF29D62">
            <w:pPr>
              <w:spacing w:line="276" w:lineRule="auto"/>
              <w:jc w:val="left"/>
              <w:rPr>
                <w:rFonts w:ascii="黑体" w:hAnsi="黑体" w:cs="宋体"/>
                <w:bCs/>
                <w:kern w:val="0"/>
                <w:szCs w:val="18"/>
              </w:rPr>
            </w:pPr>
            <w:r>
              <w:rPr>
                <w:rFonts w:hint="eastAsia" w:ascii="黑体" w:hAnsi="黑体" w:cs="宋体"/>
                <w:bCs/>
                <w:kern w:val="0"/>
                <w:szCs w:val="18"/>
              </w:rPr>
              <w:t>1</w:t>
            </w:r>
            <w:r>
              <w:rPr>
                <w:rFonts w:ascii="黑体" w:hAnsi="黑体" w:cs="宋体"/>
                <w:bCs/>
                <w:kern w:val="0"/>
                <w:szCs w:val="18"/>
              </w:rPr>
              <w:t>00mm厚内</w:t>
            </w:r>
            <w:r>
              <w:rPr>
                <w:rFonts w:hint="eastAsia" w:ascii="黑体" w:hAnsi="黑体" w:cs="宋体"/>
                <w:bCs/>
                <w:kern w:val="0"/>
                <w:szCs w:val="18"/>
              </w:rPr>
              <w:t>隔墙</w:t>
            </w:r>
            <w:r>
              <w:rPr>
                <w:rFonts w:ascii="黑体" w:hAnsi="黑体" w:cs="宋体"/>
                <w:bCs/>
                <w:kern w:val="0"/>
                <w:szCs w:val="18"/>
              </w:rPr>
              <w:t>板</w:t>
            </w:r>
            <w:r>
              <w:rPr>
                <w:rFonts w:hint="eastAsia" w:ascii="黑体" w:hAnsi="黑体" w:cs="宋体"/>
                <w:bCs/>
                <w:kern w:val="0"/>
                <w:szCs w:val="18"/>
              </w:rPr>
              <w:t>1</w:t>
            </w:r>
            <w:r>
              <w:rPr>
                <w:rFonts w:ascii="黑体" w:hAnsi="黑体" w:cs="宋体"/>
                <w:bCs/>
                <w:kern w:val="0"/>
                <w:szCs w:val="18"/>
              </w:rPr>
              <w:t>20kg/m</w:t>
            </w:r>
            <w:r>
              <w:rPr>
                <w:rFonts w:ascii="Calibri" w:hAnsi="Calibri" w:cs="Calibri"/>
                <w:bCs/>
                <w:kern w:val="0"/>
                <w:szCs w:val="18"/>
              </w:rPr>
              <w:t>³</w:t>
            </w:r>
            <w:r>
              <w:rPr>
                <w:rFonts w:hint="eastAsia" w:ascii="黑体" w:hAnsi="黑体" w:cs="宋体"/>
                <w:bCs/>
                <w:kern w:val="0"/>
                <w:szCs w:val="18"/>
              </w:rPr>
              <w:t>，</w:t>
            </w:r>
          </w:p>
          <w:p w14:paraId="4EF611D7">
            <w:pPr>
              <w:spacing w:line="276" w:lineRule="auto"/>
              <w:jc w:val="left"/>
              <w:rPr>
                <w:rFonts w:ascii="黑体" w:hAnsi="黑体" w:cs="宋体"/>
                <w:bCs/>
                <w:kern w:val="0"/>
                <w:szCs w:val="18"/>
              </w:rPr>
            </w:pPr>
            <w:r>
              <w:rPr>
                <w:rFonts w:ascii="黑体" w:hAnsi="黑体" w:cs="宋体"/>
                <w:bCs/>
                <w:kern w:val="0"/>
                <w:szCs w:val="18"/>
              </w:rPr>
              <w:t>其他厚度或用于外墙板</w:t>
            </w:r>
            <w:r>
              <w:rPr>
                <w:rFonts w:hint="eastAsia" w:ascii="黑体" w:hAnsi="黑体" w:cs="宋体"/>
                <w:bCs/>
                <w:kern w:val="0"/>
                <w:szCs w:val="18"/>
              </w:rPr>
              <w:t>如有变化，需注明</w:t>
            </w:r>
          </w:p>
        </w:tc>
      </w:tr>
      <w:tr w14:paraId="5E64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067314CB">
            <w:pPr>
              <w:spacing w:line="276" w:lineRule="auto"/>
              <w:jc w:val="left"/>
              <w:rPr>
                <w:rFonts w:ascii="黑体" w:hAnsi="黑体" w:cs="宋体"/>
                <w:bCs/>
                <w:kern w:val="0"/>
                <w:szCs w:val="18"/>
              </w:rPr>
            </w:pPr>
            <w:r>
              <w:rPr>
                <w:rFonts w:ascii="黑体" w:hAnsi="黑体" w:cs="宋体"/>
                <w:bCs/>
                <w:kern w:val="0"/>
                <w:szCs w:val="18"/>
              </w:rPr>
              <w:t>岩棉品牌</w:t>
            </w:r>
          </w:p>
        </w:tc>
        <w:tc>
          <w:tcPr>
            <w:tcW w:w="5670" w:type="dxa"/>
          </w:tcPr>
          <w:p w14:paraId="7B6A6E92">
            <w:pPr>
              <w:spacing w:line="276" w:lineRule="auto"/>
              <w:jc w:val="left"/>
              <w:rPr>
                <w:rFonts w:ascii="黑体" w:hAnsi="黑体" w:cs="宋体"/>
                <w:bCs/>
                <w:kern w:val="0"/>
                <w:szCs w:val="18"/>
              </w:rPr>
            </w:pPr>
            <w:r>
              <w:rPr>
                <w:rFonts w:hint="eastAsia" w:ascii="黑体" w:hAnsi="黑体" w:cs="宋体"/>
                <w:bCs/>
                <w:kern w:val="0"/>
                <w:szCs w:val="18"/>
              </w:rPr>
              <w:t>投标方可自行推荐，但最终岩棉厂家应经发包人考察或认可</w:t>
            </w:r>
          </w:p>
        </w:tc>
      </w:tr>
      <w:tr w14:paraId="7BA6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53AC8C03">
            <w:pPr>
              <w:spacing w:line="276" w:lineRule="auto"/>
              <w:jc w:val="left"/>
              <w:rPr>
                <w:rFonts w:ascii="黑体" w:hAnsi="黑体" w:cs="宋体"/>
                <w:bCs/>
                <w:kern w:val="0"/>
                <w:szCs w:val="18"/>
              </w:rPr>
            </w:pPr>
            <w:r>
              <w:rPr>
                <w:rFonts w:hint="eastAsia" w:ascii="黑体" w:hAnsi="黑体" w:cs="宋体"/>
                <w:bCs/>
                <w:kern w:val="0"/>
                <w:szCs w:val="18"/>
              </w:rPr>
              <w:t>成品板材尺寸</w:t>
            </w:r>
          </w:p>
        </w:tc>
        <w:tc>
          <w:tcPr>
            <w:tcW w:w="5670" w:type="dxa"/>
          </w:tcPr>
          <w:p w14:paraId="6957A356">
            <w:pPr>
              <w:spacing w:line="276" w:lineRule="auto"/>
              <w:jc w:val="left"/>
              <w:rPr>
                <w:rFonts w:ascii="黑体" w:hAnsi="黑体" w:cs="宋体"/>
                <w:bCs/>
                <w:kern w:val="0"/>
                <w:szCs w:val="18"/>
              </w:rPr>
            </w:pPr>
            <w:r>
              <w:rPr>
                <w:rFonts w:hint="eastAsia" w:ascii="黑体" w:hAnsi="黑体" w:cs="宋体"/>
                <w:bCs/>
                <w:kern w:val="0"/>
                <w:szCs w:val="18"/>
              </w:rPr>
              <w:t>宽度约1</w:t>
            </w:r>
            <w:r>
              <w:rPr>
                <w:rFonts w:ascii="黑体" w:hAnsi="黑体" w:cs="宋体"/>
                <w:bCs/>
                <w:kern w:val="0"/>
                <w:szCs w:val="18"/>
              </w:rPr>
              <w:t>000mm</w:t>
            </w:r>
            <w:r>
              <w:rPr>
                <w:rFonts w:hint="eastAsia" w:ascii="黑体" w:hAnsi="黑体" w:cs="宋体"/>
                <w:bCs/>
                <w:kern w:val="0"/>
                <w:szCs w:val="18"/>
              </w:rPr>
              <w:t>，</w:t>
            </w:r>
            <w:r>
              <w:rPr>
                <w:rFonts w:ascii="黑体" w:hAnsi="黑体" w:cs="宋体"/>
                <w:bCs/>
                <w:kern w:val="0"/>
                <w:szCs w:val="18"/>
              </w:rPr>
              <w:t>高度约</w:t>
            </w:r>
            <w:r>
              <w:rPr>
                <w:rFonts w:hint="eastAsia" w:ascii="黑体" w:hAnsi="黑体" w:cs="宋体"/>
                <w:bCs/>
                <w:kern w:val="0"/>
                <w:szCs w:val="18"/>
              </w:rPr>
              <w:t>7</w:t>
            </w:r>
            <w:r>
              <w:rPr>
                <w:rFonts w:ascii="黑体" w:hAnsi="黑体" w:cs="宋体"/>
                <w:bCs/>
                <w:kern w:val="0"/>
                <w:szCs w:val="18"/>
              </w:rPr>
              <w:t>000mm</w:t>
            </w:r>
            <w:r>
              <w:rPr>
                <w:rFonts w:hint="eastAsia" w:ascii="黑体" w:hAnsi="黑体" w:cs="宋体"/>
                <w:bCs/>
                <w:kern w:val="0"/>
                <w:szCs w:val="18"/>
              </w:rPr>
              <w:t>，</w:t>
            </w:r>
            <w:r>
              <w:rPr>
                <w:rFonts w:ascii="黑体" w:hAnsi="黑体" w:cs="宋体"/>
                <w:bCs/>
                <w:kern w:val="0"/>
                <w:szCs w:val="18"/>
              </w:rPr>
              <w:t>竖板</w:t>
            </w:r>
            <w:r>
              <w:rPr>
                <w:rFonts w:hint="eastAsia" w:ascii="黑体" w:hAnsi="黑体" w:cs="宋体"/>
                <w:bCs/>
                <w:kern w:val="0"/>
                <w:szCs w:val="18"/>
              </w:rPr>
              <w:t>（并注明最大单板高度可做到多少，内部是否需要龙骨钢架等补强，如需补强，注明超过多少尺寸高度后需补强）</w:t>
            </w:r>
          </w:p>
        </w:tc>
      </w:tr>
      <w:tr w14:paraId="1213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43816DCA">
            <w:pPr>
              <w:spacing w:line="276" w:lineRule="auto"/>
              <w:jc w:val="left"/>
              <w:rPr>
                <w:rFonts w:ascii="黑体" w:hAnsi="黑体" w:cs="宋体"/>
                <w:bCs/>
                <w:kern w:val="0"/>
                <w:szCs w:val="18"/>
              </w:rPr>
            </w:pPr>
            <w:r>
              <w:rPr>
                <w:rFonts w:hint="eastAsia" w:ascii="黑体" w:hAnsi="黑体" w:cs="宋体"/>
                <w:bCs/>
                <w:kern w:val="0"/>
                <w:szCs w:val="18"/>
              </w:rPr>
              <w:t>安装固定方式</w:t>
            </w:r>
          </w:p>
        </w:tc>
        <w:tc>
          <w:tcPr>
            <w:tcW w:w="5670" w:type="dxa"/>
          </w:tcPr>
          <w:p w14:paraId="6C89CA0A">
            <w:pPr>
              <w:spacing w:line="276" w:lineRule="auto"/>
              <w:jc w:val="left"/>
              <w:rPr>
                <w:rFonts w:ascii="黑体" w:hAnsi="黑体" w:cs="宋体"/>
                <w:bCs/>
                <w:kern w:val="0"/>
                <w:szCs w:val="18"/>
              </w:rPr>
            </w:pPr>
            <w:r>
              <w:rPr>
                <w:rFonts w:hint="eastAsia" w:ascii="黑体" w:hAnsi="黑体" w:cs="宋体"/>
                <w:bCs/>
                <w:kern w:val="0"/>
                <w:szCs w:val="18"/>
              </w:rPr>
              <w:t>板材上下端可以槽铝/角铝等形式快速安装固定</w:t>
            </w:r>
          </w:p>
          <w:p w14:paraId="6F82AF1D">
            <w:pPr>
              <w:spacing w:line="276" w:lineRule="auto"/>
              <w:jc w:val="left"/>
              <w:rPr>
                <w:rFonts w:ascii="黑体" w:hAnsi="黑体" w:cs="宋体"/>
                <w:bCs/>
                <w:kern w:val="0"/>
                <w:szCs w:val="18"/>
              </w:rPr>
            </w:pPr>
            <w:r>
              <w:rPr>
                <w:rFonts w:ascii="黑体" w:hAnsi="黑体" w:cs="宋体"/>
                <w:bCs/>
                <w:kern w:val="0"/>
                <w:szCs w:val="18"/>
              </w:rPr>
              <w:t>厂家注明板材间</w:t>
            </w:r>
            <w:r>
              <w:rPr>
                <w:rFonts w:hint="eastAsia" w:ascii="黑体" w:hAnsi="黑体" w:cs="宋体"/>
                <w:bCs/>
                <w:kern w:val="0"/>
                <w:szCs w:val="18"/>
              </w:rPr>
              <w:t>插接</w:t>
            </w:r>
            <w:r>
              <w:rPr>
                <w:rFonts w:ascii="黑体" w:hAnsi="黑体" w:cs="宋体"/>
                <w:bCs/>
                <w:kern w:val="0"/>
                <w:szCs w:val="18"/>
              </w:rPr>
              <w:t>形式</w:t>
            </w:r>
            <w:r>
              <w:rPr>
                <w:rFonts w:hint="eastAsia" w:ascii="黑体" w:hAnsi="黑体" w:cs="宋体"/>
                <w:bCs/>
                <w:kern w:val="0"/>
                <w:szCs w:val="18"/>
              </w:rPr>
              <w:t>，</w:t>
            </w:r>
            <w:r>
              <w:rPr>
                <w:rFonts w:ascii="黑体" w:hAnsi="黑体" w:cs="宋体"/>
                <w:bCs/>
                <w:kern w:val="0"/>
                <w:szCs w:val="18"/>
              </w:rPr>
              <w:t>注明相应五金紧固件级配</w:t>
            </w:r>
          </w:p>
        </w:tc>
      </w:tr>
      <w:tr w14:paraId="3E56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5F5D924A">
            <w:pPr>
              <w:spacing w:line="276" w:lineRule="auto"/>
              <w:jc w:val="left"/>
              <w:rPr>
                <w:rFonts w:ascii="黑体" w:hAnsi="黑体" w:cs="宋体"/>
                <w:bCs/>
                <w:kern w:val="0"/>
                <w:szCs w:val="18"/>
              </w:rPr>
            </w:pPr>
            <w:r>
              <w:rPr>
                <w:rFonts w:hint="eastAsia" w:ascii="黑体" w:hAnsi="黑体" w:cs="宋体"/>
                <w:bCs/>
                <w:kern w:val="0"/>
                <w:szCs w:val="18"/>
              </w:rPr>
              <w:t>耐火极限</w:t>
            </w:r>
          </w:p>
        </w:tc>
        <w:tc>
          <w:tcPr>
            <w:tcW w:w="5670" w:type="dxa"/>
          </w:tcPr>
          <w:p w14:paraId="25E12198">
            <w:pPr>
              <w:spacing w:line="276" w:lineRule="auto"/>
              <w:jc w:val="left"/>
              <w:rPr>
                <w:rFonts w:ascii="黑体" w:hAnsi="黑体" w:cs="宋体"/>
                <w:bCs/>
                <w:kern w:val="0"/>
                <w:szCs w:val="18"/>
              </w:rPr>
            </w:pPr>
            <w:r>
              <w:rPr>
                <w:rFonts w:hint="eastAsia" w:ascii="黑体" w:hAnsi="黑体" w:cs="宋体"/>
                <w:bCs/>
                <w:kern w:val="0"/>
                <w:szCs w:val="18"/>
              </w:rPr>
              <w:t>1</w:t>
            </w:r>
            <w:r>
              <w:rPr>
                <w:rFonts w:ascii="黑体" w:hAnsi="黑体" w:cs="宋体"/>
                <w:bCs/>
                <w:kern w:val="0"/>
                <w:szCs w:val="18"/>
              </w:rPr>
              <w:t>00mm及以上厚度岩棉夹芯彩钢板</w:t>
            </w:r>
          </w:p>
          <w:p w14:paraId="0072A21D">
            <w:pPr>
              <w:spacing w:line="276" w:lineRule="auto"/>
              <w:jc w:val="left"/>
              <w:rPr>
                <w:rFonts w:ascii="黑体" w:hAnsi="黑体" w:cs="宋体"/>
                <w:bCs/>
                <w:kern w:val="0"/>
                <w:szCs w:val="18"/>
              </w:rPr>
            </w:pPr>
            <w:r>
              <w:rPr>
                <w:rFonts w:hint="eastAsia" w:ascii="黑体" w:hAnsi="黑体" w:cs="宋体"/>
                <w:bCs/>
                <w:kern w:val="0"/>
                <w:szCs w:val="18"/>
              </w:rPr>
              <w:t>7</w:t>
            </w:r>
            <w:r>
              <w:rPr>
                <w:rFonts w:ascii="黑体" w:hAnsi="黑体" w:cs="宋体"/>
                <w:bCs/>
                <w:kern w:val="0"/>
                <w:szCs w:val="18"/>
              </w:rPr>
              <w:t>5mm及以上厚度岩棉夹芯双玻镁板</w:t>
            </w:r>
            <w:r>
              <w:rPr>
                <w:rFonts w:hint="eastAsia" w:ascii="黑体" w:hAnsi="黑体" w:cs="宋体"/>
                <w:bCs/>
                <w:kern w:val="0"/>
                <w:szCs w:val="18"/>
              </w:rPr>
              <w:t>耐火极限需达2</w:t>
            </w:r>
            <w:r>
              <w:rPr>
                <w:rFonts w:ascii="黑体" w:hAnsi="黑体" w:cs="宋体"/>
                <w:bCs/>
                <w:kern w:val="0"/>
                <w:szCs w:val="18"/>
              </w:rPr>
              <w:t>.0h</w:t>
            </w:r>
            <w:r>
              <w:rPr>
                <w:rFonts w:hint="eastAsia" w:ascii="黑体" w:hAnsi="黑体" w:cs="宋体"/>
                <w:bCs/>
                <w:kern w:val="0"/>
                <w:szCs w:val="18"/>
              </w:rPr>
              <w:t>，</w:t>
            </w:r>
            <w:r>
              <w:rPr>
                <w:rFonts w:ascii="黑体" w:hAnsi="黑体" w:cs="宋体"/>
                <w:bCs/>
                <w:kern w:val="0"/>
                <w:szCs w:val="18"/>
              </w:rPr>
              <w:t>并提供相应检测报告</w:t>
            </w:r>
          </w:p>
          <w:p w14:paraId="1627E75E">
            <w:pPr>
              <w:spacing w:line="276" w:lineRule="auto"/>
              <w:jc w:val="left"/>
              <w:rPr>
                <w:rFonts w:ascii="黑体" w:hAnsi="黑体" w:cs="宋体"/>
                <w:bCs/>
                <w:kern w:val="0"/>
                <w:szCs w:val="18"/>
              </w:rPr>
            </w:pPr>
            <w:r>
              <w:rPr>
                <w:rFonts w:ascii="黑体" w:hAnsi="黑体" w:cs="宋体"/>
                <w:bCs/>
                <w:kern w:val="0"/>
                <w:szCs w:val="18"/>
              </w:rPr>
              <w:t>其他</w:t>
            </w:r>
            <w:r>
              <w:rPr>
                <w:rFonts w:hint="eastAsia" w:ascii="黑体" w:hAnsi="黑体" w:cs="宋体"/>
                <w:bCs/>
                <w:kern w:val="0"/>
                <w:szCs w:val="18"/>
              </w:rPr>
              <w:t>厚度</w:t>
            </w:r>
            <w:r>
              <w:rPr>
                <w:rFonts w:ascii="黑体" w:hAnsi="黑体" w:cs="宋体"/>
                <w:bCs/>
                <w:kern w:val="0"/>
                <w:szCs w:val="18"/>
              </w:rPr>
              <w:t>墙板耐火极限厂家需注明</w:t>
            </w:r>
          </w:p>
        </w:tc>
      </w:tr>
      <w:tr w14:paraId="2977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1332B187">
            <w:pPr>
              <w:spacing w:line="276" w:lineRule="auto"/>
              <w:jc w:val="left"/>
              <w:rPr>
                <w:rFonts w:ascii="黑体" w:hAnsi="黑体" w:cs="宋体"/>
                <w:bCs/>
                <w:kern w:val="0"/>
                <w:szCs w:val="18"/>
              </w:rPr>
            </w:pPr>
            <w:r>
              <w:rPr>
                <w:rFonts w:hint="eastAsia" w:ascii="黑体" w:hAnsi="黑体" w:cs="宋体"/>
                <w:bCs/>
                <w:kern w:val="0"/>
                <w:szCs w:val="18"/>
              </w:rPr>
              <w:t>隔音量</w:t>
            </w:r>
          </w:p>
        </w:tc>
        <w:tc>
          <w:tcPr>
            <w:tcW w:w="5670" w:type="dxa"/>
          </w:tcPr>
          <w:p w14:paraId="78C95EC7">
            <w:pPr>
              <w:spacing w:line="276" w:lineRule="auto"/>
              <w:jc w:val="left"/>
              <w:rPr>
                <w:rFonts w:ascii="黑体" w:hAnsi="黑体" w:cs="宋体"/>
                <w:bCs/>
                <w:kern w:val="0"/>
                <w:szCs w:val="18"/>
              </w:rPr>
            </w:pPr>
            <w:r>
              <w:rPr>
                <w:rFonts w:hint="eastAsia" w:ascii="黑体" w:hAnsi="黑体" w:cs="宋体"/>
                <w:bCs/>
                <w:kern w:val="0"/>
                <w:szCs w:val="18"/>
              </w:rPr>
              <w:t>如有相应检测报告需备注，并注明对应的墙板厚度</w:t>
            </w:r>
          </w:p>
        </w:tc>
      </w:tr>
      <w:tr w14:paraId="295E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169964F2">
            <w:pPr>
              <w:spacing w:line="276" w:lineRule="auto"/>
              <w:jc w:val="left"/>
              <w:rPr>
                <w:rFonts w:ascii="黑体" w:hAnsi="黑体" w:cs="宋体"/>
                <w:bCs/>
                <w:kern w:val="0"/>
                <w:szCs w:val="18"/>
              </w:rPr>
            </w:pPr>
            <w:r>
              <w:rPr>
                <w:rFonts w:hint="eastAsia" w:ascii="黑体" w:hAnsi="黑体" w:cs="宋体"/>
                <w:bCs/>
                <w:kern w:val="0"/>
                <w:szCs w:val="18"/>
              </w:rPr>
              <w:t>墙板上五金门窗踢脚线等配件</w:t>
            </w:r>
          </w:p>
        </w:tc>
        <w:tc>
          <w:tcPr>
            <w:tcW w:w="5670" w:type="dxa"/>
          </w:tcPr>
          <w:p w14:paraId="4CA68044">
            <w:pPr>
              <w:spacing w:line="276" w:lineRule="auto"/>
              <w:jc w:val="left"/>
              <w:rPr>
                <w:rFonts w:ascii="黑体" w:hAnsi="黑体" w:cs="宋体"/>
                <w:bCs/>
                <w:kern w:val="0"/>
                <w:szCs w:val="18"/>
              </w:rPr>
            </w:pPr>
            <w:r>
              <w:rPr>
                <w:rFonts w:hint="eastAsia" w:ascii="黑体" w:hAnsi="黑体" w:cs="宋体"/>
                <w:bCs/>
                <w:kern w:val="0"/>
                <w:szCs w:val="18"/>
              </w:rPr>
              <w:t>厂家配置，并注明相应的五金品牌（说明此部分配件内容如何计费）</w:t>
            </w:r>
          </w:p>
        </w:tc>
      </w:tr>
      <w:tr w14:paraId="02CE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14:paraId="65F3EC29">
            <w:pPr>
              <w:spacing w:line="276" w:lineRule="auto"/>
              <w:jc w:val="left"/>
              <w:rPr>
                <w:rFonts w:ascii="黑体" w:hAnsi="黑体" w:cs="宋体"/>
                <w:bCs/>
                <w:kern w:val="0"/>
                <w:szCs w:val="18"/>
              </w:rPr>
            </w:pPr>
            <w:r>
              <w:rPr>
                <w:rFonts w:hint="eastAsia" w:ascii="黑体" w:hAnsi="黑体" w:cs="宋体"/>
                <w:bCs/>
                <w:kern w:val="0"/>
                <w:szCs w:val="18"/>
              </w:rPr>
              <w:t>已应用工程案例</w:t>
            </w:r>
          </w:p>
        </w:tc>
        <w:tc>
          <w:tcPr>
            <w:tcW w:w="5670" w:type="dxa"/>
          </w:tcPr>
          <w:p w14:paraId="15C8FA10">
            <w:pPr>
              <w:spacing w:line="276" w:lineRule="auto"/>
              <w:jc w:val="left"/>
              <w:rPr>
                <w:rFonts w:ascii="黑体" w:hAnsi="黑体" w:cs="宋体"/>
                <w:bCs/>
                <w:kern w:val="0"/>
                <w:szCs w:val="18"/>
              </w:rPr>
            </w:pPr>
            <w:r>
              <w:rPr>
                <w:rFonts w:hint="eastAsia" w:ascii="黑体" w:hAnsi="黑体" w:cs="宋体"/>
                <w:bCs/>
                <w:kern w:val="0"/>
                <w:szCs w:val="18"/>
              </w:rPr>
              <w:t>不少于5个在建已建成案例</w:t>
            </w:r>
          </w:p>
          <w:p w14:paraId="0F099E8E">
            <w:pPr>
              <w:spacing w:line="276" w:lineRule="auto"/>
              <w:jc w:val="left"/>
              <w:rPr>
                <w:rFonts w:ascii="黑体" w:hAnsi="黑体" w:cs="宋体"/>
                <w:bCs/>
                <w:kern w:val="0"/>
                <w:szCs w:val="18"/>
              </w:rPr>
            </w:pPr>
            <w:r>
              <w:rPr>
                <w:rFonts w:hint="eastAsia" w:ascii="黑体" w:hAnsi="黑体" w:cs="宋体"/>
                <w:bCs/>
                <w:kern w:val="0"/>
                <w:szCs w:val="18"/>
              </w:rPr>
              <w:t>如有用于项目的请重点列举</w:t>
            </w:r>
          </w:p>
        </w:tc>
      </w:tr>
    </w:tbl>
    <w:p w14:paraId="4622C1D1">
      <w:pPr>
        <w:spacing w:line="276" w:lineRule="auto"/>
        <w:jc w:val="left"/>
        <w:rPr>
          <w:rFonts w:ascii="黑体" w:hAnsi="黑体" w:cs="宋体"/>
          <w:bCs/>
          <w:kern w:val="0"/>
          <w:szCs w:val="18"/>
        </w:rPr>
      </w:pPr>
    </w:p>
    <w:p w14:paraId="31FE26D1">
      <w:pPr>
        <w:pStyle w:val="97"/>
        <w:rPr>
          <w:b/>
        </w:rPr>
      </w:pPr>
      <w:r>
        <w:rPr>
          <w:rFonts w:hint="eastAsia"/>
          <w:b/>
        </w:rPr>
        <w:t>统招方案及样板要求</w:t>
      </w:r>
    </w:p>
    <w:p w14:paraId="7E2DCC20">
      <w:pPr>
        <w:numPr>
          <w:ilvl w:val="1"/>
          <w:numId w:val="159"/>
        </w:numPr>
        <w:spacing w:line="276" w:lineRule="auto"/>
        <w:jc w:val="left"/>
        <w:rPr>
          <w:rFonts w:ascii="黑体" w:hAnsi="黑体" w:cs="宋体"/>
          <w:bCs/>
          <w:kern w:val="0"/>
          <w:szCs w:val="18"/>
        </w:rPr>
      </w:pPr>
      <w:r>
        <w:rPr>
          <w:rFonts w:hint="eastAsia" w:ascii="黑体" w:hAnsi="黑体" w:cs="宋体"/>
          <w:bCs/>
          <w:kern w:val="0"/>
          <w:szCs w:val="18"/>
        </w:rPr>
        <w:t>各单位需根据本技术要求，按照各自的工艺做法提供典型内隔墙板构造大样图纸（典型墙身剖面断面，墙板连接卡口做法，墙身与天地面连接处构造大样，墙身门窗洞口构造节点做法，墙身排版图纸等），以供业主方审核确认其技术水平，工艺工法及图纸深化能力</w:t>
      </w:r>
    </w:p>
    <w:p w14:paraId="7783A278">
      <w:pPr>
        <w:numPr>
          <w:ilvl w:val="1"/>
          <w:numId w:val="159"/>
        </w:numPr>
        <w:spacing w:line="276" w:lineRule="auto"/>
        <w:jc w:val="left"/>
        <w:rPr>
          <w:rFonts w:ascii="黑体" w:hAnsi="黑体" w:cs="宋体"/>
          <w:bCs/>
          <w:kern w:val="0"/>
          <w:szCs w:val="18"/>
        </w:rPr>
      </w:pPr>
      <w:r>
        <w:rPr>
          <w:rFonts w:ascii="黑体" w:hAnsi="黑体" w:cs="宋体"/>
          <w:bCs/>
          <w:kern w:val="0"/>
          <w:szCs w:val="18"/>
        </w:rPr>
        <w:t>各投标单位应提供</w:t>
      </w:r>
      <w:r>
        <w:rPr>
          <w:rFonts w:hint="eastAsia" w:ascii="黑体" w:hAnsi="黑体" w:cs="宋体"/>
          <w:bCs/>
          <w:kern w:val="0"/>
          <w:szCs w:val="18"/>
        </w:rPr>
        <w:t>7</w:t>
      </w:r>
      <w:r>
        <w:rPr>
          <w:rFonts w:ascii="黑体" w:hAnsi="黑体" w:cs="宋体"/>
          <w:bCs/>
          <w:kern w:val="0"/>
          <w:szCs w:val="18"/>
        </w:rPr>
        <w:t>5mm,100mm厚度的墙身小样板</w:t>
      </w:r>
      <w:r>
        <w:rPr>
          <w:rFonts w:hint="eastAsia" w:ascii="黑体" w:hAnsi="黑体" w:cs="宋体"/>
          <w:bCs/>
          <w:kern w:val="0"/>
          <w:szCs w:val="18"/>
        </w:rPr>
        <w:t>，</w:t>
      </w:r>
      <w:r>
        <w:rPr>
          <w:rFonts w:ascii="黑体" w:hAnsi="黑体" w:cs="宋体"/>
          <w:bCs/>
          <w:kern w:val="0"/>
          <w:szCs w:val="18"/>
        </w:rPr>
        <w:t>各一式两份</w:t>
      </w:r>
      <w:r>
        <w:rPr>
          <w:rFonts w:hint="eastAsia" w:ascii="黑体" w:hAnsi="黑体" w:cs="宋体"/>
          <w:bCs/>
          <w:kern w:val="0"/>
          <w:szCs w:val="18"/>
        </w:rPr>
        <w:t>，</w:t>
      </w:r>
      <w:r>
        <w:rPr>
          <w:rFonts w:ascii="黑体" w:hAnsi="黑体" w:cs="宋体"/>
          <w:bCs/>
          <w:kern w:val="0"/>
          <w:szCs w:val="18"/>
        </w:rPr>
        <w:t>尺寸不小于450</w:t>
      </w:r>
      <w:r>
        <w:rPr>
          <w:rFonts w:hint="eastAsia" w:ascii="黑体" w:hAnsi="黑体" w:cs="宋体"/>
          <w:bCs/>
          <w:kern w:val="0"/>
          <w:szCs w:val="18"/>
        </w:rPr>
        <w:t>*</w:t>
      </w:r>
      <w:r>
        <w:rPr>
          <w:rFonts w:ascii="黑体" w:hAnsi="黑体" w:cs="宋体"/>
          <w:bCs/>
          <w:kern w:val="0"/>
          <w:szCs w:val="18"/>
        </w:rPr>
        <w:t>600mm</w:t>
      </w:r>
      <w:r>
        <w:rPr>
          <w:rFonts w:hint="eastAsia" w:ascii="黑体" w:hAnsi="黑体" w:cs="宋体"/>
          <w:bCs/>
          <w:kern w:val="0"/>
          <w:szCs w:val="18"/>
        </w:rPr>
        <w:t>，可见断面构造及填充芯材，</w:t>
      </w:r>
      <w:r>
        <w:rPr>
          <w:rFonts w:ascii="黑体" w:hAnsi="黑体" w:cs="宋体"/>
          <w:bCs/>
          <w:kern w:val="0"/>
          <w:szCs w:val="18"/>
        </w:rPr>
        <w:t>以供</w:t>
      </w:r>
      <w:r>
        <w:rPr>
          <w:rFonts w:hint="eastAsia" w:ascii="黑体" w:hAnsi="黑体" w:cs="宋体"/>
          <w:bCs/>
          <w:kern w:val="0"/>
          <w:szCs w:val="18"/>
        </w:rPr>
        <w:t>业主</w:t>
      </w:r>
      <w:r>
        <w:rPr>
          <w:rFonts w:ascii="黑体" w:hAnsi="黑体" w:cs="宋体"/>
          <w:bCs/>
          <w:kern w:val="0"/>
          <w:szCs w:val="18"/>
        </w:rPr>
        <w:t>方审</w:t>
      </w:r>
      <w:r>
        <w:rPr>
          <w:rFonts w:hint="eastAsia" w:ascii="黑体" w:hAnsi="黑体" w:cs="宋体"/>
          <w:bCs/>
          <w:kern w:val="0"/>
          <w:szCs w:val="18"/>
        </w:rPr>
        <w:t>核</w:t>
      </w:r>
      <w:r>
        <w:rPr>
          <w:rFonts w:ascii="黑体" w:hAnsi="黑体" w:cs="宋体"/>
          <w:bCs/>
          <w:kern w:val="0"/>
          <w:szCs w:val="18"/>
        </w:rPr>
        <w:t>实物情况</w:t>
      </w:r>
    </w:p>
    <w:p w14:paraId="6E245544">
      <w:pPr>
        <w:numPr>
          <w:ilvl w:val="1"/>
          <w:numId w:val="159"/>
        </w:numPr>
        <w:spacing w:line="276" w:lineRule="auto"/>
        <w:jc w:val="left"/>
        <w:rPr>
          <w:rFonts w:ascii="黑体" w:hAnsi="黑体" w:cs="宋体"/>
          <w:bCs/>
          <w:kern w:val="0"/>
          <w:szCs w:val="18"/>
        </w:rPr>
      </w:pPr>
      <w:r>
        <w:rPr>
          <w:rFonts w:hint="eastAsia" w:ascii="黑体" w:hAnsi="黑体" w:cs="宋体"/>
          <w:bCs/>
          <w:kern w:val="0"/>
          <w:szCs w:val="18"/>
        </w:rPr>
        <w:t>中标单位进场大面施工前，需按照各自经确认方案，在业主指定的位置范围进行样板施工，经业主方书面确认合格后，方可进行批量施工</w:t>
      </w:r>
    </w:p>
    <w:p w14:paraId="79F2CCFF">
      <w:pPr>
        <w:numPr>
          <w:ilvl w:val="1"/>
          <w:numId w:val="159"/>
        </w:numPr>
        <w:spacing w:line="276" w:lineRule="auto"/>
        <w:jc w:val="left"/>
        <w:rPr>
          <w:rFonts w:ascii="黑体" w:hAnsi="黑体" w:cs="宋体"/>
          <w:bCs/>
          <w:kern w:val="0"/>
          <w:szCs w:val="18"/>
        </w:rPr>
      </w:pPr>
      <w:r>
        <w:rPr>
          <w:rFonts w:hint="eastAsia" w:ascii="黑体" w:hAnsi="黑体" w:cs="宋体"/>
          <w:bCs/>
          <w:kern w:val="0"/>
          <w:szCs w:val="18"/>
        </w:rPr>
        <w:t>样板板面纹理&amp;颜色选型：颜色浅白（暂定），厂家需提供可排产的全部色卡色号，板面纹理样式以供我方选择，具体以发包人确认为准。如隔墙板上需开门窗，门板门框及窗框等需采用同材质颜色框架及面板</w:t>
      </w:r>
      <w:r>
        <w:rPr>
          <w:rFonts w:ascii="黑体" w:hAnsi="黑体" w:cs="宋体"/>
          <w:bCs/>
          <w:kern w:val="0"/>
          <w:szCs w:val="18"/>
        </w:rPr>
        <w:t>材</w:t>
      </w:r>
      <w:r>
        <w:rPr>
          <w:rFonts w:hint="eastAsia" w:ascii="黑体" w:hAnsi="黑体" w:cs="宋体"/>
          <w:bCs/>
          <w:kern w:val="0"/>
          <w:szCs w:val="18"/>
        </w:rPr>
        <w:t>料</w:t>
      </w:r>
    </w:p>
    <w:p w14:paraId="494F675A">
      <w:pPr>
        <w:spacing w:line="276" w:lineRule="auto"/>
        <w:jc w:val="left"/>
        <w:rPr>
          <w:rFonts w:ascii="黑体" w:hAnsi="黑体" w:cs="宋体"/>
          <w:bCs/>
          <w:kern w:val="0"/>
          <w:szCs w:val="18"/>
        </w:rPr>
      </w:pPr>
    </w:p>
    <w:p w14:paraId="385BC25B">
      <w:pPr>
        <w:pStyle w:val="97"/>
        <w:rPr>
          <w:b/>
        </w:rPr>
      </w:pPr>
      <w:r>
        <w:rPr>
          <w:rFonts w:hint="eastAsia"/>
          <w:b/>
        </w:rPr>
        <w:t>施工要求</w:t>
      </w:r>
    </w:p>
    <w:p w14:paraId="7F434FCD">
      <w:pPr>
        <w:numPr>
          <w:ilvl w:val="1"/>
          <w:numId w:val="160"/>
        </w:numPr>
        <w:spacing w:line="276" w:lineRule="auto"/>
        <w:jc w:val="left"/>
        <w:rPr>
          <w:rFonts w:ascii="黑体" w:hAnsi="黑体" w:cs="宋体"/>
          <w:bCs/>
          <w:kern w:val="0"/>
          <w:szCs w:val="18"/>
        </w:rPr>
      </w:pPr>
      <w:r>
        <w:rPr>
          <w:rFonts w:ascii="黑体" w:hAnsi="黑体" w:cs="宋体"/>
          <w:bCs/>
          <w:kern w:val="0"/>
          <w:szCs w:val="18"/>
        </w:rPr>
        <w:t>数据中心轻质</w:t>
      </w:r>
      <w:r>
        <w:rPr>
          <w:rFonts w:hint="eastAsia" w:ascii="黑体" w:hAnsi="黑体" w:cs="宋体"/>
          <w:bCs/>
          <w:kern w:val="0"/>
          <w:szCs w:val="18"/>
        </w:rPr>
        <w:t>内墙</w:t>
      </w:r>
      <w:r>
        <w:rPr>
          <w:rFonts w:ascii="黑体" w:hAnsi="黑体" w:cs="宋体"/>
          <w:bCs/>
          <w:kern w:val="0"/>
          <w:szCs w:val="18"/>
        </w:rPr>
        <w:t>隔板工程施工</w:t>
      </w:r>
      <w:r>
        <w:rPr>
          <w:rFonts w:hint="eastAsia" w:ascii="黑体" w:hAnsi="黑体" w:cs="宋体"/>
          <w:bCs/>
          <w:kern w:val="0"/>
          <w:szCs w:val="18"/>
        </w:rPr>
        <w:t>及工艺要求应符合《</w:t>
      </w:r>
      <w:r>
        <w:rPr>
          <w:rFonts w:ascii="黑体" w:hAnsi="黑体" w:cs="宋体"/>
          <w:bCs/>
          <w:kern w:val="0"/>
          <w:szCs w:val="18"/>
        </w:rPr>
        <w:t>建筑用金属面绝热夹芯板安装及验收规程</w:t>
      </w:r>
      <w:r>
        <w:rPr>
          <w:rFonts w:hint="eastAsia" w:ascii="黑体" w:hAnsi="黑体" w:cs="宋体"/>
          <w:bCs/>
          <w:kern w:val="0"/>
          <w:szCs w:val="18"/>
        </w:rPr>
        <w:t>》</w:t>
      </w:r>
      <w:r>
        <w:rPr>
          <w:rFonts w:ascii="黑体" w:hAnsi="黑体" w:cs="宋体"/>
          <w:bCs/>
          <w:kern w:val="0"/>
          <w:szCs w:val="18"/>
        </w:rPr>
        <w:t>CECS304</w:t>
      </w:r>
      <w:r>
        <w:rPr>
          <w:rFonts w:hint="eastAsia" w:ascii="黑体" w:hAnsi="黑体" w:cs="宋体"/>
          <w:bCs/>
          <w:kern w:val="0"/>
          <w:szCs w:val="18"/>
        </w:rPr>
        <w:t>-</w:t>
      </w:r>
      <w:r>
        <w:rPr>
          <w:rFonts w:ascii="黑体" w:hAnsi="黑体" w:cs="宋体"/>
          <w:bCs/>
          <w:kern w:val="0"/>
          <w:szCs w:val="18"/>
        </w:rPr>
        <w:t>2011及</w:t>
      </w:r>
      <w:r>
        <w:rPr>
          <w:rFonts w:hint="eastAsia" w:ascii="黑体" w:hAnsi="黑体" w:cs="宋体"/>
          <w:bCs/>
          <w:kern w:val="0"/>
          <w:szCs w:val="18"/>
        </w:rPr>
        <w:t>《</w:t>
      </w:r>
      <w:r>
        <w:rPr>
          <w:rFonts w:ascii="黑体" w:hAnsi="黑体" w:cs="宋体"/>
          <w:bCs/>
          <w:kern w:val="0"/>
          <w:szCs w:val="18"/>
        </w:rPr>
        <w:t>压型板、夹芯板屋面、墙体建筑构造</w:t>
      </w:r>
      <w:r>
        <w:rPr>
          <w:rFonts w:hint="eastAsia" w:ascii="黑体" w:hAnsi="黑体" w:cs="宋体"/>
          <w:bCs/>
          <w:kern w:val="0"/>
          <w:szCs w:val="18"/>
        </w:rPr>
        <w:t>》</w:t>
      </w:r>
      <w:r>
        <w:rPr>
          <w:rFonts w:ascii="黑体" w:hAnsi="黑体" w:cs="宋体"/>
          <w:bCs/>
          <w:kern w:val="0"/>
          <w:szCs w:val="18"/>
        </w:rPr>
        <w:t>01J925-1、2、3</w:t>
      </w:r>
      <w:r>
        <w:rPr>
          <w:rFonts w:hint="eastAsia" w:ascii="黑体" w:hAnsi="黑体" w:cs="宋体"/>
          <w:bCs/>
          <w:kern w:val="0"/>
          <w:szCs w:val="18"/>
        </w:rPr>
        <w:t xml:space="preserve">的规定。 </w:t>
      </w:r>
    </w:p>
    <w:p w14:paraId="296FDC9E">
      <w:pPr>
        <w:numPr>
          <w:ilvl w:val="1"/>
          <w:numId w:val="160"/>
        </w:numPr>
        <w:spacing w:line="276" w:lineRule="auto"/>
        <w:jc w:val="left"/>
        <w:rPr>
          <w:rFonts w:ascii="黑体" w:hAnsi="黑体" w:cs="宋体"/>
          <w:bCs/>
          <w:kern w:val="0"/>
          <w:szCs w:val="18"/>
        </w:rPr>
      </w:pPr>
      <w:r>
        <w:rPr>
          <w:rFonts w:hint="eastAsia" w:ascii="黑体" w:hAnsi="黑体" w:cs="宋体"/>
          <w:bCs/>
          <w:kern w:val="0"/>
          <w:szCs w:val="18"/>
        </w:rPr>
        <w:t>在进场施工前，应结合项目具体情况，并结合本技术要求提供具体的深化设计和施工方案。</w:t>
      </w:r>
    </w:p>
    <w:p w14:paraId="7E7264D6">
      <w:pPr>
        <w:numPr>
          <w:ilvl w:val="1"/>
          <w:numId w:val="160"/>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板系统工程施工前</w:t>
      </w:r>
      <w:r>
        <w:rPr>
          <w:rFonts w:hint="eastAsia" w:ascii="黑体" w:hAnsi="黑体" w:cs="宋体"/>
          <w:bCs/>
          <w:kern w:val="0"/>
          <w:szCs w:val="18"/>
        </w:rPr>
        <w:t>，</w:t>
      </w:r>
      <w:r>
        <w:rPr>
          <w:rFonts w:ascii="黑体" w:hAnsi="黑体" w:cs="宋体"/>
          <w:bCs/>
          <w:kern w:val="0"/>
          <w:szCs w:val="18"/>
        </w:rPr>
        <w:t>应进行施工现场条件及前序工作界面情况检查，并依据</w:t>
      </w:r>
      <w:r>
        <w:rPr>
          <w:rFonts w:hint="eastAsia" w:ascii="黑体" w:hAnsi="黑体" w:cs="宋体"/>
          <w:bCs/>
          <w:kern w:val="0"/>
          <w:szCs w:val="18"/>
        </w:rPr>
        <w:t>编制检查</w:t>
      </w:r>
      <w:r>
        <w:rPr>
          <w:rFonts w:ascii="黑体" w:hAnsi="黑体" w:cs="宋体"/>
          <w:bCs/>
          <w:kern w:val="0"/>
          <w:szCs w:val="18"/>
        </w:rPr>
        <w:t>报告</w:t>
      </w:r>
      <w:r>
        <w:rPr>
          <w:rFonts w:hint="eastAsia" w:ascii="黑体" w:hAnsi="黑体" w:cs="宋体"/>
          <w:bCs/>
          <w:kern w:val="0"/>
          <w:szCs w:val="18"/>
        </w:rPr>
        <w:t>及</w:t>
      </w:r>
      <w:r>
        <w:rPr>
          <w:rFonts w:ascii="黑体" w:hAnsi="黑体" w:cs="宋体"/>
          <w:bCs/>
          <w:kern w:val="0"/>
          <w:szCs w:val="18"/>
        </w:rPr>
        <w:t>内墙隔板施工组织方案，经</w:t>
      </w:r>
      <w:r>
        <w:rPr>
          <w:rFonts w:hint="eastAsia" w:ascii="黑体" w:hAnsi="黑体" w:cs="宋体"/>
          <w:bCs/>
          <w:kern w:val="0"/>
          <w:szCs w:val="18"/>
        </w:rPr>
        <w:t>业主</w:t>
      </w:r>
      <w:r>
        <w:rPr>
          <w:rFonts w:ascii="黑体" w:hAnsi="黑体" w:cs="宋体"/>
          <w:bCs/>
          <w:kern w:val="0"/>
          <w:szCs w:val="18"/>
        </w:rPr>
        <w:t>审定并进行技术交底后</w:t>
      </w:r>
      <w:r>
        <w:rPr>
          <w:rFonts w:hint="eastAsia" w:ascii="黑体" w:hAnsi="黑体" w:cs="宋体"/>
          <w:bCs/>
          <w:kern w:val="0"/>
          <w:szCs w:val="18"/>
        </w:rPr>
        <w:t>，</w:t>
      </w:r>
      <w:r>
        <w:rPr>
          <w:rFonts w:ascii="黑体" w:hAnsi="黑体" w:cs="宋体"/>
          <w:bCs/>
          <w:kern w:val="0"/>
          <w:szCs w:val="18"/>
        </w:rPr>
        <w:t>方可按方案组织施工。</w:t>
      </w:r>
    </w:p>
    <w:p w14:paraId="30576802">
      <w:pPr>
        <w:numPr>
          <w:ilvl w:val="1"/>
          <w:numId w:val="160"/>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板系统工程所用材料应具有产品质量证明文件，其质量不得低于国家现行标准的规定；当材料没有国家现行标准时，应符合本规程的规定。</w:t>
      </w:r>
    </w:p>
    <w:p w14:paraId="67894745">
      <w:pPr>
        <w:numPr>
          <w:ilvl w:val="1"/>
          <w:numId w:val="160"/>
        </w:numPr>
        <w:spacing w:line="276" w:lineRule="auto"/>
        <w:jc w:val="left"/>
        <w:rPr>
          <w:rFonts w:ascii="黑体" w:hAnsi="黑体" w:cs="宋体"/>
          <w:bCs/>
          <w:kern w:val="0"/>
          <w:szCs w:val="18"/>
        </w:rPr>
      </w:pPr>
      <w:r>
        <w:rPr>
          <w:rFonts w:ascii="黑体" w:hAnsi="黑体" w:cs="宋体"/>
          <w:bCs/>
          <w:kern w:val="0"/>
          <w:szCs w:val="18"/>
        </w:rPr>
        <w:t>内隔墙板产品质量证明文件，应包括产品质量合格证及材料检测报告。</w:t>
      </w:r>
    </w:p>
    <w:p w14:paraId="133BD189">
      <w:pPr>
        <w:numPr>
          <w:ilvl w:val="1"/>
          <w:numId w:val="160"/>
        </w:numPr>
        <w:spacing w:line="276" w:lineRule="auto"/>
        <w:jc w:val="left"/>
        <w:rPr>
          <w:rFonts w:ascii="黑体" w:hAnsi="黑体" w:cs="宋体"/>
          <w:bCs/>
          <w:kern w:val="0"/>
          <w:szCs w:val="18"/>
        </w:rPr>
      </w:pPr>
      <w:r>
        <w:rPr>
          <w:rFonts w:hint="eastAsia" w:ascii="黑体" w:hAnsi="黑体" w:cs="宋体"/>
          <w:bCs/>
          <w:kern w:val="0"/>
          <w:szCs w:val="18"/>
        </w:rPr>
        <w:t>内隔墙板</w:t>
      </w:r>
      <w:r>
        <w:rPr>
          <w:rFonts w:ascii="黑体" w:hAnsi="黑体" w:cs="宋体"/>
          <w:bCs/>
          <w:kern w:val="0"/>
          <w:szCs w:val="18"/>
        </w:rPr>
        <w:t>材料应贮存在阴凉、干燥、通风、远离火和热源的场所，不得长期露天存放曝晒雨淋，超过</w:t>
      </w:r>
      <w:r>
        <w:rPr>
          <w:rFonts w:hint="eastAsia" w:ascii="黑体" w:hAnsi="黑体" w:cs="宋体"/>
          <w:bCs/>
          <w:kern w:val="0"/>
          <w:szCs w:val="18"/>
        </w:rPr>
        <w:t>7天需周转室内堆放，从材料进场至安装不宜超过6</w:t>
      </w:r>
      <w:r>
        <w:rPr>
          <w:rFonts w:ascii="黑体" w:hAnsi="黑体" w:cs="宋体"/>
          <w:bCs/>
          <w:kern w:val="0"/>
          <w:szCs w:val="18"/>
        </w:rPr>
        <w:t>0天</w:t>
      </w:r>
      <w:r>
        <w:rPr>
          <w:rFonts w:hint="eastAsia" w:ascii="黑体" w:hAnsi="黑体" w:cs="宋体"/>
          <w:bCs/>
          <w:kern w:val="0"/>
          <w:szCs w:val="18"/>
        </w:rPr>
        <w:t>，</w:t>
      </w:r>
      <w:r>
        <w:rPr>
          <w:rFonts w:ascii="黑体" w:hAnsi="黑体" w:cs="宋体"/>
          <w:bCs/>
          <w:kern w:val="0"/>
          <w:szCs w:val="18"/>
        </w:rPr>
        <w:t>贮存温度宜为10℃～25℃。</w:t>
      </w:r>
    </w:p>
    <w:p w14:paraId="55C7CAB7">
      <w:pPr>
        <w:numPr>
          <w:ilvl w:val="1"/>
          <w:numId w:val="160"/>
        </w:numPr>
        <w:spacing w:line="276" w:lineRule="auto"/>
        <w:jc w:val="left"/>
        <w:rPr>
          <w:rFonts w:ascii="黑体" w:hAnsi="黑体" w:cs="宋体"/>
          <w:bCs/>
          <w:kern w:val="0"/>
          <w:szCs w:val="18"/>
        </w:rPr>
      </w:pPr>
      <w:r>
        <w:rPr>
          <w:rFonts w:ascii="黑体" w:hAnsi="黑体" w:cs="宋体"/>
          <w:bCs/>
          <w:kern w:val="0"/>
          <w:szCs w:val="18"/>
        </w:rPr>
        <w:t>施工单位应建立各道工序的自检、互检和专职人员检验制度，并应有完整的施工检查记录。隐蔽工程施工检查记录应经业主代表或监理签字确认后，方可进行下道工序施工。</w:t>
      </w:r>
    </w:p>
    <w:p w14:paraId="2ED097FB">
      <w:pPr>
        <w:numPr>
          <w:ilvl w:val="1"/>
          <w:numId w:val="160"/>
        </w:numPr>
        <w:spacing w:line="276" w:lineRule="auto"/>
        <w:jc w:val="left"/>
        <w:rPr>
          <w:rFonts w:ascii="黑体" w:hAnsi="黑体" w:cs="宋体"/>
          <w:bCs/>
          <w:kern w:val="0"/>
          <w:szCs w:val="18"/>
        </w:rPr>
      </w:pPr>
      <w:r>
        <w:rPr>
          <w:rFonts w:ascii="黑体" w:hAnsi="黑体" w:cs="宋体"/>
          <w:bCs/>
          <w:kern w:val="0"/>
          <w:szCs w:val="18"/>
        </w:rPr>
        <w:t>进行</w:t>
      </w:r>
      <w:r>
        <w:rPr>
          <w:rFonts w:hint="eastAsia" w:ascii="黑体" w:hAnsi="黑体" w:cs="宋体"/>
          <w:bCs/>
          <w:kern w:val="0"/>
          <w:szCs w:val="18"/>
        </w:rPr>
        <w:t>内隔墙</w:t>
      </w:r>
      <w:r>
        <w:rPr>
          <w:rFonts w:ascii="黑体" w:hAnsi="黑体" w:cs="宋体"/>
          <w:bCs/>
          <w:kern w:val="0"/>
          <w:szCs w:val="18"/>
        </w:rPr>
        <w:t>板系统工程施工时，应配备施工人员和设备的安全防护装置。如有穿插施工作业</w:t>
      </w:r>
      <w:r>
        <w:rPr>
          <w:rFonts w:hint="eastAsia" w:ascii="黑体" w:hAnsi="黑体" w:cs="宋体"/>
          <w:bCs/>
          <w:kern w:val="0"/>
          <w:szCs w:val="18"/>
        </w:rPr>
        <w:t>，</w:t>
      </w:r>
      <w:r>
        <w:rPr>
          <w:rFonts w:ascii="黑体" w:hAnsi="黑体" w:cs="宋体"/>
          <w:bCs/>
          <w:kern w:val="0"/>
          <w:szCs w:val="18"/>
        </w:rPr>
        <w:t>务必和相关施工单位及总包监理做好沟通交底</w:t>
      </w:r>
      <w:r>
        <w:rPr>
          <w:rFonts w:hint="eastAsia" w:ascii="黑体" w:hAnsi="黑体" w:cs="宋体"/>
          <w:bCs/>
          <w:kern w:val="0"/>
          <w:szCs w:val="18"/>
        </w:rPr>
        <w:t>，</w:t>
      </w:r>
      <w:r>
        <w:rPr>
          <w:rFonts w:ascii="黑体" w:hAnsi="黑体" w:cs="宋体"/>
          <w:bCs/>
          <w:kern w:val="0"/>
          <w:szCs w:val="18"/>
        </w:rPr>
        <w:t>并形成书面纪要留存</w:t>
      </w:r>
      <w:r>
        <w:rPr>
          <w:rFonts w:hint="eastAsia" w:ascii="黑体" w:hAnsi="黑体" w:cs="宋体"/>
          <w:bCs/>
          <w:kern w:val="0"/>
          <w:szCs w:val="18"/>
        </w:rPr>
        <w:t>，</w:t>
      </w:r>
      <w:r>
        <w:rPr>
          <w:rFonts w:ascii="黑体" w:hAnsi="黑体" w:cs="宋体"/>
          <w:bCs/>
          <w:kern w:val="0"/>
          <w:szCs w:val="18"/>
        </w:rPr>
        <w:t>提交业主</w:t>
      </w:r>
      <w:r>
        <w:rPr>
          <w:rFonts w:hint="eastAsia" w:ascii="黑体" w:hAnsi="黑体" w:cs="宋体"/>
          <w:bCs/>
          <w:kern w:val="0"/>
          <w:szCs w:val="18"/>
        </w:rPr>
        <w:t>。</w:t>
      </w:r>
    </w:p>
    <w:p w14:paraId="08359AD9">
      <w:pPr>
        <w:spacing w:line="276" w:lineRule="auto"/>
        <w:jc w:val="left"/>
        <w:rPr>
          <w:rFonts w:ascii="黑体" w:hAnsi="黑体" w:cs="宋体"/>
          <w:bCs/>
          <w:kern w:val="0"/>
          <w:szCs w:val="18"/>
        </w:rPr>
      </w:pPr>
      <w:r>
        <w:rPr>
          <w:rFonts w:hint="eastAsia" w:ascii="黑体" w:hAnsi="黑体" w:cs="宋体"/>
          <w:bCs/>
          <w:kern w:val="0"/>
          <w:szCs w:val="18"/>
        </w:rPr>
        <w:t xml:space="preserve">                                      </w:t>
      </w:r>
      <w:r>
        <w:rPr>
          <w:rFonts w:ascii="黑体" w:hAnsi="黑体" w:cs="宋体"/>
          <w:b/>
          <w:bCs/>
          <w:kern w:val="0"/>
          <w:szCs w:val="18"/>
        </w:rPr>
        <w:t xml:space="preserve"> </w:t>
      </w:r>
    </w:p>
    <w:p w14:paraId="1469C9ED">
      <w:pPr>
        <w:pStyle w:val="97"/>
        <w:rPr>
          <w:b/>
        </w:rPr>
      </w:pPr>
      <w:r>
        <w:rPr>
          <w:b/>
        </w:rPr>
        <w:t>质量检验与验收</w:t>
      </w:r>
    </w:p>
    <w:p w14:paraId="0C64C7CF">
      <w:pPr>
        <w:numPr>
          <w:ilvl w:val="1"/>
          <w:numId w:val="161"/>
        </w:numPr>
        <w:spacing w:line="276" w:lineRule="auto"/>
        <w:jc w:val="left"/>
        <w:rPr>
          <w:rFonts w:ascii="黑体" w:hAnsi="黑体" w:cs="宋体"/>
          <w:bCs/>
          <w:kern w:val="0"/>
          <w:szCs w:val="18"/>
        </w:rPr>
      </w:pPr>
      <w:r>
        <w:rPr>
          <w:rFonts w:ascii="Calibri" w:hAnsi="Calibri" w:cs="Calibri"/>
          <w:bCs/>
          <w:kern w:val="0"/>
          <w:szCs w:val="18"/>
        </w:rPr>
        <w:t> </w:t>
      </w:r>
      <w:r>
        <w:rPr>
          <w:rFonts w:ascii="黑体" w:hAnsi="黑体" w:cs="宋体"/>
          <w:bCs/>
          <w:kern w:val="0"/>
          <w:szCs w:val="18"/>
        </w:rPr>
        <w:t>一般规定</w:t>
      </w:r>
      <w:r>
        <w:rPr>
          <w:rFonts w:hint="eastAsia" w:ascii="黑体" w:hAnsi="黑体" w:cs="宋体"/>
          <w:bCs/>
          <w:kern w:val="0"/>
          <w:szCs w:val="18"/>
        </w:rPr>
        <w:t xml:space="preserve">                                     </w:t>
      </w:r>
    </w:p>
    <w:p w14:paraId="412D385F">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板系统工程验收时应提供材料进场时的抽样复检合格报告</w:t>
      </w:r>
      <w:r>
        <w:rPr>
          <w:rFonts w:hint="eastAsia" w:ascii="黑体" w:hAnsi="黑体" w:cs="宋体"/>
          <w:bCs/>
          <w:kern w:val="0"/>
          <w:szCs w:val="18"/>
        </w:rPr>
        <w:t>。</w:t>
      </w:r>
    </w:p>
    <w:p w14:paraId="1ECA40C0">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板系统工程质量检验与验收应符合现行国家标准</w:t>
      </w:r>
      <w:r>
        <w:rPr>
          <w:rFonts w:hint="eastAsia" w:ascii="黑体" w:hAnsi="黑体" w:cs="宋体"/>
          <w:bCs/>
          <w:kern w:val="0"/>
          <w:szCs w:val="18"/>
        </w:rPr>
        <w:t>《</w:t>
      </w:r>
      <w:r>
        <w:rPr>
          <w:rFonts w:ascii="黑体" w:hAnsi="黑体" w:cs="宋体"/>
          <w:bCs/>
          <w:kern w:val="0"/>
          <w:szCs w:val="18"/>
        </w:rPr>
        <w:t>建筑用金属面绝热夹芯板安装及验收规程</w:t>
      </w:r>
      <w:r>
        <w:rPr>
          <w:rFonts w:hint="eastAsia" w:ascii="黑体" w:hAnsi="黑体" w:cs="宋体"/>
          <w:bCs/>
          <w:kern w:val="0"/>
          <w:szCs w:val="18"/>
        </w:rPr>
        <w:t>》</w:t>
      </w:r>
      <w:r>
        <w:rPr>
          <w:rFonts w:ascii="黑体" w:hAnsi="黑体" w:cs="宋体"/>
          <w:bCs/>
          <w:kern w:val="0"/>
          <w:szCs w:val="18"/>
        </w:rPr>
        <w:t>CECS304及</w:t>
      </w:r>
      <w:r>
        <w:rPr>
          <w:rFonts w:hint="eastAsia" w:ascii="黑体" w:hAnsi="黑体" w:cs="宋体"/>
          <w:bCs/>
          <w:kern w:val="0"/>
          <w:szCs w:val="18"/>
        </w:rPr>
        <w:t>《</w:t>
      </w:r>
      <w:r>
        <w:rPr>
          <w:rFonts w:ascii="黑体" w:hAnsi="黑体" w:cs="宋体"/>
          <w:bCs/>
          <w:kern w:val="0"/>
          <w:szCs w:val="18"/>
        </w:rPr>
        <w:t>压型板、夹芯板屋面、墙体建筑构造</w:t>
      </w:r>
      <w:r>
        <w:rPr>
          <w:rFonts w:hint="eastAsia" w:ascii="黑体" w:hAnsi="黑体" w:cs="宋体"/>
          <w:bCs/>
          <w:kern w:val="0"/>
          <w:szCs w:val="18"/>
        </w:rPr>
        <w:t>》</w:t>
      </w:r>
      <w:r>
        <w:rPr>
          <w:rFonts w:ascii="黑体" w:hAnsi="黑体" w:cs="宋体"/>
          <w:bCs/>
          <w:kern w:val="0"/>
          <w:szCs w:val="18"/>
        </w:rPr>
        <w:t>01J925-1、2、3</w:t>
      </w:r>
      <w:r>
        <w:rPr>
          <w:rFonts w:hint="eastAsia" w:ascii="黑体" w:hAnsi="黑体" w:cs="宋体"/>
          <w:bCs/>
          <w:kern w:val="0"/>
          <w:szCs w:val="18"/>
        </w:rPr>
        <w:t xml:space="preserve">的规定。                 </w:t>
      </w:r>
    </w:p>
    <w:p w14:paraId="38C8A7C1">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板系统工程使用的材料和施工完成后的室内空气质量应符合现行国家标准《民用建筑工程室内环境污染控制规范》GB50325的规定。</w:t>
      </w:r>
    </w:p>
    <w:p w14:paraId="2E4B8DFC">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板材料环保和性能指标应符合</w:t>
      </w:r>
      <w:r>
        <w:rPr>
          <w:rFonts w:hint="eastAsia" w:ascii="黑体" w:hAnsi="黑体" w:cs="宋体"/>
          <w:bCs/>
          <w:kern w:val="0"/>
          <w:szCs w:val="18"/>
        </w:rPr>
        <w:t>国家</w:t>
      </w:r>
      <w:r>
        <w:rPr>
          <w:rFonts w:ascii="黑体" w:hAnsi="黑体" w:cs="宋体"/>
          <w:bCs/>
          <w:kern w:val="0"/>
          <w:szCs w:val="18"/>
        </w:rPr>
        <w:t>及行业相关环保要求的规定。</w:t>
      </w:r>
    </w:p>
    <w:p w14:paraId="0E0298F1">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w:t>
      </w:r>
      <w:r>
        <w:rPr>
          <w:rFonts w:hint="eastAsia" w:ascii="黑体" w:hAnsi="黑体" w:cs="宋体"/>
          <w:bCs/>
          <w:kern w:val="0"/>
          <w:szCs w:val="18"/>
        </w:rPr>
        <w:t>系统</w:t>
      </w:r>
      <w:r>
        <w:rPr>
          <w:rFonts w:ascii="黑体" w:hAnsi="黑体" w:cs="宋体"/>
          <w:bCs/>
          <w:kern w:val="0"/>
          <w:szCs w:val="18"/>
        </w:rPr>
        <w:t>工程质量检验与验收批次应符合下列规定</w:t>
      </w:r>
    </w:p>
    <w:p w14:paraId="742676F8">
      <w:pPr>
        <w:numPr>
          <w:ilvl w:val="0"/>
          <w:numId w:val="105"/>
        </w:numPr>
        <w:spacing w:line="276" w:lineRule="auto"/>
        <w:jc w:val="left"/>
        <w:rPr>
          <w:rFonts w:ascii="黑体" w:hAnsi="黑体" w:cs="宋体"/>
          <w:bCs/>
          <w:kern w:val="0"/>
          <w:szCs w:val="18"/>
        </w:rPr>
      </w:pPr>
      <w:r>
        <w:rPr>
          <w:rFonts w:hint="eastAsia" w:ascii="黑体" w:hAnsi="黑体" w:cs="宋体"/>
          <w:bCs/>
          <w:kern w:val="0"/>
          <w:szCs w:val="18"/>
        </w:rPr>
        <w:t>应按每一施工标段作为一个检验批</w:t>
      </w:r>
    </w:p>
    <w:p w14:paraId="423C44CB">
      <w:pPr>
        <w:numPr>
          <w:ilvl w:val="0"/>
          <w:numId w:val="105"/>
        </w:numPr>
        <w:spacing w:line="276" w:lineRule="auto"/>
        <w:jc w:val="left"/>
        <w:rPr>
          <w:rFonts w:ascii="黑体" w:hAnsi="黑体" w:cs="宋体"/>
          <w:bCs/>
          <w:kern w:val="0"/>
          <w:szCs w:val="18"/>
        </w:rPr>
      </w:pPr>
      <w:r>
        <w:rPr>
          <w:rFonts w:ascii="黑体" w:hAnsi="黑体" w:cs="宋体"/>
          <w:bCs/>
          <w:kern w:val="0"/>
          <w:szCs w:val="18"/>
        </w:rPr>
        <w:t xml:space="preserve">每个检验批应随机检验，抽查数量不应少于3 </w:t>
      </w:r>
      <w:r>
        <w:rPr>
          <w:rFonts w:hint="eastAsia" w:ascii="黑体" w:hAnsi="黑体" w:cs="宋体"/>
          <w:bCs/>
          <w:kern w:val="0"/>
          <w:szCs w:val="18"/>
        </w:rPr>
        <w:t>处</w:t>
      </w:r>
      <w:r>
        <w:rPr>
          <w:rFonts w:ascii="黑体" w:hAnsi="黑体" w:cs="宋体"/>
          <w:bCs/>
          <w:kern w:val="0"/>
          <w:szCs w:val="18"/>
        </w:rPr>
        <w:t>，不足</w:t>
      </w:r>
      <w:r>
        <w:rPr>
          <w:rFonts w:hint="eastAsia" w:ascii="黑体" w:hAnsi="黑体" w:cs="宋体"/>
          <w:bCs/>
          <w:kern w:val="0"/>
          <w:szCs w:val="18"/>
        </w:rPr>
        <w:t>3处</w:t>
      </w:r>
      <w:r>
        <w:rPr>
          <w:rFonts w:ascii="黑体" w:hAnsi="黑体" w:cs="宋体"/>
          <w:bCs/>
          <w:kern w:val="0"/>
          <w:szCs w:val="18"/>
        </w:rPr>
        <w:t>时，应全数检查</w:t>
      </w:r>
      <w:r>
        <w:rPr>
          <w:rFonts w:hint="eastAsia" w:ascii="黑体" w:hAnsi="黑体" w:cs="宋体"/>
          <w:bCs/>
          <w:kern w:val="0"/>
          <w:szCs w:val="18"/>
        </w:rPr>
        <w:t>（以两道轴线间长度为1处）</w:t>
      </w:r>
      <w:r>
        <w:rPr>
          <w:rFonts w:ascii="黑体" w:hAnsi="黑体" w:cs="宋体"/>
          <w:bCs/>
          <w:kern w:val="0"/>
          <w:szCs w:val="18"/>
        </w:rPr>
        <w:t>。</w:t>
      </w:r>
    </w:p>
    <w:p w14:paraId="6A900FE2">
      <w:pPr>
        <w:numPr>
          <w:ilvl w:val="1"/>
          <w:numId w:val="161"/>
        </w:numPr>
        <w:spacing w:line="276" w:lineRule="auto"/>
        <w:jc w:val="left"/>
        <w:rPr>
          <w:rFonts w:ascii="黑体" w:hAnsi="黑体" w:cs="宋体"/>
          <w:bCs/>
          <w:kern w:val="0"/>
          <w:szCs w:val="18"/>
        </w:rPr>
      </w:pPr>
      <w:r>
        <w:rPr>
          <w:rFonts w:hint="eastAsia" w:ascii="黑体" w:hAnsi="黑体" w:cs="宋体"/>
          <w:bCs/>
          <w:kern w:val="0"/>
          <w:szCs w:val="18"/>
        </w:rPr>
        <w:t>主控项目</w:t>
      </w:r>
    </w:p>
    <w:p w14:paraId="0D7B6638">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w:t>
      </w:r>
      <w:r>
        <w:rPr>
          <w:rFonts w:ascii="黑体" w:hAnsi="黑体" w:cs="宋体"/>
          <w:bCs/>
          <w:kern w:val="0"/>
          <w:szCs w:val="18"/>
        </w:rPr>
        <w:t>板</w:t>
      </w:r>
      <w:r>
        <w:rPr>
          <w:rFonts w:hint="eastAsia" w:ascii="黑体" w:hAnsi="黑体" w:cs="宋体"/>
          <w:bCs/>
          <w:kern w:val="0"/>
          <w:szCs w:val="18"/>
        </w:rPr>
        <w:t>系统主控</w:t>
      </w:r>
      <w:r>
        <w:rPr>
          <w:rFonts w:ascii="黑体" w:hAnsi="黑体" w:cs="宋体"/>
          <w:bCs/>
          <w:kern w:val="0"/>
          <w:szCs w:val="18"/>
        </w:rPr>
        <w:t>项目</w:t>
      </w:r>
      <w:r>
        <w:rPr>
          <w:rFonts w:hint="eastAsia" w:ascii="黑体" w:hAnsi="黑体" w:cs="宋体"/>
          <w:bCs/>
          <w:kern w:val="0"/>
          <w:szCs w:val="18"/>
        </w:rPr>
        <w:t>应符合表</w:t>
      </w:r>
      <w:r>
        <w:rPr>
          <w:rFonts w:ascii="黑体" w:hAnsi="黑体" w:cs="宋体"/>
          <w:bCs/>
          <w:kern w:val="0"/>
          <w:szCs w:val="18"/>
        </w:rPr>
        <w:t>2</w:t>
      </w:r>
      <w:r>
        <w:rPr>
          <w:rFonts w:hint="eastAsia" w:ascii="黑体" w:hAnsi="黑体" w:cs="宋体"/>
          <w:bCs/>
          <w:kern w:val="0"/>
          <w:szCs w:val="18"/>
        </w:rPr>
        <w:t>的规定。</w:t>
      </w:r>
    </w:p>
    <w:p w14:paraId="232C4891">
      <w:pPr>
        <w:spacing w:line="276" w:lineRule="auto"/>
        <w:jc w:val="left"/>
        <w:rPr>
          <w:rFonts w:ascii="黑体" w:hAnsi="黑体" w:cs="宋体"/>
          <w:b/>
          <w:bCs/>
          <w:kern w:val="0"/>
          <w:szCs w:val="18"/>
        </w:rPr>
      </w:pPr>
      <w:r>
        <w:rPr>
          <w:rFonts w:hint="eastAsia" w:ascii="黑体" w:hAnsi="黑体" w:cs="宋体"/>
          <w:b/>
          <w:bCs/>
          <w:kern w:val="0"/>
          <w:szCs w:val="18"/>
        </w:rPr>
        <w:t>表</w:t>
      </w:r>
      <w:r>
        <w:rPr>
          <w:rFonts w:ascii="黑体" w:hAnsi="黑体" w:cs="宋体"/>
          <w:b/>
          <w:bCs/>
          <w:kern w:val="0"/>
          <w:szCs w:val="18"/>
        </w:rPr>
        <w:t xml:space="preserve">2 </w:t>
      </w:r>
      <w:r>
        <w:rPr>
          <w:rFonts w:hint="eastAsia" w:ascii="黑体" w:hAnsi="黑体" w:cs="宋体"/>
          <w:b/>
          <w:bCs/>
          <w:kern w:val="0"/>
          <w:szCs w:val="18"/>
        </w:rPr>
        <w:t>内隔墙</w:t>
      </w:r>
      <w:r>
        <w:rPr>
          <w:rFonts w:ascii="黑体" w:hAnsi="黑体" w:cs="宋体"/>
          <w:b/>
          <w:bCs/>
          <w:kern w:val="0"/>
          <w:szCs w:val="18"/>
        </w:rPr>
        <w:t>板</w:t>
      </w:r>
      <w:r>
        <w:rPr>
          <w:rFonts w:hint="eastAsia" w:ascii="黑体" w:hAnsi="黑体" w:cs="宋体"/>
          <w:b/>
          <w:bCs/>
          <w:kern w:val="0"/>
          <w:szCs w:val="18"/>
        </w:rPr>
        <w:t>系统主控</w:t>
      </w:r>
      <w:r>
        <w:rPr>
          <w:rFonts w:ascii="黑体" w:hAnsi="黑体" w:cs="宋体"/>
          <w:b/>
          <w:bCs/>
          <w:kern w:val="0"/>
          <w:szCs w:val="18"/>
        </w:rPr>
        <w:t>项目表</w:t>
      </w:r>
    </w:p>
    <w:tbl>
      <w:tblPr>
        <w:tblStyle w:val="36"/>
        <w:tblW w:w="9190" w:type="dxa"/>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1239"/>
        <w:gridCol w:w="3823"/>
        <w:gridCol w:w="4128"/>
      </w:tblGrid>
      <w:tr w14:paraId="2D65E0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4" w:hRule="atLeast"/>
          <w:tblCellSpacing w:w="0" w:type="dxa"/>
        </w:trPr>
        <w:tc>
          <w:tcPr>
            <w:tcW w:w="1239" w:type="dxa"/>
            <w:vAlign w:val="center"/>
          </w:tcPr>
          <w:p w14:paraId="45634CE2">
            <w:pPr>
              <w:spacing w:line="276" w:lineRule="auto"/>
              <w:jc w:val="left"/>
              <w:rPr>
                <w:rFonts w:ascii="黑体" w:hAnsi="黑体" w:cs="宋体"/>
                <w:bCs/>
                <w:kern w:val="0"/>
                <w:szCs w:val="18"/>
              </w:rPr>
            </w:pPr>
            <w:r>
              <w:rPr>
                <w:rFonts w:ascii="黑体" w:hAnsi="黑体" w:cs="宋体"/>
                <w:bCs/>
                <w:kern w:val="0"/>
                <w:szCs w:val="18"/>
              </w:rPr>
              <w:t>项目</w:t>
            </w:r>
          </w:p>
        </w:tc>
        <w:tc>
          <w:tcPr>
            <w:tcW w:w="3823" w:type="dxa"/>
            <w:vAlign w:val="center"/>
          </w:tcPr>
          <w:p w14:paraId="45A1D5ED">
            <w:pPr>
              <w:spacing w:line="276" w:lineRule="auto"/>
              <w:jc w:val="left"/>
              <w:rPr>
                <w:rFonts w:ascii="黑体" w:hAnsi="黑体" w:cs="宋体"/>
                <w:bCs/>
                <w:kern w:val="0"/>
                <w:szCs w:val="18"/>
              </w:rPr>
            </w:pPr>
            <w:r>
              <w:rPr>
                <w:rFonts w:hint="eastAsia" w:ascii="黑体" w:hAnsi="黑体" w:cs="宋体"/>
                <w:bCs/>
                <w:kern w:val="0"/>
                <w:szCs w:val="18"/>
              </w:rPr>
              <w:t>内隔墙板系统</w:t>
            </w:r>
          </w:p>
        </w:tc>
        <w:tc>
          <w:tcPr>
            <w:tcW w:w="4128" w:type="dxa"/>
            <w:vAlign w:val="center"/>
          </w:tcPr>
          <w:p w14:paraId="3A4DCCCD">
            <w:pPr>
              <w:spacing w:line="276" w:lineRule="auto"/>
              <w:jc w:val="left"/>
              <w:rPr>
                <w:rFonts w:ascii="黑体" w:hAnsi="黑体" w:cs="宋体"/>
                <w:bCs/>
                <w:kern w:val="0"/>
                <w:szCs w:val="18"/>
              </w:rPr>
            </w:pPr>
            <w:r>
              <w:rPr>
                <w:rFonts w:ascii="黑体" w:hAnsi="黑体" w:cs="宋体"/>
                <w:bCs/>
                <w:kern w:val="0"/>
                <w:szCs w:val="18"/>
              </w:rPr>
              <w:t>检测方法</w:t>
            </w:r>
          </w:p>
        </w:tc>
      </w:tr>
      <w:tr w14:paraId="74912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752" w:hRule="atLeast"/>
          <w:tblCellSpacing w:w="0" w:type="dxa"/>
        </w:trPr>
        <w:tc>
          <w:tcPr>
            <w:tcW w:w="1239" w:type="dxa"/>
            <w:vAlign w:val="center"/>
          </w:tcPr>
          <w:p w14:paraId="341EDDE0">
            <w:pPr>
              <w:spacing w:line="276" w:lineRule="auto"/>
              <w:jc w:val="left"/>
              <w:rPr>
                <w:rFonts w:ascii="黑体" w:hAnsi="黑体" w:cs="宋体"/>
                <w:bCs/>
                <w:kern w:val="0"/>
                <w:szCs w:val="18"/>
              </w:rPr>
            </w:pPr>
            <w:r>
              <w:rPr>
                <w:rFonts w:ascii="黑体" w:hAnsi="黑体" w:cs="宋体"/>
                <w:bCs/>
                <w:kern w:val="0"/>
                <w:szCs w:val="18"/>
              </w:rPr>
              <w:t>外观</w:t>
            </w:r>
          </w:p>
        </w:tc>
        <w:tc>
          <w:tcPr>
            <w:tcW w:w="3823" w:type="dxa"/>
            <w:vAlign w:val="center"/>
          </w:tcPr>
          <w:p w14:paraId="6B6B2DF7">
            <w:pPr>
              <w:spacing w:line="276" w:lineRule="auto"/>
              <w:ind w:left="88" w:leftChars="49" w:right="115" w:rightChars="64" w:firstLine="1"/>
              <w:jc w:val="left"/>
              <w:rPr>
                <w:rFonts w:ascii="黑体" w:hAnsi="黑体" w:cs="宋体"/>
                <w:bCs/>
                <w:kern w:val="0"/>
                <w:szCs w:val="18"/>
              </w:rPr>
            </w:pPr>
            <w:r>
              <w:rPr>
                <w:rFonts w:ascii="黑体" w:hAnsi="黑体" w:cs="宋体"/>
                <w:bCs/>
                <w:kern w:val="0"/>
                <w:szCs w:val="18"/>
              </w:rPr>
              <w:t>表面平整、光滑，无明显裂纹、色差、</w:t>
            </w:r>
            <w:r>
              <w:rPr>
                <w:rFonts w:hint="eastAsia" w:ascii="黑体" w:hAnsi="黑体" w:cs="宋体"/>
                <w:bCs/>
                <w:kern w:val="0"/>
                <w:szCs w:val="18"/>
              </w:rPr>
              <w:t>起鼓</w:t>
            </w:r>
            <w:r>
              <w:rPr>
                <w:rFonts w:ascii="黑体" w:hAnsi="黑体" w:cs="宋体"/>
                <w:bCs/>
                <w:kern w:val="0"/>
                <w:szCs w:val="18"/>
              </w:rPr>
              <w:t>、</w:t>
            </w:r>
            <w:r>
              <w:rPr>
                <w:rFonts w:hint="eastAsia" w:ascii="黑体" w:hAnsi="黑体" w:cs="宋体"/>
                <w:bCs/>
                <w:kern w:val="0"/>
                <w:szCs w:val="18"/>
              </w:rPr>
              <w:t>凹陷</w:t>
            </w:r>
            <w:r>
              <w:rPr>
                <w:rFonts w:ascii="黑体" w:hAnsi="黑体" w:cs="宋体"/>
                <w:bCs/>
                <w:kern w:val="0"/>
                <w:szCs w:val="18"/>
              </w:rPr>
              <w:t>、</w:t>
            </w:r>
            <w:r>
              <w:rPr>
                <w:rFonts w:hint="eastAsia" w:ascii="黑体" w:hAnsi="黑体" w:cs="宋体"/>
                <w:bCs/>
                <w:kern w:val="0"/>
                <w:szCs w:val="18"/>
              </w:rPr>
              <w:t>颜色纹理不均</w:t>
            </w:r>
            <w:r>
              <w:rPr>
                <w:rFonts w:ascii="黑体" w:hAnsi="黑体" w:cs="宋体"/>
                <w:bCs/>
                <w:kern w:val="0"/>
                <w:szCs w:val="18"/>
              </w:rPr>
              <w:t>等缺陷</w:t>
            </w:r>
          </w:p>
        </w:tc>
        <w:tc>
          <w:tcPr>
            <w:tcW w:w="4128" w:type="dxa"/>
            <w:vAlign w:val="center"/>
          </w:tcPr>
          <w:p w14:paraId="68297A27">
            <w:pPr>
              <w:spacing w:line="276" w:lineRule="auto"/>
              <w:ind w:left="88" w:leftChars="49" w:right="115" w:rightChars="64" w:firstLine="1"/>
              <w:jc w:val="left"/>
              <w:rPr>
                <w:rFonts w:ascii="黑体" w:hAnsi="黑体" w:cs="宋体"/>
                <w:bCs/>
                <w:kern w:val="0"/>
                <w:szCs w:val="18"/>
              </w:rPr>
            </w:pPr>
            <w:r>
              <w:rPr>
                <w:rFonts w:ascii="黑体" w:hAnsi="黑体" w:cs="宋体"/>
                <w:bCs/>
                <w:kern w:val="0"/>
                <w:szCs w:val="18"/>
              </w:rPr>
              <w:t>距表面1m处垂直观察，至少95%的表面无肉眼可见的差异。</w:t>
            </w:r>
          </w:p>
        </w:tc>
      </w:tr>
      <w:tr w14:paraId="0692E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88" w:hRule="atLeast"/>
          <w:tblCellSpacing w:w="0" w:type="dxa"/>
        </w:trPr>
        <w:tc>
          <w:tcPr>
            <w:tcW w:w="1239" w:type="dxa"/>
            <w:vAlign w:val="center"/>
          </w:tcPr>
          <w:p w14:paraId="1AB9ABA7">
            <w:pPr>
              <w:spacing w:line="276" w:lineRule="auto"/>
              <w:jc w:val="left"/>
              <w:rPr>
                <w:rFonts w:ascii="黑体" w:hAnsi="黑体" w:cs="宋体"/>
                <w:bCs/>
                <w:kern w:val="0"/>
                <w:szCs w:val="18"/>
              </w:rPr>
            </w:pPr>
            <w:r>
              <w:rPr>
                <w:rFonts w:ascii="黑体" w:hAnsi="黑体" w:cs="宋体"/>
                <w:bCs/>
                <w:kern w:val="0"/>
                <w:szCs w:val="18"/>
              </w:rPr>
              <w:t>空鼓</w:t>
            </w:r>
          </w:p>
        </w:tc>
        <w:tc>
          <w:tcPr>
            <w:tcW w:w="3823" w:type="dxa"/>
            <w:vAlign w:val="center"/>
          </w:tcPr>
          <w:p w14:paraId="451B2BDC">
            <w:pPr>
              <w:spacing w:line="276" w:lineRule="auto"/>
              <w:ind w:left="88" w:leftChars="49" w:right="115" w:rightChars="64" w:firstLine="1"/>
              <w:jc w:val="left"/>
              <w:rPr>
                <w:rFonts w:ascii="黑体" w:hAnsi="黑体" w:cs="宋体"/>
                <w:bCs/>
                <w:kern w:val="0"/>
                <w:szCs w:val="18"/>
              </w:rPr>
            </w:pPr>
            <w:r>
              <w:rPr>
                <w:rFonts w:hint="eastAsia" w:ascii="黑体" w:hAnsi="黑体" w:cs="宋体"/>
                <w:bCs/>
                <w:kern w:val="0"/>
                <w:szCs w:val="18"/>
              </w:rPr>
              <w:t>每20平方米墙面，空鼓不得超过2处，每次空鼓面积不大于400平方厘米。</w:t>
            </w:r>
          </w:p>
        </w:tc>
        <w:tc>
          <w:tcPr>
            <w:tcW w:w="4128" w:type="dxa"/>
            <w:vAlign w:val="center"/>
          </w:tcPr>
          <w:p w14:paraId="4F4527AB">
            <w:pPr>
              <w:spacing w:line="276" w:lineRule="auto"/>
              <w:ind w:left="88" w:leftChars="49" w:firstLine="1"/>
              <w:jc w:val="left"/>
              <w:rPr>
                <w:rFonts w:ascii="黑体" w:hAnsi="黑体" w:cs="宋体"/>
                <w:bCs/>
                <w:kern w:val="0"/>
                <w:szCs w:val="18"/>
              </w:rPr>
            </w:pPr>
            <w:r>
              <w:rPr>
                <w:rFonts w:ascii="黑体" w:hAnsi="黑体" w:cs="宋体"/>
                <w:bCs/>
                <w:kern w:val="0"/>
                <w:szCs w:val="18"/>
              </w:rPr>
              <w:t>用小锤或手指轻叩击</w:t>
            </w:r>
          </w:p>
        </w:tc>
      </w:tr>
      <w:tr w14:paraId="52A672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78" w:hRule="atLeast"/>
          <w:tblCellSpacing w:w="0" w:type="dxa"/>
        </w:trPr>
        <w:tc>
          <w:tcPr>
            <w:tcW w:w="1239" w:type="dxa"/>
            <w:vAlign w:val="center"/>
          </w:tcPr>
          <w:p w14:paraId="3B5EA9F5">
            <w:pPr>
              <w:spacing w:line="276" w:lineRule="auto"/>
              <w:jc w:val="left"/>
              <w:rPr>
                <w:rFonts w:ascii="黑体" w:hAnsi="黑体" w:cs="宋体"/>
                <w:bCs/>
                <w:kern w:val="0"/>
                <w:szCs w:val="18"/>
              </w:rPr>
            </w:pPr>
            <w:r>
              <w:rPr>
                <w:rFonts w:hint="eastAsia" w:ascii="黑体" w:hAnsi="黑体" w:cs="宋体"/>
                <w:bCs/>
                <w:kern w:val="0"/>
                <w:szCs w:val="18"/>
              </w:rPr>
              <w:t>厚度</w:t>
            </w:r>
          </w:p>
        </w:tc>
        <w:tc>
          <w:tcPr>
            <w:tcW w:w="3823" w:type="dxa"/>
            <w:vAlign w:val="center"/>
          </w:tcPr>
          <w:p w14:paraId="6248F974">
            <w:pPr>
              <w:spacing w:line="276" w:lineRule="auto"/>
              <w:ind w:left="88" w:leftChars="49" w:firstLine="1"/>
              <w:jc w:val="left"/>
              <w:rPr>
                <w:rFonts w:ascii="黑体" w:hAnsi="黑体" w:cs="宋体"/>
                <w:bCs/>
                <w:kern w:val="0"/>
                <w:szCs w:val="18"/>
              </w:rPr>
            </w:pPr>
            <w:r>
              <w:rPr>
                <w:rFonts w:hint="eastAsia" w:ascii="黑体" w:hAnsi="黑体" w:cs="宋体"/>
                <w:bCs/>
                <w:kern w:val="0"/>
                <w:szCs w:val="18"/>
              </w:rPr>
              <w:t>平均厚度不小于设计值</w:t>
            </w:r>
          </w:p>
        </w:tc>
        <w:tc>
          <w:tcPr>
            <w:tcW w:w="4128" w:type="dxa"/>
            <w:vAlign w:val="center"/>
          </w:tcPr>
          <w:p w14:paraId="29FF879F">
            <w:pPr>
              <w:spacing w:line="276" w:lineRule="auto"/>
              <w:ind w:left="88" w:leftChars="49" w:right="115" w:rightChars="64" w:firstLine="1"/>
              <w:jc w:val="left"/>
              <w:rPr>
                <w:rFonts w:ascii="黑体" w:hAnsi="黑体" w:cs="宋体"/>
                <w:bCs/>
                <w:kern w:val="0"/>
                <w:szCs w:val="18"/>
              </w:rPr>
            </w:pPr>
            <w:r>
              <w:rPr>
                <w:rFonts w:hint="eastAsia" w:ascii="黑体" w:hAnsi="黑体" w:cs="宋体"/>
                <w:bCs/>
                <w:kern w:val="0"/>
                <w:szCs w:val="18"/>
              </w:rPr>
              <w:t>用钻孔、切割或在边角及板材中部位置选点测量，检测点数不少于5个</w:t>
            </w:r>
          </w:p>
        </w:tc>
      </w:tr>
    </w:tbl>
    <w:p w14:paraId="5AE33FC5">
      <w:pPr>
        <w:spacing w:line="276" w:lineRule="auto"/>
        <w:jc w:val="left"/>
        <w:rPr>
          <w:rFonts w:ascii="黑体" w:hAnsi="黑体" w:cs="宋体"/>
          <w:bCs/>
          <w:kern w:val="0"/>
          <w:szCs w:val="18"/>
        </w:rPr>
      </w:pPr>
    </w:p>
    <w:p w14:paraId="1343E21D">
      <w:pPr>
        <w:numPr>
          <w:ilvl w:val="1"/>
          <w:numId w:val="161"/>
        </w:numPr>
        <w:spacing w:line="276" w:lineRule="auto"/>
        <w:jc w:val="left"/>
        <w:rPr>
          <w:rFonts w:ascii="黑体" w:hAnsi="黑体" w:cs="宋体"/>
          <w:bCs/>
          <w:kern w:val="0"/>
          <w:szCs w:val="18"/>
        </w:rPr>
      </w:pPr>
      <w:r>
        <w:rPr>
          <w:rFonts w:ascii="黑体" w:hAnsi="黑体" w:cs="宋体"/>
          <w:bCs/>
          <w:kern w:val="0"/>
          <w:szCs w:val="18"/>
        </w:rPr>
        <w:t>验收</w:t>
      </w:r>
    </w:p>
    <w:p w14:paraId="292A8CF2">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内隔墙板系统</w:t>
      </w:r>
      <w:r>
        <w:rPr>
          <w:rFonts w:ascii="黑体" w:hAnsi="黑体" w:cs="宋体"/>
          <w:bCs/>
          <w:kern w:val="0"/>
          <w:szCs w:val="18"/>
        </w:rPr>
        <w:t>工程的检验验收应在检验批质量检验合格的基础上，确认达到验收条件后方可进行。</w:t>
      </w:r>
    </w:p>
    <w:p w14:paraId="4400C53B">
      <w:pPr>
        <w:numPr>
          <w:ilvl w:val="2"/>
          <w:numId w:val="161"/>
        </w:numPr>
        <w:spacing w:line="276" w:lineRule="auto"/>
        <w:jc w:val="left"/>
        <w:rPr>
          <w:rFonts w:ascii="黑体" w:hAnsi="黑体" w:cs="宋体"/>
          <w:bCs/>
          <w:kern w:val="0"/>
          <w:szCs w:val="18"/>
        </w:rPr>
      </w:pPr>
      <w:r>
        <w:rPr>
          <w:rFonts w:hint="eastAsia" w:ascii="黑体" w:hAnsi="黑体" w:cs="宋体"/>
          <w:bCs/>
          <w:kern w:val="0"/>
          <w:szCs w:val="18"/>
        </w:rPr>
        <w:t>内隔墙板系统</w:t>
      </w:r>
      <w:r>
        <w:rPr>
          <w:rFonts w:ascii="黑体" w:hAnsi="黑体" w:cs="宋体"/>
          <w:bCs/>
          <w:kern w:val="0"/>
          <w:szCs w:val="18"/>
        </w:rPr>
        <w:t>工程验收合格应符合下列规定：</w:t>
      </w:r>
      <w:r>
        <w:rPr>
          <w:rFonts w:ascii="黑体" w:hAnsi="黑体" w:cs="宋体"/>
          <w:bCs/>
          <w:kern w:val="0"/>
          <w:szCs w:val="18"/>
        </w:rPr>
        <w:br w:type="textWrapping"/>
      </w:r>
      <w:r>
        <w:rPr>
          <w:rFonts w:ascii="黑体" w:hAnsi="黑体" w:cs="宋体"/>
          <w:bCs/>
          <w:kern w:val="0"/>
          <w:szCs w:val="18"/>
        </w:rPr>
        <w:t>1</w:t>
      </w:r>
      <w:r>
        <w:rPr>
          <w:rFonts w:hint="eastAsia" w:ascii="黑体" w:hAnsi="黑体" w:cs="宋体"/>
          <w:bCs/>
          <w:kern w:val="0"/>
          <w:szCs w:val="18"/>
        </w:rPr>
        <w:t>、</w:t>
      </w:r>
      <w:r>
        <w:rPr>
          <w:rFonts w:ascii="黑体" w:hAnsi="黑体" w:cs="宋体"/>
          <w:bCs/>
          <w:kern w:val="0"/>
          <w:szCs w:val="18"/>
        </w:rPr>
        <w:t>检验批应按主控项目和一般项目验收。</w:t>
      </w:r>
      <w:r>
        <w:rPr>
          <w:rFonts w:ascii="黑体" w:hAnsi="黑体" w:cs="宋体"/>
          <w:bCs/>
          <w:kern w:val="0"/>
          <w:szCs w:val="18"/>
        </w:rPr>
        <w:br w:type="textWrapping"/>
      </w:r>
      <w:r>
        <w:rPr>
          <w:rFonts w:ascii="黑体" w:hAnsi="黑体" w:cs="宋体"/>
          <w:bCs/>
          <w:kern w:val="0"/>
          <w:szCs w:val="18"/>
        </w:rPr>
        <w:t>2</w:t>
      </w:r>
      <w:r>
        <w:rPr>
          <w:rFonts w:hint="eastAsia" w:ascii="黑体" w:hAnsi="黑体" w:cs="宋体"/>
          <w:bCs/>
          <w:kern w:val="0"/>
          <w:szCs w:val="18"/>
        </w:rPr>
        <w:t>、</w:t>
      </w:r>
      <w:r>
        <w:rPr>
          <w:rFonts w:ascii="黑体" w:hAnsi="黑体" w:cs="宋体"/>
          <w:bCs/>
          <w:kern w:val="0"/>
          <w:szCs w:val="18"/>
        </w:rPr>
        <w:t>主控项目应全部合格。</w:t>
      </w:r>
      <w:r>
        <w:rPr>
          <w:rFonts w:ascii="黑体" w:hAnsi="黑体" w:cs="宋体"/>
          <w:bCs/>
          <w:kern w:val="0"/>
          <w:szCs w:val="18"/>
        </w:rPr>
        <w:br w:type="textWrapping"/>
      </w:r>
      <w:r>
        <w:rPr>
          <w:rFonts w:ascii="黑体" w:hAnsi="黑体" w:cs="宋体"/>
          <w:bCs/>
          <w:kern w:val="0"/>
          <w:szCs w:val="18"/>
        </w:rPr>
        <w:t>3</w:t>
      </w:r>
      <w:r>
        <w:rPr>
          <w:rFonts w:hint="eastAsia" w:ascii="黑体" w:hAnsi="黑体" w:cs="宋体"/>
          <w:bCs/>
          <w:kern w:val="0"/>
          <w:szCs w:val="18"/>
        </w:rPr>
        <w:t>、</w:t>
      </w:r>
      <w:r>
        <w:rPr>
          <w:rFonts w:ascii="黑体" w:hAnsi="黑体" w:cs="宋体"/>
          <w:bCs/>
          <w:kern w:val="0"/>
          <w:szCs w:val="18"/>
        </w:rPr>
        <w:t>一般项目至少应有80%以上的检验点合格，且不合格点不得影响使用。</w:t>
      </w:r>
      <w:r>
        <w:rPr>
          <w:rFonts w:ascii="黑体" w:hAnsi="黑体" w:cs="宋体"/>
          <w:bCs/>
          <w:kern w:val="0"/>
          <w:szCs w:val="18"/>
        </w:rPr>
        <w:br w:type="textWrapping"/>
      </w:r>
      <w:r>
        <w:rPr>
          <w:rFonts w:hint="eastAsia" w:ascii="黑体" w:hAnsi="黑体" w:cs="宋体"/>
          <w:bCs/>
          <w:kern w:val="0"/>
          <w:szCs w:val="18"/>
        </w:rPr>
        <w:t>4、</w:t>
      </w:r>
      <w:r>
        <w:rPr>
          <w:rFonts w:ascii="黑体" w:hAnsi="黑体" w:cs="宋体"/>
          <w:bCs/>
          <w:kern w:val="0"/>
          <w:szCs w:val="18"/>
        </w:rPr>
        <w:t>需提供材料进场时复检合格报告。</w:t>
      </w:r>
      <w:r>
        <w:rPr>
          <w:rFonts w:ascii="黑体" w:hAnsi="黑体" w:cs="宋体"/>
          <w:bCs/>
          <w:kern w:val="0"/>
          <w:szCs w:val="18"/>
        </w:rPr>
        <w:br w:type="textWrapping"/>
      </w:r>
      <w:r>
        <w:rPr>
          <w:rFonts w:hint="eastAsia" w:ascii="黑体" w:hAnsi="黑体" w:cs="宋体"/>
          <w:bCs/>
          <w:kern w:val="0"/>
          <w:szCs w:val="18"/>
        </w:rPr>
        <w:t>5、</w:t>
      </w:r>
      <w:r>
        <w:rPr>
          <w:rFonts w:ascii="黑体" w:hAnsi="黑体" w:cs="宋体"/>
          <w:bCs/>
          <w:kern w:val="0"/>
          <w:szCs w:val="18"/>
        </w:rPr>
        <w:t>施工方案和质量验收记录应完整。</w:t>
      </w:r>
      <w:r>
        <w:rPr>
          <w:rFonts w:ascii="黑体" w:hAnsi="黑体" w:cs="宋体"/>
          <w:bCs/>
          <w:kern w:val="0"/>
          <w:szCs w:val="18"/>
        </w:rPr>
        <w:br w:type="textWrapping"/>
      </w:r>
      <w:r>
        <w:rPr>
          <w:rFonts w:hint="eastAsia" w:ascii="黑体" w:hAnsi="黑体" w:cs="宋体"/>
          <w:bCs/>
          <w:kern w:val="0"/>
          <w:szCs w:val="18"/>
        </w:rPr>
        <w:t>6、</w:t>
      </w:r>
      <w:r>
        <w:rPr>
          <w:rFonts w:ascii="黑体" w:hAnsi="黑体" w:cs="宋体"/>
          <w:bCs/>
          <w:kern w:val="0"/>
          <w:szCs w:val="18"/>
        </w:rPr>
        <w:t>隐蔽工程施工质量记录应完整。</w:t>
      </w:r>
    </w:p>
    <w:p w14:paraId="1889010F">
      <w:pPr>
        <w:pStyle w:val="111"/>
        <w:numPr>
          <w:ilvl w:val="0"/>
          <w:numId w:val="0"/>
        </w:numPr>
        <w:ind w:left="1276"/>
        <w:jc w:val="left"/>
      </w:pPr>
    </w:p>
    <w:p w14:paraId="2176CC76">
      <w:pPr>
        <w:widowControl/>
        <w:jc w:val="left"/>
        <w:rPr>
          <w:rFonts w:ascii="黑体" w:hAnsi="黑体"/>
          <w:b/>
          <w:kern w:val="0"/>
          <w:szCs w:val="18"/>
        </w:rPr>
      </w:pPr>
      <w:bookmarkStart w:id="130" w:name="_Toc399689021"/>
      <w:r>
        <w:rPr>
          <w:szCs w:val="18"/>
        </w:rPr>
        <w:br w:type="page"/>
      </w:r>
    </w:p>
    <w:p w14:paraId="6620658B">
      <w:pPr>
        <w:pStyle w:val="2"/>
        <w:ind w:left="365" w:hanging="365"/>
        <w:rPr>
          <w:sz w:val="21"/>
        </w:rPr>
      </w:pPr>
      <w:bookmarkStart w:id="131" w:name="_Toc174556831"/>
      <w:r>
        <w:rPr>
          <w:rFonts w:hint="eastAsia"/>
          <w:sz w:val="21"/>
        </w:rPr>
        <w:t>顶棚</w:t>
      </w:r>
      <w:bookmarkEnd w:id="130"/>
      <w:bookmarkEnd w:id="131"/>
    </w:p>
    <w:p w14:paraId="6530B931">
      <w:pPr>
        <w:pStyle w:val="3"/>
        <w:jc w:val="left"/>
      </w:pPr>
      <w:bookmarkStart w:id="132" w:name="_Toc174556832"/>
      <w:bookmarkStart w:id="133" w:name="_Toc399689022"/>
      <w:r>
        <w:rPr>
          <w:rFonts w:hint="eastAsia"/>
        </w:rPr>
        <w:t>概述</w:t>
      </w:r>
      <w:bookmarkEnd w:id="132"/>
      <w:bookmarkEnd w:id="133"/>
    </w:p>
    <w:p w14:paraId="523479A4">
      <w:pPr>
        <w:widowControl/>
        <w:spacing w:line="360" w:lineRule="auto"/>
        <w:ind w:left="851"/>
        <w:jc w:val="left"/>
        <w:rPr>
          <w:rFonts w:ascii="黑体" w:hAnsi="黑体" w:cs="宋体"/>
          <w:kern w:val="0"/>
          <w:szCs w:val="18"/>
        </w:rPr>
      </w:pPr>
      <w:r>
        <w:rPr>
          <w:rFonts w:hint="eastAsia" w:ascii="黑体" w:hAnsi="黑体" w:cs="宋体"/>
          <w:kern w:val="0"/>
          <w:szCs w:val="18"/>
        </w:rPr>
        <w:t>本章节涉及内容包括非精装区的顶棚做法，包括非精装区的乳胶漆顶棚、设备机房的吸音顶棚</w:t>
      </w:r>
    </w:p>
    <w:p w14:paraId="2CD150CE">
      <w:pPr>
        <w:pStyle w:val="3"/>
        <w:jc w:val="left"/>
      </w:pPr>
      <w:bookmarkStart w:id="134" w:name="_Toc174556833"/>
      <w:bookmarkStart w:id="135" w:name="_Toc399689023"/>
      <w:r>
        <w:rPr>
          <w:rFonts w:hint="eastAsia"/>
        </w:rPr>
        <w:t>乳胶漆</w:t>
      </w:r>
      <w:bookmarkEnd w:id="134"/>
      <w:bookmarkEnd w:id="135"/>
    </w:p>
    <w:p w14:paraId="0450B81C">
      <w:pPr>
        <w:widowControl/>
        <w:spacing w:line="360" w:lineRule="auto"/>
        <w:ind w:left="851"/>
        <w:jc w:val="left"/>
        <w:rPr>
          <w:rFonts w:ascii="黑体" w:hAnsi="黑体" w:cs="宋体"/>
          <w:kern w:val="0"/>
          <w:szCs w:val="18"/>
        </w:rPr>
      </w:pPr>
      <w:r>
        <w:rPr>
          <w:rFonts w:hint="eastAsia" w:ascii="黑体" w:hAnsi="黑体" w:cs="宋体"/>
          <w:kern w:val="0"/>
          <w:szCs w:val="18"/>
        </w:rPr>
        <w:t>同9.5乳胶漆内墙。</w:t>
      </w:r>
    </w:p>
    <w:p w14:paraId="4A241480">
      <w:pPr>
        <w:pStyle w:val="3"/>
        <w:jc w:val="left"/>
      </w:pPr>
      <w:bookmarkStart w:id="136" w:name="_Toc399689024"/>
      <w:bookmarkStart w:id="137" w:name="_Toc174556834"/>
      <w:r>
        <w:rPr>
          <w:rFonts w:hint="eastAsia"/>
        </w:rPr>
        <w:t>吸音吊顶</w:t>
      </w:r>
      <w:bookmarkEnd w:id="136"/>
      <w:bookmarkEnd w:id="137"/>
    </w:p>
    <w:p w14:paraId="18133B41">
      <w:pPr>
        <w:widowControl/>
        <w:spacing w:line="360" w:lineRule="auto"/>
        <w:ind w:left="851"/>
        <w:jc w:val="left"/>
        <w:rPr>
          <w:rFonts w:ascii="黑体" w:hAnsi="黑体" w:cs="宋体"/>
          <w:kern w:val="0"/>
          <w:szCs w:val="18"/>
        </w:rPr>
      </w:pPr>
      <w:r>
        <w:rPr>
          <w:rFonts w:hint="eastAsia" w:ascii="黑体" w:hAnsi="黑体" w:cs="宋体"/>
          <w:kern w:val="0"/>
          <w:szCs w:val="18"/>
        </w:rPr>
        <w:t>同9.6吸音墙面。</w:t>
      </w:r>
    </w:p>
    <w:p w14:paraId="57D36483">
      <w:pPr>
        <w:pStyle w:val="3"/>
        <w:jc w:val="left"/>
      </w:pPr>
      <w:bookmarkStart w:id="138" w:name="_Toc312018710"/>
      <w:bookmarkStart w:id="139" w:name="_Toc174556835"/>
      <w:r>
        <w:rPr>
          <w:rFonts w:hint="eastAsia"/>
        </w:rPr>
        <w:t>金属</w:t>
      </w:r>
      <w:bookmarkEnd w:id="138"/>
      <w:r>
        <w:rPr>
          <w:rFonts w:hint="eastAsia"/>
        </w:rPr>
        <w:t>天花吊顶</w:t>
      </w:r>
      <w:bookmarkEnd w:id="139"/>
    </w:p>
    <w:p w14:paraId="0E837F02">
      <w:pPr>
        <w:spacing w:line="360" w:lineRule="auto"/>
        <w:ind w:left="243" w:leftChars="135" w:firstLine="180" w:firstLineChars="100"/>
        <w:jc w:val="left"/>
        <w:rPr>
          <w:rFonts w:ascii="黑体" w:hAnsi="黑体"/>
          <w:kern w:val="0"/>
          <w:szCs w:val="18"/>
        </w:rPr>
      </w:pPr>
      <w:r>
        <w:rPr>
          <w:rFonts w:hint="eastAsia" w:ascii="黑体" w:hAnsi="黑体"/>
          <w:kern w:val="0"/>
          <w:szCs w:val="18"/>
        </w:rPr>
        <w:t>10.4.1 一般要求</w:t>
      </w:r>
    </w:p>
    <w:p w14:paraId="42956D35">
      <w:pPr>
        <w:widowControl/>
        <w:numPr>
          <w:ilvl w:val="3"/>
          <w:numId w:val="0"/>
        </w:numPr>
        <w:tabs>
          <w:tab w:val="left" w:pos="480"/>
          <w:tab w:val="left" w:pos="1680"/>
        </w:tabs>
        <w:autoSpaceDE w:val="0"/>
        <w:autoSpaceDN w:val="0"/>
        <w:adjustRightInd w:val="0"/>
        <w:spacing w:line="360" w:lineRule="auto"/>
        <w:ind w:left="860"/>
        <w:jc w:val="left"/>
        <w:rPr>
          <w:rFonts w:ascii="黑体" w:hAnsi="黑体" w:cs="宋体"/>
          <w:bCs/>
          <w:kern w:val="0"/>
          <w:szCs w:val="18"/>
        </w:rPr>
      </w:pPr>
      <w:r>
        <w:rPr>
          <w:rFonts w:hint="eastAsia" w:ascii="黑体" w:hAnsi="黑体" w:cs="宋体"/>
          <w:bCs/>
          <w:kern w:val="0"/>
          <w:szCs w:val="18"/>
        </w:rPr>
        <w:t>1.本工艺要求所称金属吊顶是指采用铝合金或镀锌钢板，经机械成型、滚涂或喷涂等工艺加工后，应用于吊顶装饰系统的产品系列。本合约之工作内容包括按合约要求完成指定金属吊顶的采购、加工制作、包装、运输至工地现场、安装、封边收口和完成后的成品保护，以及相关的材料报审、送检（抽检）、深化设计、以及提供材料样板和现场实物样板等工作内容，直到达到设计要求的最终交付验收要求的所有工作内容。</w:t>
      </w:r>
    </w:p>
    <w:p w14:paraId="6640E848">
      <w:pPr>
        <w:widowControl/>
        <w:numPr>
          <w:ilvl w:val="3"/>
          <w:numId w:val="0"/>
        </w:numPr>
        <w:tabs>
          <w:tab w:val="left" w:pos="480"/>
          <w:tab w:val="left" w:pos="1680"/>
        </w:tabs>
        <w:autoSpaceDE w:val="0"/>
        <w:autoSpaceDN w:val="0"/>
        <w:adjustRightInd w:val="0"/>
        <w:spacing w:line="360" w:lineRule="auto"/>
        <w:ind w:left="860"/>
        <w:jc w:val="left"/>
        <w:rPr>
          <w:rFonts w:ascii="黑体" w:hAnsi="黑体" w:cs="宋体"/>
          <w:bCs/>
          <w:kern w:val="0"/>
          <w:szCs w:val="18"/>
        </w:rPr>
      </w:pPr>
      <w:r>
        <w:rPr>
          <w:rFonts w:hint="eastAsia" w:ascii="黑体" w:hAnsi="黑体" w:cs="宋体"/>
          <w:bCs/>
          <w:kern w:val="0"/>
          <w:szCs w:val="18"/>
        </w:rPr>
        <w:t>2.为满足本技术规格之要求所需的所有相关费用，均应已包括在投标总价之中。中标单位在履约过程中除获业主指令变更外，不得以任何理由要求额外的费用补偿。</w:t>
      </w:r>
    </w:p>
    <w:p w14:paraId="2EE630C3">
      <w:pPr>
        <w:spacing w:line="360" w:lineRule="auto"/>
        <w:ind w:left="243" w:leftChars="135" w:firstLine="615" w:firstLineChars="342"/>
        <w:jc w:val="left"/>
        <w:rPr>
          <w:rFonts w:ascii="黑体" w:hAnsi="黑体" w:cs="宋体"/>
          <w:bCs/>
          <w:kern w:val="0"/>
          <w:szCs w:val="18"/>
        </w:rPr>
      </w:pPr>
      <w:r>
        <w:rPr>
          <w:rFonts w:hint="eastAsia" w:ascii="黑体" w:hAnsi="黑体" w:cs="宋体"/>
          <w:bCs/>
          <w:kern w:val="0"/>
          <w:szCs w:val="18"/>
        </w:rPr>
        <w:t>所有提供的主、辅材均应为优质产品，符合国家相关标准并通过环境标志产品认证。</w:t>
      </w:r>
    </w:p>
    <w:p w14:paraId="01BD473A">
      <w:pPr>
        <w:spacing w:line="360" w:lineRule="auto"/>
        <w:ind w:firstLine="360" w:firstLineChars="200"/>
        <w:jc w:val="left"/>
        <w:rPr>
          <w:rFonts w:ascii="黑体" w:hAnsi="黑体" w:cs="宋体"/>
          <w:bCs/>
          <w:kern w:val="0"/>
          <w:szCs w:val="18"/>
        </w:rPr>
      </w:pPr>
      <w:r>
        <w:rPr>
          <w:rFonts w:hint="eastAsia" w:ascii="黑体" w:hAnsi="黑体" w:cs="宋体"/>
          <w:bCs/>
          <w:kern w:val="0"/>
          <w:szCs w:val="18"/>
        </w:rPr>
        <w:t>10.4.2 参照规范</w:t>
      </w:r>
    </w:p>
    <w:p w14:paraId="45CAE22D">
      <w:pPr>
        <w:widowControl/>
        <w:numPr>
          <w:ilvl w:val="3"/>
          <w:numId w:val="0"/>
        </w:numPr>
        <w:tabs>
          <w:tab w:val="left" w:pos="480"/>
          <w:tab w:val="left" w:pos="1680"/>
        </w:tabs>
        <w:autoSpaceDE w:val="0"/>
        <w:autoSpaceDN w:val="0"/>
        <w:adjustRightInd w:val="0"/>
        <w:spacing w:line="360" w:lineRule="auto"/>
        <w:ind w:left="426" w:firstLine="473" w:firstLineChars="263"/>
        <w:jc w:val="left"/>
        <w:rPr>
          <w:rFonts w:ascii="黑体" w:hAnsi="黑体"/>
          <w:kern w:val="0"/>
          <w:szCs w:val="18"/>
        </w:rPr>
      </w:pPr>
      <w:r>
        <w:rPr>
          <w:rFonts w:hint="eastAsia" w:ascii="黑体" w:hAnsi="黑体"/>
          <w:kern w:val="0"/>
          <w:szCs w:val="18"/>
        </w:rPr>
        <w:t>1.除设计、图纸另有注明外，应符合相关国家、地方及行业标准，主要包括但不限于：</w:t>
      </w:r>
    </w:p>
    <w:p w14:paraId="7E36EC3C">
      <w:pPr>
        <w:widowControl/>
        <w:tabs>
          <w:tab w:val="left" w:pos="480"/>
          <w:tab w:val="left" w:pos="1680"/>
        </w:tabs>
        <w:autoSpaceDE w:val="0"/>
        <w:autoSpaceDN w:val="0"/>
        <w:adjustRightInd w:val="0"/>
        <w:spacing w:line="360" w:lineRule="auto"/>
        <w:ind w:left="851"/>
        <w:jc w:val="left"/>
        <w:rPr>
          <w:rFonts w:ascii="黑体" w:hAnsi="黑体"/>
          <w:kern w:val="0"/>
          <w:szCs w:val="18"/>
        </w:rPr>
      </w:pPr>
      <w:r>
        <w:rPr>
          <w:rFonts w:hint="eastAsia" w:ascii="黑体" w:hAnsi="黑体"/>
          <w:kern w:val="0"/>
          <w:szCs w:val="18"/>
        </w:rPr>
        <w:t>《金属吊顶》QB1561-92</w:t>
      </w:r>
    </w:p>
    <w:p w14:paraId="687312C1">
      <w:pPr>
        <w:widowControl/>
        <w:tabs>
          <w:tab w:val="left" w:pos="480"/>
          <w:tab w:val="left" w:pos="1680"/>
        </w:tabs>
        <w:autoSpaceDE w:val="0"/>
        <w:autoSpaceDN w:val="0"/>
        <w:adjustRightInd w:val="0"/>
        <w:spacing w:line="360" w:lineRule="auto"/>
        <w:ind w:left="851"/>
        <w:jc w:val="left"/>
        <w:rPr>
          <w:rFonts w:ascii="黑体" w:hAnsi="黑体"/>
          <w:kern w:val="0"/>
          <w:szCs w:val="18"/>
        </w:rPr>
      </w:pPr>
      <w:r>
        <w:rPr>
          <w:rFonts w:hint="eastAsia" w:ascii="黑体" w:hAnsi="黑体"/>
          <w:kern w:val="0"/>
          <w:szCs w:val="18"/>
        </w:rPr>
        <w:t>《建筑装饰装修工程质量验收规范》GB50210-2001</w:t>
      </w:r>
    </w:p>
    <w:p w14:paraId="03CA90A2">
      <w:pPr>
        <w:widowControl/>
        <w:numPr>
          <w:ilvl w:val="3"/>
          <w:numId w:val="0"/>
        </w:numPr>
        <w:tabs>
          <w:tab w:val="left" w:pos="480"/>
          <w:tab w:val="left" w:pos="1680"/>
        </w:tabs>
        <w:autoSpaceDE w:val="0"/>
        <w:autoSpaceDN w:val="0"/>
        <w:adjustRightInd w:val="0"/>
        <w:spacing w:line="360" w:lineRule="auto"/>
        <w:ind w:left="426" w:firstLine="473" w:firstLineChars="263"/>
        <w:jc w:val="left"/>
        <w:rPr>
          <w:rFonts w:ascii="黑体" w:hAnsi="黑体"/>
          <w:kern w:val="0"/>
          <w:szCs w:val="18"/>
        </w:rPr>
      </w:pPr>
      <w:r>
        <w:rPr>
          <w:rFonts w:hint="eastAsia" w:ascii="黑体" w:hAnsi="黑体"/>
          <w:kern w:val="0"/>
          <w:szCs w:val="18"/>
        </w:rPr>
        <w:t>2.如上述国家、地方或行业规范、规程、标准存在相互重叠、矛盾的内容，按照较高质量标准执行。</w:t>
      </w:r>
    </w:p>
    <w:p w14:paraId="4C7E9652">
      <w:pPr>
        <w:spacing w:line="360" w:lineRule="auto"/>
        <w:ind w:firstLine="360" w:firstLineChars="200"/>
        <w:jc w:val="left"/>
        <w:rPr>
          <w:rFonts w:ascii="黑体" w:hAnsi="黑体" w:cs="宋体"/>
          <w:bCs/>
          <w:kern w:val="0"/>
          <w:szCs w:val="18"/>
        </w:rPr>
      </w:pPr>
      <w:r>
        <w:rPr>
          <w:rFonts w:hint="eastAsia" w:ascii="黑体" w:hAnsi="黑体" w:cs="宋体"/>
          <w:bCs/>
          <w:kern w:val="0"/>
          <w:szCs w:val="18"/>
        </w:rPr>
        <w:t>10.4.3 材料要求</w:t>
      </w:r>
    </w:p>
    <w:p w14:paraId="511A3307">
      <w:pPr>
        <w:widowControl/>
        <w:numPr>
          <w:ilvl w:val="3"/>
          <w:numId w:val="0"/>
        </w:numPr>
        <w:tabs>
          <w:tab w:val="left" w:pos="480"/>
          <w:tab w:val="left" w:pos="1680"/>
        </w:tabs>
        <w:autoSpaceDE w:val="0"/>
        <w:autoSpaceDN w:val="0"/>
        <w:adjustRightInd w:val="0"/>
        <w:spacing w:line="360" w:lineRule="auto"/>
        <w:ind w:left="426" w:firstLine="473" w:firstLineChars="263"/>
        <w:jc w:val="left"/>
        <w:rPr>
          <w:rFonts w:ascii="黑体" w:hAnsi="黑体"/>
          <w:kern w:val="0"/>
          <w:szCs w:val="18"/>
        </w:rPr>
      </w:pPr>
      <w:r>
        <w:rPr>
          <w:rFonts w:hint="eastAsia" w:ascii="黑体" w:hAnsi="黑体"/>
          <w:kern w:val="0"/>
          <w:szCs w:val="18"/>
        </w:rPr>
        <w:t>1.主材</w:t>
      </w:r>
    </w:p>
    <w:p w14:paraId="4D047560">
      <w:pPr>
        <w:widowControl/>
        <w:tabs>
          <w:tab w:val="left" w:pos="480"/>
          <w:tab w:val="left" w:pos="1680"/>
        </w:tabs>
        <w:autoSpaceDE w:val="0"/>
        <w:autoSpaceDN w:val="0"/>
        <w:adjustRightInd w:val="0"/>
        <w:spacing w:line="360" w:lineRule="auto"/>
        <w:ind w:left="851"/>
        <w:jc w:val="left"/>
        <w:rPr>
          <w:rFonts w:ascii="黑体" w:hAnsi="黑体"/>
          <w:kern w:val="0"/>
          <w:szCs w:val="18"/>
        </w:rPr>
      </w:pPr>
      <w:r>
        <w:rPr>
          <w:rFonts w:hint="eastAsia" w:ascii="黑体" w:hAnsi="黑体"/>
          <w:kern w:val="0"/>
          <w:szCs w:val="18"/>
        </w:rPr>
        <w:t>金属吊顶系统的主材为吊顶面板，面板形式分条型板和方板，材质通常为镀锌钢板或铝合金板；如使用于相对潮湿环境（如：卫生间、厨房间、浴室等），应优先考虑使用铝板。</w:t>
      </w:r>
    </w:p>
    <w:p w14:paraId="34318E3F">
      <w:pPr>
        <w:widowControl/>
        <w:numPr>
          <w:ilvl w:val="4"/>
          <w:numId w:val="0"/>
        </w:numPr>
        <w:tabs>
          <w:tab w:val="left" w:pos="480"/>
          <w:tab w:val="left" w:pos="210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铝合金面板：铝合金面板材质通常采用AA5050牌号。板材的厚度依板块的尺寸而定，但最小不得小于0.6mm；当板块≥600*600或面积≥0.36㎡时，厚度不得下于1.0mm；当板块≥600*1200或面积≥0.72㎡时,厚度不得下于1.2mm。</w:t>
      </w:r>
    </w:p>
    <w:p w14:paraId="543B47D8">
      <w:pPr>
        <w:widowControl/>
        <w:numPr>
          <w:ilvl w:val="5"/>
          <w:numId w:val="162"/>
        </w:numPr>
        <w:tabs>
          <w:tab w:val="left" w:pos="480"/>
          <w:tab w:val="left" w:pos="252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铝合金板材质量要求</w:t>
      </w:r>
    </w:p>
    <w:p w14:paraId="7377BCAE">
      <w:pPr>
        <w:widowControl/>
        <w:tabs>
          <w:tab w:val="left" w:pos="480"/>
          <w:tab w:val="left" w:pos="252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表面质量                    光洁、平整，无擦伤、流挂、露底</w:t>
      </w:r>
    </w:p>
    <w:p w14:paraId="62DBD5EF">
      <w:pPr>
        <w:widowControl/>
        <w:tabs>
          <w:tab w:val="left" w:pos="480"/>
          <w:tab w:val="left" w:pos="252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 xml:space="preserve"> 棱边弯曲度（‰）           ≤2</w:t>
      </w:r>
    </w:p>
    <w:p w14:paraId="65EA42AD">
      <w:pPr>
        <w:widowControl/>
        <w:tabs>
          <w:tab w:val="left" w:pos="480"/>
          <w:tab w:val="left" w:pos="252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漆膜层附着力（级）         ≥1</w:t>
      </w:r>
    </w:p>
    <w:p w14:paraId="31C93012">
      <w:pPr>
        <w:widowControl/>
        <w:tabs>
          <w:tab w:val="left" w:pos="480"/>
          <w:tab w:val="left" w:pos="252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漆膜层抗冲击强度（N.m）    ≥4</w:t>
      </w:r>
    </w:p>
    <w:p w14:paraId="11D356F8">
      <w:pPr>
        <w:widowControl/>
        <w:tabs>
          <w:tab w:val="left" w:pos="480"/>
          <w:tab w:val="left" w:pos="252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静载最大弹性变形量（mm）   ≤5</w:t>
      </w:r>
    </w:p>
    <w:p w14:paraId="094E3BCF">
      <w:pPr>
        <w:widowControl/>
        <w:tabs>
          <w:tab w:val="left" w:pos="480"/>
          <w:tab w:val="left" w:pos="252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静载最大塑性变形量（mm）   ≤1</w:t>
      </w:r>
    </w:p>
    <w:p w14:paraId="0AC3BB69">
      <w:pPr>
        <w:widowControl/>
        <w:numPr>
          <w:ilvl w:val="5"/>
          <w:numId w:val="162"/>
        </w:numPr>
        <w:tabs>
          <w:tab w:val="left" w:pos="480"/>
          <w:tab w:val="left" w:pos="252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如为方板:  边长尺寸偏差A（mm）-2≤A≤0；对角线尺寸偏差D（mm</w:t>
      </w:r>
      <w:r>
        <w:rPr>
          <w:rFonts w:ascii="黑体" w:hAnsi="黑体"/>
          <w:kern w:val="0"/>
          <w:szCs w:val="18"/>
        </w:rPr>
        <w:t>）</w:t>
      </w:r>
      <w:r>
        <w:rPr>
          <w:rFonts w:hint="eastAsia" w:ascii="黑体" w:hAnsi="黑体"/>
          <w:kern w:val="0"/>
          <w:szCs w:val="18"/>
        </w:rPr>
        <w:t>-2≤A≤0；</w:t>
      </w:r>
    </w:p>
    <w:p w14:paraId="63C882ED">
      <w:pPr>
        <w:widowControl/>
        <w:tabs>
          <w:tab w:val="left" w:pos="480"/>
          <w:tab w:val="left" w:pos="252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如为条形板，条板宽度尺寸偏差B（mm）-1≤B≤0；</w:t>
      </w:r>
      <w:r>
        <w:rPr>
          <w:rFonts w:hint="eastAsia" w:ascii="黑体" w:hAnsi="黑体"/>
          <w:kern w:val="0"/>
          <w:szCs w:val="18"/>
        </w:rPr>
        <w:tab/>
      </w:r>
      <w:r>
        <w:rPr>
          <w:rFonts w:hint="eastAsia" w:ascii="黑体" w:hAnsi="黑体"/>
          <w:kern w:val="0"/>
          <w:szCs w:val="18"/>
        </w:rPr>
        <w:t>条板高度尺寸偏差H（mm</w:t>
      </w:r>
      <w:r>
        <w:rPr>
          <w:rFonts w:ascii="黑体" w:hAnsi="黑体"/>
          <w:kern w:val="0"/>
          <w:szCs w:val="18"/>
        </w:rPr>
        <w:t>）</w:t>
      </w:r>
      <w:r>
        <w:rPr>
          <w:rFonts w:hint="eastAsia" w:ascii="黑体" w:hAnsi="黑体"/>
          <w:kern w:val="0"/>
          <w:szCs w:val="18"/>
        </w:rPr>
        <w:t>-0.5≤A≤0；条板对角线尺寸偏差 D （mm</w:t>
      </w:r>
      <w:r>
        <w:rPr>
          <w:rFonts w:ascii="黑体" w:hAnsi="黑体"/>
          <w:kern w:val="0"/>
          <w:szCs w:val="18"/>
        </w:rPr>
        <w:t>）</w:t>
      </w:r>
      <w:r>
        <w:rPr>
          <w:rFonts w:hint="eastAsia" w:ascii="黑体" w:hAnsi="黑体"/>
          <w:kern w:val="0"/>
          <w:szCs w:val="18"/>
        </w:rPr>
        <w:t>-2≤D≤0。</w:t>
      </w:r>
    </w:p>
    <w:p w14:paraId="1256D84D">
      <w:pPr>
        <w:widowControl/>
        <w:numPr>
          <w:ilvl w:val="5"/>
          <w:numId w:val="162"/>
        </w:numPr>
        <w:tabs>
          <w:tab w:val="left" w:pos="480"/>
          <w:tab w:val="left" w:pos="252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铝合金表面涂层质量要求：</w:t>
      </w:r>
    </w:p>
    <w:p w14:paraId="33761DA9">
      <w:pPr>
        <w:widowControl/>
        <w:tabs>
          <w:tab w:val="left" w:pos="480"/>
          <w:tab w:val="left" w:pos="210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室内烤漆涂层               ≥16μm</w:t>
      </w:r>
    </w:p>
    <w:p w14:paraId="39E6865F">
      <w:pPr>
        <w:widowControl/>
        <w:tabs>
          <w:tab w:val="left" w:pos="480"/>
          <w:tab w:val="left" w:pos="210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静电粉末喷涂               ≥50μm</w:t>
      </w:r>
    </w:p>
    <w:p w14:paraId="1EC7A8BD">
      <w:pPr>
        <w:widowControl/>
        <w:tabs>
          <w:tab w:val="left" w:pos="480"/>
          <w:tab w:val="left" w:pos="2100"/>
        </w:tabs>
        <w:autoSpaceDE w:val="0"/>
        <w:autoSpaceDN w:val="0"/>
        <w:adjustRightInd w:val="0"/>
        <w:spacing w:line="360" w:lineRule="auto"/>
        <w:ind w:left="849"/>
        <w:jc w:val="left"/>
        <w:rPr>
          <w:rFonts w:ascii="黑体" w:hAnsi="黑体"/>
          <w:kern w:val="0"/>
          <w:szCs w:val="18"/>
        </w:rPr>
      </w:pPr>
      <w:r>
        <w:rPr>
          <w:rFonts w:hint="eastAsia" w:ascii="黑体" w:hAnsi="黑体"/>
          <w:kern w:val="0"/>
          <w:szCs w:val="18"/>
        </w:rPr>
        <w:t>室外烤漆涂层               ≥24μm</w:t>
      </w:r>
    </w:p>
    <w:p w14:paraId="72A66C5F">
      <w:pPr>
        <w:widowControl/>
        <w:numPr>
          <w:ilvl w:val="5"/>
          <w:numId w:val="162"/>
        </w:numPr>
        <w:tabs>
          <w:tab w:val="left" w:pos="480"/>
          <w:tab w:val="left" w:pos="252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面板的吸声系数              ≥0.7</w:t>
      </w:r>
    </w:p>
    <w:p w14:paraId="2EA9F9D2">
      <w:pPr>
        <w:widowControl/>
        <w:numPr>
          <w:ilvl w:val="5"/>
          <w:numId w:val="162"/>
        </w:numPr>
        <w:tabs>
          <w:tab w:val="left" w:pos="480"/>
          <w:tab w:val="left" w:pos="252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燃烧等级                   A级。</w:t>
      </w:r>
    </w:p>
    <w:p w14:paraId="074682F9">
      <w:pPr>
        <w:widowControl/>
        <w:numPr>
          <w:ilvl w:val="5"/>
          <w:numId w:val="162"/>
        </w:numPr>
        <w:tabs>
          <w:tab w:val="left" w:pos="480"/>
          <w:tab w:val="left" w:pos="252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对于有开孔要求的天花板，其开孔具体要求（如：孔径、开孔率、开孔间距等）须满足设计/标书的要求。</w:t>
      </w:r>
    </w:p>
    <w:p w14:paraId="3B8A2C8E">
      <w:pPr>
        <w:widowControl/>
        <w:numPr>
          <w:ilvl w:val="5"/>
          <w:numId w:val="162"/>
        </w:numPr>
        <w:tabs>
          <w:tab w:val="left" w:pos="480"/>
          <w:tab w:val="left" w:pos="252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对于有吸音要求的天花板，其内贴吸音纸须满足设计/标书的要求。</w:t>
      </w:r>
    </w:p>
    <w:p w14:paraId="7AF23AF8">
      <w:pPr>
        <w:widowControl/>
        <w:numPr>
          <w:ilvl w:val="4"/>
          <w:numId w:val="0"/>
        </w:numPr>
        <w:tabs>
          <w:tab w:val="left" w:pos="480"/>
          <w:tab w:val="left" w:pos="210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白色钢板面板</w:t>
      </w:r>
    </w:p>
    <w:p w14:paraId="206D0A04">
      <w:pPr>
        <w:widowControl/>
        <w:tabs>
          <w:tab w:val="left" w:pos="480"/>
          <w:tab w:val="left" w:pos="1680"/>
        </w:tabs>
        <w:autoSpaceDE w:val="0"/>
        <w:autoSpaceDN w:val="0"/>
        <w:adjustRightInd w:val="0"/>
        <w:spacing w:line="360" w:lineRule="auto"/>
        <w:ind w:left="851"/>
        <w:jc w:val="left"/>
        <w:rPr>
          <w:rFonts w:ascii="黑体" w:hAnsi="黑体"/>
          <w:kern w:val="0"/>
          <w:szCs w:val="18"/>
        </w:rPr>
      </w:pPr>
      <w:r>
        <w:rPr>
          <w:rFonts w:hint="eastAsia" w:ascii="黑体" w:hAnsi="黑体"/>
          <w:kern w:val="0"/>
          <w:szCs w:val="18"/>
        </w:rPr>
        <w:t>白色钢板的厚度依大小尺寸而定，并不小于0.6mm；</w:t>
      </w:r>
    </w:p>
    <w:p w14:paraId="2D6B5E96">
      <w:pPr>
        <w:widowControl/>
        <w:tabs>
          <w:tab w:val="left" w:pos="480"/>
          <w:tab w:val="left" w:pos="1680"/>
        </w:tabs>
        <w:autoSpaceDE w:val="0"/>
        <w:autoSpaceDN w:val="0"/>
        <w:adjustRightInd w:val="0"/>
        <w:spacing w:line="360" w:lineRule="auto"/>
        <w:ind w:left="851"/>
        <w:jc w:val="left"/>
        <w:rPr>
          <w:rFonts w:ascii="黑体" w:hAnsi="黑体"/>
          <w:kern w:val="0"/>
          <w:szCs w:val="18"/>
        </w:rPr>
      </w:pPr>
      <w:r>
        <w:rPr>
          <w:rFonts w:hint="eastAsia" w:ascii="黑体" w:hAnsi="黑体"/>
          <w:kern w:val="0"/>
          <w:szCs w:val="18"/>
        </w:rPr>
        <w:t>材料的质量指标不低于铝合金面板；</w:t>
      </w:r>
    </w:p>
    <w:p w14:paraId="0431B9E5">
      <w:pPr>
        <w:widowControl/>
        <w:numPr>
          <w:ilvl w:val="4"/>
          <w:numId w:val="0"/>
        </w:numPr>
        <w:tabs>
          <w:tab w:val="left" w:pos="480"/>
          <w:tab w:val="left" w:pos="210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如果合同中对吊顶面板的品牌、生产厂家以及具体的材料技术指标有明确要求，必须符合该要求；如甲方要求，须提供相应证明资料。</w:t>
      </w:r>
    </w:p>
    <w:p w14:paraId="1CDEBA61">
      <w:pPr>
        <w:widowControl/>
        <w:numPr>
          <w:ilvl w:val="4"/>
          <w:numId w:val="0"/>
        </w:numPr>
        <w:tabs>
          <w:tab w:val="left" w:pos="480"/>
          <w:tab w:val="left" w:pos="210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吊顶面板定货前，须先提供材料样板与建筑师确认；吊顶样板的规格尺寸、厚度、图案要求为拟使用于现场的单元板材料（除非建筑师另有要求）。</w:t>
      </w:r>
    </w:p>
    <w:p w14:paraId="69975A6C">
      <w:pPr>
        <w:widowControl/>
        <w:numPr>
          <w:ilvl w:val="4"/>
          <w:numId w:val="0"/>
        </w:numPr>
        <w:tabs>
          <w:tab w:val="left" w:pos="480"/>
          <w:tab w:val="left" w:pos="210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吊顶面板订货前，须提交建筑师审核的资料包括：材料技术说明书（明确标明各类技术参数以及该产品符合的技术标准/测试标准），使用说明书，相关的检验报告。</w:t>
      </w:r>
    </w:p>
    <w:p w14:paraId="06CE7B01">
      <w:pPr>
        <w:widowControl/>
        <w:numPr>
          <w:ilvl w:val="4"/>
          <w:numId w:val="0"/>
        </w:numPr>
        <w:tabs>
          <w:tab w:val="left" w:pos="480"/>
          <w:tab w:val="left" w:pos="210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对于进口的吊顶面板材料，须提供相关证明文件（如：原产地证明、报关单，等）。</w:t>
      </w:r>
    </w:p>
    <w:p w14:paraId="7E6C308C">
      <w:pPr>
        <w:widowControl/>
        <w:numPr>
          <w:ilvl w:val="4"/>
          <w:numId w:val="0"/>
        </w:numPr>
        <w:tabs>
          <w:tab w:val="left" w:pos="480"/>
          <w:tab w:val="left" w:pos="2100"/>
        </w:tabs>
        <w:autoSpaceDE w:val="0"/>
        <w:autoSpaceDN w:val="0"/>
        <w:adjustRightInd w:val="0"/>
        <w:spacing w:line="360" w:lineRule="auto"/>
        <w:ind w:left="788" w:leftChars="202" w:hanging="424" w:hangingChars="236"/>
        <w:jc w:val="left"/>
        <w:rPr>
          <w:rFonts w:ascii="黑体" w:hAnsi="黑体"/>
          <w:kern w:val="0"/>
          <w:szCs w:val="18"/>
        </w:rPr>
      </w:pPr>
      <w:r>
        <w:rPr>
          <w:rFonts w:hint="eastAsia" w:ascii="黑体" w:hAnsi="黑体"/>
          <w:kern w:val="0"/>
          <w:szCs w:val="18"/>
        </w:rPr>
        <w:t>定型件：吊顶的风口、灯盘等开口及边角部位，必须使用厂家提供的配套产品；不得另行使用加工件，甲方有特别要求的除外。</w:t>
      </w:r>
    </w:p>
    <w:p w14:paraId="3C0F7671">
      <w:pPr>
        <w:widowControl/>
        <w:numPr>
          <w:ilvl w:val="3"/>
          <w:numId w:val="0"/>
        </w:numPr>
        <w:tabs>
          <w:tab w:val="left" w:pos="480"/>
          <w:tab w:val="left" w:pos="1680"/>
        </w:tabs>
        <w:autoSpaceDE w:val="0"/>
        <w:autoSpaceDN w:val="0"/>
        <w:adjustRightInd w:val="0"/>
        <w:spacing w:line="360" w:lineRule="auto"/>
        <w:ind w:firstLine="720" w:firstLineChars="400"/>
        <w:jc w:val="left"/>
        <w:rPr>
          <w:rFonts w:ascii="黑体" w:hAnsi="黑体"/>
          <w:kern w:val="0"/>
          <w:szCs w:val="18"/>
        </w:rPr>
      </w:pPr>
      <w:r>
        <w:rPr>
          <w:rFonts w:hint="eastAsia" w:ascii="黑体" w:hAnsi="黑体"/>
          <w:kern w:val="0"/>
          <w:szCs w:val="18"/>
        </w:rPr>
        <w:t>2.辅材</w:t>
      </w:r>
    </w:p>
    <w:p w14:paraId="312DEDE1">
      <w:pPr>
        <w:widowControl/>
        <w:tabs>
          <w:tab w:val="left" w:pos="480"/>
          <w:tab w:val="left" w:pos="1680"/>
        </w:tabs>
        <w:autoSpaceDE w:val="0"/>
        <w:autoSpaceDN w:val="0"/>
        <w:adjustRightInd w:val="0"/>
        <w:spacing w:line="360" w:lineRule="auto"/>
        <w:ind w:left="851"/>
        <w:jc w:val="left"/>
        <w:rPr>
          <w:rFonts w:ascii="黑体" w:hAnsi="黑体"/>
          <w:kern w:val="0"/>
          <w:szCs w:val="18"/>
        </w:rPr>
      </w:pPr>
      <w:r>
        <w:rPr>
          <w:rFonts w:hint="eastAsia" w:ascii="黑体" w:hAnsi="黑体"/>
          <w:kern w:val="0"/>
          <w:szCs w:val="18"/>
        </w:rPr>
        <w:t>金属吊顶系统的辅材为金属龙骨及安装配件，包括：面板连接件、龙骨连接件、安装扣、调校件等；所有辅材均应具有足够的防腐性能；如使用于相对潮湿环境（如：卫生间、厨房间、浴室等），龙骨材料须具有良好的防潮湿、锈蚀性能。</w:t>
      </w:r>
    </w:p>
    <w:p w14:paraId="5E5E88F7">
      <w:pPr>
        <w:widowControl/>
        <w:numPr>
          <w:ilvl w:val="4"/>
          <w:numId w:val="0"/>
        </w:numPr>
        <w:tabs>
          <w:tab w:val="left" w:pos="480"/>
          <w:tab w:val="left" w:pos="2100"/>
        </w:tabs>
        <w:autoSpaceDE w:val="0"/>
        <w:autoSpaceDN w:val="0"/>
        <w:adjustRightInd w:val="0"/>
        <w:spacing w:line="360" w:lineRule="auto"/>
        <w:ind w:left="1080" w:leftChars="400" w:hanging="360" w:hangingChars="200"/>
        <w:jc w:val="left"/>
        <w:rPr>
          <w:rFonts w:ascii="黑体" w:hAnsi="黑体"/>
          <w:kern w:val="0"/>
          <w:szCs w:val="18"/>
        </w:rPr>
      </w:pPr>
      <w:r>
        <w:rPr>
          <w:rFonts w:hint="eastAsia" w:ascii="黑体" w:hAnsi="黑体"/>
          <w:kern w:val="0"/>
          <w:szCs w:val="18"/>
        </w:rPr>
        <w:t>1） 龙骨：龙骨及其连接配件应选用面板同一厂家配套的产品。如设计无规定，通常采用镀锌钢板成型，双面镀锌量≥180g/m2。</w:t>
      </w:r>
    </w:p>
    <w:p w14:paraId="36998DAA">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2） 龙骨的强度和刚度须满足吊顶的安装和使用要求；副龙骨的挠度要求不大于1‰，且不应大于3MM。</w:t>
      </w:r>
    </w:p>
    <w:p w14:paraId="13EFC172">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3） 连接件、配件的强度应能承受150N的静拉力。把挂件装在拉力机上，两端加力至规定值，保持60秒，应无明显塑性变形。</w:t>
      </w:r>
    </w:p>
    <w:p w14:paraId="3CBCC4CB">
      <w:pPr>
        <w:widowControl/>
        <w:numPr>
          <w:ilvl w:val="4"/>
          <w:numId w:val="0"/>
        </w:numPr>
        <w:tabs>
          <w:tab w:val="left" w:pos="480"/>
          <w:tab w:val="left" w:pos="2100"/>
        </w:tabs>
        <w:autoSpaceDE w:val="0"/>
        <w:autoSpaceDN w:val="0"/>
        <w:adjustRightInd w:val="0"/>
        <w:spacing w:line="360" w:lineRule="auto"/>
        <w:ind w:left="1074" w:leftChars="400" w:hanging="354" w:hangingChars="197"/>
        <w:jc w:val="left"/>
        <w:rPr>
          <w:rFonts w:ascii="黑体" w:hAnsi="黑体"/>
          <w:kern w:val="0"/>
          <w:szCs w:val="18"/>
        </w:rPr>
      </w:pPr>
      <w:r>
        <w:rPr>
          <w:rFonts w:hint="eastAsia" w:ascii="黑体" w:hAnsi="黑体"/>
          <w:kern w:val="0"/>
          <w:szCs w:val="18"/>
        </w:rPr>
        <w:t>4） 吊杆通常采用热浸镀锌螺杆，直径不少于6MM；吊杆的安装间距不得超过1200MM。吊杆的长度通常不超过1500MM；如因特殊情当吊杆的长度超过1500mm时，需设置附加的反向支撑。</w:t>
      </w:r>
    </w:p>
    <w:p w14:paraId="68A04559">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5） 吊顶龙骨及连接件定货前，须先提供技术说明书/使用说明书、样板及安装详图并经建筑师确认后，方可安排定货。</w:t>
      </w:r>
    </w:p>
    <w:p w14:paraId="506E925C">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6） 吊顶龙骨的设计须考虑将来的吊顶面板方便安装和拆卸，并尽量减少对毗邻的面板、龙骨的影响；同时，也要考虑空调机和灯盘等开口位置封边处理的方便，以确保吊顶安装的整体效果。</w:t>
      </w:r>
    </w:p>
    <w:p w14:paraId="40D6CB17">
      <w:pPr>
        <w:spacing w:line="360" w:lineRule="auto"/>
        <w:ind w:firstLine="360" w:firstLineChars="200"/>
        <w:jc w:val="left"/>
        <w:rPr>
          <w:rFonts w:ascii="黑体" w:hAnsi="黑体"/>
          <w:szCs w:val="18"/>
        </w:rPr>
      </w:pPr>
      <w:r>
        <w:rPr>
          <w:rFonts w:hint="eastAsia" w:ascii="黑体" w:hAnsi="黑体" w:cs="宋体"/>
          <w:bCs/>
          <w:kern w:val="0"/>
          <w:szCs w:val="18"/>
        </w:rPr>
        <w:t xml:space="preserve">10.4.4 </w:t>
      </w:r>
      <w:r>
        <w:rPr>
          <w:rFonts w:hint="eastAsia" w:ascii="黑体" w:hAnsi="黑体"/>
          <w:szCs w:val="18"/>
        </w:rPr>
        <w:t>吊顶面板选择的要求</w:t>
      </w:r>
    </w:p>
    <w:p w14:paraId="185661B9">
      <w:pPr>
        <w:widowControl/>
        <w:numPr>
          <w:ilvl w:val="3"/>
          <w:numId w:val="0"/>
        </w:numPr>
        <w:tabs>
          <w:tab w:val="left" w:pos="480"/>
          <w:tab w:val="left" w:pos="1680"/>
        </w:tabs>
        <w:autoSpaceDE w:val="0"/>
        <w:autoSpaceDN w:val="0"/>
        <w:adjustRightInd w:val="0"/>
        <w:spacing w:line="360" w:lineRule="auto"/>
        <w:ind w:left="180" w:leftChars="100" w:firstLine="540" w:firstLineChars="300"/>
        <w:jc w:val="left"/>
        <w:rPr>
          <w:rFonts w:ascii="黑体" w:hAnsi="黑体"/>
          <w:kern w:val="0"/>
          <w:szCs w:val="18"/>
        </w:rPr>
      </w:pPr>
      <w:r>
        <w:rPr>
          <w:rFonts w:hint="eastAsia" w:ascii="黑体" w:hAnsi="黑体"/>
          <w:kern w:val="0"/>
          <w:szCs w:val="18"/>
        </w:rPr>
        <w:t>1. 面板安装前，要先行选择。凡规格不合、起皮、缺角、表面不平整、边角不齐、色泽不一的，都必须剔除。</w:t>
      </w:r>
    </w:p>
    <w:p w14:paraId="1B510814">
      <w:pPr>
        <w:widowControl/>
        <w:numPr>
          <w:ilvl w:val="3"/>
          <w:numId w:val="0"/>
        </w:numPr>
        <w:tabs>
          <w:tab w:val="left" w:pos="480"/>
          <w:tab w:val="left" w:pos="1680"/>
        </w:tabs>
        <w:autoSpaceDE w:val="0"/>
        <w:autoSpaceDN w:val="0"/>
        <w:adjustRightInd w:val="0"/>
        <w:spacing w:line="360" w:lineRule="auto"/>
        <w:ind w:left="360" w:leftChars="200" w:firstLine="360" w:firstLineChars="200"/>
        <w:jc w:val="left"/>
        <w:rPr>
          <w:rFonts w:ascii="黑体" w:hAnsi="黑体"/>
          <w:kern w:val="0"/>
          <w:szCs w:val="18"/>
        </w:rPr>
      </w:pPr>
      <w:r>
        <w:rPr>
          <w:rFonts w:hint="eastAsia" w:ascii="黑体" w:hAnsi="黑体"/>
          <w:kern w:val="0"/>
          <w:szCs w:val="18"/>
        </w:rPr>
        <w:t>2. 同一个房间应采用同一批次的面板材料。</w:t>
      </w:r>
    </w:p>
    <w:p w14:paraId="570B475E">
      <w:pPr>
        <w:spacing w:line="360" w:lineRule="auto"/>
        <w:ind w:firstLine="360" w:firstLineChars="200"/>
        <w:jc w:val="left"/>
        <w:rPr>
          <w:rFonts w:ascii="黑体" w:hAnsi="黑体"/>
          <w:szCs w:val="18"/>
        </w:rPr>
      </w:pPr>
      <w:r>
        <w:rPr>
          <w:rFonts w:hint="eastAsia" w:ascii="黑体" w:hAnsi="黑体" w:cs="宋体"/>
          <w:bCs/>
          <w:kern w:val="0"/>
          <w:szCs w:val="18"/>
        </w:rPr>
        <w:t xml:space="preserve">10.4.5 </w:t>
      </w:r>
      <w:r>
        <w:rPr>
          <w:rFonts w:hint="eastAsia" w:ascii="黑体" w:hAnsi="黑体"/>
          <w:szCs w:val="18"/>
        </w:rPr>
        <w:t>材料包装及运输</w:t>
      </w:r>
    </w:p>
    <w:p w14:paraId="36257D12">
      <w:pPr>
        <w:widowControl/>
        <w:numPr>
          <w:ilvl w:val="3"/>
          <w:numId w:val="0"/>
        </w:numPr>
        <w:tabs>
          <w:tab w:val="left" w:pos="480"/>
          <w:tab w:val="left" w:pos="1680"/>
        </w:tabs>
        <w:autoSpaceDE w:val="0"/>
        <w:autoSpaceDN w:val="0"/>
        <w:adjustRightInd w:val="0"/>
        <w:spacing w:line="360" w:lineRule="auto"/>
        <w:ind w:left="426" w:firstLine="293" w:firstLineChars="163"/>
        <w:jc w:val="left"/>
        <w:rPr>
          <w:rFonts w:ascii="黑体" w:hAnsi="黑体"/>
          <w:kern w:val="0"/>
          <w:szCs w:val="18"/>
        </w:rPr>
      </w:pPr>
      <w:r>
        <w:rPr>
          <w:rFonts w:hint="eastAsia" w:ascii="黑体" w:hAnsi="黑体"/>
          <w:kern w:val="0"/>
          <w:szCs w:val="18"/>
        </w:rPr>
        <w:t>1. 吊顶龙骨在运输过程中，要注意垫置、平放，防止翘曲、变形。</w:t>
      </w:r>
    </w:p>
    <w:p w14:paraId="4A118391">
      <w:pPr>
        <w:widowControl/>
        <w:numPr>
          <w:ilvl w:val="3"/>
          <w:numId w:val="0"/>
        </w:numPr>
        <w:tabs>
          <w:tab w:val="left" w:pos="480"/>
          <w:tab w:val="left" w:pos="1680"/>
        </w:tabs>
        <w:autoSpaceDE w:val="0"/>
        <w:autoSpaceDN w:val="0"/>
        <w:adjustRightInd w:val="0"/>
        <w:spacing w:line="360" w:lineRule="auto"/>
        <w:ind w:left="426" w:firstLine="293" w:firstLineChars="163"/>
        <w:jc w:val="left"/>
        <w:rPr>
          <w:rFonts w:ascii="黑体" w:hAnsi="黑体"/>
          <w:kern w:val="0"/>
          <w:szCs w:val="18"/>
        </w:rPr>
      </w:pPr>
      <w:r>
        <w:rPr>
          <w:rFonts w:hint="eastAsia" w:ascii="黑体" w:hAnsi="黑体"/>
          <w:kern w:val="0"/>
          <w:szCs w:val="18"/>
        </w:rPr>
        <w:t>2. 材料运输途中，必须采取防震、保护措施，并做好固定；应注意避免面板表面被污染；也须注意避免损坏面板的边角部位。</w:t>
      </w:r>
    </w:p>
    <w:p w14:paraId="536D7A43">
      <w:pPr>
        <w:spacing w:line="360" w:lineRule="auto"/>
        <w:ind w:firstLine="360" w:firstLineChars="200"/>
        <w:jc w:val="left"/>
        <w:rPr>
          <w:rFonts w:ascii="黑体" w:hAnsi="黑体" w:cs="宋体"/>
          <w:bCs/>
          <w:kern w:val="0"/>
          <w:szCs w:val="18"/>
        </w:rPr>
      </w:pPr>
      <w:r>
        <w:rPr>
          <w:rFonts w:hint="eastAsia" w:ascii="黑体" w:hAnsi="黑体" w:cs="宋体"/>
          <w:bCs/>
          <w:kern w:val="0"/>
          <w:szCs w:val="18"/>
        </w:rPr>
        <w:t>10.4.6 深化图纸设计</w:t>
      </w:r>
    </w:p>
    <w:p w14:paraId="5FA3DF93">
      <w:pPr>
        <w:widowControl/>
        <w:numPr>
          <w:ilvl w:val="3"/>
          <w:numId w:val="0"/>
        </w:numPr>
        <w:tabs>
          <w:tab w:val="left" w:pos="480"/>
          <w:tab w:val="left" w:pos="1680"/>
        </w:tabs>
        <w:autoSpaceDE w:val="0"/>
        <w:autoSpaceDN w:val="0"/>
        <w:adjustRightInd w:val="0"/>
        <w:spacing w:line="360" w:lineRule="auto"/>
        <w:ind w:firstLine="720" w:firstLineChars="400"/>
        <w:jc w:val="left"/>
        <w:rPr>
          <w:rFonts w:ascii="黑体" w:hAnsi="黑体"/>
          <w:kern w:val="0"/>
          <w:szCs w:val="18"/>
        </w:rPr>
      </w:pPr>
      <w:r>
        <w:rPr>
          <w:rFonts w:hint="eastAsia" w:ascii="黑体" w:hAnsi="黑体"/>
          <w:kern w:val="0"/>
          <w:szCs w:val="18"/>
        </w:rPr>
        <w:t>1. 金属吊顶施工前，须由施工方进行深化设计并经报审通过后方可实施。须报审的图纸包括但不限于：</w:t>
      </w:r>
    </w:p>
    <w:p w14:paraId="511406AD">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1） 金属吊顶的综合布置图，包括：吊顶平面布置图、剖面图及各节点部位详图；吊顶平面图纸不仅须反映金属吊顶的分格尺寸、整体排版布置及分缝的位置；还须反映吊顶上灯盘、空调天花机、风口、检修口、烟感、喷淋等的布置（明确标示其开口位置及尺寸；通常开口须位于吊顶单元板的正中，或边线中；切不可任意开口）、主、副龙骨的布置、间距；吊顶丝杆的布置；并标示结构主、次梁的位置及标高。</w:t>
      </w:r>
    </w:p>
    <w:p w14:paraId="66B4D560">
      <w:pPr>
        <w:widowControl/>
        <w:numPr>
          <w:ilvl w:val="4"/>
          <w:numId w:val="0"/>
        </w:numPr>
        <w:tabs>
          <w:tab w:val="left" w:pos="480"/>
          <w:tab w:val="left" w:pos="2100"/>
        </w:tabs>
        <w:autoSpaceDE w:val="0"/>
        <w:autoSpaceDN w:val="0"/>
        <w:adjustRightInd w:val="0"/>
        <w:spacing w:line="360" w:lineRule="auto"/>
        <w:ind w:firstLine="720" w:firstLineChars="400"/>
        <w:jc w:val="left"/>
        <w:rPr>
          <w:rFonts w:ascii="黑体" w:hAnsi="黑体"/>
          <w:kern w:val="0"/>
          <w:szCs w:val="18"/>
        </w:rPr>
      </w:pPr>
      <w:r>
        <w:rPr>
          <w:rFonts w:hint="eastAsia" w:ascii="黑体" w:hAnsi="黑体"/>
          <w:kern w:val="0"/>
          <w:szCs w:val="18"/>
        </w:rPr>
        <w:t>2） 天花布置图一定要在施工方对现场实际尺寸检查、复核无误的基础上进行。</w:t>
      </w:r>
    </w:p>
    <w:p w14:paraId="6BAFFAE2">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3） 要求的节点详图，包括：吊顶与墙面/柱边相交部位、吊顶检修口部位、吊顶与灯盘、空调风口等部位以及吊顶的典型处理方式。</w:t>
      </w:r>
    </w:p>
    <w:p w14:paraId="7862741C">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4） 对吊顶标高的设定和吊顶内灯盘、空调风机位置的确定，不仅应考虑吊顶施工空间的要求，还须充分考虑吊顶上的设备、管线（包括但不限于：空调机、风管、线槽、消防水管及给排水管道，等）的空间布置及坡度的要求，以及结构主、次梁的布置；因此，吊顶的综合布置应与相关的结构、机电各专业充分协调后确定。</w:t>
      </w:r>
    </w:p>
    <w:p w14:paraId="5056DE8C">
      <w:pPr>
        <w:spacing w:line="360" w:lineRule="auto"/>
        <w:ind w:left="1080" w:leftChars="600"/>
        <w:jc w:val="left"/>
        <w:rPr>
          <w:rFonts w:ascii="黑体" w:hAnsi="黑体"/>
          <w:szCs w:val="18"/>
        </w:rPr>
      </w:pPr>
      <w:r>
        <w:rPr>
          <w:rFonts w:hint="eastAsia" w:ascii="黑体" w:hAnsi="黑体"/>
          <w:szCs w:val="18"/>
        </w:rPr>
        <w:t>提供的图纸及详图，须清晰标明：拟使用材料的材质、各不同材料的界面、具体的做法要求、各详细标注尺寸、标注位置；以及绘图比例（具体见所附深化图样）。</w:t>
      </w:r>
    </w:p>
    <w:p w14:paraId="0AEE1863">
      <w:pPr>
        <w:spacing w:line="360" w:lineRule="auto"/>
        <w:jc w:val="left"/>
        <w:rPr>
          <w:rFonts w:ascii="黑体" w:hAnsi="黑体"/>
          <w:szCs w:val="18"/>
        </w:rPr>
      </w:pPr>
      <w:r>
        <w:rPr>
          <w:rFonts w:hint="eastAsia" w:ascii="黑体" w:hAnsi="黑体" w:cs="宋体"/>
          <w:bCs/>
          <w:kern w:val="0"/>
          <w:szCs w:val="18"/>
        </w:rPr>
        <w:t xml:space="preserve">10.4.7 </w:t>
      </w:r>
      <w:r>
        <w:rPr>
          <w:rFonts w:hint="eastAsia" w:ascii="黑体" w:hAnsi="黑体"/>
          <w:szCs w:val="18"/>
        </w:rPr>
        <w:t>金属吊顶施工作业的注意事项</w:t>
      </w:r>
    </w:p>
    <w:p w14:paraId="5F274A2C">
      <w:pPr>
        <w:widowControl/>
        <w:numPr>
          <w:ilvl w:val="3"/>
          <w:numId w:val="0"/>
        </w:numPr>
        <w:tabs>
          <w:tab w:val="left" w:pos="480"/>
          <w:tab w:val="left" w:pos="1680"/>
        </w:tabs>
        <w:autoSpaceDE w:val="0"/>
        <w:autoSpaceDN w:val="0"/>
        <w:adjustRightInd w:val="0"/>
        <w:spacing w:line="360" w:lineRule="auto"/>
        <w:ind w:firstLine="720" w:firstLineChars="400"/>
        <w:jc w:val="left"/>
        <w:rPr>
          <w:rFonts w:ascii="黑体" w:hAnsi="黑体"/>
          <w:kern w:val="0"/>
          <w:szCs w:val="18"/>
        </w:rPr>
      </w:pPr>
      <w:r>
        <w:rPr>
          <w:rFonts w:hint="eastAsia" w:ascii="黑体" w:hAnsi="黑体"/>
          <w:kern w:val="0"/>
          <w:szCs w:val="18"/>
        </w:rPr>
        <w:t>1. 通常注意事项</w:t>
      </w:r>
    </w:p>
    <w:p w14:paraId="196724BA">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1） 金属吊顶均采用暗龙骨安装方式；安装前，先检查是否符合作业条件。</w:t>
      </w:r>
    </w:p>
    <w:p w14:paraId="2AC08B63">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2） 到场材料应包装完整、技术资料齐全（如：出厂合格证）。</w:t>
      </w:r>
    </w:p>
    <w:p w14:paraId="1DC45F08">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3） 所有材料进场时应对品种、规格、外观和厚度尺寸进行验收。对方型面板，应检查其边长、对角线的尺寸误差是否符合要求；对条形板，应检查其宽度及高度尺寸。</w:t>
      </w:r>
    </w:p>
    <w:p w14:paraId="7E5B87C1">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4） 金属吊顶的设备开孔处应做加强龙骨予以加固。</w:t>
      </w:r>
    </w:p>
    <w:p w14:paraId="79EF6D91">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5） 在安装过程中，施工人员不可直接站在面板或龙骨上施工。</w:t>
      </w:r>
    </w:p>
    <w:p w14:paraId="654069BE">
      <w:pPr>
        <w:widowControl/>
        <w:numPr>
          <w:ilvl w:val="3"/>
          <w:numId w:val="0"/>
        </w:numPr>
        <w:tabs>
          <w:tab w:val="left" w:pos="480"/>
          <w:tab w:val="left" w:pos="1680"/>
        </w:tabs>
        <w:autoSpaceDE w:val="0"/>
        <w:autoSpaceDN w:val="0"/>
        <w:adjustRightInd w:val="0"/>
        <w:spacing w:line="360" w:lineRule="auto"/>
        <w:ind w:firstLine="720" w:firstLineChars="400"/>
        <w:jc w:val="left"/>
        <w:rPr>
          <w:rFonts w:ascii="黑体" w:hAnsi="黑体"/>
          <w:kern w:val="0"/>
          <w:szCs w:val="18"/>
        </w:rPr>
      </w:pPr>
      <w:r>
        <w:rPr>
          <w:rFonts w:hint="eastAsia" w:ascii="黑体" w:hAnsi="黑体"/>
          <w:kern w:val="0"/>
          <w:szCs w:val="18"/>
        </w:rPr>
        <w:t>2. 金属吊顶安装</w:t>
      </w:r>
    </w:p>
    <w:p w14:paraId="54BF3447">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1） 吊顶施工，应在吊顶内的主要管线、设备的安装已基本完成后进行；但，吊杆施工，可在管线设备安装前实施。</w:t>
      </w:r>
    </w:p>
    <w:p w14:paraId="682E27E0">
      <w:pPr>
        <w:widowControl/>
        <w:numPr>
          <w:ilvl w:val="4"/>
          <w:numId w:val="0"/>
        </w:numPr>
        <w:tabs>
          <w:tab w:val="left" w:pos="480"/>
          <w:tab w:val="left" w:pos="2100"/>
        </w:tabs>
        <w:autoSpaceDE w:val="0"/>
        <w:autoSpaceDN w:val="0"/>
        <w:adjustRightInd w:val="0"/>
        <w:spacing w:line="360" w:lineRule="auto"/>
        <w:ind w:left="1080" w:leftChars="400" w:hanging="360" w:hangingChars="200"/>
        <w:jc w:val="left"/>
        <w:rPr>
          <w:rFonts w:ascii="黑体" w:hAnsi="黑体"/>
          <w:kern w:val="0"/>
          <w:szCs w:val="18"/>
        </w:rPr>
      </w:pPr>
      <w:r>
        <w:rPr>
          <w:rFonts w:hint="eastAsia" w:ascii="黑体" w:hAnsi="黑体"/>
          <w:kern w:val="0"/>
          <w:szCs w:val="18"/>
        </w:rPr>
        <w:t>2） 按照吊顶综合布置图确定的标高和分格安排，确定标高线和分格线；标示吊杆位置时，应特别注意根据综合布置图。</w:t>
      </w:r>
    </w:p>
    <w:p w14:paraId="40731BF9">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3） 在拟安装有机电设备（如：灯盘、空调风机等）的位置，吊杆不能挤占设备安装的位置；从吊杆到吊顶设备开口位置通常应留15~20CM距离。</w:t>
      </w:r>
    </w:p>
    <w:p w14:paraId="3B80B9B2">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4） 吊顶上机电设备或大型灯具，其悬吊系统必须与吊顶的龙骨悬挂系统分开，设置独立的吊杆、支架等。</w:t>
      </w:r>
    </w:p>
    <w:p w14:paraId="7CE38BE1">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5） 吊杆安装钻孔时，应注意控制适当的钻孔深度；吊杆安装完成后，要检查吊杆的抗拔力是否能达到要求。</w:t>
      </w:r>
    </w:p>
    <w:p w14:paraId="363CCBF1">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6） 龙骨安装时，要注意调平；但，超过4M跨度或较大面积的吊顶安装，要适当起拱。</w:t>
      </w:r>
    </w:p>
    <w:p w14:paraId="4CA1F6E9">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7） 安装面板时，沿长方向从一边向另一边进行；安装时，要特别注意面板单元块碰角位置要平齐。</w:t>
      </w:r>
    </w:p>
    <w:p w14:paraId="0D1FD396">
      <w:pPr>
        <w:widowControl/>
        <w:numPr>
          <w:ilvl w:val="4"/>
          <w:numId w:val="0"/>
        </w:numPr>
        <w:tabs>
          <w:tab w:val="left" w:pos="480"/>
          <w:tab w:val="left" w:pos="2100"/>
        </w:tabs>
        <w:autoSpaceDE w:val="0"/>
        <w:autoSpaceDN w:val="0"/>
        <w:adjustRightInd w:val="0"/>
        <w:spacing w:line="360" w:lineRule="auto"/>
        <w:ind w:left="1060" w:leftChars="400" w:hanging="340" w:hangingChars="189"/>
        <w:jc w:val="left"/>
        <w:rPr>
          <w:rFonts w:ascii="黑体" w:hAnsi="黑体"/>
          <w:kern w:val="0"/>
          <w:szCs w:val="18"/>
        </w:rPr>
      </w:pPr>
      <w:r>
        <w:rPr>
          <w:rFonts w:hint="eastAsia" w:ascii="黑体" w:hAnsi="黑体"/>
          <w:kern w:val="0"/>
          <w:szCs w:val="18"/>
        </w:rPr>
        <w:t>8） 吊顶较大开口位置（如：检修口、风机、灯盘等）周边的龙骨应做加固处理，吊杆也要适当加密，避免吊顶的变形。</w:t>
      </w:r>
    </w:p>
    <w:p w14:paraId="0AF556A4">
      <w:pPr>
        <w:widowControl/>
        <w:numPr>
          <w:ilvl w:val="4"/>
          <w:numId w:val="0"/>
        </w:numPr>
        <w:tabs>
          <w:tab w:val="left" w:pos="480"/>
          <w:tab w:val="left" w:pos="2100"/>
        </w:tabs>
        <w:autoSpaceDE w:val="0"/>
        <w:autoSpaceDN w:val="0"/>
        <w:adjustRightInd w:val="0"/>
        <w:spacing w:line="360" w:lineRule="auto"/>
        <w:ind w:left="1062" w:leftChars="400" w:hanging="342" w:hangingChars="190"/>
        <w:jc w:val="left"/>
        <w:rPr>
          <w:rFonts w:ascii="黑体" w:hAnsi="黑体"/>
          <w:kern w:val="0"/>
          <w:szCs w:val="18"/>
        </w:rPr>
      </w:pPr>
      <w:r>
        <w:rPr>
          <w:rFonts w:hint="eastAsia" w:ascii="黑体" w:hAnsi="黑体"/>
          <w:kern w:val="0"/>
          <w:szCs w:val="18"/>
        </w:rPr>
        <w:t>9）开口位置在灯盘、风口等安装完成后，以及在检查口、墙、柱转角位置，要以专用收口条收口，收口时要特别注意收口条的碰角处理要平顺，对缝要一致。</w:t>
      </w:r>
    </w:p>
    <w:p w14:paraId="05626ECB">
      <w:pPr>
        <w:widowControl/>
        <w:numPr>
          <w:ilvl w:val="4"/>
          <w:numId w:val="0"/>
        </w:numPr>
        <w:tabs>
          <w:tab w:val="left" w:pos="480"/>
          <w:tab w:val="left" w:pos="2100"/>
        </w:tabs>
        <w:autoSpaceDE w:val="0"/>
        <w:autoSpaceDN w:val="0"/>
        <w:adjustRightInd w:val="0"/>
        <w:spacing w:line="360" w:lineRule="auto"/>
        <w:ind w:left="-59" w:leftChars="-33" w:firstLine="779" w:firstLineChars="433"/>
        <w:jc w:val="left"/>
        <w:rPr>
          <w:rFonts w:ascii="黑体" w:hAnsi="黑体"/>
          <w:kern w:val="0"/>
          <w:szCs w:val="18"/>
        </w:rPr>
      </w:pPr>
      <w:r>
        <w:rPr>
          <w:rFonts w:hint="eastAsia" w:ascii="黑体" w:hAnsi="黑体"/>
          <w:kern w:val="0"/>
          <w:szCs w:val="18"/>
        </w:rPr>
        <w:t>10）对附着于吊顶上的设备（如：烟感、喷淋等），安装时要注意与吊顶表面衔接部位的处理，避免与吊顶脱离。</w:t>
      </w:r>
    </w:p>
    <w:p w14:paraId="4BF86848">
      <w:pPr>
        <w:widowControl/>
        <w:numPr>
          <w:ilvl w:val="3"/>
          <w:numId w:val="0"/>
        </w:numPr>
        <w:tabs>
          <w:tab w:val="left" w:pos="480"/>
          <w:tab w:val="left" w:pos="1680"/>
        </w:tabs>
        <w:autoSpaceDE w:val="0"/>
        <w:autoSpaceDN w:val="0"/>
        <w:adjustRightInd w:val="0"/>
        <w:spacing w:line="360" w:lineRule="auto"/>
        <w:ind w:firstLine="720" w:firstLineChars="400"/>
        <w:jc w:val="left"/>
        <w:rPr>
          <w:rFonts w:ascii="黑体" w:hAnsi="黑体"/>
          <w:kern w:val="0"/>
          <w:szCs w:val="18"/>
        </w:rPr>
      </w:pPr>
      <w:r>
        <w:rPr>
          <w:rFonts w:hint="eastAsia" w:ascii="黑体" w:hAnsi="黑体"/>
          <w:kern w:val="0"/>
          <w:szCs w:val="18"/>
        </w:rPr>
        <w:t>3.样板施工要求</w:t>
      </w:r>
    </w:p>
    <w:p w14:paraId="58B97999">
      <w:pPr>
        <w:spacing w:line="360" w:lineRule="auto"/>
        <w:ind w:left="900" w:leftChars="500"/>
        <w:jc w:val="left"/>
        <w:rPr>
          <w:rFonts w:ascii="黑体" w:hAnsi="黑体"/>
          <w:szCs w:val="18"/>
        </w:rPr>
      </w:pPr>
      <w:r>
        <w:rPr>
          <w:rFonts w:hint="eastAsia" w:ascii="黑体" w:hAnsi="黑体"/>
          <w:szCs w:val="18"/>
        </w:rPr>
        <w:t>除按要求提供材料样板外，现场还需要按照建筑师的要求完成实物样板。该实物样板须在现场指定位置按要求尺寸完成图纸及设计、工艺要求的全部工作内容（包括但不限于：吊顶主、副龙骨及吊顶面板的安装固定，开口位置的封口收边、以及碰角等）并经建筑师审批认可后方可开始大面积施工。</w:t>
      </w:r>
    </w:p>
    <w:p w14:paraId="209E2A38">
      <w:pPr>
        <w:spacing w:line="360" w:lineRule="auto"/>
        <w:jc w:val="left"/>
        <w:rPr>
          <w:rFonts w:ascii="黑体" w:hAnsi="黑体"/>
          <w:szCs w:val="18"/>
        </w:rPr>
      </w:pPr>
      <w:r>
        <w:rPr>
          <w:rFonts w:hint="eastAsia" w:ascii="黑体" w:hAnsi="黑体" w:cs="宋体"/>
          <w:bCs/>
          <w:kern w:val="0"/>
          <w:szCs w:val="18"/>
        </w:rPr>
        <w:t xml:space="preserve">10.4.8 </w:t>
      </w:r>
      <w:bookmarkStart w:id="140" w:name="_Toc312018713"/>
      <w:bookmarkStart w:id="141" w:name="_Toc439263965"/>
      <w:r>
        <w:rPr>
          <w:rFonts w:hint="eastAsia" w:ascii="黑体" w:hAnsi="黑体"/>
          <w:szCs w:val="18"/>
        </w:rPr>
        <w:t>成品保护</w:t>
      </w:r>
      <w:bookmarkEnd w:id="140"/>
      <w:bookmarkEnd w:id="141"/>
    </w:p>
    <w:p w14:paraId="1CB42DC8">
      <w:pPr>
        <w:widowControl/>
        <w:numPr>
          <w:ilvl w:val="3"/>
          <w:numId w:val="0"/>
        </w:numPr>
        <w:tabs>
          <w:tab w:val="left" w:pos="480"/>
          <w:tab w:val="left" w:pos="1680"/>
        </w:tabs>
        <w:autoSpaceDE w:val="0"/>
        <w:autoSpaceDN w:val="0"/>
        <w:adjustRightInd w:val="0"/>
        <w:spacing w:line="360" w:lineRule="auto"/>
        <w:ind w:left="426"/>
        <w:jc w:val="left"/>
        <w:rPr>
          <w:rFonts w:ascii="黑体" w:hAnsi="黑体"/>
          <w:kern w:val="0"/>
          <w:szCs w:val="18"/>
        </w:rPr>
      </w:pPr>
      <w:r>
        <w:rPr>
          <w:rFonts w:hint="eastAsia" w:ascii="黑体" w:hAnsi="黑体"/>
          <w:kern w:val="0"/>
          <w:szCs w:val="18"/>
        </w:rPr>
        <w:t>1. 吊顶完成后，对吊顶内设备的检修须特别注意，避免损坏吊顶。</w:t>
      </w:r>
    </w:p>
    <w:p w14:paraId="6DDDEEB3">
      <w:pPr>
        <w:widowControl/>
        <w:numPr>
          <w:ilvl w:val="3"/>
          <w:numId w:val="0"/>
        </w:numPr>
        <w:tabs>
          <w:tab w:val="left" w:pos="480"/>
          <w:tab w:val="left" w:pos="1680"/>
        </w:tabs>
        <w:autoSpaceDE w:val="0"/>
        <w:autoSpaceDN w:val="0"/>
        <w:adjustRightInd w:val="0"/>
        <w:spacing w:line="360" w:lineRule="auto"/>
        <w:ind w:left="426"/>
        <w:jc w:val="left"/>
        <w:rPr>
          <w:rFonts w:ascii="黑体" w:hAnsi="黑体"/>
          <w:kern w:val="0"/>
          <w:szCs w:val="18"/>
        </w:rPr>
      </w:pPr>
      <w:r>
        <w:rPr>
          <w:rFonts w:hint="eastAsia" w:ascii="黑体" w:hAnsi="黑体"/>
          <w:kern w:val="0"/>
          <w:szCs w:val="18"/>
        </w:rPr>
        <w:t>2. 金属吊顶板的自粘性保护膜宜在产品出厂的45天内撕去。</w:t>
      </w:r>
    </w:p>
    <w:p w14:paraId="6D5509CA">
      <w:pPr>
        <w:widowControl/>
        <w:numPr>
          <w:ilvl w:val="2"/>
          <w:numId w:val="0"/>
        </w:numPr>
        <w:tabs>
          <w:tab w:val="left" w:pos="480"/>
          <w:tab w:val="left" w:pos="1200"/>
        </w:tabs>
        <w:autoSpaceDE w:val="0"/>
        <w:autoSpaceDN w:val="0"/>
        <w:adjustRightInd w:val="0"/>
        <w:spacing w:before="100" w:beforeAutospacing="1" w:after="100" w:afterAutospacing="1" w:line="360" w:lineRule="auto"/>
        <w:ind w:left="-4" w:firstLine="4"/>
        <w:jc w:val="left"/>
        <w:rPr>
          <w:rFonts w:ascii="黑体" w:hAnsi="黑体" w:cs="宋体"/>
          <w:bCs/>
          <w:kern w:val="0"/>
          <w:szCs w:val="18"/>
        </w:rPr>
      </w:pPr>
      <w:r>
        <w:rPr>
          <w:rFonts w:hint="eastAsia" w:ascii="黑体" w:hAnsi="黑体" w:cs="宋体"/>
          <w:bCs/>
          <w:kern w:val="0"/>
          <w:szCs w:val="18"/>
        </w:rPr>
        <w:t>10.4.9 检查验收</w:t>
      </w:r>
    </w:p>
    <w:p w14:paraId="636A654E">
      <w:pPr>
        <w:widowControl/>
        <w:numPr>
          <w:ilvl w:val="3"/>
          <w:numId w:val="0"/>
        </w:numPr>
        <w:tabs>
          <w:tab w:val="left" w:pos="480"/>
          <w:tab w:val="left" w:pos="1680"/>
        </w:tabs>
        <w:autoSpaceDE w:val="0"/>
        <w:autoSpaceDN w:val="0"/>
        <w:adjustRightInd w:val="0"/>
        <w:spacing w:line="360" w:lineRule="auto"/>
        <w:ind w:firstLine="360" w:firstLineChars="200"/>
        <w:jc w:val="left"/>
        <w:rPr>
          <w:rFonts w:ascii="黑体" w:hAnsi="黑体"/>
          <w:kern w:val="0"/>
          <w:szCs w:val="18"/>
        </w:rPr>
      </w:pPr>
      <w:r>
        <w:rPr>
          <w:rFonts w:hint="eastAsia" w:ascii="黑体" w:hAnsi="黑体"/>
          <w:kern w:val="0"/>
          <w:szCs w:val="18"/>
        </w:rPr>
        <w:t>1. 吊顶标高、尺寸、起拱和造型应符合设计要求。检验方法：观察；尺量检查。</w:t>
      </w:r>
    </w:p>
    <w:p w14:paraId="39E2F8DD">
      <w:pPr>
        <w:widowControl/>
        <w:numPr>
          <w:ilvl w:val="3"/>
          <w:numId w:val="0"/>
        </w:numPr>
        <w:tabs>
          <w:tab w:val="left" w:pos="1680"/>
        </w:tabs>
        <w:autoSpaceDE w:val="0"/>
        <w:autoSpaceDN w:val="0"/>
        <w:adjustRightInd w:val="0"/>
        <w:spacing w:line="360" w:lineRule="auto"/>
        <w:ind w:left="651" w:leftChars="196" w:hanging="298" w:hangingChars="166"/>
        <w:jc w:val="left"/>
        <w:rPr>
          <w:rFonts w:ascii="黑体" w:hAnsi="黑体"/>
          <w:kern w:val="0"/>
          <w:szCs w:val="18"/>
        </w:rPr>
      </w:pPr>
      <w:r>
        <w:rPr>
          <w:rFonts w:hint="eastAsia" w:ascii="黑体" w:hAnsi="黑体"/>
          <w:kern w:val="0"/>
          <w:szCs w:val="18"/>
        </w:rPr>
        <w:t>2. 饰面材料的材质、品种、规格、图案和颜色应符合设计要求。检验方法：观察；检查产品合格证书、性能检测报告、进场验收记录和复验报告。</w:t>
      </w:r>
    </w:p>
    <w:p w14:paraId="2C87FF2E">
      <w:pPr>
        <w:widowControl/>
        <w:numPr>
          <w:ilvl w:val="3"/>
          <w:numId w:val="0"/>
        </w:numPr>
        <w:tabs>
          <w:tab w:val="left" w:pos="480"/>
          <w:tab w:val="left" w:pos="1680"/>
        </w:tabs>
        <w:autoSpaceDE w:val="0"/>
        <w:autoSpaceDN w:val="0"/>
        <w:adjustRightInd w:val="0"/>
        <w:spacing w:line="360" w:lineRule="auto"/>
        <w:ind w:left="639" w:leftChars="200" w:hanging="279" w:hangingChars="155"/>
        <w:jc w:val="left"/>
        <w:rPr>
          <w:rFonts w:ascii="黑体" w:hAnsi="黑体"/>
          <w:kern w:val="0"/>
          <w:szCs w:val="18"/>
        </w:rPr>
      </w:pPr>
      <w:r>
        <w:rPr>
          <w:rFonts w:hint="eastAsia" w:ascii="黑体" w:hAnsi="黑体"/>
          <w:kern w:val="0"/>
          <w:szCs w:val="18"/>
        </w:rPr>
        <w:t>3. 暗龙骨吊顶工程的吊杆、龙骨和饰面材料的安装必须牢固。检验方法：观察；手扳检查；检查隐蔽工程验收记录和施工记录。</w:t>
      </w:r>
    </w:p>
    <w:p w14:paraId="63E646A1">
      <w:pPr>
        <w:widowControl/>
        <w:numPr>
          <w:ilvl w:val="3"/>
          <w:numId w:val="0"/>
        </w:numPr>
        <w:tabs>
          <w:tab w:val="left" w:pos="480"/>
          <w:tab w:val="left" w:pos="1680"/>
        </w:tabs>
        <w:autoSpaceDE w:val="0"/>
        <w:autoSpaceDN w:val="0"/>
        <w:adjustRightInd w:val="0"/>
        <w:spacing w:line="360" w:lineRule="auto"/>
        <w:ind w:left="619" w:leftChars="200" w:hanging="259" w:hangingChars="144"/>
        <w:jc w:val="left"/>
        <w:rPr>
          <w:rFonts w:ascii="黑体" w:hAnsi="黑体"/>
          <w:kern w:val="0"/>
          <w:szCs w:val="18"/>
        </w:rPr>
      </w:pPr>
      <w:r>
        <w:rPr>
          <w:rFonts w:hint="eastAsia" w:ascii="黑体" w:hAnsi="黑体"/>
          <w:kern w:val="0"/>
          <w:szCs w:val="18"/>
        </w:rPr>
        <w:t>4. 吊杆、龙骨的材质、规格、安装间距及连接方式应符合设计要求。金属吊杆、龙骨应经过表面防腐处理。检验方法：观察；尺量检查；检查产品合格证书、性能检测报告、进场验收记录和隐蔽工程验收记录。</w:t>
      </w:r>
    </w:p>
    <w:p w14:paraId="1013444B">
      <w:pPr>
        <w:widowControl/>
        <w:numPr>
          <w:ilvl w:val="3"/>
          <w:numId w:val="0"/>
        </w:numPr>
        <w:tabs>
          <w:tab w:val="left" w:pos="480"/>
          <w:tab w:val="left" w:pos="1680"/>
        </w:tabs>
        <w:autoSpaceDE w:val="0"/>
        <w:autoSpaceDN w:val="0"/>
        <w:adjustRightInd w:val="0"/>
        <w:spacing w:line="360" w:lineRule="auto"/>
        <w:ind w:firstLine="360" w:firstLineChars="200"/>
        <w:jc w:val="left"/>
        <w:rPr>
          <w:rFonts w:ascii="黑体" w:hAnsi="黑体"/>
          <w:kern w:val="0"/>
          <w:szCs w:val="18"/>
        </w:rPr>
      </w:pPr>
      <w:r>
        <w:rPr>
          <w:rFonts w:hint="eastAsia" w:ascii="黑体" w:hAnsi="黑体"/>
          <w:kern w:val="0"/>
          <w:szCs w:val="18"/>
        </w:rPr>
        <w:t>5. 饰面材料表面应洁净、色泽一致，不得有翘曲、裂缝及缺损。压条应平直、宽窄一致。检查方法：观察；</w:t>
      </w:r>
    </w:p>
    <w:p w14:paraId="1CB0BFDD">
      <w:pPr>
        <w:widowControl/>
        <w:numPr>
          <w:ilvl w:val="3"/>
          <w:numId w:val="0"/>
        </w:numPr>
        <w:tabs>
          <w:tab w:val="left" w:pos="480"/>
          <w:tab w:val="left" w:pos="1680"/>
        </w:tabs>
        <w:autoSpaceDE w:val="0"/>
        <w:autoSpaceDN w:val="0"/>
        <w:adjustRightInd w:val="0"/>
        <w:spacing w:line="360" w:lineRule="auto"/>
        <w:ind w:left="658" w:leftChars="200" w:hanging="298" w:hangingChars="166"/>
        <w:jc w:val="left"/>
        <w:rPr>
          <w:rFonts w:ascii="黑体" w:hAnsi="黑体"/>
          <w:kern w:val="0"/>
          <w:szCs w:val="18"/>
        </w:rPr>
      </w:pPr>
      <w:r>
        <w:rPr>
          <w:rFonts w:hint="eastAsia" w:ascii="黑体" w:hAnsi="黑体"/>
          <w:kern w:val="0"/>
          <w:szCs w:val="18"/>
        </w:rPr>
        <w:t>6. 饰面板上的灯具、烟感器、喷淋头、风口篦子等设备的位置应合理、美观，与饰面板的交接应吻合、严密。检验方法：观察。</w:t>
      </w:r>
    </w:p>
    <w:p w14:paraId="0B1BA53D">
      <w:pPr>
        <w:widowControl/>
        <w:numPr>
          <w:ilvl w:val="3"/>
          <w:numId w:val="0"/>
        </w:numPr>
        <w:tabs>
          <w:tab w:val="left" w:pos="480"/>
          <w:tab w:val="left" w:pos="1680"/>
        </w:tabs>
        <w:autoSpaceDE w:val="0"/>
        <w:autoSpaceDN w:val="0"/>
        <w:adjustRightInd w:val="0"/>
        <w:spacing w:line="360" w:lineRule="auto"/>
        <w:ind w:left="678" w:leftChars="200" w:hanging="318" w:hangingChars="177"/>
        <w:jc w:val="left"/>
        <w:rPr>
          <w:rFonts w:ascii="黑体" w:hAnsi="黑体"/>
          <w:kern w:val="0"/>
          <w:szCs w:val="18"/>
        </w:rPr>
      </w:pPr>
      <w:r>
        <w:rPr>
          <w:rFonts w:hint="eastAsia" w:ascii="黑体" w:hAnsi="黑体"/>
          <w:kern w:val="0"/>
          <w:szCs w:val="18"/>
        </w:rPr>
        <w:t>7. 金属吊杆、龙平的接缝应均匀一致，角缝应吻合，表面应平整，无翘曲、锤印。检验方法：检查隐蔽工程验收记录和施工记录。</w:t>
      </w:r>
    </w:p>
    <w:p w14:paraId="264802EC">
      <w:pPr>
        <w:widowControl/>
        <w:numPr>
          <w:ilvl w:val="3"/>
          <w:numId w:val="0"/>
        </w:numPr>
        <w:tabs>
          <w:tab w:val="left" w:pos="480"/>
          <w:tab w:val="left" w:pos="1680"/>
        </w:tabs>
        <w:autoSpaceDE w:val="0"/>
        <w:autoSpaceDN w:val="0"/>
        <w:adjustRightInd w:val="0"/>
        <w:spacing w:line="360" w:lineRule="auto"/>
        <w:ind w:left="658" w:leftChars="200" w:hanging="298" w:hangingChars="166"/>
        <w:jc w:val="left"/>
        <w:rPr>
          <w:rFonts w:ascii="黑体" w:hAnsi="黑体"/>
          <w:kern w:val="0"/>
          <w:szCs w:val="18"/>
        </w:rPr>
      </w:pPr>
      <w:r>
        <w:rPr>
          <w:rFonts w:hint="eastAsia" w:ascii="黑体" w:hAnsi="黑体"/>
          <w:kern w:val="0"/>
          <w:szCs w:val="18"/>
        </w:rPr>
        <w:t>8. 吊顶内填充吸声材料的品种和铺设厚度应符合设计要求，并应有防散落措施。检验方法：检查隐蔽工程验收记录和施工记录。</w:t>
      </w:r>
    </w:p>
    <w:p w14:paraId="64F1ACC2">
      <w:pPr>
        <w:widowControl/>
        <w:numPr>
          <w:ilvl w:val="3"/>
          <w:numId w:val="0"/>
        </w:numPr>
        <w:tabs>
          <w:tab w:val="left" w:pos="480"/>
          <w:tab w:val="left" w:pos="1680"/>
        </w:tabs>
        <w:autoSpaceDE w:val="0"/>
        <w:autoSpaceDN w:val="0"/>
        <w:adjustRightInd w:val="0"/>
        <w:spacing w:line="360" w:lineRule="auto"/>
        <w:ind w:firstLine="360" w:firstLineChars="200"/>
        <w:jc w:val="left"/>
        <w:rPr>
          <w:rFonts w:ascii="黑体" w:hAnsi="黑体"/>
          <w:kern w:val="0"/>
          <w:szCs w:val="18"/>
        </w:rPr>
      </w:pPr>
      <w:r>
        <w:rPr>
          <w:rFonts w:hint="eastAsia" w:ascii="黑体" w:hAnsi="黑体"/>
          <w:kern w:val="0"/>
          <w:szCs w:val="18"/>
        </w:rPr>
        <w:t>9. 暗龙平吊顶工程安装的允许偏差和检验方法应符合下表的规定。</w:t>
      </w:r>
    </w:p>
    <w:tbl>
      <w:tblPr>
        <w:tblStyle w:val="36"/>
        <w:tblW w:w="95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778"/>
        <w:gridCol w:w="1784"/>
        <w:gridCol w:w="4359"/>
      </w:tblGrid>
      <w:tr w14:paraId="6200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Pr>
          <w:p w14:paraId="065716B4">
            <w:pPr>
              <w:spacing w:line="360" w:lineRule="auto"/>
              <w:jc w:val="left"/>
              <w:rPr>
                <w:rFonts w:ascii="黑体" w:hAnsi="黑体"/>
                <w:szCs w:val="18"/>
              </w:rPr>
            </w:pPr>
            <w:r>
              <w:rPr>
                <w:rFonts w:hint="eastAsia" w:ascii="黑体" w:hAnsi="黑体"/>
                <w:szCs w:val="18"/>
              </w:rPr>
              <w:t>项次</w:t>
            </w:r>
          </w:p>
        </w:tc>
        <w:tc>
          <w:tcPr>
            <w:tcW w:w="1778" w:type="dxa"/>
          </w:tcPr>
          <w:p w14:paraId="2B3BDA76">
            <w:pPr>
              <w:spacing w:line="360" w:lineRule="auto"/>
              <w:jc w:val="left"/>
              <w:rPr>
                <w:rFonts w:ascii="黑体" w:hAnsi="黑体"/>
                <w:szCs w:val="18"/>
              </w:rPr>
            </w:pPr>
            <w:r>
              <w:rPr>
                <w:rFonts w:hint="eastAsia" w:ascii="黑体" w:hAnsi="黑体"/>
                <w:szCs w:val="18"/>
              </w:rPr>
              <w:t>项目</w:t>
            </w:r>
          </w:p>
        </w:tc>
        <w:tc>
          <w:tcPr>
            <w:tcW w:w="1784" w:type="dxa"/>
          </w:tcPr>
          <w:p w14:paraId="77CF4988">
            <w:pPr>
              <w:spacing w:line="360" w:lineRule="auto"/>
              <w:jc w:val="left"/>
              <w:rPr>
                <w:rFonts w:ascii="黑体" w:hAnsi="黑体"/>
                <w:szCs w:val="18"/>
              </w:rPr>
            </w:pPr>
            <w:r>
              <w:rPr>
                <w:rFonts w:hint="eastAsia" w:ascii="黑体" w:hAnsi="黑体"/>
                <w:szCs w:val="18"/>
              </w:rPr>
              <w:t>允许偏差（mm）</w:t>
            </w:r>
          </w:p>
        </w:tc>
        <w:tc>
          <w:tcPr>
            <w:tcW w:w="4359" w:type="dxa"/>
          </w:tcPr>
          <w:p w14:paraId="6073269D">
            <w:pPr>
              <w:spacing w:line="360" w:lineRule="auto"/>
              <w:jc w:val="left"/>
              <w:rPr>
                <w:rFonts w:ascii="黑体" w:hAnsi="黑体"/>
                <w:szCs w:val="18"/>
              </w:rPr>
            </w:pPr>
            <w:r>
              <w:rPr>
                <w:rFonts w:hint="eastAsia" w:ascii="黑体" w:hAnsi="黑体"/>
                <w:szCs w:val="18"/>
              </w:rPr>
              <w:t>检验方法</w:t>
            </w:r>
          </w:p>
        </w:tc>
      </w:tr>
      <w:tr w14:paraId="338B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600" w:type="dxa"/>
          </w:tcPr>
          <w:p w14:paraId="1E9CA23B">
            <w:pPr>
              <w:spacing w:line="360" w:lineRule="auto"/>
              <w:jc w:val="left"/>
              <w:rPr>
                <w:rFonts w:ascii="黑体" w:hAnsi="黑体"/>
                <w:szCs w:val="18"/>
              </w:rPr>
            </w:pPr>
            <w:r>
              <w:rPr>
                <w:rFonts w:hint="eastAsia" w:ascii="黑体" w:hAnsi="黑体"/>
                <w:szCs w:val="18"/>
              </w:rPr>
              <w:t>1</w:t>
            </w:r>
          </w:p>
        </w:tc>
        <w:tc>
          <w:tcPr>
            <w:tcW w:w="1778" w:type="dxa"/>
          </w:tcPr>
          <w:p w14:paraId="28206C42">
            <w:pPr>
              <w:spacing w:line="360" w:lineRule="auto"/>
              <w:jc w:val="left"/>
              <w:rPr>
                <w:rFonts w:ascii="黑体" w:hAnsi="黑体"/>
                <w:szCs w:val="18"/>
              </w:rPr>
            </w:pPr>
            <w:r>
              <w:rPr>
                <w:rFonts w:hint="eastAsia" w:ascii="黑体" w:hAnsi="黑体"/>
                <w:szCs w:val="18"/>
              </w:rPr>
              <w:t>表面平整度</w:t>
            </w:r>
          </w:p>
        </w:tc>
        <w:tc>
          <w:tcPr>
            <w:tcW w:w="1784" w:type="dxa"/>
          </w:tcPr>
          <w:p w14:paraId="13AF60B7">
            <w:pPr>
              <w:spacing w:line="360" w:lineRule="auto"/>
              <w:jc w:val="left"/>
              <w:rPr>
                <w:rFonts w:ascii="黑体" w:hAnsi="黑体"/>
                <w:szCs w:val="18"/>
              </w:rPr>
            </w:pPr>
            <w:r>
              <w:rPr>
                <w:rFonts w:hint="eastAsia" w:ascii="黑体" w:hAnsi="黑体"/>
                <w:szCs w:val="18"/>
              </w:rPr>
              <w:t>2</w:t>
            </w:r>
          </w:p>
        </w:tc>
        <w:tc>
          <w:tcPr>
            <w:tcW w:w="4359" w:type="dxa"/>
          </w:tcPr>
          <w:p w14:paraId="54C0E692">
            <w:pPr>
              <w:spacing w:line="360" w:lineRule="auto"/>
              <w:jc w:val="left"/>
              <w:rPr>
                <w:rFonts w:ascii="黑体" w:hAnsi="黑体"/>
                <w:szCs w:val="18"/>
              </w:rPr>
            </w:pPr>
            <w:r>
              <w:rPr>
                <w:rFonts w:hint="eastAsia" w:ascii="黑体" w:hAnsi="黑体"/>
                <w:szCs w:val="18"/>
              </w:rPr>
              <w:t>用2m靠尺和塞尺检查</w:t>
            </w:r>
          </w:p>
        </w:tc>
      </w:tr>
      <w:tr w14:paraId="05A3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Pr>
          <w:p w14:paraId="797A0CD8">
            <w:pPr>
              <w:spacing w:line="360" w:lineRule="auto"/>
              <w:jc w:val="left"/>
              <w:rPr>
                <w:rFonts w:ascii="黑体" w:hAnsi="黑体"/>
                <w:szCs w:val="18"/>
              </w:rPr>
            </w:pPr>
            <w:r>
              <w:rPr>
                <w:rFonts w:hint="eastAsia" w:ascii="黑体" w:hAnsi="黑体"/>
                <w:szCs w:val="18"/>
              </w:rPr>
              <w:t>2</w:t>
            </w:r>
          </w:p>
        </w:tc>
        <w:tc>
          <w:tcPr>
            <w:tcW w:w="1778" w:type="dxa"/>
          </w:tcPr>
          <w:p w14:paraId="52BF577C">
            <w:pPr>
              <w:spacing w:line="360" w:lineRule="auto"/>
              <w:jc w:val="left"/>
              <w:rPr>
                <w:rFonts w:ascii="黑体" w:hAnsi="黑体"/>
                <w:szCs w:val="18"/>
              </w:rPr>
            </w:pPr>
            <w:r>
              <w:rPr>
                <w:rFonts w:hint="eastAsia" w:ascii="黑体" w:hAnsi="黑体"/>
                <w:szCs w:val="18"/>
              </w:rPr>
              <w:t>接缝直线度</w:t>
            </w:r>
          </w:p>
        </w:tc>
        <w:tc>
          <w:tcPr>
            <w:tcW w:w="1784" w:type="dxa"/>
          </w:tcPr>
          <w:p w14:paraId="01BBD7C0">
            <w:pPr>
              <w:spacing w:line="360" w:lineRule="auto"/>
              <w:jc w:val="left"/>
              <w:rPr>
                <w:rFonts w:ascii="黑体" w:hAnsi="黑体"/>
                <w:szCs w:val="18"/>
              </w:rPr>
            </w:pPr>
            <w:r>
              <w:rPr>
                <w:rFonts w:hint="eastAsia" w:ascii="黑体" w:hAnsi="黑体"/>
                <w:szCs w:val="18"/>
              </w:rPr>
              <w:t>1.5</w:t>
            </w:r>
          </w:p>
        </w:tc>
        <w:tc>
          <w:tcPr>
            <w:tcW w:w="4359" w:type="dxa"/>
          </w:tcPr>
          <w:p w14:paraId="12E91EE0">
            <w:pPr>
              <w:spacing w:line="360" w:lineRule="auto"/>
              <w:jc w:val="left"/>
              <w:rPr>
                <w:rFonts w:ascii="黑体" w:hAnsi="黑体"/>
                <w:szCs w:val="18"/>
              </w:rPr>
            </w:pPr>
            <w:r>
              <w:rPr>
                <w:rFonts w:hint="eastAsia" w:ascii="黑体" w:hAnsi="黑体"/>
                <w:szCs w:val="18"/>
              </w:rPr>
              <w:t>拉5 m线，不足5 m拉通线，用钢直尺检查</w:t>
            </w:r>
          </w:p>
        </w:tc>
      </w:tr>
      <w:tr w14:paraId="6E8E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Pr>
          <w:p w14:paraId="670E4B48">
            <w:pPr>
              <w:spacing w:line="360" w:lineRule="auto"/>
              <w:jc w:val="left"/>
              <w:rPr>
                <w:rFonts w:ascii="黑体" w:hAnsi="黑体"/>
                <w:szCs w:val="18"/>
              </w:rPr>
            </w:pPr>
            <w:r>
              <w:rPr>
                <w:rFonts w:hint="eastAsia" w:ascii="黑体" w:hAnsi="黑体"/>
                <w:szCs w:val="18"/>
              </w:rPr>
              <w:t>3</w:t>
            </w:r>
          </w:p>
        </w:tc>
        <w:tc>
          <w:tcPr>
            <w:tcW w:w="1778" w:type="dxa"/>
          </w:tcPr>
          <w:p w14:paraId="729886A8">
            <w:pPr>
              <w:spacing w:line="360" w:lineRule="auto"/>
              <w:jc w:val="left"/>
              <w:rPr>
                <w:rFonts w:ascii="黑体" w:hAnsi="黑体"/>
                <w:szCs w:val="18"/>
              </w:rPr>
            </w:pPr>
            <w:r>
              <w:rPr>
                <w:rFonts w:hint="eastAsia" w:ascii="黑体" w:hAnsi="黑体"/>
                <w:szCs w:val="18"/>
              </w:rPr>
              <w:t>接缝高低差</w:t>
            </w:r>
          </w:p>
        </w:tc>
        <w:tc>
          <w:tcPr>
            <w:tcW w:w="1784" w:type="dxa"/>
          </w:tcPr>
          <w:p w14:paraId="2E03B67A">
            <w:pPr>
              <w:spacing w:line="360" w:lineRule="auto"/>
              <w:jc w:val="left"/>
              <w:rPr>
                <w:rFonts w:ascii="黑体" w:hAnsi="黑体"/>
                <w:szCs w:val="18"/>
              </w:rPr>
            </w:pPr>
            <w:r>
              <w:rPr>
                <w:rFonts w:hint="eastAsia" w:ascii="黑体" w:hAnsi="黑体"/>
                <w:szCs w:val="18"/>
              </w:rPr>
              <w:t>1</w:t>
            </w:r>
          </w:p>
        </w:tc>
        <w:tc>
          <w:tcPr>
            <w:tcW w:w="4359" w:type="dxa"/>
          </w:tcPr>
          <w:p w14:paraId="43678477">
            <w:pPr>
              <w:spacing w:line="360" w:lineRule="auto"/>
              <w:jc w:val="left"/>
              <w:rPr>
                <w:rFonts w:ascii="黑体" w:hAnsi="黑体"/>
                <w:szCs w:val="18"/>
              </w:rPr>
            </w:pPr>
            <w:r>
              <w:rPr>
                <w:rFonts w:hint="eastAsia" w:ascii="黑体" w:hAnsi="黑体"/>
                <w:szCs w:val="18"/>
              </w:rPr>
              <w:t>用钢直尺和塞尺检查</w:t>
            </w:r>
          </w:p>
        </w:tc>
      </w:tr>
    </w:tbl>
    <w:p w14:paraId="5773BD07">
      <w:pPr>
        <w:widowControl/>
        <w:numPr>
          <w:ilvl w:val="2"/>
          <w:numId w:val="0"/>
        </w:numPr>
        <w:tabs>
          <w:tab w:val="left" w:pos="480"/>
          <w:tab w:val="left" w:pos="1200"/>
        </w:tabs>
        <w:autoSpaceDE w:val="0"/>
        <w:autoSpaceDN w:val="0"/>
        <w:adjustRightInd w:val="0"/>
        <w:spacing w:before="100" w:beforeAutospacing="1" w:after="100" w:afterAutospacing="1" w:line="360" w:lineRule="auto"/>
        <w:ind w:left="-4" w:firstLine="4"/>
        <w:jc w:val="left"/>
        <w:rPr>
          <w:rFonts w:ascii="黑体" w:hAnsi="黑体"/>
          <w:bCs/>
          <w:kern w:val="0"/>
          <w:szCs w:val="18"/>
        </w:rPr>
      </w:pPr>
      <w:r>
        <w:rPr>
          <w:rFonts w:hint="eastAsia" w:ascii="黑体" w:hAnsi="黑体" w:cs="宋体"/>
          <w:bCs/>
          <w:kern w:val="0"/>
          <w:szCs w:val="18"/>
        </w:rPr>
        <w:t xml:space="preserve">10.4.10 </w:t>
      </w:r>
      <w:r>
        <w:rPr>
          <w:rFonts w:hint="eastAsia" w:ascii="黑体" w:hAnsi="黑体"/>
          <w:bCs/>
          <w:kern w:val="0"/>
          <w:szCs w:val="18"/>
        </w:rPr>
        <w:t>维修保养</w:t>
      </w:r>
    </w:p>
    <w:p w14:paraId="4FB8F7FD">
      <w:pPr>
        <w:widowControl/>
        <w:numPr>
          <w:ilvl w:val="0"/>
          <w:numId w:val="163"/>
        </w:numPr>
        <w:tabs>
          <w:tab w:val="left" w:pos="480"/>
          <w:tab w:val="left" w:pos="1200"/>
        </w:tabs>
        <w:autoSpaceDE w:val="0"/>
        <w:autoSpaceDN w:val="0"/>
        <w:adjustRightInd w:val="0"/>
        <w:spacing w:before="100" w:beforeAutospacing="1" w:after="100" w:afterAutospacing="1" w:line="360" w:lineRule="auto"/>
        <w:ind w:left="636" w:hanging="276"/>
        <w:jc w:val="left"/>
        <w:rPr>
          <w:rFonts w:ascii="黑体" w:hAnsi="黑体"/>
          <w:kern w:val="0"/>
          <w:szCs w:val="18"/>
        </w:rPr>
      </w:pPr>
      <w:r>
        <w:rPr>
          <w:rFonts w:hint="eastAsia" w:ascii="黑体" w:hAnsi="黑体"/>
          <w:kern w:val="0"/>
          <w:szCs w:val="18"/>
        </w:rPr>
        <w:t>施工方须提供与竣工图相同套数的使用保养说明书，明确后期使用过程中维修保养的要求以及使用注意事项；按合同要求提供足够的备料，包括但不限于：吊顶面板、龙骨及其配件、等；同时提供此类材料采购的联系人及联系方式。</w:t>
      </w:r>
    </w:p>
    <w:p w14:paraId="4E2451B2">
      <w:pPr>
        <w:widowControl/>
        <w:numPr>
          <w:ilvl w:val="0"/>
          <w:numId w:val="163"/>
        </w:numPr>
        <w:tabs>
          <w:tab w:val="left" w:pos="480"/>
          <w:tab w:val="left" w:pos="1200"/>
        </w:tabs>
        <w:autoSpaceDE w:val="0"/>
        <w:autoSpaceDN w:val="0"/>
        <w:adjustRightInd w:val="0"/>
        <w:spacing w:before="100" w:beforeAutospacing="1" w:after="100" w:afterAutospacing="1" w:line="360" w:lineRule="auto"/>
        <w:ind w:left="-4" w:firstLine="364"/>
        <w:jc w:val="left"/>
        <w:rPr>
          <w:rFonts w:ascii="黑体" w:hAnsi="黑体"/>
          <w:kern w:val="0"/>
          <w:szCs w:val="18"/>
        </w:rPr>
      </w:pPr>
      <w:r>
        <w:rPr>
          <w:rFonts w:hint="eastAsia" w:ascii="黑体" w:hAnsi="黑体"/>
          <w:kern w:val="0"/>
          <w:szCs w:val="18"/>
        </w:rPr>
        <w:t>如有定期清洁的要求，须在维修保养说明书中明确；对清洁剂的性能要求也应明示。</w:t>
      </w:r>
    </w:p>
    <w:p w14:paraId="6B9B1A23">
      <w:pPr>
        <w:widowControl/>
        <w:tabs>
          <w:tab w:val="left" w:pos="480"/>
          <w:tab w:val="left" w:pos="1200"/>
        </w:tabs>
        <w:autoSpaceDE w:val="0"/>
        <w:autoSpaceDN w:val="0"/>
        <w:adjustRightInd w:val="0"/>
        <w:spacing w:before="100" w:beforeAutospacing="1" w:after="100" w:afterAutospacing="1" w:line="360" w:lineRule="auto"/>
        <w:ind w:left="360"/>
        <w:jc w:val="left"/>
        <w:rPr>
          <w:rFonts w:ascii="黑体" w:hAnsi="黑体"/>
          <w:kern w:val="0"/>
          <w:szCs w:val="18"/>
        </w:rPr>
      </w:pPr>
    </w:p>
    <w:p w14:paraId="53BAE84A">
      <w:pPr>
        <w:widowControl/>
        <w:jc w:val="left"/>
        <w:rPr>
          <w:rFonts w:ascii="黑体" w:hAnsi="黑体"/>
          <w:b/>
          <w:kern w:val="0"/>
          <w:szCs w:val="18"/>
        </w:rPr>
      </w:pPr>
      <w:r>
        <w:rPr>
          <w:szCs w:val="18"/>
        </w:rPr>
        <w:br w:type="page"/>
      </w:r>
    </w:p>
    <w:p w14:paraId="20D60324">
      <w:pPr>
        <w:pStyle w:val="2"/>
        <w:ind w:left="365" w:hanging="365"/>
        <w:rPr>
          <w:sz w:val="21"/>
        </w:rPr>
      </w:pPr>
      <w:bookmarkStart w:id="142" w:name="_Toc174556836"/>
      <w:r>
        <w:rPr>
          <w:rFonts w:hint="eastAsia"/>
          <w:sz w:val="21"/>
        </w:rPr>
        <w:t>室外工程</w:t>
      </w:r>
      <w:bookmarkEnd w:id="142"/>
    </w:p>
    <w:p w14:paraId="4A3019BB">
      <w:pPr>
        <w:pStyle w:val="3"/>
        <w:jc w:val="left"/>
      </w:pPr>
      <w:bookmarkStart w:id="143" w:name="_Toc399695160"/>
      <w:bookmarkStart w:id="144" w:name="_Toc398804291"/>
      <w:bookmarkStart w:id="145" w:name="_Toc174556837"/>
      <w:r>
        <w:rPr>
          <w:rFonts w:hint="eastAsia"/>
        </w:rPr>
        <w:t>道路工程</w:t>
      </w:r>
      <w:bookmarkEnd w:id="143"/>
      <w:bookmarkEnd w:id="144"/>
      <w:bookmarkEnd w:id="145"/>
    </w:p>
    <w:p w14:paraId="72FF5D68">
      <w:pPr>
        <w:pStyle w:val="97"/>
        <w:rPr>
          <w:b/>
        </w:rPr>
      </w:pPr>
      <w:bookmarkStart w:id="146" w:name="_Toc398804293"/>
      <w:bookmarkStart w:id="147" w:name="_Toc399695162"/>
      <w:r>
        <w:rPr>
          <w:rFonts w:hint="eastAsia"/>
          <w:b/>
        </w:rPr>
        <w:t>车行道路-沥青混凝土路</w:t>
      </w:r>
      <w:bookmarkEnd w:id="146"/>
      <w:bookmarkEnd w:id="147"/>
    </w:p>
    <w:p w14:paraId="6FD9A554">
      <w:pPr>
        <w:pStyle w:val="111"/>
        <w:jc w:val="left"/>
      </w:pPr>
      <w:bookmarkStart w:id="148" w:name="_Toc398804294"/>
      <w:bookmarkStart w:id="149" w:name="_Toc399695163"/>
      <w:r>
        <w:rPr>
          <w:rFonts w:hint="eastAsia"/>
        </w:rPr>
        <w:t>使用部位</w:t>
      </w:r>
      <w:bookmarkEnd w:id="148"/>
      <w:bookmarkEnd w:id="149"/>
    </w:p>
    <w:p w14:paraId="615136E3">
      <w:pPr>
        <w:spacing w:line="360" w:lineRule="auto"/>
        <w:ind w:left="729" w:leftChars="405"/>
        <w:jc w:val="left"/>
        <w:rPr>
          <w:rFonts w:ascii="黑体" w:hAnsi="黑体" w:cs="宋体"/>
          <w:kern w:val="0"/>
          <w:szCs w:val="18"/>
        </w:rPr>
      </w:pPr>
      <w:r>
        <w:rPr>
          <w:rFonts w:hint="eastAsia" w:ascii="黑体" w:hAnsi="黑体" w:cs="宋体"/>
          <w:kern w:val="0"/>
          <w:szCs w:val="18"/>
        </w:rPr>
        <w:t>车行道路面层、基层、垫层及路基等。</w:t>
      </w:r>
    </w:p>
    <w:p w14:paraId="54B4A77C">
      <w:pPr>
        <w:spacing w:line="360" w:lineRule="auto"/>
        <w:ind w:firstLine="270" w:firstLineChars="150"/>
        <w:jc w:val="left"/>
        <w:rPr>
          <w:rFonts w:ascii="黑体" w:hAnsi="黑体" w:cs="宋体"/>
          <w:kern w:val="0"/>
          <w:szCs w:val="18"/>
        </w:rPr>
      </w:pPr>
    </w:p>
    <w:p w14:paraId="06011BAB">
      <w:pPr>
        <w:pStyle w:val="111"/>
        <w:jc w:val="left"/>
      </w:pPr>
      <w:bookmarkStart w:id="150" w:name="_Toc399695164"/>
      <w:bookmarkStart w:id="151" w:name="_Toc398804295"/>
      <w:r>
        <w:t>技术规范</w:t>
      </w:r>
      <w:r>
        <w:rPr>
          <w:rFonts w:hint="eastAsia"/>
        </w:rPr>
        <w:t>、规程、要求</w:t>
      </w:r>
      <w:bookmarkEnd w:id="150"/>
      <w:bookmarkEnd w:id="151"/>
    </w:p>
    <w:p w14:paraId="516128BE">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 xml:space="preserve">《城市道路设计规范》(CJJ37) </w:t>
      </w:r>
      <w:r>
        <w:rPr>
          <w:rFonts w:ascii="黑体" w:hAnsi="黑体" w:cs="宋体"/>
          <w:kern w:val="0"/>
          <w:szCs w:val="18"/>
        </w:rPr>
        <w:t xml:space="preserve"> </w:t>
      </w:r>
    </w:p>
    <w:p w14:paraId="1BF725BA">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《无障碍设计规范》（GB50763）</w:t>
      </w:r>
    </w:p>
    <w:p w14:paraId="1C93F3E5">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《公路路基设计规范》(JTG D30)</w:t>
      </w:r>
    </w:p>
    <w:p w14:paraId="5508C03A">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《公路沥青路面设计规范》(JTG D50)</w:t>
      </w:r>
    </w:p>
    <w:p w14:paraId="6DB359E3">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《公路沥青路面施工技术规范》(JTG F40)</w:t>
      </w:r>
    </w:p>
    <w:p w14:paraId="0821C81A">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《公路沥青路路面养护技术规范》（JTJ073.2）</w:t>
      </w:r>
    </w:p>
    <w:p w14:paraId="208498CC">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《城市道路工程施工质量验收规范》（</w:t>
      </w:r>
      <w:r>
        <w:rPr>
          <w:rFonts w:ascii="Calibri" w:hAnsi="Calibri" w:cs="Calibri"/>
          <w:kern w:val="0"/>
          <w:szCs w:val="18"/>
        </w:rPr>
        <w:t> </w:t>
      </w:r>
      <w:r>
        <w:rPr>
          <w:rFonts w:ascii="黑体" w:hAnsi="黑体" w:cs="宋体"/>
          <w:kern w:val="0"/>
          <w:szCs w:val="18"/>
        </w:rPr>
        <w:t>DBJ50-078</w:t>
      </w:r>
      <w:r>
        <w:rPr>
          <w:rFonts w:hint="eastAsia" w:ascii="黑体" w:hAnsi="黑体" w:cs="宋体"/>
          <w:kern w:val="0"/>
          <w:szCs w:val="18"/>
        </w:rPr>
        <w:t>）</w:t>
      </w:r>
    </w:p>
    <w:p w14:paraId="36A6F11D">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《建筑地面工程施工质量验收规范》（</w:t>
      </w:r>
      <w:r>
        <w:rPr>
          <w:rFonts w:ascii="黑体" w:hAnsi="黑体" w:cs="宋体"/>
          <w:kern w:val="0"/>
          <w:szCs w:val="18"/>
        </w:rPr>
        <w:t>GB50209</w:t>
      </w:r>
      <w:r>
        <w:rPr>
          <w:rFonts w:hint="eastAsia" w:ascii="黑体" w:hAnsi="黑体" w:cs="宋体"/>
          <w:kern w:val="0"/>
          <w:szCs w:val="18"/>
        </w:rPr>
        <w:t>）</w:t>
      </w:r>
    </w:p>
    <w:p w14:paraId="28290FE5">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《沥青路面施工及验收规范》（</w:t>
      </w:r>
      <w:r>
        <w:rPr>
          <w:rFonts w:ascii="黑体" w:hAnsi="黑体" w:cs="宋体"/>
          <w:kern w:val="0"/>
          <w:szCs w:val="18"/>
        </w:rPr>
        <w:t>GB50092</w:t>
      </w:r>
      <w:r>
        <w:rPr>
          <w:rFonts w:hint="eastAsia" w:ascii="黑体" w:hAnsi="黑体" w:cs="宋体"/>
          <w:kern w:val="0"/>
          <w:szCs w:val="18"/>
        </w:rPr>
        <w:t>）</w:t>
      </w:r>
    </w:p>
    <w:p w14:paraId="42CC3933">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园林绿化工程施工及验收规范</w:t>
      </w:r>
      <w:r>
        <w:rPr>
          <w:rFonts w:hint="eastAsia" w:ascii="黑体" w:hAnsi="黑体" w:cs="宋体"/>
          <w:kern w:val="0"/>
          <w:szCs w:val="18"/>
        </w:rPr>
        <w:t>》（</w:t>
      </w:r>
      <w:r>
        <w:rPr>
          <w:rFonts w:ascii="黑体" w:hAnsi="黑体" w:cs="宋体"/>
          <w:kern w:val="0"/>
          <w:szCs w:val="18"/>
        </w:rPr>
        <w:t>CJJ82</w:t>
      </w:r>
      <w:r>
        <w:rPr>
          <w:rFonts w:hint="eastAsia" w:ascii="黑体" w:hAnsi="黑体" w:cs="宋体"/>
          <w:kern w:val="0"/>
          <w:szCs w:val="18"/>
        </w:rPr>
        <w:t>）</w:t>
      </w:r>
    </w:p>
    <w:p w14:paraId="4BCDD27F">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 xml:space="preserve"> 城市道路—路面、路基及其他设施MR1</w:t>
      </w:r>
    </w:p>
    <w:p w14:paraId="3A345BB2">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《公路路面基层施工技术规范》（JTJ034）</w:t>
      </w:r>
    </w:p>
    <w:p w14:paraId="3FB48DF9">
      <w:pPr>
        <w:spacing w:line="360" w:lineRule="auto"/>
        <w:jc w:val="left"/>
        <w:rPr>
          <w:rFonts w:ascii="黑体" w:hAnsi="黑体" w:cs="宋体"/>
          <w:kern w:val="0"/>
          <w:szCs w:val="18"/>
        </w:rPr>
      </w:pPr>
    </w:p>
    <w:p w14:paraId="63E1AE3C">
      <w:pPr>
        <w:pStyle w:val="111"/>
        <w:jc w:val="left"/>
      </w:pPr>
      <w:bookmarkStart w:id="152" w:name="_Toc399695165"/>
      <w:bookmarkStart w:id="153" w:name="_Toc398804296"/>
      <w:r>
        <w:rPr>
          <w:rFonts w:hint="eastAsia"/>
        </w:rPr>
        <w:t>材料要求</w:t>
      </w:r>
      <w:bookmarkEnd w:id="152"/>
      <w:bookmarkEnd w:id="153"/>
    </w:p>
    <w:p w14:paraId="3EC08283">
      <w:pPr>
        <w:pStyle w:val="113"/>
        <w:ind w:left="788" w:leftChars="202" w:hanging="424" w:hangingChars="236"/>
        <w:jc w:val="left"/>
      </w:pPr>
      <w:r>
        <w:rPr>
          <w:rFonts w:hint="eastAsia"/>
        </w:rPr>
        <w:t>面层</w:t>
      </w:r>
    </w:p>
    <w:p w14:paraId="64AB1FB7">
      <w:pPr>
        <w:pStyle w:val="115"/>
        <w:ind w:left="851" w:hanging="425"/>
        <w:jc w:val="left"/>
      </w:pPr>
      <w:r>
        <w:t>产</w:t>
      </w:r>
      <w:r>
        <w:rPr>
          <w:rFonts w:hint="eastAsia"/>
        </w:rPr>
        <w:t>品类型：细粒式沥青混凝土AC-10、粗粒式沥青混凝土AC-2</w:t>
      </w:r>
      <w:r>
        <w:t>5</w:t>
      </w:r>
      <w:r>
        <w:rPr>
          <w:rFonts w:hint="eastAsia"/>
        </w:rPr>
        <w:t>。</w:t>
      </w:r>
    </w:p>
    <w:p w14:paraId="3008BC3C">
      <w:pPr>
        <w:pStyle w:val="115"/>
        <w:ind w:left="851" w:hanging="425"/>
        <w:jc w:val="left"/>
      </w:pPr>
      <w:r>
        <w:rPr>
          <w:rFonts w:hint="eastAsia"/>
        </w:rPr>
        <w:t>用于车行道路面层。</w:t>
      </w:r>
    </w:p>
    <w:p w14:paraId="12BE066A">
      <w:pPr>
        <w:pStyle w:val="115"/>
        <w:ind w:left="851" w:hanging="425"/>
        <w:jc w:val="left"/>
      </w:pPr>
      <w:r>
        <w:rPr>
          <w:rFonts w:hint="eastAsia"/>
        </w:rPr>
        <w:t>厚度：按设计</w:t>
      </w:r>
    </w:p>
    <w:p w14:paraId="5288D64A">
      <w:pPr>
        <w:pStyle w:val="115"/>
        <w:ind w:left="851" w:hanging="425"/>
        <w:jc w:val="left"/>
      </w:pPr>
      <w:r>
        <w:rPr>
          <w:rFonts w:hint="eastAsia"/>
        </w:rPr>
        <w:t>外观与颜色：灰黑色。</w:t>
      </w:r>
    </w:p>
    <w:p w14:paraId="41A2D404">
      <w:pPr>
        <w:pStyle w:val="115"/>
        <w:ind w:left="851" w:hanging="425"/>
        <w:jc w:val="left"/>
      </w:pPr>
      <w:r>
        <w:rPr>
          <w:rFonts w:hint="eastAsia"/>
        </w:rPr>
        <w:t>物理性能：沥青面层应具有坚实、平整、抗滑、耐久的品质，同时，还应具有高温抗车辙、低温抗开裂、抗水损害以及防止雨水渗入基层的功能。各项性能应符合《公路沥青路面设计规范》(JTG D50-2006)的规定。</w:t>
      </w:r>
    </w:p>
    <w:p w14:paraId="28857317">
      <w:pPr>
        <w:pStyle w:val="115"/>
        <w:ind w:left="851" w:hanging="425"/>
        <w:jc w:val="left"/>
      </w:pPr>
      <w:r>
        <w:rPr>
          <w:rFonts w:hint="eastAsia"/>
        </w:rPr>
        <w:t>沥青材料性能达到《沥青路面施工及验收规范》（</w:t>
      </w:r>
      <w:r>
        <w:t>GB50092</w:t>
      </w:r>
      <w:r>
        <w:rPr>
          <w:rFonts w:hint="eastAsia"/>
        </w:rPr>
        <w:t>-96）中附录要求。</w:t>
      </w:r>
    </w:p>
    <w:p w14:paraId="68CC0EC1">
      <w:pPr>
        <w:pStyle w:val="18"/>
        <w:spacing w:line="360" w:lineRule="auto"/>
        <w:ind w:right="259" w:rightChars="144"/>
        <w:jc w:val="left"/>
        <w:rPr>
          <w:rFonts w:ascii="黑体" w:hAnsi="黑体"/>
          <w:szCs w:val="18"/>
        </w:rPr>
      </w:pPr>
    </w:p>
    <w:p w14:paraId="13EC1AB2">
      <w:pPr>
        <w:pStyle w:val="113"/>
        <w:ind w:left="788" w:leftChars="202" w:hanging="424" w:hangingChars="236"/>
        <w:jc w:val="left"/>
      </w:pPr>
      <w:r>
        <w:rPr>
          <w:rFonts w:hint="eastAsia"/>
        </w:rPr>
        <w:t>基层</w:t>
      </w:r>
    </w:p>
    <w:p w14:paraId="7C45873B">
      <w:pPr>
        <w:pStyle w:val="115"/>
        <w:ind w:left="851" w:hanging="425"/>
        <w:jc w:val="left"/>
      </w:pPr>
      <w:r>
        <w:t>产</w:t>
      </w:r>
      <w:r>
        <w:rPr>
          <w:rFonts w:hint="eastAsia"/>
        </w:rPr>
        <w:t>品类型： C30混凝土，</w:t>
      </w:r>
      <w:r>
        <w:t>厚度按设计</w:t>
      </w:r>
      <w:r>
        <w:rPr>
          <w:rFonts w:hint="eastAsia"/>
        </w:rPr>
        <w:t>。</w:t>
      </w:r>
    </w:p>
    <w:p w14:paraId="64F909CC">
      <w:pPr>
        <w:pStyle w:val="115"/>
        <w:ind w:left="851" w:hanging="425"/>
        <w:jc w:val="left"/>
      </w:pPr>
      <w:r>
        <w:rPr>
          <w:rFonts w:hint="eastAsia"/>
        </w:rPr>
        <w:t>混凝土基层应设置纵缝、横缝，纵缝</w:t>
      </w:r>
      <w:r>
        <w:t>采用平头缝，中间设钢筋传力杆。横缝</w:t>
      </w:r>
      <w:r>
        <w:rPr>
          <w:rFonts w:hint="eastAsia"/>
        </w:rPr>
        <w:t>采用</w:t>
      </w:r>
      <w:r>
        <w:t>切割缝，</w:t>
      </w:r>
      <w:r>
        <w:rPr>
          <w:rFonts w:hint="eastAsia"/>
        </w:rPr>
        <w:t>缝内填沥青砂浆。其上应设置乳化沥青。具体按国家规范、设计图纸执行。</w:t>
      </w:r>
    </w:p>
    <w:p w14:paraId="54BECD85">
      <w:pPr>
        <w:pStyle w:val="18"/>
        <w:tabs>
          <w:tab w:val="left" w:pos="0"/>
        </w:tabs>
        <w:spacing w:line="360" w:lineRule="auto"/>
        <w:ind w:right="259" w:rightChars="144"/>
        <w:jc w:val="left"/>
        <w:rPr>
          <w:rFonts w:ascii="黑体" w:hAnsi="黑体"/>
          <w:szCs w:val="18"/>
        </w:rPr>
      </w:pPr>
    </w:p>
    <w:p w14:paraId="129204B8">
      <w:pPr>
        <w:pStyle w:val="113"/>
        <w:ind w:left="788" w:leftChars="202" w:hanging="424" w:hangingChars="236"/>
        <w:jc w:val="left"/>
      </w:pPr>
      <w:r>
        <w:rPr>
          <w:rFonts w:hint="eastAsia"/>
        </w:rPr>
        <w:t>垫层、路基</w:t>
      </w:r>
    </w:p>
    <w:p w14:paraId="3213270F">
      <w:pPr>
        <w:pStyle w:val="115"/>
        <w:ind w:left="851" w:hanging="425"/>
        <w:jc w:val="left"/>
      </w:pPr>
      <w:r>
        <w:t>产</w:t>
      </w:r>
      <w:r>
        <w:rPr>
          <w:rFonts w:hint="eastAsia"/>
        </w:rPr>
        <w:t>品类型：级配碎石。</w:t>
      </w:r>
    </w:p>
    <w:p w14:paraId="6E39ABA1">
      <w:pPr>
        <w:pStyle w:val="115"/>
        <w:ind w:left="851" w:hanging="425"/>
        <w:jc w:val="left"/>
      </w:pPr>
      <w:r>
        <w:rPr>
          <w:rFonts w:hint="eastAsia"/>
        </w:rPr>
        <w:t>路基必须密实、均匀、稳定。填方路基的填料选择、路床的压实度以及填方路堤的基底处理等均应符合《公路路基设计规范》</w:t>
      </w:r>
      <w:r>
        <w:t>(</w:t>
      </w:r>
      <w:r>
        <w:rPr>
          <w:rFonts w:hint="eastAsia"/>
        </w:rPr>
        <w:t>JTJ034</w:t>
      </w:r>
      <w:r>
        <w:t>-20</w:t>
      </w:r>
      <w:r>
        <w:rPr>
          <w:rFonts w:hint="eastAsia"/>
        </w:rPr>
        <w:t>00</w:t>
      </w:r>
      <w:r>
        <w:t>)</w:t>
      </w:r>
      <w:r>
        <w:rPr>
          <w:rFonts w:hint="eastAsia"/>
        </w:rPr>
        <w:t>的规定。</w:t>
      </w:r>
    </w:p>
    <w:p w14:paraId="06B291EE">
      <w:pPr>
        <w:pStyle w:val="115"/>
        <w:ind w:left="851" w:hanging="425"/>
        <w:jc w:val="left"/>
      </w:pPr>
      <w:r>
        <w:rPr>
          <w:rFonts w:hint="eastAsia"/>
        </w:rPr>
        <w:t>级配碎石基层：采用洁净、坚硬、耐久的压碎碎石或碎石，由粗到细进行适当的级配。最大粒度为3.75cm，同时应保证足够的细料，确保铺设并压实后，材料能充分结合。级配应满足《公路路面基层施工技术规范》</w:t>
      </w:r>
      <w:r>
        <w:t>(</w:t>
      </w:r>
      <w:r>
        <w:rPr>
          <w:rFonts w:hint="eastAsia"/>
        </w:rPr>
        <w:t>JTG D30-2004</w:t>
      </w:r>
      <w:r>
        <w:t>)</w:t>
      </w:r>
      <w:r>
        <w:rPr>
          <w:rFonts w:hint="eastAsia"/>
        </w:rPr>
        <w:t>。</w:t>
      </w:r>
    </w:p>
    <w:p w14:paraId="75DB91C8">
      <w:pPr>
        <w:pStyle w:val="115"/>
        <w:ind w:left="851" w:hanging="425"/>
        <w:jc w:val="left"/>
      </w:pPr>
      <w:r>
        <w:rPr>
          <w:rFonts w:hint="eastAsia"/>
        </w:rPr>
        <w:t>必须采取防止地面水和地下水浸入路面、路基的措施，以保证路基的强度和稳定性。潮湿、过湿状态的路基应采取掺入固化材料或换填砂、砂砾、碎石渗水性材料，以及设置土工合成材料等加强路基排水的技术措施，进行综合处理，土基回弹模量值应大于30</w:t>
      </w:r>
      <w:r>
        <w:t>Mpa</w:t>
      </w:r>
      <w:r>
        <w:rPr>
          <w:rFonts w:hint="eastAsia"/>
        </w:rPr>
        <w:t>。</w:t>
      </w:r>
    </w:p>
    <w:p w14:paraId="5CF7BEF1">
      <w:pPr>
        <w:pStyle w:val="115"/>
        <w:ind w:left="851" w:hanging="425"/>
        <w:jc w:val="left"/>
      </w:pPr>
      <w:r>
        <w:rPr>
          <w:rFonts w:hint="eastAsia"/>
        </w:rPr>
        <w:t>为了保证路面不受裂隙水、泉眼等地下水影响，应按有关规范的规定，加强路基、边沟排水，必要时设置盲沟等。</w:t>
      </w:r>
    </w:p>
    <w:p w14:paraId="7168B7F9">
      <w:pPr>
        <w:pStyle w:val="115"/>
        <w:ind w:left="851" w:hanging="425"/>
        <w:jc w:val="left"/>
      </w:pPr>
      <w:r>
        <w:rPr>
          <w:rFonts w:hint="eastAsia"/>
        </w:rPr>
        <w:t>路面设计应根据路基土的分界稠度确定路基干湿类型。</w:t>
      </w:r>
    </w:p>
    <w:p w14:paraId="33D8E891">
      <w:pPr>
        <w:pStyle w:val="115"/>
        <w:ind w:left="851" w:hanging="425"/>
        <w:jc w:val="left"/>
      </w:pPr>
      <w:r>
        <w:rPr>
          <w:rFonts w:hint="eastAsia"/>
        </w:rPr>
        <w:t>路基填土压实度按设定</w:t>
      </w:r>
      <w:r>
        <w:t>分层达到设计要求，并符合相关的技术规范</w:t>
      </w:r>
      <w:r>
        <w:rPr>
          <w:rFonts w:hint="eastAsia"/>
        </w:rPr>
        <w:t>。</w:t>
      </w:r>
    </w:p>
    <w:p w14:paraId="4ECEFC8C">
      <w:pPr>
        <w:pStyle w:val="18"/>
        <w:spacing w:line="360" w:lineRule="auto"/>
        <w:ind w:right="259" w:rightChars="144"/>
        <w:jc w:val="left"/>
        <w:rPr>
          <w:rFonts w:ascii="黑体" w:hAnsi="黑体"/>
          <w:szCs w:val="18"/>
        </w:rPr>
      </w:pPr>
    </w:p>
    <w:p w14:paraId="361E1C95">
      <w:pPr>
        <w:pStyle w:val="111"/>
        <w:jc w:val="left"/>
      </w:pPr>
      <w:bookmarkStart w:id="154" w:name="_Toc398804298"/>
      <w:bookmarkStart w:id="155" w:name="_Toc399695166"/>
      <w:r>
        <w:rPr>
          <w:rFonts w:hint="eastAsia"/>
        </w:rPr>
        <w:t>供应商</w:t>
      </w:r>
      <w:r>
        <w:t>提交资料</w:t>
      </w:r>
      <w:bookmarkEnd w:id="154"/>
      <w:bookmarkEnd w:id="155"/>
    </w:p>
    <w:p w14:paraId="09413917">
      <w:pPr>
        <w:pStyle w:val="113"/>
        <w:ind w:left="788" w:leftChars="202" w:hanging="424" w:hangingChars="236"/>
        <w:jc w:val="left"/>
      </w:pPr>
      <w:r>
        <w:rPr>
          <w:rFonts w:hint="eastAsia"/>
        </w:rPr>
        <w:t>提供厂商资质、企业历史、技术状况文件、产品实施项目表。</w:t>
      </w:r>
    </w:p>
    <w:p w14:paraId="4D3D5433">
      <w:pPr>
        <w:pStyle w:val="113"/>
        <w:ind w:left="788" w:leftChars="202" w:hanging="424" w:hangingChars="236"/>
        <w:jc w:val="left"/>
      </w:pPr>
      <w:r>
        <w:rPr>
          <w:rFonts w:hint="eastAsia"/>
        </w:rPr>
        <w:t>资质资料：安装施工单位资格证书，施工资质资料。</w:t>
      </w:r>
    </w:p>
    <w:p w14:paraId="7084E1C2">
      <w:pPr>
        <w:pStyle w:val="113"/>
        <w:ind w:left="788" w:leftChars="202" w:hanging="424" w:hangingChars="236"/>
        <w:jc w:val="left"/>
      </w:pPr>
      <w:r>
        <w:rPr>
          <w:rFonts w:hint="eastAsia"/>
        </w:rPr>
        <w:t>产品资料：包括产品规格</w:t>
      </w:r>
      <w:r>
        <w:t>/</w:t>
      </w:r>
      <w:r>
        <w:rPr>
          <w:rFonts w:hint="eastAsia"/>
        </w:rPr>
        <w:t>型号，产品生产、安装、验收方面资料。</w:t>
      </w:r>
    </w:p>
    <w:p w14:paraId="7DD80994">
      <w:pPr>
        <w:pStyle w:val="113"/>
        <w:ind w:left="788" w:leftChars="202" w:hanging="424" w:hangingChars="236"/>
        <w:jc w:val="left"/>
      </w:pPr>
      <w:r>
        <w:rPr>
          <w:rFonts w:hint="eastAsia"/>
        </w:rPr>
        <w:t>检测报告：提供各规格型号产品的相关检测报告。</w:t>
      </w:r>
    </w:p>
    <w:p w14:paraId="7B2C8C7C">
      <w:pPr>
        <w:pStyle w:val="49"/>
        <w:spacing w:line="360" w:lineRule="auto"/>
        <w:ind w:firstLine="0" w:firstLineChars="0"/>
        <w:jc w:val="left"/>
        <w:rPr>
          <w:rFonts w:ascii="黑体" w:hAnsi="黑体" w:cs="宋体"/>
          <w:kern w:val="0"/>
          <w:szCs w:val="18"/>
        </w:rPr>
      </w:pPr>
    </w:p>
    <w:p w14:paraId="16182BFB">
      <w:pPr>
        <w:pStyle w:val="111"/>
        <w:jc w:val="left"/>
      </w:pPr>
      <w:bookmarkStart w:id="156" w:name="_Toc399695167"/>
      <w:bookmarkStart w:id="157" w:name="_Toc398804299"/>
      <w:r>
        <w:t>质量保证</w:t>
      </w:r>
      <w:bookmarkEnd w:id="156"/>
      <w:bookmarkEnd w:id="157"/>
      <w:r>
        <w:t xml:space="preserve"> </w:t>
      </w:r>
    </w:p>
    <w:p w14:paraId="61D6030E">
      <w:pPr>
        <w:pStyle w:val="49"/>
        <w:spacing w:line="360" w:lineRule="auto"/>
        <w:ind w:left="729" w:leftChars="405" w:firstLine="0" w:firstLineChars="0"/>
        <w:jc w:val="left"/>
        <w:rPr>
          <w:rFonts w:ascii="黑体" w:hAnsi="黑体" w:cs="宋体"/>
          <w:kern w:val="0"/>
          <w:szCs w:val="18"/>
        </w:rPr>
      </w:pPr>
      <w:r>
        <w:rPr>
          <w:rFonts w:hint="eastAsia" w:ascii="黑体" w:hAnsi="黑体" w:cs="宋体"/>
          <w:kern w:val="0"/>
          <w:szCs w:val="18"/>
        </w:rPr>
        <w:t>按《沥青路面施工及验收规范》</w:t>
      </w:r>
      <w:r>
        <w:rPr>
          <w:rFonts w:ascii="黑体" w:hAnsi="黑体" w:cs="宋体"/>
          <w:kern w:val="0"/>
          <w:szCs w:val="18"/>
        </w:rPr>
        <w:t>GB50092</w:t>
      </w:r>
      <w:r>
        <w:rPr>
          <w:rFonts w:hint="eastAsia" w:ascii="黑体" w:hAnsi="黑体" w:cs="宋体"/>
          <w:kern w:val="0"/>
          <w:szCs w:val="18"/>
        </w:rPr>
        <w:t>及《建筑地面工程施工质量验收规范》（</w:t>
      </w:r>
      <w:r>
        <w:rPr>
          <w:rFonts w:ascii="黑体" w:hAnsi="黑体" w:cs="宋体"/>
          <w:kern w:val="0"/>
          <w:szCs w:val="18"/>
        </w:rPr>
        <w:t>GB50209</w:t>
      </w:r>
      <w:r>
        <w:rPr>
          <w:rFonts w:hint="eastAsia" w:ascii="黑体" w:hAnsi="黑体" w:cs="宋体"/>
          <w:kern w:val="0"/>
          <w:szCs w:val="18"/>
        </w:rPr>
        <w:t>）</w:t>
      </w:r>
      <w:r>
        <w:rPr>
          <w:rFonts w:ascii="黑体" w:hAnsi="黑体" w:cs="宋体"/>
          <w:kern w:val="0"/>
          <w:szCs w:val="18"/>
        </w:rPr>
        <w:t xml:space="preserve"> </w:t>
      </w:r>
      <w:r>
        <w:rPr>
          <w:rFonts w:hint="eastAsia" w:ascii="黑体" w:hAnsi="黑体" w:cs="宋体"/>
          <w:kern w:val="0"/>
          <w:szCs w:val="18"/>
        </w:rPr>
        <w:t>中的规定严格执行。</w:t>
      </w:r>
      <w:r>
        <w:rPr>
          <w:rFonts w:ascii="黑体" w:hAnsi="黑体" w:cs="宋体"/>
          <w:kern w:val="0"/>
          <w:szCs w:val="18"/>
        </w:rPr>
        <w:t xml:space="preserve"> </w:t>
      </w:r>
    </w:p>
    <w:p w14:paraId="0FE9BD8A">
      <w:pPr>
        <w:pStyle w:val="49"/>
        <w:spacing w:line="360" w:lineRule="auto"/>
        <w:ind w:left="426" w:hanging="426" w:firstLineChars="0"/>
        <w:jc w:val="left"/>
        <w:rPr>
          <w:rFonts w:ascii="黑体" w:hAnsi="黑体" w:cs="宋体"/>
          <w:kern w:val="0"/>
          <w:szCs w:val="18"/>
        </w:rPr>
      </w:pPr>
    </w:p>
    <w:p w14:paraId="6F011D63">
      <w:pPr>
        <w:pStyle w:val="111"/>
        <w:jc w:val="left"/>
      </w:pPr>
      <w:bookmarkStart w:id="158" w:name="_Toc398804300"/>
      <w:bookmarkStart w:id="159" w:name="_Toc399695168"/>
      <w:r>
        <w:rPr>
          <w:rFonts w:hint="eastAsia"/>
        </w:rPr>
        <w:t>施工</w:t>
      </w:r>
      <w:bookmarkEnd w:id="158"/>
      <w:bookmarkEnd w:id="159"/>
    </w:p>
    <w:p w14:paraId="047C4364">
      <w:pPr>
        <w:pStyle w:val="49"/>
        <w:numPr>
          <w:ilvl w:val="0"/>
          <w:numId w:val="164"/>
        </w:numPr>
        <w:spacing w:line="360" w:lineRule="auto"/>
        <w:ind w:firstLineChars="0"/>
        <w:jc w:val="left"/>
        <w:rPr>
          <w:rFonts w:ascii="黑体" w:hAnsi="黑体"/>
          <w:kern w:val="0"/>
          <w:szCs w:val="18"/>
        </w:rPr>
      </w:pPr>
      <w:r>
        <w:rPr>
          <w:rFonts w:hint="eastAsia" w:ascii="黑体" w:hAnsi="黑体"/>
          <w:kern w:val="0"/>
          <w:szCs w:val="18"/>
        </w:rPr>
        <w:t>面层：</w:t>
      </w:r>
    </w:p>
    <w:p w14:paraId="3F832B9B">
      <w:pPr>
        <w:pStyle w:val="115"/>
        <w:ind w:left="851" w:hanging="425"/>
        <w:jc w:val="left"/>
      </w:pPr>
      <w:r>
        <w:rPr>
          <w:rFonts w:hint="eastAsia"/>
        </w:rPr>
        <w:t>在铺设沥青前应采用乳化沥青稀浆封层。</w:t>
      </w:r>
    </w:p>
    <w:p w14:paraId="669042D2">
      <w:pPr>
        <w:pStyle w:val="115"/>
        <w:ind w:left="851" w:hanging="425"/>
        <w:jc w:val="left"/>
      </w:pPr>
      <w:r>
        <w:rPr>
          <w:rFonts w:hint="eastAsia"/>
        </w:rPr>
        <w:t>基层各项指标必须满足使用规范的要求。</w:t>
      </w:r>
    </w:p>
    <w:p w14:paraId="401256AF">
      <w:pPr>
        <w:pStyle w:val="115"/>
        <w:ind w:left="851" w:hanging="425"/>
        <w:jc w:val="left"/>
      </w:pPr>
      <w:r>
        <w:rPr>
          <w:rFonts w:hint="eastAsia"/>
        </w:rPr>
        <w:t>沥青混合料必须在沥青拌和站采用机械拌和。沥青混合料采用连续式拌和机拌制，拌制前应先根据实验配合比确定施工配合比，然后根据施工配合比调整上料速度比。</w:t>
      </w:r>
    </w:p>
    <w:p w14:paraId="1A520C49">
      <w:pPr>
        <w:pStyle w:val="115"/>
        <w:ind w:left="851" w:hanging="425"/>
        <w:jc w:val="left"/>
      </w:pPr>
      <w:r>
        <w:rPr>
          <w:rFonts w:hint="eastAsia"/>
        </w:rPr>
        <w:t>其他运输、沥青混合料摊铺、接缝处理、压实及成型、施工与检验等按照国家相关规范执行。</w:t>
      </w:r>
    </w:p>
    <w:p w14:paraId="00402154">
      <w:pPr>
        <w:spacing w:line="360" w:lineRule="auto"/>
        <w:jc w:val="left"/>
        <w:rPr>
          <w:rFonts w:ascii="黑体" w:hAnsi="黑体" w:cs="宋体"/>
          <w:kern w:val="0"/>
          <w:szCs w:val="18"/>
        </w:rPr>
      </w:pPr>
    </w:p>
    <w:p w14:paraId="4D24DA61">
      <w:pPr>
        <w:pStyle w:val="49"/>
        <w:numPr>
          <w:ilvl w:val="0"/>
          <w:numId w:val="164"/>
        </w:numPr>
        <w:spacing w:line="360" w:lineRule="auto"/>
        <w:ind w:firstLineChars="0"/>
        <w:jc w:val="left"/>
        <w:rPr>
          <w:rFonts w:ascii="黑体" w:hAnsi="黑体"/>
          <w:kern w:val="0"/>
          <w:szCs w:val="18"/>
        </w:rPr>
      </w:pPr>
      <w:r>
        <w:rPr>
          <w:rFonts w:hint="eastAsia" w:ascii="黑体" w:hAnsi="黑体"/>
          <w:kern w:val="0"/>
          <w:szCs w:val="18"/>
        </w:rPr>
        <w:t>基层：</w:t>
      </w:r>
    </w:p>
    <w:p w14:paraId="33C26417">
      <w:pPr>
        <w:pStyle w:val="115"/>
        <w:ind w:left="851" w:hanging="425"/>
        <w:jc w:val="left"/>
      </w:pPr>
      <w:r>
        <w:rPr>
          <w:rFonts w:hint="eastAsia"/>
        </w:rPr>
        <w:t>混凝土基层分缝严格按照设计要求施工。</w:t>
      </w:r>
    </w:p>
    <w:p w14:paraId="553B7CD7">
      <w:pPr>
        <w:pStyle w:val="115"/>
        <w:ind w:left="851" w:hanging="425"/>
        <w:jc w:val="left"/>
      </w:pPr>
      <w:r>
        <w:rPr>
          <w:rFonts w:hint="eastAsia"/>
        </w:rPr>
        <w:t>浇筑、振捣前准备工作，施工过程对钢筋的保护，混凝土养护等按照相应施工规范执行。</w:t>
      </w:r>
    </w:p>
    <w:p w14:paraId="6A3A0211">
      <w:pPr>
        <w:spacing w:line="360" w:lineRule="auto"/>
        <w:jc w:val="left"/>
        <w:rPr>
          <w:rFonts w:ascii="黑体" w:hAnsi="黑体" w:cs="宋体"/>
          <w:kern w:val="0"/>
          <w:szCs w:val="18"/>
        </w:rPr>
      </w:pPr>
    </w:p>
    <w:p w14:paraId="1BEEE478">
      <w:pPr>
        <w:pStyle w:val="49"/>
        <w:numPr>
          <w:ilvl w:val="0"/>
          <w:numId w:val="164"/>
        </w:numPr>
        <w:spacing w:line="360" w:lineRule="auto"/>
        <w:ind w:firstLineChars="0"/>
        <w:jc w:val="left"/>
        <w:rPr>
          <w:rFonts w:ascii="黑体" w:hAnsi="黑体"/>
          <w:kern w:val="0"/>
          <w:szCs w:val="18"/>
        </w:rPr>
      </w:pPr>
      <w:r>
        <w:rPr>
          <w:rFonts w:hint="eastAsia" w:ascii="黑体" w:hAnsi="黑体"/>
          <w:kern w:val="0"/>
          <w:szCs w:val="18"/>
        </w:rPr>
        <w:t>垫层：</w:t>
      </w:r>
    </w:p>
    <w:p w14:paraId="42BD490F">
      <w:pPr>
        <w:pStyle w:val="115"/>
        <w:numPr>
          <w:ilvl w:val="5"/>
          <w:numId w:val="165"/>
        </w:numPr>
        <w:ind w:left="851" w:hanging="425"/>
        <w:jc w:val="left"/>
      </w:pPr>
      <w:r>
        <w:rPr>
          <w:rFonts w:hint="eastAsia"/>
        </w:rPr>
        <w:t>垫层铺摊级配碎石、稳压、撒填充料、压实、铺撒嵌缝料、碾压、质量鉴定等程序严格按照国家规范标准实施。</w:t>
      </w:r>
    </w:p>
    <w:p w14:paraId="675B91BD">
      <w:pPr>
        <w:pStyle w:val="115"/>
        <w:numPr>
          <w:ilvl w:val="5"/>
          <w:numId w:val="165"/>
        </w:numPr>
        <w:ind w:left="851" w:hanging="425"/>
        <w:jc w:val="left"/>
      </w:pPr>
      <w:r>
        <w:rPr>
          <w:rFonts w:hint="eastAsia"/>
        </w:rPr>
        <w:t>其他未详尽部分参见《公路沥青路面施工技术规范》(JTG F40)。</w:t>
      </w:r>
    </w:p>
    <w:p w14:paraId="1546A559">
      <w:pPr>
        <w:pStyle w:val="49"/>
        <w:spacing w:line="360" w:lineRule="auto"/>
        <w:ind w:left="243" w:leftChars="135" w:firstLine="180" w:firstLineChars="100"/>
        <w:jc w:val="left"/>
        <w:rPr>
          <w:rFonts w:ascii="黑体" w:hAnsi="黑体" w:cs="宋体"/>
          <w:kern w:val="0"/>
          <w:szCs w:val="18"/>
        </w:rPr>
      </w:pPr>
    </w:p>
    <w:p w14:paraId="14E124EE">
      <w:pPr>
        <w:pStyle w:val="97"/>
        <w:rPr>
          <w:b/>
        </w:rPr>
      </w:pPr>
      <w:bookmarkStart w:id="160" w:name="_Toc399695169"/>
      <w:bookmarkStart w:id="161" w:name="_Toc398804301"/>
      <w:r>
        <w:rPr>
          <w:rFonts w:hint="eastAsia"/>
          <w:b/>
        </w:rPr>
        <w:t>人行道路-石材路面</w:t>
      </w:r>
      <w:bookmarkEnd w:id="160"/>
      <w:bookmarkEnd w:id="161"/>
    </w:p>
    <w:p w14:paraId="514FA4B8">
      <w:pPr>
        <w:pStyle w:val="111"/>
        <w:jc w:val="left"/>
      </w:pPr>
      <w:bookmarkStart w:id="162" w:name="_Toc399695170"/>
      <w:bookmarkStart w:id="163" w:name="_Toc398804302"/>
      <w:r>
        <w:rPr>
          <w:rFonts w:hint="eastAsia"/>
        </w:rPr>
        <w:t>使用部位</w:t>
      </w:r>
      <w:bookmarkEnd w:id="162"/>
      <w:bookmarkEnd w:id="163"/>
    </w:p>
    <w:p w14:paraId="1D556807">
      <w:pPr>
        <w:spacing w:line="360" w:lineRule="auto"/>
        <w:ind w:left="729" w:leftChars="405"/>
        <w:jc w:val="left"/>
        <w:rPr>
          <w:rFonts w:ascii="黑体" w:hAnsi="黑体" w:cs="宋体"/>
          <w:kern w:val="0"/>
          <w:szCs w:val="18"/>
        </w:rPr>
      </w:pPr>
      <w:r>
        <w:rPr>
          <w:rFonts w:hint="eastAsia" w:ascii="黑体" w:hAnsi="黑体" w:cs="宋体"/>
          <w:kern w:val="0"/>
          <w:szCs w:val="18"/>
        </w:rPr>
        <w:t>本章节为园区人行道路路面层、基层及底基层、路基及路缘石相关内容。</w:t>
      </w:r>
    </w:p>
    <w:p w14:paraId="11A57B18">
      <w:pPr>
        <w:spacing w:line="360" w:lineRule="auto"/>
        <w:ind w:firstLine="270" w:firstLineChars="150"/>
        <w:jc w:val="left"/>
        <w:rPr>
          <w:rFonts w:ascii="黑体" w:hAnsi="黑体" w:cs="宋体"/>
          <w:kern w:val="0"/>
          <w:szCs w:val="18"/>
        </w:rPr>
      </w:pPr>
    </w:p>
    <w:p w14:paraId="2C1A0E2E">
      <w:pPr>
        <w:pStyle w:val="111"/>
        <w:jc w:val="left"/>
      </w:pPr>
      <w:bookmarkStart w:id="164" w:name="_Toc399695171"/>
      <w:bookmarkStart w:id="165" w:name="_Toc398804303"/>
      <w:r>
        <w:t>技术规范</w:t>
      </w:r>
      <w:r>
        <w:rPr>
          <w:rFonts w:hint="eastAsia"/>
        </w:rPr>
        <w:t>、规程、要求</w:t>
      </w:r>
      <w:bookmarkEnd w:id="164"/>
      <w:bookmarkEnd w:id="165"/>
    </w:p>
    <w:p w14:paraId="3E77CDEC">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 xml:space="preserve">《城市道路设计规范》(CJJ37) </w:t>
      </w:r>
      <w:r>
        <w:rPr>
          <w:rFonts w:ascii="黑体" w:hAnsi="黑体" w:cs="宋体"/>
          <w:kern w:val="0"/>
          <w:szCs w:val="18"/>
        </w:rPr>
        <w:t xml:space="preserve"> </w:t>
      </w:r>
    </w:p>
    <w:p w14:paraId="09AD2A10">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《无障碍设计规范》（GB50763-2012）</w:t>
      </w:r>
    </w:p>
    <w:p w14:paraId="660AE2C2">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《城市道路工程施工质量验收规范》（</w:t>
      </w:r>
      <w:r>
        <w:rPr>
          <w:rFonts w:ascii="Calibri" w:hAnsi="Calibri" w:cs="Calibri"/>
          <w:kern w:val="0"/>
          <w:szCs w:val="18"/>
        </w:rPr>
        <w:t> </w:t>
      </w:r>
      <w:r>
        <w:rPr>
          <w:rFonts w:ascii="黑体" w:hAnsi="黑体" w:cs="宋体"/>
          <w:kern w:val="0"/>
          <w:szCs w:val="18"/>
        </w:rPr>
        <w:t>DBJ50-078</w:t>
      </w:r>
      <w:r>
        <w:rPr>
          <w:rFonts w:hint="eastAsia" w:ascii="黑体" w:hAnsi="黑体" w:cs="宋体"/>
          <w:kern w:val="0"/>
          <w:szCs w:val="18"/>
        </w:rPr>
        <w:t>）</w:t>
      </w:r>
    </w:p>
    <w:p w14:paraId="12623F0D">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《建筑地面工程施工质量验收规范》（</w:t>
      </w:r>
      <w:r>
        <w:rPr>
          <w:rFonts w:ascii="黑体" w:hAnsi="黑体" w:cs="宋体"/>
          <w:kern w:val="0"/>
          <w:szCs w:val="18"/>
        </w:rPr>
        <w:t>GB50209</w:t>
      </w:r>
      <w:r>
        <w:rPr>
          <w:rFonts w:hint="eastAsia" w:ascii="黑体" w:hAnsi="黑体" w:cs="宋体"/>
          <w:kern w:val="0"/>
          <w:szCs w:val="18"/>
        </w:rPr>
        <w:t>）</w:t>
      </w:r>
    </w:p>
    <w:p w14:paraId="1E3D1C01">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w:t>
      </w:r>
      <w:r>
        <w:rPr>
          <w:rFonts w:ascii="黑体" w:hAnsi="黑体" w:cs="宋体"/>
          <w:kern w:val="0"/>
          <w:szCs w:val="18"/>
        </w:rPr>
        <w:t>园林绿化工程施工及验收规范</w:t>
      </w:r>
      <w:r>
        <w:rPr>
          <w:rFonts w:hint="eastAsia" w:ascii="黑体" w:hAnsi="黑体" w:cs="宋体"/>
          <w:kern w:val="0"/>
          <w:szCs w:val="18"/>
        </w:rPr>
        <w:t>》（</w:t>
      </w:r>
      <w:r>
        <w:rPr>
          <w:rFonts w:ascii="黑体" w:hAnsi="黑体" w:cs="宋体"/>
          <w:kern w:val="0"/>
          <w:szCs w:val="18"/>
        </w:rPr>
        <w:t>CJJ82</w:t>
      </w:r>
      <w:r>
        <w:rPr>
          <w:rFonts w:hint="eastAsia" w:ascii="黑体" w:hAnsi="黑体" w:cs="宋体"/>
          <w:kern w:val="0"/>
          <w:szCs w:val="18"/>
        </w:rPr>
        <w:t>）</w:t>
      </w:r>
    </w:p>
    <w:p w14:paraId="3587C2C7">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 xml:space="preserve"> 城市道路—路面、路基及其他设施MR1</w:t>
      </w:r>
    </w:p>
    <w:p w14:paraId="6F639A72">
      <w:pPr>
        <w:spacing w:line="360" w:lineRule="auto"/>
        <w:ind w:left="426"/>
        <w:jc w:val="left"/>
        <w:rPr>
          <w:rFonts w:ascii="黑体" w:hAnsi="黑体" w:cs="宋体"/>
          <w:kern w:val="0"/>
          <w:szCs w:val="18"/>
        </w:rPr>
      </w:pPr>
    </w:p>
    <w:p w14:paraId="1F90853D">
      <w:pPr>
        <w:pStyle w:val="111"/>
        <w:jc w:val="left"/>
      </w:pPr>
      <w:bookmarkStart w:id="166" w:name="_Toc398804304"/>
      <w:bookmarkStart w:id="167" w:name="_Toc399695172"/>
      <w:r>
        <w:rPr>
          <w:rFonts w:hint="eastAsia"/>
        </w:rPr>
        <w:t>材料要求</w:t>
      </w:r>
      <w:bookmarkEnd w:id="166"/>
      <w:bookmarkEnd w:id="167"/>
    </w:p>
    <w:p w14:paraId="29C07E4E">
      <w:pPr>
        <w:pStyle w:val="49"/>
        <w:numPr>
          <w:ilvl w:val="0"/>
          <w:numId w:val="166"/>
        </w:numPr>
        <w:spacing w:line="360" w:lineRule="auto"/>
        <w:ind w:firstLineChars="0"/>
        <w:jc w:val="left"/>
        <w:rPr>
          <w:rFonts w:ascii="黑体" w:hAnsi="黑体"/>
          <w:kern w:val="0"/>
          <w:szCs w:val="18"/>
        </w:rPr>
      </w:pPr>
      <w:r>
        <w:rPr>
          <w:rFonts w:hint="eastAsia" w:ascii="黑体" w:hAnsi="黑体"/>
          <w:kern w:val="0"/>
          <w:szCs w:val="18"/>
        </w:rPr>
        <w:t>面层（花岗岩）：</w:t>
      </w:r>
    </w:p>
    <w:p w14:paraId="7FA4F78B">
      <w:pPr>
        <w:pStyle w:val="18"/>
        <w:numPr>
          <w:ilvl w:val="1"/>
          <w:numId w:val="167"/>
        </w:numPr>
        <w:autoSpaceDE/>
        <w:autoSpaceDN/>
        <w:adjustRightInd/>
        <w:spacing w:line="360" w:lineRule="auto"/>
        <w:ind w:left="851" w:right="259" w:rightChars="144" w:hanging="426"/>
        <w:jc w:val="left"/>
        <w:rPr>
          <w:rFonts w:ascii="黑体" w:hAnsi="黑体"/>
          <w:szCs w:val="18"/>
        </w:rPr>
      </w:pPr>
      <w:r>
        <w:rPr>
          <w:rFonts w:ascii="黑体" w:hAnsi="黑体"/>
          <w:szCs w:val="18"/>
        </w:rPr>
        <w:t>产</w:t>
      </w:r>
      <w:r>
        <w:rPr>
          <w:rFonts w:hint="eastAsia" w:ascii="黑体" w:hAnsi="黑体"/>
          <w:szCs w:val="18"/>
        </w:rPr>
        <w:t>品类型：花岗岩，具体详景观设计图纸。</w:t>
      </w:r>
    </w:p>
    <w:p w14:paraId="35857DD2">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 xml:space="preserve"> 用于人行道路面。</w:t>
      </w:r>
    </w:p>
    <w:p w14:paraId="57E53F19">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 xml:space="preserve"> 品种、厚度、图案、外观颜色、尺寸详景观设计图纸。</w:t>
      </w:r>
    </w:p>
    <w:p w14:paraId="0633EE7E">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尺寸允许偏差：满足</w:t>
      </w:r>
      <w:r>
        <w:rPr>
          <w:rFonts w:ascii="黑体" w:hAnsi="黑体"/>
          <w:szCs w:val="18"/>
        </w:rPr>
        <w:t xml:space="preserve">GB/T 18601 </w:t>
      </w:r>
      <w:r>
        <w:rPr>
          <w:rFonts w:hint="eastAsia" w:ascii="黑体" w:hAnsi="黑体"/>
          <w:szCs w:val="18"/>
        </w:rPr>
        <w:t>相关规定的要求。</w:t>
      </w:r>
    </w:p>
    <w:p w14:paraId="7213C0F2">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外观质量：满足</w:t>
      </w:r>
      <w:r>
        <w:rPr>
          <w:rFonts w:ascii="黑体" w:hAnsi="黑体"/>
          <w:szCs w:val="18"/>
        </w:rPr>
        <w:t xml:space="preserve">GB/T 18601 </w:t>
      </w:r>
      <w:r>
        <w:rPr>
          <w:rFonts w:hint="eastAsia" w:ascii="黑体" w:hAnsi="黑体"/>
          <w:szCs w:val="18"/>
        </w:rPr>
        <w:t>相关规定的要求。</w:t>
      </w:r>
    </w:p>
    <w:p w14:paraId="184DD8EC">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吸水率≤</w:t>
      </w:r>
      <w:r>
        <w:rPr>
          <w:rFonts w:ascii="黑体" w:hAnsi="黑体"/>
          <w:szCs w:val="18"/>
        </w:rPr>
        <w:t>0.60%</w:t>
      </w:r>
      <w:r>
        <w:rPr>
          <w:rFonts w:hint="eastAsia" w:ascii="黑体" w:hAnsi="黑体"/>
          <w:szCs w:val="18"/>
        </w:rPr>
        <w:t>。</w:t>
      </w:r>
    </w:p>
    <w:p w14:paraId="3E8E7A34">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体积密度≥</w:t>
      </w:r>
      <w:r>
        <w:rPr>
          <w:rFonts w:ascii="黑体" w:hAnsi="黑体"/>
          <w:szCs w:val="18"/>
        </w:rPr>
        <w:t>2.56g/cm3</w:t>
      </w:r>
      <w:r>
        <w:rPr>
          <w:rFonts w:hint="eastAsia" w:ascii="黑体" w:hAnsi="黑体"/>
          <w:szCs w:val="18"/>
        </w:rPr>
        <w:t>。</w:t>
      </w:r>
    </w:p>
    <w:p w14:paraId="2F9DF04F">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干燥压缩强度≥</w:t>
      </w:r>
      <w:r>
        <w:rPr>
          <w:rFonts w:ascii="黑体" w:hAnsi="黑体"/>
          <w:szCs w:val="18"/>
        </w:rPr>
        <w:t>100.0Mpa</w:t>
      </w:r>
      <w:r>
        <w:rPr>
          <w:rFonts w:hint="eastAsia" w:ascii="黑体" w:hAnsi="黑体"/>
          <w:szCs w:val="18"/>
        </w:rPr>
        <w:t>。</w:t>
      </w:r>
    </w:p>
    <w:p w14:paraId="536CF72E">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同一批板材的色调应基本调和，花纹应基本一致。</w:t>
      </w:r>
    </w:p>
    <w:p w14:paraId="7733DC3D">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板材粘贴前须进行六面防碱处理，并涂以保护剂。所有烧面材料，在施工完毕并经过清洗后，需要涂封闭剂保护面层颜色。</w:t>
      </w:r>
    </w:p>
    <w:p w14:paraId="136B2C2D">
      <w:pPr>
        <w:pStyle w:val="18"/>
        <w:numPr>
          <w:ilvl w:val="1"/>
          <w:numId w:val="167"/>
        </w:numPr>
        <w:autoSpaceDE/>
        <w:autoSpaceDN/>
        <w:adjustRightInd/>
        <w:spacing w:line="360" w:lineRule="auto"/>
        <w:ind w:left="851" w:right="259" w:rightChars="144" w:hanging="426"/>
        <w:jc w:val="left"/>
        <w:rPr>
          <w:rFonts w:ascii="黑体" w:hAnsi="黑体"/>
          <w:szCs w:val="18"/>
        </w:rPr>
      </w:pPr>
      <w:r>
        <w:rPr>
          <w:rFonts w:hint="eastAsia" w:ascii="黑体" w:hAnsi="黑体"/>
          <w:szCs w:val="18"/>
        </w:rPr>
        <w:t>防滑。</w:t>
      </w:r>
    </w:p>
    <w:p w14:paraId="25F56E51">
      <w:pPr>
        <w:pStyle w:val="18"/>
        <w:spacing w:line="360" w:lineRule="auto"/>
        <w:ind w:left="420" w:right="259" w:rightChars="144"/>
        <w:jc w:val="left"/>
        <w:rPr>
          <w:rFonts w:ascii="黑体" w:hAnsi="黑体"/>
          <w:szCs w:val="18"/>
        </w:rPr>
      </w:pPr>
    </w:p>
    <w:p w14:paraId="37C64CB3">
      <w:pPr>
        <w:pStyle w:val="49"/>
        <w:numPr>
          <w:ilvl w:val="0"/>
          <w:numId w:val="166"/>
        </w:numPr>
        <w:spacing w:line="360" w:lineRule="auto"/>
        <w:ind w:firstLineChars="0"/>
        <w:jc w:val="left"/>
        <w:rPr>
          <w:rFonts w:ascii="黑体" w:hAnsi="黑体"/>
          <w:kern w:val="0"/>
          <w:szCs w:val="18"/>
        </w:rPr>
      </w:pPr>
      <w:r>
        <w:rPr>
          <w:rFonts w:hint="eastAsia" w:ascii="黑体" w:hAnsi="黑体"/>
          <w:kern w:val="0"/>
          <w:szCs w:val="18"/>
        </w:rPr>
        <w:t>路缘石：</w:t>
      </w:r>
    </w:p>
    <w:p w14:paraId="492CF17F">
      <w:pPr>
        <w:pStyle w:val="18"/>
        <w:numPr>
          <w:ilvl w:val="0"/>
          <w:numId w:val="168"/>
        </w:numPr>
        <w:autoSpaceDE/>
        <w:autoSpaceDN/>
        <w:adjustRightInd/>
        <w:spacing w:line="360" w:lineRule="auto"/>
        <w:ind w:left="851" w:right="259" w:rightChars="144"/>
        <w:jc w:val="left"/>
        <w:rPr>
          <w:rFonts w:ascii="黑体" w:hAnsi="黑体"/>
          <w:szCs w:val="18"/>
        </w:rPr>
      </w:pPr>
      <w:r>
        <w:rPr>
          <w:rFonts w:ascii="黑体" w:hAnsi="黑体"/>
          <w:szCs w:val="18"/>
        </w:rPr>
        <w:t>产</w:t>
      </w:r>
      <w:r>
        <w:rPr>
          <w:rFonts w:hint="eastAsia" w:ascii="黑体" w:hAnsi="黑体"/>
          <w:szCs w:val="18"/>
        </w:rPr>
        <w:t>品类型：花岗岩。</w:t>
      </w:r>
    </w:p>
    <w:p w14:paraId="02467179">
      <w:pPr>
        <w:pStyle w:val="18"/>
        <w:numPr>
          <w:ilvl w:val="0"/>
          <w:numId w:val="168"/>
        </w:numPr>
        <w:autoSpaceDE/>
        <w:autoSpaceDN/>
        <w:adjustRightInd/>
        <w:spacing w:line="360" w:lineRule="auto"/>
        <w:ind w:left="851" w:right="259" w:rightChars="144"/>
        <w:jc w:val="left"/>
        <w:rPr>
          <w:rFonts w:ascii="黑体" w:hAnsi="黑体"/>
          <w:szCs w:val="18"/>
        </w:rPr>
      </w:pPr>
      <w:r>
        <w:rPr>
          <w:rFonts w:hint="eastAsia" w:ascii="黑体" w:hAnsi="黑体"/>
          <w:szCs w:val="18"/>
        </w:rPr>
        <w:t>用于车行道路与人行道路、绿化以及人行道路与绿化的交接，分为立缘石、平缘石。</w:t>
      </w:r>
    </w:p>
    <w:p w14:paraId="00BD109C">
      <w:pPr>
        <w:pStyle w:val="18"/>
        <w:numPr>
          <w:ilvl w:val="0"/>
          <w:numId w:val="168"/>
        </w:numPr>
        <w:autoSpaceDE/>
        <w:autoSpaceDN/>
        <w:adjustRightInd/>
        <w:spacing w:line="360" w:lineRule="auto"/>
        <w:ind w:left="851" w:right="259" w:rightChars="144"/>
        <w:jc w:val="left"/>
        <w:rPr>
          <w:rFonts w:ascii="黑体" w:hAnsi="黑体"/>
          <w:szCs w:val="18"/>
        </w:rPr>
      </w:pPr>
      <w:r>
        <w:rPr>
          <w:rFonts w:hint="eastAsia" w:ascii="黑体" w:hAnsi="黑体"/>
          <w:szCs w:val="18"/>
        </w:rPr>
        <w:t>品种、厚度、尺寸详设计图纸。</w:t>
      </w:r>
    </w:p>
    <w:p w14:paraId="26C3D2E3">
      <w:pPr>
        <w:pStyle w:val="18"/>
        <w:numPr>
          <w:ilvl w:val="0"/>
          <w:numId w:val="168"/>
        </w:numPr>
        <w:autoSpaceDE/>
        <w:autoSpaceDN/>
        <w:adjustRightInd/>
        <w:spacing w:line="360" w:lineRule="auto"/>
        <w:ind w:left="851" w:right="259" w:rightChars="144"/>
        <w:jc w:val="left"/>
        <w:rPr>
          <w:rFonts w:ascii="黑体" w:hAnsi="黑体"/>
          <w:szCs w:val="18"/>
        </w:rPr>
      </w:pPr>
      <w:r>
        <w:rPr>
          <w:rFonts w:hint="eastAsia" w:ascii="黑体" w:hAnsi="黑体"/>
          <w:szCs w:val="18"/>
        </w:rPr>
        <w:t>外观颜色：详设计图纸。</w:t>
      </w:r>
    </w:p>
    <w:p w14:paraId="22CAA98E">
      <w:pPr>
        <w:pStyle w:val="18"/>
        <w:numPr>
          <w:ilvl w:val="0"/>
          <w:numId w:val="168"/>
        </w:numPr>
        <w:autoSpaceDE/>
        <w:autoSpaceDN/>
        <w:adjustRightInd/>
        <w:spacing w:line="360" w:lineRule="auto"/>
        <w:ind w:left="851" w:right="259" w:rightChars="144"/>
        <w:jc w:val="left"/>
        <w:rPr>
          <w:rFonts w:ascii="黑体" w:hAnsi="黑体"/>
          <w:szCs w:val="18"/>
        </w:rPr>
      </w:pPr>
      <w:r>
        <w:rPr>
          <w:rFonts w:hint="eastAsia" w:ascii="黑体" w:hAnsi="黑体"/>
          <w:szCs w:val="18"/>
        </w:rPr>
        <w:t>石材路缘石应石质一直，无裂纹和风化等现象。</w:t>
      </w:r>
    </w:p>
    <w:p w14:paraId="144BB5D1">
      <w:pPr>
        <w:pStyle w:val="18"/>
        <w:numPr>
          <w:ilvl w:val="0"/>
          <w:numId w:val="168"/>
        </w:numPr>
        <w:autoSpaceDE/>
        <w:autoSpaceDN/>
        <w:adjustRightInd/>
        <w:spacing w:line="360" w:lineRule="auto"/>
        <w:ind w:left="851" w:right="259" w:rightChars="144"/>
        <w:jc w:val="left"/>
        <w:rPr>
          <w:rFonts w:ascii="黑体" w:hAnsi="黑体"/>
          <w:szCs w:val="18"/>
        </w:rPr>
      </w:pPr>
      <w:r>
        <w:rPr>
          <w:rFonts w:hint="eastAsia" w:ascii="黑体" w:hAnsi="黑体"/>
          <w:szCs w:val="18"/>
        </w:rPr>
        <w:t>石材强度技术指标、路缘石放射性水平应满足《</w:t>
      </w:r>
      <w:r>
        <w:rPr>
          <w:rFonts w:hint="eastAsia" w:ascii="黑体" w:hAnsi="黑体" w:cs="宋体"/>
          <w:szCs w:val="18"/>
        </w:rPr>
        <w:t>城市道路——路面、路基及其他设施MR1（2008年合订本）</w:t>
      </w:r>
      <w:r>
        <w:rPr>
          <w:rFonts w:hint="eastAsia" w:ascii="黑体" w:hAnsi="黑体"/>
          <w:szCs w:val="18"/>
        </w:rPr>
        <w:t>》的相关要求。</w:t>
      </w:r>
    </w:p>
    <w:p w14:paraId="7A8C0B69">
      <w:pPr>
        <w:pStyle w:val="18"/>
        <w:numPr>
          <w:ilvl w:val="0"/>
          <w:numId w:val="168"/>
        </w:numPr>
        <w:autoSpaceDE/>
        <w:autoSpaceDN/>
        <w:adjustRightInd/>
        <w:spacing w:line="360" w:lineRule="auto"/>
        <w:ind w:left="851" w:right="259" w:rightChars="144"/>
        <w:jc w:val="left"/>
        <w:rPr>
          <w:rFonts w:ascii="黑体" w:hAnsi="黑体"/>
          <w:szCs w:val="18"/>
        </w:rPr>
      </w:pPr>
      <w:r>
        <w:rPr>
          <w:rFonts w:hint="eastAsia" w:ascii="黑体" w:hAnsi="黑体"/>
          <w:szCs w:val="18"/>
        </w:rPr>
        <w:t>路缘石施工缝最大缝宽控制：直线段不灌封3mm，直线段灌浆10mm，曲线段16mm。</w:t>
      </w:r>
    </w:p>
    <w:p w14:paraId="4AB20B62">
      <w:pPr>
        <w:pStyle w:val="18"/>
        <w:spacing w:line="360" w:lineRule="auto"/>
        <w:ind w:right="259" w:rightChars="144"/>
        <w:jc w:val="left"/>
        <w:rPr>
          <w:rFonts w:ascii="黑体" w:hAnsi="黑体"/>
          <w:szCs w:val="18"/>
        </w:rPr>
      </w:pPr>
    </w:p>
    <w:p w14:paraId="2F9E4583">
      <w:pPr>
        <w:pStyle w:val="49"/>
        <w:numPr>
          <w:ilvl w:val="0"/>
          <w:numId w:val="166"/>
        </w:numPr>
        <w:spacing w:line="360" w:lineRule="auto"/>
        <w:ind w:firstLineChars="0"/>
        <w:jc w:val="left"/>
        <w:rPr>
          <w:rFonts w:ascii="黑体" w:hAnsi="黑体"/>
          <w:kern w:val="0"/>
          <w:szCs w:val="18"/>
        </w:rPr>
      </w:pPr>
      <w:r>
        <w:rPr>
          <w:rFonts w:hint="eastAsia" w:ascii="黑体" w:hAnsi="黑体"/>
          <w:kern w:val="0"/>
          <w:szCs w:val="18"/>
        </w:rPr>
        <w:t>基层：</w:t>
      </w:r>
    </w:p>
    <w:p w14:paraId="55B5585E">
      <w:pPr>
        <w:pStyle w:val="18"/>
        <w:numPr>
          <w:ilvl w:val="0"/>
          <w:numId w:val="169"/>
        </w:numPr>
        <w:autoSpaceDE/>
        <w:autoSpaceDN/>
        <w:adjustRightInd/>
        <w:spacing w:line="360" w:lineRule="auto"/>
        <w:ind w:left="851" w:right="259" w:rightChars="144"/>
        <w:jc w:val="left"/>
        <w:rPr>
          <w:rFonts w:ascii="黑体" w:hAnsi="黑体"/>
          <w:szCs w:val="18"/>
        </w:rPr>
      </w:pPr>
      <w:r>
        <w:rPr>
          <w:rFonts w:ascii="黑体" w:hAnsi="黑体"/>
          <w:szCs w:val="18"/>
        </w:rPr>
        <w:t>产</w:t>
      </w:r>
      <w:r>
        <w:rPr>
          <w:rFonts w:hint="eastAsia" w:ascii="黑体" w:hAnsi="黑体"/>
          <w:szCs w:val="18"/>
        </w:rPr>
        <w:t>品类型： C20混凝土，</w:t>
      </w:r>
      <w:r>
        <w:rPr>
          <w:rFonts w:ascii="黑体" w:hAnsi="黑体"/>
          <w:szCs w:val="18"/>
        </w:rPr>
        <w:t>厚度按设计</w:t>
      </w:r>
      <w:r>
        <w:rPr>
          <w:rFonts w:hint="eastAsia" w:ascii="黑体" w:hAnsi="黑体"/>
          <w:szCs w:val="18"/>
        </w:rPr>
        <w:t>。</w:t>
      </w:r>
    </w:p>
    <w:p w14:paraId="2628AD8C">
      <w:pPr>
        <w:pStyle w:val="18"/>
        <w:numPr>
          <w:ilvl w:val="0"/>
          <w:numId w:val="169"/>
        </w:numPr>
        <w:autoSpaceDE/>
        <w:autoSpaceDN/>
        <w:adjustRightInd/>
        <w:spacing w:line="360" w:lineRule="auto"/>
        <w:ind w:left="851" w:right="259" w:rightChars="144"/>
        <w:jc w:val="left"/>
        <w:rPr>
          <w:rFonts w:ascii="黑体" w:hAnsi="黑体"/>
          <w:szCs w:val="18"/>
        </w:rPr>
      </w:pPr>
      <w:r>
        <w:rPr>
          <w:rFonts w:hint="eastAsia" w:ascii="黑体" w:hAnsi="黑体"/>
          <w:szCs w:val="18"/>
        </w:rPr>
        <w:t>物理性能：足够强度、稳定性，较小的收缩变形及较强的抗冲刷能力。</w:t>
      </w:r>
    </w:p>
    <w:p w14:paraId="3A2B94E5">
      <w:pPr>
        <w:pStyle w:val="18"/>
        <w:numPr>
          <w:ilvl w:val="0"/>
          <w:numId w:val="169"/>
        </w:numPr>
        <w:autoSpaceDE/>
        <w:autoSpaceDN/>
        <w:adjustRightInd/>
        <w:spacing w:line="360" w:lineRule="auto"/>
        <w:ind w:left="851" w:right="259" w:rightChars="144"/>
        <w:jc w:val="left"/>
        <w:rPr>
          <w:rFonts w:ascii="黑体" w:hAnsi="黑体"/>
          <w:szCs w:val="18"/>
        </w:rPr>
      </w:pPr>
      <w:r>
        <w:rPr>
          <w:rFonts w:hint="eastAsia" w:ascii="黑体" w:hAnsi="黑体"/>
          <w:szCs w:val="18"/>
        </w:rPr>
        <w:t>混凝土基层应设置纵缝、横缝，并灌入填缝料，其上应设置热沥青或改性乳化沥青、改性沥青粘结层等。具体按国家规范、设计图纸执行。</w:t>
      </w:r>
    </w:p>
    <w:p w14:paraId="51796D10">
      <w:pPr>
        <w:pStyle w:val="18"/>
        <w:tabs>
          <w:tab w:val="left" w:pos="0"/>
        </w:tabs>
        <w:spacing w:line="360" w:lineRule="auto"/>
        <w:ind w:right="259" w:rightChars="144"/>
        <w:jc w:val="left"/>
        <w:rPr>
          <w:rFonts w:ascii="黑体" w:hAnsi="黑体"/>
          <w:szCs w:val="18"/>
        </w:rPr>
      </w:pPr>
    </w:p>
    <w:p w14:paraId="49887041">
      <w:pPr>
        <w:pStyle w:val="49"/>
        <w:numPr>
          <w:ilvl w:val="0"/>
          <w:numId w:val="166"/>
        </w:numPr>
        <w:spacing w:line="360" w:lineRule="auto"/>
        <w:ind w:firstLineChars="0"/>
        <w:jc w:val="left"/>
        <w:rPr>
          <w:rFonts w:ascii="黑体" w:hAnsi="黑体"/>
          <w:kern w:val="0"/>
          <w:szCs w:val="18"/>
        </w:rPr>
      </w:pPr>
      <w:r>
        <w:rPr>
          <w:rFonts w:hint="eastAsia" w:ascii="黑体" w:hAnsi="黑体"/>
          <w:kern w:val="0"/>
          <w:szCs w:val="18"/>
        </w:rPr>
        <w:t>垫层、路基</w:t>
      </w:r>
    </w:p>
    <w:p w14:paraId="75FDDDCF">
      <w:pPr>
        <w:numPr>
          <w:ilvl w:val="0"/>
          <w:numId w:val="170"/>
        </w:numPr>
        <w:spacing w:line="360" w:lineRule="auto"/>
        <w:ind w:left="851"/>
        <w:jc w:val="left"/>
        <w:rPr>
          <w:rFonts w:ascii="黑体" w:hAnsi="黑体" w:cs="宋体"/>
          <w:kern w:val="0"/>
          <w:szCs w:val="18"/>
        </w:rPr>
      </w:pPr>
      <w:r>
        <w:rPr>
          <w:rFonts w:ascii="黑体" w:hAnsi="黑体" w:cs="宋体"/>
          <w:kern w:val="0"/>
          <w:szCs w:val="18"/>
        </w:rPr>
        <w:t>产</w:t>
      </w:r>
      <w:r>
        <w:rPr>
          <w:rFonts w:hint="eastAsia" w:ascii="黑体" w:hAnsi="黑体" w:cs="宋体"/>
          <w:kern w:val="0"/>
          <w:szCs w:val="18"/>
        </w:rPr>
        <w:t>品类型：碎石垫层，</w:t>
      </w:r>
      <w:r>
        <w:rPr>
          <w:rFonts w:ascii="黑体" w:hAnsi="黑体" w:cs="宋体"/>
          <w:kern w:val="0"/>
          <w:szCs w:val="18"/>
        </w:rPr>
        <w:t>厚度按设计</w:t>
      </w:r>
      <w:r>
        <w:rPr>
          <w:rFonts w:hint="eastAsia" w:ascii="黑体" w:hAnsi="黑体" w:cs="宋体"/>
          <w:kern w:val="0"/>
          <w:szCs w:val="18"/>
        </w:rPr>
        <w:t>。</w:t>
      </w:r>
    </w:p>
    <w:p w14:paraId="21B27A85">
      <w:pPr>
        <w:numPr>
          <w:ilvl w:val="0"/>
          <w:numId w:val="170"/>
        </w:numPr>
        <w:spacing w:line="360" w:lineRule="auto"/>
        <w:ind w:left="851"/>
        <w:jc w:val="left"/>
        <w:rPr>
          <w:rFonts w:ascii="黑体" w:hAnsi="黑体" w:cs="宋体"/>
          <w:kern w:val="0"/>
          <w:szCs w:val="18"/>
        </w:rPr>
      </w:pPr>
      <w:r>
        <w:rPr>
          <w:rFonts w:hint="eastAsia" w:ascii="黑体" w:hAnsi="黑体" w:cs="宋体"/>
          <w:kern w:val="0"/>
          <w:szCs w:val="18"/>
        </w:rPr>
        <w:t>路基必须密实、均匀、稳定。</w:t>
      </w:r>
    </w:p>
    <w:p w14:paraId="6A69D3A2">
      <w:pPr>
        <w:numPr>
          <w:ilvl w:val="0"/>
          <w:numId w:val="170"/>
        </w:numPr>
        <w:spacing w:line="360" w:lineRule="auto"/>
        <w:ind w:left="851"/>
        <w:jc w:val="left"/>
        <w:rPr>
          <w:rFonts w:ascii="黑体" w:hAnsi="黑体" w:cs="宋体"/>
          <w:kern w:val="0"/>
          <w:szCs w:val="18"/>
        </w:rPr>
      </w:pPr>
      <w:r>
        <w:rPr>
          <w:rFonts w:hint="eastAsia" w:ascii="黑体" w:hAnsi="黑体" w:cs="宋体"/>
          <w:kern w:val="0"/>
          <w:szCs w:val="18"/>
        </w:rPr>
        <w:t>土基回弹模量值应大于30</w:t>
      </w:r>
      <w:r>
        <w:rPr>
          <w:rFonts w:ascii="黑体" w:hAnsi="黑体" w:cs="宋体"/>
          <w:kern w:val="0"/>
          <w:szCs w:val="18"/>
        </w:rPr>
        <w:t>MPa</w:t>
      </w:r>
      <w:r>
        <w:rPr>
          <w:rFonts w:hint="eastAsia" w:ascii="黑体" w:hAnsi="黑体" w:cs="宋体"/>
          <w:kern w:val="0"/>
          <w:szCs w:val="18"/>
        </w:rPr>
        <w:t>，路基压实度≥93%。</w:t>
      </w:r>
    </w:p>
    <w:p w14:paraId="72A40489">
      <w:pPr>
        <w:numPr>
          <w:ilvl w:val="0"/>
          <w:numId w:val="170"/>
        </w:numPr>
        <w:spacing w:line="360" w:lineRule="auto"/>
        <w:ind w:left="851"/>
        <w:jc w:val="left"/>
        <w:rPr>
          <w:rFonts w:ascii="黑体" w:hAnsi="黑体" w:cs="宋体"/>
          <w:kern w:val="0"/>
          <w:szCs w:val="18"/>
        </w:rPr>
      </w:pPr>
      <w:r>
        <w:rPr>
          <w:rFonts w:hint="eastAsia" w:ascii="黑体" w:hAnsi="黑体" w:cs="宋体"/>
          <w:kern w:val="0"/>
          <w:szCs w:val="18"/>
        </w:rPr>
        <w:t>路缘石与路面共用基层结构，具体要求参见路面基层。</w:t>
      </w:r>
    </w:p>
    <w:p w14:paraId="5F2A4AD6">
      <w:pPr>
        <w:numPr>
          <w:ilvl w:val="0"/>
          <w:numId w:val="170"/>
        </w:numPr>
        <w:spacing w:line="360" w:lineRule="auto"/>
        <w:ind w:left="851"/>
        <w:jc w:val="left"/>
        <w:rPr>
          <w:rFonts w:ascii="黑体" w:hAnsi="黑体" w:cs="宋体"/>
          <w:kern w:val="0"/>
          <w:szCs w:val="18"/>
        </w:rPr>
      </w:pPr>
      <w:r>
        <w:rPr>
          <w:rFonts w:hint="eastAsia" w:ascii="黑体" w:hAnsi="黑体" w:cs="宋体"/>
          <w:kern w:val="0"/>
          <w:szCs w:val="18"/>
        </w:rPr>
        <w:t>路缘石垫层选择原则：设计垫层厚度不大于30mm时采用砂浆类，一般采用M7.5水泥砂浆；设计垫层厚度30-60mm时采用细石混凝土；设计垫层厚度大于60mm时，采用C20水泥混凝土。</w:t>
      </w:r>
    </w:p>
    <w:p w14:paraId="14C8216F">
      <w:pPr>
        <w:numPr>
          <w:ilvl w:val="0"/>
          <w:numId w:val="170"/>
        </w:numPr>
        <w:spacing w:line="360" w:lineRule="auto"/>
        <w:ind w:left="851"/>
        <w:jc w:val="left"/>
        <w:rPr>
          <w:rFonts w:ascii="黑体" w:hAnsi="黑体" w:cs="宋体"/>
          <w:kern w:val="0"/>
          <w:szCs w:val="18"/>
        </w:rPr>
      </w:pPr>
      <w:r>
        <w:rPr>
          <w:rFonts w:hint="eastAsia" w:ascii="黑体" w:hAnsi="黑体" w:cs="宋体"/>
          <w:kern w:val="0"/>
          <w:szCs w:val="18"/>
        </w:rPr>
        <w:t>路基采取重锤夯实法处理。</w:t>
      </w:r>
    </w:p>
    <w:p w14:paraId="74939DBF">
      <w:pPr>
        <w:pStyle w:val="18"/>
        <w:spacing w:line="360" w:lineRule="auto"/>
        <w:ind w:right="259" w:rightChars="144"/>
        <w:jc w:val="left"/>
        <w:rPr>
          <w:rFonts w:ascii="黑体" w:hAnsi="黑体"/>
          <w:szCs w:val="18"/>
        </w:rPr>
      </w:pPr>
    </w:p>
    <w:p w14:paraId="2DFB0FEF">
      <w:pPr>
        <w:pStyle w:val="111"/>
        <w:jc w:val="left"/>
      </w:pPr>
      <w:bookmarkStart w:id="168" w:name="_Toc398804306"/>
      <w:bookmarkStart w:id="169" w:name="_Toc399695173"/>
      <w:r>
        <w:t>提交资料</w:t>
      </w:r>
      <w:bookmarkEnd w:id="168"/>
      <w:bookmarkEnd w:id="169"/>
    </w:p>
    <w:p w14:paraId="4B3CC64D">
      <w:pPr>
        <w:pStyle w:val="113"/>
        <w:numPr>
          <w:ilvl w:val="4"/>
          <w:numId w:val="32"/>
        </w:numPr>
        <w:ind w:left="851" w:hanging="425"/>
        <w:jc w:val="left"/>
      </w:pPr>
      <w:r>
        <w:rPr>
          <w:rFonts w:hint="eastAsia"/>
        </w:rPr>
        <w:t>提供厂商资质、企业历史、技术状况文件、产品实施项目表。</w:t>
      </w:r>
    </w:p>
    <w:p w14:paraId="6F116653">
      <w:pPr>
        <w:pStyle w:val="113"/>
        <w:numPr>
          <w:ilvl w:val="4"/>
          <w:numId w:val="32"/>
        </w:numPr>
        <w:ind w:left="851" w:hanging="425"/>
        <w:jc w:val="left"/>
      </w:pPr>
      <w:r>
        <w:rPr>
          <w:rFonts w:hint="eastAsia"/>
        </w:rPr>
        <w:t>确认样品：</w:t>
      </w:r>
    </w:p>
    <w:p w14:paraId="7BF4D48C">
      <w:pPr>
        <w:pStyle w:val="49"/>
        <w:spacing w:line="360" w:lineRule="auto"/>
        <w:ind w:left="729" w:leftChars="405" w:firstLine="0" w:firstLineChars="0"/>
        <w:jc w:val="left"/>
        <w:rPr>
          <w:rFonts w:ascii="黑体" w:hAnsi="黑体" w:cs="宋体"/>
          <w:kern w:val="0"/>
          <w:szCs w:val="18"/>
        </w:rPr>
      </w:pPr>
      <w:r>
        <w:rPr>
          <w:rFonts w:hint="eastAsia" w:ascii="黑体" w:hAnsi="黑体" w:cs="宋体"/>
          <w:kern w:val="0"/>
          <w:szCs w:val="18"/>
        </w:rPr>
        <w:t>提供图纸所包含规格的设计师认可的，各种品种的石材面层样品（平面石500mmX500mm）供设计师确认。</w:t>
      </w:r>
    </w:p>
    <w:p w14:paraId="74182AE7">
      <w:pPr>
        <w:pStyle w:val="113"/>
        <w:numPr>
          <w:ilvl w:val="4"/>
          <w:numId w:val="32"/>
        </w:numPr>
        <w:ind w:left="851" w:hanging="425"/>
        <w:jc w:val="left"/>
      </w:pPr>
      <w:r>
        <w:rPr>
          <w:rFonts w:hint="eastAsia"/>
        </w:rPr>
        <w:t>资质资料：安装施工单位资格证书，施工资质资料。</w:t>
      </w:r>
    </w:p>
    <w:p w14:paraId="27E0720A">
      <w:pPr>
        <w:pStyle w:val="113"/>
        <w:numPr>
          <w:ilvl w:val="4"/>
          <w:numId w:val="32"/>
        </w:numPr>
        <w:ind w:left="851" w:hanging="425"/>
        <w:jc w:val="left"/>
      </w:pPr>
      <w:r>
        <w:rPr>
          <w:rFonts w:hint="eastAsia"/>
        </w:rPr>
        <w:t>产品资料：包括产品规格</w:t>
      </w:r>
      <w:r>
        <w:t>/</w:t>
      </w:r>
      <w:r>
        <w:rPr>
          <w:rFonts w:hint="eastAsia"/>
        </w:rPr>
        <w:t>型号，产品生产、安装、验收方面资料。</w:t>
      </w:r>
    </w:p>
    <w:p w14:paraId="4C8C736F">
      <w:pPr>
        <w:pStyle w:val="113"/>
        <w:numPr>
          <w:ilvl w:val="4"/>
          <w:numId w:val="32"/>
        </w:numPr>
        <w:ind w:left="851" w:hanging="425"/>
        <w:jc w:val="left"/>
      </w:pPr>
      <w:r>
        <w:rPr>
          <w:rFonts w:hint="eastAsia"/>
        </w:rPr>
        <w:t>检测报告：提供各规格型号产品的相关检测报告。</w:t>
      </w:r>
    </w:p>
    <w:p w14:paraId="037CB61A">
      <w:pPr>
        <w:pStyle w:val="113"/>
        <w:numPr>
          <w:ilvl w:val="4"/>
          <w:numId w:val="32"/>
        </w:numPr>
        <w:ind w:left="851" w:hanging="425"/>
        <w:jc w:val="left"/>
      </w:pPr>
      <w:r>
        <w:rPr>
          <w:rFonts w:hint="eastAsia"/>
        </w:rPr>
        <w:t>面层铺设要求须小面积试铺供设计师认可效果，试铺面积50-100㎡。</w:t>
      </w:r>
    </w:p>
    <w:p w14:paraId="24F0FD88">
      <w:pPr>
        <w:pStyle w:val="49"/>
        <w:spacing w:line="360" w:lineRule="auto"/>
        <w:ind w:left="840" w:firstLine="0" w:firstLineChars="0"/>
        <w:jc w:val="left"/>
        <w:rPr>
          <w:rFonts w:ascii="黑体" w:hAnsi="黑体" w:cs="宋体"/>
          <w:kern w:val="0"/>
          <w:szCs w:val="18"/>
        </w:rPr>
      </w:pPr>
    </w:p>
    <w:p w14:paraId="79B3777B">
      <w:pPr>
        <w:pStyle w:val="111"/>
        <w:jc w:val="left"/>
      </w:pPr>
      <w:bookmarkStart w:id="170" w:name="_Toc399695174"/>
      <w:bookmarkStart w:id="171" w:name="_Toc398804307"/>
      <w:r>
        <w:t>质量保证</w:t>
      </w:r>
      <w:bookmarkEnd w:id="170"/>
      <w:bookmarkEnd w:id="171"/>
      <w:r>
        <w:t xml:space="preserve"> </w:t>
      </w:r>
    </w:p>
    <w:p w14:paraId="3F56154E">
      <w:pPr>
        <w:pStyle w:val="113"/>
        <w:numPr>
          <w:ilvl w:val="4"/>
          <w:numId w:val="32"/>
        </w:numPr>
        <w:ind w:left="851" w:hanging="425"/>
        <w:jc w:val="left"/>
      </w:pPr>
      <w:r>
        <w:rPr>
          <w:rFonts w:hint="eastAsia"/>
        </w:rPr>
        <w:t>保证项目：</w:t>
      </w:r>
    </w:p>
    <w:p w14:paraId="7BB68BBE">
      <w:pPr>
        <w:spacing w:line="360" w:lineRule="auto"/>
        <w:ind w:left="729" w:leftChars="405"/>
        <w:jc w:val="left"/>
        <w:rPr>
          <w:rFonts w:ascii="黑体" w:hAnsi="黑体" w:cs="宋体"/>
          <w:kern w:val="0"/>
          <w:szCs w:val="18"/>
        </w:rPr>
      </w:pPr>
      <w:r>
        <w:rPr>
          <w:rFonts w:hint="eastAsia" w:ascii="黑体" w:hAnsi="黑体" w:cs="宋体"/>
          <w:kern w:val="0"/>
          <w:szCs w:val="18"/>
        </w:rPr>
        <w:t>面层所用板块的品种、质量必须符合设计要求。</w:t>
      </w:r>
    </w:p>
    <w:p w14:paraId="1EB676B8">
      <w:pPr>
        <w:spacing w:line="360" w:lineRule="auto"/>
        <w:ind w:left="729" w:leftChars="405"/>
        <w:jc w:val="left"/>
        <w:rPr>
          <w:rFonts w:ascii="黑体" w:hAnsi="黑体" w:cs="宋体"/>
          <w:kern w:val="0"/>
          <w:szCs w:val="18"/>
        </w:rPr>
      </w:pPr>
      <w:r>
        <w:rPr>
          <w:rFonts w:hint="eastAsia" w:ascii="黑体" w:hAnsi="黑体" w:cs="宋体"/>
          <w:kern w:val="0"/>
          <w:szCs w:val="18"/>
        </w:rPr>
        <w:t>面层与基层的结合必须牢固，无空鼓。</w:t>
      </w:r>
    </w:p>
    <w:p w14:paraId="3A3F81BE">
      <w:pPr>
        <w:pStyle w:val="113"/>
        <w:numPr>
          <w:ilvl w:val="4"/>
          <w:numId w:val="32"/>
        </w:numPr>
        <w:ind w:left="851" w:hanging="425"/>
        <w:jc w:val="left"/>
      </w:pPr>
      <w:r>
        <w:rPr>
          <w:rFonts w:hint="eastAsia"/>
        </w:rPr>
        <w:t>基本项目：</w:t>
      </w:r>
    </w:p>
    <w:p w14:paraId="060729E4">
      <w:pPr>
        <w:spacing w:line="360" w:lineRule="auto"/>
        <w:ind w:left="729" w:leftChars="405"/>
        <w:jc w:val="left"/>
        <w:rPr>
          <w:rFonts w:ascii="黑体" w:hAnsi="黑体" w:cs="宋体"/>
          <w:kern w:val="0"/>
          <w:szCs w:val="18"/>
        </w:rPr>
      </w:pPr>
      <w:r>
        <w:rPr>
          <w:rFonts w:hint="eastAsia" w:ascii="黑体" w:hAnsi="黑体" w:cs="宋体"/>
          <w:kern w:val="0"/>
          <w:szCs w:val="18"/>
        </w:rPr>
        <w:t>板块面层的表面质量应符合以下规定：</w:t>
      </w:r>
    </w:p>
    <w:p w14:paraId="0D802DC6">
      <w:pPr>
        <w:spacing w:line="360" w:lineRule="auto"/>
        <w:ind w:left="729" w:leftChars="405"/>
        <w:jc w:val="left"/>
        <w:rPr>
          <w:rFonts w:ascii="黑体" w:hAnsi="黑体" w:cs="宋体"/>
          <w:kern w:val="0"/>
          <w:szCs w:val="18"/>
        </w:rPr>
      </w:pPr>
      <w:r>
        <w:rPr>
          <w:rFonts w:hint="eastAsia" w:ascii="黑体" w:hAnsi="黑体" w:cs="宋体"/>
          <w:kern w:val="0"/>
          <w:szCs w:val="18"/>
        </w:rPr>
        <w:t>表面洁净，图案清晰，色泽一致，接缝均匀，周边顺直，板块无裂纹、掉角和缺楞等缺陷。</w:t>
      </w:r>
    </w:p>
    <w:p w14:paraId="16DB9117">
      <w:pPr>
        <w:pStyle w:val="49"/>
        <w:spacing w:line="360" w:lineRule="auto"/>
        <w:ind w:left="426" w:hanging="426" w:firstLineChars="0"/>
        <w:jc w:val="left"/>
        <w:rPr>
          <w:rFonts w:ascii="黑体" w:hAnsi="黑体" w:cs="宋体"/>
          <w:kern w:val="0"/>
          <w:szCs w:val="18"/>
        </w:rPr>
      </w:pPr>
    </w:p>
    <w:p w14:paraId="253F2068">
      <w:pPr>
        <w:pStyle w:val="111"/>
        <w:jc w:val="left"/>
      </w:pPr>
      <w:bookmarkStart w:id="172" w:name="_Toc398804308"/>
      <w:bookmarkStart w:id="173" w:name="_Toc399695175"/>
      <w:r>
        <w:rPr>
          <w:rFonts w:hint="eastAsia"/>
        </w:rPr>
        <w:t>施工</w:t>
      </w:r>
      <w:bookmarkEnd w:id="172"/>
      <w:bookmarkEnd w:id="173"/>
    </w:p>
    <w:p w14:paraId="2A539B41">
      <w:pPr>
        <w:pStyle w:val="113"/>
        <w:numPr>
          <w:ilvl w:val="4"/>
          <w:numId w:val="32"/>
        </w:numPr>
        <w:ind w:left="851" w:hanging="425"/>
        <w:jc w:val="left"/>
      </w:pPr>
      <w:r>
        <w:rPr>
          <w:rFonts w:hint="eastAsia"/>
        </w:rPr>
        <w:t>面层（花岗岩）</w:t>
      </w:r>
    </w:p>
    <w:p w14:paraId="5C398348">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避免面层板材与基层空鼓，及面层清理：</w:t>
      </w:r>
    </w:p>
    <w:p w14:paraId="1AA8E9F0">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基层应清理干净，有足够水分湿润，结合层砂浆饱满，水灰比不宜过大。</w:t>
      </w:r>
    </w:p>
    <w:p w14:paraId="7AA06C1E">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面层完成面如有水泥等污染，经清洁后发现原材料的色彩被漂白或者侵蚀，则必须更换材料。</w:t>
      </w:r>
    </w:p>
    <w:p w14:paraId="59CF974C">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铺贴板材缝隙要求：</w:t>
      </w:r>
    </w:p>
    <w:p w14:paraId="384E4C0E">
      <w:pPr>
        <w:spacing w:line="360" w:lineRule="auto"/>
        <w:ind w:left="851"/>
        <w:jc w:val="left"/>
        <w:rPr>
          <w:rFonts w:ascii="黑体" w:hAnsi="黑体" w:cs="宋体"/>
          <w:kern w:val="0"/>
          <w:szCs w:val="18"/>
        </w:rPr>
      </w:pPr>
      <w:r>
        <w:rPr>
          <w:rFonts w:hint="eastAsia" w:ascii="黑体" w:hAnsi="黑体" w:cs="宋体"/>
          <w:kern w:val="0"/>
          <w:szCs w:val="18"/>
        </w:rPr>
        <w:t>铺贴时准确掌握石材板缝，缝隙要求一致，控制在</w:t>
      </w:r>
      <w:r>
        <w:rPr>
          <w:rFonts w:ascii="黑体" w:hAnsi="黑体" w:cs="宋体"/>
          <w:kern w:val="0"/>
          <w:szCs w:val="18"/>
        </w:rPr>
        <w:t>3MM</w:t>
      </w:r>
      <w:r>
        <w:rPr>
          <w:rFonts w:hint="eastAsia" w:ascii="黑体" w:hAnsi="黑体" w:cs="宋体"/>
          <w:kern w:val="0"/>
          <w:szCs w:val="18"/>
        </w:rPr>
        <w:t>以内。铺装石材须按照饰面规格进行模数对缝，使铺装整齐划一。石材缝隙须与道牙缝隙按照模数对缝。</w:t>
      </w:r>
    </w:p>
    <w:p w14:paraId="1D61520C">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避免相邻两板高低不平。</w:t>
      </w:r>
    </w:p>
    <w:p w14:paraId="16AF0AFB">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由于板材本身不平；铺贴时操作不当；铺贴后过早上人将板材踩踏等，出现板块松动现象，一般铺贴后两天内严禁上人踩踏。</w:t>
      </w:r>
    </w:p>
    <w:p w14:paraId="2F86715F">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与收边及道牙石接口处要求拼接缜密。</w:t>
      </w:r>
    </w:p>
    <w:p w14:paraId="786DE256">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放线要求：</w:t>
      </w:r>
    </w:p>
    <w:p w14:paraId="565C63D9">
      <w:pPr>
        <w:spacing w:line="360" w:lineRule="auto"/>
        <w:ind w:left="851"/>
        <w:jc w:val="left"/>
        <w:rPr>
          <w:rFonts w:ascii="黑体" w:hAnsi="黑体" w:cs="宋体"/>
          <w:kern w:val="0"/>
          <w:szCs w:val="18"/>
        </w:rPr>
      </w:pPr>
      <w:r>
        <w:rPr>
          <w:rFonts w:hint="eastAsia" w:ascii="黑体" w:hAnsi="黑体" w:cs="宋体"/>
          <w:kern w:val="0"/>
          <w:szCs w:val="18"/>
        </w:rPr>
        <w:t>弧线放线要求流畅，曲线优美。平面铺装涉及到曲线段时，为了保证拼缝方向一致，铺装石材需使用弧形板材进行过渡。</w:t>
      </w:r>
    </w:p>
    <w:p w14:paraId="76408A67">
      <w:pPr>
        <w:numPr>
          <w:ilvl w:val="0"/>
          <w:numId w:val="171"/>
        </w:numPr>
        <w:spacing w:line="360" w:lineRule="auto"/>
        <w:ind w:left="851"/>
        <w:jc w:val="left"/>
        <w:rPr>
          <w:rFonts w:ascii="黑体" w:hAnsi="黑体" w:cs="宋体"/>
          <w:kern w:val="0"/>
          <w:szCs w:val="18"/>
        </w:rPr>
      </w:pPr>
      <w:r>
        <w:rPr>
          <w:rFonts w:hint="eastAsia" w:ascii="黑体" w:hAnsi="黑体" w:cs="宋体"/>
          <w:kern w:val="0"/>
          <w:szCs w:val="18"/>
        </w:rPr>
        <w:t>装卸石材时，要轻拿轻放，防止挤手挤脚。</w:t>
      </w:r>
    </w:p>
    <w:p w14:paraId="1C969800">
      <w:pPr>
        <w:spacing w:line="360" w:lineRule="auto"/>
        <w:jc w:val="left"/>
        <w:rPr>
          <w:rFonts w:ascii="黑体" w:hAnsi="黑体" w:cs="宋体"/>
          <w:kern w:val="0"/>
          <w:szCs w:val="18"/>
        </w:rPr>
      </w:pPr>
    </w:p>
    <w:p w14:paraId="06534A08">
      <w:pPr>
        <w:pStyle w:val="113"/>
        <w:numPr>
          <w:ilvl w:val="4"/>
          <w:numId w:val="32"/>
        </w:numPr>
        <w:ind w:left="851" w:hanging="425"/>
        <w:jc w:val="left"/>
      </w:pPr>
      <w:r>
        <w:rPr>
          <w:rFonts w:hint="eastAsia"/>
        </w:rPr>
        <w:t>路缘石</w:t>
      </w:r>
    </w:p>
    <w:p w14:paraId="7B67D7FB">
      <w:pPr>
        <w:numPr>
          <w:ilvl w:val="0"/>
          <w:numId w:val="172"/>
        </w:numPr>
        <w:spacing w:line="360" w:lineRule="auto"/>
        <w:ind w:left="851"/>
        <w:jc w:val="left"/>
        <w:rPr>
          <w:rFonts w:ascii="黑体" w:hAnsi="黑体" w:cs="宋体"/>
          <w:kern w:val="0"/>
          <w:szCs w:val="18"/>
        </w:rPr>
      </w:pPr>
      <w:r>
        <w:rPr>
          <w:rFonts w:hint="eastAsia" w:ascii="黑体" w:hAnsi="黑体" w:cs="宋体"/>
          <w:kern w:val="0"/>
          <w:szCs w:val="18"/>
        </w:rPr>
        <w:t>铺设要求须小面积试铺供设计师认可效果，立缘石安装应设靠背。</w:t>
      </w:r>
    </w:p>
    <w:p w14:paraId="43CD6069">
      <w:pPr>
        <w:numPr>
          <w:ilvl w:val="0"/>
          <w:numId w:val="172"/>
        </w:numPr>
        <w:spacing w:line="360" w:lineRule="auto"/>
        <w:ind w:left="851"/>
        <w:jc w:val="left"/>
        <w:rPr>
          <w:rFonts w:ascii="黑体" w:hAnsi="黑体" w:cs="宋体"/>
          <w:kern w:val="0"/>
          <w:szCs w:val="18"/>
        </w:rPr>
      </w:pPr>
      <w:r>
        <w:rPr>
          <w:rFonts w:hint="eastAsia" w:ascii="黑体" w:hAnsi="黑体" w:cs="宋体"/>
          <w:kern w:val="0"/>
          <w:szCs w:val="18"/>
        </w:rPr>
        <w:t>一般先安装路缘石，路缘石安装应先安装立缘石。</w:t>
      </w:r>
    </w:p>
    <w:p w14:paraId="335AA020">
      <w:pPr>
        <w:numPr>
          <w:ilvl w:val="0"/>
          <w:numId w:val="172"/>
        </w:numPr>
        <w:spacing w:line="360" w:lineRule="auto"/>
        <w:ind w:left="851"/>
        <w:jc w:val="left"/>
        <w:rPr>
          <w:rFonts w:ascii="黑体" w:hAnsi="黑体" w:cs="宋体"/>
          <w:kern w:val="0"/>
          <w:szCs w:val="18"/>
        </w:rPr>
      </w:pPr>
      <w:r>
        <w:rPr>
          <w:rFonts w:hint="eastAsia" w:ascii="黑体" w:hAnsi="黑体" w:cs="宋体"/>
          <w:kern w:val="0"/>
          <w:szCs w:val="18"/>
        </w:rPr>
        <w:t>路缘石侧面与路面结构间应密实无缝。</w:t>
      </w:r>
    </w:p>
    <w:p w14:paraId="1F4E0A6C">
      <w:pPr>
        <w:numPr>
          <w:ilvl w:val="0"/>
          <w:numId w:val="172"/>
        </w:numPr>
        <w:spacing w:line="360" w:lineRule="auto"/>
        <w:ind w:left="851"/>
        <w:jc w:val="left"/>
        <w:rPr>
          <w:rFonts w:ascii="黑体" w:hAnsi="黑体" w:cs="宋体"/>
          <w:kern w:val="0"/>
          <w:szCs w:val="18"/>
        </w:rPr>
      </w:pPr>
      <w:r>
        <w:rPr>
          <w:rFonts w:hint="eastAsia" w:ascii="黑体" w:hAnsi="黑体" w:cs="宋体"/>
          <w:kern w:val="0"/>
          <w:szCs w:val="18"/>
        </w:rPr>
        <w:t>路缘石安装应满足</w:t>
      </w:r>
      <w:r>
        <w:rPr>
          <w:rFonts w:hint="eastAsia" w:ascii="黑体" w:hAnsi="黑体"/>
          <w:szCs w:val="18"/>
        </w:rPr>
        <w:t>《</w:t>
      </w:r>
      <w:r>
        <w:rPr>
          <w:rFonts w:hint="eastAsia" w:ascii="黑体" w:hAnsi="黑体" w:cs="宋体"/>
          <w:kern w:val="0"/>
          <w:szCs w:val="18"/>
        </w:rPr>
        <w:t>城市道路——路面、路基及其他设施MR1</w:t>
      </w:r>
      <w:r>
        <w:rPr>
          <w:rFonts w:hint="eastAsia" w:ascii="黑体" w:hAnsi="黑体"/>
          <w:szCs w:val="18"/>
        </w:rPr>
        <w:t>》</w:t>
      </w:r>
      <w:r>
        <w:rPr>
          <w:rFonts w:hint="eastAsia" w:ascii="黑体" w:hAnsi="黑体" w:cs="宋体"/>
          <w:kern w:val="0"/>
          <w:szCs w:val="18"/>
        </w:rPr>
        <w:t>的要求。</w:t>
      </w:r>
    </w:p>
    <w:p w14:paraId="00088757">
      <w:pPr>
        <w:spacing w:line="360" w:lineRule="auto"/>
        <w:jc w:val="left"/>
        <w:rPr>
          <w:rFonts w:ascii="黑体" w:hAnsi="黑体"/>
          <w:szCs w:val="18"/>
        </w:rPr>
      </w:pPr>
    </w:p>
    <w:p w14:paraId="7FA7B293">
      <w:pPr>
        <w:pStyle w:val="113"/>
        <w:numPr>
          <w:ilvl w:val="4"/>
          <w:numId w:val="32"/>
        </w:numPr>
        <w:ind w:left="851" w:hanging="425"/>
        <w:jc w:val="left"/>
      </w:pPr>
      <w:r>
        <w:rPr>
          <w:rFonts w:hint="eastAsia"/>
        </w:rPr>
        <w:t>基层、垫层、路基</w:t>
      </w:r>
    </w:p>
    <w:p w14:paraId="65842246">
      <w:pPr>
        <w:spacing w:line="360" w:lineRule="auto"/>
        <w:ind w:left="729" w:leftChars="405"/>
        <w:jc w:val="left"/>
        <w:rPr>
          <w:rFonts w:ascii="黑体" w:hAnsi="黑体" w:cs="宋体"/>
          <w:kern w:val="0"/>
          <w:szCs w:val="18"/>
        </w:rPr>
      </w:pPr>
      <w:r>
        <w:rPr>
          <w:rFonts w:hint="eastAsia" w:ascii="黑体" w:hAnsi="黑体" w:cs="宋体"/>
          <w:kern w:val="0"/>
          <w:szCs w:val="18"/>
        </w:rPr>
        <w:t>基层、垫层、路基施工参车行道路章节基层、垫层、路基施工规范，未详尽处详《公路沥青路面施工技术规范》(JTG F40)。</w:t>
      </w:r>
    </w:p>
    <w:p w14:paraId="658977CC">
      <w:pPr>
        <w:spacing w:line="360" w:lineRule="auto"/>
        <w:jc w:val="left"/>
        <w:rPr>
          <w:rFonts w:ascii="黑体" w:hAnsi="黑体"/>
          <w:szCs w:val="18"/>
        </w:rPr>
      </w:pPr>
    </w:p>
    <w:p w14:paraId="6155C454">
      <w:pPr>
        <w:pStyle w:val="3"/>
        <w:jc w:val="left"/>
      </w:pPr>
      <w:bookmarkStart w:id="174" w:name="_Toc398804309"/>
      <w:bookmarkStart w:id="175" w:name="_Toc399695176"/>
      <w:bookmarkStart w:id="176" w:name="_Toc174556838"/>
      <w:r>
        <w:rPr>
          <w:rFonts w:hint="eastAsia"/>
        </w:rPr>
        <w:t>围墙</w:t>
      </w:r>
      <w:bookmarkEnd w:id="174"/>
      <w:bookmarkEnd w:id="175"/>
      <w:bookmarkEnd w:id="176"/>
    </w:p>
    <w:p w14:paraId="115BF02C">
      <w:pPr>
        <w:pStyle w:val="97"/>
        <w:rPr>
          <w:b/>
        </w:rPr>
      </w:pPr>
      <w:bookmarkStart w:id="177" w:name="_Toc399695177"/>
      <w:bookmarkStart w:id="178" w:name="_Toc398804310"/>
      <w:r>
        <w:rPr>
          <w:rFonts w:hint="eastAsia"/>
          <w:b/>
        </w:rPr>
        <w:t>使用部位</w:t>
      </w:r>
      <w:bookmarkEnd w:id="177"/>
      <w:bookmarkEnd w:id="178"/>
    </w:p>
    <w:p w14:paraId="152EB6BC">
      <w:pPr>
        <w:spacing w:line="360" w:lineRule="auto"/>
        <w:ind w:left="729" w:leftChars="405"/>
        <w:jc w:val="left"/>
        <w:rPr>
          <w:rFonts w:ascii="黑体" w:hAnsi="黑体" w:cs="宋体"/>
          <w:kern w:val="0"/>
          <w:szCs w:val="18"/>
        </w:rPr>
      </w:pPr>
      <w:r>
        <w:rPr>
          <w:rFonts w:hint="eastAsia" w:ascii="黑体" w:hAnsi="黑体" w:cs="宋体"/>
          <w:kern w:val="0"/>
          <w:szCs w:val="18"/>
        </w:rPr>
        <w:t>园区围墙相关的栏杆、柱墩外饰面。</w:t>
      </w:r>
    </w:p>
    <w:p w14:paraId="50AD195B">
      <w:pPr>
        <w:spacing w:line="360" w:lineRule="auto"/>
        <w:ind w:firstLine="270" w:firstLineChars="150"/>
        <w:jc w:val="left"/>
        <w:rPr>
          <w:rFonts w:ascii="黑体" w:hAnsi="黑体" w:cs="宋体"/>
          <w:kern w:val="0"/>
          <w:szCs w:val="18"/>
        </w:rPr>
      </w:pPr>
    </w:p>
    <w:p w14:paraId="21923EE8">
      <w:pPr>
        <w:pStyle w:val="97"/>
        <w:rPr>
          <w:b/>
        </w:rPr>
      </w:pPr>
      <w:bookmarkStart w:id="179" w:name="_Toc398804311"/>
      <w:bookmarkStart w:id="180" w:name="_Toc399695178"/>
      <w:r>
        <w:rPr>
          <w:b/>
        </w:rPr>
        <w:t>技术规范</w:t>
      </w:r>
      <w:r>
        <w:rPr>
          <w:rFonts w:hint="eastAsia"/>
          <w:b/>
        </w:rPr>
        <w:t>、规程、要求</w:t>
      </w:r>
      <w:bookmarkEnd w:id="179"/>
      <w:bookmarkEnd w:id="180"/>
    </w:p>
    <w:p w14:paraId="69BED8D9">
      <w:pPr>
        <w:pStyle w:val="111"/>
        <w:jc w:val="left"/>
      </w:pPr>
      <w:r>
        <w:rPr>
          <w:rFonts w:hint="eastAsia"/>
        </w:rPr>
        <w:t>相关技术规范规程</w:t>
      </w:r>
    </w:p>
    <w:p w14:paraId="585BC858">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《室外工程》(12J003)</w:t>
      </w:r>
      <w:r>
        <w:rPr>
          <w:rFonts w:ascii="黑体" w:hAnsi="黑体" w:cs="宋体"/>
          <w:kern w:val="0"/>
          <w:szCs w:val="18"/>
        </w:rPr>
        <w:t xml:space="preserve"> </w:t>
      </w:r>
    </w:p>
    <w:p w14:paraId="42F0C802">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《建筑结构荷载规范》（</w:t>
      </w:r>
      <w:r>
        <w:rPr>
          <w:rFonts w:ascii="黑体" w:hAnsi="黑体" w:cs="宋体"/>
          <w:kern w:val="0"/>
          <w:szCs w:val="18"/>
        </w:rPr>
        <w:t>GB50009</w:t>
      </w:r>
      <w:r>
        <w:rPr>
          <w:rFonts w:hint="eastAsia" w:ascii="黑体" w:hAnsi="黑体" w:cs="宋体"/>
          <w:kern w:val="0"/>
          <w:szCs w:val="18"/>
        </w:rPr>
        <w:t>）</w:t>
      </w:r>
    </w:p>
    <w:p w14:paraId="16D1A5C5">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《混凝土结构设计规范》(GB50010)</w:t>
      </w:r>
    </w:p>
    <w:p w14:paraId="629A48BD">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《建筑钢结构焊接技术规程》(JGJ81)</w:t>
      </w:r>
    </w:p>
    <w:p w14:paraId="0F5F0633">
      <w:pPr>
        <w:numPr>
          <w:ilvl w:val="0"/>
          <w:numId w:val="144"/>
        </w:numPr>
        <w:spacing w:line="360" w:lineRule="auto"/>
        <w:ind w:left="851" w:hanging="426"/>
        <w:jc w:val="left"/>
        <w:rPr>
          <w:rFonts w:ascii="黑体" w:hAnsi="黑体" w:cs="宋体"/>
          <w:kern w:val="0"/>
          <w:szCs w:val="18"/>
        </w:rPr>
      </w:pPr>
      <w:r>
        <w:rPr>
          <w:rFonts w:hint="eastAsia" w:ascii="黑体" w:hAnsi="黑体" w:cs="宋体"/>
          <w:kern w:val="0"/>
          <w:szCs w:val="18"/>
        </w:rPr>
        <w:t>《建筑工程施工质量验收统一标准》（</w:t>
      </w:r>
      <w:r>
        <w:rPr>
          <w:rFonts w:ascii="黑体" w:hAnsi="黑体" w:cs="宋体"/>
          <w:kern w:val="0"/>
          <w:szCs w:val="18"/>
        </w:rPr>
        <w:t>GB50300</w:t>
      </w:r>
      <w:r>
        <w:rPr>
          <w:rFonts w:hint="eastAsia" w:ascii="黑体" w:hAnsi="黑体" w:cs="宋体"/>
          <w:kern w:val="0"/>
          <w:szCs w:val="18"/>
        </w:rPr>
        <w:t>）</w:t>
      </w:r>
    </w:p>
    <w:p w14:paraId="7FFA23EE">
      <w:pPr>
        <w:numPr>
          <w:ilvl w:val="0"/>
          <w:numId w:val="144"/>
        </w:numPr>
        <w:spacing w:line="360" w:lineRule="auto"/>
        <w:ind w:left="851"/>
        <w:jc w:val="left"/>
        <w:rPr>
          <w:rFonts w:ascii="黑体" w:hAnsi="黑体" w:cs="Arial"/>
          <w:szCs w:val="18"/>
        </w:rPr>
      </w:pPr>
      <w:r>
        <w:rPr>
          <w:rFonts w:ascii="黑体" w:hAnsi="黑体" w:cs="Arial"/>
          <w:szCs w:val="18"/>
        </w:rPr>
        <w:t>《陶瓷砖》GB/T 4100</w:t>
      </w:r>
    </w:p>
    <w:p w14:paraId="60D3E8A6">
      <w:pPr>
        <w:numPr>
          <w:ilvl w:val="0"/>
          <w:numId w:val="144"/>
        </w:numPr>
        <w:spacing w:line="360" w:lineRule="auto"/>
        <w:ind w:left="851"/>
        <w:jc w:val="left"/>
        <w:rPr>
          <w:rFonts w:ascii="黑体" w:hAnsi="黑体" w:cs="Arial"/>
          <w:szCs w:val="18"/>
        </w:rPr>
      </w:pPr>
      <w:r>
        <w:rPr>
          <w:rFonts w:ascii="黑体" w:hAnsi="黑体" w:cs="Arial"/>
          <w:szCs w:val="18"/>
        </w:rPr>
        <w:t>《陶瓷墙地砖胶粘剂》JC/T 547</w:t>
      </w:r>
    </w:p>
    <w:p w14:paraId="0FF0FCB0">
      <w:pPr>
        <w:numPr>
          <w:ilvl w:val="0"/>
          <w:numId w:val="144"/>
        </w:numPr>
        <w:spacing w:line="360" w:lineRule="auto"/>
        <w:ind w:left="851"/>
        <w:jc w:val="left"/>
        <w:rPr>
          <w:rFonts w:ascii="黑体" w:hAnsi="黑体" w:cs="Arial"/>
          <w:szCs w:val="18"/>
        </w:rPr>
      </w:pPr>
      <w:r>
        <w:rPr>
          <w:rFonts w:ascii="黑体" w:hAnsi="黑体" w:cs="Arial"/>
          <w:szCs w:val="18"/>
        </w:rPr>
        <w:t xml:space="preserve">《建筑工程饰面砖粘结强度检验标准》JGJ11 </w:t>
      </w:r>
      <w:r>
        <w:rPr>
          <w:rFonts w:hint="eastAsia" w:ascii="黑体" w:hAnsi="黑体" w:cs="Arial"/>
          <w:szCs w:val="18"/>
        </w:rPr>
        <w:t>0</w:t>
      </w:r>
    </w:p>
    <w:p w14:paraId="7FB51D8F">
      <w:pPr>
        <w:numPr>
          <w:ilvl w:val="0"/>
          <w:numId w:val="144"/>
        </w:numPr>
        <w:spacing w:line="360" w:lineRule="auto"/>
        <w:ind w:left="851"/>
        <w:jc w:val="left"/>
        <w:rPr>
          <w:rFonts w:ascii="黑体" w:hAnsi="黑体" w:cs="Arial"/>
          <w:szCs w:val="18"/>
        </w:rPr>
      </w:pPr>
      <w:r>
        <w:rPr>
          <w:rFonts w:ascii="黑体" w:hAnsi="黑体"/>
          <w:szCs w:val="18"/>
        </w:rPr>
        <w:t>《陶瓷墙地砖填缝剂》JC/T1004</w:t>
      </w:r>
    </w:p>
    <w:p w14:paraId="344D0D17">
      <w:pPr>
        <w:numPr>
          <w:ilvl w:val="0"/>
          <w:numId w:val="144"/>
        </w:numPr>
        <w:spacing w:line="360" w:lineRule="auto"/>
        <w:ind w:left="851"/>
        <w:jc w:val="left"/>
        <w:rPr>
          <w:rFonts w:ascii="黑体" w:hAnsi="黑体" w:cs="Arial"/>
          <w:szCs w:val="18"/>
        </w:rPr>
      </w:pPr>
      <w:r>
        <w:rPr>
          <w:rFonts w:hint="eastAsia" w:ascii="黑体" w:hAnsi="黑体" w:cs="Arial"/>
          <w:szCs w:val="18"/>
        </w:rPr>
        <w:t>《内装修楼（地）面装修》（13J502-3</w:t>
      </w:r>
      <w:r>
        <w:rPr>
          <w:rFonts w:ascii="黑体" w:hAnsi="黑体" w:cs="Arial"/>
          <w:szCs w:val="18"/>
        </w:rPr>
        <w:t>）</w:t>
      </w:r>
    </w:p>
    <w:p w14:paraId="58A070DC">
      <w:pPr>
        <w:spacing w:line="360" w:lineRule="auto"/>
        <w:jc w:val="left"/>
        <w:rPr>
          <w:rFonts w:ascii="黑体" w:hAnsi="黑体" w:cs="宋体"/>
          <w:kern w:val="0"/>
          <w:szCs w:val="18"/>
        </w:rPr>
      </w:pPr>
    </w:p>
    <w:p w14:paraId="799ED188">
      <w:pPr>
        <w:pStyle w:val="97"/>
        <w:rPr>
          <w:b/>
        </w:rPr>
      </w:pPr>
      <w:bookmarkStart w:id="181" w:name="_Toc399695179"/>
      <w:bookmarkStart w:id="182" w:name="_Toc398804312"/>
      <w:r>
        <w:rPr>
          <w:rFonts w:hint="eastAsia"/>
          <w:b/>
        </w:rPr>
        <w:t>材料要求</w:t>
      </w:r>
      <w:bookmarkEnd w:id="181"/>
      <w:bookmarkEnd w:id="182"/>
    </w:p>
    <w:p w14:paraId="61AB5B01">
      <w:pPr>
        <w:pStyle w:val="111"/>
        <w:jc w:val="left"/>
      </w:pPr>
      <w:r>
        <w:rPr>
          <w:rFonts w:hint="eastAsia"/>
        </w:rPr>
        <w:t>铁艺栏杆</w:t>
      </w:r>
    </w:p>
    <w:p w14:paraId="7A0FD27E">
      <w:pPr>
        <w:numPr>
          <w:ilvl w:val="0"/>
          <w:numId w:val="144"/>
        </w:numPr>
        <w:spacing w:line="360" w:lineRule="auto"/>
        <w:ind w:left="851"/>
        <w:jc w:val="left"/>
        <w:rPr>
          <w:rFonts w:ascii="黑体" w:hAnsi="黑体" w:cs="Arial"/>
          <w:szCs w:val="18"/>
        </w:rPr>
      </w:pPr>
      <w:r>
        <w:rPr>
          <w:rFonts w:ascii="黑体" w:hAnsi="黑体" w:cs="Arial"/>
          <w:szCs w:val="18"/>
        </w:rPr>
        <w:t>产</w:t>
      </w:r>
      <w:r>
        <w:rPr>
          <w:rFonts w:hint="eastAsia" w:ascii="黑体" w:hAnsi="黑体" w:cs="Arial"/>
          <w:szCs w:val="18"/>
        </w:rPr>
        <w:t>品类型：铁艺栏杆——用于围墙上部围护结构。</w:t>
      </w:r>
    </w:p>
    <w:p w14:paraId="59D04914">
      <w:pPr>
        <w:numPr>
          <w:ilvl w:val="0"/>
          <w:numId w:val="144"/>
        </w:numPr>
        <w:spacing w:line="360" w:lineRule="auto"/>
        <w:ind w:left="851"/>
        <w:jc w:val="left"/>
        <w:rPr>
          <w:rFonts w:ascii="黑体" w:hAnsi="黑体" w:cs="Arial"/>
          <w:szCs w:val="18"/>
        </w:rPr>
      </w:pPr>
      <w:r>
        <w:rPr>
          <w:rFonts w:hint="eastAsia" w:ascii="黑体" w:hAnsi="黑体" w:cs="Arial"/>
          <w:szCs w:val="18"/>
        </w:rPr>
        <w:t>厚度、外观颜色、尺寸详设计图纸。</w:t>
      </w:r>
    </w:p>
    <w:p w14:paraId="3AFCC396">
      <w:pPr>
        <w:numPr>
          <w:ilvl w:val="0"/>
          <w:numId w:val="144"/>
        </w:numPr>
        <w:spacing w:line="360" w:lineRule="auto"/>
        <w:ind w:left="851"/>
        <w:jc w:val="left"/>
        <w:rPr>
          <w:rFonts w:ascii="黑体" w:hAnsi="黑体" w:cs="Arial"/>
          <w:szCs w:val="18"/>
        </w:rPr>
      </w:pPr>
      <w:r>
        <w:rPr>
          <w:rFonts w:hint="eastAsia" w:ascii="黑体" w:hAnsi="黑体" w:cs="Arial"/>
          <w:szCs w:val="18"/>
        </w:rPr>
        <w:t>栏杆顶部水平荷载应满足《建筑结构荷载规范》（GB50009-2012）的各项要求。</w:t>
      </w:r>
    </w:p>
    <w:p w14:paraId="16E817FD">
      <w:pPr>
        <w:numPr>
          <w:ilvl w:val="0"/>
          <w:numId w:val="144"/>
        </w:numPr>
        <w:spacing w:line="360" w:lineRule="auto"/>
        <w:ind w:left="851"/>
        <w:jc w:val="left"/>
        <w:rPr>
          <w:rFonts w:ascii="黑体" w:hAnsi="黑体" w:cs="Arial"/>
          <w:szCs w:val="18"/>
        </w:rPr>
      </w:pPr>
      <w:r>
        <w:rPr>
          <w:rFonts w:hint="eastAsia" w:ascii="黑体" w:hAnsi="黑体" w:cs="Arial"/>
          <w:szCs w:val="18"/>
        </w:rPr>
        <w:t>镀锌钢材表面用黑色氟碳涂料并做防锈处理。</w:t>
      </w:r>
    </w:p>
    <w:p w14:paraId="56EB46DF">
      <w:pPr>
        <w:numPr>
          <w:ilvl w:val="0"/>
          <w:numId w:val="144"/>
        </w:numPr>
        <w:spacing w:line="360" w:lineRule="auto"/>
        <w:ind w:left="851"/>
        <w:jc w:val="left"/>
        <w:rPr>
          <w:rFonts w:ascii="黑体" w:hAnsi="黑体" w:cs="Arial"/>
          <w:szCs w:val="18"/>
        </w:rPr>
      </w:pPr>
      <w:r>
        <w:rPr>
          <w:rFonts w:hint="eastAsia" w:ascii="黑体" w:hAnsi="黑体" w:cs="Arial"/>
          <w:szCs w:val="18"/>
        </w:rPr>
        <w:t>镀锌钢材采用焊接方式链接牢固。金属栏杆与其他材质连接应符合设计要求和现行有关标准规范的规定。</w:t>
      </w:r>
    </w:p>
    <w:p w14:paraId="2492F406">
      <w:pPr>
        <w:numPr>
          <w:ilvl w:val="0"/>
          <w:numId w:val="144"/>
        </w:numPr>
        <w:spacing w:line="360" w:lineRule="auto"/>
        <w:ind w:left="851"/>
        <w:jc w:val="left"/>
        <w:rPr>
          <w:rFonts w:ascii="黑体" w:hAnsi="黑体" w:cs="Arial"/>
          <w:szCs w:val="18"/>
        </w:rPr>
      </w:pPr>
      <w:r>
        <w:rPr>
          <w:rFonts w:hint="eastAsia" w:ascii="黑体" w:hAnsi="黑体" w:cs="Arial"/>
          <w:szCs w:val="18"/>
        </w:rPr>
        <w:t>除特别要求，室外使用不锈钢紧固件，与墙体连接使用镀锌紧固件。</w:t>
      </w:r>
    </w:p>
    <w:p w14:paraId="4EA9F146">
      <w:pPr>
        <w:spacing w:line="360" w:lineRule="auto"/>
        <w:jc w:val="left"/>
        <w:rPr>
          <w:rFonts w:ascii="黑体" w:hAnsi="黑体" w:cs="宋体"/>
          <w:kern w:val="0"/>
          <w:szCs w:val="18"/>
        </w:rPr>
      </w:pPr>
    </w:p>
    <w:p w14:paraId="2FDEC816">
      <w:pPr>
        <w:pStyle w:val="111"/>
        <w:jc w:val="left"/>
      </w:pPr>
      <w:r>
        <w:rPr>
          <w:rFonts w:hint="eastAsia"/>
        </w:rPr>
        <w:t>柱墩外饰面面砖</w:t>
      </w:r>
    </w:p>
    <w:p w14:paraId="3BCBB126">
      <w:pPr>
        <w:numPr>
          <w:ilvl w:val="0"/>
          <w:numId w:val="144"/>
        </w:numPr>
        <w:spacing w:line="360" w:lineRule="auto"/>
        <w:ind w:left="851"/>
        <w:jc w:val="left"/>
        <w:rPr>
          <w:rFonts w:ascii="黑体" w:hAnsi="黑体" w:cs="Arial"/>
          <w:szCs w:val="18"/>
        </w:rPr>
      </w:pPr>
      <w:r>
        <w:rPr>
          <w:rFonts w:ascii="黑体" w:hAnsi="黑体" w:cs="Arial"/>
          <w:szCs w:val="18"/>
        </w:rPr>
        <w:t>产品类型：同质砖</w:t>
      </w:r>
    </w:p>
    <w:p w14:paraId="0876CD34">
      <w:pPr>
        <w:numPr>
          <w:ilvl w:val="0"/>
          <w:numId w:val="144"/>
        </w:numPr>
        <w:spacing w:line="360" w:lineRule="auto"/>
        <w:ind w:left="851"/>
        <w:jc w:val="left"/>
        <w:rPr>
          <w:rFonts w:ascii="黑体" w:hAnsi="黑体" w:cs="Arial"/>
          <w:szCs w:val="18"/>
        </w:rPr>
      </w:pPr>
      <w:r>
        <w:rPr>
          <w:rFonts w:ascii="黑体" w:hAnsi="黑体" w:cs="Arial"/>
          <w:szCs w:val="18"/>
        </w:rPr>
        <w:t>颜色</w:t>
      </w:r>
      <w:r>
        <w:rPr>
          <w:rFonts w:hint="eastAsia" w:ascii="黑体" w:hAnsi="黑体" w:cs="Arial"/>
          <w:szCs w:val="18"/>
        </w:rPr>
        <w:t>：灰色</w:t>
      </w:r>
    </w:p>
    <w:p w14:paraId="03F94741">
      <w:pPr>
        <w:numPr>
          <w:ilvl w:val="0"/>
          <w:numId w:val="144"/>
        </w:numPr>
        <w:spacing w:line="360" w:lineRule="auto"/>
        <w:ind w:left="851"/>
        <w:jc w:val="left"/>
        <w:rPr>
          <w:rFonts w:ascii="黑体" w:hAnsi="黑体" w:cs="Arial"/>
          <w:szCs w:val="18"/>
        </w:rPr>
      </w:pPr>
      <w:r>
        <w:rPr>
          <w:rFonts w:hint="eastAsia" w:ascii="黑体" w:hAnsi="黑体" w:cs="Arial"/>
          <w:szCs w:val="18"/>
        </w:rPr>
        <w:t>规格</w:t>
      </w:r>
      <w:r>
        <w:rPr>
          <w:rFonts w:ascii="黑体" w:hAnsi="黑体" w:cs="Arial"/>
          <w:szCs w:val="18"/>
        </w:rPr>
        <w:t>：</w:t>
      </w:r>
      <w:r>
        <w:rPr>
          <w:rFonts w:hint="eastAsia" w:ascii="黑体" w:hAnsi="黑体" w:cs="Arial"/>
          <w:szCs w:val="18"/>
        </w:rPr>
        <w:t>详设计图纸</w:t>
      </w:r>
    </w:p>
    <w:p w14:paraId="041AA53F">
      <w:pPr>
        <w:numPr>
          <w:ilvl w:val="0"/>
          <w:numId w:val="144"/>
        </w:numPr>
        <w:spacing w:line="360" w:lineRule="auto"/>
        <w:ind w:left="851"/>
        <w:jc w:val="left"/>
        <w:rPr>
          <w:rFonts w:ascii="黑体" w:hAnsi="黑体" w:cs="Arial"/>
          <w:szCs w:val="18"/>
        </w:rPr>
      </w:pPr>
      <w:r>
        <w:rPr>
          <w:rFonts w:ascii="黑体" w:hAnsi="黑体" w:cs="Arial"/>
          <w:szCs w:val="18"/>
        </w:rPr>
        <w:t>外观质量：大小方砖表面平整，不得有裂缝，色彩均匀、棱角整齐</w:t>
      </w:r>
      <w:r>
        <w:rPr>
          <w:rFonts w:hint="eastAsia" w:ascii="黑体" w:hAnsi="黑体" w:cs="Arial"/>
          <w:szCs w:val="18"/>
        </w:rPr>
        <w:t>。</w:t>
      </w:r>
      <w:r>
        <w:rPr>
          <w:rFonts w:ascii="黑体" w:hAnsi="黑体" w:cs="Arial"/>
          <w:szCs w:val="18"/>
        </w:rPr>
        <w:t xml:space="preserve"> </w:t>
      </w:r>
    </w:p>
    <w:p w14:paraId="4CFB2F9D">
      <w:pPr>
        <w:numPr>
          <w:ilvl w:val="0"/>
          <w:numId w:val="144"/>
        </w:numPr>
        <w:spacing w:line="360" w:lineRule="auto"/>
        <w:ind w:left="851"/>
        <w:jc w:val="left"/>
        <w:rPr>
          <w:rFonts w:ascii="黑体" w:hAnsi="黑体" w:cs="Arial"/>
          <w:szCs w:val="18"/>
        </w:rPr>
      </w:pPr>
      <w:r>
        <w:rPr>
          <w:rFonts w:ascii="黑体" w:hAnsi="黑体" w:cs="Arial"/>
          <w:szCs w:val="18"/>
        </w:rPr>
        <w:t>表面质量：主要区域无明显缺陷</w:t>
      </w:r>
      <w:r>
        <w:rPr>
          <w:rFonts w:hint="eastAsia" w:ascii="黑体" w:hAnsi="黑体" w:cs="Arial"/>
          <w:szCs w:val="18"/>
        </w:rPr>
        <w:t>。</w:t>
      </w:r>
      <w:r>
        <w:rPr>
          <w:rFonts w:ascii="黑体" w:hAnsi="黑体" w:cs="Arial"/>
          <w:szCs w:val="18"/>
        </w:rPr>
        <w:t xml:space="preserve"> </w:t>
      </w:r>
    </w:p>
    <w:p w14:paraId="450C5377">
      <w:pPr>
        <w:numPr>
          <w:ilvl w:val="0"/>
          <w:numId w:val="144"/>
        </w:numPr>
        <w:spacing w:line="360" w:lineRule="auto"/>
        <w:ind w:left="851"/>
        <w:jc w:val="left"/>
        <w:rPr>
          <w:rFonts w:ascii="黑体" w:hAnsi="黑体" w:cs="Arial"/>
          <w:szCs w:val="18"/>
        </w:rPr>
      </w:pPr>
      <w:r>
        <w:rPr>
          <w:rFonts w:ascii="黑体" w:hAnsi="黑体" w:cs="Arial"/>
          <w:szCs w:val="18"/>
        </w:rPr>
        <w:t>尺寸允许偏差：满足GB/T 4100-2006 相关规定的要求</w:t>
      </w:r>
    </w:p>
    <w:p w14:paraId="2231AEB8">
      <w:pPr>
        <w:numPr>
          <w:ilvl w:val="0"/>
          <w:numId w:val="144"/>
        </w:numPr>
        <w:spacing w:line="360" w:lineRule="auto"/>
        <w:ind w:left="851"/>
        <w:jc w:val="left"/>
        <w:rPr>
          <w:rFonts w:ascii="黑体" w:hAnsi="黑体" w:cs="Arial"/>
          <w:szCs w:val="18"/>
        </w:rPr>
      </w:pPr>
      <w:r>
        <w:rPr>
          <w:rFonts w:ascii="黑体" w:hAnsi="黑体" w:cs="Arial"/>
          <w:szCs w:val="18"/>
        </w:rPr>
        <w:t>吸水率：≤0.5%</w:t>
      </w:r>
    </w:p>
    <w:p w14:paraId="65B8E880">
      <w:pPr>
        <w:numPr>
          <w:ilvl w:val="0"/>
          <w:numId w:val="144"/>
        </w:numPr>
        <w:spacing w:line="360" w:lineRule="auto"/>
        <w:ind w:left="851"/>
        <w:jc w:val="left"/>
        <w:rPr>
          <w:rFonts w:ascii="黑体" w:hAnsi="黑体" w:cs="Arial"/>
          <w:szCs w:val="18"/>
        </w:rPr>
      </w:pPr>
      <w:r>
        <w:rPr>
          <w:rFonts w:ascii="黑体" w:hAnsi="黑体" w:cs="Arial"/>
          <w:szCs w:val="18"/>
        </w:rPr>
        <w:t>物理机械性能</w:t>
      </w:r>
      <w:r>
        <w:rPr>
          <w:rFonts w:hint="eastAsia" w:ascii="黑体" w:hAnsi="黑体" w:cs="Arial"/>
          <w:szCs w:val="18"/>
        </w:rPr>
        <w:t>：</w:t>
      </w:r>
    </w:p>
    <w:p w14:paraId="0C35F1D5">
      <w:pPr>
        <w:pStyle w:val="18"/>
        <w:spacing w:line="360" w:lineRule="auto"/>
        <w:ind w:left="851" w:right="259" w:rightChars="144"/>
        <w:jc w:val="left"/>
        <w:rPr>
          <w:rFonts w:ascii="黑体" w:hAnsi="黑体"/>
          <w:szCs w:val="18"/>
        </w:rPr>
      </w:pPr>
      <w:r>
        <w:rPr>
          <w:rFonts w:ascii="黑体" w:hAnsi="黑体"/>
          <w:szCs w:val="18"/>
        </w:rPr>
        <w:t>破坏强度：平均值≥1300N</w:t>
      </w:r>
    </w:p>
    <w:p w14:paraId="05068D2B">
      <w:pPr>
        <w:pStyle w:val="18"/>
        <w:spacing w:line="360" w:lineRule="auto"/>
        <w:ind w:left="851" w:right="259" w:rightChars="144"/>
        <w:jc w:val="left"/>
        <w:rPr>
          <w:rFonts w:ascii="黑体" w:hAnsi="黑体"/>
          <w:szCs w:val="18"/>
        </w:rPr>
      </w:pPr>
      <w:r>
        <w:rPr>
          <w:rFonts w:ascii="黑体" w:hAnsi="黑体"/>
          <w:szCs w:val="18"/>
        </w:rPr>
        <w:t>断裂模数：平均值≥35MPa，单个最小值≥32Mpa</w:t>
      </w:r>
    </w:p>
    <w:p w14:paraId="0E9DB944">
      <w:pPr>
        <w:pStyle w:val="18"/>
        <w:spacing w:line="360" w:lineRule="auto"/>
        <w:ind w:left="851" w:right="259" w:rightChars="144"/>
        <w:jc w:val="left"/>
        <w:rPr>
          <w:rFonts w:ascii="黑体" w:hAnsi="黑体"/>
          <w:szCs w:val="18"/>
        </w:rPr>
      </w:pPr>
      <w:r>
        <w:rPr>
          <w:rFonts w:ascii="黑体" w:hAnsi="黑体"/>
          <w:szCs w:val="18"/>
        </w:rPr>
        <w:t xml:space="preserve">耐磨性：耐磨损体积≤175(1/mm3) </w:t>
      </w:r>
    </w:p>
    <w:p w14:paraId="01EF1BA6">
      <w:pPr>
        <w:pStyle w:val="18"/>
        <w:spacing w:line="360" w:lineRule="auto"/>
        <w:ind w:left="851" w:right="259" w:rightChars="144"/>
        <w:jc w:val="left"/>
        <w:rPr>
          <w:rFonts w:ascii="黑体" w:hAnsi="黑体"/>
          <w:szCs w:val="18"/>
        </w:rPr>
      </w:pPr>
      <w:r>
        <w:rPr>
          <w:rFonts w:ascii="黑体" w:hAnsi="黑体"/>
          <w:szCs w:val="18"/>
        </w:rPr>
        <w:t xml:space="preserve">耐污染性：大于等于3 级 </w:t>
      </w:r>
    </w:p>
    <w:p w14:paraId="4FB20BAA">
      <w:pPr>
        <w:numPr>
          <w:ilvl w:val="0"/>
          <w:numId w:val="144"/>
        </w:numPr>
        <w:spacing w:line="360" w:lineRule="auto"/>
        <w:ind w:left="851"/>
        <w:jc w:val="left"/>
        <w:rPr>
          <w:rFonts w:ascii="黑体" w:hAnsi="黑体" w:cs="Arial"/>
          <w:szCs w:val="18"/>
        </w:rPr>
      </w:pPr>
      <w:r>
        <w:rPr>
          <w:rFonts w:ascii="黑体" w:hAnsi="黑体" w:cs="Arial"/>
          <w:szCs w:val="18"/>
        </w:rPr>
        <w:t>抗化学腐蚀性</w:t>
      </w:r>
      <w:r>
        <w:rPr>
          <w:rFonts w:hint="eastAsia" w:ascii="黑体" w:hAnsi="黑体" w:cs="Arial"/>
          <w:szCs w:val="18"/>
        </w:rPr>
        <w:t>：</w:t>
      </w:r>
      <w:r>
        <w:rPr>
          <w:rFonts w:ascii="黑体" w:hAnsi="黑体" w:cs="Arial"/>
          <w:szCs w:val="18"/>
        </w:rPr>
        <w:t xml:space="preserve"> </w:t>
      </w:r>
    </w:p>
    <w:p w14:paraId="4F42F0DF">
      <w:pPr>
        <w:pStyle w:val="18"/>
        <w:spacing w:line="360" w:lineRule="auto"/>
        <w:ind w:left="851" w:right="259" w:rightChars="144"/>
        <w:jc w:val="left"/>
        <w:rPr>
          <w:rFonts w:ascii="黑体" w:hAnsi="黑体"/>
          <w:szCs w:val="18"/>
        </w:rPr>
      </w:pPr>
      <w:r>
        <w:rPr>
          <w:rFonts w:ascii="黑体" w:hAnsi="黑体"/>
          <w:szCs w:val="18"/>
        </w:rPr>
        <w:t xml:space="preserve">耐低浓度酸和碱测试：通过 </w:t>
      </w:r>
    </w:p>
    <w:p w14:paraId="3DE4BA87">
      <w:pPr>
        <w:pStyle w:val="18"/>
        <w:spacing w:line="360" w:lineRule="auto"/>
        <w:ind w:left="851" w:right="259" w:rightChars="144"/>
        <w:jc w:val="left"/>
        <w:rPr>
          <w:rFonts w:ascii="黑体" w:hAnsi="黑体"/>
          <w:szCs w:val="18"/>
        </w:rPr>
      </w:pPr>
      <w:r>
        <w:rPr>
          <w:rFonts w:ascii="黑体" w:hAnsi="黑体"/>
          <w:szCs w:val="18"/>
        </w:rPr>
        <w:t xml:space="preserve">耐家庭化学试剂：不低于UB 级 </w:t>
      </w:r>
    </w:p>
    <w:p w14:paraId="431CBEAC">
      <w:pPr>
        <w:numPr>
          <w:ilvl w:val="0"/>
          <w:numId w:val="144"/>
        </w:numPr>
        <w:spacing w:line="360" w:lineRule="auto"/>
        <w:ind w:left="851"/>
        <w:jc w:val="left"/>
        <w:rPr>
          <w:rFonts w:ascii="黑体" w:hAnsi="黑体" w:cs="Arial"/>
          <w:szCs w:val="18"/>
        </w:rPr>
      </w:pPr>
      <w:r>
        <w:rPr>
          <w:rFonts w:ascii="黑体" w:hAnsi="黑体" w:cs="Arial"/>
          <w:szCs w:val="18"/>
        </w:rPr>
        <w:t>放射性：符合GB6566 中A 类装修材料相关规定的要求，IRa≤1.0，Iγ≤1.3</w:t>
      </w:r>
      <w:r>
        <w:rPr>
          <w:rFonts w:hint="eastAsia" w:ascii="黑体" w:hAnsi="黑体" w:cs="Arial"/>
          <w:szCs w:val="18"/>
        </w:rPr>
        <w:t>。</w:t>
      </w:r>
    </w:p>
    <w:p w14:paraId="41BF5DAE">
      <w:pPr>
        <w:numPr>
          <w:ilvl w:val="0"/>
          <w:numId w:val="144"/>
        </w:numPr>
        <w:spacing w:line="360" w:lineRule="auto"/>
        <w:ind w:left="851"/>
        <w:jc w:val="left"/>
        <w:rPr>
          <w:rFonts w:ascii="黑体" w:hAnsi="黑体" w:cs="Arial"/>
          <w:szCs w:val="18"/>
        </w:rPr>
      </w:pPr>
      <w:r>
        <w:rPr>
          <w:rFonts w:ascii="黑体" w:hAnsi="黑体" w:cs="Arial"/>
          <w:szCs w:val="18"/>
        </w:rPr>
        <w:t>防滑性能：</w:t>
      </w:r>
      <w:r>
        <w:rPr>
          <w:rFonts w:hint="eastAsia" w:ascii="黑体" w:hAnsi="黑体" w:cs="Arial"/>
          <w:szCs w:val="18"/>
        </w:rPr>
        <w:t>柱墩顶面砖</w:t>
      </w:r>
      <w:r>
        <w:rPr>
          <w:rFonts w:ascii="黑体" w:hAnsi="黑体" w:cs="Arial"/>
          <w:szCs w:val="18"/>
        </w:rPr>
        <w:t xml:space="preserve">COF≥0.5 </w:t>
      </w:r>
    </w:p>
    <w:p w14:paraId="30DABFAC">
      <w:pPr>
        <w:numPr>
          <w:ilvl w:val="0"/>
          <w:numId w:val="144"/>
        </w:numPr>
        <w:spacing w:line="360" w:lineRule="auto"/>
        <w:ind w:left="851"/>
        <w:jc w:val="left"/>
        <w:rPr>
          <w:rFonts w:ascii="黑体" w:hAnsi="黑体" w:cs="Arial"/>
          <w:szCs w:val="18"/>
        </w:rPr>
      </w:pPr>
      <w:r>
        <w:rPr>
          <w:rFonts w:ascii="黑体" w:hAnsi="黑体" w:cs="Arial"/>
          <w:szCs w:val="18"/>
        </w:rPr>
        <w:t xml:space="preserve">切边及特殊形状:为满足场地条件及设计要求的地方提供内角、外角，孔边和其它边条及特殊形状的瓷砖。 </w:t>
      </w:r>
    </w:p>
    <w:p w14:paraId="6A6DD4D0">
      <w:pPr>
        <w:numPr>
          <w:ilvl w:val="0"/>
          <w:numId w:val="144"/>
        </w:numPr>
        <w:spacing w:line="360" w:lineRule="auto"/>
        <w:ind w:left="851"/>
        <w:jc w:val="left"/>
        <w:rPr>
          <w:rFonts w:ascii="黑体" w:hAnsi="黑体" w:cs="Arial"/>
          <w:szCs w:val="18"/>
        </w:rPr>
      </w:pPr>
      <w:r>
        <w:rPr>
          <w:rFonts w:ascii="黑体" w:hAnsi="黑体" w:cs="Arial"/>
          <w:szCs w:val="18"/>
        </w:rPr>
        <w:t>胶粘剂</w:t>
      </w:r>
      <w:r>
        <w:rPr>
          <w:rFonts w:hint="eastAsia" w:ascii="黑体" w:hAnsi="黑体" w:cs="Arial"/>
          <w:szCs w:val="18"/>
        </w:rPr>
        <w:t>：</w:t>
      </w:r>
      <w:r>
        <w:rPr>
          <w:rFonts w:ascii="黑体" w:hAnsi="黑体" w:cs="Arial"/>
          <w:szCs w:val="18"/>
        </w:rPr>
        <w:t xml:space="preserve"> </w:t>
      </w:r>
    </w:p>
    <w:p w14:paraId="348D3EE5">
      <w:pPr>
        <w:pStyle w:val="18"/>
        <w:spacing w:line="360" w:lineRule="auto"/>
        <w:ind w:left="851" w:right="259" w:rightChars="144"/>
        <w:jc w:val="left"/>
        <w:rPr>
          <w:rFonts w:ascii="黑体" w:hAnsi="黑体"/>
          <w:szCs w:val="18"/>
        </w:rPr>
      </w:pPr>
      <w:r>
        <w:rPr>
          <w:rFonts w:ascii="黑体" w:hAnsi="黑体"/>
          <w:szCs w:val="18"/>
        </w:rPr>
        <w:t>使用专用墙地砖成品粘结砂浆，C2T普通型，聚合物的单组份瓷砖胶粘剂</w:t>
      </w:r>
      <w:r>
        <w:rPr>
          <w:rFonts w:hint="eastAsia" w:ascii="黑体" w:hAnsi="黑体"/>
          <w:szCs w:val="18"/>
        </w:rPr>
        <w:t>：</w:t>
      </w:r>
    </w:p>
    <w:p w14:paraId="447D2F99">
      <w:pPr>
        <w:pStyle w:val="18"/>
        <w:spacing w:line="360" w:lineRule="auto"/>
        <w:ind w:left="851" w:right="259" w:rightChars="144"/>
        <w:jc w:val="left"/>
        <w:rPr>
          <w:rFonts w:ascii="黑体" w:hAnsi="黑体"/>
          <w:szCs w:val="18"/>
        </w:rPr>
      </w:pPr>
      <w:r>
        <w:rPr>
          <w:rFonts w:ascii="黑体" w:hAnsi="黑体"/>
          <w:szCs w:val="18"/>
        </w:rPr>
        <w:t xml:space="preserve">拉伸胶粘原强度：≥1.0MPa </w:t>
      </w:r>
    </w:p>
    <w:p w14:paraId="4618BC51">
      <w:pPr>
        <w:pStyle w:val="18"/>
        <w:spacing w:line="360" w:lineRule="auto"/>
        <w:ind w:left="851" w:right="259" w:rightChars="144"/>
        <w:jc w:val="left"/>
        <w:rPr>
          <w:rFonts w:ascii="黑体" w:hAnsi="黑体"/>
          <w:szCs w:val="18"/>
        </w:rPr>
      </w:pPr>
      <w:r>
        <w:rPr>
          <w:rFonts w:ascii="黑体" w:hAnsi="黑体"/>
          <w:szCs w:val="18"/>
        </w:rPr>
        <w:t xml:space="preserve">浸水后的拉伸胶粘强度：≥0.8MPa </w:t>
      </w:r>
    </w:p>
    <w:p w14:paraId="1D2D8062">
      <w:pPr>
        <w:pStyle w:val="18"/>
        <w:spacing w:line="360" w:lineRule="auto"/>
        <w:ind w:left="851" w:right="259" w:rightChars="144"/>
        <w:jc w:val="left"/>
        <w:rPr>
          <w:rFonts w:ascii="黑体" w:hAnsi="黑体"/>
          <w:szCs w:val="18"/>
        </w:rPr>
      </w:pPr>
      <w:r>
        <w:rPr>
          <w:rFonts w:ascii="黑体" w:hAnsi="黑体"/>
          <w:szCs w:val="18"/>
        </w:rPr>
        <w:t xml:space="preserve">热老化后的拉伸胶粘强度：≥0.8MPa </w:t>
      </w:r>
    </w:p>
    <w:p w14:paraId="03719199">
      <w:pPr>
        <w:pStyle w:val="18"/>
        <w:spacing w:line="360" w:lineRule="auto"/>
        <w:ind w:left="851" w:right="259" w:rightChars="144"/>
        <w:jc w:val="left"/>
        <w:rPr>
          <w:rFonts w:ascii="黑体" w:hAnsi="黑体"/>
          <w:szCs w:val="18"/>
        </w:rPr>
      </w:pPr>
      <w:r>
        <w:rPr>
          <w:rFonts w:ascii="黑体" w:hAnsi="黑体"/>
          <w:szCs w:val="18"/>
        </w:rPr>
        <w:t xml:space="preserve">冻融循环后的拉伸胶粘强度：≥0.8MPa </w:t>
      </w:r>
    </w:p>
    <w:p w14:paraId="0B5837FB">
      <w:pPr>
        <w:pStyle w:val="18"/>
        <w:spacing w:line="360" w:lineRule="auto"/>
        <w:ind w:left="851" w:right="259" w:rightChars="144"/>
        <w:jc w:val="left"/>
        <w:rPr>
          <w:rFonts w:ascii="黑体" w:hAnsi="黑体"/>
          <w:szCs w:val="18"/>
        </w:rPr>
      </w:pPr>
      <w:r>
        <w:rPr>
          <w:rFonts w:ascii="黑体" w:hAnsi="黑体"/>
          <w:szCs w:val="18"/>
        </w:rPr>
        <w:t xml:space="preserve">晾置时间20min拉伸胶粘强度：≥0.8MPa </w:t>
      </w:r>
    </w:p>
    <w:p w14:paraId="7103BD2E">
      <w:pPr>
        <w:numPr>
          <w:ilvl w:val="0"/>
          <w:numId w:val="144"/>
        </w:numPr>
        <w:spacing w:line="360" w:lineRule="auto"/>
        <w:ind w:left="851"/>
        <w:jc w:val="left"/>
        <w:rPr>
          <w:rFonts w:ascii="黑体" w:hAnsi="黑体" w:cs="Arial"/>
          <w:szCs w:val="18"/>
        </w:rPr>
      </w:pPr>
      <w:r>
        <w:rPr>
          <w:rFonts w:ascii="黑体" w:hAnsi="黑体" w:cs="Arial"/>
          <w:szCs w:val="18"/>
        </w:rPr>
        <w:t>填缝剂</w:t>
      </w:r>
      <w:r>
        <w:rPr>
          <w:rFonts w:hint="eastAsia" w:ascii="黑体" w:hAnsi="黑体" w:cs="Arial"/>
          <w:szCs w:val="18"/>
        </w:rPr>
        <w:t>：</w:t>
      </w:r>
    </w:p>
    <w:p w14:paraId="05015289">
      <w:pPr>
        <w:pStyle w:val="18"/>
        <w:spacing w:line="360" w:lineRule="auto"/>
        <w:ind w:left="851" w:right="259" w:rightChars="144"/>
        <w:jc w:val="left"/>
        <w:rPr>
          <w:rFonts w:ascii="黑体" w:hAnsi="黑体"/>
          <w:szCs w:val="18"/>
        </w:rPr>
      </w:pPr>
      <w:r>
        <w:rPr>
          <w:rFonts w:ascii="黑体" w:hAnsi="黑体"/>
          <w:szCs w:val="18"/>
        </w:rPr>
        <w:t>使用专用墙地砖成品填缝剂，符合《陶瓷墙地砖填缝剂》JC/T1004-2006 相关规定的要求</w:t>
      </w:r>
      <w:r>
        <w:rPr>
          <w:rFonts w:hint="eastAsia" w:ascii="黑体" w:hAnsi="黑体"/>
          <w:szCs w:val="18"/>
        </w:rPr>
        <w:t>：</w:t>
      </w:r>
      <w:r>
        <w:rPr>
          <w:rFonts w:ascii="黑体" w:hAnsi="黑体"/>
          <w:szCs w:val="18"/>
        </w:rPr>
        <w:t xml:space="preserve"> </w:t>
      </w:r>
    </w:p>
    <w:p w14:paraId="4645C6A6">
      <w:pPr>
        <w:pStyle w:val="18"/>
        <w:spacing w:line="360" w:lineRule="auto"/>
        <w:ind w:left="851" w:right="259" w:rightChars="144"/>
        <w:jc w:val="left"/>
        <w:rPr>
          <w:rFonts w:ascii="黑体" w:hAnsi="黑体"/>
          <w:szCs w:val="18"/>
        </w:rPr>
      </w:pPr>
      <w:r>
        <w:rPr>
          <w:rFonts w:ascii="黑体" w:hAnsi="黑体"/>
          <w:szCs w:val="18"/>
        </w:rPr>
        <w:t xml:space="preserve">耐磨损性：＜2000mm3 </w:t>
      </w:r>
    </w:p>
    <w:p w14:paraId="2974ABC5">
      <w:pPr>
        <w:pStyle w:val="18"/>
        <w:spacing w:line="360" w:lineRule="auto"/>
        <w:ind w:left="851" w:right="259" w:rightChars="144"/>
        <w:jc w:val="left"/>
        <w:rPr>
          <w:rFonts w:ascii="黑体" w:hAnsi="黑体"/>
          <w:szCs w:val="18"/>
        </w:rPr>
      </w:pPr>
      <w:r>
        <w:rPr>
          <w:rFonts w:ascii="黑体" w:hAnsi="黑体"/>
          <w:szCs w:val="18"/>
        </w:rPr>
        <w:t xml:space="preserve">收缩值：＜3.0mm/m </w:t>
      </w:r>
    </w:p>
    <w:p w14:paraId="498D561A">
      <w:pPr>
        <w:pStyle w:val="18"/>
        <w:spacing w:line="360" w:lineRule="auto"/>
        <w:ind w:left="851" w:right="259" w:rightChars="144"/>
        <w:jc w:val="left"/>
        <w:rPr>
          <w:rFonts w:ascii="黑体" w:hAnsi="黑体"/>
          <w:szCs w:val="18"/>
        </w:rPr>
      </w:pPr>
      <w:r>
        <w:rPr>
          <w:rFonts w:ascii="黑体" w:hAnsi="黑体"/>
          <w:szCs w:val="18"/>
        </w:rPr>
        <w:t xml:space="preserve">吸水量：＜5.0%（30min）；＜10.0%（240min） </w:t>
      </w:r>
    </w:p>
    <w:p w14:paraId="149943DF">
      <w:pPr>
        <w:pStyle w:val="18"/>
        <w:spacing w:line="360" w:lineRule="auto"/>
        <w:ind w:right="259" w:rightChars="144"/>
        <w:jc w:val="left"/>
        <w:rPr>
          <w:rFonts w:ascii="黑体" w:hAnsi="黑体"/>
          <w:szCs w:val="18"/>
        </w:rPr>
      </w:pPr>
    </w:p>
    <w:p w14:paraId="611985F1">
      <w:pPr>
        <w:pStyle w:val="97"/>
        <w:rPr>
          <w:b/>
        </w:rPr>
      </w:pPr>
      <w:bookmarkStart w:id="183" w:name="_Toc399695180"/>
      <w:bookmarkStart w:id="184" w:name="_Toc398804314"/>
      <w:r>
        <w:rPr>
          <w:b/>
        </w:rPr>
        <w:t>提交资料</w:t>
      </w:r>
      <w:bookmarkEnd w:id="183"/>
      <w:bookmarkEnd w:id="184"/>
    </w:p>
    <w:p w14:paraId="228195AF">
      <w:pPr>
        <w:pStyle w:val="111"/>
        <w:jc w:val="left"/>
      </w:pPr>
      <w:r>
        <w:rPr>
          <w:rFonts w:hint="eastAsia"/>
        </w:rPr>
        <w:t>铁艺栏杆</w:t>
      </w:r>
    </w:p>
    <w:p w14:paraId="7E411AEF">
      <w:pPr>
        <w:numPr>
          <w:ilvl w:val="0"/>
          <w:numId w:val="144"/>
        </w:numPr>
        <w:spacing w:line="360" w:lineRule="auto"/>
        <w:ind w:left="851"/>
        <w:jc w:val="left"/>
        <w:rPr>
          <w:rFonts w:ascii="黑体" w:hAnsi="黑体" w:cs="Arial"/>
          <w:szCs w:val="18"/>
        </w:rPr>
      </w:pPr>
      <w:r>
        <w:rPr>
          <w:rFonts w:hint="eastAsia" w:ascii="黑体" w:hAnsi="黑体" w:cs="Arial"/>
          <w:szCs w:val="18"/>
        </w:rPr>
        <w:t>产品资料：铁艺栏杆每种指定产品的资料</w:t>
      </w:r>
    </w:p>
    <w:p w14:paraId="2BC5AA9F">
      <w:pPr>
        <w:numPr>
          <w:ilvl w:val="0"/>
          <w:numId w:val="144"/>
        </w:numPr>
        <w:spacing w:line="360" w:lineRule="auto"/>
        <w:ind w:left="851"/>
        <w:jc w:val="left"/>
        <w:rPr>
          <w:rFonts w:ascii="黑体" w:hAnsi="黑体" w:cs="Arial"/>
          <w:szCs w:val="18"/>
        </w:rPr>
      </w:pPr>
      <w:r>
        <w:rPr>
          <w:rFonts w:hint="eastAsia" w:ascii="黑体" w:hAnsi="黑体" w:cs="Arial"/>
          <w:szCs w:val="18"/>
        </w:rPr>
        <w:t>施工图：包括平面图，立面图，剖面图，节点图及与其他工作的接合。安装好的产品应满足设计荷载，由专业的工程师确定结构分析数据。</w:t>
      </w:r>
    </w:p>
    <w:p w14:paraId="60786DB6">
      <w:pPr>
        <w:numPr>
          <w:ilvl w:val="0"/>
          <w:numId w:val="144"/>
        </w:numPr>
        <w:spacing w:line="360" w:lineRule="auto"/>
        <w:ind w:left="851"/>
        <w:jc w:val="left"/>
        <w:rPr>
          <w:rFonts w:ascii="黑体" w:hAnsi="黑体" w:cs="Arial"/>
          <w:szCs w:val="18"/>
        </w:rPr>
      </w:pPr>
      <w:r>
        <w:rPr>
          <w:rFonts w:hint="eastAsia" w:ascii="黑体" w:hAnsi="黑体" w:cs="Arial"/>
          <w:szCs w:val="18"/>
        </w:rPr>
        <w:t>焊接资质</w:t>
      </w:r>
      <w:r>
        <w:rPr>
          <w:rFonts w:ascii="黑体" w:hAnsi="黑体" w:cs="Arial"/>
          <w:szCs w:val="18"/>
        </w:rPr>
        <w:t xml:space="preserve"> </w:t>
      </w:r>
    </w:p>
    <w:p w14:paraId="52FAEB68">
      <w:pPr>
        <w:numPr>
          <w:ilvl w:val="0"/>
          <w:numId w:val="144"/>
        </w:numPr>
        <w:spacing w:line="360" w:lineRule="auto"/>
        <w:ind w:left="851"/>
        <w:jc w:val="left"/>
        <w:rPr>
          <w:rFonts w:ascii="黑体" w:hAnsi="黑体" w:cs="Arial"/>
          <w:szCs w:val="18"/>
        </w:rPr>
      </w:pPr>
      <w:r>
        <w:rPr>
          <w:rFonts w:hint="eastAsia" w:ascii="黑体" w:hAnsi="黑体" w:cs="Arial"/>
          <w:szCs w:val="18"/>
        </w:rPr>
        <w:t>产品检测报告</w:t>
      </w:r>
    </w:p>
    <w:p w14:paraId="38F1860B">
      <w:pPr>
        <w:spacing w:line="360" w:lineRule="auto"/>
        <w:jc w:val="left"/>
        <w:rPr>
          <w:rFonts w:ascii="黑体" w:hAnsi="黑体" w:cs="宋体"/>
          <w:kern w:val="0"/>
          <w:szCs w:val="18"/>
        </w:rPr>
      </w:pPr>
    </w:p>
    <w:p w14:paraId="01494511">
      <w:pPr>
        <w:pStyle w:val="111"/>
        <w:jc w:val="left"/>
      </w:pPr>
      <w:r>
        <w:rPr>
          <w:rFonts w:hint="eastAsia"/>
        </w:rPr>
        <w:t>柱墩外饰面面砖</w:t>
      </w:r>
    </w:p>
    <w:p w14:paraId="255634F6">
      <w:pPr>
        <w:numPr>
          <w:ilvl w:val="0"/>
          <w:numId w:val="144"/>
        </w:numPr>
        <w:spacing w:line="360" w:lineRule="auto"/>
        <w:ind w:left="851"/>
        <w:jc w:val="left"/>
        <w:rPr>
          <w:rFonts w:ascii="黑体" w:hAnsi="黑体" w:cs="Arial"/>
          <w:szCs w:val="18"/>
        </w:rPr>
      </w:pPr>
      <w:r>
        <w:rPr>
          <w:rFonts w:hint="eastAsia" w:ascii="黑体" w:hAnsi="黑体" w:cs="Arial"/>
          <w:szCs w:val="18"/>
        </w:rPr>
        <w:t>面砖</w:t>
      </w:r>
      <w:r>
        <w:rPr>
          <w:rFonts w:ascii="黑体" w:hAnsi="黑体" w:cs="Arial"/>
          <w:szCs w:val="18"/>
        </w:rPr>
        <w:t>确认样品：每种类型、颜色和装饰的带有胶粘剂和填缝剂的组装</w:t>
      </w:r>
      <w:r>
        <w:rPr>
          <w:rFonts w:hint="eastAsia" w:ascii="黑体" w:hAnsi="黑体" w:cs="Arial"/>
          <w:szCs w:val="18"/>
        </w:rPr>
        <w:t>样品（规格195X45X7.5(厚)），</w:t>
      </w:r>
      <w:r>
        <w:rPr>
          <w:rFonts w:ascii="黑体" w:hAnsi="黑体" w:cs="Arial"/>
          <w:szCs w:val="18"/>
        </w:rPr>
        <w:t>并且安装在硬板上。</w:t>
      </w:r>
    </w:p>
    <w:p w14:paraId="101F5849">
      <w:pPr>
        <w:numPr>
          <w:ilvl w:val="0"/>
          <w:numId w:val="144"/>
        </w:numPr>
        <w:spacing w:line="360" w:lineRule="auto"/>
        <w:ind w:left="851"/>
        <w:jc w:val="left"/>
        <w:rPr>
          <w:rFonts w:ascii="黑体" w:hAnsi="黑体" w:cs="Arial"/>
          <w:szCs w:val="18"/>
        </w:rPr>
      </w:pPr>
      <w:r>
        <w:rPr>
          <w:rFonts w:ascii="黑体" w:hAnsi="黑体" w:cs="Arial"/>
          <w:szCs w:val="18"/>
        </w:rPr>
        <w:t>产品说明书：有产品生产商签署的每种规格型号</w:t>
      </w:r>
    </w:p>
    <w:p w14:paraId="54DE441D">
      <w:pPr>
        <w:spacing w:line="360" w:lineRule="auto"/>
        <w:jc w:val="left"/>
        <w:rPr>
          <w:rFonts w:ascii="黑体" w:hAnsi="黑体" w:cs="宋体"/>
          <w:kern w:val="0"/>
          <w:szCs w:val="18"/>
        </w:rPr>
      </w:pPr>
    </w:p>
    <w:p w14:paraId="00270828">
      <w:pPr>
        <w:pStyle w:val="97"/>
        <w:rPr>
          <w:b/>
        </w:rPr>
      </w:pPr>
      <w:bookmarkStart w:id="185" w:name="_Toc399695181"/>
      <w:bookmarkStart w:id="186" w:name="_Toc398804315"/>
      <w:r>
        <w:rPr>
          <w:b/>
        </w:rPr>
        <w:t>质量保证</w:t>
      </w:r>
      <w:bookmarkEnd w:id="185"/>
      <w:bookmarkEnd w:id="186"/>
      <w:r>
        <w:rPr>
          <w:b/>
        </w:rPr>
        <w:t xml:space="preserve"> </w:t>
      </w:r>
    </w:p>
    <w:p w14:paraId="31C7571C">
      <w:pPr>
        <w:pStyle w:val="111"/>
        <w:jc w:val="left"/>
      </w:pPr>
      <w:r>
        <w:rPr>
          <w:rFonts w:hint="eastAsia"/>
        </w:rPr>
        <w:t>铁艺栏杆</w:t>
      </w:r>
    </w:p>
    <w:p w14:paraId="0D612592">
      <w:pPr>
        <w:numPr>
          <w:ilvl w:val="0"/>
          <w:numId w:val="144"/>
        </w:numPr>
        <w:spacing w:line="360" w:lineRule="auto"/>
        <w:ind w:left="851"/>
        <w:jc w:val="left"/>
        <w:rPr>
          <w:rFonts w:ascii="黑体" w:hAnsi="黑体" w:cs="Arial"/>
          <w:szCs w:val="18"/>
        </w:rPr>
      </w:pPr>
      <w:r>
        <w:rPr>
          <w:rFonts w:hint="eastAsia" w:ascii="黑体" w:hAnsi="黑体" w:cs="Arial"/>
          <w:szCs w:val="18"/>
        </w:rPr>
        <w:t>栏杆所有材料、颜色、规格必须符合设计要求，材料由统一制造商提供，保证材料匹配。</w:t>
      </w:r>
    </w:p>
    <w:p w14:paraId="4781396E">
      <w:pPr>
        <w:numPr>
          <w:ilvl w:val="0"/>
          <w:numId w:val="144"/>
        </w:numPr>
        <w:spacing w:line="360" w:lineRule="auto"/>
        <w:ind w:left="851"/>
        <w:jc w:val="left"/>
        <w:rPr>
          <w:rFonts w:ascii="黑体" w:hAnsi="黑体" w:cs="Arial"/>
          <w:szCs w:val="18"/>
        </w:rPr>
      </w:pPr>
      <w:r>
        <w:rPr>
          <w:rFonts w:hint="eastAsia" w:ascii="黑体" w:hAnsi="黑体" w:cs="Arial"/>
          <w:szCs w:val="18"/>
        </w:rPr>
        <w:t>栏杆承受荷载须满足国家规范要求</w:t>
      </w:r>
    </w:p>
    <w:p w14:paraId="5E5CD0BA">
      <w:pPr>
        <w:numPr>
          <w:ilvl w:val="0"/>
          <w:numId w:val="144"/>
        </w:numPr>
        <w:spacing w:line="360" w:lineRule="auto"/>
        <w:ind w:left="851"/>
        <w:jc w:val="left"/>
        <w:rPr>
          <w:rFonts w:ascii="黑体" w:hAnsi="黑体" w:cs="Arial"/>
          <w:szCs w:val="18"/>
        </w:rPr>
      </w:pPr>
      <w:r>
        <w:rPr>
          <w:rFonts w:hint="eastAsia" w:ascii="黑体" w:hAnsi="黑体" w:cs="Arial"/>
          <w:szCs w:val="18"/>
        </w:rPr>
        <w:t>钢连接件均采用焊接</w:t>
      </w:r>
    </w:p>
    <w:p w14:paraId="3E30A59D">
      <w:pPr>
        <w:numPr>
          <w:ilvl w:val="0"/>
          <w:numId w:val="144"/>
        </w:numPr>
        <w:spacing w:line="360" w:lineRule="auto"/>
        <w:ind w:left="851"/>
        <w:jc w:val="left"/>
        <w:rPr>
          <w:rFonts w:ascii="黑体" w:hAnsi="黑体" w:cs="Arial"/>
          <w:szCs w:val="18"/>
        </w:rPr>
      </w:pPr>
      <w:r>
        <w:rPr>
          <w:rFonts w:hint="eastAsia" w:ascii="黑体" w:hAnsi="黑体" w:cs="Arial"/>
          <w:szCs w:val="18"/>
        </w:rPr>
        <w:t>除不绣钢外，所有金属构件均应进行防锈处理。</w:t>
      </w:r>
    </w:p>
    <w:p w14:paraId="3D668606">
      <w:pPr>
        <w:numPr>
          <w:ilvl w:val="0"/>
          <w:numId w:val="144"/>
        </w:numPr>
        <w:spacing w:line="360" w:lineRule="auto"/>
        <w:ind w:left="851"/>
        <w:jc w:val="left"/>
        <w:rPr>
          <w:rFonts w:ascii="黑体" w:hAnsi="黑体" w:cs="Arial"/>
          <w:szCs w:val="18"/>
        </w:rPr>
      </w:pPr>
      <w:r>
        <w:rPr>
          <w:rFonts w:hint="eastAsia" w:ascii="黑体" w:hAnsi="黑体" w:cs="Arial"/>
          <w:szCs w:val="18"/>
        </w:rPr>
        <w:t>金属构件表面应光滑、平直、无毛刺，安装后不应有歪斜、扭曲和变形等缺陷。</w:t>
      </w:r>
    </w:p>
    <w:p w14:paraId="5CD5D586">
      <w:pPr>
        <w:numPr>
          <w:ilvl w:val="0"/>
          <w:numId w:val="144"/>
        </w:numPr>
        <w:spacing w:line="360" w:lineRule="auto"/>
        <w:ind w:left="851"/>
        <w:jc w:val="left"/>
        <w:rPr>
          <w:rFonts w:ascii="黑体" w:hAnsi="黑体" w:cs="Arial"/>
          <w:szCs w:val="18"/>
        </w:rPr>
      </w:pPr>
      <w:r>
        <w:rPr>
          <w:rFonts w:hint="eastAsia" w:ascii="黑体" w:hAnsi="黑体" w:cs="Arial"/>
          <w:szCs w:val="18"/>
        </w:rPr>
        <w:t>施工者资质：合格的焊接工序和焊接人员</w:t>
      </w:r>
    </w:p>
    <w:p w14:paraId="3924E3C0">
      <w:pPr>
        <w:spacing w:line="360" w:lineRule="auto"/>
        <w:jc w:val="left"/>
        <w:rPr>
          <w:rFonts w:ascii="黑体" w:hAnsi="黑体" w:cs="宋体"/>
          <w:kern w:val="0"/>
          <w:szCs w:val="18"/>
        </w:rPr>
      </w:pPr>
    </w:p>
    <w:p w14:paraId="3C8E1581">
      <w:pPr>
        <w:pStyle w:val="111"/>
        <w:jc w:val="left"/>
      </w:pPr>
      <w:r>
        <w:rPr>
          <w:rFonts w:hint="eastAsia"/>
        </w:rPr>
        <w:t>柱墩外饰面面砖</w:t>
      </w:r>
    </w:p>
    <w:p w14:paraId="2AC3004F">
      <w:pPr>
        <w:numPr>
          <w:ilvl w:val="0"/>
          <w:numId w:val="144"/>
        </w:numPr>
        <w:spacing w:line="360" w:lineRule="auto"/>
        <w:ind w:left="851"/>
        <w:jc w:val="left"/>
        <w:rPr>
          <w:rFonts w:ascii="黑体" w:hAnsi="黑体" w:cs="Arial"/>
          <w:szCs w:val="18"/>
        </w:rPr>
      </w:pPr>
      <w:r>
        <w:rPr>
          <w:rFonts w:ascii="黑体" w:hAnsi="黑体" w:cs="Arial"/>
          <w:szCs w:val="18"/>
        </w:rPr>
        <w:t xml:space="preserve">安装人员要求：采用完全了解瓷砖制造商安装要求，并且经过培训的熟练工人对实际的剪裁和铺设进行操作。 </w:t>
      </w:r>
    </w:p>
    <w:p w14:paraId="6327EFE3">
      <w:pPr>
        <w:numPr>
          <w:ilvl w:val="0"/>
          <w:numId w:val="144"/>
        </w:numPr>
        <w:spacing w:line="360" w:lineRule="auto"/>
        <w:ind w:left="851"/>
        <w:jc w:val="left"/>
        <w:rPr>
          <w:rFonts w:ascii="黑体" w:hAnsi="黑体" w:cs="Arial"/>
          <w:szCs w:val="18"/>
        </w:rPr>
      </w:pPr>
      <w:r>
        <w:rPr>
          <w:rFonts w:ascii="黑体" w:hAnsi="黑体" w:cs="Arial"/>
          <w:szCs w:val="18"/>
        </w:rPr>
        <w:t xml:space="preserve">制造商建议：瓷砖制造商的安装做法，得到了设计师认可后，作为工作实际采用的安装方法的合理性判断依据。 </w:t>
      </w:r>
    </w:p>
    <w:p w14:paraId="68A86014">
      <w:pPr>
        <w:numPr>
          <w:ilvl w:val="0"/>
          <w:numId w:val="144"/>
        </w:numPr>
        <w:spacing w:line="360" w:lineRule="auto"/>
        <w:ind w:left="851"/>
        <w:jc w:val="left"/>
        <w:rPr>
          <w:rFonts w:ascii="黑体" w:hAnsi="黑体" w:cs="Arial"/>
          <w:szCs w:val="18"/>
        </w:rPr>
      </w:pPr>
      <w:r>
        <w:rPr>
          <w:rFonts w:ascii="黑体" w:hAnsi="黑体" w:cs="Arial"/>
          <w:szCs w:val="18"/>
        </w:rPr>
        <w:t>进货要求：陶瓷砖应由一家供应商提供，除非有特殊说明。胶粘剂和填缝剂具有统一质量品质，由一家供应商提供</w:t>
      </w:r>
      <w:r>
        <w:rPr>
          <w:rFonts w:hint="eastAsia" w:ascii="黑体" w:hAnsi="黑体" w:cs="Arial"/>
          <w:szCs w:val="18"/>
        </w:rPr>
        <w:t>。</w:t>
      </w:r>
    </w:p>
    <w:p w14:paraId="5CEEB284">
      <w:pPr>
        <w:numPr>
          <w:ilvl w:val="0"/>
          <w:numId w:val="144"/>
        </w:numPr>
        <w:spacing w:line="360" w:lineRule="auto"/>
        <w:ind w:left="851"/>
        <w:jc w:val="left"/>
        <w:rPr>
          <w:rFonts w:ascii="黑体" w:hAnsi="黑体" w:cs="Arial"/>
          <w:szCs w:val="18"/>
        </w:rPr>
      </w:pPr>
      <w:r>
        <w:rPr>
          <w:rFonts w:ascii="黑体" w:hAnsi="黑体" w:cs="Arial"/>
          <w:szCs w:val="18"/>
        </w:rPr>
        <w:t xml:space="preserve">现场样板/测试： </w:t>
      </w:r>
    </w:p>
    <w:p w14:paraId="28CCDEBF">
      <w:pPr>
        <w:pStyle w:val="49"/>
        <w:spacing w:line="360" w:lineRule="auto"/>
        <w:ind w:left="851" w:firstLine="0" w:firstLineChars="0"/>
        <w:jc w:val="left"/>
        <w:rPr>
          <w:rFonts w:ascii="黑体" w:hAnsi="黑体" w:cs="宋体"/>
          <w:kern w:val="0"/>
          <w:szCs w:val="18"/>
        </w:rPr>
      </w:pPr>
      <w:r>
        <w:rPr>
          <w:rFonts w:ascii="黑体" w:hAnsi="黑体" w:cs="宋体"/>
          <w:kern w:val="0"/>
          <w:szCs w:val="18"/>
        </w:rPr>
        <w:t>样板</w:t>
      </w:r>
      <w:r>
        <w:rPr>
          <w:rFonts w:hint="eastAsia" w:ascii="黑体" w:hAnsi="黑体" w:cs="宋体"/>
          <w:kern w:val="0"/>
          <w:szCs w:val="18"/>
        </w:rPr>
        <w:t>长度</w:t>
      </w:r>
      <w:r>
        <w:rPr>
          <w:rFonts w:ascii="黑体" w:hAnsi="黑体" w:cs="宋体"/>
          <w:kern w:val="0"/>
          <w:szCs w:val="18"/>
        </w:rPr>
        <w:t>最小</w:t>
      </w:r>
      <w:r>
        <w:rPr>
          <w:rFonts w:hint="eastAsia" w:ascii="黑体" w:hAnsi="黑体" w:cs="宋体"/>
          <w:kern w:val="0"/>
          <w:szCs w:val="18"/>
        </w:rPr>
        <w:t>15米。</w:t>
      </w:r>
      <w:r>
        <w:rPr>
          <w:rFonts w:ascii="黑体" w:hAnsi="黑体" w:cs="宋体"/>
          <w:kern w:val="0"/>
          <w:szCs w:val="18"/>
        </w:rPr>
        <w:t xml:space="preserve"> </w:t>
      </w:r>
    </w:p>
    <w:p w14:paraId="5219ECC9">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每种类型，等级和颜色的瓷砖按照本规定要求制作一个现场样板。 </w:t>
      </w:r>
    </w:p>
    <w:p w14:paraId="75D7E00A">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在设计师批准的情况下，此样板可作为工程的一部分，并可包含在装饰工程中。 </w:t>
      </w:r>
    </w:p>
    <w:p w14:paraId="21201339">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根据设计师的要求做必要的修改。 </w:t>
      </w:r>
    </w:p>
    <w:p w14:paraId="2585C336">
      <w:pPr>
        <w:pStyle w:val="49"/>
        <w:spacing w:line="360" w:lineRule="auto"/>
        <w:ind w:left="851" w:firstLine="0" w:firstLineChars="0"/>
        <w:jc w:val="left"/>
        <w:rPr>
          <w:rFonts w:ascii="黑体" w:hAnsi="黑体" w:cs="宋体"/>
          <w:kern w:val="0"/>
          <w:szCs w:val="18"/>
        </w:rPr>
      </w:pPr>
      <w:r>
        <w:rPr>
          <w:rFonts w:ascii="黑体" w:hAnsi="黑体" w:cs="宋体"/>
          <w:kern w:val="0"/>
          <w:szCs w:val="18"/>
        </w:rPr>
        <w:t xml:space="preserve">现场样板得到设计师的认可后，可作为本规定涉及工作中剩余瓷砖铺贴工作是否合格的参照标准。 </w:t>
      </w:r>
    </w:p>
    <w:p w14:paraId="1C45C2AA">
      <w:pPr>
        <w:spacing w:line="360" w:lineRule="auto"/>
        <w:jc w:val="left"/>
        <w:rPr>
          <w:rFonts w:ascii="黑体" w:hAnsi="黑体" w:cs="宋体"/>
          <w:kern w:val="0"/>
          <w:szCs w:val="18"/>
        </w:rPr>
      </w:pPr>
    </w:p>
    <w:p w14:paraId="61CACDF3">
      <w:pPr>
        <w:pStyle w:val="97"/>
        <w:rPr>
          <w:b/>
        </w:rPr>
      </w:pPr>
      <w:bookmarkStart w:id="187" w:name="_Toc398804316"/>
      <w:bookmarkStart w:id="188" w:name="_Toc399695182"/>
      <w:r>
        <w:rPr>
          <w:rFonts w:hint="eastAsia"/>
          <w:b/>
        </w:rPr>
        <w:t>施工</w:t>
      </w:r>
      <w:bookmarkEnd w:id="187"/>
      <w:bookmarkEnd w:id="188"/>
    </w:p>
    <w:p w14:paraId="7BA85A27">
      <w:pPr>
        <w:pStyle w:val="111"/>
        <w:jc w:val="left"/>
      </w:pPr>
      <w:r>
        <w:rPr>
          <w:rFonts w:hint="eastAsia"/>
        </w:rPr>
        <w:t>铁艺栏杆</w:t>
      </w:r>
    </w:p>
    <w:p w14:paraId="6F6692C2">
      <w:pPr>
        <w:numPr>
          <w:ilvl w:val="0"/>
          <w:numId w:val="144"/>
        </w:numPr>
        <w:spacing w:line="360" w:lineRule="auto"/>
        <w:ind w:left="851"/>
        <w:jc w:val="left"/>
        <w:rPr>
          <w:rFonts w:ascii="黑体" w:hAnsi="黑体" w:cs="Arial"/>
          <w:szCs w:val="18"/>
        </w:rPr>
      </w:pPr>
      <w:r>
        <w:rPr>
          <w:rFonts w:hint="eastAsia" w:ascii="黑体" w:hAnsi="黑体" w:cs="Arial"/>
          <w:szCs w:val="18"/>
        </w:rPr>
        <w:t>检查基材和施工环境。</w:t>
      </w:r>
    </w:p>
    <w:p w14:paraId="242E5F52">
      <w:pPr>
        <w:numPr>
          <w:ilvl w:val="0"/>
          <w:numId w:val="144"/>
        </w:numPr>
        <w:spacing w:line="360" w:lineRule="auto"/>
        <w:ind w:left="851"/>
        <w:jc w:val="left"/>
        <w:rPr>
          <w:rFonts w:ascii="黑体" w:hAnsi="黑体" w:cs="Arial"/>
          <w:szCs w:val="18"/>
        </w:rPr>
      </w:pPr>
      <w:r>
        <w:rPr>
          <w:rFonts w:hint="eastAsia" w:ascii="黑体" w:hAnsi="黑体" w:cs="Arial"/>
          <w:szCs w:val="18"/>
        </w:rPr>
        <w:t>安装尽可能采取工厂装配，特殊尺寸以及超过运输要求的可分解组装。</w:t>
      </w:r>
    </w:p>
    <w:p w14:paraId="6983A2CA">
      <w:pPr>
        <w:numPr>
          <w:ilvl w:val="0"/>
          <w:numId w:val="144"/>
        </w:numPr>
        <w:spacing w:line="360" w:lineRule="auto"/>
        <w:ind w:left="851"/>
        <w:jc w:val="left"/>
        <w:rPr>
          <w:rFonts w:ascii="黑体" w:hAnsi="黑体" w:cs="Arial"/>
          <w:szCs w:val="18"/>
        </w:rPr>
      </w:pPr>
      <w:r>
        <w:rPr>
          <w:rFonts w:hint="eastAsia" w:ascii="黑体" w:hAnsi="黑体" w:cs="Arial"/>
          <w:szCs w:val="18"/>
        </w:rPr>
        <w:t>材料切割、钻孔、装配等应保证暴露表面的锋利或粗糙区磨平。</w:t>
      </w:r>
    </w:p>
    <w:p w14:paraId="5C10DB9E">
      <w:pPr>
        <w:numPr>
          <w:ilvl w:val="0"/>
          <w:numId w:val="144"/>
        </w:numPr>
        <w:spacing w:line="360" w:lineRule="auto"/>
        <w:ind w:left="851"/>
        <w:jc w:val="left"/>
        <w:rPr>
          <w:rFonts w:ascii="黑体" w:hAnsi="黑体" w:cs="Arial"/>
          <w:szCs w:val="18"/>
        </w:rPr>
      </w:pPr>
      <w:r>
        <w:rPr>
          <w:rFonts w:hint="eastAsia" w:ascii="黑体" w:hAnsi="黑体" w:cs="Arial"/>
          <w:szCs w:val="18"/>
        </w:rPr>
        <w:t>根据要求的尺寸，厚度和形状组装材料，不小于支撑指定载荷的最小要求。</w:t>
      </w:r>
    </w:p>
    <w:p w14:paraId="7E3A7694">
      <w:pPr>
        <w:numPr>
          <w:ilvl w:val="0"/>
          <w:numId w:val="144"/>
        </w:numPr>
        <w:spacing w:line="360" w:lineRule="auto"/>
        <w:ind w:left="851"/>
        <w:jc w:val="left"/>
        <w:rPr>
          <w:rFonts w:ascii="黑体" w:hAnsi="黑体" w:cs="Arial"/>
          <w:szCs w:val="18"/>
        </w:rPr>
      </w:pPr>
      <w:r>
        <w:rPr>
          <w:rFonts w:hint="eastAsia" w:ascii="黑体" w:hAnsi="黑体" w:cs="Arial"/>
          <w:szCs w:val="18"/>
        </w:rPr>
        <w:t>电焊时，凡露明焊缝均应满焊，并保持焊缝均匀，不得有裂缝和过火现象，再经挫平和磨光。</w:t>
      </w:r>
    </w:p>
    <w:p w14:paraId="13966EB2">
      <w:pPr>
        <w:numPr>
          <w:ilvl w:val="0"/>
          <w:numId w:val="144"/>
        </w:numPr>
        <w:spacing w:line="360" w:lineRule="auto"/>
        <w:ind w:left="851"/>
        <w:jc w:val="left"/>
        <w:rPr>
          <w:rFonts w:ascii="黑体" w:hAnsi="黑体" w:cs="Arial"/>
          <w:szCs w:val="18"/>
        </w:rPr>
      </w:pPr>
      <w:r>
        <w:rPr>
          <w:rFonts w:hint="eastAsia" w:ascii="黑体" w:hAnsi="黑体" w:cs="Arial"/>
          <w:szCs w:val="18"/>
        </w:rPr>
        <w:t>各种金属件涂饰前均应除锈、防锈，以确保漆膜光亮，避免面层剥落。</w:t>
      </w:r>
    </w:p>
    <w:p w14:paraId="1AA9B456">
      <w:pPr>
        <w:numPr>
          <w:ilvl w:val="0"/>
          <w:numId w:val="144"/>
        </w:numPr>
        <w:spacing w:line="360" w:lineRule="auto"/>
        <w:ind w:left="851"/>
        <w:jc w:val="left"/>
        <w:rPr>
          <w:rFonts w:ascii="黑体" w:hAnsi="黑体" w:cs="Arial"/>
          <w:szCs w:val="18"/>
        </w:rPr>
      </w:pPr>
      <w:r>
        <w:rPr>
          <w:rFonts w:hint="eastAsia" w:ascii="黑体" w:hAnsi="黑体" w:cs="Arial"/>
          <w:szCs w:val="18"/>
        </w:rPr>
        <w:t>其他应满足《混凝土结构设计规范》(GB50010-2010)、《建筑钢结构焊接技术规程》(JGJ81-2002)等相关规范。</w:t>
      </w:r>
    </w:p>
    <w:p w14:paraId="3351D283">
      <w:pPr>
        <w:spacing w:line="360" w:lineRule="auto"/>
        <w:jc w:val="left"/>
        <w:rPr>
          <w:rFonts w:ascii="黑体" w:hAnsi="黑体" w:cs="宋体"/>
          <w:kern w:val="0"/>
          <w:szCs w:val="18"/>
        </w:rPr>
      </w:pPr>
    </w:p>
    <w:p w14:paraId="2F8A157F">
      <w:pPr>
        <w:pStyle w:val="111"/>
        <w:jc w:val="left"/>
      </w:pPr>
      <w:r>
        <w:rPr>
          <w:rFonts w:hint="eastAsia"/>
        </w:rPr>
        <w:t>柱墩外饰面面砖</w:t>
      </w:r>
    </w:p>
    <w:p w14:paraId="139D23F0">
      <w:pPr>
        <w:spacing w:line="360" w:lineRule="auto"/>
        <w:ind w:left="729" w:leftChars="405"/>
        <w:jc w:val="left"/>
        <w:rPr>
          <w:rFonts w:ascii="黑体" w:hAnsi="黑体"/>
          <w:b/>
          <w:kern w:val="0"/>
          <w:szCs w:val="21"/>
        </w:rPr>
      </w:pPr>
      <w:r>
        <w:rPr>
          <w:rFonts w:hint="eastAsia" w:ascii="黑体" w:hAnsi="黑体" w:cs="宋体"/>
          <w:kern w:val="0"/>
          <w:szCs w:val="18"/>
        </w:rPr>
        <w:t>参见</w:t>
      </w:r>
      <w:r>
        <w:rPr>
          <w:rFonts w:hint="eastAsia" w:ascii="黑体" w:hAnsi="黑体" w:cs="Arial"/>
          <w:szCs w:val="18"/>
        </w:rPr>
        <w:t>《内装修楼（地）面装修》（13J502-3</w:t>
      </w:r>
      <w:r>
        <w:rPr>
          <w:rFonts w:ascii="黑体" w:hAnsi="黑体" w:cs="Arial"/>
          <w:szCs w:val="18"/>
        </w:rPr>
        <w:t>）</w:t>
      </w:r>
      <w:r>
        <w:rPr>
          <w:rFonts w:hint="eastAsia" w:ascii="黑体" w:hAnsi="黑体" w:cs="Arial"/>
          <w:szCs w:val="18"/>
        </w:rPr>
        <w:t>-C03第3.1条。</w:t>
      </w:r>
      <w:bookmarkStart w:id="189" w:name="_Toc100564370"/>
      <w:bookmarkStart w:id="190" w:name="_Hlk175303000"/>
      <w:bookmarkStart w:id="191" w:name="_Toc399689025"/>
      <w:r>
        <w:br w:type="page"/>
      </w:r>
    </w:p>
    <w:bookmarkEnd w:id="189"/>
    <w:bookmarkEnd w:id="190"/>
    <w:bookmarkEnd w:id="191"/>
    <w:p w14:paraId="3D511886">
      <w:pPr>
        <w:spacing w:line="360" w:lineRule="auto"/>
        <w:ind w:left="729" w:leftChars="405"/>
        <w:jc w:val="left"/>
        <w:rPr>
          <w:rFonts w:ascii="黑体" w:hAnsi="黑体" w:cs="Arial"/>
          <w:szCs w:val="18"/>
        </w:rPr>
        <w:sectPr>
          <w:headerReference r:id="rId10" w:type="default"/>
          <w:footerReference r:id="rId11" w:type="default"/>
          <w:pgSz w:w="11906" w:h="16838"/>
          <w:pgMar w:top="709" w:right="1133" w:bottom="720" w:left="1134" w:header="794" w:footer="490" w:gutter="0"/>
          <w:pgNumType w:fmt="decimal"/>
          <w:cols w:space="425" w:num="1"/>
          <w:docGrid w:type="lines" w:linePitch="312" w:charSpace="0"/>
        </w:sectPr>
      </w:pPr>
    </w:p>
    <w:p w14:paraId="057BA2F0">
      <w:pPr>
        <w:widowControl/>
        <w:tabs>
          <w:tab w:val="right" w:pos="9840"/>
        </w:tabs>
        <w:spacing w:after="200" w:line="276" w:lineRule="auto"/>
        <w:jc w:val="center"/>
        <w:rPr>
          <w:rFonts w:ascii="黑体" w:hAnsi="黑体" w:cs="宋体"/>
          <w:b/>
          <w:bCs/>
          <w:spacing w:val="1"/>
          <w:kern w:val="0"/>
          <w:position w:val="-3"/>
          <w:sz w:val="21"/>
          <w:szCs w:val="21"/>
        </w:rPr>
      </w:pPr>
      <w:r>
        <w:rPr>
          <w:rFonts w:hint="eastAsia" w:ascii="黑体" w:hAnsi="黑体" w:cs="宋体"/>
          <w:b/>
          <w:bCs/>
          <w:spacing w:val="1"/>
          <w:kern w:val="0"/>
          <w:position w:val="-3"/>
          <w:sz w:val="21"/>
          <w:szCs w:val="21"/>
        </w:rPr>
        <w:t>附件一：《防火封堵工程技术规范》</w:t>
      </w:r>
    </w:p>
    <w:p w14:paraId="453B8C5F">
      <w:pPr>
        <w:widowControl/>
        <w:tabs>
          <w:tab w:val="right" w:pos="9840"/>
        </w:tabs>
        <w:spacing w:after="200" w:line="276" w:lineRule="auto"/>
        <w:jc w:val="left"/>
        <w:rPr>
          <w:rFonts w:ascii="黑体" w:hAnsi="黑体" w:cs="Arial"/>
          <w:b/>
          <w:szCs w:val="18"/>
        </w:rPr>
      </w:pPr>
      <w:r>
        <w:rPr>
          <w:rFonts w:hint="eastAsia" w:ascii="黑体" w:hAnsi="黑体" w:cs="Arial"/>
          <w:b/>
          <w:szCs w:val="18"/>
        </w:rPr>
        <w:t>第</w:t>
      </w:r>
      <w:r>
        <w:rPr>
          <w:rFonts w:ascii="黑体" w:hAnsi="黑体" w:cs="Arial"/>
          <w:b/>
          <w:szCs w:val="18"/>
        </w:rPr>
        <w:t>1</w:t>
      </w:r>
      <w:r>
        <w:rPr>
          <w:rFonts w:hint="eastAsia" w:ascii="黑体" w:hAnsi="黑体" w:cs="Arial"/>
          <w:b/>
          <w:szCs w:val="18"/>
        </w:rPr>
        <w:t>部分</w:t>
      </w:r>
      <w:r>
        <w:rPr>
          <w:rFonts w:ascii="黑体" w:hAnsi="黑体" w:cs="Arial"/>
          <w:b/>
          <w:szCs w:val="18"/>
        </w:rPr>
        <w:t xml:space="preserve"> </w:t>
      </w:r>
      <w:r>
        <w:rPr>
          <w:rFonts w:hint="eastAsia" w:ascii="黑体" w:hAnsi="黑体" w:cs="Arial"/>
          <w:b/>
          <w:szCs w:val="18"/>
        </w:rPr>
        <w:t>总则</w:t>
      </w:r>
    </w:p>
    <w:p w14:paraId="67DF1375">
      <w:pPr>
        <w:numPr>
          <w:ilvl w:val="0"/>
          <w:numId w:val="144"/>
        </w:numPr>
        <w:spacing w:line="360" w:lineRule="auto"/>
        <w:ind w:left="851"/>
        <w:jc w:val="left"/>
        <w:rPr>
          <w:rFonts w:ascii="黑体" w:hAnsi="黑体" w:cs="Arial"/>
          <w:szCs w:val="18"/>
        </w:rPr>
      </w:pPr>
      <w:r>
        <w:rPr>
          <w:rFonts w:ascii="黑体" w:hAnsi="黑体" w:cs="Arial"/>
          <w:szCs w:val="18"/>
        </w:rPr>
        <w:t xml:space="preserve">1.1 </w:t>
      </w:r>
      <w:r>
        <w:rPr>
          <w:rFonts w:hint="eastAsia" w:ascii="黑体" w:hAnsi="黑体" w:cs="Arial"/>
          <w:szCs w:val="18"/>
        </w:rPr>
        <w:t>本章概要</w:t>
      </w:r>
      <w:r>
        <w:rPr>
          <w:rFonts w:ascii="黑体" w:hAnsi="黑体" w:cs="Arial"/>
          <w:szCs w:val="18"/>
        </w:rPr>
        <w:t xml:space="preserve"> </w:t>
      </w:r>
    </w:p>
    <w:p w14:paraId="46DD03CE">
      <w:pPr>
        <w:numPr>
          <w:ilvl w:val="0"/>
          <w:numId w:val="144"/>
        </w:numPr>
        <w:spacing w:line="360" w:lineRule="auto"/>
        <w:ind w:left="851"/>
        <w:jc w:val="left"/>
        <w:rPr>
          <w:rFonts w:ascii="黑体" w:hAnsi="黑体" w:cs="Arial"/>
          <w:szCs w:val="18"/>
        </w:rPr>
      </w:pPr>
      <w:r>
        <w:rPr>
          <w:rFonts w:hint="eastAsia" w:ascii="黑体" w:hAnsi="黑体" w:cs="Arial"/>
          <w:szCs w:val="18"/>
        </w:rPr>
        <w:t>说明在建筑物、构筑物以及各类设施中的各种贯穿孔洞、构造缝隙所使用的防火封堵材料或防火封堵组件以及烟雾屏蔽系统的材料、安装、施工及检验等供料与施工的相关规定。</w:t>
      </w:r>
      <w:r>
        <w:rPr>
          <w:rFonts w:ascii="黑体" w:hAnsi="黑体" w:cs="Arial"/>
          <w:szCs w:val="18"/>
        </w:rPr>
        <w:t xml:space="preserve"> </w:t>
      </w:r>
    </w:p>
    <w:p w14:paraId="03FD9C99">
      <w:pPr>
        <w:numPr>
          <w:ilvl w:val="0"/>
          <w:numId w:val="144"/>
        </w:numPr>
        <w:spacing w:line="360" w:lineRule="auto"/>
        <w:ind w:left="851"/>
        <w:jc w:val="left"/>
        <w:rPr>
          <w:rFonts w:ascii="黑体" w:hAnsi="黑体" w:cs="Arial"/>
          <w:szCs w:val="18"/>
        </w:rPr>
      </w:pPr>
      <w:r>
        <w:rPr>
          <w:rFonts w:ascii="黑体" w:hAnsi="黑体" w:cs="Arial"/>
          <w:szCs w:val="18"/>
        </w:rPr>
        <w:t xml:space="preserve">1.2 </w:t>
      </w:r>
      <w:r>
        <w:rPr>
          <w:rFonts w:hint="eastAsia" w:ascii="黑体" w:hAnsi="黑体" w:cs="Arial"/>
          <w:szCs w:val="18"/>
        </w:rPr>
        <w:t>工作范围</w:t>
      </w:r>
      <w:r>
        <w:rPr>
          <w:rFonts w:ascii="黑体" w:hAnsi="黑体" w:cs="Arial"/>
          <w:szCs w:val="18"/>
        </w:rPr>
        <w:t xml:space="preserve"> </w:t>
      </w:r>
    </w:p>
    <w:p w14:paraId="45EDD160">
      <w:pPr>
        <w:numPr>
          <w:ilvl w:val="0"/>
          <w:numId w:val="144"/>
        </w:numPr>
        <w:spacing w:line="360" w:lineRule="auto"/>
        <w:ind w:left="851"/>
        <w:jc w:val="left"/>
        <w:rPr>
          <w:rFonts w:ascii="黑体" w:hAnsi="黑体" w:cs="Arial"/>
          <w:szCs w:val="18"/>
        </w:rPr>
      </w:pPr>
      <w:r>
        <w:rPr>
          <w:rFonts w:ascii="黑体" w:hAnsi="黑体" w:cs="Arial"/>
          <w:szCs w:val="18"/>
        </w:rPr>
        <w:t xml:space="preserve">1.2.1 </w:t>
      </w:r>
      <w:r>
        <w:rPr>
          <w:rFonts w:hint="eastAsia" w:ascii="黑体" w:hAnsi="黑体" w:cs="Arial"/>
          <w:szCs w:val="18"/>
        </w:rPr>
        <w:t>防火封堵系统，包括所有图纸指明或未指明的用于防火和防烟系统接缝与贯穿件的相关组件，以及其他所示开口部位。</w:t>
      </w:r>
      <w:r>
        <w:rPr>
          <w:rFonts w:ascii="黑体" w:hAnsi="黑体" w:cs="Arial"/>
          <w:szCs w:val="18"/>
        </w:rPr>
        <w:t xml:space="preserve"> </w:t>
      </w:r>
    </w:p>
    <w:p w14:paraId="6D1CEA3F">
      <w:pPr>
        <w:numPr>
          <w:ilvl w:val="0"/>
          <w:numId w:val="144"/>
        </w:numPr>
        <w:spacing w:line="360" w:lineRule="auto"/>
        <w:ind w:left="851"/>
        <w:jc w:val="left"/>
        <w:rPr>
          <w:rFonts w:ascii="黑体" w:hAnsi="黑体" w:cs="Arial"/>
          <w:szCs w:val="18"/>
        </w:rPr>
      </w:pPr>
      <w:r>
        <w:rPr>
          <w:rFonts w:ascii="黑体" w:hAnsi="黑体" w:cs="Arial"/>
          <w:szCs w:val="18"/>
        </w:rPr>
        <w:t xml:space="preserve">1.2.2 </w:t>
      </w:r>
      <w:r>
        <w:rPr>
          <w:rFonts w:hint="eastAsia" w:ascii="黑体" w:hAnsi="黑体" w:cs="Arial"/>
          <w:szCs w:val="18"/>
        </w:rPr>
        <w:t>用于防火部件处的施工缝以及防火接缝系统四周的防火防烟密封。</w:t>
      </w:r>
      <w:r>
        <w:rPr>
          <w:rFonts w:ascii="黑体" w:hAnsi="黑体" w:cs="Arial"/>
          <w:szCs w:val="18"/>
        </w:rPr>
        <w:t xml:space="preserve"> </w:t>
      </w:r>
    </w:p>
    <w:p w14:paraId="4406DA74">
      <w:pPr>
        <w:numPr>
          <w:ilvl w:val="0"/>
          <w:numId w:val="144"/>
        </w:numPr>
        <w:spacing w:line="360" w:lineRule="auto"/>
        <w:ind w:left="851"/>
        <w:jc w:val="left"/>
        <w:rPr>
          <w:rFonts w:ascii="黑体" w:hAnsi="黑体" w:cs="Arial"/>
          <w:szCs w:val="18"/>
        </w:rPr>
      </w:pPr>
      <w:r>
        <w:rPr>
          <w:rFonts w:ascii="黑体" w:hAnsi="黑体" w:cs="Arial"/>
          <w:szCs w:val="18"/>
        </w:rPr>
        <w:t xml:space="preserve">1.2.3 </w:t>
      </w:r>
      <w:r>
        <w:rPr>
          <w:rFonts w:hint="eastAsia" w:ascii="黑体" w:hAnsi="黑体" w:cs="Arial"/>
          <w:szCs w:val="18"/>
        </w:rPr>
        <w:t>贯穿件与施工缝的密封，包括挡板、背衬物的放置和装饰。其他包裹防火封堵材料的媒质被贯穿件贯穿或该处有施工缝，以及附有阻火材料的表面的预处理。</w:t>
      </w:r>
    </w:p>
    <w:p w14:paraId="5BD7E046">
      <w:pPr>
        <w:numPr>
          <w:ilvl w:val="0"/>
          <w:numId w:val="144"/>
        </w:numPr>
        <w:spacing w:line="360" w:lineRule="auto"/>
        <w:ind w:left="851"/>
        <w:jc w:val="left"/>
        <w:rPr>
          <w:rFonts w:ascii="黑体" w:hAnsi="黑体" w:cs="Arial"/>
          <w:szCs w:val="18"/>
        </w:rPr>
      </w:pPr>
      <w:r>
        <w:rPr>
          <w:rFonts w:ascii="黑体" w:hAnsi="黑体" w:cs="Arial"/>
          <w:szCs w:val="18"/>
        </w:rPr>
        <w:t xml:space="preserve"> 1.2.4 </w:t>
      </w:r>
      <w:r>
        <w:rPr>
          <w:rFonts w:hint="eastAsia" w:ascii="黑体" w:hAnsi="黑体" w:cs="Arial"/>
          <w:szCs w:val="18"/>
        </w:rPr>
        <w:t>烟雾屏蔽系统，用于不同防烟分区之间。</w:t>
      </w:r>
    </w:p>
    <w:p w14:paraId="3F02C43D">
      <w:pPr>
        <w:numPr>
          <w:ilvl w:val="0"/>
          <w:numId w:val="144"/>
        </w:numPr>
        <w:spacing w:line="360" w:lineRule="auto"/>
        <w:ind w:left="851"/>
        <w:jc w:val="left"/>
        <w:rPr>
          <w:rFonts w:ascii="黑体" w:hAnsi="黑体" w:cs="Arial"/>
          <w:szCs w:val="18"/>
        </w:rPr>
      </w:pPr>
      <w:r>
        <w:rPr>
          <w:rFonts w:ascii="黑体" w:hAnsi="黑体" w:cs="Arial"/>
          <w:szCs w:val="18"/>
        </w:rPr>
        <w:t xml:space="preserve"> 1.2.5 </w:t>
      </w:r>
      <w:r>
        <w:rPr>
          <w:rFonts w:hint="eastAsia" w:ascii="黑体" w:hAnsi="黑体" w:cs="Arial"/>
          <w:szCs w:val="18"/>
        </w:rPr>
        <w:t>为完成本章节所需的一切人工、材料、机具、设备、动力、运输及其完成后</w:t>
      </w:r>
      <w:r>
        <w:rPr>
          <w:rFonts w:ascii="黑体" w:hAnsi="黑体" w:cs="Arial"/>
          <w:szCs w:val="18"/>
        </w:rPr>
        <w:t xml:space="preserve"> </w:t>
      </w:r>
      <w:r>
        <w:rPr>
          <w:rFonts w:hint="eastAsia" w:ascii="黑体" w:hAnsi="黑体" w:cs="Arial"/>
          <w:szCs w:val="18"/>
        </w:rPr>
        <w:t>的清理工作等均包括在内。</w:t>
      </w:r>
      <w:r>
        <w:rPr>
          <w:rFonts w:ascii="黑体" w:hAnsi="黑体" w:cs="Arial"/>
          <w:szCs w:val="18"/>
        </w:rPr>
        <w:t xml:space="preserve"> </w:t>
      </w:r>
    </w:p>
    <w:p w14:paraId="0E3F7E5E">
      <w:pPr>
        <w:numPr>
          <w:ilvl w:val="0"/>
          <w:numId w:val="144"/>
        </w:numPr>
        <w:spacing w:line="360" w:lineRule="auto"/>
        <w:ind w:left="851"/>
        <w:jc w:val="left"/>
        <w:rPr>
          <w:rFonts w:ascii="黑体" w:hAnsi="黑体" w:cs="Arial"/>
          <w:szCs w:val="18"/>
        </w:rPr>
      </w:pPr>
      <w:r>
        <w:rPr>
          <w:rFonts w:ascii="黑体" w:hAnsi="黑体" w:cs="Arial"/>
          <w:szCs w:val="18"/>
        </w:rPr>
        <w:t xml:space="preserve">1.3 </w:t>
      </w:r>
      <w:r>
        <w:rPr>
          <w:rFonts w:hint="eastAsia" w:ascii="黑体" w:hAnsi="黑体" w:cs="Arial"/>
          <w:szCs w:val="18"/>
        </w:rPr>
        <w:t>相关法规及标准</w:t>
      </w:r>
      <w:r>
        <w:rPr>
          <w:rFonts w:ascii="黑体" w:hAnsi="黑体" w:cs="Arial"/>
          <w:szCs w:val="18"/>
        </w:rPr>
        <w:t xml:space="preserve"> </w:t>
      </w:r>
    </w:p>
    <w:p w14:paraId="0B29A6BB">
      <w:pPr>
        <w:numPr>
          <w:ilvl w:val="0"/>
          <w:numId w:val="144"/>
        </w:numPr>
        <w:spacing w:line="360" w:lineRule="auto"/>
        <w:ind w:left="851"/>
        <w:jc w:val="left"/>
        <w:rPr>
          <w:rFonts w:ascii="黑体" w:hAnsi="黑体" w:cs="Arial"/>
          <w:szCs w:val="18"/>
        </w:rPr>
      </w:pPr>
      <w:r>
        <w:rPr>
          <w:rFonts w:ascii="黑体" w:hAnsi="黑体" w:cs="Arial"/>
          <w:szCs w:val="18"/>
        </w:rPr>
        <w:t xml:space="preserve">1.3.1 </w:t>
      </w:r>
      <w:r>
        <w:rPr>
          <w:rFonts w:hint="eastAsia" w:ascii="黑体" w:hAnsi="黑体" w:cs="Arial"/>
          <w:szCs w:val="18"/>
        </w:rPr>
        <w:t>国家规范及相关标准</w:t>
      </w:r>
    </w:p>
    <w:p w14:paraId="7815CECB">
      <w:pPr>
        <w:numPr>
          <w:ilvl w:val="0"/>
          <w:numId w:val="144"/>
        </w:numPr>
        <w:spacing w:line="360" w:lineRule="auto"/>
        <w:ind w:left="851"/>
        <w:jc w:val="left"/>
        <w:rPr>
          <w:rFonts w:ascii="黑体" w:hAnsi="黑体" w:cs="Arial"/>
          <w:szCs w:val="18"/>
        </w:rPr>
      </w:pPr>
      <w:r>
        <w:rPr>
          <w:rFonts w:ascii="黑体" w:hAnsi="黑体" w:cs="Arial"/>
          <w:szCs w:val="18"/>
        </w:rPr>
        <w:t xml:space="preserve"> (1) </w:t>
      </w:r>
      <w:r>
        <w:rPr>
          <w:rFonts w:hint="eastAsia" w:ascii="黑体" w:hAnsi="黑体" w:cs="Arial"/>
          <w:szCs w:val="18"/>
        </w:rPr>
        <w:t>建筑设计防火规范</w:t>
      </w:r>
      <w:r>
        <w:rPr>
          <w:rFonts w:ascii="黑体" w:hAnsi="黑体" w:cs="Arial"/>
          <w:szCs w:val="18"/>
        </w:rPr>
        <w:t xml:space="preserve"> GB 50016-2014</w:t>
      </w:r>
      <w:r>
        <w:rPr>
          <w:rFonts w:hint="eastAsia" w:ascii="黑体" w:hAnsi="黑体" w:cs="Arial"/>
          <w:szCs w:val="18"/>
        </w:rPr>
        <w:t>（</w:t>
      </w:r>
      <w:r>
        <w:rPr>
          <w:rFonts w:ascii="黑体" w:hAnsi="黑体" w:cs="Arial"/>
          <w:szCs w:val="18"/>
        </w:rPr>
        <w:t xml:space="preserve">2018 </w:t>
      </w:r>
      <w:r>
        <w:rPr>
          <w:rFonts w:hint="eastAsia" w:ascii="黑体" w:hAnsi="黑体" w:cs="Arial"/>
          <w:szCs w:val="18"/>
        </w:rPr>
        <w:t>版）</w:t>
      </w:r>
      <w:r>
        <w:rPr>
          <w:rFonts w:ascii="黑体" w:hAnsi="黑体" w:cs="Arial"/>
          <w:szCs w:val="18"/>
        </w:rPr>
        <w:t xml:space="preserve"> </w:t>
      </w:r>
    </w:p>
    <w:p w14:paraId="67EECB60">
      <w:pPr>
        <w:numPr>
          <w:ilvl w:val="0"/>
          <w:numId w:val="144"/>
        </w:numPr>
        <w:spacing w:line="360" w:lineRule="auto"/>
        <w:ind w:left="851"/>
        <w:jc w:val="left"/>
        <w:rPr>
          <w:rFonts w:ascii="黑体" w:hAnsi="黑体" w:cs="Arial"/>
          <w:szCs w:val="18"/>
        </w:rPr>
      </w:pPr>
      <w:r>
        <w:rPr>
          <w:rFonts w:ascii="黑体" w:hAnsi="黑体" w:cs="Arial"/>
          <w:szCs w:val="18"/>
        </w:rPr>
        <w:t xml:space="preserve">(2) </w:t>
      </w:r>
      <w:r>
        <w:rPr>
          <w:rFonts w:hint="eastAsia" w:ascii="黑体" w:hAnsi="黑体" w:cs="Arial"/>
          <w:szCs w:val="18"/>
        </w:rPr>
        <w:t>建筑构件耐火试验方法</w:t>
      </w:r>
      <w:r>
        <w:rPr>
          <w:rFonts w:ascii="黑体" w:hAnsi="黑体" w:cs="Arial"/>
          <w:szCs w:val="18"/>
        </w:rPr>
        <w:t xml:space="preserve"> GB/T 9978.1-2008 </w:t>
      </w:r>
    </w:p>
    <w:p w14:paraId="6059ABB0">
      <w:pPr>
        <w:numPr>
          <w:ilvl w:val="0"/>
          <w:numId w:val="144"/>
        </w:numPr>
        <w:spacing w:line="360" w:lineRule="auto"/>
        <w:ind w:left="851"/>
        <w:jc w:val="left"/>
        <w:rPr>
          <w:rFonts w:ascii="黑体" w:hAnsi="黑体" w:cs="Arial"/>
          <w:szCs w:val="18"/>
        </w:rPr>
      </w:pPr>
      <w:r>
        <w:rPr>
          <w:rFonts w:ascii="黑体" w:hAnsi="黑体" w:cs="Arial"/>
          <w:szCs w:val="18"/>
        </w:rPr>
        <w:t xml:space="preserve">(3) </w:t>
      </w:r>
      <w:r>
        <w:rPr>
          <w:rFonts w:hint="eastAsia" w:ascii="黑体" w:hAnsi="黑体" w:cs="Arial"/>
          <w:szCs w:val="18"/>
        </w:rPr>
        <w:t>防火封堵材料</w:t>
      </w:r>
      <w:r>
        <w:rPr>
          <w:rFonts w:ascii="黑体" w:hAnsi="黑体" w:cs="Arial"/>
          <w:szCs w:val="18"/>
        </w:rPr>
        <w:t xml:space="preserve"> GB 23864-2009</w:t>
      </w:r>
    </w:p>
    <w:p w14:paraId="2AA51BCF">
      <w:pPr>
        <w:numPr>
          <w:ilvl w:val="0"/>
          <w:numId w:val="144"/>
        </w:numPr>
        <w:spacing w:line="360" w:lineRule="auto"/>
        <w:ind w:left="851"/>
        <w:jc w:val="left"/>
        <w:rPr>
          <w:rFonts w:ascii="黑体" w:hAnsi="黑体" w:cs="Arial"/>
          <w:szCs w:val="18"/>
        </w:rPr>
      </w:pPr>
      <w:r>
        <w:rPr>
          <w:rFonts w:ascii="黑体" w:hAnsi="黑体" w:cs="Arial"/>
          <w:szCs w:val="18"/>
        </w:rPr>
        <w:t xml:space="preserve"> (4) </w:t>
      </w:r>
      <w:r>
        <w:rPr>
          <w:rFonts w:hint="eastAsia" w:ascii="黑体" w:hAnsi="黑体" w:cs="Arial"/>
          <w:szCs w:val="18"/>
        </w:rPr>
        <w:t>挡烟垂壁</w:t>
      </w:r>
      <w:r>
        <w:rPr>
          <w:rFonts w:ascii="黑体" w:hAnsi="黑体" w:cs="Arial"/>
          <w:szCs w:val="18"/>
        </w:rPr>
        <w:t xml:space="preserve"> GA533-2012 </w:t>
      </w:r>
    </w:p>
    <w:p w14:paraId="7DC10AC2">
      <w:pPr>
        <w:numPr>
          <w:ilvl w:val="0"/>
          <w:numId w:val="144"/>
        </w:numPr>
        <w:spacing w:line="360" w:lineRule="auto"/>
        <w:ind w:left="851"/>
        <w:jc w:val="left"/>
        <w:rPr>
          <w:rFonts w:ascii="黑体" w:hAnsi="黑体" w:cs="Arial"/>
          <w:szCs w:val="18"/>
        </w:rPr>
      </w:pPr>
      <w:r>
        <w:rPr>
          <w:rFonts w:hint="eastAsia" w:ascii="黑体" w:hAnsi="黑体" w:cs="Arial"/>
          <w:szCs w:val="18"/>
        </w:rPr>
        <w:t>（</w:t>
      </w:r>
      <w:r>
        <w:rPr>
          <w:rFonts w:ascii="黑体" w:hAnsi="黑体" w:cs="Arial"/>
          <w:szCs w:val="18"/>
        </w:rPr>
        <w:t>5</w:t>
      </w:r>
      <w:r>
        <w:rPr>
          <w:rFonts w:hint="eastAsia" w:ascii="黑体" w:hAnsi="黑体" w:cs="Arial"/>
          <w:szCs w:val="18"/>
        </w:rPr>
        <w:t>）建筑防火封堵应用技术标准</w:t>
      </w:r>
      <w:r>
        <w:rPr>
          <w:rFonts w:ascii="黑体" w:hAnsi="黑体" w:cs="Arial"/>
          <w:szCs w:val="18"/>
        </w:rPr>
        <w:t xml:space="preserve"> GB/T 51410-2020</w:t>
      </w:r>
    </w:p>
    <w:p w14:paraId="7A918B7F">
      <w:pPr>
        <w:numPr>
          <w:ilvl w:val="0"/>
          <w:numId w:val="144"/>
        </w:numPr>
        <w:spacing w:line="360" w:lineRule="auto"/>
        <w:ind w:left="851"/>
        <w:jc w:val="left"/>
        <w:rPr>
          <w:rFonts w:ascii="黑体" w:hAnsi="黑体" w:cs="Arial"/>
          <w:szCs w:val="18"/>
        </w:rPr>
      </w:pPr>
      <w:r>
        <w:rPr>
          <w:rFonts w:ascii="黑体" w:hAnsi="黑体" w:cs="Arial"/>
          <w:szCs w:val="18"/>
        </w:rPr>
        <w:t xml:space="preserve">1.3.2 </w:t>
      </w:r>
      <w:r>
        <w:rPr>
          <w:rFonts w:hint="eastAsia" w:ascii="黑体" w:hAnsi="黑体" w:cs="Arial"/>
          <w:szCs w:val="18"/>
        </w:rPr>
        <w:t>相关地方法规及标准</w:t>
      </w:r>
      <w:r>
        <w:rPr>
          <w:rFonts w:ascii="黑体" w:hAnsi="黑体" w:cs="Arial"/>
          <w:szCs w:val="18"/>
        </w:rPr>
        <w:t xml:space="preserve"> </w:t>
      </w:r>
    </w:p>
    <w:p w14:paraId="042D9BAF">
      <w:pPr>
        <w:numPr>
          <w:ilvl w:val="0"/>
          <w:numId w:val="144"/>
        </w:numPr>
        <w:spacing w:line="360" w:lineRule="auto"/>
        <w:ind w:left="851"/>
        <w:jc w:val="left"/>
        <w:rPr>
          <w:rFonts w:ascii="黑体" w:hAnsi="黑体" w:cs="Arial"/>
          <w:szCs w:val="18"/>
        </w:rPr>
      </w:pPr>
      <w:r>
        <w:rPr>
          <w:rFonts w:ascii="黑体" w:hAnsi="黑体" w:cs="Arial"/>
          <w:szCs w:val="18"/>
        </w:rPr>
        <w:t xml:space="preserve">1.4 </w:t>
      </w:r>
      <w:r>
        <w:rPr>
          <w:rFonts w:hint="eastAsia" w:ascii="黑体" w:hAnsi="黑体" w:cs="Arial"/>
          <w:szCs w:val="18"/>
        </w:rPr>
        <w:t>品质保证</w:t>
      </w:r>
      <w:r>
        <w:rPr>
          <w:rFonts w:ascii="黑体" w:hAnsi="黑体" w:cs="Arial"/>
          <w:szCs w:val="18"/>
        </w:rPr>
        <w:t xml:space="preserve"> </w:t>
      </w:r>
    </w:p>
    <w:p w14:paraId="07676330">
      <w:pPr>
        <w:numPr>
          <w:ilvl w:val="0"/>
          <w:numId w:val="144"/>
        </w:numPr>
        <w:spacing w:line="360" w:lineRule="auto"/>
        <w:ind w:left="851"/>
        <w:jc w:val="left"/>
        <w:rPr>
          <w:rFonts w:ascii="黑体" w:hAnsi="黑体" w:cs="Arial"/>
          <w:szCs w:val="18"/>
        </w:rPr>
      </w:pPr>
      <w:r>
        <w:rPr>
          <w:rFonts w:ascii="黑体" w:hAnsi="黑体" w:cs="Arial"/>
          <w:szCs w:val="18"/>
        </w:rPr>
        <w:t xml:space="preserve">1.4.1 </w:t>
      </w:r>
      <w:r>
        <w:rPr>
          <w:rFonts w:hint="eastAsia" w:ascii="黑体" w:hAnsi="黑体" w:cs="Arial"/>
          <w:szCs w:val="18"/>
        </w:rPr>
        <w:t>制造商资质：至少有</w:t>
      </w:r>
      <w:r>
        <w:rPr>
          <w:rFonts w:ascii="黑体" w:hAnsi="黑体" w:cs="Arial"/>
          <w:szCs w:val="18"/>
        </w:rPr>
        <w:t xml:space="preserve"> 5 </w:t>
      </w:r>
      <w:r>
        <w:rPr>
          <w:rFonts w:hint="eastAsia" w:ascii="黑体" w:hAnsi="黑体" w:cs="Arial"/>
          <w:szCs w:val="18"/>
        </w:rPr>
        <w:t>年以上的相关材料制造生产经验。</w:t>
      </w:r>
    </w:p>
    <w:p w14:paraId="518C9C06">
      <w:pPr>
        <w:numPr>
          <w:ilvl w:val="0"/>
          <w:numId w:val="144"/>
        </w:numPr>
        <w:spacing w:line="360" w:lineRule="auto"/>
        <w:ind w:left="851"/>
        <w:jc w:val="left"/>
        <w:rPr>
          <w:rFonts w:ascii="黑体" w:hAnsi="黑体" w:cs="Arial"/>
          <w:szCs w:val="18"/>
        </w:rPr>
      </w:pPr>
      <w:r>
        <w:rPr>
          <w:rFonts w:ascii="黑体" w:hAnsi="黑体" w:cs="Arial"/>
          <w:szCs w:val="18"/>
        </w:rPr>
        <w:t xml:space="preserve"> 1.4.2 </w:t>
      </w:r>
      <w:r>
        <w:rPr>
          <w:rFonts w:hint="eastAsia" w:ascii="黑体" w:hAnsi="黑体" w:cs="Arial"/>
          <w:szCs w:val="18"/>
        </w:rPr>
        <w:t>施工方资质：至少有</w:t>
      </w:r>
      <w:r>
        <w:rPr>
          <w:rFonts w:ascii="黑体" w:hAnsi="黑体" w:cs="Arial"/>
          <w:szCs w:val="18"/>
        </w:rPr>
        <w:t xml:space="preserve"> 5 </w:t>
      </w:r>
      <w:r>
        <w:rPr>
          <w:rFonts w:hint="eastAsia" w:ascii="黑体" w:hAnsi="黑体" w:cs="Arial"/>
          <w:szCs w:val="18"/>
        </w:rPr>
        <w:t>年以上且实际操作过</w:t>
      </w:r>
      <w:r>
        <w:rPr>
          <w:rFonts w:ascii="黑体" w:hAnsi="黑体" w:cs="Arial"/>
          <w:szCs w:val="18"/>
        </w:rPr>
        <w:t xml:space="preserve"> 5 </w:t>
      </w:r>
      <w:r>
        <w:rPr>
          <w:rFonts w:hint="eastAsia" w:ascii="黑体" w:hAnsi="黑体" w:cs="Arial"/>
          <w:szCs w:val="18"/>
        </w:rPr>
        <w:t>个以上实际项目的相关施工经</w:t>
      </w:r>
      <w:r>
        <w:rPr>
          <w:rFonts w:ascii="黑体" w:hAnsi="黑体" w:cs="Arial"/>
          <w:szCs w:val="18"/>
        </w:rPr>
        <w:t xml:space="preserve"> </w:t>
      </w:r>
      <w:r>
        <w:rPr>
          <w:rFonts w:hint="eastAsia" w:ascii="黑体" w:hAnsi="黑体" w:cs="Arial"/>
          <w:szCs w:val="18"/>
        </w:rPr>
        <w:t>验。还应获得制造商的认证和认可，并提供相关业绩表及合约佐证文件。</w:t>
      </w:r>
      <w:r>
        <w:rPr>
          <w:rFonts w:ascii="黑体" w:hAnsi="黑体" w:cs="Arial"/>
          <w:szCs w:val="18"/>
        </w:rPr>
        <w:t xml:space="preserve"> </w:t>
      </w:r>
    </w:p>
    <w:p w14:paraId="68904D69">
      <w:pPr>
        <w:numPr>
          <w:ilvl w:val="0"/>
          <w:numId w:val="144"/>
        </w:numPr>
        <w:spacing w:line="360" w:lineRule="auto"/>
        <w:ind w:left="851"/>
        <w:jc w:val="left"/>
        <w:rPr>
          <w:rFonts w:ascii="黑体" w:hAnsi="黑体" w:cs="Arial"/>
          <w:szCs w:val="18"/>
        </w:rPr>
      </w:pPr>
      <w:r>
        <w:rPr>
          <w:rFonts w:ascii="黑体" w:hAnsi="黑体" w:cs="Arial"/>
          <w:szCs w:val="18"/>
        </w:rPr>
        <w:t xml:space="preserve">1.4.3 </w:t>
      </w:r>
      <w:r>
        <w:rPr>
          <w:rFonts w:hint="eastAsia" w:ascii="黑体" w:hAnsi="黑体" w:cs="Arial"/>
          <w:szCs w:val="18"/>
        </w:rPr>
        <w:t>在设备制造过程中总包方或业主有权随时可以参观制造商的工厂。</w:t>
      </w:r>
    </w:p>
    <w:p w14:paraId="2DE78A1E">
      <w:pPr>
        <w:numPr>
          <w:ilvl w:val="0"/>
          <w:numId w:val="144"/>
        </w:numPr>
        <w:spacing w:line="360" w:lineRule="auto"/>
        <w:ind w:left="851"/>
        <w:jc w:val="left"/>
        <w:rPr>
          <w:rFonts w:ascii="黑体" w:hAnsi="黑体" w:cs="Arial"/>
          <w:szCs w:val="18"/>
        </w:rPr>
      </w:pPr>
      <w:r>
        <w:rPr>
          <w:rFonts w:ascii="黑体" w:hAnsi="黑体" w:cs="Arial"/>
          <w:szCs w:val="18"/>
        </w:rPr>
        <w:t xml:space="preserve"> 1.4.4 </w:t>
      </w:r>
      <w:r>
        <w:rPr>
          <w:rFonts w:hint="eastAsia" w:ascii="黑体" w:hAnsi="黑体" w:cs="Arial"/>
          <w:szCs w:val="18"/>
        </w:rPr>
        <w:t>当每个型号的第一个附件制造完毕后制造商应通知业主，总包方可以在以后</w:t>
      </w:r>
      <w:r>
        <w:rPr>
          <w:rFonts w:ascii="黑体" w:hAnsi="黑体" w:cs="Arial"/>
          <w:szCs w:val="18"/>
        </w:rPr>
        <w:t xml:space="preserve"> </w:t>
      </w:r>
      <w:r>
        <w:rPr>
          <w:rFonts w:hint="eastAsia" w:ascii="黑体" w:hAnsi="黑体" w:cs="Arial"/>
          <w:szCs w:val="18"/>
        </w:rPr>
        <w:t>的任何时候不预先通知的情况下参观工厂、检查部件组装、涂漆、清洁、包装等环</w:t>
      </w:r>
      <w:r>
        <w:rPr>
          <w:rFonts w:ascii="黑体" w:hAnsi="黑体" w:cs="Arial"/>
          <w:szCs w:val="18"/>
        </w:rPr>
        <w:t xml:space="preserve"> </w:t>
      </w:r>
      <w:r>
        <w:rPr>
          <w:rFonts w:hint="eastAsia" w:ascii="黑体" w:hAnsi="黑体" w:cs="Arial"/>
          <w:szCs w:val="18"/>
        </w:rPr>
        <w:t>节。</w:t>
      </w:r>
    </w:p>
    <w:p w14:paraId="1C395B5F">
      <w:pPr>
        <w:numPr>
          <w:ilvl w:val="0"/>
          <w:numId w:val="144"/>
        </w:numPr>
        <w:spacing w:line="360" w:lineRule="auto"/>
        <w:ind w:left="851"/>
        <w:jc w:val="left"/>
        <w:rPr>
          <w:rFonts w:ascii="黑体" w:hAnsi="黑体" w:cs="Arial"/>
          <w:szCs w:val="18"/>
        </w:rPr>
      </w:pPr>
      <w:r>
        <w:rPr>
          <w:rFonts w:ascii="黑体" w:hAnsi="黑体" w:cs="Arial"/>
          <w:szCs w:val="18"/>
        </w:rPr>
        <w:t xml:space="preserve"> 1.4.5 </w:t>
      </w:r>
      <w:r>
        <w:rPr>
          <w:rFonts w:hint="eastAsia" w:ascii="黑体" w:hAnsi="黑体" w:cs="Arial"/>
          <w:szCs w:val="18"/>
        </w:rPr>
        <w:t>防火测试：提供设计要求的防火封堵组件其特定的防火等级与</w:t>
      </w:r>
      <w:r>
        <w:rPr>
          <w:rFonts w:ascii="黑体" w:hAnsi="黑体" w:cs="Arial"/>
          <w:szCs w:val="18"/>
        </w:rPr>
        <w:t xml:space="preserve"> GB 23864- 2009 </w:t>
      </w:r>
      <w:r>
        <w:rPr>
          <w:rFonts w:hint="eastAsia" w:ascii="黑体" w:hAnsi="黑体" w:cs="Arial"/>
          <w:szCs w:val="18"/>
        </w:rPr>
        <w:t>防火封堵材料中测试的要求一致。</w:t>
      </w:r>
      <w:r>
        <w:rPr>
          <w:rFonts w:ascii="黑体" w:hAnsi="黑体" w:cs="Arial"/>
          <w:szCs w:val="18"/>
        </w:rPr>
        <w:t xml:space="preserve"> </w:t>
      </w:r>
    </w:p>
    <w:p w14:paraId="4052A45D">
      <w:pPr>
        <w:numPr>
          <w:ilvl w:val="0"/>
          <w:numId w:val="144"/>
        </w:numPr>
        <w:spacing w:line="360" w:lineRule="auto"/>
        <w:ind w:left="851"/>
        <w:jc w:val="left"/>
        <w:rPr>
          <w:rFonts w:ascii="黑体" w:hAnsi="黑体" w:cs="Arial"/>
          <w:szCs w:val="18"/>
        </w:rPr>
      </w:pPr>
      <w:r>
        <w:rPr>
          <w:rFonts w:ascii="黑体" w:hAnsi="黑体" w:cs="Arial"/>
          <w:szCs w:val="18"/>
        </w:rPr>
        <w:t xml:space="preserve">1.4.6 </w:t>
      </w:r>
      <w:r>
        <w:rPr>
          <w:rFonts w:hint="eastAsia" w:ascii="黑体" w:hAnsi="黑体" w:cs="Arial"/>
          <w:szCs w:val="18"/>
        </w:rPr>
        <w:t>对于项目中要求的不同等级防火封堵材料，每种等级安装一个代表性实体小样。</w:t>
      </w:r>
    </w:p>
    <w:p w14:paraId="3DD3681F">
      <w:pPr>
        <w:numPr>
          <w:ilvl w:val="0"/>
          <w:numId w:val="144"/>
        </w:numPr>
        <w:spacing w:line="360" w:lineRule="auto"/>
        <w:ind w:left="851"/>
        <w:jc w:val="left"/>
        <w:rPr>
          <w:rFonts w:ascii="黑体" w:hAnsi="黑体" w:cs="Arial"/>
          <w:szCs w:val="18"/>
        </w:rPr>
      </w:pPr>
      <w:r>
        <w:rPr>
          <w:rFonts w:ascii="黑体" w:hAnsi="黑体" w:cs="Arial"/>
          <w:szCs w:val="18"/>
        </w:rPr>
        <w:t xml:space="preserve"> 1.5 </w:t>
      </w:r>
      <w:r>
        <w:rPr>
          <w:rFonts w:hint="eastAsia" w:ascii="黑体" w:hAnsi="黑体" w:cs="Arial"/>
          <w:szCs w:val="18"/>
        </w:rPr>
        <w:t>资料送审</w:t>
      </w:r>
      <w:r>
        <w:rPr>
          <w:rFonts w:ascii="黑体" w:hAnsi="黑体" w:cs="Arial"/>
          <w:szCs w:val="18"/>
        </w:rPr>
        <w:t xml:space="preserve"> </w:t>
      </w:r>
    </w:p>
    <w:p w14:paraId="29B9E750">
      <w:pPr>
        <w:numPr>
          <w:ilvl w:val="0"/>
          <w:numId w:val="144"/>
        </w:numPr>
        <w:spacing w:line="360" w:lineRule="auto"/>
        <w:ind w:left="851"/>
        <w:jc w:val="left"/>
        <w:rPr>
          <w:rFonts w:ascii="黑体" w:hAnsi="黑体" w:cs="Arial"/>
          <w:szCs w:val="18"/>
        </w:rPr>
      </w:pPr>
      <w:r>
        <w:rPr>
          <w:rFonts w:ascii="黑体" w:hAnsi="黑体" w:cs="Arial"/>
          <w:szCs w:val="18"/>
        </w:rPr>
        <w:t xml:space="preserve">1.5.1 </w:t>
      </w:r>
      <w:r>
        <w:rPr>
          <w:rFonts w:hint="eastAsia" w:ascii="黑体" w:hAnsi="黑体" w:cs="Arial"/>
          <w:szCs w:val="18"/>
        </w:rPr>
        <w:t>生产过程中制造商应提交总包方审查的资料内容</w:t>
      </w:r>
      <w:r>
        <w:rPr>
          <w:rFonts w:ascii="黑体" w:hAnsi="黑体" w:cs="Arial"/>
          <w:szCs w:val="18"/>
        </w:rPr>
        <w:t xml:space="preserve">: </w:t>
      </w:r>
    </w:p>
    <w:p w14:paraId="5B14088B">
      <w:pPr>
        <w:numPr>
          <w:ilvl w:val="0"/>
          <w:numId w:val="144"/>
        </w:numPr>
        <w:spacing w:line="360" w:lineRule="auto"/>
        <w:ind w:left="851"/>
        <w:jc w:val="left"/>
        <w:rPr>
          <w:rFonts w:ascii="黑体" w:hAnsi="黑体" w:cs="Arial"/>
          <w:szCs w:val="18"/>
        </w:rPr>
      </w:pPr>
      <w:r>
        <w:rPr>
          <w:rFonts w:ascii="黑体" w:hAnsi="黑体" w:cs="Arial"/>
          <w:szCs w:val="18"/>
        </w:rPr>
        <w:t xml:space="preserve">(1) </w:t>
      </w:r>
      <w:r>
        <w:rPr>
          <w:rFonts w:hint="eastAsia" w:ascii="黑体" w:hAnsi="黑体" w:cs="Arial"/>
          <w:szCs w:val="18"/>
        </w:rPr>
        <w:t>生产商认证：证明产品达到或超过指定标准。并提供安装说明，包括安装</w:t>
      </w:r>
      <w:r>
        <w:rPr>
          <w:rFonts w:ascii="黑体" w:hAnsi="黑体" w:cs="Arial"/>
          <w:szCs w:val="18"/>
        </w:rPr>
        <w:t xml:space="preserve"> </w:t>
      </w:r>
      <w:r>
        <w:rPr>
          <w:rFonts w:hint="eastAsia" w:ascii="黑体" w:hAnsi="黑体" w:cs="Arial"/>
          <w:szCs w:val="18"/>
        </w:rPr>
        <w:t>准备和安装指示。</w:t>
      </w:r>
    </w:p>
    <w:p w14:paraId="25CDB987">
      <w:pPr>
        <w:numPr>
          <w:ilvl w:val="0"/>
          <w:numId w:val="144"/>
        </w:numPr>
        <w:spacing w:line="360" w:lineRule="auto"/>
        <w:ind w:left="851"/>
        <w:jc w:val="left"/>
        <w:rPr>
          <w:rFonts w:ascii="黑体" w:hAnsi="黑体" w:cs="Arial"/>
          <w:szCs w:val="18"/>
        </w:rPr>
      </w:pPr>
      <w:r>
        <w:rPr>
          <w:rFonts w:ascii="黑体" w:hAnsi="黑体" w:cs="Arial"/>
          <w:szCs w:val="18"/>
        </w:rPr>
        <w:t xml:space="preserve"> (2) </w:t>
      </w:r>
      <w:r>
        <w:rPr>
          <w:rFonts w:hint="eastAsia" w:ascii="黑体" w:hAnsi="黑体" w:cs="Arial"/>
          <w:szCs w:val="18"/>
        </w:rPr>
        <w:t>产品数据：包括生产商关于产品特性和耐火等级的技术数据，各型号产品的</w:t>
      </w:r>
      <w:r>
        <w:rPr>
          <w:rFonts w:ascii="黑体" w:hAnsi="黑体" w:cs="Arial"/>
          <w:szCs w:val="18"/>
        </w:rPr>
        <w:t xml:space="preserve"> </w:t>
      </w:r>
      <w:r>
        <w:rPr>
          <w:rFonts w:hint="eastAsia" w:ascii="黑体" w:hAnsi="黑体" w:cs="Arial"/>
          <w:szCs w:val="18"/>
        </w:rPr>
        <w:t>使用限制。</w:t>
      </w:r>
    </w:p>
    <w:p w14:paraId="1CD6DABA">
      <w:pPr>
        <w:numPr>
          <w:ilvl w:val="0"/>
          <w:numId w:val="144"/>
        </w:numPr>
        <w:spacing w:line="360" w:lineRule="auto"/>
        <w:ind w:left="851"/>
        <w:jc w:val="left"/>
        <w:rPr>
          <w:rFonts w:ascii="黑体" w:hAnsi="黑体" w:cs="Arial"/>
          <w:szCs w:val="18"/>
        </w:rPr>
      </w:pPr>
      <w:r>
        <w:rPr>
          <w:rFonts w:ascii="黑体" w:hAnsi="黑体" w:cs="Arial"/>
          <w:szCs w:val="18"/>
        </w:rPr>
        <w:t xml:space="preserve">(3) </w:t>
      </w:r>
      <w:r>
        <w:rPr>
          <w:rFonts w:hint="eastAsia" w:ascii="黑体" w:hAnsi="黑体" w:cs="Arial"/>
          <w:szCs w:val="18"/>
        </w:rPr>
        <w:t>检测要求：检测应该在独立的检测部门的指导或监督下进行，这个部门的</w:t>
      </w:r>
      <w:r>
        <w:rPr>
          <w:rFonts w:ascii="黑体" w:hAnsi="黑体" w:cs="Arial"/>
          <w:szCs w:val="18"/>
        </w:rPr>
        <w:t xml:space="preserve"> </w:t>
      </w:r>
      <w:r>
        <w:rPr>
          <w:rFonts w:hint="eastAsia" w:ascii="黑体" w:hAnsi="黑体" w:cs="Arial"/>
          <w:szCs w:val="18"/>
        </w:rPr>
        <w:t>资格必须经政府批准。</w:t>
      </w:r>
      <w:r>
        <w:rPr>
          <w:rFonts w:ascii="黑体" w:hAnsi="黑体" w:cs="Arial"/>
          <w:szCs w:val="18"/>
        </w:rPr>
        <w:t xml:space="preserve"> </w:t>
      </w:r>
    </w:p>
    <w:p w14:paraId="1DD6C4C9">
      <w:pPr>
        <w:numPr>
          <w:ilvl w:val="0"/>
          <w:numId w:val="144"/>
        </w:numPr>
        <w:spacing w:line="360" w:lineRule="auto"/>
        <w:ind w:left="851"/>
        <w:jc w:val="left"/>
        <w:rPr>
          <w:rFonts w:ascii="黑体" w:hAnsi="黑体" w:cs="Arial"/>
          <w:szCs w:val="18"/>
        </w:rPr>
      </w:pPr>
      <w:r>
        <w:rPr>
          <w:rFonts w:ascii="黑体" w:hAnsi="黑体" w:cs="Arial"/>
          <w:szCs w:val="18"/>
        </w:rPr>
        <w:t xml:space="preserve">(4) </w:t>
      </w:r>
      <w:r>
        <w:rPr>
          <w:rFonts w:hint="eastAsia" w:ascii="黑体" w:hAnsi="黑体" w:cs="Arial"/>
          <w:szCs w:val="18"/>
        </w:rPr>
        <w:t>安装公司的资质必须经总包方或业主认可。</w:t>
      </w:r>
      <w:r>
        <w:rPr>
          <w:rFonts w:ascii="黑体" w:hAnsi="黑体" w:cs="Arial"/>
          <w:szCs w:val="18"/>
        </w:rPr>
        <w:t xml:space="preserve"> </w:t>
      </w:r>
    </w:p>
    <w:p w14:paraId="56CDF43F">
      <w:pPr>
        <w:numPr>
          <w:ilvl w:val="0"/>
          <w:numId w:val="144"/>
        </w:numPr>
        <w:spacing w:line="360" w:lineRule="auto"/>
        <w:ind w:left="851"/>
        <w:jc w:val="left"/>
        <w:rPr>
          <w:rFonts w:ascii="黑体" w:hAnsi="黑体" w:cs="Arial"/>
          <w:szCs w:val="18"/>
        </w:rPr>
      </w:pPr>
      <w:r>
        <w:rPr>
          <w:rFonts w:ascii="黑体" w:hAnsi="黑体" w:cs="Arial"/>
          <w:szCs w:val="18"/>
        </w:rPr>
        <w:t xml:space="preserve">1.5.2 </w:t>
      </w:r>
      <w:r>
        <w:rPr>
          <w:rFonts w:hint="eastAsia" w:ascii="黑体" w:hAnsi="黑体" w:cs="Arial"/>
          <w:szCs w:val="18"/>
        </w:rPr>
        <w:t>防火封堵一览表：各型号贯穿件列表，贯穿件的防火等级，防火封堵测试与设计编号，以及各型号安装件获得认可的测试机构当年的书面报告，如</w:t>
      </w:r>
      <w:r>
        <w:rPr>
          <w:rFonts w:ascii="黑体" w:hAnsi="黑体" w:cs="Arial"/>
          <w:szCs w:val="18"/>
        </w:rPr>
        <w:t>FM</w:t>
      </w:r>
      <w:r>
        <w:rPr>
          <w:rFonts w:hint="eastAsia" w:ascii="黑体" w:hAnsi="黑体" w:cs="Arial"/>
          <w:szCs w:val="18"/>
        </w:rPr>
        <w:t>或</w:t>
      </w:r>
      <w:r>
        <w:rPr>
          <w:rFonts w:ascii="黑体" w:hAnsi="黑体" w:cs="Arial"/>
          <w:szCs w:val="18"/>
        </w:rPr>
        <w:t>UL</w:t>
      </w:r>
      <w:r>
        <w:rPr>
          <w:rFonts w:hint="eastAsia" w:ascii="黑体" w:hAnsi="黑体" w:cs="Arial"/>
          <w:szCs w:val="18"/>
        </w:rPr>
        <w:t>测试施工系统编号、施工工法文件、大样图。</w:t>
      </w:r>
      <w:r>
        <w:rPr>
          <w:rFonts w:ascii="黑体" w:hAnsi="黑体" w:cs="Arial"/>
          <w:szCs w:val="18"/>
        </w:rPr>
        <w:t xml:space="preserve"> </w:t>
      </w:r>
    </w:p>
    <w:p w14:paraId="1605978F">
      <w:pPr>
        <w:numPr>
          <w:ilvl w:val="0"/>
          <w:numId w:val="144"/>
        </w:numPr>
        <w:spacing w:line="360" w:lineRule="auto"/>
        <w:ind w:left="851"/>
        <w:jc w:val="left"/>
        <w:rPr>
          <w:rFonts w:ascii="黑体" w:hAnsi="黑体" w:cs="Arial"/>
          <w:szCs w:val="18"/>
        </w:rPr>
      </w:pPr>
      <w:r>
        <w:rPr>
          <w:rFonts w:ascii="黑体" w:hAnsi="黑体" w:cs="Arial"/>
          <w:szCs w:val="18"/>
        </w:rPr>
        <w:t xml:space="preserve">1.5.3 </w:t>
      </w:r>
      <w:r>
        <w:rPr>
          <w:rFonts w:hint="eastAsia" w:ascii="黑体" w:hAnsi="黑体" w:cs="Arial"/>
          <w:szCs w:val="18"/>
        </w:rPr>
        <w:t>提交不同防火烟雾屏障系统的样品，并注明具体的使用节点和部位。</w:t>
      </w:r>
    </w:p>
    <w:p w14:paraId="2905592B">
      <w:pPr>
        <w:numPr>
          <w:ilvl w:val="0"/>
          <w:numId w:val="144"/>
        </w:numPr>
        <w:spacing w:line="360" w:lineRule="auto"/>
        <w:ind w:left="851"/>
        <w:jc w:val="left"/>
        <w:rPr>
          <w:rFonts w:ascii="黑体" w:hAnsi="黑体" w:cs="Arial"/>
          <w:szCs w:val="18"/>
        </w:rPr>
      </w:pPr>
      <w:r>
        <w:rPr>
          <w:rFonts w:ascii="黑体" w:hAnsi="黑体" w:cs="Arial"/>
          <w:szCs w:val="18"/>
        </w:rPr>
        <w:t xml:space="preserve"> 1.5.4 </w:t>
      </w:r>
      <w:r>
        <w:rPr>
          <w:rFonts w:hint="eastAsia" w:ascii="黑体" w:hAnsi="黑体" w:cs="Arial"/>
          <w:szCs w:val="18"/>
        </w:rPr>
        <w:t>向当地消防管理部门提供的防火封堵材料的耐火性能检验报告。</w:t>
      </w:r>
    </w:p>
    <w:p w14:paraId="6E0B7F32">
      <w:pPr>
        <w:numPr>
          <w:ilvl w:val="0"/>
          <w:numId w:val="144"/>
        </w:numPr>
        <w:spacing w:line="360" w:lineRule="auto"/>
        <w:ind w:left="851"/>
        <w:jc w:val="left"/>
        <w:rPr>
          <w:rFonts w:ascii="黑体" w:hAnsi="黑体" w:cs="Arial"/>
          <w:szCs w:val="18"/>
        </w:rPr>
      </w:pPr>
      <w:r>
        <w:rPr>
          <w:rFonts w:ascii="黑体" w:hAnsi="黑体" w:cs="Arial"/>
          <w:szCs w:val="18"/>
        </w:rPr>
        <w:t xml:space="preserve"> 1.6 </w:t>
      </w:r>
      <w:r>
        <w:rPr>
          <w:rFonts w:hint="eastAsia" w:ascii="黑体" w:hAnsi="黑体" w:cs="Arial"/>
          <w:szCs w:val="18"/>
        </w:rPr>
        <w:t>运输、储存及处理</w:t>
      </w:r>
      <w:r>
        <w:rPr>
          <w:rFonts w:ascii="黑体" w:hAnsi="黑体" w:cs="Arial"/>
          <w:szCs w:val="18"/>
        </w:rPr>
        <w:t xml:space="preserve"> </w:t>
      </w:r>
    </w:p>
    <w:p w14:paraId="6AB1ADD3">
      <w:pPr>
        <w:numPr>
          <w:ilvl w:val="0"/>
          <w:numId w:val="144"/>
        </w:numPr>
        <w:spacing w:line="360" w:lineRule="auto"/>
        <w:ind w:left="851"/>
        <w:jc w:val="left"/>
        <w:rPr>
          <w:rFonts w:ascii="黑体" w:hAnsi="黑体" w:cs="Arial"/>
          <w:szCs w:val="18"/>
        </w:rPr>
      </w:pPr>
      <w:r>
        <w:rPr>
          <w:rFonts w:ascii="黑体" w:hAnsi="黑体" w:cs="Arial"/>
          <w:szCs w:val="18"/>
        </w:rPr>
        <w:t xml:space="preserve">1.6.1 </w:t>
      </w:r>
      <w:r>
        <w:rPr>
          <w:rFonts w:hint="eastAsia" w:ascii="黑体" w:hAnsi="黑体" w:cs="Arial"/>
          <w:szCs w:val="18"/>
        </w:rPr>
        <w:t>要在原产品包装未拆封的情况下运输材料，要注明生产商的名称，产品特</w:t>
      </w:r>
      <w:r>
        <w:rPr>
          <w:rFonts w:ascii="黑体" w:hAnsi="黑体" w:cs="Arial"/>
          <w:szCs w:val="18"/>
        </w:rPr>
        <w:t xml:space="preserve"> </w:t>
      </w:r>
      <w:r>
        <w:rPr>
          <w:rFonts w:hint="eastAsia" w:ascii="黑体" w:hAnsi="黑体" w:cs="Arial"/>
          <w:szCs w:val="18"/>
        </w:rPr>
        <w:t>征，组号，</w:t>
      </w:r>
      <w:r>
        <w:rPr>
          <w:rFonts w:ascii="黑体" w:hAnsi="黑体" w:cs="Arial"/>
          <w:szCs w:val="18"/>
        </w:rPr>
        <w:t xml:space="preserve"> </w:t>
      </w:r>
      <w:r>
        <w:rPr>
          <w:rFonts w:hint="eastAsia" w:ascii="黑体" w:hAnsi="黑体" w:cs="Arial"/>
          <w:szCs w:val="18"/>
        </w:rPr>
        <w:t>防火检测标志，使用和安装指导。</w:t>
      </w:r>
    </w:p>
    <w:p w14:paraId="3144119D">
      <w:pPr>
        <w:numPr>
          <w:ilvl w:val="0"/>
          <w:numId w:val="144"/>
        </w:numPr>
        <w:spacing w:line="360" w:lineRule="auto"/>
        <w:ind w:left="851"/>
        <w:jc w:val="left"/>
        <w:rPr>
          <w:rFonts w:ascii="黑体" w:hAnsi="黑体" w:cs="Arial"/>
          <w:szCs w:val="18"/>
        </w:rPr>
      </w:pPr>
      <w:r>
        <w:rPr>
          <w:rFonts w:ascii="黑体" w:hAnsi="黑体" w:cs="Arial"/>
          <w:szCs w:val="18"/>
        </w:rPr>
        <w:t xml:space="preserve"> 1.6.2 </w:t>
      </w:r>
      <w:r>
        <w:rPr>
          <w:rFonts w:hint="eastAsia" w:ascii="黑体" w:hAnsi="黑体" w:cs="Arial"/>
          <w:szCs w:val="18"/>
        </w:rPr>
        <w:t>在生产商指导下存放材料。</w:t>
      </w:r>
    </w:p>
    <w:p w14:paraId="10A414C8">
      <w:pPr>
        <w:numPr>
          <w:ilvl w:val="0"/>
          <w:numId w:val="144"/>
        </w:numPr>
        <w:spacing w:line="360" w:lineRule="auto"/>
        <w:ind w:left="851"/>
        <w:jc w:val="left"/>
        <w:rPr>
          <w:rFonts w:ascii="黑体" w:hAnsi="黑体" w:cs="Arial"/>
          <w:szCs w:val="18"/>
        </w:rPr>
      </w:pPr>
      <w:r>
        <w:rPr>
          <w:rFonts w:ascii="黑体" w:hAnsi="黑体" w:cs="Arial"/>
          <w:szCs w:val="18"/>
        </w:rPr>
        <w:t xml:space="preserve"> 1.6.3 </w:t>
      </w:r>
      <w:r>
        <w:rPr>
          <w:rFonts w:hint="eastAsia" w:ascii="黑体" w:hAnsi="黑体" w:cs="Arial"/>
          <w:szCs w:val="18"/>
        </w:rPr>
        <w:t>在材料保质期内进行安装。</w:t>
      </w:r>
    </w:p>
    <w:p w14:paraId="25E114C1">
      <w:pPr>
        <w:numPr>
          <w:ilvl w:val="0"/>
          <w:numId w:val="144"/>
        </w:numPr>
        <w:spacing w:line="360" w:lineRule="auto"/>
        <w:ind w:left="851"/>
        <w:jc w:val="left"/>
        <w:rPr>
          <w:rFonts w:ascii="黑体" w:hAnsi="黑体" w:cs="Arial"/>
          <w:szCs w:val="18"/>
        </w:rPr>
      </w:pPr>
      <w:r>
        <w:rPr>
          <w:rFonts w:ascii="黑体" w:hAnsi="黑体" w:cs="Arial"/>
          <w:szCs w:val="18"/>
        </w:rPr>
        <w:t xml:space="preserve"> 1.6.4 </w:t>
      </w:r>
      <w:r>
        <w:rPr>
          <w:rFonts w:hint="eastAsia" w:ascii="黑体" w:hAnsi="黑体" w:cs="Arial"/>
          <w:szCs w:val="18"/>
        </w:rPr>
        <w:t>在已损坏或过期材料上做明显标记或退货，搬出施工现场。</w:t>
      </w:r>
      <w:r>
        <w:rPr>
          <w:rFonts w:ascii="黑体" w:hAnsi="黑体" w:cs="Arial"/>
          <w:szCs w:val="18"/>
        </w:rPr>
        <w:t xml:space="preserve"> </w:t>
      </w:r>
    </w:p>
    <w:p w14:paraId="52378E39">
      <w:pPr>
        <w:numPr>
          <w:ilvl w:val="0"/>
          <w:numId w:val="144"/>
        </w:numPr>
        <w:spacing w:line="360" w:lineRule="auto"/>
        <w:ind w:left="851"/>
        <w:jc w:val="left"/>
        <w:rPr>
          <w:rFonts w:ascii="黑体" w:hAnsi="黑体" w:cs="Arial"/>
          <w:szCs w:val="18"/>
        </w:rPr>
      </w:pPr>
      <w:r>
        <w:rPr>
          <w:rFonts w:ascii="黑体" w:hAnsi="黑体" w:cs="Arial"/>
          <w:szCs w:val="18"/>
        </w:rPr>
        <w:t xml:space="preserve">1.7 </w:t>
      </w:r>
      <w:r>
        <w:rPr>
          <w:rFonts w:hint="eastAsia" w:ascii="黑体" w:hAnsi="黑体" w:cs="Arial"/>
          <w:szCs w:val="18"/>
        </w:rPr>
        <w:t>保修</w:t>
      </w:r>
      <w:r>
        <w:rPr>
          <w:rFonts w:ascii="黑体" w:hAnsi="黑体" w:cs="Arial"/>
          <w:szCs w:val="18"/>
        </w:rPr>
        <w:t xml:space="preserve"> </w:t>
      </w:r>
    </w:p>
    <w:p w14:paraId="54CD4AA1">
      <w:pPr>
        <w:numPr>
          <w:ilvl w:val="0"/>
          <w:numId w:val="144"/>
        </w:numPr>
        <w:spacing w:line="360" w:lineRule="auto"/>
        <w:ind w:left="851"/>
        <w:jc w:val="left"/>
        <w:rPr>
          <w:rFonts w:ascii="黑体" w:hAnsi="黑体" w:cs="Arial"/>
          <w:szCs w:val="18"/>
        </w:rPr>
      </w:pPr>
      <w:r>
        <w:rPr>
          <w:rFonts w:ascii="黑体" w:hAnsi="黑体" w:cs="Arial"/>
          <w:szCs w:val="18"/>
        </w:rPr>
        <w:t xml:space="preserve">1.7.1 </w:t>
      </w:r>
      <w:r>
        <w:rPr>
          <w:rFonts w:hint="eastAsia" w:ascii="黑体" w:hAnsi="黑体" w:cs="Arial"/>
          <w:szCs w:val="18"/>
        </w:rPr>
        <w:t>生产商在保质期内保证材料的防火性能，若材料在保质期内不能达到要求，</w:t>
      </w:r>
      <w:r>
        <w:rPr>
          <w:rFonts w:ascii="黑体" w:hAnsi="黑体" w:cs="Arial"/>
          <w:szCs w:val="18"/>
        </w:rPr>
        <w:t xml:space="preserve"> </w:t>
      </w:r>
      <w:r>
        <w:rPr>
          <w:rFonts w:hint="eastAsia" w:ascii="黑体" w:hAnsi="黑体" w:cs="Arial"/>
          <w:szCs w:val="18"/>
        </w:rPr>
        <w:t>生产商要负责材料的更换。</w:t>
      </w:r>
    </w:p>
    <w:p w14:paraId="3A3C745C">
      <w:pPr>
        <w:numPr>
          <w:ilvl w:val="0"/>
          <w:numId w:val="144"/>
        </w:numPr>
        <w:spacing w:line="360" w:lineRule="auto"/>
        <w:ind w:left="851"/>
        <w:jc w:val="left"/>
        <w:rPr>
          <w:rFonts w:ascii="黑体" w:hAnsi="黑体" w:cs="Arial"/>
          <w:szCs w:val="18"/>
        </w:rPr>
      </w:pPr>
      <w:r>
        <w:rPr>
          <w:rFonts w:ascii="黑体" w:hAnsi="黑体" w:cs="Arial"/>
          <w:szCs w:val="18"/>
        </w:rPr>
        <w:t xml:space="preserve"> 1.7.2 </w:t>
      </w:r>
      <w:r>
        <w:rPr>
          <w:rFonts w:hint="eastAsia" w:ascii="黑体" w:hAnsi="黑体" w:cs="Arial"/>
          <w:szCs w:val="18"/>
        </w:rPr>
        <w:t>施工方在保证期内确保产品安装使用不出现问题，如果出现问题要无偿维</w:t>
      </w:r>
      <w:r>
        <w:rPr>
          <w:rFonts w:ascii="黑体" w:hAnsi="黑体" w:cs="Arial"/>
          <w:szCs w:val="18"/>
        </w:rPr>
        <w:t xml:space="preserve"> </w:t>
      </w:r>
      <w:r>
        <w:rPr>
          <w:rFonts w:hint="eastAsia" w:ascii="黑体" w:hAnsi="黑体" w:cs="Arial"/>
          <w:szCs w:val="18"/>
        </w:rPr>
        <w:t>修。</w:t>
      </w:r>
      <w:r>
        <w:rPr>
          <w:rFonts w:ascii="黑体" w:hAnsi="黑体" w:cs="Arial"/>
          <w:szCs w:val="18"/>
        </w:rPr>
        <w:t xml:space="preserve"> </w:t>
      </w:r>
    </w:p>
    <w:p w14:paraId="273BB41E">
      <w:pPr>
        <w:numPr>
          <w:ilvl w:val="0"/>
          <w:numId w:val="144"/>
        </w:numPr>
        <w:spacing w:line="360" w:lineRule="auto"/>
        <w:ind w:left="851"/>
        <w:jc w:val="left"/>
        <w:rPr>
          <w:rFonts w:ascii="黑体" w:hAnsi="黑体" w:cs="Arial"/>
          <w:szCs w:val="18"/>
        </w:rPr>
      </w:pPr>
      <w:r>
        <w:rPr>
          <w:rFonts w:ascii="黑体" w:hAnsi="黑体" w:cs="Arial"/>
          <w:szCs w:val="18"/>
        </w:rPr>
        <w:t xml:space="preserve">1.8 </w:t>
      </w:r>
      <w:r>
        <w:rPr>
          <w:rFonts w:hint="eastAsia" w:ascii="黑体" w:hAnsi="黑体" w:cs="Arial"/>
          <w:szCs w:val="18"/>
        </w:rPr>
        <w:t>冲突</w:t>
      </w:r>
      <w:r>
        <w:rPr>
          <w:rFonts w:ascii="黑体" w:hAnsi="黑体" w:cs="Arial"/>
          <w:szCs w:val="18"/>
        </w:rPr>
        <w:t xml:space="preserve"> </w:t>
      </w:r>
    </w:p>
    <w:p w14:paraId="6BB76E31">
      <w:pPr>
        <w:numPr>
          <w:ilvl w:val="0"/>
          <w:numId w:val="144"/>
        </w:numPr>
        <w:spacing w:line="360" w:lineRule="auto"/>
        <w:ind w:left="851"/>
        <w:jc w:val="left"/>
        <w:rPr>
          <w:rFonts w:ascii="黑体" w:hAnsi="黑体" w:cs="Arial"/>
          <w:szCs w:val="18"/>
        </w:rPr>
      </w:pPr>
      <w:r>
        <w:rPr>
          <w:rFonts w:ascii="黑体" w:hAnsi="黑体" w:cs="Arial"/>
          <w:szCs w:val="18"/>
        </w:rPr>
        <w:t xml:space="preserve">1.8.1 </w:t>
      </w:r>
      <w:r>
        <w:rPr>
          <w:rFonts w:hint="eastAsia" w:ascii="黑体" w:hAnsi="黑体" w:cs="Arial"/>
          <w:szCs w:val="18"/>
        </w:rPr>
        <w:t>本技术规格书与其他技术规格书发生冲突时以本技术规格书为准。</w:t>
      </w:r>
      <w:r>
        <w:rPr>
          <w:rFonts w:ascii="黑体" w:hAnsi="黑体" w:cs="Arial"/>
          <w:szCs w:val="18"/>
        </w:rPr>
        <w:t xml:space="preserve"> </w:t>
      </w:r>
    </w:p>
    <w:p w14:paraId="2F686544">
      <w:pPr>
        <w:numPr>
          <w:ilvl w:val="0"/>
          <w:numId w:val="144"/>
        </w:numPr>
        <w:spacing w:line="360" w:lineRule="auto"/>
        <w:ind w:left="851"/>
        <w:jc w:val="left"/>
        <w:rPr>
          <w:rFonts w:ascii="黑体" w:hAnsi="黑体" w:cs="Arial"/>
          <w:szCs w:val="18"/>
        </w:rPr>
      </w:pPr>
      <w:r>
        <w:rPr>
          <w:rFonts w:ascii="黑体" w:hAnsi="黑体" w:cs="Arial"/>
          <w:szCs w:val="18"/>
        </w:rPr>
        <w:t xml:space="preserve">1.8.2 </w:t>
      </w:r>
      <w:r>
        <w:rPr>
          <w:rFonts w:hint="eastAsia" w:ascii="黑体" w:hAnsi="黑体" w:cs="Arial"/>
          <w:szCs w:val="18"/>
        </w:rPr>
        <w:t>本技术规格书与标准、规范发生冲突时执行严格的要求。</w:t>
      </w:r>
    </w:p>
    <w:p w14:paraId="56308196">
      <w:pPr>
        <w:numPr>
          <w:ilvl w:val="0"/>
          <w:numId w:val="144"/>
        </w:numPr>
        <w:spacing w:line="360" w:lineRule="auto"/>
        <w:ind w:left="851"/>
        <w:jc w:val="left"/>
        <w:rPr>
          <w:rFonts w:ascii="黑体" w:hAnsi="黑体" w:cs="Arial"/>
          <w:szCs w:val="18"/>
        </w:rPr>
      </w:pPr>
      <w:r>
        <w:rPr>
          <w:rFonts w:ascii="黑体" w:hAnsi="黑体" w:cs="Arial"/>
          <w:szCs w:val="18"/>
        </w:rPr>
        <w:t xml:space="preserve">1.8.3 </w:t>
      </w:r>
      <w:r>
        <w:rPr>
          <w:rFonts w:hint="eastAsia" w:ascii="黑体" w:hAnsi="黑体" w:cs="Arial"/>
          <w:szCs w:val="18"/>
        </w:rPr>
        <w:t>本技术规格书与图纸（包括图纸说明）发生冲突时以图纸为准。</w:t>
      </w:r>
    </w:p>
    <w:p w14:paraId="036490C3">
      <w:pPr>
        <w:spacing w:line="360" w:lineRule="auto"/>
        <w:jc w:val="left"/>
        <w:rPr>
          <w:rFonts w:ascii="黑体" w:hAnsi="黑体" w:cs="Arial"/>
          <w:b/>
          <w:szCs w:val="18"/>
        </w:rPr>
      </w:pPr>
      <w:r>
        <w:rPr>
          <w:rFonts w:hint="eastAsia" w:ascii="黑体" w:hAnsi="黑体" w:cs="Arial"/>
          <w:b/>
          <w:szCs w:val="18"/>
        </w:rPr>
        <w:t>第</w:t>
      </w:r>
      <w:r>
        <w:rPr>
          <w:rFonts w:ascii="黑体" w:hAnsi="黑体" w:cs="Arial"/>
          <w:b/>
          <w:szCs w:val="18"/>
        </w:rPr>
        <w:t>2</w:t>
      </w:r>
      <w:r>
        <w:rPr>
          <w:rFonts w:hint="eastAsia" w:ascii="黑体" w:hAnsi="黑体" w:cs="Arial"/>
          <w:b/>
          <w:szCs w:val="18"/>
        </w:rPr>
        <w:t>部分</w:t>
      </w:r>
      <w:r>
        <w:rPr>
          <w:rFonts w:ascii="黑体" w:hAnsi="黑体" w:cs="Arial"/>
          <w:b/>
          <w:szCs w:val="18"/>
        </w:rPr>
        <w:t xml:space="preserve"> </w:t>
      </w:r>
      <w:r>
        <w:rPr>
          <w:rFonts w:hint="eastAsia" w:ascii="黑体" w:hAnsi="黑体" w:cs="Arial"/>
          <w:b/>
          <w:szCs w:val="18"/>
        </w:rPr>
        <w:t>产品</w:t>
      </w:r>
    </w:p>
    <w:p w14:paraId="7B215673">
      <w:pPr>
        <w:numPr>
          <w:ilvl w:val="0"/>
          <w:numId w:val="144"/>
        </w:numPr>
        <w:spacing w:line="360" w:lineRule="auto"/>
        <w:ind w:left="851"/>
        <w:jc w:val="left"/>
        <w:rPr>
          <w:rFonts w:ascii="黑体" w:hAnsi="黑体" w:cs="Arial"/>
          <w:szCs w:val="18"/>
        </w:rPr>
      </w:pPr>
      <w:r>
        <w:rPr>
          <w:rFonts w:ascii="黑体" w:hAnsi="黑体" w:cs="Arial"/>
          <w:szCs w:val="18"/>
        </w:rPr>
        <w:t xml:space="preserve">2.1 </w:t>
      </w:r>
      <w:r>
        <w:rPr>
          <w:rFonts w:hint="eastAsia" w:ascii="黑体" w:hAnsi="黑体" w:cs="Arial"/>
          <w:szCs w:val="18"/>
        </w:rPr>
        <w:t>认可的制造商</w:t>
      </w:r>
      <w:r>
        <w:rPr>
          <w:rFonts w:ascii="黑体" w:hAnsi="黑体" w:cs="Arial"/>
          <w:szCs w:val="18"/>
        </w:rPr>
        <w:t xml:space="preserve"> </w:t>
      </w:r>
    </w:p>
    <w:p w14:paraId="4C7CB734">
      <w:pPr>
        <w:numPr>
          <w:ilvl w:val="0"/>
          <w:numId w:val="144"/>
        </w:numPr>
        <w:spacing w:line="360" w:lineRule="auto"/>
        <w:ind w:left="851"/>
        <w:jc w:val="left"/>
        <w:rPr>
          <w:rFonts w:ascii="黑体" w:hAnsi="黑体" w:cs="Arial"/>
          <w:szCs w:val="18"/>
        </w:rPr>
      </w:pPr>
      <w:r>
        <w:rPr>
          <w:rFonts w:ascii="黑体" w:hAnsi="黑体" w:cs="Arial"/>
          <w:szCs w:val="18"/>
        </w:rPr>
        <w:t xml:space="preserve">2.1.1 </w:t>
      </w:r>
      <w:r>
        <w:rPr>
          <w:rFonts w:hint="eastAsia" w:ascii="黑体" w:hAnsi="黑体" w:cs="Arial"/>
          <w:szCs w:val="18"/>
        </w:rPr>
        <w:t>在符合工程要求的前提下，制造商应提供可与工程配套的产品工程制造商由</w:t>
      </w:r>
      <w:r>
        <w:rPr>
          <w:rFonts w:ascii="黑体" w:hAnsi="黑体" w:cs="Arial"/>
          <w:szCs w:val="18"/>
        </w:rPr>
        <w:t xml:space="preserve"> </w:t>
      </w:r>
      <w:r>
        <w:rPr>
          <w:rFonts w:hint="eastAsia" w:ascii="黑体" w:hAnsi="黑体" w:cs="Arial"/>
          <w:szCs w:val="18"/>
        </w:rPr>
        <w:t>总包方选定。且产品必须通过国家有关部门的检验及检测报告，防火封堵产品要求</w:t>
      </w:r>
      <w:r>
        <w:rPr>
          <w:rFonts w:ascii="黑体" w:hAnsi="黑体" w:cs="Arial"/>
          <w:szCs w:val="18"/>
        </w:rPr>
        <w:t xml:space="preserve"> </w:t>
      </w:r>
      <w:r>
        <w:rPr>
          <w:rFonts w:hint="eastAsia" w:ascii="黑体" w:hAnsi="黑体" w:cs="Arial"/>
          <w:szCs w:val="18"/>
        </w:rPr>
        <w:t>符合</w:t>
      </w:r>
      <w:r>
        <w:rPr>
          <w:rFonts w:ascii="黑体" w:hAnsi="黑体" w:cs="Arial"/>
          <w:szCs w:val="18"/>
        </w:rPr>
        <w:t>FM</w:t>
      </w:r>
      <w:r>
        <w:rPr>
          <w:rFonts w:hint="eastAsia" w:ascii="黑体" w:hAnsi="黑体" w:cs="Arial"/>
          <w:szCs w:val="18"/>
        </w:rPr>
        <w:t>或</w:t>
      </w:r>
      <w:r>
        <w:rPr>
          <w:rFonts w:ascii="黑体" w:hAnsi="黑体" w:cs="Arial"/>
          <w:szCs w:val="18"/>
        </w:rPr>
        <w:t xml:space="preserve">UL </w:t>
      </w:r>
      <w:r>
        <w:rPr>
          <w:rFonts w:hint="eastAsia" w:ascii="黑体" w:hAnsi="黑体" w:cs="Arial"/>
          <w:szCs w:val="18"/>
        </w:rPr>
        <w:t>认证。</w:t>
      </w:r>
      <w:r>
        <w:rPr>
          <w:rFonts w:ascii="黑体" w:hAnsi="黑体" w:cs="Arial"/>
          <w:szCs w:val="18"/>
        </w:rPr>
        <w:t xml:space="preserve"> </w:t>
      </w:r>
    </w:p>
    <w:p w14:paraId="00972677">
      <w:pPr>
        <w:numPr>
          <w:ilvl w:val="0"/>
          <w:numId w:val="144"/>
        </w:numPr>
        <w:spacing w:line="360" w:lineRule="auto"/>
        <w:ind w:left="851"/>
        <w:jc w:val="left"/>
        <w:rPr>
          <w:rFonts w:ascii="黑体" w:hAnsi="黑体" w:cs="Arial"/>
          <w:szCs w:val="18"/>
        </w:rPr>
      </w:pPr>
      <w:r>
        <w:rPr>
          <w:rFonts w:ascii="黑体" w:hAnsi="黑体" w:cs="Arial"/>
          <w:szCs w:val="18"/>
        </w:rPr>
        <w:t xml:space="preserve">2.2 </w:t>
      </w:r>
      <w:r>
        <w:rPr>
          <w:rFonts w:hint="eastAsia" w:ascii="黑体" w:hAnsi="黑体" w:cs="Arial"/>
          <w:szCs w:val="18"/>
        </w:rPr>
        <w:t>防火封堵材料</w:t>
      </w:r>
    </w:p>
    <w:p w14:paraId="4056BCDB">
      <w:pPr>
        <w:numPr>
          <w:ilvl w:val="0"/>
          <w:numId w:val="144"/>
        </w:numPr>
        <w:spacing w:line="360" w:lineRule="auto"/>
        <w:ind w:left="851"/>
        <w:jc w:val="left"/>
        <w:rPr>
          <w:rFonts w:ascii="黑体" w:hAnsi="黑体" w:cs="Arial"/>
          <w:szCs w:val="18"/>
        </w:rPr>
      </w:pPr>
      <w:r>
        <w:rPr>
          <w:rFonts w:ascii="黑体" w:hAnsi="黑体" w:cs="Arial"/>
          <w:szCs w:val="18"/>
        </w:rPr>
        <w:t xml:space="preserve">2.2.1 </w:t>
      </w:r>
      <w:r>
        <w:rPr>
          <w:rFonts w:hint="eastAsia" w:ascii="黑体" w:hAnsi="黑体" w:cs="Arial"/>
          <w:szCs w:val="18"/>
        </w:rPr>
        <w:t>总体要求</w:t>
      </w:r>
      <w:r>
        <w:rPr>
          <w:rFonts w:ascii="黑体" w:hAnsi="黑体" w:cs="Arial"/>
          <w:szCs w:val="18"/>
        </w:rPr>
        <w:t xml:space="preserve"> </w:t>
      </w:r>
    </w:p>
    <w:p w14:paraId="5A18CFF0">
      <w:pPr>
        <w:numPr>
          <w:ilvl w:val="0"/>
          <w:numId w:val="144"/>
        </w:numPr>
        <w:spacing w:line="360" w:lineRule="auto"/>
        <w:ind w:left="851"/>
        <w:jc w:val="left"/>
        <w:rPr>
          <w:rFonts w:ascii="黑体" w:hAnsi="黑体" w:cs="Arial"/>
          <w:szCs w:val="18"/>
        </w:rPr>
      </w:pPr>
      <w:r>
        <w:rPr>
          <w:rFonts w:ascii="黑体" w:hAnsi="黑体" w:cs="Arial"/>
          <w:szCs w:val="18"/>
        </w:rPr>
        <w:t xml:space="preserve">(1) </w:t>
      </w:r>
      <w:r>
        <w:rPr>
          <w:rFonts w:hint="eastAsia" w:ascii="黑体" w:hAnsi="黑体" w:cs="Arial"/>
          <w:szCs w:val="18"/>
        </w:rPr>
        <w:t>每个系统的部件应该经检测部门检测。</w:t>
      </w:r>
    </w:p>
    <w:p w14:paraId="40E44F62">
      <w:pPr>
        <w:numPr>
          <w:ilvl w:val="0"/>
          <w:numId w:val="144"/>
        </w:numPr>
        <w:spacing w:line="360" w:lineRule="auto"/>
        <w:ind w:left="851"/>
        <w:jc w:val="left"/>
        <w:rPr>
          <w:rFonts w:ascii="黑体" w:hAnsi="黑体" w:cs="Arial"/>
          <w:szCs w:val="18"/>
        </w:rPr>
      </w:pPr>
      <w:r>
        <w:rPr>
          <w:rFonts w:ascii="黑体" w:hAnsi="黑体" w:cs="Arial"/>
          <w:szCs w:val="18"/>
        </w:rPr>
        <w:t xml:space="preserve"> (2) </w:t>
      </w:r>
      <w:r>
        <w:rPr>
          <w:rFonts w:hint="eastAsia" w:ascii="黑体" w:hAnsi="黑体" w:cs="Arial"/>
          <w:szCs w:val="18"/>
        </w:rPr>
        <w:t>洁净环境中的材料应提供不产生霉菌及挥发性气体测试报告。</w:t>
      </w:r>
      <w:r>
        <w:rPr>
          <w:rFonts w:ascii="黑体" w:hAnsi="黑体" w:cs="Arial"/>
          <w:szCs w:val="18"/>
        </w:rPr>
        <w:t xml:space="preserve"> </w:t>
      </w:r>
    </w:p>
    <w:p w14:paraId="5D5CA9BC">
      <w:pPr>
        <w:numPr>
          <w:ilvl w:val="0"/>
          <w:numId w:val="144"/>
        </w:numPr>
        <w:spacing w:line="360" w:lineRule="auto"/>
        <w:ind w:left="851"/>
        <w:jc w:val="left"/>
        <w:rPr>
          <w:rFonts w:ascii="黑体" w:hAnsi="黑体" w:cs="Arial"/>
          <w:szCs w:val="18"/>
        </w:rPr>
      </w:pPr>
      <w:r>
        <w:rPr>
          <w:rFonts w:ascii="黑体" w:hAnsi="黑体" w:cs="Arial"/>
          <w:szCs w:val="18"/>
        </w:rPr>
        <w:t xml:space="preserve">(3) </w:t>
      </w:r>
      <w:r>
        <w:rPr>
          <w:rFonts w:hint="eastAsia" w:ascii="黑体" w:hAnsi="黑体" w:cs="Arial"/>
          <w:szCs w:val="18"/>
        </w:rPr>
        <w:t>所选用防火封堵及烟雾屏障的附件和材料必须兼容于将要用到部分的建筑</w:t>
      </w:r>
      <w:r>
        <w:rPr>
          <w:rFonts w:ascii="黑体" w:hAnsi="黑体" w:cs="Arial"/>
          <w:szCs w:val="18"/>
        </w:rPr>
        <w:t xml:space="preserve"> </w:t>
      </w:r>
      <w:r>
        <w:rPr>
          <w:rFonts w:hint="eastAsia" w:ascii="黑体" w:hAnsi="黑体" w:cs="Arial"/>
          <w:szCs w:val="18"/>
        </w:rPr>
        <w:t>材料系统。</w:t>
      </w:r>
      <w:r>
        <w:rPr>
          <w:rFonts w:ascii="黑体" w:hAnsi="黑体" w:cs="Arial"/>
          <w:szCs w:val="18"/>
        </w:rPr>
        <w:t xml:space="preserve"> </w:t>
      </w:r>
    </w:p>
    <w:p w14:paraId="2E41B5FA">
      <w:pPr>
        <w:numPr>
          <w:ilvl w:val="0"/>
          <w:numId w:val="144"/>
        </w:numPr>
        <w:spacing w:line="360" w:lineRule="auto"/>
        <w:ind w:left="851"/>
        <w:jc w:val="left"/>
        <w:rPr>
          <w:rFonts w:ascii="黑体" w:hAnsi="黑体" w:cs="Arial"/>
          <w:szCs w:val="18"/>
        </w:rPr>
      </w:pPr>
      <w:r>
        <w:rPr>
          <w:rFonts w:ascii="黑体" w:hAnsi="黑体" w:cs="Arial"/>
          <w:szCs w:val="18"/>
        </w:rPr>
        <w:t xml:space="preserve">(4) </w:t>
      </w:r>
      <w:r>
        <w:rPr>
          <w:rFonts w:hint="eastAsia" w:ascii="黑体" w:hAnsi="黑体" w:cs="Arial"/>
          <w:szCs w:val="18"/>
        </w:rPr>
        <w:t>应有足够的宽度，厚度和密度以及足够的防火等级。</w:t>
      </w:r>
      <w:r>
        <w:rPr>
          <w:rFonts w:ascii="黑体" w:hAnsi="黑体" w:cs="Arial"/>
          <w:szCs w:val="18"/>
        </w:rPr>
        <w:t xml:space="preserve"> </w:t>
      </w:r>
    </w:p>
    <w:p w14:paraId="2B07D788">
      <w:pPr>
        <w:numPr>
          <w:ilvl w:val="0"/>
          <w:numId w:val="144"/>
        </w:numPr>
        <w:spacing w:line="360" w:lineRule="auto"/>
        <w:ind w:left="851"/>
        <w:jc w:val="left"/>
        <w:rPr>
          <w:rFonts w:ascii="黑体" w:hAnsi="黑体" w:cs="Arial"/>
          <w:szCs w:val="18"/>
        </w:rPr>
      </w:pPr>
      <w:r>
        <w:rPr>
          <w:rFonts w:ascii="黑体" w:hAnsi="黑体" w:cs="Arial"/>
          <w:szCs w:val="18"/>
        </w:rPr>
        <w:t xml:space="preserve">2.2.2 </w:t>
      </w:r>
      <w:r>
        <w:rPr>
          <w:rFonts w:hint="eastAsia" w:ascii="黑体" w:hAnsi="黑体" w:cs="Arial"/>
          <w:szCs w:val="18"/>
        </w:rPr>
        <w:t>防火封堵应该能抵抗可预制的撞击，不受水和潮气的影响，暴露在室外时能抵抗紫外线和霜冻。</w:t>
      </w:r>
      <w:r>
        <w:rPr>
          <w:rFonts w:ascii="黑体" w:hAnsi="黑体" w:cs="Arial"/>
          <w:szCs w:val="18"/>
        </w:rPr>
        <w:t xml:space="preserve"> </w:t>
      </w:r>
    </w:p>
    <w:p w14:paraId="6EA22C22">
      <w:pPr>
        <w:numPr>
          <w:ilvl w:val="0"/>
          <w:numId w:val="144"/>
        </w:numPr>
        <w:spacing w:line="360" w:lineRule="auto"/>
        <w:ind w:left="851"/>
        <w:jc w:val="left"/>
        <w:rPr>
          <w:rFonts w:ascii="黑体" w:hAnsi="黑体" w:cs="Arial"/>
          <w:szCs w:val="18"/>
        </w:rPr>
      </w:pPr>
      <w:r>
        <w:rPr>
          <w:rFonts w:ascii="黑体" w:hAnsi="黑体" w:cs="Arial"/>
          <w:szCs w:val="18"/>
        </w:rPr>
        <w:t xml:space="preserve">(1) </w:t>
      </w:r>
      <w:r>
        <w:rPr>
          <w:rFonts w:hint="eastAsia" w:ascii="黑体" w:hAnsi="黑体" w:cs="Arial"/>
          <w:szCs w:val="18"/>
        </w:rPr>
        <w:t>防火板基层材料：</w:t>
      </w:r>
      <w:r>
        <w:rPr>
          <w:rFonts w:ascii="黑体" w:hAnsi="黑体" w:cs="Arial"/>
          <w:szCs w:val="18"/>
        </w:rPr>
        <w:t xml:space="preserve"> </w:t>
      </w:r>
      <w:r>
        <w:rPr>
          <w:rFonts w:hint="eastAsia" w:ascii="黑体" w:hAnsi="黑体" w:cs="Arial"/>
          <w:szCs w:val="18"/>
        </w:rPr>
        <w:t>安全无晶面金属棉，作为防火板密封材料的衬备材料，满足</w:t>
      </w:r>
      <w:r>
        <w:rPr>
          <w:rFonts w:ascii="黑体" w:hAnsi="黑体" w:cs="Arial"/>
          <w:szCs w:val="18"/>
        </w:rPr>
        <w:t>A1</w:t>
      </w:r>
      <w:r>
        <w:rPr>
          <w:rFonts w:hint="eastAsia" w:ascii="黑体" w:hAnsi="黑体" w:cs="Arial"/>
          <w:szCs w:val="18"/>
        </w:rPr>
        <w:t>级防火要求。</w:t>
      </w:r>
    </w:p>
    <w:p w14:paraId="19B8373F">
      <w:pPr>
        <w:numPr>
          <w:ilvl w:val="0"/>
          <w:numId w:val="144"/>
        </w:numPr>
        <w:spacing w:line="360" w:lineRule="auto"/>
        <w:ind w:left="851"/>
        <w:jc w:val="left"/>
        <w:rPr>
          <w:rFonts w:ascii="黑体" w:hAnsi="黑体" w:cs="Arial"/>
          <w:szCs w:val="18"/>
        </w:rPr>
      </w:pPr>
      <w:r>
        <w:rPr>
          <w:rFonts w:ascii="黑体" w:hAnsi="黑体" w:cs="Arial"/>
          <w:szCs w:val="18"/>
        </w:rPr>
        <w:t xml:space="preserve">(2) </w:t>
      </w:r>
      <w:r>
        <w:rPr>
          <w:rFonts w:hint="eastAsia" w:ascii="黑体" w:hAnsi="黑体" w:cs="Arial"/>
          <w:szCs w:val="18"/>
        </w:rPr>
        <w:t>防火板缝封堵材料：单组分不膨胀的吸热材料。</w:t>
      </w:r>
    </w:p>
    <w:p w14:paraId="0CE840D3">
      <w:pPr>
        <w:numPr>
          <w:ilvl w:val="0"/>
          <w:numId w:val="144"/>
        </w:numPr>
        <w:spacing w:line="360" w:lineRule="auto"/>
        <w:ind w:left="851"/>
        <w:jc w:val="left"/>
        <w:rPr>
          <w:rFonts w:ascii="黑体" w:hAnsi="黑体" w:cs="Arial"/>
          <w:szCs w:val="18"/>
        </w:rPr>
      </w:pPr>
      <w:r>
        <w:rPr>
          <w:rFonts w:hint="eastAsia" w:ascii="黑体" w:hAnsi="黑体" w:cs="Arial"/>
          <w:szCs w:val="18"/>
        </w:rPr>
        <w:t>（</w:t>
      </w:r>
      <w:r>
        <w:rPr>
          <w:rFonts w:ascii="黑体" w:hAnsi="黑体" w:cs="Arial"/>
          <w:szCs w:val="18"/>
        </w:rPr>
        <w:t>3</w:t>
      </w:r>
      <w:r>
        <w:rPr>
          <w:rFonts w:hint="eastAsia" w:ascii="黑体" w:hAnsi="黑体" w:cs="Arial"/>
          <w:szCs w:val="18"/>
        </w:rPr>
        <w:t>）镀锌封板：</w:t>
      </w:r>
      <w:r>
        <w:rPr>
          <w:rFonts w:ascii="黑体" w:hAnsi="黑体" w:cs="Arial"/>
          <w:szCs w:val="18"/>
        </w:rPr>
        <w:t>1.0mm</w:t>
      </w:r>
      <w:r>
        <w:rPr>
          <w:rFonts w:hint="eastAsia" w:ascii="黑体" w:hAnsi="黑体" w:cs="Arial"/>
          <w:szCs w:val="18"/>
        </w:rPr>
        <w:t>厚的无花热浸镀锌钢板</w:t>
      </w:r>
    </w:p>
    <w:p w14:paraId="4EDF4E1C">
      <w:pPr>
        <w:numPr>
          <w:ilvl w:val="0"/>
          <w:numId w:val="144"/>
        </w:numPr>
        <w:spacing w:line="360" w:lineRule="auto"/>
        <w:ind w:left="851"/>
        <w:jc w:val="left"/>
        <w:rPr>
          <w:rFonts w:ascii="黑体" w:hAnsi="黑体" w:cs="Arial"/>
          <w:szCs w:val="18"/>
        </w:rPr>
      </w:pPr>
      <w:r>
        <w:rPr>
          <w:rFonts w:ascii="黑体" w:hAnsi="黑体" w:cs="Arial"/>
          <w:szCs w:val="18"/>
        </w:rPr>
        <w:t xml:space="preserve">2.2.3 </w:t>
      </w:r>
      <w:r>
        <w:rPr>
          <w:rFonts w:hint="eastAsia" w:ascii="黑体" w:hAnsi="黑体" w:cs="Arial"/>
          <w:szCs w:val="18"/>
        </w:rPr>
        <w:t>灰砂胶泥</w:t>
      </w:r>
      <w:r>
        <w:rPr>
          <w:rFonts w:ascii="黑体" w:hAnsi="黑体" w:cs="Arial"/>
          <w:szCs w:val="18"/>
        </w:rPr>
        <w:t xml:space="preserve"> </w:t>
      </w:r>
    </w:p>
    <w:p w14:paraId="2F00FEC7">
      <w:pPr>
        <w:numPr>
          <w:ilvl w:val="0"/>
          <w:numId w:val="144"/>
        </w:numPr>
        <w:spacing w:line="360" w:lineRule="auto"/>
        <w:ind w:left="851"/>
        <w:jc w:val="left"/>
        <w:rPr>
          <w:rFonts w:ascii="黑体" w:hAnsi="黑体" w:cs="Arial"/>
          <w:szCs w:val="18"/>
        </w:rPr>
      </w:pPr>
      <w:r>
        <w:rPr>
          <w:rFonts w:hint="eastAsia" w:ascii="黑体" w:hAnsi="黑体" w:cs="Arial"/>
          <w:szCs w:val="18"/>
        </w:rPr>
        <w:t>水基，不收缩灰浆，可至少延伸体积的</w:t>
      </w:r>
      <w:r>
        <w:rPr>
          <w:rFonts w:ascii="黑体" w:hAnsi="黑体" w:cs="Arial"/>
          <w:szCs w:val="18"/>
        </w:rPr>
        <w:t xml:space="preserve"> 3%</w:t>
      </w:r>
      <w:r>
        <w:rPr>
          <w:rFonts w:hint="eastAsia" w:ascii="黑体" w:hAnsi="黑体" w:cs="Arial"/>
          <w:szCs w:val="18"/>
        </w:rPr>
        <w:t>，密度为</w:t>
      </w:r>
      <w:r>
        <w:rPr>
          <w:rFonts w:ascii="黑体" w:hAnsi="黑体" w:cs="Arial"/>
          <w:szCs w:val="18"/>
        </w:rPr>
        <w:t xml:space="preserve"> 560~600kg/m3 , </w:t>
      </w:r>
      <w:r>
        <w:rPr>
          <w:rFonts w:hint="eastAsia" w:ascii="黑体" w:hAnsi="黑体" w:cs="Arial"/>
          <w:szCs w:val="18"/>
        </w:rPr>
        <w:t>厚度根据</w:t>
      </w:r>
      <w:r>
        <w:rPr>
          <w:rFonts w:ascii="黑体" w:hAnsi="黑体" w:cs="Arial"/>
          <w:szCs w:val="18"/>
        </w:rPr>
        <w:t xml:space="preserve"> </w:t>
      </w:r>
      <w:r>
        <w:rPr>
          <w:rFonts w:hint="eastAsia" w:ascii="黑体" w:hAnsi="黑体" w:cs="Arial"/>
          <w:szCs w:val="18"/>
        </w:rPr>
        <w:t>防火要求，但不小于</w:t>
      </w:r>
      <w:r>
        <w:rPr>
          <w:rFonts w:ascii="黑体" w:hAnsi="黑体" w:cs="Arial"/>
          <w:szCs w:val="18"/>
        </w:rPr>
        <w:t xml:space="preserve"> 100mm</w:t>
      </w:r>
      <w:r>
        <w:rPr>
          <w:rFonts w:hint="eastAsia" w:ascii="黑体" w:hAnsi="黑体" w:cs="Arial"/>
          <w:szCs w:val="18"/>
        </w:rPr>
        <w:t>。</w:t>
      </w:r>
    </w:p>
    <w:p w14:paraId="103F5ED7">
      <w:pPr>
        <w:numPr>
          <w:ilvl w:val="0"/>
          <w:numId w:val="144"/>
        </w:numPr>
        <w:spacing w:line="360" w:lineRule="auto"/>
        <w:ind w:left="851"/>
        <w:jc w:val="left"/>
        <w:rPr>
          <w:rFonts w:ascii="黑体" w:hAnsi="黑体" w:cs="Arial"/>
          <w:szCs w:val="18"/>
        </w:rPr>
      </w:pPr>
      <w:r>
        <w:rPr>
          <w:rFonts w:ascii="黑体" w:hAnsi="黑体" w:cs="Arial"/>
          <w:szCs w:val="18"/>
        </w:rPr>
        <w:t xml:space="preserve">2.2.4 </w:t>
      </w:r>
      <w:r>
        <w:rPr>
          <w:rFonts w:hint="eastAsia" w:ascii="黑体" w:hAnsi="黑体" w:cs="Arial"/>
          <w:szCs w:val="18"/>
        </w:rPr>
        <w:t>膨胀型防火密封剂：单一组分硅树脂弹性化合物，以及兼容的硅树脂密封剂。可用作防火、防烟和防水挡板的材料，以用作填充细小贯穿件和缝隙、密封板状和条状组件周边的材料。应在可能的情况下使用水基性、防下垂和自调平的型号。应具备膨胀倍率不小于</w:t>
      </w:r>
      <w:r>
        <w:rPr>
          <w:rFonts w:ascii="黑体" w:hAnsi="黑体" w:cs="Arial"/>
          <w:szCs w:val="18"/>
        </w:rPr>
        <w:t xml:space="preserve">5 </w:t>
      </w:r>
      <w:r>
        <w:rPr>
          <w:rFonts w:hint="eastAsia" w:ascii="黑体" w:hAnsi="黑体" w:cs="Arial"/>
          <w:szCs w:val="18"/>
        </w:rPr>
        <w:t>倍的热膨胀性能。</w:t>
      </w:r>
    </w:p>
    <w:p w14:paraId="634FE0A3">
      <w:pPr>
        <w:numPr>
          <w:ilvl w:val="0"/>
          <w:numId w:val="144"/>
        </w:numPr>
        <w:spacing w:line="360" w:lineRule="auto"/>
        <w:ind w:left="851"/>
        <w:jc w:val="left"/>
        <w:rPr>
          <w:rFonts w:ascii="黑体" w:hAnsi="黑体" w:cs="Arial"/>
          <w:szCs w:val="18"/>
        </w:rPr>
      </w:pPr>
      <w:r>
        <w:rPr>
          <w:rFonts w:ascii="黑体" w:hAnsi="黑体" w:cs="Arial"/>
          <w:szCs w:val="18"/>
        </w:rPr>
        <w:t xml:space="preserve">2.2.5 </w:t>
      </w:r>
      <w:r>
        <w:rPr>
          <w:rFonts w:hint="eastAsia" w:ascii="黑体" w:hAnsi="黑体" w:cs="Arial"/>
          <w:szCs w:val="18"/>
        </w:rPr>
        <w:t>发泡防火材料：多组分发泡化合物，防火纤维板，膨胀化合物。除非特别说明，</w:t>
      </w:r>
      <w:r>
        <w:rPr>
          <w:rFonts w:ascii="黑体" w:hAnsi="黑体" w:cs="Arial"/>
          <w:szCs w:val="18"/>
        </w:rPr>
        <w:t xml:space="preserve"> </w:t>
      </w:r>
      <w:r>
        <w:rPr>
          <w:rFonts w:hint="eastAsia" w:ascii="黑体" w:hAnsi="黑体" w:cs="Arial"/>
          <w:szCs w:val="18"/>
        </w:rPr>
        <w:t>用在贯穿件防火、防烟、防水密封的情况。</w:t>
      </w:r>
    </w:p>
    <w:p w14:paraId="0B1AC74D">
      <w:pPr>
        <w:numPr>
          <w:ilvl w:val="0"/>
          <w:numId w:val="144"/>
        </w:numPr>
        <w:spacing w:line="360" w:lineRule="auto"/>
        <w:ind w:left="851"/>
        <w:jc w:val="left"/>
        <w:rPr>
          <w:rFonts w:ascii="黑体" w:hAnsi="黑体" w:cs="Arial"/>
          <w:szCs w:val="18"/>
        </w:rPr>
      </w:pPr>
      <w:r>
        <w:rPr>
          <w:rFonts w:ascii="黑体" w:hAnsi="黑体" w:cs="Arial"/>
          <w:szCs w:val="18"/>
        </w:rPr>
        <w:t xml:space="preserve"> 2.2.6 </w:t>
      </w:r>
      <w:r>
        <w:rPr>
          <w:rFonts w:hint="eastAsia" w:ascii="黑体" w:hAnsi="黑体" w:cs="Arial"/>
          <w:szCs w:val="18"/>
        </w:rPr>
        <w:t>膨胀油灰：化合物暴露于表面吸热的情况下会膨胀。当材料遇火产生空隙时</w:t>
      </w:r>
      <w:r>
        <w:rPr>
          <w:rFonts w:ascii="黑体" w:hAnsi="黑体" w:cs="Arial"/>
          <w:szCs w:val="18"/>
        </w:rPr>
        <w:t xml:space="preserve"> </w:t>
      </w:r>
      <w:r>
        <w:rPr>
          <w:rFonts w:hint="eastAsia" w:ascii="黑体" w:hAnsi="黑体" w:cs="Arial"/>
          <w:szCs w:val="18"/>
        </w:rPr>
        <w:t>可进行防火封堵，可用在防火、防烟、防水的管道、套管线缆或类似的情况下。金</w:t>
      </w:r>
      <w:r>
        <w:rPr>
          <w:rFonts w:ascii="黑体" w:hAnsi="黑体" w:cs="Arial"/>
          <w:szCs w:val="18"/>
        </w:rPr>
        <w:t xml:space="preserve"> </w:t>
      </w:r>
      <w:r>
        <w:rPr>
          <w:rFonts w:hint="eastAsia" w:ascii="黑体" w:hAnsi="黑体" w:cs="Arial"/>
          <w:szCs w:val="18"/>
        </w:rPr>
        <w:t>属套圈、夹具和类似的固定</w:t>
      </w:r>
      <w:r>
        <w:rPr>
          <w:rFonts w:ascii="黑体" w:hAnsi="黑体" w:cs="Arial"/>
          <w:szCs w:val="18"/>
        </w:rPr>
        <w:t>/</w:t>
      </w:r>
      <w:r>
        <w:rPr>
          <w:rFonts w:hint="eastAsia" w:ascii="黑体" w:hAnsi="黑体" w:cs="Arial"/>
          <w:szCs w:val="18"/>
        </w:rPr>
        <w:t>支撑设备应符合制造</w:t>
      </w:r>
      <w:bookmarkStart w:id="205" w:name="_GoBack"/>
      <w:r>
        <w:rPr>
          <w:rFonts w:hint="eastAsia" w:ascii="黑体" w:hAnsi="黑体" w:cs="Arial"/>
          <w:szCs w:val="18"/>
        </w:rPr>
        <w:t>商标</w:t>
      </w:r>
      <w:bookmarkEnd w:id="205"/>
      <w:r>
        <w:rPr>
          <w:rFonts w:hint="eastAsia" w:ascii="黑体" w:hAnsi="黑体" w:cs="Arial"/>
          <w:szCs w:val="18"/>
        </w:rPr>
        <w:t>准，并与整体测试和列表一致。</w:t>
      </w:r>
      <w:r>
        <w:rPr>
          <w:rFonts w:ascii="黑体" w:hAnsi="黑体" w:cs="Arial"/>
          <w:szCs w:val="18"/>
        </w:rPr>
        <w:t xml:space="preserve"> </w:t>
      </w:r>
    </w:p>
    <w:p w14:paraId="75608B81">
      <w:pPr>
        <w:numPr>
          <w:ilvl w:val="0"/>
          <w:numId w:val="144"/>
        </w:numPr>
        <w:spacing w:line="360" w:lineRule="auto"/>
        <w:ind w:left="851"/>
        <w:jc w:val="left"/>
        <w:rPr>
          <w:rFonts w:ascii="黑体" w:hAnsi="黑体" w:cs="Arial"/>
          <w:szCs w:val="18"/>
        </w:rPr>
      </w:pPr>
      <w:r>
        <w:rPr>
          <w:rFonts w:ascii="黑体" w:hAnsi="黑体" w:cs="Arial"/>
          <w:szCs w:val="18"/>
        </w:rPr>
        <w:t xml:space="preserve">2.2.7 </w:t>
      </w:r>
      <w:r>
        <w:rPr>
          <w:rFonts w:hint="eastAsia" w:ascii="黑体" w:hAnsi="黑体" w:cs="Arial"/>
          <w:szCs w:val="18"/>
        </w:rPr>
        <w:t>免维护、可反复贯穿的膨胀防火砖</w:t>
      </w:r>
      <w:r>
        <w:rPr>
          <w:rFonts w:ascii="黑体" w:hAnsi="黑体" w:cs="Arial"/>
          <w:szCs w:val="18"/>
        </w:rPr>
        <w:t>/</w:t>
      </w:r>
      <w:r>
        <w:rPr>
          <w:rFonts w:hint="eastAsia" w:ascii="黑体" w:hAnsi="黑体" w:cs="Arial"/>
          <w:szCs w:val="18"/>
        </w:rPr>
        <w:t>枕：用于大尺寸</w:t>
      </w:r>
      <w:r>
        <w:rPr>
          <w:rFonts w:ascii="黑体" w:hAnsi="黑体" w:cs="Arial"/>
          <w:szCs w:val="18"/>
        </w:rPr>
        <w:t>/</w:t>
      </w:r>
      <w:r>
        <w:rPr>
          <w:rFonts w:hint="eastAsia" w:ascii="黑体" w:hAnsi="黑体" w:cs="Arial"/>
          <w:szCs w:val="18"/>
        </w:rPr>
        <w:t>组合贯穿件的防火与防烟密封。</w:t>
      </w:r>
      <w:r>
        <w:rPr>
          <w:rFonts w:ascii="黑体" w:hAnsi="黑体" w:cs="Arial"/>
          <w:szCs w:val="18"/>
        </w:rPr>
        <w:t xml:space="preserve"> </w:t>
      </w:r>
    </w:p>
    <w:p w14:paraId="6D090A58">
      <w:pPr>
        <w:numPr>
          <w:ilvl w:val="0"/>
          <w:numId w:val="144"/>
        </w:numPr>
        <w:spacing w:line="360" w:lineRule="auto"/>
        <w:ind w:left="851"/>
        <w:jc w:val="left"/>
        <w:rPr>
          <w:rFonts w:ascii="黑体" w:hAnsi="黑体" w:cs="Arial"/>
          <w:szCs w:val="18"/>
        </w:rPr>
      </w:pPr>
      <w:r>
        <w:rPr>
          <w:rFonts w:ascii="黑体" w:hAnsi="黑体" w:cs="Arial"/>
          <w:szCs w:val="18"/>
        </w:rPr>
        <w:t xml:space="preserve">2.2.8 </w:t>
      </w:r>
      <w:r>
        <w:rPr>
          <w:rFonts w:hint="eastAsia" w:ascii="黑体" w:hAnsi="黑体" w:cs="Arial"/>
          <w:szCs w:val="18"/>
        </w:rPr>
        <w:t>自黏合、可成型</w:t>
      </w:r>
      <w:r>
        <w:rPr>
          <w:rFonts w:ascii="黑体" w:hAnsi="黑体" w:cs="Arial"/>
          <w:szCs w:val="18"/>
        </w:rPr>
        <w:t>/</w:t>
      </w:r>
      <w:r>
        <w:rPr>
          <w:rFonts w:hint="eastAsia" w:ascii="黑体" w:hAnsi="黑体" w:cs="Arial"/>
          <w:szCs w:val="18"/>
        </w:rPr>
        <w:t>可模压膨胀板：用于电气接线盒的防火与防烟密封（应背靠背安装，并保持不超过</w:t>
      </w:r>
      <w:r>
        <w:rPr>
          <w:rFonts w:ascii="黑体" w:hAnsi="黑体" w:cs="Arial"/>
          <w:szCs w:val="18"/>
        </w:rPr>
        <w:t xml:space="preserve"> 60 </w:t>
      </w:r>
      <w:r>
        <w:rPr>
          <w:rFonts w:hint="eastAsia" w:ascii="黑体" w:hAnsi="黑体" w:cs="Arial"/>
          <w:szCs w:val="18"/>
        </w:rPr>
        <w:t>厘米的水平距离）。</w:t>
      </w:r>
    </w:p>
    <w:p w14:paraId="209BC038">
      <w:pPr>
        <w:numPr>
          <w:ilvl w:val="0"/>
          <w:numId w:val="144"/>
        </w:numPr>
        <w:spacing w:line="360" w:lineRule="auto"/>
        <w:ind w:left="851"/>
        <w:jc w:val="left"/>
        <w:rPr>
          <w:rFonts w:ascii="黑体" w:hAnsi="黑体" w:cs="Arial"/>
          <w:szCs w:val="18"/>
        </w:rPr>
      </w:pPr>
      <w:r>
        <w:rPr>
          <w:rFonts w:ascii="黑体" w:hAnsi="黑体" w:cs="Arial"/>
          <w:szCs w:val="18"/>
        </w:rPr>
        <w:t xml:space="preserve">2.2.9 </w:t>
      </w:r>
      <w:r>
        <w:rPr>
          <w:rFonts w:hint="eastAsia" w:ascii="黑体" w:hAnsi="黑体" w:cs="Arial"/>
          <w:szCs w:val="18"/>
        </w:rPr>
        <w:t>可喷涂的膨胀涂层：用于墙面顶部的防火封堵，以及类似的施工缝应用。</w:t>
      </w:r>
    </w:p>
    <w:p w14:paraId="23EE3F22">
      <w:pPr>
        <w:numPr>
          <w:ilvl w:val="0"/>
          <w:numId w:val="144"/>
        </w:numPr>
        <w:spacing w:line="360" w:lineRule="auto"/>
        <w:ind w:left="851"/>
        <w:jc w:val="left"/>
        <w:rPr>
          <w:rFonts w:ascii="黑体" w:hAnsi="黑体" w:cs="Arial"/>
          <w:szCs w:val="18"/>
        </w:rPr>
      </w:pPr>
      <w:r>
        <w:rPr>
          <w:rFonts w:ascii="黑体" w:hAnsi="黑体" w:cs="Arial"/>
          <w:szCs w:val="18"/>
        </w:rPr>
        <w:t xml:space="preserve">2.2.10 </w:t>
      </w:r>
      <w:r>
        <w:rPr>
          <w:rFonts w:hint="eastAsia" w:ascii="黑体" w:hAnsi="黑体" w:cs="Arial"/>
          <w:szCs w:val="18"/>
        </w:rPr>
        <w:t>挡板和其他材料：厚度不小于</w:t>
      </w:r>
      <w:r>
        <w:rPr>
          <w:rFonts w:ascii="黑体" w:hAnsi="黑体" w:cs="Arial"/>
          <w:szCs w:val="18"/>
        </w:rPr>
        <w:t>1.0mm</w:t>
      </w:r>
      <w:r>
        <w:rPr>
          <w:rFonts w:hint="eastAsia" w:ascii="黑体" w:hAnsi="黑体" w:cs="Arial"/>
          <w:szCs w:val="18"/>
        </w:rPr>
        <w:t>的金属无花热浸镀锌板。</w:t>
      </w:r>
      <w:r>
        <w:rPr>
          <w:rFonts w:ascii="黑体" w:hAnsi="黑体" w:cs="Arial"/>
          <w:szCs w:val="18"/>
        </w:rPr>
        <w:t xml:space="preserve"> </w:t>
      </w:r>
    </w:p>
    <w:p w14:paraId="56BDE4D9">
      <w:pPr>
        <w:numPr>
          <w:ilvl w:val="0"/>
          <w:numId w:val="144"/>
        </w:numPr>
        <w:spacing w:line="360" w:lineRule="auto"/>
        <w:ind w:left="851"/>
        <w:jc w:val="left"/>
        <w:rPr>
          <w:rFonts w:ascii="黑体" w:hAnsi="黑体" w:cs="Arial"/>
          <w:szCs w:val="18"/>
        </w:rPr>
      </w:pPr>
      <w:r>
        <w:rPr>
          <w:rFonts w:ascii="黑体" w:hAnsi="黑体" w:cs="Arial"/>
          <w:szCs w:val="18"/>
        </w:rPr>
        <w:t xml:space="preserve">2.2.11 </w:t>
      </w:r>
      <w:r>
        <w:rPr>
          <w:rFonts w:hint="eastAsia" w:ascii="黑体" w:hAnsi="黑体" w:cs="Arial"/>
          <w:szCs w:val="18"/>
        </w:rPr>
        <w:t>底涂、套管、泡沫、绝缘层、包装、填充物和附件：应符合测试的要求。</w:t>
      </w:r>
      <w:r>
        <w:rPr>
          <w:rFonts w:ascii="黑体" w:hAnsi="黑体" w:cs="Arial"/>
          <w:szCs w:val="18"/>
        </w:rPr>
        <w:t xml:space="preserve"> </w:t>
      </w:r>
    </w:p>
    <w:p w14:paraId="59FD3D39">
      <w:pPr>
        <w:numPr>
          <w:ilvl w:val="0"/>
          <w:numId w:val="144"/>
        </w:numPr>
        <w:spacing w:line="360" w:lineRule="auto"/>
        <w:ind w:left="851"/>
        <w:jc w:val="left"/>
        <w:rPr>
          <w:rFonts w:ascii="黑体" w:hAnsi="黑体" w:cs="Arial"/>
          <w:szCs w:val="18"/>
        </w:rPr>
      </w:pPr>
      <w:r>
        <w:rPr>
          <w:rFonts w:ascii="黑体" w:hAnsi="黑体" w:cs="Arial"/>
          <w:szCs w:val="18"/>
        </w:rPr>
        <w:t xml:space="preserve">2.3 </w:t>
      </w:r>
      <w:r>
        <w:rPr>
          <w:rFonts w:hint="eastAsia" w:ascii="黑体" w:hAnsi="黑体" w:cs="Arial"/>
          <w:szCs w:val="18"/>
        </w:rPr>
        <w:t>烟雾屏蔽（挡烟垂壁）材料</w:t>
      </w:r>
      <w:r>
        <w:rPr>
          <w:rFonts w:ascii="黑体" w:hAnsi="黑体" w:cs="Arial"/>
          <w:szCs w:val="18"/>
        </w:rPr>
        <w:t xml:space="preserve"> </w:t>
      </w:r>
    </w:p>
    <w:p w14:paraId="4054AF72">
      <w:pPr>
        <w:numPr>
          <w:ilvl w:val="0"/>
          <w:numId w:val="144"/>
        </w:numPr>
        <w:spacing w:line="360" w:lineRule="auto"/>
        <w:ind w:left="851"/>
        <w:jc w:val="left"/>
        <w:rPr>
          <w:rFonts w:ascii="黑体" w:hAnsi="黑体" w:cs="Arial"/>
          <w:szCs w:val="18"/>
        </w:rPr>
      </w:pPr>
      <w:r>
        <w:rPr>
          <w:rFonts w:ascii="黑体" w:hAnsi="黑体" w:cs="Arial"/>
          <w:szCs w:val="18"/>
        </w:rPr>
        <w:t xml:space="preserve">2.3.1 </w:t>
      </w:r>
      <w:r>
        <w:rPr>
          <w:rFonts w:hint="eastAsia" w:ascii="黑体" w:hAnsi="黑体" w:cs="Arial"/>
          <w:szCs w:val="18"/>
        </w:rPr>
        <w:t>挡烟垂壁应采用不燃材料制作。</w:t>
      </w:r>
      <w:r>
        <w:rPr>
          <w:rFonts w:ascii="黑体" w:hAnsi="黑体" w:cs="Arial"/>
          <w:szCs w:val="18"/>
        </w:rPr>
        <w:t xml:space="preserve"> </w:t>
      </w:r>
    </w:p>
    <w:p w14:paraId="643F3DD1">
      <w:pPr>
        <w:numPr>
          <w:ilvl w:val="0"/>
          <w:numId w:val="144"/>
        </w:numPr>
        <w:spacing w:line="360" w:lineRule="auto"/>
        <w:ind w:left="851"/>
        <w:jc w:val="left"/>
        <w:rPr>
          <w:rFonts w:ascii="黑体" w:hAnsi="黑体" w:cs="Arial"/>
          <w:szCs w:val="18"/>
        </w:rPr>
      </w:pPr>
      <w:r>
        <w:rPr>
          <w:rFonts w:ascii="黑体" w:hAnsi="黑体" w:cs="Arial"/>
          <w:szCs w:val="18"/>
        </w:rPr>
        <w:t xml:space="preserve">2.3.2 </w:t>
      </w:r>
      <w:r>
        <w:rPr>
          <w:rFonts w:hint="eastAsia" w:ascii="黑体" w:hAnsi="黑体" w:cs="Arial"/>
          <w:szCs w:val="18"/>
        </w:rPr>
        <w:t>制作挡烟垂壁的金属板材的厚度不应小于</w:t>
      </w:r>
      <w:r>
        <w:rPr>
          <w:rFonts w:ascii="黑体" w:hAnsi="黑体" w:cs="Arial"/>
          <w:szCs w:val="18"/>
        </w:rPr>
        <w:t xml:space="preserve"> 0.8mm</w:t>
      </w:r>
      <w:r>
        <w:rPr>
          <w:rFonts w:hint="eastAsia" w:ascii="黑体" w:hAnsi="黑体" w:cs="Arial"/>
          <w:szCs w:val="18"/>
        </w:rPr>
        <w:t>，其熔点不应低于</w:t>
      </w:r>
      <w:r>
        <w:rPr>
          <w:rFonts w:ascii="黑体" w:hAnsi="黑体" w:cs="Arial"/>
          <w:szCs w:val="18"/>
        </w:rPr>
        <w:t xml:space="preserve"> 750</w:t>
      </w:r>
      <w:r>
        <w:rPr>
          <w:rFonts w:hint="eastAsia" w:ascii="黑体" w:hAnsi="黑体" w:cs="Arial"/>
          <w:szCs w:val="18"/>
        </w:rPr>
        <w:t>℃。</w:t>
      </w:r>
    </w:p>
    <w:p w14:paraId="7D768ECB">
      <w:pPr>
        <w:numPr>
          <w:ilvl w:val="0"/>
          <w:numId w:val="144"/>
        </w:numPr>
        <w:spacing w:line="360" w:lineRule="auto"/>
        <w:ind w:left="851"/>
        <w:jc w:val="left"/>
        <w:rPr>
          <w:rFonts w:ascii="黑体" w:hAnsi="黑体" w:cs="Arial"/>
          <w:szCs w:val="18"/>
        </w:rPr>
      </w:pPr>
      <w:r>
        <w:rPr>
          <w:rFonts w:ascii="黑体" w:hAnsi="黑体" w:cs="Arial"/>
          <w:szCs w:val="18"/>
        </w:rPr>
        <w:t xml:space="preserve">2.3.3 </w:t>
      </w:r>
      <w:r>
        <w:rPr>
          <w:rFonts w:hint="eastAsia" w:ascii="黑体" w:hAnsi="黑体" w:cs="Arial"/>
          <w:szCs w:val="18"/>
        </w:rPr>
        <w:t>制作挡烟垂壁的不燃无机复合板的厚度不应小于</w:t>
      </w:r>
      <w:r>
        <w:rPr>
          <w:rFonts w:ascii="黑体" w:hAnsi="黑体" w:cs="Arial"/>
          <w:szCs w:val="18"/>
        </w:rPr>
        <w:t xml:space="preserve"> 10mm</w:t>
      </w:r>
      <w:r>
        <w:rPr>
          <w:rFonts w:hint="eastAsia" w:ascii="黑体" w:hAnsi="黑体" w:cs="Arial"/>
          <w:szCs w:val="18"/>
        </w:rPr>
        <w:t>，其性能应符合</w:t>
      </w:r>
      <w:r>
        <w:rPr>
          <w:rFonts w:ascii="黑体" w:hAnsi="黑体" w:cs="Arial"/>
          <w:szCs w:val="18"/>
        </w:rPr>
        <w:t xml:space="preserve"> GB25970 </w:t>
      </w:r>
      <w:r>
        <w:rPr>
          <w:rFonts w:hint="eastAsia" w:ascii="黑体" w:hAnsi="黑体" w:cs="Arial"/>
          <w:szCs w:val="18"/>
        </w:rPr>
        <w:t>的规定。</w:t>
      </w:r>
      <w:r>
        <w:rPr>
          <w:rFonts w:ascii="黑体" w:hAnsi="黑体" w:cs="Arial"/>
          <w:szCs w:val="18"/>
        </w:rPr>
        <w:t xml:space="preserve"> </w:t>
      </w:r>
    </w:p>
    <w:p w14:paraId="558172F8">
      <w:pPr>
        <w:numPr>
          <w:ilvl w:val="0"/>
          <w:numId w:val="144"/>
        </w:numPr>
        <w:spacing w:line="360" w:lineRule="auto"/>
        <w:ind w:left="851"/>
        <w:jc w:val="left"/>
        <w:rPr>
          <w:rFonts w:ascii="黑体" w:hAnsi="黑体" w:cs="Arial"/>
          <w:szCs w:val="18"/>
        </w:rPr>
      </w:pPr>
      <w:r>
        <w:rPr>
          <w:rFonts w:ascii="黑体" w:hAnsi="黑体" w:cs="Arial"/>
          <w:szCs w:val="18"/>
        </w:rPr>
        <w:t xml:space="preserve">2.3.4 </w:t>
      </w:r>
      <w:r>
        <w:rPr>
          <w:rFonts w:hint="eastAsia" w:ascii="黑体" w:hAnsi="黑体" w:cs="Arial"/>
          <w:szCs w:val="18"/>
        </w:rPr>
        <w:t>制作挡烟垂壁的无机纤维织物的拉伸断裂强力经向不应低于</w:t>
      </w:r>
      <w:r>
        <w:rPr>
          <w:rFonts w:ascii="黑体" w:hAnsi="黑体" w:cs="Arial"/>
          <w:szCs w:val="18"/>
        </w:rPr>
        <w:t xml:space="preserve"> 600N</w:t>
      </w:r>
      <w:r>
        <w:rPr>
          <w:rFonts w:hint="eastAsia" w:ascii="黑体" w:hAnsi="黑体" w:cs="Arial"/>
          <w:szCs w:val="18"/>
        </w:rPr>
        <w:t>，纬向不应</w:t>
      </w:r>
      <w:r>
        <w:rPr>
          <w:rFonts w:ascii="黑体" w:hAnsi="黑体" w:cs="Arial"/>
          <w:szCs w:val="18"/>
        </w:rPr>
        <w:t xml:space="preserve"> </w:t>
      </w:r>
      <w:r>
        <w:rPr>
          <w:rFonts w:hint="eastAsia" w:ascii="黑体" w:hAnsi="黑体" w:cs="Arial"/>
          <w:szCs w:val="18"/>
        </w:rPr>
        <w:t>低于</w:t>
      </w:r>
      <w:r>
        <w:rPr>
          <w:rFonts w:ascii="黑体" w:hAnsi="黑体" w:cs="Arial"/>
          <w:szCs w:val="18"/>
        </w:rPr>
        <w:t xml:space="preserve"> 300N</w:t>
      </w:r>
      <w:r>
        <w:rPr>
          <w:rFonts w:hint="eastAsia" w:ascii="黑体" w:hAnsi="黑体" w:cs="Arial"/>
          <w:szCs w:val="18"/>
        </w:rPr>
        <w:t>，其燃烧性能不应低于</w:t>
      </w:r>
      <w:r>
        <w:rPr>
          <w:rFonts w:ascii="黑体" w:hAnsi="黑体" w:cs="Arial"/>
          <w:szCs w:val="18"/>
        </w:rPr>
        <w:t xml:space="preserve"> GB8624A </w:t>
      </w:r>
      <w:r>
        <w:rPr>
          <w:rFonts w:hint="eastAsia" w:ascii="黑体" w:hAnsi="黑体" w:cs="Arial"/>
          <w:szCs w:val="18"/>
        </w:rPr>
        <w:t>级。</w:t>
      </w:r>
      <w:r>
        <w:rPr>
          <w:rFonts w:ascii="黑体" w:hAnsi="黑体" w:cs="Arial"/>
          <w:szCs w:val="18"/>
        </w:rPr>
        <w:t xml:space="preserve"> 2.3.5 </w:t>
      </w:r>
      <w:r>
        <w:rPr>
          <w:rFonts w:hint="eastAsia" w:ascii="黑体" w:hAnsi="黑体" w:cs="Arial"/>
          <w:szCs w:val="18"/>
        </w:rPr>
        <w:t>制作挡烟垂壁的玻璃材料应为防火玻璃，其性能应符合</w:t>
      </w:r>
      <w:r>
        <w:rPr>
          <w:rFonts w:ascii="黑体" w:hAnsi="黑体" w:cs="Arial"/>
          <w:szCs w:val="18"/>
        </w:rPr>
        <w:t xml:space="preserve"> GB15763.1 </w:t>
      </w:r>
      <w:r>
        <w:rPr>
          <w:rFonts w:hint="eastAsia" w:ascii="黑体" w:hAnsi="黑体" w:cs="Arial"/>
          <w:szCs w:val="18"/>
        </w:rPr>
        <w:t>的规定。</w:t>
      </w:r>
      <w:r>
        <w:rPr>
          <w:rFonts w:ascii="黑体" w:hAnsi="黑体" w:cs="Arial"/>
          <w:szCs w:val="18"/>
        </w:rPr>
        <w:t xml:space="preserve"> </w:t>
      </w:r>
    </w:p>
    <w:p w14:paraId="16F44295">
      <w:pPr>
        <w:numPr>
          <w:ilvl w:val="0"/>
          <w:numId w:val="144"/>
        </w:numPr>
        <w:spacing w:line="360" w:lineRule="auto"/>
        <w:ind w:left="851"/>
        <w:jc w:val="left"/>
        <w:rPr>
          <w:rFonts w:ascii="黑体" w:hAnsi="黑体" w:cs="Arial"/>
          <w:szCs w:val="18"/>
        </w:rPr>
      </w:pPr>
      <w:r>
        <w:rPr>
          <w:rFonts w:ascii="黑体" w:hAnsi="黑体" w:cs="Arial"/>
          <w:szCs w:val="18"/>
        </w:rPr>
        <w:t xml:space="preserve">2.3.6 </w:t>
      </w:r>
      <w:r>
        <w:rPr>
          <w:rFonts w:hint="eastAsia" w:ascii="黑体" w:hAnsi="黑体" w:cs="Arial"/>
          <w:szCs w:val="18"/>
        </w:rPr>
        <w:t>挡烟垂壁的高度应符合设计值，最大值不应大于制造商申请检测产品型号的</w:t>
      </w:r>
      <w:r>
        <w:rPr>
          <w:rFonts w:ascii="黑体" w:hAnsi="黑体" w:cs="Arial"/>
          <w:szCs w:val="18"/>
        </w:rPr>
        <w:t xml:space="preserve"> </w:t>
      </w:r>
      <w:r>
        <w:rPr>
          <w:rFonts w:hint="eastAsia" w:ascii="黑体" w:hAnsi="黑体" w:cs="Arial"/>
          <w:szCs w:val="18"/>
        </w:rPr>
        <w:t>公示值。</w:t>
      </w:r>
      <w:r>
        <w:rPr>
          <w:rFonts w:ascii="黑体" w:hAnsi="黑体" w:cs="Arial"/>
          <w:szCs w:val="18"/>
        </w:rPr>
        <w:t xml:space="preserve"> </w:t>
      </w:r>
    </w:p>
    <w:p w14:paraId="36C2BA97">
      <w:pPr>
        <w:numPr>
          <w:ilvl w:val="0"/>
          <w:numId w:val="144"/>
        </w:numPr>
        <w:spacing w:line="360" w:lineRule="auto"/>
        <w:ind w:left="851"/>
        <w:jc w:val="left"/>
        <w:rPr>
          <w:rFonts w:ascii="黑体" w:hAnsi="黑体" w:cs="Arial"/>
          <w:szCs w:val="18"/>
        </w:rPr>
      </w:pPr>
      <w:r>
        <w:rPr>
          <w:rFonts w:ascii="黑体" w:hAnsi="黑体" w:cs="Arial"/>
          <w:szCs w:val="18"/>
        </w:rPr>
        <w:t xml:space="preserve">2.3.7 </w:t>
      </w:r>
      <w:r>
        <w:rPr>
          <w:rFonts w:hint="eastAsia" w:ascii="黑体" w:hAnsi="黑体" w:cs="Arial"/>
          <w:szCs w:val="18"/>
        </w:rPr>
        <w:t>采用不燃无机复合板、金属板材、防火玻璃等材料制作刚性挡烟垂壁的单节</w:t>
      </w:r>
      <w:r>
        <w:rPr>
          <w:rFonts w:ascii="黑体" w:hAnsi="黑体" w:cs="Arial"/>
          <w:szCs w:val="18"/>
        </w:rPr>
        <w:t xml:space="preserve"> </w:t>
      </w:r>
      <w:r>
        <w:rPr>
          <w:rFonts w:hint="eastAsia" w:ascii="黑体" w:hAnsi="黑体" w:cs="Arial"/>
          <w:szCs w:val="18"/>
        </w:rPr>
        <w:t>宽度不应大于</w:t>
      </w:r>
      <w:r>
        <w:rPr>
          <w:rFonts w:ascii="黑体" w:hAnsi="黑体" w:cs="Arial"/>
          <w:szCs w:val="18"/>
        </w:rPr>
        <w:t xml:space="preserve"> 2000mm</w:t>
      </w:r>
      <w:r>
        <w:rPr>
          <w:rFonts w:hint="eastAsia" w:ascii="黑体" w:hAnsi="黑体" w:cs="Arial"/>
          <w:szCs w:val="18"/>
        </w:rPr>
        <w:t>，采用金属板材、无机纤维织物等制作柔性挡烟垂壁的单节</w:t>
      </w:r>
      <w:r>
        <w:rPr>
          <w:rFonts w:ascii="黑体" w:hAnsi="黑体" w:cs="Arial"/>
          <w:szCs w:val="18"/>
        </w:rPr>
        <w:t xml:space="preserve"> </w:t>
      </w:r>
      <w:r>
        <w:rPr>
          <w:rFonts w:hint="eastAsia" w:ascii="黑体" w:hAnsi="黑体" w:cs="Arial"/>
          <w:szCs w:val="18"/>
        </w:rPr>
        <w:t>宽度不应大于</w:t>
      </w:r>
      <w:r>
        <w:rPr>
          <w:rFonts w:ascii="黑体" w:hAnsi="黑体" w:cs="Arial"/>
          <w:szCs w:val="18"/>
        </w:rPr>
        <w:t xml:space="preserve"> 4000mm</w:t>
      </w:r>
      <w:r>
        <w:rPr>
          <w:rFonts w:hint="eastAsia" w:ascii="黑体" w:hAnsi="黑体" w:cs="Arial"/>
          <w:szCs w:val="18"/>
        </w:rPr>
        <w:t>。</w:t>
      </w:r>
      <w:r>
        <w:rPr>
          <w:rFonts w:ascii="黑体" w:hAnsi="黑体" w:cs="Arial"/>
          <w:szCs w:val="18"/>
        </w:rPr>
        <w:t xml:space="preserve"> </w:t>
      </w:r>
    </w:p>
    <w:p w14:paraId="29B1D2F7">
      <w:pPr>
        <w:numPr>
          <w:ilvl w:val="0"/>
          <w:numId w:val="144"/>
        </w:numPr>
        <w:spacing w:line="360" w:lineRule="auto"/>
        <w:ind w:left="851"/>
        <w:jc w:val="left"/>
        <w:rPr>
          <w:rFonts w:ascii="黑体" w:hAnsi="黑体" w:cs="Arial"/>
          <w:szCs w:val="18"/>
        </w:rPr>
      </w:pPr>
      <w:r>
        <w:rPr>
          <w:rFonts w:ascii="黑体" w:hAnsi="黑体" w:cs="Arial"/>
          <w:szCs w:val="18"/>
        </w:rPr>
        <w:t xml:space="preserve">2.3.8 </w:t>
      </w:r>
      <w:r>
        <w:rPr>
          <w:rFonts w:hint="eastAsia" w:ascii="黑体" w:hAnsi="黑体" w:cs="Arial"/>
          <w:szCs w:val="18"/>
        </w:rPr>
        <w:t>挡烟垂壁挡烟高度的极限偏差不应大于</w:t>
      </w:r>
      <w:r>
        <w:rPr>
          <w:rFonts w:ascii="黑体" w:hAnsi="黑体" w:cs="Arial"/>
          <w:szCs w:val="18"/>
        </w:rPr>
        <w:t>±5mm</w:t>
      </w:r>
      <w:r>
        <w:rPr>
          <w:rFonts w:hint="eastAsia" w:ascii="黑体" w:hAnsi="黑体" w:cs="Arial"/>
          <w:szCs w:val="18"/>
        </w:rPr>
        <w:t>，单节宽度的极限偏差不应大于</w:t>
      </w:r>
      <w:r>
        <w:rPr>
          <w:rFonts w:ascii="黑体" w:hAnsi="黑体" w:cs="Arial"/>
          <w:szCs w:val="18"/>
        </w:rPr>
        <w:t xml:space="preserve"> ±10mm</w:t>
      </w:r>
      <w:r>
        <w:rPr>
          <w:rFonts w:hint="eastAsia" w:ascii="黑体" w:hAnsi="黑体" w:cs="Arial"/>
          <w:szCs w:val="18"/>
        </w:rPr>
        <w:t>。</w:t>
      </w:r>
      <w:r>
        <w:rPr>
          <w:rFonts w:ascii="黑体" w:hAnsi="黑体" w:cs="Arial"/>
          <w:szCs w:val="18"/>
        </w:rPr>
        <w:t xml:space="preserve"> </w:t>
      </w:r>
    </w:p>
    <w:p w14:paraId="1115AC7C">
      <w:pPr>
        <w:numPr>
          <w:ilvl w:val="0"/>
          <w:numId w:val="144"/>
        </w:numPr>
        <w:spacing w:line="360" w:lineRule="auto"/>
        <w:ind w:left="851"/>
        <w:jc w:val="left"/>
        <w:rPr>
          <w:rFonts w:ascii="黑体" w:hAnsi="黑体" w:cs="Arial"/>
          <w:szCs w:val="18"/>
        </w:rPr>
      </w:pPr>
      <w:r>
        <w:rPr>
          <w:rFonts w:ascii="黑体" w:hAnsi="黑体" w:cs="Arial"/>
          <w:szCs w:val="18"/>
        </w:rPr>
        <w:t xml:space="preserve">2.3.9 </w:t>
      </w:r>
      <w:r>
        <w:rPr>
          <w:rFonts w:hint="eastAsia" w:ascii="黑体" w:hAnsi="黑体" w:cs="Arial"/>
          <w:szCs w:val="18"/>
        </w:rPr>
        <w:t>挡烟垂壁在</w:t>
      </w:r>
      <w:r>
        <w:rPr>
          <w:rFonts w:ascii="黑体" w:hAnsi="黑体" w:cs="Arial"/>
          <w:szCs w:val="18"/>
        </w:rPr>
        <w:t xml:space="preserve"> 620±20</w:t>
      </w:r>
      <w:r>
        <w:rPr>
          <w:rFonts w:hint="eastAsia" w:ascii="黑体" w:hAnsi="黑体" w:cs="Arial"/>
          <w:szCs w:val="18"/>
        </w:rPr>
        <w:t>℃的高温作用下，保持完整性的时间不应小于</w:t>
      </w:r>
      <w:r>
        <w:rPr>
          <w:rFonts w:ascii="黑体" w:hAnsi="黑体" w:cs="Arial"/>
          <w:szCs w:val="18"/>
        </w:rPr>
        <w:t xml:space="preserve"> 30 </w:t>
      </w:r>
      <w:r>
        <w:rPr>
          <w:rFonts w:hint="eastAsia" w:ascii="黑体" w:hAnsi="黑体" w:cs="Arial"/>
          <w:szCs w:val="18"/>
        </w:rPr>
        <w:t>分钟。</w:t>
      </w:r>
      <w:r>
        <w:rPr>
          <w:rFonts w:ascii="黑体" w:hAnsi="黑体" w:cs="Arial"/>
          <w:szCs w:val="18"/>
        </w:rPr>
        <w:t xml:space="preserve"> </w:t>
      </w:r>
    </w:p>
    <w:p w14:paraId="480F0D8B">
      <w:pPr>
        <w:numPr>
          <w:ilvl w:val="0"/>
          <w:numId w:val="144"/>
        </w:numPr>
        <w:spacing w:line="360" w:lineRule="auto"/>
        <w:ind w:left="851"/>
        <w:jc w:val="left"/>
        <w:rPr>
          <w:rFonts w:ascii="黑体" w:hAnsi="黑体" w:cs="Arial"/>
          <w:szCs w:val="18"/>
        </w:rPr>
      </w:pPr>
      <w:r>
        <w:rPr>
          <w:rFonts w:ascii="黑体" w:hAnsi="黑体" w:cs="Arial"/>
          <w:szCs w:val="18"/>
        </w:rPr>
        <w:t>2.3.10</w:t>
      </w:r>
      <w:r>
        <w:rPr>
          <w:rFonts w:hint="eastAsia" w:ascii="黑体" w:hAnsi="黑体" w:cs="Arial"/>
          <w:szCs w:val="18"/>
        </w:rPr>
        <w:t>活动式挡烟垂壁的驱动装置、控制器性能及运行性能应符合</w:t>
      </w:r>
      <w:r>
        <w:rPr>
          <w:rFonts w:ascii="黑体" w:hAnsi="黑体" w:cs="Arial"/>
          <w:szCs w:val="18"/>
        </w:rPr>
        <w:t xml:space="preserve"> GA533 </w:t>
      </w:r>
      <w:r>
        <w:rPr>
          <w:rFonts w:hint="eastAsia" w:ascii="黑体" w:hAnsi="黑体" w:cs="Arial"/>
          <w:szCs w:val="18"/>
        </w:rPr>
        <w:t>的相关规定。</w:t>
      </w:r>
      <w:r>
        <w:rPr>
          <w:rFonts w:ascii="黑体" w:hAnsi="黑体" w:cs="Arial"/>
          <w:szCs w:val="18"/>
        </w:rPr>
        <w:t xml:space="preserve"> </w:t>
      </w:r>
    </w:p>
    <w:p w14:paraId="5D886087">
      <w:pPr>
        <w:numPr>
          <w:ilvl w:val="0"/>
          <w:numId w:val="144"/>
        </w:numPr>
        <w:spacing w:line="360" w:lineRule="auto"/>
        <w:ind w:left="851"/>
        <w:jc w:val="left"/>
        <w:rPr>
          <w:rFonts w:ascii="黑体" w:hAnsi="黑体" w:cs="Arial"/>
          <w:szCs w:val="18"/>
        </w:rPr>
      </w:pPr>
      <w:r>
        <w:rPr>
          <w:rFonts w:ascii="黑体" w:hAnsi="黑体" w:cs="Arial"/>
          <w:szCs w:val="18"/>
        </w:rPr>
        <w:t xml:space="preserve">(1) </w:t>
      </w:r>
      <w:r>
        <w:rPr>
          <w:rFonts w:hint="eastAsia" w:ascii="黑体" w:hAnsi="黑体" w:cs="Arial"/>
          <w:szCs w:val="18"/>
        </w:rPr>
        <w:t>应与相应的烟感火灾探测器联动，当探测器报警后，挡烟垂壁应能自动运行至挡烟工作位置。</w:t>
      </w:r>
      <w:r>
        <w:rPr>
          <w:rFonts w:ascii="黑体" w:hAnsi="黑体" w:cs="Arial"/>
          <w:szCs w:val="18"/>
        </w:rPr>
        <w:t xml:space="preserve"> </w:t>
      </w:r>
    </w:p>
    <w:p w14:paraId="1CA98A49">
      <w:pPr>
        <w:numPr>
          <w:ilvl w:val="0"/>
          <w:numId w:val="144"/>
        </w:numPr>
        <w:spacing w:line="360" w:lineRule="auto"/>
        <w:ind w:left="851"/>
        <w:jc w:val="left"/>
        <w:rPr>
          <w:rFonts w:ascii="黑体" w:hAnsi="黑体" w:cs="Arial"/>
          <w:szCs w:val="18"/>
        </w:rPr>
      </w:pPr>
      <w:r>
        <w:rPr>
          <w:rFonts w:ascii="黑体" w:hAnsi="黑体" w:cs="Arial"/>
          <w:szCs w:val="18"/>
        </w:rPr>
        <w:t xml:space="preserve">(2) </w:t>
      </w:r>
      <w:r>
        <w:rPr>
          <w:rFonts w:hint="eastAsia" w:ascii="黑体" w:hAnsi="黑体" w:cs="Arial"/>
          <w:szCs w:val="18"/>
        </w:rPr>
        <w:t>接收到消防联动控制设备的控制信号后，挡烟垂壁应能自动运行至挡烟工作位置。</w:t>
      </w:r>
      <w:r>
        <w:rPr>
          <w:rFonts w:ascii="黑体" w:hAnsi="黑体" w:cs="Arial"/>
          <w:szCs w:val="18"/>
        </w:rPr>
        <w:t xml:space="preserve"> </w:t>
      </w:r>
    </w:p>
    <w:p w14:paraId="5B9D50AC">
      <w:pPr>
        <w:numPr>
          <w:ilvl w:val="0"/>
          <w:numId w:val="144"/>
        </w:numPr>
        <w:spacing w:line="360" w:lineRule="auto"/>
        <w:ind w:left="851"/>
        <w:jc w:val="left"/>
        <w:rPr>
          <w:rFonts w:ascii="黑体" w:hAnsi="黑体" w:cs="Arial"/>
          <w:szCs w:val="18"/>
        </w:rPr>
      </w:pPr>
      <w:r>
        <w:rPr>
          <w:rFonts w:ascii="黑体" w:hAnsi="黑体" w:cs="Arial"/>
          <w:szCs w:val="18"/>
        </w:rPr>
        <w:t xml:space="preserve">(3) </w:t>
      </w:r>
      <w:r>
        <w:rPr>
          <w:rFonts w:hint="eastAsia" w:ascii="黑体" w:hAnsi="黑体" w:cs="Arial"/>
          <w:szCs w:val="18"/>
        </w:rPr>
        <w:t>系统主电源断电时，活动式挡烟垂壁应能自动运行至挡烟工作位置。</w:t>
      </w:r>
    </w:p>
    <w:p w14:paraId="221080FB">
      <w:pPr>
        <w:spacing w:line="360" w:lineRule="auto"/>
        <w:jc w:val="left"/>
        <w:rPr>
          <w:rFonts w:ascii="黑体" w:hAnsi="黑体" w:cs="Arial"/>
          <w:b/>
          <w:szCs w:val="18"/>
        </w:rPr>
      </w:pPr>
      <w:r>
        <w:rPr>
          <w:rFonts w:hint="eastAsia" w:ascii="黑体" w:hAnsi="黑体" w:cs="Arial"/>
          <w:b/>
          <w:szCs w:val="18"/>
        </w:rPr>
        <w:t>第</w:t>
      </w:r>
      <w:r>
        <w:rPr>
          <w:rFonts w:ascii="黑体" w:hAnsi="黑体" w:cs="Arial"/>
          <w:b/>
          <w:szCs w:val="18"/>
        </w:rPr>
        <w:t>3</w:t>
      </w:r>
      <w:r>
        <w:rPr>
          <w:rFonts w:hint="eastAsia" w:ascii="黑体" w:hAnsi="黑体" w:cs="Arial"/>
          <w:b/>
          <w:szCs w:val="18"/>
        </w:rPr>
        <w:t>部分</w:t>
      </w:r>
      <w:r>
        <w:rPr>
          <w:rFonts w:ascii="黑体" w:hAnsi="黑体" w:cs="Arial"/>
          <w:b/>
          <w:szCs w:val="18"/>
        </w:rPr>
        <w:t xml:space="preserve"> </w:t>
      </w:r>
      <w:r>
        <w:rPr>
          <w:rFonts w:hint="eastAsia" w:ascii="黑体" w:hAnsi="黑体" w:cs="Arial"/>
          <w:b/>
          <w:szCs w:val="18"/>
        </w:rPr>
        <w:t>实施</w:t>
      </w:r>
    </w:p>
    <w:p w14:paraId="34FD4C5A">
      <w:pPr>
        <w:numPr>
          <w:ilvl w:val="0"/>
          <w:numId w:val="144"/>
        </w:numPr>
        <w:spacing w:line="360" w:lineRule="auto"/>
        <w:ind w:left="851"/>
        <w:jc w:val="left"/>
        <w:rPr>
          <w:rFonts w:ascii="黑体" w:hAnsi="黑体" w:cs="Arial"/>
          <w:szCs w:val="18"/>
        </w:rPr>
      </w:pPr>
      <w:r>
        <w:rPr>
          <w:rFonts w:ascii="黑体" w:hAnsi="黑体" w:cs="Arial"/>
          <w:szCs w:val="18"/>
        </w:rPr>
        <w:t xml:space="preserve">3.1 </w:t>
      </w:r>
      <w:r>
        <w:rPr>
          <w:rFonts w:hint="eastAsia" w:ascii="黑体" w:hAnsi="黑体" w:cs="Arial"/>
          <w:szCs w:val="18"/>
        </w:rPr>
        <w:t>准备工作</w:t>
      </w:r>
      <w:r>
        <w:rPr>
          <w:rFonts w:ascii="黑体" w:hAnsi="黑体" w:cs="Arial"/>
          <w:szCs w:val="18"/>
        </w:rPr>
        <w:t xml:space="preserve"> </w:t>
      </w:r>
    </w:p>
    <w:p w14:paraId="146D1F18">
      <w:pPr>
        <w:numPr>
          <w:ilvl w:val="0"/>
          <w:numId w:val="144"/>
        </w:numPr>
        <w:spacing w:line="360" w:lineRule="auto"/>
        <w:ind w:left="851"/>
        <w:jc w:val="left"/>
        <w:rPr>
          <w:rFonts w:ascii="黑体" w:hAnsi="黑体" w:cs="Arial"/>
          <w:szCs w:val="18"/>
        </w:rPr>
      </w:pPr>
      <w:r>
        <w:rPr>
          <w:rFonts w:ascii="黑体" w:hAnsi="黑体" w:cs="Arial"/>
          <w:szCs w:val="18"/>
        </w:rPr>
        <w:t xml:space="preserve">3.1.1 </w:t>
      </w:r>
      <w:r>
        <w:rPr>
          <w:rFonts w:hint="eastAsia" w:ascii="黑体" w:hAnsi="黑体" w:cs="Arial"/>
          <w:szCs w:val="18"/>
        </w:rPr>
        <w:t>对基层表面进行清洁，以确保不含杂物、灰尘、油脂、油性物质和其他可能</w:t>
      </w:r>
      <w:r>
        <w:rPr>
          <w:rFonts w:ascii="黑体" w:hAnsi="黑体" w:cs="Arial"/>
          <w:szCs w:val="18"/>
        </w:rPr>
        <w:t xml:space="preserve"> </w:t>
      </w:r>
      <w:r>
        <w:rPr>
          <w:rFonts w:hint="eastAsia" w:ascii="黑体" w:hAnsi="黑体" w:cs="Arial"/>
          <w:szCs w:val="18"/>
        </w:rPr>
        <w:t>影响防火封堵材料接合的物质。</w:t>
      </w:r>
      <w:r>
        <w:rPr>
          <w:rFonts w:ascii="黑体" w:hAnsi="黑体" w:cs="Arial"/>
          <w:szCs w:val="18"/>
        </w:rPr>
        <w:t xml:space="preserve"> </w:t>
      </w:r>
    </w:p>
    <w:p w14:paraId="65551EB2">
      <w:pPr>
        <w:numPr>
          <w:ilvl w:val="0"/>
          <w:numId w:val="144"/>
        </w:numPr>
        <w:spacing w:line="360" w:lineRule="auto"/>
        <w:ind w:left="851"/>
        <w:jc w:val="left"/>
        <w:rPr>
          <w:rFonts w:ascii="黑体" w:hAnsi="黑体" w:cs="Arial"/>
          <w:szCs w:val="18"/>
        </w:rPr>
      </w:pPr>
      <w:r>
        <w:rPr>
          <w:rFonts w:ascii="黑体" w:hAnsi="黑体" w:cs="Arial"/>
          <w:szCs w:val="18"/>
        </w:rPr>
        <w:t xml:space="preserve">3.1.2 </w:t>
      </w:r>
      <w:r>
        <w:rPr>
          <w:rFonts w:hint="eastAsia" w:ascii="黑体" w:hAnsi="黑体" w:cs="Arial"/>
          <w:szCs w:val="18"/>
        </w:rPr>
        <w:t>移除可能影响防火材料接合的物质。</w:t>
      </w:r>
      <w:r>
        <w:rPr>
          <w:rFonts w:ascii="黑体" w:hAnsi="黑体" w:cs="Arial"/>
          <w:szCs w:val="18"/>
        </w:rPr>
        <w:t xml:space="preserve"> </w:t>
      </w:r>
    </w:p>
    <w:p w14:paraId="44428DF1">
      <w:pPr>
        <w:numPr>
          <w:ilvl w:val="0"/>
          <w:numId w:val="144"/>
        </w:numPr>
        <w:spacing w:line="360" w:lineRule="auto"/>
        <w:ind w:left="851"/>
        <w:jc w:val="left"/>
        <w:rPr>
          <w:rFonts w:ascii="黑体" w:hAnsi="黑体" w:cs="Arial"/>
          <w:szCs w:val="18"/>
        </w:rPr>
      </w:pPr>
      <w:r>
        <w:rPr>
          <w:rFonts w:ascii="黑体" w:hAnsi="黑体" w:cs="Arial"/>
          <w:szCs w:val="18"/>
        </w:rPr>
        <w:t xml:space="preserve">3.1.3 </w:t>
      </w:r>
      <w:r>
        <w:rPr>
          <w:rFonts w:hint="eastAsia" w:ascii="黑体" w:hAnsi="黑体" w:cs="Arial"/>
          <w:szCs w:val="18"/>
        </w:rPr>
        <w:t>应使用合适的溶剂去除油质杂物。</w:t>
      </w:r>
      <w:r>
        <w:rPr>
          <w:rFonts w:ascii="黑体" w:hAnsi="黑体" w:cs="Arial"/>
          <w:szCs w:val="18"/>
        </w:rPr>
        <w:t xml:space="preserve"> </w:t>
      </w:r>
    </w:p>
    <w:p w14:paraId="65AB9F35">
      <w:pPr>
        <w:numPr>
          <w:ilvl w:val="0"/>
          <w:numId w:val="144"/>
        </w:numPr>
        <w:spacing w:line="360" w:lineRule="auto"/>
        <w:ind w:left="851"/>
        <w:jc w:val="left"/>
        <w:rPr>
          <w:rFonts w:ascii="黑体" w:hAnsi="黑体" w:cs="Arial"/>
          <w:szCs w:val="18"/>
        </w:rPr>
      </w:pPr>
      <w:r>
        <w:rPr>
          <w:rFonts w:ascii="黑体" w:hAnsi="黑体" w:cs="Arial"/>
          <w:szCs w:val="18"/>
        </w:rPr>
        <w:t xml:space="preserve">3.1.4 </w:t>
      </w:r>
      <w:r>
        <w:rPr>
          <w:rFonts w:hint="eastAsia" w:ascii="黑体" w:hAnsi="黑体" w:cs="Arial"/>
          <w:szCs w:val="18"/>
        </w:rPr>
        <w:t>应保证表面的完全干燥。</w:t>
      </w:r>
      <w:r>
        <w:rPr>
          <w:rFonts w:ascii="黑体" w:hAnsi="黑体" w:cs="Arial"/>
          <w:szCs w:val="18"/>
        </w:rPr>
        <w:t xml:space="preserve"> </w:t>
      </w:r>
    </w:p>
    <w:p w14:paraId="14DD5723">
      <w:pPr>
        <w:numPr>
          <w:ilvl w:val="0"/>
          <w:numId w:val="144"/>
        </w:numPr>
        <w:spacing w:line="360" w:lineRule="auto"/>
        <w:ind w:left="851"/>
        <w:jc w:val="left"/>
        <w:rPr>
          <w:rFonts w:ascii="黑体" w:hAnsi="黑体" w:cs="Arial"/>
          <w:szCs w:val="18"/>
        </w:rPr>
      </w:pPr>
      <w:r>
        <w:rPr>
          <w:rFonts w:ascii="黑体" w:hAnsi="黑体" w:cs="Arial"/>
          <w:szCs w:val="18"/>
        </w:rPr>
        <w:t xml:space="preserve">3.1.5 </w:t>
      </w:r>
      <w:r>
        <w:rPr>
          <w:rFonts w:hint="eastAsia" w:ascii="黑体" w:hAnsi="黑体" w:cs="Arial"/>
          <w:szCs w:val="18"/>
        </w:rPr>
        <w:t>避免使用硫化物或其他硅树脂橡胶养护抑制剂，或其他可能影响防火封堵材</w:t>
      </w:r>
      <w:r>
        <w:rPr>
          <w:rFonts w:ascii="黑体" w:hAnsi="黑体" w:cs="Arial"/>
          <w:szCs w:val="18"/>
        </w:rPr>
        <w:t xml:space="preserve"> </w:t>
      </w:r>
      <w:r>
        <w:rPr>
          <w:rFonts w:hint="eastAsia" w:ascii="黑体" w:hAnsi="黑体" w:cs="Arial"/>
          <w:szCs w:val="18"/>
        </w:rPr>
        <w:t>料养护过程的化学化合物。</w:t>
      </w:r>
      <w:r>
        <w:rPr>
          <w:rFonts w:ascii="黑体" w:hAnsi="黑体" w:cs="Arial"/>
          <w:szCs w:val="18"/>
        </w:rPr>
        <w:t xml:space="preserve"> </w:t>
      </w:r>
    </w:p>
    <w:p w14:paraId="0F0271C3">
      <w:pPr>
        <w:numPr>
          <w:ilvl w:val="0"/>
          <w:numId w:val="144"/>
        </w:numPr>
        <w:spacing w:line="360" w:lineRule="auto"/>
        <w:ind w:left="851"/>
        <w:jc w:val="left"/>
        <w:rPr>
          <w:rFonts w:ascii="黑体" w:hAnsi="黑体" w:cs="Arial"/>
          <w:szCs w:val="18"/>
        </w:rPr>
      </w:pPr>
      <w:r>
        <w:rPr>
          <w:rFonts w:ascii="黑体" w:hAnsi="黑体" w:cs="Arial"/>
          <w:szCs w:val="18"/>
        </w:rPr>
        <w:t xml:space="preserve">3.1.6 </w:t>
      </w:r>
      <w:r>
        <w:rPr>
          <w:rFonts w:hint="eastAsia" w:ascii="黑体" w:hAnsi="黑体" w:cs="Arial"/>
          <w:szCs w:val="18"/>
        </w:rPr>
        <w:t>使用挡板和背衬材料以阻止液体材料的泄露。</w:t>
      </w:r>
      <w:r>
        <w:rPr>
          <w:rFonts w:ascii="黑体" w:hAnsi="黑体" w:cs="Arial"/>
          <w:szCs w:val="18"/>
        </w:rPr>
        <w:t xml:space="preserve"> </w:t>
      </w:r>
    </w:p>
    <w:p w14:paraId="06925884">
      <w:pPr>
        <w:numPr>
          <w:ilvl w:val="0"/>
          <w:numId w:val="144"/>
        </w:numPr>
        <w:spacing w:line="360" w:lineRule="auto"/>
        <w:ind w:left="851"/>
        <w:jc w:val="left"/>
        <w:rPr>
          <w:rFonts w:ascii="黑体" w:hAnsi="黑体" w:cs="Arial"/>
          <w:szCs w:val="18"/>
        </w:rPr>
      </w:pPr>
      <w:r>
        <w:rPr>
          <w:rFonts w:ascii="黑体" w:hAnsi="黑体" w:cs="Arial"/>
          <w:szCs w:val="18"/>
        </w:rPr>
        <w:t xml:space="preserve">3.1.7 </w:t>
      </w:r>
      <w:r>
        <w:rPr>
          <w:rFonts w:hint="eastAsia" w:ascii="黑体" w:hAnsi="黑体" w:cs="Arial"/>
          <w:szCs w:val="18"/>
        </w:rPr>
        <w:t>现场测量：制作前通过现场测量，对挡烟垂壁开口和其他结构尺寸进行复</w:t>
      </w:r>
      <w:r>
        <w:rPr>
          <w:rFonts w:ascii="黑体" w:hAnsi="黑体" w:cs="Arial"/>
          <w:szCs w:val="18"/>
        </w:rPr>
        <w:t xml:space="preserve"> </w:t>
      </w:r>
      <w:r>
        <w:rPr>
          <w:rFonts w:hint="eastAsia" w:ascii="黑体" w:hAnsi="黑体" w:cs="Arial"/>
          <w:szCs w:val="18"/>
        </w:rPr>
        <w:t>核，并将测量尺寸标注在施工深化图上。</w:t>
      </w:r>
      <w:r>
        <w:rPr>
          <w:rFonts w:ascii="黑体" w:hAnsi="黑体" w:cs="Arial"/>
          <w:szCs w:val="18"/>
        </w:rPr>
        <w:t xml:space="preserve"> </w:t>
      </w:r>
    </w:p>
    <w:p w14:paraId="1050FC9A">
      <w:pPr>
        <w:numPr>
          <w:ilvl w:val="0"/>
          <w:numId w:val="144"/>
        </w:numPr>
        <w:spacing w:line="360" w:lineRule="auto"/>
        <w:ind w:left="851"/>
        <w:jc w:val="left"/>
        <w:rPr>
          <w:rFonts w:ascii="黑体" w:hAnsi="黑体" w:cs="Arial"/>
          <w:szCs w:val="18"/>
        </w:rPr>
      </w:pPr>
      <w:r>
        <w:rPr>
          <w:rFonts w:ascii="黑体" w:hAnsi="黑体" w:cs="Arial"/>
          <w:szCs w:val="18"/>
        </w:rPr>
        <w:t xml:space="preserve">3.1.8 </w:t>
      </w:r>
      <w:r>
        <w:rPr>
          <w:rFonts w:hint="eastAsia" w:ascii="黑体" w:hAnsi="黑体" w:cs="Arial"/>
          <w:szCs w:val="18"/>
        </w:rPr>
        <w:t>施工方对区域和条件进行检查，确认支撑构件、垫块、安装允差、间隙、以</w:t>
      </w:r>
      <w:r>
        <w:rPr>
          <w:rFonts w:ascii="黑体" w:hAnsi="黑体" w:cs="Arial"/>
          <w:szCs w:val="18"/>
        </w:rPr>
        <w:t xml:space="preserve"> </w:t>
      </w:r>
      <w:r>
        <w:rPr>
          <w:rFonts w:hint="eastAsia" w:ascii="黑体" w:hAnsi="黑体" w:cs="Arial"/>
          <w:szCs w:val="18"/>
        </w:rPr>
        <w:t>及可能影响自动防烟工程的其他条件与要求一致。所有不符合项纠正后方可开始安</w:t>
      </w:r>
      <w:r>
        <w:rPr>
          <w:rFonts w:ascii="黑体" w:hAnsi="黑体" w:cs="Arial"/>
          <w:szCs w:val="18"/>
        </w:rPr>
        <w:t xml:space="preserve"> </w:t>
      </w:r>
      <w:r>
        <w:rPr>
          <w:rFonts w:hint="eastAsia" w:ascii="黑体" w:hAnsi="黑体" w:cs="Arial"/>
          <w:szCs w:val="18"/>
        </w:rPr>
        <w:t>装。</w:t>
      </w:r>
      <w:r>
        <w:rPr>
          <w:rFonts w:ascii="黑体" w:hAnsi="黑体" w:cs="Arial"/>
          <w:szCs w:val="18"/>
        </w:rPr>
        <w:t xml:space="preserve"> </w:t>
      </w:r>
    </w:p>
    <w:p w14:paraId="559AFF9A">
      <w:pPr>
        <w:numPr>
          <w:ilvl w:val="0"/>
          <w:numId w:val="144"/>
        </w:numPr>
        <w:spacing w:line="360" w:lineRule="auto"/>
        <w:ind w:left="851"/>
        <w:jc w:val="left"/>
        <w:rPr>
          <w:rFonts w:ascii="黑体" w:hAnsi="黑体" w:cs="Arial"/>
          <w:szCs w:val="18"/>
        </w:rPr>
      </w:pPr>
      <w:r>
        <w:rPr>
          <w:rFonts w:ascii="黑体" w:hAnsi="黑体" w:cs="Arial"/>
          <w:szCs w:val="18"/>
        </w:rPr>
        <w:t xml:space="preserve">3.2 </w:t>
      </w:r>
      <w:r>
        <w:rPr>
          <w:rFonts w:hint="eastAsia" w:ascii="黑体" w:hAnsi="黑体" w:cs="Arial"/>
          <w:szCs w:val="18"/>
        </w:rPr>
        <w:t>施工</w:t>
      </w:r>
      <w:r>
        <w:rPr>
          <w:rFonts w:ascii="黑体" w:hAnsi="黑体" w:cs="Arial"/>
          <w:szCs w:val="18"/>
        </w:rPr>
        <w:t xml:space="preserve"> </w:t>
      </w:r>
    </w:p>
    <w:p w14:paraId="66B3388E">
      <w:pPr>
        <w:numPr>
          <w:ilvl w:val="0"/>
          <w:numId w:val="144"/>
        </w:numPr>
        <w:spacing w:line="360" w:lineRule="auto"/>
        <w:ind w:left="851"/>
        <w:jc w:val="left"/>
        <w:rPr>
          <w:rFonts w:ascii="黑体" w:hAnsi="黑体" w:cs="Arial"/>
          <w:szCs w:val="18"/>
        </w:rPr>
      </w:pPr>
      <w:r>
        <w:rPr>
          <w:rFonts w:ascii="黑体" w:hAnsi="黑体" w:cs="Arial"/>
          <w:szCs w:val="18"/>
        </w:rPr>
        <w:t xml:space="preserve">3.2.1 </w:t>
      </w:r>
      <w:r>
        <w:rPr>
          <w:rFonts w:hint="eastAsia" w:ascii="黑体" w:hAnsi="黑体" w:cs="Arial"/>
          <w:szCs w:val="18"/>
        </w:rPr>
        <w:t>按照制造商的说明和测试条件安装，提供必要的附属材料。</w:t>
      </w:r>
      <w:r>
        <w:rPr>
          <w:rFonts w:ascii="黑体" w:hAnsi="黑体" w:cs="Arial"/>
          <w:szCs w:val="18"/>
        </w:rPr>
        <w:t xml:space="preserve"> 3.2.2 </w:t>
      </w:r>
      <w:r>
        <w:rPr>
          <w:rFonts w:hint="eastAsia" w:ascii="黑体" w:hAnsi="黑体" w:cs="Arial"/>
          <w:szCs w:val="18"/>
        </w:rPr>
        <w:t>如果墙体组成材料中包含可燃性成型材料，则去掉这些材料。</w:t>
      </w:r>
      <w:r>
        <w:rPr>
          <w:rFonts w:ascii="黑体" w:hAnsi="黑体" w:cs="Arial"/>
          <w:szCs w:val="18"/>
        </w:rPr>
        <w:t xml:space="preserve"> 3.2.3 </w:t>
      </w:r>
      <w:r>
        <w:rPr>
          <w:rFonts w:hint="eastAsia" w:ascii="黑体" w:hAnsi="黑体" w:cs="Arial"/>
          <w:szCs w:val="18"/>
        </w:rPr>
        <w:t>重点安装节点</w:t>
      </w:r>
      <w:r>
        <w:rPr>
          <w:rFonts w:ascii="黑体" w:hAnsi="黑体" w:cs="Arial"/>
          <w:szCs w:val="18"/>
        </w:rPr>
        <w:t xml:space="preserve"> </w:t>
      </w:r>
    </w:p>
    <w:p w14:paraId="0AA8EF26">
      <w:pPr>
        <w:numPr>
          <w:ilvl w:val="0"/>
          <w:numId w:val="144"/>
        </w:numPr>
        <w:spacing w:line="360" w:lineRule="auto"/>
        <w:ind w:left="851"/>
        <w:jc w:val="left"/>
        <w:rPr>
          <w:rFonts w:ascii="黑体" w:hAnsi="黑体" w:cs="Arial"/>
          <w:szCs w:val="18"/>
        </w:rPr>
      </w:pPr>
      <w:r>
        <w:rPr>
          <w:rFonts w:ascii="黑体" w:hAnsi="黑体" w:cs="Arial"/>
          <w:szCs w:val="18"/>
        </w:rPr>
        <w:t xml:space="preserve">(1) </w:t>
      </w:r>
      <w:r>
        <w:rPr>
          <w:rFonts w:hint="eastAsia" w:ascii="黑体" w:hAnsi="黑体" w:cs="Arial"/>
          <w:szCs w:val="18"/>
        </w:rPr>
        <w:t>安装检查包括防火材料本身及支持材料以确保安装的整体性。</w:t>
      </w:r>
      <w:r>
        <w:rPr>
          <w:rFonts w:ascii="黑体" w:hAnsi="黑体" w:cs="Arial"/>
          <w:szCs w:val="18"/>
        </w:rPr>
        <w:t xml:space="preserve"> </w:t>
      </w:r>
    </w:p>
    <w:p w14:paraId="27F2E7B8">
      <w:pPr>
        <w:numPr>
          <w:ilvl w:val="0"/>
          <w:numId w:val="144"/>
        </w:numPr>
        <w:spacing w:line="360" w:lineRule="auto"/>
        <w:ind w:left="851"/>
        <w:jc w:val="left"/>
        <w:rPr>
          <w:rFonts w:ascii="黑体" w:hAnsi="黑体" w:cs="Arial"/>
          <w:szCs w:val="18"/>
        </w:rPr>
      </w:pPr>
      <w:r>
        <w:rPr>
          <w:rFonts w:ascii="黑体" w:hAnsi="黑体" w:cs="Arial"/>
          <w:szCs w:val="18"/>
        </w:rPr>
        <w:t xml:space="preserve">(2) </w:t>
      </w:r>
      <w:r>
        <w:rPr>
          <w:rFonts w:hint="eastAsia" w:ascii="黑体" w:hAnsi="黑体" w:cs="Arial"/>
          <w:szCs w:val="18"/>
        </w:rPr>
        <w:t>防火材料安装完毕后，拆除支持材料和任何可燃性材料。</w:t>
      </w:r>
    </w:p>
    <w:p w14:paraId="4A3B957C">
      <w:pPr>
        <w:numPr>
          <w:ilvl w:val="0"/>
          <w:numId w:val="144"/>
        </w:numPr>
        <w:spacing w:line="360" w:lineRule="auto"/>
        <w:ind w:left="851"/>
        <w:jc w:val="left"/>
        <w:rPr>
          <w:rFonts w:ascii="黑体" w:hAnsi="黑体" w:cs="Arial"/>
          <w:szCs w:val="18"/>
        </w:rPr>
      </w:pPr>
      <w:r>
        <w:rPr>
          <w:rFonts w:ascii="黑体" w:hAnsi="黑体" w:cs="Arial"/>
          <w:szCs w:val="18"/>
        </w:rPr>
        <w:t xml:space="preserve">(3) </w:t>
      </w:r>
      <w:r>
        <w:rPr>
          <w:rFonts w:hint="eastAsia" w:ascii="黑体" w:hAnsi="黑体" w:cs="Arial"/>
          <w:szCs w:val="18"/>
        </w:rPr>
        <w:t>在设计要求下和制造说明下安装面层及装饰材料。</w:t>
      </w:r>
      <w:r>
        <w:rPr>
          <w:rFonts w:ascii="黑体" w:hAnsi="黑体" w:cs="Arial"/>
          <w:szCs w:val="18"/>
        </w:rPr>
        <w:t xml:space="preserve"> </w:t>
      </w:r>
    </w:p>
    <w:p w14:paraId="164D091C">
      <w:pPr>
        <w:numPr>
          <w:ilvl w:val="0"/>
          <w:numId w:val="144"/>
        </w:numPr>
        <w:spacing w:line="360" w:lineRule="auto"/>
        <w:ind w:left="851"/>
        <w:jc w:val="left"/>
        <w:rPr>
          <w:rFonts w:ascii="黑体" w:hAnsi="黑体" w:cs="Arial"/>
          <w:szCs w:val="18"/>
        </w:rPr>
      </w:pPr>
      <w:r>
        <w:rPr>
          <w:rFonts w:ascii="黑体" w:hAnsi="黑体" w:cs="Arial"/>
          <w:szCs w:val="18"/>
        </w:rPr>
        <w:t xml:space="preserve">(4) </w:t>
      </w:r>
      <w:r>
        <w:rPr>
          <w:rFonts w:hint="eastAsia" w:ascii="黑体" w:hAnsi="黑体" w:cs="Arial"/>
          <w:szCs w:val="18"/>
        </w:rPr>
        <w:t>根据系统选择的材料检查干燥，保养，粘贴的施工，必要时进行修补并且</w:t>
      </w:r>
      <w:r>
        <w:rPr>
          <w:rFonts w:ascii="黑体" w:hAnsi="黑体" w:cs="Arial"/>
          <w:szCs w:val="18"/>
        </w:rPr>
        <w:t xml:space="preserve"> </w:t>
      </w:r>
      <w:r>
        <w:rPr>
          <w:rFonts w:hint="eastAsia" w:ascii="黑体" w:hAnsi="黑体" w:cs="Arial"/>
          <w:szCs w:val="18"/>
        </w:rPr>
        <w:t>对修补的施工情况进行检查。</w:t>
      </w:r>
      <w:r>
        <w:rPr>
          <w:rFonts w:ascii="黑体" w:hAnsi="黑体" w:cs="Arial"/>
          <w:szCs w:val="18"/>
        </w:rPr>
        <w:t xml:space="preserve"> </w:t>
      </w:r>
    </w:p>
    <w:p w14:paraId="02123DC8">
      <w:pPr>
        <w:numPr>
          <w:ilvl w:val="0"/>
          <w:numId w:val="144"/>
        </w:numPr>
        <w:spacing w:line="360" w:lineRule="auto"/>
        <w:ind w:left="851"/>
        <w:jc w:val="left"/>
        <w:rPr>
          <w:rFonts w:ascii="黑体" w:hAnsi="黑体" w:cs="Arial"/>
          <w:szCs w:val="18"/>
        </w:rPr>
      </w:pPr>
      <w:r>
        <w:rPr>
          <w:rFonts w:ascii="黑体" w:hAnsi="黑体" w:cs="Arial"/>
          <w:szCs w:val="18"/>
        </w:rPr>
        <w:t xml:space="preserve">3.2.4 </w:t>
      </w:r>
      <w:r>
        <w:rPr>
          <w:rFonts w:hint="eastAsia" w:ascii="黑体" w:hAnsi="黑体" w:cs="Arial"/>
          <w:szCs w:val="18"/>
        </w:rPr>
        <w:t>裂缝处防火构造</w:t>
      </w:r>
      <w:r>
        <w:rPr>
          <w:rFonts w:ascii="黑体" w:hAnsi="黑体" w:cs="Arial"/>
          <w:szCs w:val="18"/>
        </w:rPr>
        <w:t xml:space="preserve"> </w:t>
      </w:r>
    </w:p>
    <w:p w14:paraId="55812A9C">
      <w:pPr>
        <w:numPr>
          <w:ilvl w:val="0"/>
          <w:numId w:val="144"/>
        </w:numPr>
        <w:spacing w:line="360" w:lineRule="auto"/>
        <w:ind w:left="851"/>
        <w:jc w:val="left"/>
        <w:rPr>
          <w:rFonts w:ascii="黑体" w:hAnsi="黑体" w:cs="Arial"/>
          <w:szCs w:val="18"/>
        </w:rPr>
      </w:pPr>
      <w:r>
        <w:rPr>
          <w:rFonts w:ascii="黑体" w:hAnsi="黑体" w:cs="Arial"/>
          <w:szCs w:val="18"/>
        </w:rPr>
        <w:t xml:space="preserve">(1) </w:t>
      </w:r>
      <w:r>
        <w:rPr>
          <w:rFonts w:hint="eastAsia" w:ascii="黑体" w:hAnsi="黑体" w:cs="Arial"/>
          <w:szCs w:val="18"/>
        </w:rPr>
        <w:t>防火板的基层材料带比裂缝或缺口宽度宽</w:t>
      </w:r>
      <w:r>
        <w:rPr>
          <w:rFonts w:ascii="黑体" w:hAnsi="黑体" w:cs="Arial"/>
          <w:szCs w:val="18"/>
        </w:rPr>
        <w:t xml:space="preserve"> 15mm</w:t>
      </w:r>
      <w:r>
        <w:rPr>
          <w:rFonts w:hint="eastAsia" w:ascii="黑体" w:hAnsi="黑体" w:cs="Arial"/>
          <w:szCs w:val="18"/>
        </w:rPr>
        <w:t>。</w:t>
      </w:r>
      <w:r>
        <w:rPr>
          <w:rFonts w:ascii="黑体" w:hAnsi="黑体" w:cs="Arial"/>
          <w:szCs w:val="18"/>
        </w:rPr>
        <w:t xml:space="preserve"> </w:t>
      </w:r>
    </w:p>
    <w:p w14:paraId="2F452A75">
      <w:pPr>
        <w:numPr>
          <w:ilvl w:val="0"/>
          <w:numId w:val="144"/>
        </w:numPr>
        <w:spacing w:line="360" w:lineRule="auto"/>
        <w:ind w:left="851"/>
        <w:jc w:val="left"/>
        <w:rPr>
          <w:rFonts w:ascii="黑体" w:hAnsi="黑体" w:cs="Arial"/>
          <w:szCs w:val="18"/>
        </w:rPr>
      </w:pPr>
      <w:r>
        <w:rPr>
          <w:rFonts w:ascii="黑体" w:hAnsi="黑体" w:cs="Arial"/>
          <w:szCs w:val="18"/>
        </w:rPr>
        <w:t xml:space="preserve">(2) </w:t>
      </w:r>
      <w:r>
        <w:rPr>
          <w:rFonts w:hint="eastAsia" w:ascii="黑体" w:hAnsi="黑体" w:cs="Arial"/>
          <w:szCs w:val="18"/>
        </w:rPr>
        <w:t>把绝热带塞入缺口或洞口中，直到保护夹接触到楼板顶部，绝热带顶部应</w:t>
      </w:r>
      <w:r>
        <w:rPr>
          <w:rFonts w:ascii="黑体" w:hAnsi="黑体" w:cs="Arial"/>
          <w:szCs w:val="18"/>
        </w:rPr>
        <w:t xml:space="preserve"> </w:t>
      </w:r>
      <w:r>
        <w:rPr>
          <w:rFonts w:hint="eastAsia" w:ascii="黑体" w:hAnsi="黑体" w:cs="Arial"/>
          <w:szCs w:val="18"/>
        </w:rPr>
        <w:t>该隐藏在楼板标高处的防火密封材料下。</w:t>
      </w:r>
      <w:r>
        <w:rPr>
          <w:rFonts w:ascii="黑体" w:hAnsi="黑体" w:cs="Arial"/>
          <w:szCs w:val="18"/>
        </w:rPr>
        <w:t xml:space="preserve"> </w:t>
      </w:r>
    </w:p>
    <w:p w14:paraId="501A8583">
      <w:pPr>
        <w:numPr>
          <w:ilvl w:val="0"/>
          <w:numId w:val="144"/>
        </w:numPr>
        <w:spacing w:line="360" w:lineRule="auto"/>
        <w:ind w:left="851"/>
        <w:jc w:val="left"/>
        <w:rPr>
          <w:rFonts w:ascii="黑体" w:hAnsi="黑体" w:cs="Arial"/>
          <w:szCs w:val="18"/>
        </w:rPr>
      </w:pPr>
      <w:r>
        <w:rPr>
          <w:rFonts w:ascii="黑体" w:hAnsi="黑体" w:cs="Arial"/>
          <w:szCs w:val="18"/>
        </w:rPr>
        <w:t xml:space="preserve">3.2.5 </w:t>
      </w:r>
      <w:r>
        <w:rPr>
          <w:rFonts w:hint="eastAsia" w:ascii="黑体" w:hAnsi="黑体" w:cs="Arial"/>
          <w:szCs w:val="18"/>
        </w:rPr>
        <w:t>必须等所需的部位完全完工后才可施用防火封堵和烟雾屏障系统。</w:t>
      </w:r>
      <w:r>
        <w:rPr>
          <w:rFonts w:ascii="黑体" w:hAnsi="黑体" w:cs="Arial"/>
          <w:szCs w:val="18"/>
        </w:rPr>
        <w:t xml:space="preserve"> </w:t>
      </w:r>
    </w:p>
    <w:p w14:paraId="4E6A9F64">
      <w:pPr>
        <w:numPr>
          <w:ilvl w:val="0"/>
          <w:numId w:val="144"/>
        </w:numPr>
        <w:spacing w:line="360" w:lineRule="auto"/>
        <w:ind w:left="851"/>
        <w:jc w:val="left"/>
        <w:rPr>
          <w:rFonts w:ascii="黑体" w:hAnsi="黑体" w:cs="Arial"/>
          <w:szCs w:val="18"/>
        </w:rPr>
      </w:pPr>
      <w:r>
        <w:rPr>
          <w:rFonts w:ascii="黑体" w:hAnsi="黑体" w:cs="Arial"/>
          <w:szCs w:val="18"/>
        </w:rPr>
        <w:t xml:space="preserve">3.2.6 </w:t>
      </w:r>
      <w:r>
        <w:rPr>
          <w:rFonts w:hint="eastAsia" w:ascii="黑体" w:hAnsi="黑体" w:cs="Arial"/>
          <w:szCs w:val="18"/>
        </w:rPr>
        <w:t>在主管部门的检查结束前，不要对防火封堵材料进行任何覆盖。</w:t>
      </w:r>
      <w:r>
        <w:rPr>
          <w:rFonts w:ascii="黑体" w:hAnsi="黑体" w:cs="Arial"/>
          <w:szCs w:val="18"/>
        </w:rPr>
        <w:t xml:space="preserve"> </w:t>
      </w:r>
    </w:p>
    <w:p w14:paraId="4520C163">
      <w:pPr>
        <w:numPr>
          <w:ilvl w:val="0"/>
          <w:numId w:val="144"/>
        </w:numPr>
        <w:spacing w:line="360" w:lineRule="auto"/>
        <w:ind w:left="851"/>
        <w:jc w:val="left"/>
        <w:rPr>
          <w:rFonts w:ascii="黑体" w:hAnsi="黑体" w:cs="Arial"/>
          <w:szCs w:val="18"/>
        </w:rPr>
      </w:pPr>
      <w:r>
        <w:rPr>
          <w:rFonts w:ascii="黑体" w:hAnsi="黑体" w:cs="Arial"/>
          <w:szCs w:val="18"/>
        </w:rPr>
        <w:t xml:space="preserve">3.3 </w:t>
      </w:r>
      <w:r>
        <w:rPr>
          <w:rFonts w:hint="eastAsia" w:ascii="黑体" w:hAnsi="黑体" w:cs="Arial"/>
          <w:szCs w:val="18"/>
        </w:rPr>
        <w:t>测试及启动</w:t>
      </w:r>
      <w:r>
        <w:rPr>
          <w:rFonts w:ascii="黑体" w:hAnsi="黑体" w:cs="Arial"/>
          <w:szCs w:val="18"/>
        </w:rPr>
        <w:t xml:space="preserve"> </w:t>
      </w:r>
    </w:p>
    <w:p w14:paraId="28610060">
      <w:pPr>
        <w:numPr>
          <w:ilvl w:val="0"/>
          <w:numId w:val="144"/>
        </w:numPr>
        <w:spacing w:line="360" w:lineRule="auto"/>
        <w:ind w:left="851"/>
        <w:jc w:val="left"/>
        <w:rPr>
          <w:rFonts w:ascii="黑体" w:hAnsi="黑体" w:cs="Arial"/>
          <w:szCs w:val="18"/>
        </w:rPr>
      </w:pPr>
      <w:r>
        <w:rPr>
          <w:rFonts w:ascii="黑体" w:hAnsi="黑体" w:cs="Arial"/>
          <w:szCs w:val="18"/>
        </w:rPr>
        <w:t xml:space="preserve">3.3.1 </w:t>
      </w:r>
      <w:r>
        <w:rPr>
          <w:rFonts w:hint="eastAsia" w:ascii="黑体" w:hAnsi="黑体" w:cs="Arial"/>
          <w:szCs w:val="18"/>
        </w:rPr>
        <w:t>检查整个安装过程，确保完全正确安装。</w:t>
      </w:r>
      <w:r>
        <w:rPr>
          <w:rFonts w:ascii="黑体" w:hAnsi="黑体" w:cs="Arial"/>
          <w:szCs w:val="18"/>
        </w:rPr>
        <w:t xml:space="preserve"> </w:t>
      </w:r>
    </w:p>
    <w:p w14:paraId="0D822CAD">
      <w:pPr>
        <w:numPr>
          <w:ilvl w:val="0"/>
          <w:numId w:val="144"/>
        </w:numPr>
        <w:spacing w:line="360" w:lineRule="auto"/>
        <w:ind w:left="851"/>
        <w:jc w:val="left"/>
        <w:rPr>
          <w:rFonts w:ascii="黑体" w:hAnsi="黑体" w:cs="Arial"/>
          <w:szCs w:val="18"/>
        </w:rPr>
      </w:pPr>
      <w:r>
        <w:rPr>
          <w:rFonts w:ascii="黑体" w:hAnsi="黑体" w:cs="Arial"/>
          <w:szCs w:val="18"/>
        </w:rPr>
        <w:t>(1)</w:t>
      </w:r>
      <w:r>
        <w:rPr>
          <w:rFonts w:hint="eastAsia" w:ascii="黑体" w:hAnsi="黑体" w:cs="Arial"/>
          <w:szCs w:val="18"/>
        </w:rPr>
        <w:t>隐蔽工程的防火封堵材料检测应在防火封堵材料安装后，隐蔽工程施工</w:t>
      </w:r>
      <w:r>
        <w:rPr>
          <w:rFonts w:ascii="黑体" w:hAnsi="黑体" w:cs="Arial"/>
          <w:szCs w:val="18"/>
        </w:rPr>
        <w:t xml:space="preserve"> </w:t>
      </w:r>
      <w:r>
        <w:rPr>
          <w:rFonts w:hint="eastAsia" w:ascii="黑体" w:hAnsi="黑体" w:cs="Arial"/>
          <w:szCs w:val="18"/>
        </w:rPr>
        <w:t>前进行检测。</w:t>
      </w:r>
      <w:r>
        <w:rPr>
          <w:rFonts w:ascii="黑体" w:hAnsi="黑体" w:cs="Arial"/>
          <w:szCs w:val="18"/>
        </w:rPr>
        <w:t xml:space="preserve"> </w:t>
      </w:r>
    </w:p>
    <w:p w14:paraId="42BDC27B">
      <w:pPr>
        <w:numPr>
          <w:ilvl w:val="0"/>
          <w:numId w:val="144"/>
        </w:numPr>
        <w:spacing w:line="360" w:lineRule="auto"/>
        <w:ind w:left="851"/>
        <w:jc w:val="left"/>
        <w:rPr>
          <w:rFonts w:ascii="黑体" w:hAnsi="黑体" w:cs="Arial"/>
          <w:szCs w:val="18"/>
        </w:rPr>
      </w:pPr>
      <w:r>
        <w:rPr>
          <w:rFonts w:ascii="黑体" w:hAnsi="黑体" w:cs="Arial"/>
          <w:szCs w:val="18"/>
        </w:rPr>
        <w:t xml:space="preserve">(2)5% </w:t>
      </w:r>
      <w:r>
        <w:rPr>
          <w:rFonts w:hint="eastAsia" w:ascii="黑体" w:hAnsi="黑体" w:cs="Arial"/>
          <w:szCs w:val="18"/>
        </w:rPr>
        <w:t>的防火封堵材料可以在实验后修补，如果破坏试验证明安装不完全或</w:t>
      </w:r>
      <w:r>
        <w:rPr>
          <w:rFonts w:ascii="黑体" w:hAnsi="黑体" w:cs="Arial"/>
          <w:szCs w:val="18"/>
        </w:rPr>
        <w:t xml:space="preserve"> </w:t>
      </w:r>
      <w:r>
        <w:rPr>
          <w:rFonts w:hint="eastAsia" w:ascii="黑体" w:hAnsi="黑体" w:cs="Arial"/>
          <w:szCs w:val="18"/>
        </w:rPr>
        <w:t>有缺陷，则需要进一步修补和检测，总包方无须承担费用。如果大部分</w:t>
      </w:r>
      <w:r>
        <w:rPr>
          <w:rFonts w:ascii="黑体" w:hAnsi="黑体" w:cs="Arial"/>
          <w:szCs w:val="18"/>
        </w:rPr>
        <w:t xml:space="preserve"> </w:t>
      </w:r>
      <w:r>
        <w:rPr>
          <w:rFonts w:hint="eastAsia" w:ascii="黑体" w:hAnsi="黑体" w:cs="Arial"/>
          <w:szCs w:val="18"/>
        </w:rPr>
        <w:t>防火封堵材料检测不合格，所有防火封堵材料必须拆除，用其他材料替代。</w:t>
      </w:r>
      <w:r>
        <w:rPr>
          <w:rFonts w:ascii="黑体" w:hAnsi="黑体" w:cs="Arial"/>
          <w:szCs w:val="18"/>
        </w:rPr>
        <w:t xml:space="preserve"> </w:t>
      </w:r>
    </w:p>
    <w:p w14:paraId="3A393DFE">
      <w:pPr>
        <w:numPr>
          <w:ilvl w:val="0"/>
          <w:numId w:val="144"/>
        </w:numPr>
        <w:spacing w:line="360" w:lineRule="auto"/>
        <w:ind w:left="851"/>
        <w:jc w:val="left"/>
        <w:rPr>
          <w:rFonts w:ascii="黑体" w:hAnsi="黑体" w:cs="Arial"/>
          <w:szCs w:val="18"/>
        </w:rPr>
      </w:pPr>
      <w:r>
        <w:rPr>
          <w:rFonts w:ascii="黑体" w:hAnsi="黑体" w:cs="Arial"/>
          <w:szCs w:val="18"/>
        </w:rPr>
        <w:t>(3)</w:t>
      </w:r>
      <w:r>
        <w:rPr>
          <w:rFonts w:hint="eastAsia" w:ascii="黑体" w:hAnsi="黑体" w:cs="Arial"/>
          <w:szCs w:val="18"/>
        </w:rPr>
        <w:t>采用活动式挡烟垂壁时应模拟全部电源失效，以确保依靠重力实现故障</w:t>
      </w:r>
      <w:r>
        <w:rPr>
          <w:rFonts w:ascii="黑体" w:hAnsi="黑体" w:cs="Arial"/>
          <w:szCs w:val="18"/>
        </w:rPr>
        <w:t xml:space="preserve"> </w:t>
      </w:r>
      <w:r>
        <w:rPr>
          <w:rFonts w:hint="eastAsia" w:ascii="黑体" w:hAnsi="黑体" w:cs="Arial"/>
          <w:szCs w:val="18"/>
        </w:rPr>
        <w:t>保护展开。在正常试验条件下，幕布依靠主电源或电池电源下降，只能</w:t>
      </w:r>
      <w:r>
        <w:rPr>
          <w:rFonts w:ascii="黑体" w:hAnsi="黑体" w:cs="Arial"/>
          <w:szCs w:val="18"/>
        </w:rPr>
        <w:t xml:space="preserve"> </w:t>
      </w:r>
      <w:r>
        <w:rPr>
          <w:rFonts w:hint="eastAsia" w:ascii="黑体" w:hAnsi="黑体" w:cs="Arial"/>
          <w:szCs w:val="18"/>
        </w:rPr>
        <w:t>说明防烟幕布能够通过电力驱动下降。不能确认其重力故障保护功能。</w:t>
      </w:r>
      <w:r>
        <w:rPr>
          <w:rFonts w:ascii="黑体" w:hAnsi="黑体" w:cs="Arial"/>
          <w:szCs w:val="18"/>
        </w:rPr>
        <w:t xml:space="preserve"> </w:t>
      </w:r>
    </w:p>
    <w:p w14:paraId="1A3A519E">
      <w:pPr>
        <w:numPr>
          <w:ilvl w:val="0"/>
          <w:numId w:val="144"/>
        </w:numPr>
        <w:spacing w:line="360" w:lineRule="auto"/>
        <w:ind w:left="851"/>
        <w:jc w:val="left"/>
        <w:rPr>
          <w:rFonts w:ascii="黑体" w:hAnsi="黑体" w:cs="Arial"/>
          <w:szCs w:val="18"/>
        </w:rPr>
      </w:pPr>
      <w:r>
        <w:rPr>
          <w:rFonts w:ascii="黑体" w:hAnsi="黑体" w:cs="Arial"/>
          <w:szCs w:val="18"/>
        </w:rPr>
        <w:t xml:space="preserve">3.3.2 </w:t>
      </w:r>
      <w:r>
        <w:rPr>
          <w:rFonts w:hint="eastAsia" w:ascii="黑体" w:hAnsi="黑体" w:cs="Arial"/>
          <w:szCs w:val="18"/>
        </w:rPr>
        <w:t>修补和修改</w:t>
      </w:r>
      <w:r>
        <w:rPr>
          <w:rFonts w:ascii="黑体" w:hAnsi="黑体" w:cs="Arial"/>
          <w:szCs w:val="18"/>
        </w:rPr>
        <w:t xml:space="preserve"> </w:t>
      </w:r>
    </w:p>
    <w:p w14:paraId="0415AEF5">
      <w:pPr>
        <w:numPr>
          <w:ilvl w:val="0"/>
          <w:numId w:val="144"/>
        </w:numPr>
        <w:spacing w:line="360" w:lineRule="auto"/>
        <w:ind w:left="851"/>
        <w:jc w:val="left"/>
        <w:rPr>
          <w:rFonts w:ascii="黑体" w:hAnsi="黑体" w:cs="Arial"/>
          <w:szCs w:val="18"/>
        </w:rPr>
      </w:pPr>
      <w:r>
        <w:rPr>
          <w:rFonts w:ascii="黑体" w:hAnsi="黑体" w:cs="Arial"/>
          <w:szCs w:val="18"/>
        </w:rPr>
        <w:t>(1)</w:t>
      </w:r>
      <w:r>
        <w:rPr>
          <w:rFonts w:hint="eastAsia" w:ascii="黑体" w:hAnsi="黑体" w:cs="Arial"/>
          <w:szCs w:val="18"/>
        </w:rPr>
        <w:t>确定损坏的，安装不当的，或重新填补的密封物进行修补和修改</w:t>
      </w:r>
      <w:r>
        <w:rPr>
          <w:rFonts w:ascii="黑体" w:hAnsi="黑体" w:cs="Arial"/>
          <w:szCs w:val="18"/>
        </w:rPr>
        <w:t xml:space="preserve"> </w:t>
      </w:r>
    </w:p>
    <w:p w14:paraId="16043981">
      <w:pPr>
        <w:numPr>
          <w:ilvl w:val="0"/>
          <w:numId w:val="144"/>
        </w:numPr>
        <w:spacing w:line="360" w:lineRule="auto"/>
        <w:ind w:left="851"/>
        <w:jc w:val="left"/>
        <w:rPr>
          <w:rFonts w:ascii="黑体" w:hAnsi="黑体" w:cs="Arial"/>
          <w:szCs w:val="18"/>
        </w:rPr>
      </w:pPr>
      <w:r>
        <w:rPr>
          <w:rFonts w:ascii="黑体" w:hAnsi="黑体" w:cs="Arial"/>
          <w:szCs w:val="18"/>
        </w:rPr>
        <w:t>(2)</w:t>
      </w:r>
      <w:r>
        <w:rPr>
          <w:rFonts w:hint="eastAsia" w:ascii="黑体" w:hAnsi="黑体" w:cs="Arial"/>
          <w:szCs w:val="18"/>
        </w:rPr>
        <w:t>对防火封堵材料的修改应该在制造商建议下完成。</w:t>
      </w:r>
      <w:r>
        <w:rPr>
          <w:rFonts w:ascii="黑体" w:hAnsi="黑体" w:cs="Arial"/>
          <w:szCs w:val="18"/>
        </w:rPr>
        <w:t xml:space="preserve"> </w:t>
      </w:r>
    </w:p>
    <w:p w14:paraId="38AEA77E">
      <w:pPr>
        <w:numPr>
          <w:ilvl w:val="0"/>
          <w:numId w:val="144"/>
        </w:numPr>
        <w:spacing w:line="360" w:lineRule="auto"/>
        <w:ind w:left="851"/>
        <w:jc w:val="left"/>
        <w:rPr>
          <w:rFonts w:ascii="黑体" w:hAnsi="黑体" w:cs="Arial"/>
          <w:szCs w:val="18"/>
        </w:rPr>
      </w:pPr>
      <w:r>
        <w:rPr>
          <w:rFonts w:ascii="黑体" w:hAnsi="黑体" w:cs="Arial"/>
          <w:szCs w:val="18"/>
        </w:rPr>
        <w:t>(3)</w:t>
      </w:r>
      <w:r>
        <w:rPr>
          <w:rFonts w:hint="eastAsia" w:ascii="黑体" w:hAnsi="黑体" w:cs="Arial"/>
          <w:szCs w:val="18"/>
        </w:rPr>
        <w:t>用于修补的材料，应该同原密封材料一致，或选用制造商规定的特定修</w:t>
      </w:r>
      <w:r>
        <w:rPr>
          <w:rFonts w:ascii="黑体" w:hAnsi="黑体" w:cs="Arial"/>
          <w:szCs w:val="18"/>
        </w:rPr>
        <w:t xml:space="preserve"> </w:t>
      </w:r>
      <w:r>
        <w:rPr>
          <w:rFonts w:hint="eastAsia" w:ascii="黑体" w:hAnsi="黑体" w:cs="Arial"/>
          <w:szCs w:val="18"/>
        </w:rPr>
        <w:t>补材料。</w:t>
      </w:r>
      <w:r>
        <w:rPr>
          <w:rFonts w:ascii="黑体" w:hAnsi="黑体" w:cs="Arial"/>
          <w:szCs w:val="18"/>
        </w:rPr>
        <w:t xml:space="preserve"> </w:t>
      </w:r>
    </w:p>
    <w:p w14:paraId="6291A8E7">
      <w:pPr>
        <w:numPr>
          <w:ilvl w:val="0"/>
          <w:numId w:val="144"/>
        </w:numPr>
        <w:spacing w:line="360" w:lineRule="auto"/>
        <w:ind w:left="851"/>
        <w:jc w:val="left"/>
        <w:rPr>
          <w:rFonts w:ascii="黑体" w:hAnsi="黑体" w:cs="Arial"/>
          <w:szCs w:val="18"/>
        </w:rPr>
      </w:pPr>
      <w:r>
        <w:rPr>
          <w:rFonts w:ascii="黑体" w:hAnsi="黑体" w:cs="Arial"/>
          <w:szCs w:val="18"/>
        </w:rPr>
        <w:t xml:space="preserve">3.3.3 </w:t>
      </w:r>
      <w:r>
        <w:rPr>
          <w:rFonts w:hint="eastAsia" w:ascii="黑体" w:hAnsi="黑体" w:cs="Arial"/>
          <w:szCs w:val="18"/>
        </w:rPr>
        <w:t>立即清理相邻表面上多余的密封材料，清理剂选用密封材料和构件制造商认</w:t>
      </w:r>
      <w:r>
        <w:rPr>
          <w:rFonts w:ascii="黑体" w:hAnsi="黑体" w:cs="Arial"/>
          <w:szCs w:val="18"/>
        </w:rPr>
        <w:t xml:space="preserve"> </w:t>
      </w:r>
      <w:r>
        <w:rPr>
          <w:rFonts w:hint="eastAsia" w:ascii="黑体" w:hAnsi="黑体" w:cs="Arial"/>
          <w:szCs w:val="18"/>
        </w:rPr>
        <w:t>可的产品及方法。</w:t>
      </w:r>
      <w:r>
        <w:rPr>
          <w:rFonts w:ascii="黑体" w:hAnsi="黑体" w:cs="Arial"/>
          <w:szCs w:val="18"/>
        </w:rPr>
        <w:t xml:space="preserve"> </w:t>
      </w:r>
    </w:p>
    <w:p w14:paraId="1ED6E926">
      <w:pPr>
        <w:numPr>
          <w:ilvl w:val="0"/>
          <w:numId w:val="144"/>
        </w:numPr>
        <w:spacing w:line="360" w:lineRule="auto"/>
        <w:ind w:left="851"/>
        <w:jc w:val="left"/>
        <w:rPr>
          <w:rFonts w:ascii="黑体" w:hAnsi="黑体" w:cs="Arial"/>
          <w:szCs w:val="18"/>
        </w:rPr>
      </w:pPr>
      <w:r>
        <w:rPr>
          <w:rFonts w:ascii="黑体" w:hAnsi="黑体" w:cs="Arial"/>
          <w:szCs w:val="18"/>
        </w:rPr>
        <w:t xml:space="preserve">3.3.4 </w:t>
      </w:r>
      <w:r>
        <w:rPr>
          <w:rFonts w:hint="eastAsia" w:ascii="黑体" w:hAnsi="黑体" w:cs="Arial"/>
          <w:szCs w:val="18"/>
        </w:rPr>
        <w:t>保护</w:t>
      </w:r>
      <w:r>
        <w:rPr>
          <w:rFonts w:ascii="黑体" w:hAnsi="黑体" w:cs="Arial"/>
          <w:szCs w:val="18"/>
        </w:rPr>
        <w:t xml:space="preserve"> (1)</w:t>
      </w:r>
      <w:r>
        <w:rPr>
          <w:rFonts w:hint="eastAsia" w:ascii="黑体" w:hAnsi="黑体" w:cs="Arial"/>
          <w:szCs w:val="18"/>
        </w:rPr>
        <w:t>在保护期间保护以安装号的部分。</w:t>
      </w:r>
      <w:r>
        <w:rPr>
          <w:rFonts w:ascii="黑体" w:hAnsi="黑体" w:cs="Arial"/>
          <w:szCs w:val="18"/>
        </w:rPr>
        <w:t xml:space="preserve"> </w:t>
      </w:r>
    </w:p>
    <w:p w14:paraId="7C16BE15">
      <w:pPr>
        <w:numPr>
          <w:ilvl w:val="0"/>
          <w:numId w:val="144"/>
        </w:numPr>
        <w:spacing w:line="360" w:lineRule="auto"/>
        <w:ind w:left="851"/>
        <w:jc w:val="left"/>
        <w:rPr>
          <w:rFonts w:ascii="黑体" w:hAnsi="黑体" w:cs="Arial"/>
          <w:szCs w:val="18"/>
        </w:rPr>
      </w:pPr>
      <w:r>
        <w:rPr>
          <w:rFonts w:ascii="黑体" w:hAnsi="黑体" w:cs="Arial"/>
          <w:szCs w:val="18"/>
        </w:rPr>
        <w:t>(2)</w:t>
      </w:r>
      <w:r>
        <w:rPr>
          <w:rFonts w:hint="eastAsia" w:ascii="黑体" w:hAnsi="黑体" w:cs="Arial"/>
          <w:szCs w:val="18"/>
        </w:rPr>
        <w:t>在安装过程中保护相邻表面不受到损伤和污染变色。</w:t>
      </w:r>
    </w:p>
    <w:p w14:paraId="1857CB62">
      <w:pPr>
        <w:spacing w:line="360" w:lineRule="auto"/>
        <w:jc w:val="left"/>
        <w:rPr>
          <w:rFonts w:ascii="黑体" w:hAnsi="黑体" w:cs="Arial"/>
          <w:szCs w:val="18"/>
        </w:rPr>
      </w:pPr>
    </w:p>
    <w:p w14:paraId="6121CBF7">
      <w:pPr>
        <w:spacing w:line="360" w:lineRule="auto"/>
        <w:jc w:val="left"/>
        <w:rPr>
          <w:rFonts w:ascii="黑体" w:hAnsi="黑体" w:cs="Arial"/>
          <w:szCs w:val="18"/>
        </w:rPr>
      </w:pPr>
    </w:p>
    <w:p w14:paraId="29E6419E">
      <w:pPr>
        <w:widowControl/>
        <w:jc w:val="left"/>
        <w:rPr>
          <w:rFonts w:ascii="黑体" w:hAnsi="黑体" w:cs="Arial"/>
          <w:szCs w:val="18"/>
        </w:rPr>
      </w:pPr>
      <w:r>
        <w:rPr>
          <w:rFonts w:ascii="黑体" w:hAnsi="黑体" w:cs="Arial"/>
          <w:szCs w:val="18"/>
        </w:rPr>
        <w:br w:type="page"/>
      </w:r>
    </w:p>
    <w:p w14:paraId="77177084">
      <w:pPr>
        <w:widowControl/>
        <w:tabs>
          <w:tab w:val="right" w:pos="9840"/>
        </w:tabs>
        <w:spacing w:after="200" w:line="276" w:lineRule="auto"/>
        <w:jc w:val="center"/>
        <w:rPr>
          <w:rFonts w:ascii="黑体" w:hAnsi="黑体" w:cs="宋体"/>
          <w:b/>
          <w:bCs/>
          <w:spacing w:val="1"/>
          <w:kern w:val="0"/>
          <w:position w:val="-3"/>
          <w:sz w:val="21"/>
          <w:szCs w:val="21"/>
        </w:rPr>
      </w:pPr>
      <w:bookmarkStart w:id="192" w:name="OLE_LINK1"/>
      <w:r>
        <w:rPr>
          <w:rFonts w:hint="eastAsia" w:ascii="黑体" w:hAnsi="黑体" w:cs="宋体"/>
          <w:b/>
          <w:bCs/>
          <w:spacing w:val="1"/>
          <w:kern w:val="0"/>
          <w:position w:val="-3"/>
          <w:sz w:val="21"/>
          <w:szCs w:val="21"/>
        </w:rPr>
        <w:t>附件</w:t>
      </w:r>
      <w:r>
        <w:rPr>
          <w:rFonts w:hint="eastAsia" w:ascii="黑体" w:hAnsi="黑体" w:cs="宋体"/>
          <w:b/>
          <w:bCs/>
          <w:spacing w:val="1"/>
          <w:kern w:val="0"/>
          <w:position w:val="-3"/>
          <w:sz w:val="21"/>
          <w:szCs w:val="21"/>
          <w:lang w:val="en-US" w:eastAsia="zh-CN"/>
        </w:rPr>
        <w:t>二</w:t>
      </w:r>
      <w:r>
        <w:rPr>
          <w:rFonts w:hint="eastAsia" w:ascii="黑体" w:hAnsi="黑体" w:cs="宋体"/>
          <w:b/>
          <w:bCs/>
          <w:spacing w:val="1"/>
          <w:kern w:val="0"/>
          <w:position w:val="-3"/>
          <w:sz w:val="21"/>
          <w:szCs w:val="21"/>
        </w:rPr>
        <w:t>：《疏水板技术标准》</w:t>
      </w:r>
    </w:p>
    <w:bookmarkEnd w:id="192"/>
    <w:p w14:paraId="77E13713">
      <w:pPr>
        <w:spacing w:line="360" w:lineRule="auto"/>
        <w:jc w:val="left"/>
        <w:rPr>
          <w:rFonts w:ascii="黑体" w:hAnsi="黑体" w:cs="Arial"/>
          <w:szCs w:val="18"/>
        </w:rPr>
      </w:pPr>
      <w:r>
        <w:rPr>
          <w:rFonts w:hint="eastAsia" w:ascii="黑体" w:hAnsi="黑体" w:cs="Arial"/>
          <w:szCs w:val="18"/>
        </w:rPr>
        <w:t>国家规范及相关标准：</w:t>
      </w:r>
    </w:p>
    <w:p w14:paraId="237746B8">
      <w:pPr>
        <w:widowControl/>
        <w:numPr>
          <w:ilvl w:val="0"/>
          <w:numId w:val="173"/>
        </w:numPr>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疏水板物理性能，应满足国标《高分子防水材料GB18173.1-2012 》及《 JCT 2112-2012 塑料防护排水板》相关要求；</w:t>
      </w:r>
    </w:p>
    <w:p w14:paraId="0527C66A">
      <w:pPr>
        <w:widowControl/>
        <w:numPr>
          <w:ilvl w:val="0"/>
          <w:numId w:val="173"/>
        </w:numPr>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地下室底板及顶板疏水板型号、花管均一致；</w:t>
      </w:r>
    </w:p>
    <w:p w14:paraId="69666389">
      <w:pPr>
        <w:widowControl/>
        <w:tabs>
          <w:tab w:val="right" w:pos="9840"/>
        </w:tabs>
        <w:spacing w:after="200" w:line="276" w:lineRule="auto"/>
        <w:jc w:val="left"/>
        <w:rPr>
          <w:rFonts w:ascii="黑体" w:hAnsi="黑体" w:cs="宋体"/>
          <w:bCs/>
          <w:spacing w:val="1"/>
          <w:kern w:val="0"/>
          <w:position w:val="-3"/>
          <w:szCs w:val="18"/>
        </w:rPr>
      </w:pPr>
      <w:r>
        <w:rPr>
          <w:rFonts w:hint="eastAsia" w:ascii="黑体" w:hAnsi="黑体" w:cs="宋体"/>
          <w:bCs/>
          <w:spacing w:val="1"/>
          <w:kern w:val="0"/>
          <w:position w:val="-3"/>
          <w:szCs w:val="18"/>
        </w:rPr>
        <w:t>具体技术要求如下：</w:t>
      </w:r>
    </w:p>
    <w:tbl>
      <w:tblPr>
        <w:tblStyle w:val="36"/>
        <w:tblW w:w="9528" w:type="dxa"/>
        <w:tblInd w:w="0" w:type="dxa"/>
        <w:tblLayout w:type="autofit"/>
        <w:tblCellMar>
          <w:top w:w="0" w:type="dxa"/>
          <w:left w:w="0" w:type="dxa"/>
          <w:bottom w:w="0" w:type="dxa"/>
          <w:right w:w="0" w:type="dxa"/>
        </w:tblCellMar>
      </w:tblPr>
      <w:tblGrid>
        <w:gridCol w:w="1602"/>
        <w:gridCol w:w="2088"/>
        <w:gridCol w:w="2542"/>
        <w:gridCol w:w="3296"/>
      </w:tblGrid>
      <w:tr w14:paraId="43E2735D">
        <w:tblPrEx>
          <w:tblCellMar>
            <w:top w:w="0" w:type="dxa"/>
            <w:left w:w="0" w:type="dxa"/>
            <w:bottom w:w="0" w:type="dxa"/>
            <w:right w:w="0" w:type="dxa"/>
          </w:tblCellMar>
        </w:tblPrEx>
        <w:trPr>
          <w:trHeight w:val="207" w:hRule="atLeast"/>
        </w:trPr>
        <w:tc>
          <w:tcPr>
            <w:tcW w:w="9528"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11EA5B16">
            <w:pPr>
              <w:widowControl/>
              <w:tabs>
                <w:tab w:val="right" w:pos="9840"/>
              </w:tabs>
              <w:spacing w:after="200"/>
              <w:ind w:firstLine="3837" w:firstLineChars="2100"/>
              <w:jc w:val="left"/>
              <w:rPr>
                <w:rFonts w:ascii="黑体" w:hAnsi="黑体" w:cs="宋体"/>
                <w:b/>
                <w:bCs/>
                <w:spacing w:val="1"/>
                <w:kern w:val="0"/>
                <w:position w:val="-3"/>
                <w:szCs w:val="18"/>
              </w:rPr>
            </w:pPr>
            <w:r>
              <w:rPr>
                <w:rFonts w:hint="eastAsia" w:ascii="黑体" w:hAnsi="黑体" w:cs="宋体"/>
                <w:b/>
                <w:bCs/>
                <w:spacing w:val="1"/>
                <w:kern w:val="0"/>
                <w:position w:val="-3"/>
                <w:szCs w:val="18"/>
              </w:rPr>
              <w:t>疏水板技术要求</w:t>
            </w:r>
          </w:p>
        </w:tc>
      </w:tr>
      <w:tr w14:paraId="4ADE850D">
        <w:tblPrEx>
          <w:tblCellMar>
            <w:top w:w="0" w:type="dxa"/>
            <w:left w:w="0" w:type="dxa"/>
            <w:bottom w:w="0" w:type="dxa"/>
            <w:right w:w="0" w:type="dxa"/>
          </w:tblCellMar>
        </w:tblPrEx>
        <w:trPr>
          <w:trHeight w:val="189" w:hRule="atLeast"/>
        </w:trPr>
        <w:tc>
          <w:tcPr>
            <w:tcW w:w="1602"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7872B591">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高强复合滤水垫</w:t>
            </w:r>
          </w:p>
        </w:tc>
        <w:tc>
          <w:tcPr>
            <w:tcW w:w="2088"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593DFAB2">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材质</w:t>
            </w:r>
          </w:p>
        </w:tc>
        <w:tc>
          <w:tcPr>
            <w:tcW w:w="2542"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31F86182">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涤纶+聚乙烯（HDPE）</w:t>
            </w:r>
          </w:p>
        </w:tc>
        <w:tc>
          <w:tcPr>
            <w:tcW w:w="3294" w:type="dxa"/>
            <w:tcBorders>
              <w:top w:val="single" w:color="080000" w:sz="8" w:space="0"/>
              <w:left w:val="single" w:color="auto" w:sz="4" w:space="0"/>
              <w:bottom w:val="single" w:color="080000" w:sz="8" w:space="0"/>
              <w:right w:val="single" w:color="080000" w:sz="8" w:space="0"/>
            </w:tcBorders>
            <w:shd w:val="clear" w:color="auto" w:fill="auto"/>
            <w:tcMar>
              <w:top w:w="15" w:type="dxa"/>
              <w:left w:w="108" w:type="dxa"/>
              <w:bottom w:w="0" w:type="dxa"/>
              <w:right w:w="108" w:type="dxa"/>
            </w:tcMar>
            <w:vAlign w:val="center"/>
          </w:tcPr>
          <w:p w14:paraId="076A1462">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土工布与多维立体网芯一体复合，</w:t>
            </w:r>
          </w:p>
          <w:p w14:paraId="7D2CF61C">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适用于地下室顶板区域</w:t>
            </w:r>
          </w:p>
        </w:tc>
      </w:tr>
      <w:tr w14:paraId="16662D88">
        <w:tblPrEx>
          <w:tblCellMar>
            <w:top w:w="0" w:type="dxa"/>
            <w:left w:w="0" w:type="dxa"/>
            <w:bottom w:w="0" w:type="dxa"/>
            <w:right w:w="0" w:type="dxa"/>
          </w:tblCellMar>
        </w:tblPrEx>
        <w:trPr>
          <w:trHeight w:val="165" w:hRule="atLeast"/>
        </w:trPr>
        <w:tc>
          <w:tcPr>
            <w:tcW w:w="160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1A863455">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疏水板</w:t>
            </w:r>
          </w:p>
        </w:tc>
        <w:tc>
          <w:tcPr>
            <w:tcW w:w="2088"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7EBE1484">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材质</w:t>
            </w:r>
          </w:p>
        </w:tc>
        <w:tc>
          <w:tcPr>
            <w:tcW w:w="2542"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462A9890">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高密度聚乙烯（HDPE）</w:t>
            </w:r>
          </w:p>
        </w:tc>
        <w:tc>
          <w:tcPr>
            <w:tcW w:w="3294" w:type="dxa"/>
            <w:tcBorders>
              <w:top w:val="single" w:color="080000" w:sz="8" w:space="0"/>
              <w:left w:val="single" w:color="auto" w:sz="4" w:space="0"/>
              <w:bottom w:val="single" w:color="080000" w:sz="8" w:space="0"/>
              <w:right w:val="single" w:color="080000" w:sz="8" w:space="0"/>
            </w:tcBorders>
            <w:shd w:val="clear" w:color="auto" w:fill="auto"/>
            <w:tcMar>
              <w:top w:w="15" w:type="dxa"/>
              <w:left w:w="108" w:type="dxa"/>
              <w:bottom w:w="0" w:type="dxa"/>
              <w:right w:w="108" w:type="dxa"/>
            </w:tcMar>
            <w:vAlign w:val="center"/>
          </w:tcPr>
          <w:p w14:paraId="2AA387C9">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 xml:space="preserve">  </w:t>
            </w:r>
          </w:p>
        </w:tc>
      </w:tr>
      <w:tr w14:paraId="5CF2FCE4">
        <w:tblPrEx>
          <w:tblCellMar>
            <w:top w:w="0" w:type="dxa"/>
            <w:left w:w="0" w:type="dxa"/>
            <w:bottom w:w="0" w:type="dxa"/>
            <w:right w:w="0" w:type="dxa"/>
          </w:tblCellMar>
        </w:tblPrEx>
        <w:trPr>
          <w:trHeight w:val="16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944EBC3">
            <w:pPr>
              <w:widowControl/>
              <w:tabs>
                <w:tab w:val="right" w:pos="9840"/>
              </w:tabs>
              <w:spacing w:after="200"/>
              <w:jc w:val="left"/>
              <w:rPr>
                <w:rFonts w:ascii="黑体" w:hAnsi="黑体" w:cs="宋体"/>
                <w:bCs/>
                <w:spacing w:val="1"/>
                <w:kern w:val="0"/>
                <w:position w:val="-3"/>
                <w:szCs w:val="18"/>
              </w:rPr>
            </w:pPr>
          </w:p>
        </w:tc>
        <w:tc>
          <w:tcPr>
            <w:tcW w:w="2088"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7D2B7B93">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高度</w:t>
            </w:r>
          </w:p>
        </w:tc>
        <w:tc>
          <w:tcPr>
            <w:tcW w:w="2542"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5C5A6CE5">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20mm</w:t>
            </w:r>
          </w:p>
        </w:tc>
        <w:tc>
          <w:tcPr>
            <w:tcW w:w="3294" w:type="dxa"/>
            <w:tcBorders>
              <w:top w:val="single" w:color="080000" w:sz="8" w:space="0"/>
              <w:left w:val="single" w:color="auto" w:sz="4" w:space="0"/>
              <w:bottom w:val="single" w:color="080000" w:sz="8" w:space="0"/>
              <w:right w:val="single" w:color="080000" w:sz="8" w:space="0"/>
            </w:tcBorders>
            <w:shd w:val="clear" w:color="auto" w:fill="auto"/>
            <w:tcMar>
              <w:top w:w="15" w:type="dxa"/>
              <w:left w:w="108" w:type="dxa"/>
              <w:bottom w:w="0" w:type="dxa"/>
              <w:right w:w="108" w:type="dxa"/>
            </w:tcMar>
            <w:vAlign w:val="center"/>
          </w:tcPr>
          <w:p w14:paraId="3D5961AA">
            <w:pPr>
              <w:widowControl/>
              <w:tabs>
                <w:tab w:val="right" w:pos="9840"/>
              </w:tabs>
              <w:spacing w:after="200"/>
              <w:jc w:val="left"/>
              <w:rPr>
                <w:rFonts w:ascii="黑体" w:hAnsi="黑体" w:cs="宋体"/>
                <w:bCs/>
                <w:spacing w:val="1"/>
                <w:kern w:val="0"/>
                <w:position w:val="-3"/>
                <w:szCs w:val="18"/>
              </w:rPr>
            </w:pPr>
          </w:p>
        </w:tc>
      </w:tr>
      <w:tr w14:paraId="7204DE22">
        <w:tblPrEx>
          <w:tblCellMar>
            <w:top w:w="0" w:type="dxa"/>
            <w:left w:w="0" w:type="dxa"/>
            <w:bottom w:w="0" w:type="dxa"/>
            <w:right w:w="0" w:type="dxa"/>
          </w:tblCellMar>
        </w:tblPrEx>
        <w:trPr>
          <w:trHeight w:val="16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9A410D">
            <w:pPr>
              <w:widowControl/>
              <w:tabs>
                <w:tab w:val="right" w:pos="9840"/>
              </w:tabs>
              <w:spacing w:after="200"/>
              <w:jc w:val="left"/>
              <w:rPr>
                <w:rFonts w:ascii="黑体" w:hAnsi="黑体" w:cs="宋体"/>
                <w:bCs/>
                <w:spacing w:val="1"/>
                <w:kern w:val="0"/>
                <w:position w:val="-3"/>
                <w:szCs w:val="18"/>
              </w:rPr>
            </w:pPr>
          </w:p>
        </w:tc>
        <w:tc>
          <w:tcPr>
            <w:tcW w:w="2088"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6CF3D1FB">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抗压强度（种植区）</w:t>
            </w:r>
          </w:p>
        </w:tc>
        <w:tc>
          <w:tcPr>
            <w:tcW w:w="2542"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2B8019A0">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≥300KPa/㎡</w:t>
            </w:r>
          </w:p>
        </w:tc>
        <w:tc>
          <w:tcPr>
            <w:tcW w:w="3294" w:type="dxa"/>
            <w:tcBorders>
              <w:top w:val="single" w:color="080000" w:sz="8" w:space="0"/>
              <w:left w:val="single" w:color="auto" w:sz="4" w:space="0"/>
              <w:bottom w:val="single" w:color="080000" w:sz="8" w:space="0"/>
              <w:right w:val="single" w:color="080000" w:sz="8" w:space="0"/>
            </w:tcBorders>
            <w:shd w:val="clear" w:color="auto" w:fill="auto"/>
            <w:tcMar>
              <w:top w:w="15" w:type="dxa"/>
              <w:left w:w="108" w:type="dxa"/>
              <w:bottom w:w="0" w:type="dxa"/>
              <w:right w:w="108" w:type="dxa"/>
            </w:tcMar>
            <w:vAlign w:val="center"/>
          </w:tcPr>
          <w:p w14:paraId="76E273D3">
            <w:pPr>
              <w:widowControl/>
              <w:tabs>
                <w:tab w:val="right" w:pos="9840"/>
              </w:tabs>
              <w:spacing w:after="200"/>
              <w:jc w:val="left"/>
              <w:rPr>
                <w:rFonts w:ascii="黑体" w:hAnsi="黑体" w:cs="宋体"/>
                <w:bCs/>
                <w:spacing w:val="1"/>
                <w:kern w:val="0"/>
                <w:position w:val="-3"/>
                <w:szCs w:val="18"/>
              </w:rPr>
            </w:pPr>
          </w:p>
        </w:tc>
      </w:tr>
      <w:tr w14:paraId="20EB3955">
        <w:tblPrEx>
          <w:tblCellMar>
            <w:top w:w="0" w:type="dxa"/>
            <w:left w:w="0" w:type="dxa"/>
            <w:bottom w:w="0" w:type="dxa"/>
            <w:right w:w="0" w:type="dxa"/>
          </w:tblCellMar>
        </w:tblPrEx>
        <w:trPr>
          <w:trHeight w:val="165" w:hRule="atLeast"/>
        </w:trPr>
        <w:tc>
          <w:tcPr>
            <w:tcW w:w="160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489A9975">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无纺布花管</w:t>
            </w:r>
          </w:p>
        </w:tc>
        <w:tc>
          <w:tcPr>
            <w:tcW w:w="2088"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604F1710">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材质</w:t>
            </w:r>
          </w:p>
        </w:tc>
        <w:tc>
          <w:tcPr>
            <w:tcW w:w="2542"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09049F8D">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高密度聚乙烯（HDPE）</w:t>
            </w:r>
          </w:p>
        </w:tc>
        <w:tc>
          <w:tcPr>
            <w:tcW w:w="3294" w:type="dxa"/>
            <w:tcBorders>
              <w:top w:val="single" w:color="080000" w:sz="8" w:space="0"/>
              <w:left w:val="single" w:color="auto" w:sz="4" w:space="0"/>
              <w:bottom w:val="single" w:color="080000" w:sz="8" w:space="0"/>
              <w:right w:val="single" w:color="080000" w:sz="8" w:space="0"/>
            </w:tcBorders>
            <w:shd w:val="clear" w:color="auto" w:fill="auto"/>
            <w:tcMar>
              <w:top w:w="15" w:type="dxa"/>
              <w:left w:w="108" w:type="dxa"/>
              <w:bottom w:w="0" w:type="dxa"/>
              <w:right w:w="108" w:type="dxa"/>
            </w:tcMar>
            <w:vAlign w:val="center"/>
          </w:tcPr>
          <w:p w14:paraId="398381FB">
            <w:pPr>
              <w:widowControl/>
              <w:tabs>
                <w:tab w:val="right" w:pos="9840"/>
              </w:tabs>
              <w:spacing w:after="200"/>
              <w:jc w:val="left"/>
              <w:rPr>
                <w:rFonts w:ascii="黑体" w:hAnsi="黑体" w:cs="宋体"/>
                <w:bCs/>
                <w:spacing w:val="1"/>
                <w:kern w:val="0"/>
                <w:position w:val="-3"/>
                <w:szCs w:val="18"/>
              </w:rPr>
            </w:pPr>
          </w:p>
        </w:tc>
      </w:tr>
      <w:tr w14:paraId="7250F97E">
        <w:tblPrEx>
          <w:tblCellMar>
            <w:top w:w="0" w:type="dxa"/>
            <w:left w:w="0" w:type="dxa"/>
            <w:bottom w:w="0" w:type="dxa"/>
            <w:right w:w="0" w:type="dxa"/>
          </w:tblCellMar>
        </w:tblPrEx>
        <w:trPr>
          <w:trHeight w:val="16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EBB961">
            <w:pPr>
              <w:widowControl/>
              <w:tabs>
                <w:tab w:val="right" w:pos="9840"/>
              </w:tabs>
              <w:spacing w:after="200"/>
              <w:jc w:val="left"/>
              <w:rPr>
                <w:rFonts w:ascii="黑体" w:hAnsi="黑体" w:cs="宋体"/>
                <w:bCs/>
                <w:spacing w:val="1"/>
                <w:kern w:val="0"/>
                <w:position w:val="-3"/>
                <w:szCs w:val="18"/>
              </w:rPr>
            </w:pPr>
          </w:p>
        </w:tc>
        <w:tc>
          <w:tcPr>
            <w:tcW w:w="2088"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25F57889">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间距</w:t>
            </w:r>
          </w:p>
        </w:tc>
        <w:tc>
          <w:tcPr>
            <w:tcW w:w="2542" w:type="dxa"/>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54854FA9">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6米</w:t>
            </w:r>
          </w:p>
        </w:tc>
        <w:tc>
          <w:tcPr>
            <w:tcW w:w="3294" w:type="dxa"/>
            <w:tcBorders>
              <w:top w:val="single" w:color="080000" w:sz="8" w:space="0"/>
              <w:left w:val="single" w:color="auto" w:sz="4" w:space="0"/>
              <w:bottom w:val="single" w:color="080000" w:sz="8" w:space="0"/>
              <w:right w:val="single" w:color="080000" w:sz="8" w:space="0"/>
            </w:tcBorders>
            <w:shd w:val="clear" w:color="auto" w:fill="auto"/>
            <w:tcMar>
              <w:top w:w="15" w:type="dxa"/>
              <w:left w:w="108" w:type="dxa"/>
              <w:bottom w:w="0" w:type="dxa"/>
              <w:right w:w="108" w:type="dxa"/>
            </w:tcMar>
            <w:vAlign w:val="center"/>
          </w:tcPr>
          <w:p w14:paraId="7C3D045C">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辅助排水</w:t>
            </w:r>
          </w:p>
        </w:tc>
      </w:tr>
      <w:tr w14:paraId="61C235D6">
        <w:tblPrEx>
          <w:tblCellMar>
            <w:top w:w="0" w:type="dxa"/>
            <w:left w:w="0" w:type="dxa"/>
            <w:bottom w:w="0" w:type="dxa"/>
            <w:right w:w="0" w:type="dxa"/>
          </w:tblCellMar>
        </w:tblPrEx>
        <w:trPr>
          <w:trHeight w:val="165" w:hRule="atLeast"/>
        </w:trPr>
        <w:tc>
          <w:tcPr>
            <w:tcW w:w="9528" w:type="dxa"/>
            <w:gridSpan w:val="4"/>
            <w:tcBorders>
              <w:top w:val="single" w:color="auto" w:sz="4" w:space="0"/>
              <w:left w:val="single" w:color="auto" w:sz="4" w:space="0"/>
              <w:bottom w:val="single" w:color="auto" w:sz="4" w:space="0"/>
              <w:right w:val="single" w:color="auto" w:sz="4" w:space="0"/>
            </w:tcBorders>
            <w:shd w:val="clear" w:color="auto" w:fill="auto"/>
            <w:tcMar>
              <w:top w:w="15" w:type="dxa"/>
              <w:left w:w="108" w:type="dxa"/>
              <w:bottom w:w="0" w:type="dxa"/>
              <w:right w:w="108" w:type="dxa"/>
            </w:tcMar>
            <w:vAlign w:val="center"/>
          </w:tcPr>
          <w:p w14:paraId="38572617">
            <w:pPr>
              <w:widowControl/>
              <w:tabs>
                <w:tab w:val="right" w:pos="9840"/>
              </w:tabs>
              <w:spacing w:after="200"/>
              <w:jc w:val="left"/>
              <w:rPr>
                <w:rFonts w:ascii="黑体" w:hAnsi="黑体" w:cs="宋体"/>
                <w:bCs/>
                <w:spacing w:val="1"/>
                <w:kern w:val="0"/>
                <w:position w:val="-3"/>
                <w:szCs w:val="18"/>
              </w:rPr>
            </w:pPr>
            <w:r>
              <w:rPr>
                <w:rFonts w:hint="eastAsia" w:ascii="黑体" w:hAnsi="黑体" w:cs="宋体"/>
                <w:bCs/>
                <w:spacing w:val="1"/>
                <w:kern w:val="0"/>
                <w:position w:val="-3"/>
                <w:szCs w:val="18"/>
              </w:rPr>
              <w:t>注：疏水板其他物理性能，应满足国标《高分子防水材料GB18173.1-2012 》及《 JCT 2112-2012 塑料防护排水板》相关要求；</w:t>
            </w:r>
          </w:p>
        </w:tc>
      </w:tr>
    </w:tbl>
    <w:p w14:paraId="64A451EA">
      <w:pPr>
        <w:spacing w:line="360" w:lineRule="auto"/>
        <w:jc w:val="left"/>
        <w:rPr>
          <w:rFonts w:ascii="黑体" w:hAnsi="黑体" w:cs="Arial"/>
          <w:szCs w:val="18"/>
        </w:rPr>
      </w:pPr>
      <w:r>
        <w:rPr>
          <w:rFonts w:ascii="黑体" w:hAnsi="黑体" w:cs="Arial"/>
          <w:szCs w:val="18"/>
        </w:rPr>
        <mc:AlternateContent>
          <mc:Choice Requires="wps">
            <w:drawing>
              <wp:anchor distT="0" distB="0" distL="114300" distR="114300" simplePos="0" relativeHeight="251665408" behindDoc="0" locked="0" layoutInCell="1" allowOverlap="1">
                <wp:simplePos x="0" y="0"/>
                <wp:positionH relativeFrom="column">
                  <wp:posOffset>3227070</wp:posOffset>
                </wp:positionH>
                <wp:positionV relativeFrom="paragraph">
                  <wp:posOffset>859790</wp:posOffset>
                </wp:positionV>
                <wp:extent cx="624840" cy="982980"/>
                <wp:effectExtent l="0" t="0" r="22860" b="26670"/>
                <wp:wrapNone/>
                <wp:docPr id="82" name="矩形: 圆角 82"/>
                <wp:cNvGraphicFramePr/>
                <a:graphic xmlns:a="http://schemas.openxmlformats.org/drawingml/2006/main">
                  <a:graphicData uri="http://schemas.microsoft.com/office/word/2010/wordprocessingShape">
                    <wps:wsp>
                      <wps:cNvSpPr/>
                      <wps:spPr>
                        <a:xfrm>
                          <a:off x="0" y="0"/>
                          <a:ext cx="624840" cy="982980"/>
                        </a:xfrm>
                        <a:prstGeom prst="round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82" o:spid="_x0000_s1026" o:spt="2" style="position:absolute;left:0pt;margin-left:254.1pt;margin-top:67.7pt;height:77.4pt;width:49.2pt;z-index:251665408;v-text-anchor:middle;mso-width-relative:page;mso-height-relative:page;" filled="f" stroked="t" coordsize="21600,21600" arcsize="0.166666666666667" o:gfxdata="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7WkkTdgAAAALAQAADwAAAAAAAAABACAAAAAiAAAAZHJzL2Rv&#10;d25yZXYueG1sUEsBAhQAFAAAAAgAh07iQK+8/GRzAgAAxAQAAA4AAAAAAAAAAQAgAAAAJwEAAGRy&#10;cy9lMm9Eb2MueG1sUEsFBgAAAAAGAAYAWQEAAAwGAAAAAA==&#10;">
                <v:fill on="f" focussize="0,0"/>
                <v:stroke weight="2pt" color="#FF0000 [3204]" joinstyle="round" dashstyle="3 1"/>
                <v:imagedata o:title=""/>
                <o:lock v:ext="edit" aspectratio="f"/>
              </v:roundrect>
            </w:pict>
          </mc:Fallback>
        </mc:AlternateContent>
      </w:r>
      <w:r>
        <w:rPr>
          <w:rFonts w:ascii="黑体" w:hAnsi="黑体" w:cs="Arial"/>
          <w:szCs w:val="18"/>
        </w:rPr>
        <w:drawing>
          <wp:inline distT="0" distB="0" distL="0" distR="0">
            <wp:extent cx="4625340" cy="3290570"/>
            <wp:effectExtent l="0" t="0" r="0" b="381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59"/>
                    <a:stretch>
                      <a:fillRect/>
                    </a:stretch>
                  </pic:blipFill>
                  <pic:spPr>
                    <a:xfrm>
                      <a:off x="0" y="0"/>
                      <a:ext cx="4625340" cy="3290636"/>
                    </a:xfrm>
                    <a:prstGeom prst="rect">
                      <a:avLst/>
                    </a:prstGeom>
                  </pic:spPr>
                </pic:pic>
              </a:graphicData>
            </a:graphic>
          </wp:inline>
        </w:drawing>
      </w:r>
    </w:p>
    <w:p w14:paraId="09EF904D">
      <w:pPr>
        <w:widowControl/>
        <w:jc w:val="center"/>
        <w:rPr>
          <w:rFonts w:ascii="黑体" w:hAnsi="黑体" w:cs="Arial"/>
          <w:b/>
          <w:spacing w:val="10"/>
          <w:sz w:val="21"/>
          <w:szCs w:val="21"/>
        </w:rPr>
      </w:pPr>
      <w:bookmarkStart w:id="193" w:name="_Hlk174436459"/>
      <w:r>
        <w:rPr>
          <w:rFonts w:ascii="黑体" w:hAnsi="黑体" w:cs="Arial"/>
          <w:b/>
          <w:spacing w:val="10"/>
          <w:szCs w:val="18"/>
        </w:rPr>
        <w:br w:type="page"/>
      </w:r>
      <w:r>
        <w:rPr>
          <w:rFonts w:hint="eastAsia" w:ascii="黑体" w:hAnsi="黑体" w:cs="Arial"/>
          <w:b/>
          <w:spacing w:val="10"/>
          <w:sz w:val="21"/>
          <w:szCs w:val="21"/>
        </w:rPr>
        <w:t>附件</w:t>
      </w:r>
      <w:r>
        <w:rPr>
          <w:rFonts w:hint="eastAsia" w:ascii="黑体" w:hAnsi="黑体" w:cs="Arial"/>
          <w:b/>
          <w:spacing w:val="10"/>
          <w:sz w:val="21"/>
          <w:szCs w:val="21"/>
          <w:lang w:val="en-US" w:eastAsia="zh-CN"/>
        </w:rPr>
        <w:t>三</w:t>
      </w:r>
      <w:r>
        <w:rPr>
          <w:rFonts w:hint="eastAsia" w:ascii="黑体" w:hAnsi="黑体" w:cs="Arial"/>
          <w:b/>
          <w:spacing w:val="10"/>
          <w:sz w:val="21"/>
          <w:szCs w:val="21"/>
        </w:rPr>
        <w:t>：</w:t>
      </w:r>
      <w:r>
        <w:rPr>
          <w:rFonts w:ascii="黑体" w:hAnsi="黑体" w:cs="Arial"/>
          <w:b/>
          <w:spacing w:val="10"/>
          <w:sz w:val="21"/>
          <w:szCs w:val="21"/>
        </w:rPr>
        <w:t>浮筑楼板技术规范</w:t>
      </w:r>
    </w:p>
    <w:p w14:paraId="76C84475">
      <w:pPr>
        <w:widowControl/>
        <w:jc w:val="left"/>
        <w:rPr>
          <w:rFonts w:ascii="黑体" w:hAnsi="黑体" w:cs="Arial"/>
          <w:szCs w:val="18"/>
        </w:rPr>
      </w:pPr>
    </w:p>
    <w:p w14:paraId="3B42D3A4">
      <w:pPr>
        <w:widowControl/>
        <w:numPr>
          <w:ilvl w:val="0"/>
          <w:numId w:val="174"/>
        </w:numPr>
        <w:tabs>
          <w:tab w:val="left" w:pos="851"/>
        </w:tabs>
        <w:ind w:left="851" w:hanging="851"/>
        <w:jc w:val="left"/>
        <w:rPr>
          <w:rFonts w:ascii="黑体" w:hAnsi="黑体" w:cs="Arial"/>
          <w:b/>
          <w:szCs w:val="18"/>
        </w:rPr>
      </w:pPr>
      <w:r>
        <w:rPr>
          <w:rFonts w:ascii="黑体" w:hAnsi="黑体" w:cs="Arial"/>
          <w:b/>
          <w:szCs w:val="18"/>
        </w:rPr>
        <w:t>概述</w:t>
      </w:r>
    </w:p>
    <w:p w14:paraId="01239274">
      <w:pPr>
        <w:widowControl/>
        <w:numPr>
          <w:ilvl w:val="1"/>
          <w:numId w:val="174"/>
        </w:numPr>
        <w:tabs>
          <w:tab w:val="left" w:pos="851"/>
        </w:tabs>
        <w:ind w:left="851" w:hanging="851"/>
        <w:jc w:val="left"/>
        <w:rPr>
          <w:rFonts w:ascii="黑体" w:hAnsi="黑体" w:cs="Arial"/>
          <w:szCs w:val="18"/>
          <w:u w:val="single"/>
        </w:rPr>
      </w:pPr>
      <w:r>
        <w:rPr>
          <w:rFonts w:ascii="黑体" w:hAnsi="黑体" w:cs="Arial"/>
          <w:szCs w:val="18"/>
          <w:u w:val="single"/>
        </w:rPr>
        <w:t>设计</w:t>
      </w:r>
      <w:r>
        <w:rPr>
          <w:rFonts w:hint="eastAsia" w:ascii="黑体" w:hAnsi="黑体" w:cs="Arial"/>
          <w:szCs w:val="18"/>
          <w:u w:val="single"/>
        </w:rPr>
        <w:t>参考：</w:t>
      </w:r>
      <w:r>
        <w:rPr>
          <w:rFonts w:ascii="黑体" w:hAnsi="黑体" w:cs="Arial"/>
          <w:szCs w:val="18"/>
        </w:rPr>
        <w:t>《</w:t>
      </w:r>
      <w:r>
        <w:rPr>
          <w:rFonts w:hint="eastAsia" w:ascii="黑体" w:hAnsi="黑体" w:cs="Arial"/>
          <w:szCs w:val="18"/>
        </w:rPr>
        <w:t>声学建筑和建筑构件隔声测量</w:t>
      </w:r>
      <w:r>
        <w:rPr>
          <w:rFonts w:ascii="黑体" w:hAnsi="黑体" w:cs="Arial"/>
          <w:szCs w:val="18"/>
        </w:rPr>
        <w:t>》（</w:t>
      </w:r>
      <w:r>
        <w:rPr>
          <w:rFonts w:hint="eastAsia" w:ascii="黑体" w:hAnsi="黑体" w:cs="Arial"/>
          <w:szCs w:val="18"/>
        </w:rPr>
        <w:t xml:space="preserve">GB/T19889-2005 </w:t>
      </w:r>
      <w:r>
        <w:rPr>
          <w:rFonts w:ascii="黑体" w:hAnsi="黑体" w:cs="Arial"/>
          <w:szCs w:val="18"/>
        </w:rPr>
        <w:t>）</w:t>
      </w:r>
      <w:r>
        <w:rPr>
          <w:rFonts w:ascii="黑体" w:hAnsi="黑体" w:cs="Arial"/>
          <w:szCs w:val="18"/>
          <w:u w:val="single"/>
        </w:rPr>
        <w:t>《</w:t>
      </w:r>
      <w:r>
        <w:rPr>
          <w:rFonts w:hint="eastAsia" w:ascii="黑体" w:hAnsi="黑体" w:cs="Arial"/>
          <w:szCs w:val="18"/>
          <w:u w:val="single"/>
        </w:rPr>
        <w:t>民用建筑隔声设计规范</w:t>
      </w:r>
      <w:r>
        <w:rPr>
          <w:rFonts w:ascii="黑体" w:hAnsi="黑体" w:cs="Arial"/>
          <w:szCs w:val="18"/>
          <w:u w:val="single"/>
        </w:rPr>
        <w:t>》（</w:t>
      </w:r>
      <w:r>
        <w:rPr>
          <w:rFonts w:hint="eastAsia" w:ascii="黑体" w:hAnsi="黑体" w:cs="Arial"/>
          <w:szCs w:val="18"/>
          <w:u w:val="single"/>
        </w:rPr>
        <w:t>GB 50118-2010</w:t>
      </w:r>
      <w:r>
        <w:rPr>
          <w:rFonts w:ascii="黑体" w:hAnsi="黑体" w:cs="Arial"/>
          <w:szCs w:val="18"/>
          <w:u w:val="single"/>
        </w:rPr>
        <w:t>）</w:t>
      </w:r>
      <w:r>
        <w:rPr>
          <w:rFonts w:hint="eastAsia" w:ascii="黑体" w:hAnsi="黑体" w:cs="Arial"/>
          <w:szCs w:val="18"/>
          <w:u w:val="single"/>
        </w:rPr>
        <w:t xml:space="preserve">； </w:t>
      </w:r>
    </w:p>
    <w:p w14:paraId="41A1212D">
      <w:pPr>
        <w:widowControl/>
        <w:tabs>
          <w:tab w:val="left" w:pos="851"/>
        </w:tabs>
        <w:ind w:left="851"/>
        <w:jc w:val="left"/>
        <w:rPr>
          <w:rFonts w:ascii="黑体" w:hAnsi="黑体" w:cs="Arial"/>
          <w:szCs w:val="18"/>
        </w:rPr>
      </w:pPr>
    </w:p>
    <w:p w14:paraId="1ED49635">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浮筑地板隔离系统</w:t>
      </w:r>
      <w:r>
        <w:rPr>
          <w:rFonts w:hint="eastAsia" w:ascii="黑体" w:hAnsi="黑体" w:cs="Arial"/>
          <w:szCs w:val="18"/>
        </w:rPr>
        <w:t>上</w:t>
      </w:r>
      <w:r>
        <w:rPr>
          <w:rFonts w:ascii="黑体" w:hAnsi="黑体" w:cs="Arial"/>
          <w:szCs w:val="18"/>
        </w:rPr>
        <w:t>必须</w:t>
      </w:r>
      <w:r>
        <w:rPr>
          <w:rFonts w:hint="eastAsia" w:ascii="黑体" w:hAnsi="黑体" w:cs="Arial"/>
          <w:szCs w:val="18"/>
        </w:rPr>
        <w:t>有</w:t>
      </w:r>
      <w:r>
        <w:rPr>
          <w:rFonts w:ascii="黑体" w:hAnsi="黑体" w:cs="Arial"/>
          <w:szCs w:val="18"/>
        </w:rPr>
        <w:t>150mm 加固混凝土</w:t>
      </w:r>
      <w:r>
        <w:rPr>
          <w:rFonts w:hint="eastAsia" w:ascii="黑体" w:hAnsi="黑体" w:cs="Arial"/>
          <w:szCs w:val="18"/>
        </w:rPr>
        <w:t>板（混凝土标号不低于其下结构楼板的标号）</w:t>
      </w:r>
      <w:r>
        <w:rPr>
          <w:rFonts w:ascii="黑体" w:hAnsi="黑体" w:cs="Arial"/>
          <w:szCs w:val="18"/>
        </w:rPr>
        <w:t>，浮筑</w:t>
      </w:r>
      <w:r>
        <w:rPr>
          <w:rFonts w:hint="eastAsia" w:ascii="黑体" w:hAnsi="黑体" w:cs="Arial"/>
          <w:szCs w:val="18"/>
        </w:rPr>
        <w:t>系统</w:t>
      </w:r>
      <w:r>
        <w:rPr>
          <w:rFonts w:ascii="黑体" w:hAnsi="黑体" w:cs="Arial"/>
          <w:szCs w:val="18"/>
        </w:rPr>
        <w:t>在设计上</w:t>
      </w:r>
      <w:r>
        <w:rPr>
          <w:rFonts w:hint="eastAsia" w:ascii="黑体" w:hAnsi="黑体" w:cs="Arial"/>
          <w:szCs w:val="18"/>
        </w:rPr>
        <w:t>要求</w:t>
      </w:r>
      <w:r>
        <w:rPr>
          <w:rFonts w:ascii="黑体" w:hAnsi="黑体" w:cs="Arial"/>
          <w:szCs w:val="18"/>
        </w:rPr>
        <w:t>可弹性支撑正常重量的混凝土浮筑地板及</w:t>
      </w:r>
      <w:r>
        <w:rPr>
          <w:rFonts w:hint="eastAsia" w:ascii="黑体" w:hAnsi="黑体" w:cs="Arial"/>
          <w:szCs w:val="18"/>
        </w:rPr>
        <w:t>设备安装需要</w:t>
      </w:r>
      <w:r>
        <w:rPr>
          <w:rFonts w:ascii="黑体" w:hAnsi="黑体" w:cs="Arial"/>
          <w:szCs w:val="18"/>
        </w:rPr>
        <w:t>的活动负载</w:t>
      </w:r>
      <w:r>
        <w:rPr>
          <w:rFonts w:hint="eastAsia" w:ascii="黑体" w:hAnsi="黑体" w:cs="Arial"/>
          <w:szCs w:val="18"/>
        </w:rPr>
        <w:t>。</w:t>
      </w:r>
    </w:p>
    <w:p w14:paraId="07B8868F">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浮筑地板下必须有50mm高度的隔离系统。</w:t>
      </w:r>
    </w:p>
    <w:p w14:paraId="65584D05">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浮筑地板之下50*50*50mm</w:t>
      </w:r>
      <w:r>
        <w:rPr>
          <w:rFonts w:hint="eastAsia" w:ascii="黑体" w:hAnsi="黑体" w:cs="Arial"/>
          <w:szCs w:val="18"/>
        </w:rPr>
        <w:t>隔振胶（块）</w:t>
      </w:r>
      <w:r>
        <w:rPr>
          <w:rFonts w:ascii="黑体" w:hAnsi="黑体" w:cs="Arial"/>
          <w:szCs w:val="18"/>
        </w:rPr>
        <w:t>之间空隙填满隔音棉</w:t>
      </w:r>
      <w:r>
        <w:rPr>
          <w:rFonts w:hint="eastAsia" w:ascii="黑体" w:hAnsi="黑体" w:cs="Arial"/>
          <w:szCs w:val="18"/>
        </w:rPr>
        <w:t>，隔音棉采用离心玻璃棉。</w:t>
      </w:r>
      <w:r>
        <w:rPr>
          <w:rFonts w:hint="eastAsia" w:ascii="黑体" w:hAnsi="黑体" w:cs="Arial"/>
          <w:b/>
          <w:szCs w:val="18"/>
        </w:rPr>
        <w:t>（</w:t>
      </w:r>
      <w:r>
        <w:rPr>
          <w:rFonts w:hint="eastAsia" w:ascii="黑体" w:hAnsi="黑体" w:cs="Arial"/>
          <w:szCs w:val="18"/>
        </w:rPr>
        <w:t>具体参数要求详见下文，只适合室内浮筑楼板</w:t>
      </w:r>
      <w:r>
        <w:rPr>
          <w:rFonts w:hint="eastAsia" w:ascii="黑体" w:hAnsi="黑体" w:cs="Arial"/>
          <w:b/>
          <w:szCs w:val="18"/>
        </w:rPr>
        <w:t>)</w:t>
      </w:r>
    </w:p>
    <w:p w14:paraId="7647F166">
      <w:pPr>
        <w:widowControl/>
        <w:numPr>
          <w:ilvl w:val="2"/>
          <w:numId w:val="174"/>
        </w:numPr>
        <w:tabs>
          <w:tab w:val="left" w:pos="851"/>
        </w:tabs>
        <w:ind w:left="851" w:hanging="851"/>
        <w:jc w:val="left"/>
        <w:rPr>
          <w:rFonts w:ascii="黑体" w:hAnsi="黑体" w:cs="Arial"/>
          <w:szCs w:val="18"/>
        </w:rPr>
      </w:pPr>
      <w:r>
        <w:rPr>
          <w:rFonts w:ascii="黑体" w:hAnsi="黑体" w:cs="Arial"/>
          <w:szCs w:val="18"/>
        </w:rPr>
        <w:t>采用至少</w:t>
      </w:r>
      <w:r>
        <w:rPr>
          <w:rFonts w:hint="eastAsia" w:ascii="黑体" w:hAnsi="黑体" w:cs="Arial"/>
          <w:szCs w:val="18"/>
        </w:rPr>
        <w:t>2</w:t>
      </w:r>
      <w:r>
        <w:rPr>
          <w:rFonts w:ascii="黑体" w:hAnsi="黑体" w:cs="Arial"/>
          <w:szCs w:val="18"/>
        </w:rPr>
        <w:t>mm厚的</w:t>
      </w:r>
      <w:r>
        <w:rPr>
          <w:rFonts w:hint="eastAsia" w:ascii="黑体" w:hAnsi="黑体" w:cs="Arial"/>
          <w:szCs w:val="18"/>
        </w:rPr>
        <w:t>镀锌钢</w:t>
      </w:r>
      <w:r>
        <w:rPr>
          <w:rFonts w:ascii="黑体" w:hAnsi="黑体" w:cs="Arial"/>
          <w:szCs w:val="18"/>
        </w:rPr>
        <w:t>板</w:t>
      </w:r>
      <w:r>
        <w:rPr>
          <w:rFonts w:hint="eastAsia" w:ascii="黑体" w:hAnsi="黑体" w:cs="Arial"/>
          <w:szCs w:val="18"/>
        </w:rPr>
        <w:t>（Q</w:t>
      </w:r>
      <w:r>
        <w:rPr>
          <w:rFonts w:ascii="黑体" w:hAnsi="黑体" w:cs="Arial"/>
          <w:szCs w:val="18"/>
        </w:rPr>
        <w:t>235</w:t>
      </w:r>
      <w:r>
        <w:rPr>
          <w:rFonts w:hint="eastAsia" w:ascii="黑体" w:hAnsi="黑体" w:cs="Arial"/>
          <w:szCs w:val="18"/>
        </w:rPr>
        <w:t>）</w:t>
      </w:r>
      <w:r>
        <w:rPr>
          <w:rFonts w:ascii="黑体" w:hAnsi="黑体" w:cs="Arial"/>
          <w:szCs w:val="18"/>
        </w:rPr>
        <w:t>支撑上方浮筑混凝土楼板</w:t>
      </w:r>
      <w:r>
        <w:rPr>
          <w:rFonts w:hint="eastAsia" w:ascii="黑体" w:hAnsi="黑体" w:cs="Arial"/>
          <w:szCs w:val="18"/>
        </w:rPr>
        <w:t>，钢板拼接处满焊</w:t>
      </w:r>
      <w:r>
        <w:rPr>
          <w:rFonts w:ascii="黑体" w:hAnsi="黑体" w:cs="Arial"/>
          <w:szCs w:val="18"/>
        </w:rPr>
        <w:t>。</w:t>
      </w:r>
    </w:p>
    <w:p w14:paraId="2653BC2D">
      <w:pPr>
        <w:widowControl/>
        <w:numPr>
          <w:ilvl w:val="2"/>
          <w:numId w:val="174"/>
        </w:numPr>
        <w:tabs>
          <w:tab w:val="left" w:pos="851"/>
        </w:tabs>
        <w:ind w:left="851" w:hanging="851"/>
        <w:jc w:val="left"/>
        <w:rPr>
          <w:rFonts w:ascii="黑体" w:hAnsi="黑体" w:cs="Arial"/>
          <w:szCs w:val="18"/>
        </w:rPr>
      </w:pPr>
      <w:r>
        <w:rPr>
          <w:rFonts w:ascii="黑体" w:hAnsi="黑体" w:cs="Arial"/>
          <w:szCs w:val="18"/>
        </w:rPr>
        <w:t>结构楼板上</w:t>
      </w:r>
      <w:r>
        <w:rPr>
          <w:rFonts w:hint="eastAsia" w:ascii="黑体" w:hAnsi="黑体" w:cs="Arial"/>
          <w:szCs w:val="18"/>
        </w:rPr>
        <w:t>刷一道2</w:t>
      </w:r>
      <w:r>
        <w:rPr>
          <w:rFonts w:ascii="黑体" w:hAnsi="黑体" w:cs="Arial"/>
          <w:szCs w:val="18"/>
        </w:rPr>
        <w:t>.0</w:t>
      </w:r>
      <w:r>
        <w:rPr>
          <w:rFonts w:hint="eastAsia" w:ascii="黑体" w:hAnsi="黑体" w:cs="Arial"/>
          <w:szCs w:val="18"/>
        </w:rPr>
        <w:t>厚聚氨酯防水涂料，钢</w:t>
      </w:r>
      <w:r>
        <w:rPr>
          <w:rFonts w:ascii="黑体" w:hAnsi="黑体" w:cs="Arial"/>
          <w:szCs w:val="18"/>
        </w:rPr>
        <w:t>板上添加</w:t>
      </w:r>
      <w:r>
        <w:rPr>
          <w:rFonts w:hint="eastAsia" w:ascii="黑体" w:hAnsi="黑体" w:cs="Arial"/>
          <w:szCs w:val="18"/>
        </w:rPr>
        <w:t>1</w:t>
      </w:r>
      <w:r>
        <w:rPr>
          <w:rFonts w:ascii="黑体" w:hAnsi="黑体" w:cs="Arial"/>
          <w:szCs w:val="18"/>
        </w:rPr>
        <w:t>.5</w:t>
      </w:r>
      <w:r>
        <w:rPr>
          <w:rFonts w:hint="eastAsia" w:ascii="黑体" w:hAnsi="黑体" w:cs="Arial"/>
          <w:szCs w:val="18"/>
        </w:rPr>
        <w:t>mm厚自粘聚合物改性沥青防水卷材</w:t>
      </w:r>
      <w:r>
        <w:rPr>
          <w:rFonts w:ascii="黑体" w:hAnsi="黑体" w:cs="Arial"/>
          <w:szCs w:val="18"/>
        </w:rPr>
        <w:t>。</w:t>
      </w:r>
    </w:p>
    <w:p w14:paraId="1C38E19D">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浮筑地板与</w:t>
      </w:r>
      <w:r>
        <w:rPr>
          <w:rFonts w:hint="eastAsia" w:ascii="黑体" w:hAnsi="黑体" w:cs="Arial"/>
          <w:szCs w:val="18"/>
        </w:rPr>
        <w:t>主体</w:t>
      </w:r>
      <w:r>
        <w:rPr>
          <w:rFonts w:ascii="黑体" w:hAnsi="黑体" w:cs="Arial"/>
          <w:szCs w:val="18"/>
        </w:rPr>
        <w:t>或内部结构之间不可有刚性连接，边缘位置</w:t>
      </w:r>
      <w:r>
        <w:rPr>
          <w:rFonts w:hint="eastAsia" w:ascii="黑体" w:hAnsi="黑体" w:cs="Arial"/>
          <w:szCs w:val="18"/>
        </w:rPr>
        <w:t>顶部</w:t>
      </w:r>
      <w:r>
        <w:rPr>
          <w:rFonts w:ascii="黑体" w:hAnsi="黑体" w:cs="Arial"/>
          <w:szCs w:val="18"/>
        </w:rPr>
        <w:t>需用弹性密封胶密封。</w:t>
      </w:r>
    </w:p>
    <w:p w14:paraId="07DEDA42">
      <w:pPr>
        <w:widowControl/>
        <w:numPr>
          <w:ilvl w:val="2"/>
          <w:numId w:val="174"/>
        </w:numPr>
        <w:tabs>
          <w:tab w:val="left" w:pos="851"/>
        </w:tabs>
        <w:ind w:left="851" w:hanging="851"/>
        <w:jc w:val="left"/>
        <w:rPr>
          <w:rFonts w:ascii="黑体" w:hAnsi="黑体" w:cs="Arial"/>
          <w:szCs w:val="18"/>
        </w:rPr>
      </w:pPr>
      <w:r>
        <w:rPr>
          <w:rFonts w:ascii="黑体" w:hAnsi="黑体" w:cs="Arial"/>
          <w:szCs w:val="18"/>
        </w:rPr>
        <w:t>弹性周边板应至少有</w:t>
      </w:r>
      <w:r>
        <w:rPr>
          <w:rFonts w:hint="eastAsia" w:ascii="黑体" w:hAnsi="黑体" w:cs="Arial"/>
          <w:szCs w:val="18"/>
        </w:rPr>
        <w:t>20</w:t>
      </w:r>
      <w:r>
        <w:rPr>
          <w:rFonts w:ascii="黑体" w:hAnsi="黑体" w:cs="Arial"/>
          <w:szCs w:val="18"/>
        </w:rPr>
        <w:t>mm厚</w:t>
      </w:r>
      <w:r>
        <w:rPr>
          <w:rFonts w:hint="eastAsia" w:ascii="黑体" w:hAnsi="黑体" w:cs="Arial"/>
          <w:szCs w:val="18"/>
        </w:rPr>
        <w:t>的</w:t>
      </w:r>
      <w:r>
        <w:rPr>
          <w:rFonts w:ascii="黑体" w:hAnsi="黑体" w:cs="Arial"/>
          <w:szCs w:val="18"/>
        </w:rPr>
        <w:t>橡</w:t>
      </w:r>
      <w:r>
        <w:rPr>
          <w:rFonts w:hint="eastAsia" w:ascii="黑体" w:hAnsi="黑体" w:cs="Arial"/>
          <w:szCs w:val="18"/>
        </w:rPr>
        <w:t>塑板（需</w:t>
      </w:r>
      <w:r>
        <w:rPr>
          <w:rFonts w:hint="eastAsia" w:ascii="黑体" w:hAnsi="黑体"/>
          <w:szCs w:val="18"/>
        </w:rPr>
        <w:t>采用闭孔式类，有弹性不渗水）</w:t>
      </w:r>
      <w:r>
        <w:rPr>
          <w:rFonts w:hint="eastAsia" w:ascii="黑体" w:hAnsi="黑体" w:cs="Arial"/>
          <w:szCs w:val="18"/>
        </w:rPr>
        <w:t>。</w:t>
      </w:r>
    </w:p>
    <w:p w14:paraId="77880A4D">
      <w:pPr>
        <w:widowControl/>
        <w:numPr>
          <w:ilvl w:val="2"/>
          <w:numId w:val="174"/>
        </w:numPr>
        <w:tabs>
          <w:tab w:val="left" w:pos="851"/>
        </w:tabs>
        <w:ind w:left="851" w:hanging="851"/>
        <w:jc w:val="left"/>
        <w:rPr>
          <w:rFonts w:ascii="黑体" w:hAnsi="黑体" w:cs="Arial"/>
          <w:szCs w:val="18"/>
        </w:rPr>
      </w:pPr>
      <w:r>
        <w:rPr>
          <w:rFonts w:hint="eastAsia" w:ascii="黑体" w:hAnsi="黑体" w:cs="Arial"/>
          <w:szCs w:val="18"/>
        </w:rPr>
        <w:t>设备层的的减震装置选型与参数应由声学顾问及浮筑楼板承包商审核，并提供现场安装及指导服务整个浮筑楼板空间内的最终隔声效果由浮筑楼板承包商负责。</w:t>
      </w:r>
    </w:p>
    <w:p w14:paraId="5DD633F4">
      <w:pPr>
        <w:numPr>
          <w:ilvl w:val="2"/>
          <w:numId w:val="174"/>
        </w:numPr>
        <w:autoSpaceDE w:val="0"/>
        <w:autoSpaceDN w:val="0"/>
        <w:adjustRightInd w:val="0"/>
        <w:jc w:val="left"/>
        <w:rPr>
          <w:rFonts w:ascii="黑体" w:hAnsi="黑体" w:cs="Arial"/>
          <w:szCs w:val="18"/>
        </w:rPr>
      </w:pPr>
      <w:r>
        <w:rPr>
          <w:rFonts w:hint="eastAsia" w:ascii="黑体" w:hAnsi="黑体" w:cs="Arial"/>
          <w:szCs w:val="18"/>
        </w:rPr>
        <w:t xml:space="preserve"> 各设备的减震深化图纸也必需提交送审，经项目声学顾问及业主确认后才能进行施工。</w:t>
      </w:r>
    </w:p>
    <w:p w14:paraId="12EB359B">
      <w:pPr>
        <w:numPr>
          <w:ilvl w:val="2"/>
          <w:numId w:val="174"/>
        </w:numPr>
        <w:autoSpaceDE w:val="0"/>
        <w:autoSpaceDN w:val="0"/>
        <w:adjustRightInd w:val="0"/>
        <w:jc w:val="left"/>
        <w:rPr>
          <w:rFonts w:ascii="黑体" w:hAnsi="黑体" w:cs="Arial"/>
          <w:szCs w:val="18"/>
        </w:rPr>
      </w:pPr>
      <w:r>
        <w:rPr>
          <w:rFonts w:hint="eastAsia" w:ascii="黑体" w:hAnsi="黑体" w:cs="Arial"/>
          <w:szCs w:val="18"/>
        </w:rPr>
        <w:t xml:space="preserve"> 浮筑平台的周边应有混凝土反坂，且其高度应高出浮筑平台1</w:t>
      </w:r>
      <w:r>
        <w:rPr>
          <w:rFonts w:ascii="黑体" w:hAnsi="黑体" w:cs="Arial"/>
          <w:szCs w:val="18"/>
        </w:rPr>
        <w:t>00MM</w:t>
      </w:r>
      <w:r>
        <w:rPr>
          <w:rFonts w:hint="eastAsia" w:ascii="黑体" w:hAnsi="黑体" w:cs="Arial"/>
          <w:szCs w:val="18"/>
        </w:rPr>
        <w:t>。</w:t>
      </w:r>
    </w:p>
    <w:p w14:paraId="66102AC8">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浮筑楼板与周边结构隔离的节点大样图如下：</w:t>
      </w:r>
      <w:r>
        <w:rPr>
          <w:rFonts w:hint="eastAsia" w:ascii="黑体" w:hAnsi="黑体" w:cs="Arial"/>
          <w:szCs w:val="18"/>
        </w:rPr>
        <w:t>（防水做法、找平层、配筋、混凝土标号以设计图纸为准，本大样图仅供参考）</w:t>
      </w:r>
    </w:p>
    <w:p w14:paraId="4483F967">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浮筑楼板需考虑穿层及排水管设计。建议大样图如下：</w:t>
      </w:r>
    </w:p>
    <w:p w14:paraId="708551C2">
      <w:pPr>
        <w:widowControl/>
        <w:tabs>
          <w:tab w:val="left" w:pos="851"/>
        </w:tabs>
        <w:rPr>
          <w:rFonts w:ascii="黑体" w:hAnsi="黑体" w:cs="Arial"/>
          <w:szCs w:val="18"/>
        </w:rPr>
      </w:pP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fldChar w:fldCharType="begin"/>
      </w:r>
      <w:r>
        <w:rPr>
          <w:rFonts w:ascii="黑体" w:hAnsi="黑体"/>
          <w:szCs w:val="18"/>
        </w:rPr>
        <w:instrText xml:space="preserve"> INCLUDEPICTURE  "C:\\Users\\L00656468\\AppData\\Roaming\\eSpace_Desktop\\UserData\\l00656468\\imagefiles\\originalImgfiles\\4D99AA53-4740-4452-9DC3-C6A0F6FA9617.png" \* MERGEFORMATINET </w:instrText>
      </w:r>
      <w:r>
        <w:rPr>
          <w:rFonts w:ascii="黑体" w:hAnsi="黑体"/>
          <w:szCs w:val="18"/>
        </w:rPr>
        <w:fldChar w:fldCharType="separate"/>
      </w:r>
      <w:r>
        <w:rPr>
          <w:rFonts w:ascii="黑体" w:hAnsi="黑体"/>
          <w:szCs w:val="18"/>
        </w:rPr>
        <w:pict>
          <v:shape id="_x0000_i1025" o:spt="75" type="#_x0000_t75" style="height:204.55pt;width:412.35pt;" filled="f" o:preferrelative="t" stroked="f" coordsize="21600,21600">
            <v:path/>
            <v:fill on="f" focussize="0,0"/>
            <v:stroke on="f" joinstyle="miter"/>
            <v:imagedata r:id="rId60" r:href="rId61" o:title=""/>
            <o:lock v:ext="edit" aspectratio="t"/>
            <w10:wrap type="none"/>
            <w10:anchorlock/>
          </v:shape>
        </w:pict>
      </w:r>
      <w:r>
        <w:rPr>
          <w:rFonts w:ascii="黑体" w:hAnsi="黑体"/>
          <w:szCs w:val="18"/>
        </w:rPr>
        <w:fldChar w:fldCharType="end"/>
      </w:r>
      <w:r>
        <w:rPr>
          <w:rFonts w:ascii="黑体" w:hAnsi="黑体"/>
          <w:szCs w:val="18"/>
        </w:rPr>
        <w:fldChar w:fldCharType="end"/>
      </w:r>
      <w:r>
        <w:rPr>
          <w:rFonts w:ascii="黑体" w:hAnsi="黑体"/>
          <w:szCs w:val="18"/>
        </w:rPr>
        <w:fldChar w:fldCharType="end"/>
      </w:r>
      <w:r>
        <w:rPr>
          <w:rFonts w:ascii="黑体" w:hAnsi="黑体"/>
          <w:szCs w:val="18"/>
        </w:rPr>
        <w:fldChar w:fldCharType="end"/>
      </w:r>
      <w:r>
        <w:rPr>
          <w:rFonts w:ascii="黑体" w:hAnsi="黑体"/>
          <w:szCs w:val="18"/>
        </w:rPr>
        <w:fldChar w:fldCharType="end"/>
      </w:r>
      <w:r>
        <w:rPr>
          <w:rFonts w:ascii="黑体" w:hAnsi="黑体"/>
          <w:szCs w:val="18"/>
        </w:rPr>
        <w:fldChar w:fldCharType="end"/>
      </w:r>
      <w:r>
        <w:rPr>
          <w:rFonts w:ascii="黑体" w:hAnsi="黑体"/>
          <w:szCs w:val="18"/>
        </w:rPr>
        <w:fldChar w:fldCharType="end"/>
      </w:r>
      <w:r>
        <w:rPr>
          <w:rFonts w:ascii="黑体" w:hAnsi="黑体"/>
          <w:szCs w:val="18"/>
        </w:rPr>
        <w:fldChar w:fldCharType="end"/>
      </w:r>
    </w:p>
    <w:p w14:paraId="0ADFA205">
      <w:pPr>
        <w:ind w:left="-1276" w:leftChars="-709" w:right="-1276" w:rightChars="-709"/>
        <w:jc w:val="center"/>
        <w:rPr>
          <w:rFonts w:ascii="黑体" w:hAnsi="黑体" w:cs="Arial"/>
          <w:szCs w:val="18"/>
        </w:rPr>
      </w:pPr>
      <w:r>
        <w:rPr>
          <w:rFonts w:ascii="黑体" w:hAnsi="黑体" w:cs="Arial"/>
          <w:szCs w:val="18"/>
        </w:rPr>
        <w:drawing>
          <wp:inline distT="0" distB="0" distL="0" distR="0">
            <wp:extent cx="6477000" cy="2827020"/>
            <wp:effectExtent l="0" t="0" r="0" b="0"/>
            <wp:docPr id="57" name="图片 5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ap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477000" cy="2827020"/>
                    </a:xfrm>
                    <a:prstGeom prst="rect">
                      <a:avLst/>
                    </a:prstGeom>
                    <a:noFill/>
                    <a:ln>
                      <a:noFill/>
                    </a:ln>
                  </pic:spPr>
                </pic:pic>
              </a:graphicData>
            </a:graphic>
          </wp:inline>
        </w:drawing>
      </w:r>
    </w:p>
    <w:p w14:paraId="38C8B267">
      <w:pPr>
        <w:ind w:left="-1276" w:leftChars="-709" w:right="-1276" w:rightChars="-709"/>
        <w:jc w:val="center"/>
        <w:rPr>
          <w:rFonts w:ascii="黑体" w:hAnsi="黑体" w:cs="Arial"/>
          <w:szCs w:val="18"/>
        </w:rPr>
      </w:pPr>
      <w:r>
        <w:rPr>
          <w:rFonts w:ascii="黑体" w:hAnsi="黑体" w:cs="Arial"/>
          <w:szCs w:val="18"/>
        </w:rPr>
        <w:drawing>
          <wp:inline distT="0" distB="0" distL="0" distR="0">
            <wp:extent cx="2948940" cy="2918460"/>
            <wp:effectExtent l="0" t="0" r="3810" b="0"/>
            <wp:docPr id="56" name="图片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
                    <pic:cNvPicPr>
                      <a:picLocks noChangeAspect="1" noChangeArrowheads="1"/>
                    </pic:cNvPicPr>
                  </pic:nvPicPr>
                  <pic:blipFill>
                    <a:blip r:embed="rId63">
                      <a:extLst>
                        <a:ext uri="{28A0092B-C50C-407E-A947-70E740481C1C}">
                          <a14:useLocalDpi xmlns:a14="http://schemas.microsoft.com/office/drawing/2010/main" val="0"/>
                        </a:ext>
                      </a:extLst>
                    </a:blip>
                    <a:srcRect l="6271" r="9756"/>
                    <a:stretch>
                      <a:fillRect/>
                    </a:stretch>
                  </pic:blipFill>
                  <pic:spPr>
                    <a:xfrm>
                      <a:off x="0" y="0"/>
                      <a:ext cx="2948940" cy="2918460"/>
                    </a:xfrm>
                    <a:prstGeom prst="rect">
                      <a:avLst/>
                    </a:prstGeom>
                    <a:noFill/>
                    <a:ln>
                      <a:noFill/>
                    </a:ln>
                  </pic:spPr>
                </pic:pic>
              </a:graphicData>
            </a:graphic>
          </wp:inline>
        </w:drawing>
      </w:r>
      <w:r>
        <w:rPr>
          <w:rFonts w:ascii="黑体" w:hAnsi="黑体" w:cs="Arial"/>
          <w:szCs w:val="18"/>
        </w:rPr>
        <w:drawing>
          <wp:inline distT="0" distB="0" distL="0" distR="0">
            <wp:extent cx="3246120" cy="2773680"/>
            <wp:effectExtent l="0" t="0" r="0" b="7620"/>
            <wp:docPr id="55" name="图片 55" descr="做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做做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246120" cy="2773680"/>
                    </a:xfrm>
                    <a:prstGeom prst="rect">
                      <a:avLst/>
                    </a:prstGeom>
                    <a:noFill/>
                    <a:ln>
                      <a:noFill/>
                    </a:ln>
                  </pic:spPr>
                </pic:pic>
              </a:graphicData>
            </a:graphic>
          </wp:inline>
        </w:drawing>
      </w:r>
    </w:p>
    <w:p w14:paraId="6BDD9BE5">
      <w:pPr>
        <w:widowControl/>
        <w:tabs>
          <w:tab w:val="left" w:pos="851"/>
        </w:tabs>
        <w:ind w:left="851"/>
        <w:jc w:val="left"/>
        <w:rPr>
          <w:rFonts w:ascii="黑体" w:hAnsi="黑体" w:cs="Arial"/>
          <w:szCs w:val="18"/>
        </w:rPr>
      </w:pPr>
    </w:p>
    <w:p w14:paraId="274505FE">
      <w:pPr>
        <w:widowControl/>
        <w:numPr>
          <w:ilvl w:val="2"/>
          <w:numId w:val="174"/>
        </w:numPr>
        <w:tabs>
          <w:tab w:val="left" w:pos="851"/>
        </w:tabs>
        <w:ind w:left="851" w:hanging="851"/>
        <w:jc w:val="left"/>
        <w:rPr>
          <w:rFonts w:ascii="黑体" w:hAnsi="黑体" w:cs="Arial"/>
          <w:szCs w:val="18"/>
        </w:rPr>
      </w:pPr>
      <w:r>
        <w:rPr>
          <w:rFonts w:ascii="黑体" w:hAnsi="黑体" w:cs="Arial"/>
          <w:szCs w:val="18"/>
        </w:rPr>
        <w:t>在浮筑地板下的</w:t>
      </w:r>
      <w:r>
        <w:rPr>
          <w:rFonts w:hint="eastAsia" w:ascii="黑体" w:hAnsi="黑体" w:cs="Arial"/>
          <w:szCs w:val="18"/>
        </w:rPr>
        <w:t>结构</w:t>
      </w:r>
      <w:r>
        <w:rPr>
          <w:rFonts w:ascii="黑体" w:hAnsi="黑体" w:cs="Arial"/>
          <w:szCs w:val="18"/>
        </w:rPr>
        <w:t>楼板必须</w:t>
      </w:r>
      <w:r>
        <w:rPr>
          <w:rFonts w:hint="eastAsia" w:ascii="黑体" w:hAnsi="黑体" w:cs="Arial"/>
          <w:szCs w:val="18"/>
        </w:rPr>
        <w:t>原浆收光，2</w:t>
      </w:r>
      <w:r>
        <w:rPr>
          <w:rFonts w:ascii="黑体" w:hAnsi="黑体" w:cs="Arial"/>
          <w:szCs w:val="18"/>
        </w:rPr>
        <w:t>m</w:t>
      </w:r>
      <w:r>
        <w:rPr>
          <w:rFonts w:hint="eastAsia" w:ascii="黑体" w:hAnsi="黑体" w:cs="Arial"/>
          <w:szCs w:val="18"/>
        </w:rPr>
        <w:t>靠尺平整度不大于</w:t>
      </w:r>
      <w:r>
        <w:rPr>
          <w:rFonts w:ascii="黑体" w:hAnsi="黑体" w:cs="Arial"/>
          <w:szCs w:val="18"/>
        </w:rPr>
        <w:t>5mm。在支撑</w:t>
      </w:r>
      <w:r>
        <w:rPr>
          <w:rFonts w:hint="eastAsia" w:ascii="黑体" w:hAnsi="黑体" w:cs="Arial"/>
          <w:szCs w:val="18"/>
        </w:rPr>
        <w:t>隔振胶（块）</w:t>
      </w:r>
      <w:r>
        <w:rPr>
          <w:rFonts w:ascii="黑体" w:hAnsi="黑体" w:cs="Arial"/>
          <w:szCs w:val="18"/>
        </w:rPr>
        <w:t>下的空隙不可有杂物、尘沙或污垢。浮筑地板隔离系统</w:t>
      </w:r>
      <w:r>
        <w:rPr>
          <w:rFonts w:hint="eastAsia" w:ascii="黑体" w:hAnsi="黑体" w:cs="Arial"/>
          <w:szCs w:val="18"/>
        </w:rPr>
        <w:t>上的</w:t>
      </w:r>
      <w:r>
        <w:rPr>
          <w:rFonts w:ascii="黑体" w:hAnsi="黑体" w:cs="Arial"/>
          <w:szCs w:val="18"/>
        </w:rPr>
        <w:t>加固混凝土</w:t>
      </w:r>
      <w:r>
        <w:rPr>
          <w:rFonts w:hint="eastAsia" w:ascii="黑体" w:hAnsi="黑体" w:cs="Arial"/>
          <w:szCs w:val="18"/>
        </w:rPr>
        <w:t>板面层（无其他饰面情况下）结构平整度不大于5mm（2m靠尺）。</w:t>
      </w:r>
    </w:p>
    <w:p w14:paraId="4061D830">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浮筑楼板</w:t>
      </w:r>
      <w:r>
        <w:rPr>
          <w:rFonts w:hint="eastAsia" w:ascii="黑体" w:hAnsi="黑体" w:cs="Arial"/>
          <w:szCs w:val="18"/>
        </w:rPr>
        <w:t>的隔振胶（块）、2</w:t>
      </w:r>
      <w:r>
        <w:rPr>
          <w:rFonts w:ascii="黑体" w:hAnsi="黑体" w:cs="Arial"/>
          <w:szCs w:val="18"/>
        </w:rPr>
        <w:t>mm</w:t>
      </w:r>
      <w:r>
        <w:rPr>
          <w:rFonts w:hint="eastAsia" w:ascii="黑体" w:hAnsi="黑体" w:cs="Arial"/>
          <w:szCs w:val="18"/>
        </w:rPr>
        <w:t>厚的镀锌钢板、钢板上的</w:t>
      </w:r>
      <w:r>
        <w:rPr>
          <w:rFonts w:ascii="黑体" w:hAnsi="黑体" w:cs="Arial"/>
          <w:szCs w:val="18"/>
        </w:rPr>
        <w:t>防水层</w:t>
      </w:r>
      <w:r>
        <w:rPr>
          <w:rFonts w:hint="eastAsia" w:ascii="黑体" w:hAnsi="黑体" w:cs="Arial"/>
          <w:szCs w:val="18"/>
        </w:rPr>
        <w:t>、浮筑楼板周边的弹性橡塑板填充，以及穿越浮筑平台的所有管道周边的弹性橡塑板填充由浮筑平台承包商负责，其它由土建总包负责。浮筑平台承包商</w:t>
      </w:r>
      <w:r>
        <w:rPr>
          <w:rFonts w:ascii="黑体" w:hAnsi="黑体" w:cs="Arial"/>
          <w:szCs w:val="18"/>
        </w:rPr>
        <w:t>必须</w:t>
      </w:r>
      <w:r>
        <w:rPr>
          <w:rFonts w:hint="eastAsia" w:ascii="黑体" w:hAnsi="黑体" w:cs="Arial"/>
          <w:szCs w:val="18"/>
        </w:rPr>
        <w:t>对土建结构工作面移交进行监督及验收</w:t>
      </w:r>
      <w:r>
        <w:rPr>
          <w:rFonts w:ascii="黑体" w:hAnsi="黑体" w:cs="Arial"/>
          <w:szCs w:val="18"/>
        </w:rPr>
        <w:t>。</w:t>
      </w:r>
    </w:p>
    <w:p w14:paraId="1CF3C1C7">
      <w:pPr>
        <w:widowControl/>
        <w:numPr>
          <w:ilvl w:val="2"/>
          <w:numId w:val="174"/>
        </w:numPr>
        <w:tabs>
          <w:tab w:val="left" w:pos="851"/>
        </w:tabs>
        <w:ind w:left="851" w:hanging="851"/>
        <w:jc w:val="left"/>
        <w:rPr>
          <w:rFonts w:ascii="黑体" w:hAnsi="黑体" w:cs="Arial"/>
          <w:szCs w:val="18"/>
        </w:rPr>
      </w:pPr>
      <w:r>
        <w:rPr>
          <w:rFonts w:hint="eastAsia" w:ascii="黑体" w:hAnsi="黑体" w:cs="Arial"/>
          <w:szCs w:val="18"/>
        </w:rPr>
        <w:t>浮筑平台最终测试效果要求：</w:t>
      </w:r>
      <w:r>
        <w:rPr>
          <w:rFonts w:ascii="黑体" w:hAnsi="黑体" w:cs="Arial"/>
          <w:szCs w:val="18"/>
        </w:rPr>
        <w:br w:type="textWrapping"/>
      </w:r>
      <w:r>
        <w:rPr>
          <w:rFonts w:hint="eastAsia" w:ascii="黑体" w:hAnsi="黑体" w:cs="Arial"/>
          <w:szCs w:val="18"/>
        </w:rPr>
        <w:t>基础楼板：空气声隔声量Rw 50，现场实测撞击声隔声量Ln,w 80；</w:t>
      </w:r>
      <w:r>
        <w:rPr>
          <w:rFonts w:ascii="黑体" w:hAnsi="黑体" w:cs="Arial"/>
          <w:szCs w:val="18"/>
        </w:rPr>
        <w:br w:type="textWrapping"/>
      </w:r>
      <w:r>
        <w:rPr>
          <w:rFonts w:hint="eastAsia" w:ascii="黑体" w:hAnsi="黑体" w:cs="Arial"/>
          <w:szCs w:val="18"/>
        </w:rPr>
        <w:t>浮动地台：空气声隔声量现场实测值 Rw+c 65</w:t>
      </w:r>
    </w:p>
    <w:p w14:paraId="26197470">
      <w:pPr>
        <w:pStyle w:val="134"/>
        <w:ind w:firstLine="1260" w:firstLineChars="700"/>
        <w:rPr>
          <w:rFonts w:ascii="黑体" w:hAnsi="黑体" w:eastAsia="黑体" w:cs="Arial"/>
          <w:sz w:val="18"/>
          <w:szCs w:val="18"/>
          <w:lang w:eastAsia="zh-CN"/>
        </w:rPr>
      </w:pPr>
      <w:r>
        <w:rPr>
          <w:rFonts w:hint="eastAsia" w:ascii="黑体" w:hAnsi="黑体" w:eastAsia="黑体" w:cs="Arial"/>
          <w:sz w:val="18"/>
          <w:szCs w:val="18"/>
          <w:lang w:eastAsia="zh-CN"/>
        </w:rPr>
        <w:t>撞击声隔声量现场实测撞击声隔声量L</w:t>
      </w:r>
      <w:r>
        <w:rPr>
          <w:rFonts w:ascii="黑体" w:hAnsi="黑体" w:eastAsia="黑体" w:cs="Arial"/>
          <w:sz w:val="18"/>
          <w:szCs w:val="18"/>
          <w:lang w:eastAsia="zh-CN"/>
        </w:rPr>
        <w:t>’</w:t>
      </w:r>
      <w:r>
        <w:rPr>
          <w:rFonts w:hint="eastAsia" w:ascii="黑体" w:hAnsi="黑体" w:eastAsia="黑体" w:cs="Arial"/>
          <w:sz w:val="18"/>
          <w:szCs w:val="18"/>
          <w:lang w:eastAsia="zh-CN"/>
        </w:rPr>
        <w:t>nT,w 45。</w:t>
      </w:r>
    </w:p>
    <w:p w14:paraId="346E4014">
      <w:pPr>
        <w:jc w:val="left"/>
        <w:rPr>
          <w:rFonts w:ascii="黑体" w:hAnsi="黑体" w:cs="Arial"/>
          <w:szCs w:val="18"/>
          <w:highlight w:val="yellow"/>
        </w:rPr>
      </w:pPr>
      <w:r>
        <w:rPr>
          <w:rFonts w:hint="eastAsia" w:ascii="黑体" w:hAnsi="黑体" w:cs="Arial"/>
          <w:szCs w:val="18"/>
        </w:rPr>
        <w:t>1</w:t>
      </w:r>
      <w:r>
        <w:rPr>
          <w:rFonts w:ascii="黑体" w:hAnsi="黑体" w:cs="Arial"/>
          <w:szCs w:val="18"/>
        </w:rPr>
        <w:t>.1.16</w:t>
      </w:r>
      <w:r>
        <w:rPr>
          <w:rFonts w:hint="eastAsia" w:ascii="黑体" w:hAnsi="黑体" w:cs="Arial"/>
          <w:szCs w:val="18"/>
        </w:rPr>
        <w:t>.</w:t>
      </w:r>
      <w:r>
        <w:rPr>
          <w:rFonts w:ascii="黑体" w:hAnsi="黑体" w:cs="Arial"/>
          <w:szCs w:val="18"/>
        </w:rPr>
        <w:t xml:space="preserve"> </w:t>
      </w:r>
      <w:r>
        <w:rPr>
          <w:rFonts w:hint="eastAsia" w:ascii="黑体" w:hAnsi="黑体" w:cs="Arial"/>
          <w:szCs w:val="18"/>
        </w:rPr>
        <w:t>玻璃棉要求:参照认证要求的品牌，容重4</w:t>
      </w:r>
      <w:r>
        <w:rPr>
          <w:rFonts w:ascii="黑体" w:hAnsi="黑体" w:cs="Arial"/>
          <w:szCs w:val="18"/>
        </w:rPr>
        <w:t>8KG/</w:t>
      </w:r>
      <w:r>
        <w:rPr>
          <w:rFonts w:hint="eastAsia" w:ascii="黑体" w:hAnsi="黑体" w:cs="Arial"/>
          <w:szCs w:val="18"/>
        </w:rPr>
        <w:t>m</w:t>
      </w:r>
      <w:r>
        <w:rPr>
          <w:rFonts w:ascii="Calibri" w:hAnsi="Calibri" w:cs="Calibri"/>
          <w:szCs w:val="18"/>
        </w:rPr>
        <w:t>³</w:t>
      </w:r>
      <w:r>
        <w:rPr>
          <w:rFonts w:hint="eastAsia" w:ascii="黑体" w:hAnsi="黑体" w:cs="Arial"/>
          <w:szCs w:val="18"/>
        </w:rPr>
        <w:t>以上（具体参数以此描述为准）；</w:t>
      </w:r>
    </w:p>
    <w:p w14:paraId="08CDBA15">
      <w:pPr>
        <w:widowControl/>
        <w:tabs>
          <w:tab w:val="left" w:pos="851"/>
        </w:tabs>
        <w:jc w:val="left"/>
        <w:rPr>
          <w:rFonts w:ascii="黑体" w:hAnsi="黑体" w:cs="Arial"/>
          <w:szCs w:val="18"/>
        </w:rPr>
      </w:pPr>
      <w:r>
        <w:rPr>
          <w:rFonts w:hint="eastAsia" w:ascii="黑体" w:hAnsi="黑体" w:cs="Arial"/>
          <w:szCs w:val="18"/>
        </w:rPr>
        <w:t xml:space="preserve"> 镀锌钢</w:t>
      </w:r>
      <w:r>
        <w:rPr>
          <w:rFonts w:ascii="黑体" w:hAnsi="黑体" w:cs="Arial"/>
          <w:szCs w:val="18"/>
        </w:rPr>
        <w:t>板</w:t>
      </w:r>
      <w:r>
        <w:rPr>
          <w:rFonts w:hint="eastAsia" w:ascii="黑体" w:hAnsi="黑体" w:cs="Arial"/>
          <w:szCs w:val="18"/>
        </w:rPr>
        <w:t>要求：采用</w:t>
      </w:r>
      <w:r>
        <w:rPr>
          <w:rFonts w:ascii="黑体" w:hAnsi="黑体" w:cs="Arial"/>
          <w:szCs w:val="18"/>
        </w:rPr>
        <w:t>Q235</w:t>
      </w:r>
      <w:r>
        <w:rPr>
          <w:rFonts w:hint="eastAsia" w:ascii="黑体" w:hAnsi="黑体" w:cs="Arial"/>
          <w:szCs w:val="18"/>
        </w:rPr>
        <w:t>钢板，厚度不小于2m</w:t>
      </w:r>
      <w:r>
        <w:rPr>
          <w:rFonts w:ascii="黑体" w:hAnsi="黑体" w:cs="Arial"/>
          <w:szCs w:val="18"/>
        </w:rPr>
        <w:t>m</w:t>
      </w:r>
      <w:r>
        <w:rPr>
          <w:rFonts w:hint="eastAsia" w:ascii="黑体" w:hAnsi="黑体" w:cs="Arial"/>
          <w:szCs w:val="18"/>
        </w:rPr>
        <w:t>，镀锌量详见镀锌楼承板要求。钢板拼接处需满焊，焊口位置需避开隔振胶（块）位置，严禁焊接破坏隔振胶（块）。</w:t>
      </w:r>
    </w:p>
    <w:p w14:paraId="064D7184">
      <w:pPr>
        <w:widowControl/>
        <w:tabs>
          <w:tab w:val="left" w:pos="851"/>
        </w:tabs>
        <w:jc w:val="left"/>
        <w:rPr>
          <w:rFonts w:ascii="黑体" w:hAnsi="黑体" w:cs="Arial"/>
          <w:szCs w:val="18"/>
        </w:rPr>
      </w:pPr>
      <w:r>
        <w:rPr>
          <w:rFonts w:hint="eastAsia" w:ascii="黑体" w:hAnsi="黑体" w:cs="Arial"/>
          <w:szCs w:val="18"/>
        </w:rPr>
        <w:t>1</w:t>
      </w:r>
      <w:r>
        <w:rPr>
          <w:rFonts w:ascii="黑体" w:hAnsi="黑体" w:cs="Arial"/>
          <w:szCs w:val="18"/>
        </w:rPr>
        <w:t>.1.17.</w:t>
      </w:r>
      <w:r>
        <w:rPr>
          <w:rFonts w:hint="eastAsia" w:ascii="黑体" w:hAnsi="黑体" w:cs="Arial"/>
          <w:szCs w:val="18"/>
        </w:rPr>
        <w:t>浮筑平台底下结构楼板需做2mm厚聚合物防水涂料。设备基础排水沟底面、侧面需分别做</w:t>
      </w:r>
      <w:r>
        <w:rPr>
          <w:rFonts w:ascii="黑体" w:hAnsi="黑体" w:cs="Arial"/>
          <w:szCs w:val="18"/>
        </w:rPr>
        <w:t>1</w:t>
      </w:r>
      <w:r>
        <w:rPr>
          <w:rFonts w:hint="eastAsia" w:ascii="黑体" w:hAnsi="黑体" w:cs="Arial"/>
          <w:szCs w:val="18"/>
        </w:rPr>
        <w:t>mm厚水泥基渗透结晶防水涂料两遍（用量不小于1</w:t>
      </w:r>
      <w:r>
        <w:rPr>
          <w:rFonts w:ascii="黑体" w:hAnsi="黑体" w:cs="Arial"/>
          <w:szCs w:val="18"/>
        </w:rPr>
        <w:t>5</w:t>
      </w:r>
      <w:r>
        <w:rPr>
          <w:rFonts w:hint="eastAsia" w:ascii="黑体" w:hAnsi="黑体" w:cs="Arial"/>
          <w:szCs w:val="18"/>
        </w:rPr>
        <w:t>kg</w:t>
      </w:r>
      <w:r>
        <w:rPr>
          <w:rFonts w:ascii="黑体" w:hAnsi="黑体" w:cs="Arial"/>
          <w:szCs w:val="18"/>
        </w:rPr>
        <w:t>/</w:t>
      </w:r>
      <w:r>
        <w:rPr>
          <w:rFonts w:hint="eastAsia" w:ascii="黑体" w:hAnsi="黑体" w:cs="Arial"/>
          <w:szCs w:val="18"/>
        </w:rPr>
        <w:t>㎡），以上两项由总包实施。</w:t>
      </w:r>
    </w:p>
    <w:p w14:paraId="4CE1B52A">
      <w:pPr>
        <w:widowControl/>
        <w:tabs>
          <w:tab w:val="left" w:pos="851"/>
        </w:tabs>
        <w:jc w:val="left"/>
        <w:rPr>
          <w:rFonts w:ascii="黑体" w:hAnsi="黑体" w:cs="Arial"/>
          <w:szCs w:val="18"/>
        </w:rPr>
      </w:pPr>
    </w:p>
    <w:p w14:paraId="45403835">
      <w:pPr>
        <w:widowControl/>
        <w:numPr>
          <w:ilvl w:val="1"/>
          <w:numId w:val="174"/>
        </w:numPr>
        <w:tabs>
          <w:tab w:val="left" w:pos="851"/>
        </w:tabs>
        <w:ind w:left="851" w:hanging="851"/>
        <w:jc w:val="left"/>
        <w:rPr>
          <w:rFonts w:ascii="黑体" w:hAnsi="黑体" w:cs="Arial"/>
          <w:szCs w:val="18"/>
          <w:u w:val="single"/>
        </w:rPr>
      </w:pPr>
      <w:r>
        <w:rPr>
          <w:rFonts w:ascii="黑体" w:hAnsi="黑体" w:cs="Arial"/>
          <w:szCs w:val="18"/>
          <w:u w:val="single"/>
        </w:rPr>
        <w:t>提交资料要求</w:t>
      </w:r>
    </w:p>
    <w:p w14:paraId="0772BC57">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w:t>
      </w:r>
      <w:r>
        <w:rPr>
          <w:rFonts w:hint="eastAsia" w:ascii="黑体" w:hAnsi="黑体" w:cs="Arial"/>
          <w:szCs w:val="18"/>
        </w:rPr>
        <w:t>平台承包商</w:t>
      </w:r>
      <w:r>
        <w:rPr>
          <w:rFonts w:ascii="黑体" w:hAnsi="黑体" w:cs="Arial"/>
          <w:szCs w:val="18"/>
        </w:rPr>
        <w:t>所提交的材料应该包括所有产品以及材料的说明数据，而并不局限于以下内容：</w:t>
      </w:r>
    </w:p>
    <w:p w14:paraId="09A45C34">
      <w:pPr>
        <w:numPr>
          <w:ilvl w:val="0"/>
          <w:numId w:val="175"/>
        </w:numPr>
        <w:tabs>
          <w:tab w:val="left" w:pos="1418"/>
        </w:tabs>
        <w:autoSpaceDE w:val="0"/>
        <w:autoSpaceDN w:val="0"/>
        <w:adjustRightInd w:val="0"/>
        <w:jc w:val="left"/>
        <w:rPr>
          <w:rFonts w:ascii="黑体" w:hAnsi="黑体" w:cs="Arial"/>
          <w:szCs w:val="18"/>
        </w:rPr>
      </w:pPr>
      <w:r>
        <w:rPr>
          <w:rFonts w:ascii="黑体" w:hAnsi="黑体" w:cs="Arial"/>
          <w:szCs w:val="18"/>
        </w:rPr>
        <w:t>隔离系统的负载与静挠度曲线；</w:t>
      </w:r>
    </w:p>
    <w:p w14:paraId="269E8777">
      <w:pPr>
        <w:numPr>
          <w:ilvl w:val="0"/>
          <w:numId w:val="175"/>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图纸说明各隔离橡胶</w:t>
      </w:r>
      <w:r>
        <w:rPr>
          <w:rFonts w:hint="eastAsia" w:ascii="黑体" w:hAnsi="黑体" w:cs="Arial"/>
          <w:szCs w:val="18"/>
        </w:rPr>
        <w:t>（块）</w:t>
      </w:r>
      <w:r>
        <w:rPr>
          <w:rFonts w:ascii="黑体" w:hAnsi="黑体" w:cs="Arial"/>
          <w:szCs w:val="18"/>
        </w:rPr>
        <w:t>的位置及负载，所有贯穿位置。</w:t>
      </w:r>
      <w:r>
        <w:rPr>
          <w:rFonts w:hint="eastAsia" w:ascii="黑体" w:hAnsi="黑体" w:cs="Arial"/>
          <w:szCs w:val="18"/>
        </w:rPr>
        <w:t>隔振胶（块）</w:t>
      </w:r>
      <w:r>
        <w:rPr>
          <w:rFonts w:ascii="黑体" w:hAnsi="黑体" w:cs="Arial"/>
          <w:szCs w:val="18"/>
        </w:rPr>
        <w:t>的位置</w:t>
      </w:r>
      <w:r>
        <w:rPr>
          <w:rFonts w:hint="eastAsia" w:ascii="黑体" w:hAnsi="黑体" w:cs="Arial"/>
          <w:szCs w:val="18"/>
        </w:rPr>
        <w:t>深化需</w:t>
      </w:r>
      <w:r>
        <w:rPr>
          <w:rFonts w:ascii="黑体" w:hAnsi="黑体" w:cs="Arial"/>
          <w:szCs w:val="18"/>
        </w:rPr>
        <w:t>与各机电</w:t>
      </w:r>
      <w:r>
        <w:rPr>
          <w:rFonts w:hint="eastAsia" w:ascii="黑体" w:hAnsi="黑体" w:cs="Arial"/>
          <w:szCs w:val="18"/>
        </w:rPr>
        <w:t>专业确认匹配</w:t>
      </w:r>
      <w:r>
        <w:rPr>
          <w:rFonts w:ascii="黑体" w:hAnsi="黑体" w:cs="Arial"/>
          <w:szCs w:val="18"/>
        </w:rPr>
        <w:t>；</w:t>
      </w:r>
    </w:p>
    <w:p w14:paraId="443EA579">
      <w:pPr>
        <w:numPr>
          <w:ilvl w:val="0"/>
          <w:numId w:val="175"/>
        </w:numPr>
        <w:tabs>
          <w:tab w:val="left" w:pos="1418"/>
        </w:tabs>
        <w:autoSpaceDE w:val="0"/>
        <w:autoSpaceDN w:val="0"/>
        <w:adjustRightInd w:val="0"/>
        <w:ind w:left="1418" w:hanging="567"/>
        <w:jc w:val="left"/>
        <w:rPr>
          <w:rFonts w:ascii="黑体" w:hAnsi="黑体" w:cs="Arial"/>
          <w:szCs w:val="18"/>
        </w:rPr>
      </w:pPr>
      <w:r>
        <w:rPr>
          <w:rFonts w:hint="eastAsia" w:ascii="黑体" w:hAnsi="黑体" w:cs="Arial"/>
          <w:szCs w:val="18"/>
        </w:rPr>
        <w:t>隔振系统包含隔振胶（块）、橡塑板等</w:t>
      </w:r>
      <w:r>
        <w:rPr>
          <w:rFonts w:ascii="黑体" w:hAnsi="黑体" w:cs="Arial"/>
          <w:szCs w:val="18"/>
        </w:rPr>
        <w:t>的</w:t>
      </w:r>
      <w:r>
        <w:rPr>
          <w:rFonts w:hint="eastAsia" w:ascii="黑体" w:hAnsi="黑体" w:cs="Arial"/>
          <w:szCs w:val="18"/>
        </w:rPr>
        <w:t>设计详图</w:t>
      </w:r>
      <w:r>
        <w:rPr>
          <w:rFonts w:ascii="黑体" w:hAnsi="黑体" w:cs="Arial"/>
          <w:szCs w:val="18"/>
        </w:rPr>
        <w:t>；</w:t>
      </w:r>
    </w:p>
    <w:p w14:paraId="494B9D5B">
      <w:pPr>
        <w:numPr>
          <w:ilvl w:val="0"/>
          <w:numId w:val="175"/>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所有与</w:t>
      </w:r>
      <w:r>
        <w:rPr>
          <w:rFonts w:hint="eastAsia" w:ascii="黑体" w:hAnsi="黑体" w:cs="Arial"/>
          <w:szCs w:val="18"/>
        </w:rPr>
        <w:t>浮筑底板</w:t>
      </w:r>
      <w:r>
        <w:rPr>
          <w:rFonts w:ascii="黑体" w:hAnsi="黑体" w:cs="Arial"/>
          <w:szCs w:val="18"/>
        </w:rPr>
        <w:t>安装相关的产品</w:t>
      </w:r>
      <w:r>
        <w:rPr>
          <w:rFonts w:hint="eastAsia" w:ascii="黑体" w:hAnsi="黑体" w:cs="Arial"/>
          <w:szCs w:val="18"/>
        </w:rPr>
        <w:t>参数及报告</w:t>
      </w:r>
      <w:r>
        <w:rPr>
          <w:rFonts w:ascii="黑体" w:hAnsi="黑体" w:cs="Arial"/>
          <w:szCs w:val="18"/>
        </w:rPr>
        <w:t>；</w:t>
      </w:r>
    </w:p>
    <w:p w14:paraId="4B2D1FEE">
      <w:pPr>
        <w:numPr>
          <w:ilvl w:val="0"/>
          <w:numId w:val="175"/>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安装步骤</w:t>
      </w:r>
      <w:r>
        <w:rPr>
          <w:rFonts w:hint="eastAsia" w:ascii="黑体" w:hAnsi="黑体" w:cs="Arial"/>
          <w:szCs w:val="18"/>
        </w:rPr>
        <w:t>方案</w:t>
      </w:r>
      <w:r>
        <w:rPr>
          <w:rFonts w:ascii="黑体" w:hAnsi="黑体" w:cs="Arial"/>
          <w:szCs w:val="18"/>
        </w:rPr>
        <w:t>，包括移除围墙板；</w:t>
      </w:r>
    </w:p>
    <w:p w14:paraId="73DCB4F7">
      <w:pPr>
        <w:numPr>
          <w:ilvl w:val="0"/>
          <w:numId w:val="175"/>
        </w:numPr>
        <w:tabs>
          <w:tab w:val="left" w:pos="1418"/>
        </w:tabs>
        <w:autoSpaceDE w:val="0"/>
        <w:autoSpaceDN w:val="0"/>
        <w:adjustRightInd w:val="0"/>
        <w:ind w:left="1418" w:hanging="567"/>
        <w:jc w:val="left"/>
        <w:rPr>
          <w:rFonts w:ascii="黑体" w:hAnsi="黑体" w:cs="Arial"/>
          <w:szCs w:val="18"/>
        </w:rPr>
      </w:pPr>
      <w:r>
        <w:rPr>
          <w:rFonts w:hint="eastAsia" w:ascii="黑体" w:hAnsi="黑体" w:cs="Arial"/>
          <w:szCs w:val="18"/>
        </w:rPr>
        <w:t>符合资质要求的</w:t>
      </w:r>
      <w:r>
        <w:rPr>
          <w:rFonts w:ascii="黑体" w:hAnsi="黑体" w:cs="Arial"/>
          <w:szCs w:val="18"/>
        </w:rPr>
        <w:t>实验室测试报告</w:t>
      </w:r>
      <w:r>
        <w:rPr>
          <w:rFonts w:hint="eastAsia" w:ascii="黑体" w:hAnsi="黑体" w:cs="Arial"/>
          <w:szCs w:val="18"/>
        </w:rPr>
        <w:t>及</w:t>
      </w:r>
      <w:r>
        <w:rPr>
          <w:rFonts w:ascii="黑体" w:hAnsi="黑体" w:cs="Arial"/>
          <w:szCs w:val="18"/>
        </w:rPr>
        <w:t>使用年测试</w:t>
      </w:r>
      <w:r>
        <w:rPr>
          <w:rFonts w:hint="eastAsia" w:ascii="黑体" w:hAnsi="黑体" w:cs="Arial"/>
          <w:szCs w:val="18"/>
        </w:rPr>
        <w:t>承诺函，需包含相关化学检测报告及物理性能报告（包括材料固有频率、永久变形率、极限抗压强度、压缩屈服强度、压缩弹性模量、拉伸强度、拉断伸长率、脆性温度、热空气老化等性能参数）</w:t>
      </w:r>
      <w:r>
        <w:rPr>
          <w:rFonts w:ascii="黑体" w:hAnsi="黑体" w:cs="Arial"/>
          <w:szCs w:val="18"/>
        </w:rPr>
        <w:t>。</w:t>
      </w:r>
    </w:p>
    <w:p w14:paraId="4103DB7B">
      <w:pPr>
        <w:numPr>
          <w:ilvl w:val="0"/>
          <w:numId w:val="175"/>
        </w:numPr>
        <w:tabs>
          <w:tab w:val="left" w:pos="1418"/>
        </w:tabs>
        <w:autoSpaceDE w:val="0"/>
        <w:autoSpaceDN w:val="0"/>
        <w:adjustRightInd w:val="0"/>
        <w:ind w:left="1418" w:hanging="567"/>
        <w:jc w:val="left"/>
        <w:rPr>
          <w:rFonts w:ascii="黑体" w:hAnsi="黑体" w:cs="Arial"/>
          <w:szCs w:val="18"/>
        </w:rPr>
      </w:pPr>
      <w:r>
        <w:rPr>
          <w:rFonts w:hint="eastAsia" w:ascii="黑体" w:hAnsi="黑体" w:cs="Arial"/>
          <w:szCs w:val="18"/>
        </w:rPr>
        <w:t>能达到设计值的实测隔声效果；</w:t>
      </w:r>
    </w:p>
    <w:p w14:paraId="5D35050E">
      <w:pPr>
        <w:jc w:val="left"/>
        <w:rPr>
          <w:rFonts w:ascii="黑体" w:hAnsi="黑体" w:cs="Arial"/>
          <w:szCs w:val="18"/>
        </w:rPr>
      </w:pPr>
    </w:p>
    <w:p w14:paraId="737B8F57">
      <w:pPr>
        <w:widowControl/>
        <w:numPr>
          <w:ilvl w:val="1"/>
          <w:numId w:val="174"/>
        </w:numPr>
        <w:tabs>
          <w:tab w:val="left" w:pos="851"/>
        </w:tabs>
        <w:ind w:left="851" w:hanging="851"/>
        <w:jc w:val="left"/>
        <w:rPr>
          <w:rFonts w:ascii="黑体" w:hAnsi="黑体" w:cs="Arial"/>
          <w:szCs w:val="18"/>
          <w:u w:val="single"/>
        </w:rPr>
      </w:pPr>
      <w:r>
        <w:rPr>
          <w:rFonts w:hint="eastAsia" w:ascii="黑体" w:hAnsi="黑体" w:cs="Arial"/>
          <w:szCs w:val="18"/>
          <w:u w:val="single"/>
        </w:rPr>
        <w:t>浮筑平台承包商</w:t>
      </w:r>
      <w:r>
        <w:rPr>
          <w:rFonts w:ascii="黑体" w:hAnsi="黑体" w:cs="Arial"/>
          <w:szCs w:val="18"/>
          <w:u w:val="single"/>
        </w:rPr>
        <w:t>的责任</w:t>
      </w:r>
    </w:p>
    <w:p w14:paraId="768A4CE4">
      <w:pPr>
        <w:jc w:val="left"/>
        <w:rPr>
          <w:rFonts w:ascii="黑体" w:hAnsi="黑体" w:cs="Arial"/>
          <w:szCs w:val="18"/>
        </w:rPr>
      </w:pPr>
    </w:p>
    <w:p w14:paraId="51661FB1">
      <w:pPr>
        <w:widowControl/>
        <w:numPr>
          <w:ilvl w:val="2"/>
          <w:numId w:val="174"/>
        </w:numPr>
        <w:tabs>
          <w:tab w:val="left" w:pos="851"/>
        </w:tabs>
        <w:ind w:left="851" w:hanging="851"/>
        <w:jc w:val="left"/>
        <w:rPr>
          <w:rFonts w:ascii="黑体" w:hAnsi="黑体" w:cs="Arial"/>
          <w:szCs w:val="18"/>
        </w:rPr>
      </w:pPr>
      <w:r>
        <w:rPr>
          <w:rFonts w:hint="eastAsia" w:ascii="黑体" w:hAnsi="黑体" w:cs="Arial"/>
          <w:szCs w:val="18"/>
        </w:rPr>
        <w:t>浮筑平台承包商</w:t>
      </w:r>
      <w:r>
        <w:rPr>
          <w:rFonts w:ascii="黑体" w:hAnsi="黑体" w:cs="Arial"/>
          <w:szCs w:val="18"/>
        </w:rPr>
        <w:t>应负以下责任：</w:t>
      </w:r>
    </w:p>
    <w:p w14:paraId="6BF6EBE8">
      <w:pPr>
        <w:numPr>
          <w:ilvl w:val="0"/>
          <w:numId w:val="176"/>
        </w:numPr>
        <w:tabs>
          <w:tab w:val="left" w:pos="1418"/>
        </w:tabs>
        <w:autoSpaceDE w:val="0"/>
        <w:autoSpaceDN w:val="0"/>
        <w:adjustRightInd w:val="0"/>
        <w:jc w:val="left"/>
        <w:rPr>
          <w:rFonts w:ascii="黑体" w:hAnsi="黑体" w:cs="Arial"/>
          <w:szCs w:val="18"/>
        </w:rPr>
      </w:pPr>
      <w:r>
        <w:rPr>
          <w:rFonts w:hint="eastAsia" w:ascii="黑体" w:hAnsi="黑体" w:cs="Arial"/>
          <w:szCs w:val="18"/>
        </w:rPr>
        <w:t>深化图纸并确定</w:t>
      </w:r>
      <w:r>
        <w:rPr>
          <w:rFonts w:ascii="黑体" w:hAnsi="黑体" w:cs="Arial"/>
          <w:szCs w:val="18"/>
        </w:rPr>
        <w:t>隔振及隔离装置的尺寸和位置；</w:t>
      </w:r>
    </w:p>
    <w:p w14:paraId="2F507D48">
      <w:pPr>
        <w:numPr>
          <w:ilvl w:val="0"/>
          <w:numId w:val="176"/>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按照说明提供设备隔振及隔离装置；</w:t>
      </w:r>
    </w:p>
    <w:p w14:paraId="6E66065F">
      <w:pPr>
        <w:numPr>
          <w:ilvl w:val="0"/>
          <w:numId w:val="176"/>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由承包商提供计算过程以使所有系统具体化，达到可用建筑的规范要求；</w:t>
      </w:r>
    </w:p>
    <w:p w14:paraId="3A49C0B2">
      <w:pPr>
        <w:numPr>
          <w:ilvl w:val="0"/>
          <w:numId w:val="176"/>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提供安装及施工指引、施工制造图说明；</w:t>
      </w:r>
    </w:p>
    <w:p w14:paraId="7824E988">
      <w:pPr>
        <w:numPr>
          <w:ilvl w:val="0"/>
          <w:numId w:val="176"/>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保证安装能正确的完成。</w:t>
      </w:r>
    </w:p>
    <w:p w14:paraId="5615F7BB">
      <w:pPr>
        <w:widowControl/>
        <w:numPr>
          <w:ilvl w:val="2"/>
          <w:numId w:val="174"/>
        </w:numPr>
        <w:tabs>
          <w:tab w:val="left" w:pos="851"/>
        </w:tabs>
        <w:ind w:left="851" w:hanging="851"/>
        <w:jc w:val="left"/>
        <w:rPr>
          <w:rFonts w:ascii="黑体" w:hAnsi="黑体" w:cs="Arial"/>
          <w:szCs w:val="18"/>
        </w:rPr>
      </w:pPr>
      <w:r>
        <w:rPr>
          <w:rFonts w:ascii="黑体" w:hAnsi="黑体" w:cs="Arial"/>
          <w:szCs w:val="18"/>
        </w:rPr>
        <w:t>安装此部份规格产品的施工厂商必须有达10年以上相关经验。</w:t>
      </w:r>
    </w:p>
    <w:p w14:paraId="28542DF6">
      <w:pPr>
        <w:widowControl/>
        <w:numPr>
          <w:ilvl w:val="2"/>
          <w:numId w:val="174"/>
        </w:numPr>
        <w:tabs>
          <w:tab w:val="left" w:pos="851"/>
        </w:tabs>
        <w:ind w:left="851" w:hanging="851"/>
        <w:jc w:val="left"/>
        <w:rPr>
          <w:rFonts w:ascii="黑体" w:hAnsi="黑体" w:cs="Arial"/>
          <w:szCs w:val="18"/>
        </w:rPr>
      </w:pPr>
      <w:r>
        <w:rPr>
          <w:rFonts w:ascii="黑体" w:hAnsi="黑体" w:cs="Arial"/>
          <w:szCs w:val="18"/>
        </w:rPr>
        <w:t>承包商应负责重新平衡、布置调整以及其它所必须的补救措施，包括对任何产生超出制造商和项目要求的噪音和振动的系统进行更换。</w:t>
      </w:r>
    </w:p>
    <w:p w14:paraId="1DED667C">
      <w:pPr>
        <w:widowControl/>
        <w:numPr>
          <w:ilvl w:val="2"/>
          <w:numId w:val="174"/>
        </w:numPr>
        <w:tabs>
          <w:tab w:val="left" w:pos="851"/>
        </w:tabs>
        <w:ind w:left="851" w:hanging="851"/>
        <w:jc w:val="left"/>
        <w:rPr>
          <w:rFonts w:ascii="黑体" w:hAnsi="黑体" w:cs="Arial"/>
          <w:szCs w:val="18"/>
        </w:rPr>
      </w:pPr>
      <w:r>
        <w:rPr>
          <w:rFonts w:ascii="黑体" w:hAnsi="黑体" w:cs="Arial"/>
          <w:szCs w:val="18"/>
        </w:rPr>
        <w:t>承包商应告知监造单位每个有可能影响浮筑楼板系统的安装和性能的工地环境因素。必须经审阅核准才能安装。</w:t>
      </w:r>
    </w:p>
    <w:p w14:paraId="6D54F4D6">
      <w:pPr>
        <w:widowControl/>
        <w:tabs>
          <w:tab w:val="left" w:pos="851"/>
        </w:tabs>
        <w:ind w:left="851"/>
        <w:jc w:val="left"/>
        <w:rPr>
          <w:rFonts w:ascii="黑体" w:hAnsi="黑体" w:cs="Arial"/>
          <w:szCs w:val="18"/>
        </w:rPr>
      </w:pPr>
    </w:p>
    <w:p w14:paraId="6C2C87C4">
      <w:pPr>
        <w:widowControl/>
        <w:numPr>
          <w:ilvl w:val="0"/>
          <w:numId w:val="174"/>
        </w:numPr>
        <w:tabs>
          <w:tab w:val="left" w:pos="851"/>
        </w:tabs>
        <w:ind w:left="851" w:hanging="851"/>
        <w:jc w:val="left"/>
        <w:rPr>
          <w:rFonts w:ascii="黑体" w:hAnsi="黑体" w:cs="Arial"/>
          <w:b/>
          <w:szCs w:val="18"/>
        </w:rPr>
      </w:pPr>
      <w:r>
        <w:rPr>
          <w:rFonts w:ascii="黑体" w:hAnsi="黑体" w:cs="Arial"/>
          <w:b/>
          <w:szCs w:val="18"/>
        </w:rPr>
        <w:t>浮筑</w:t>
      </w:r>
      <w:r>
        <w:rPr>
          <w:rFonts w:hint="eastAsia" w:ascii="黑体" w:hAnsi="黑体" w:cs="Arial"/>
          <w:b/>
          <w:szCs w:val="18"/>
        </w:rPr>
        <w:t>平台技术及产品要求</w:t>
      </w:r>
    </w:p>
    <w:p w14:paraId="46A1DE9D">
      <w:pPr>
        <w:widowControl/>
        <w:numPr>
          <w:ilvl w:val="1"/>
          <w:numId w:val="174"/>
        </w:numPr>
        <w:tabs>
          <w:tab w:val="left" w:pos="851"/>
        </w:tabs>
        <w:ind w:left="851" w:hanging="851"/>
        <w:jc w:val="left"/>
        <w:rPr>
          <w:rFonts w:ascii="黑体" w:hAnsi="黑体" w:cs="Arial"/>
          <w:szCs w:val="18"/>
          <w:u w:val="single"/>
        </w:rPr>
      </w:pPr>
      <w:r>
        <w:rPr>
          <w:rFonts w:ascii="黑体" w:hAnsi="黑体" w:cs="Arial"/>
          <w:szCs w:val="18"/>
          <w:u w:val="single"/>
        </w:rPr>
        <w:t>浮筑楼板</w:t>
      </w:r>
    </w:p>
    <w:p w14:paraId="3803369D">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浮筑楼板实际现场</w:t>
      </w:r>
      <w:r>
        <w:rPr>
          <w:rFonts w:hint="eastAsia" w:ascii="黑体" w:hAnsi="黑体" w:cs="Arial"/>
          <w:szCs w:val="18"/>
        </w:rPr>
        <w:t>运行</w:t>
      </w:r>
      <w:r>
        <w:rPr>
          <w:rFonts w:ascii="黑体" w:hAnsi="黑体" w:cs="Arial"/>
          <w:szCs w:val="18"/>
        </w:rPr>
        <w:t>及负重情况下的隔离物质必须</w:t>
      </w:r>
      <w:r>
        <w:rPr>
          <w:rFonts w:hint="eastAsia" w:ascii="黑体" w:hAnsi="黑体" w:cs="Arial"/>
          <w:szCs w:val="18"/>
        </w:rPr>
        <w:t>有</w:t>
      </w:r>
      <w:r>
        <w:rPr>
          <w:rFonts w:ascii="黑体" w:hAnsi="黑体" w:cs="Arial"/>
          <w:szCs w:val="18"/>
        </w:rPr>
        <w:t>足够的静挠度以提供不大于10Hz的自然频率。制造商应选择合适的物料与及安装的位置从而达到自然频率的要求。</w:t>
      </w:r>
    </w:p>
    <w:p w14:paraId="77397C1B">
      <w:pPr>
        <w:widowControl/>
        <w:numPr>
          <w:ilvl w:val="2"/>
          <w:numId w:val="174"/>
        </w:numPr>
        <w:tabs>
          <w:tab w:val="left" w:pos="851"/>
        </w:tabs>
        <w:ind w:left="851" w:hanging="851"/>
        <w:jc w:val="left"/>
        <w:rPr>
          <w:rFonts w:ascii="黑体" w:hAnsi="黑体" w:cs="Arial"/>
          <w:szCs w:val="18"/>
        </w:rPr>
      </w:pPr>
      <w:r>
        <w:rPr>
          <w:rFonts w:ascii="黑体" w:hAnsi="黑体" w:cs="Arial"/>
          <w:szCs w:val="18"/>
        </w:rPr>
        <w:t>现场运作及负重情况</w:t>
      </w:r>
      <w:r>
        <w:rPr>
          <w:rFonts w:hint="eastAsia" w:ascii="黑体" w:hAnsi="黑体" w:cs="Arial"/>
          <w:szCs w:val="18"/>
        </w:rPr>
        <w:t>满足设计院要求，</w:t>
      </w:r>
      <w:r>
        <w:rPr>
          <w:rFonts w:ascii="黑体" w:hAnsi="黑体" w:cs="Arial"/>
          <w:szCs w:val="18"/>
        </w:rPr>
        <w:t>所有设备</w:t>
      </w:r>
      <w:r>
        <w:rPr>
          <w:rFonts w:hint="eastAsia" w:ascii="黑体" w:hAnsi="黑体" w:cs="Arial"/>
          <w:szCs w:val="18"/>
        </w:rPr>
        <w:t>（</w:t>
      </w:r>
      <w:r>
        <w:rPr>
          <w:rFonts w:ascii="黑体" w:hAnsi="黑体" w:cs="Arial"/>
          <w:szCs w:val="18"/>
        </w:rPr>
        <w:t>包括固定</w:t>
      </w:r>
      <w:r>
        <w:rPr>
          <w:rFonts w:hint="eastAsia" w:ascii="黑体" w:hAnsi="黑体" w:cs="Arial"/>
          <w:szCs w:val="18"/>
        </w:rPr>
        <w:t>、</w:t>
      </w:r>
      <w:r>
        <w:rPr>
          <w:rFonts w:ascii="黑体" w:hAnsi="黑体" w:cs="Arial"/>
          <w:szCs w:val="18"/>
        </w:rPr>
        <w:t>可移动的设备</w:t>
      </w:r>
      <w:r>
        <w:rPr>
          <w:rFonts w:hint="eastAsia" w:ascii="黑体" w:hAnsi="黑体" w:cs="Arial"/>
          <w:szCs w:val="18"/>
        </w:rPr>
        <w:t>及人员）荷载</w:t>
      </w:r>
      <w:r>
        <w:rPr>
          <w:rFonts w:ascii="黑体" w:hAnsi="黑体" w:cs="Arial"/>
          <w:szCs w:val="18"/>
        </w:rPr>
        <w:t>，</w:t>
      </w:r>
      <w:r>
        <w:rPr>
          <w:rFonts w:hint="eastAsia" w:ascii="黑体" w:hAnsi="黑体" w:cs="Arial"/>
          <w:szCs w:val="18"/>
        </w:rPr>
        <w:t>由设计院提资给</w:t>
      </w:r>
      <w:r>
        <w:rPr>
          <w:rFonts w:ascii="黑体" w:hAnsi="黑体" w:cs="Arial"/>
          <w:szCs w:val="18"/>
        </w:rPr>
        <w:t>浮筑地板</w:t>
      </w:r>
      <w:r>
        <w:rPr>
          <w:rFonts w:hint="eastAsia" w:ascii="黑体" w:hAnsi="黑体" w:cs="Arial"/>
          <w:szCs w:val="18"/>
        </w:rPr>
        <w:t>承包商进行深化</w:t>
      </w:r>
      <w:r>
        <w:rPr>
          <w:rFonts w:ascii="黑体" w:hAnsi="黑体" w:cs="Arial"/>
          <w:szCs w:val="18"/>
        </w:rPr>
        <w:t>。</w:t>
      </w:r>
    </w:p>
    <w:p w14:paraId="4AA1ECC6">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浮筑地板应有能力承受额外负重，而所有物料均不会变形及受损。</w:t>
      </w:r>
    </w:p>
    <w:p w14:paraId="7BB98061">
      <w:pPr>
        <w:widowControl/>
        <w:numPr>
          <w:ilvl w:val="2"/>
          <w:numId w:val="174"/>
        </w:numPr>
        <w:tabs>
          <w:tab w:val="left" w:pos="851"/>
        </w:tabs>
        <w:ind w:left="851" w:hanging="851"/>
        <w:jc w:val="left"/>
        <w:rPr>
          <w:rFonts w:ascii="黑体" w:hAnsi="黑体" w:cs="Arial"/>
          <w:szCs w:val="18"/>
        </w:rPr>
      </w:pPr>
      <w:r>
        <w:rPr>
          <w:rFonts w:ascii="黑体" w:hAnsi="黑体" w:cs="Arial"/>
          <w:szCs w:val="18"/>
        </w:rPr>
        <w:t>填充物</w:t>
      </w:r>
    </w:p>
    <w:p w14:paraId="50EEEB48">
      <w:pPr>
        <w:numPr>
          <w:ilvl w:val="0"/>
          <w:numId w:val="177"/>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填充物用于浮筑楼板</w:t>
      </w:r>
      <w:r>
        <w:rPr>
          <w:rFonts w:hint="eastAsia" w:ascii="黑体" w:hAnsi="黑体" w:cs="Arial"/>
          <w:szCs w:val="18"/>
        </w:rPr>
        <w:t>隔振胶（块）</w:t>
      </w:r>
      <w:r>
        <w:rPr>
          <w:rFonts w:ascii="黑体" w:hAnsi="黑体" w:cs="Arial"/>
          <w:szCs w:val="18"/>
        </w:rPr>
        <w:t>之间空隙，玻璃棉密度至少48kg/m</w:t>
      </w:r>
      <w:r>
        <w:rPr>
          <w:rFonts w:hint="eastAsia" w:ascii="黑体" w:hAnsi="黑体" w:cs="Arial"/>
          <w:szCs w:val="18"/>
        </w:rPr>
        <w:t>3</w:t>
      </w:r>
      <w:r>
        <w:rPr>
          <w:rFonts w:ascii="黑体" w:hAnsi="黑体" w:cs="Arial"/>
          <w:szCs w:val="18"/>
        </w:rPr>
        <w:t>，厚度为50mm 厚</w:t>
      </w:r>
      <w:r>
        <w:rPr>
          <w:rFonts w:hint="eastAsia" w:ascii="黑体" w:hAnsi="黑体" w:cs="Arial"/>
          <w:szCs w:val="18"/>
        </w:rPr>
        <w:t>(室外浮筑楼板除外)。</w:t>
      </w:r>
    </w:p>
    <w:p w14:paraId="3A230185">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浮筑楼板隔振胶（块）</w:t>
      </w:r>
    </w:p>
    <w:p w14:paraId="1FAC5D5E">
      <w:pPr>
        <w:numPr>
          <w:ilvl w:val="0"/>
          <w:numId w:val="178"/>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隔振胶（块）的中心分隔距离</w:t>
      </w:r>
      <w:r>
        <w:rPr>
          <w:rFonts w:hint="eastAsia" w:ascii="黑体" w:hAnsi="黑体" w:cs="Arial"/>
          <w:szCs w:val="18"/>
        </w:rPr>
        <w:t>以设计为准</w:t>
      </w:r>
      <w:r>
        <w:rPr>
          <w:rFonts w:ascii="黑体" w:hAnsi="黑体" w:cs="Arial"/>
          <w:szCs w:val="18"/>
        </w:rPr>
        <w:t>或制造商提供规范要求</w:t>
      </w:r>
      <w:r>
        <w:rPr>
          <w:rFonts w:hint="eastAsia" w:ascii="黑体" w:hAnsi="黑体" w:cs="Arial"/>
          <w:szCs w:val="18"/>
        </w:rPr>
        <w:t>（不大于5</w:t>
      </w:r>
      <w:r>
        <w:rPr>
          <w:rFonts w:ascii="黑体" w:hAnsi="黑体" w:cs="Arial"/>
          <w:szCs w:val="18"/>
        </w:rPr>
        <w:t>00</w:t>
      </w:r>
      <w:r>
        <w:rPr>
          <w:rFonts w:hint="eastAsia" w:ascii="黑体" w:hAnsi="黑体" w:cs="Arial"/>
          <w:szCs w:val="18"/>
        </w:rPr>
        <w:t>mm），隔振胶（块）在</w:t>
      </w:r>
      <w:r>
        <w:rPr>
          <w:rFonts w:ascii="黑体" w:hAnsi="黑体" w:cs="Arial"/>
          <w:szCs w:val="18"/>
        </w:rPr>
        <w:t>围墙四周和重型设备位置必须适当的</w:t>
      </w:r>
      <w:r>
        <w:rPr>
          <w:rFonts w:hint="eastAsia" w:ascii="黑体" w:hAnsi="黑体" w:cs="Arial"/>
          <w:szCs w:val="18"/>
        </w:rPr>
        <w:t>加密</w:t>
      </w:r>
      <w:r>
        <w:rPr>
          <w:rFonts w:ascii="黑体" w:hAnsi="黑体" w:cs="Arial"/>
          <w:szCs w:val="18"/>
        </w:rPr>
        <w:t>分担负载。</w:t>
      </w:r>
      <w:r>
        <w:rPr>
          <w:rFonts w:hint="eastAsia" w:ascii="黑体" w:hAnsi="黑体" w:cs="Arial"/>
          <w:szCs w:val="18"/>
        </w:rPr>
        <w:t>距边的尺寸以图纸为准（一般不大于1</w:t>
      </w:r>
      <w:r>
        <w:rPr>
          <w:rFonts w:ascii="黑体" w:hAnsi="黑体" w:cs="Arial"/>
          <w:szCs w:val="18"/>
        </w:rPr>
        <w:t>50mm</w:t>
      </w:r>
      <w:r>
        <w:rPr>
          <w:rFonts w:hint="eastAsia" w:ascii="黑体" w:hAnsi="黑体" w:cs="Arial"/>
          <w:szCs w:val="18"/>
        </w:rPr>
        <w:t>）。</w:t>
      </w:r>
    </w:p>
    <w:p w14:paraId="1D8F863D">
      <w:pPr>
        <w:widowControl/>
        <w:numPr>
          <w:ilvl w:val="0"/>
          <w:numId w:val="178"/>
        </w:numPr>
        <w:tabs>
          <w:tab w:val="left" w:pos="1418"/>
        </w:tabs>
        <w:autoSpaceDE w:val="0"/>
        <w:autoSpaceDN w:val="0"/>
        <w:adjustRightInd w:val="0"/>
        <w:spacing w:before="240" w:after="180"/>
        <w:jc w:val="left"/>
        <w:rPr>
          <w:rFonts w:ascii="黑体" w:hAnsi="黑体"/>
          <w:szCs w:val="18"/>
        </w:rPr>
      </w:pPr>
      <w:r>
        <w:rPr>
          <w:rFonts w:hint="eastAsia" w:ascii="黑体" w:hAnsi="黑体" w:cs="Arial"/>
          <w:szCs w:val="18"/>
        </w:rPr>
        <w:t>由于浮筑地板具有不可更换性，</w:t>
      </w:r>
      <w:r>
        <w:rPr>
          <w:rFonts w:ascii="黑体" w:hAnsi="黑体" w:cs="Arial"/>
          <w:szCs w:val="18"/>
        </w:rPr>
        <w:t>浮筑楼板隔振胶（块）</w:t>
      </w:r>
      <w:r>
        <w:rPr>
          <w:rFonts w:hint="eastAsia" w:ascii="黑体" w:hAnsi="黑体" w:cs="Arial"/>
          <w:szCs w:val="18"/>
        </w:rPr>
        <w:t>需具至少有</w:t>
      </w:r>
      <w:r>
        <w:rPr>
          <w:rFonts w:ascii="黑体" w:hAnsi="黑体" w:cs="Arial"/>
          <w:szCs w:val="18"/>
        </w:rPr>
        <w:t>5</w:t>
      </w:r>
      <w:r>
        <w:rPr>
          <w:rFonts w:hint="eastAsia" w:ascii="黑体" w:hAnsi="黑体" w:cs="Arial"/>
          <w:szCs w:val="18"/>
        </w:rPr>
        <w:t>0年耐久性能承诺函，使之与建筑物相匹配的使用年限。</w:t>
      </w:r>
    </w:p>
    <w:p w14:paraId="064E14F6">
      <w:pPr>
        <w:widowControl/>
        <w:numPr>
          <w:ilvl w:val="0"/>
          <w:numId w:val="178"/>
        </w:numPr>
        <w:tabs>
          <w:tab w:val="left" w:pos="1418"/>
        </w:tabs>
        <w:autoSpaceDE w:val="0"/>
        <w:autoSpaceDN w:val="0"/>
        <w:adjustRightInd w:val="0"/>
        <w:spacing w:before="240" w:after="180"/>
        <w:jc w:val="left"/>
        <w:rPr>
          <w:rFonts w:ascii="黑体" w:hAnsi="黑体"/>
          <w:szCs w:val="18"/>
        </w:rPr>
      </w:pPr>
      <w:r>
        <w:rPr>
          <w:rFonts w:hint="eastAsia" w:ascii="黑体" w:hAnsi="黑体"/>
          <w:szCs w:val="18"/>
        </w:rPr>
        <w:t>隔振胶（块）应采用含氯丁橡胶涂层的高密度玻璃纤维，氯丁胶或天然橡胶，或同等材料，并须由同一个认可品牌的供应商提供。材料必须由工程师批准。 他们应完全符合本规范的要求。整个项目应采用同一种类型的材料。</w:t>
      </w:r>
    </w:p>
    <w:p w14:paraId="1BE68064">
      <w:pPr>
        <w:pStyle w:val="14"/>
        <w:widowControl/>
        <w:numPr>
          <w:ilvl w:val="0"/>
          <w:numId w:val="178"/>
        </w:numPr>
        <w:spacing w:before="240" w:after="180"/>
        <w:jc w:val="left"/>
        <w:rPr>
          <w:rFonts w:ascii="黑体" w:hAnsi="黑体"/>
          <w:szCs w:val="18"/>
        </w:rPr>
      </w:pPr>
      <w:r>
        <w:rPr>
          <w:rFonts w:hint="eastAsia" w:ascii="黑体" w:hAnsi="黑体"/>
          <w:szCs w:val="18"/>
        </w:rPr>
        <w:t>隔振胶（块）的最大荷载不应少于恒载和活荷载的两倍，恒载和活荷载对支承静挠度的增加不应该超过3mm。</w:t>
      </w:r>
    </w:p>
    <w:p w14:paraId="49CD38F4">
      <w:pPr>
        <w:pStyle w:val="14"/>
        <w:widowControl/>
        <w:numPr>
          <w:ilvl w:val="0"/>
          <w:numId w:val="178"/>
        </w:numPr>
        <w:spacing w:before="240" w:after="180"/>
        <w:jc w:val="left"/>
        <w:rPr>
          <w:rFonts w:ascii="黑体" w:hAnsi="黑体"/>
          <w:szCs w:val="18"/>
        </w:rPr>
      </w:pPr>
      <w:r>
        <w:rPr>
          <w:rFonts w:hint="eastAsia" w:ascii="黑体" w:hAnsi="黑体"/>
          <w:szCs w:val="18"/>
        </w:rPr>
        <w:t>隔振胶（块）必须针对本项目的设备选型和荷载，进行选型和排列，保证浮筑地板系统的固有频率不大于 15 赫兹，恒载状态下固有频率不少于10赫兹。</w:t>
      </w:r>
    </w:p>
    <w:p w14:paraId="5556F1EC">
      <w:pPr>
        <w:pStyle w:val="14"/>
        <w:widowControl/>
        <w:numPr>
          <w:ilvl w:val="0"/>
          <w:numId w:val="178"/>
        </w:numPr>
        <w:spacing w:before="240" w:after="180"/>
        <w:jc w:val="left"/>
        <w:rPr>
          <w:rFonts w:ascii="黑体" w:hAnsi="黑体"/>
          <w:szCs w:val="18"/>
        </w:rPr>
      </w:pPr>
      <w:r>
        <w:rPr>
          <w:rFonts w:hint="eastAsia" w:ascii="黑体" w:hAnsi="黑体"/>
          <w:szCs w:val="18"/>
        </w:rPr>
        <w:t>浮筑地板系统的最低声学要求如下：</w:t>
      </w:r>
    </w:p>
    <w:tbl>
      <w:tblPr>
        <w:tblStyle w:val="36"/>
        <w:tblW w:w="7938" w:type="dxa"/>
        <w:jc w:val="center"/>
        <w:tblLayout w:type="fixed"/>
        <w:tblCellMar>
          <w:top w:w="0" w:type="dxa"/>
          <w:left w:w="108" w:type="dxa"/>
          <w:bottom w:w="0" w:type="dxa"/>
          <w:right w:w="108" w:type="dxa"/>
        </w:tblCellMar>
      </w:tblPr>
      <w:tblGrid>
        <w:gridCol w:w="1889"/>
        <w:gridCol w:w="6049"/>
      </w:tblGrid>
      <w:tr w14:paraId="5A20EE12">
        <w:tblPrEx>
          <w:tblCellMar>
            <w:top w:w="0" w:type="dxa"/>
            <w:left w:w="108" w:type="dxa"/>
            <w:bottom w:w="0" w:type="dxa"/>
            <w:right w:w="108" w:type="dxa"/>
          </w:tblCellMar>
        </w:tblPrEx>
        <w:trPr>
          <w:trHeight w:val="601" w:hRule="atLeast"/>
          <w:jc w:val="center"/>
        </w:trPr>
        <w:tc>
          <w:tcPr>
            <w:tcW w:w="1889" w:type="dxa"/>
            <w:tcBorders>
              <w:top w:val="single" w:color="000000" w:sz="10" w:space="0"/>
              <w:left w:val="single" w:color="000000" w:sz="10" w:space="0"/>
              <w:bottom w:val="single" w:color="000000" w:sz="10" w:space="0"/>
              <w:right w:val="single" w:color="000000" w:sz="10" w:space="0"/>
            </w:tcBorders>
            <w:shd w:val="clear" w:color="auto" w:fill="B3B3B3"/>
            <w:tcMar>
              <w:top w:w="0" w:type="dxa"/>
              <w:right w:w="0" w:type="dxa"/>
            </w:tcMar>
            <w:vAlign w:val="center"/>
          </w:tcPr>
          <w:p w14:paraId="5ABFB6F8">
            <w:pPr>
              <w:spacing w:after="120" w:line="260" w:lineRule="atLeast"/>
              <w:jc w:val="left"/>
              <w:rPr>
                <w:rFonts w:ascii="黑体" w:hAnsi="黑体" w:cs="Arial"/>
                <w:szCs w:val="18"/>
              </w:rPr>
            </w:pPr>
            <w:r>
              <w:rPr>
                <w:rFonts w:hint="eastAsia" w:ascii="黑体" w:hAnsi="黑体" w:cs="Arial"/>
                <w:b/>
                <w:szCs w:val="18"/>
              </w:rPr>
              <w:t>要求</w:t>
            </w:r>
          </w:p>
        </w:tc>
        <w:tc>
          <w:tcPr>
            <w:tcW w:w="6049" w:type="dxa"/>
            <w:tcBorders>
              <w:top w:val="single" w:color="000000" w:sz="10" w:space="0"/>
              <w:bottom w:val="single" w:color="000000" w:sz="10" w:space="0"/>
              <w:right w:val="single" w:color="000000" w:sz="10" w:space="0"/>
            </w:tcBorders>
            <w:shd w:val="clear" w:color="auto" w:fill="B3B3B3"/>
            <w:tcMar>
              <w:top w:w="0" w:type="dxa"/>
              <w:right w:w="0" w:type="dxa"/>
            </w:tcMar>
            <w:vAlign w:val="center"/>
          </w:tcPr>
          <w:p w14:paraId="7501ECEA">
            <w:pPr>
              <w:spacing w:after="120" w:line="260" w:lineRule="atLeast"/>
              <w:jc w:val="left"/>
              <w:rPr>
                <w:rFonts w:ascii="黑体" w:hAnsi="黑体" w:cs="Arial"/>
                <w:szCs w:val="18"/>
              </w:rPr>
            </w:pPr>
            <w:r>
              <w:rPr>
                <w:rFonts w:hint="eastAsia" w:ascii="黑体" w:hAnsi="黑体" w:cs="Arial"/>
                <w:b/>
                <w:szCs w:val="18"/>
              </w:rPr>
              <w:t>典型构造</w:t>
            </w:r>
          </w:p>
        </w:tc>
      </w:tr>
      <w:tr w14:paraId="7E532C34">
        <w:tblPrEx>
          <w:tblCellMar>
            <w:top w:w="0" w:type="dxa"/>
            <w:left w:w="108" w:type="dxa"/>
            <w:bottom w:w="0" w:type="dxa"/>
            <w:right w:w="108" w:type="dxa"/>
          </w:tblCellMar>
        </w:tblPrEx>
        <w:trPr>
          <w:trHeight w:val="1532" w:hRule="atLeast"/>
          <w:jc w:val="center"/>
        </w:trPr>
        <w:tc>
          <w:tcPr>
            <w:tcW w:w="1889" w:type="dxa"/>
            <w:tcBorders>
              <w:left w:val="single" w:color="000000" w:sz="10" w:space="0"/>
              <w:bottom w:val="single" w:color="000000" w:sz="10" w:space="0"/>
              <w:right w:val="single" w:color="000000" w:sz="10" w:space="0"/>
            </w:tcBorders>
            <w:tcMar>
              <w:top w:w="0" w:type="dxa"/>
              <w:right w:w="0" w:type="dxa"/>
            </w:tcMar>
            <w:vAlign w:val="center"/>
          </w:tcPr>
          <w:p w14:paraId="75062573">
            <w:pPr>
              <w:spacing w:after="120" w:line="260" w:lineRule="atLeast"/>
              <w:jc w:val="left"/>
              <w:rPr>
                <w:rFonts w:ascii="黑体" w:hAnsi="黑体" w:cs="Arial"/>
                <w:szCs w:val="18"/>
              </w:rPr>
            </w:pPr>
            <w:r>
              <w:rPr>
                <w:rFonts w:ascii="黑体" w:hAnsi="黑体" w:cs="Arial"/>
                <w:szCs w:val="18"/>
              </w:rPr>
              <w:t>STC70 / IIC65</w:t>
            </w:r>
          </w:p>
          <w:p w14:paraId="19205387">
            <w:pPr>
              <w:spacing w:after="120" w:line="260" w:lineRule="atLeast"/>
              <w:jc w:val="left"/>
              <w:rPr>
                <w:rFonts w:ascii="黑体" w:hAnsi="黑体" w:cs="Arial"/>
                <w:szCs w:val="18"/>
              </w:rPr>
            </w:pPr>
            <w:r>
              <w:rPr>
                <w:rFonts w:hint="eastAsia" w:ascii="黑体" w:hAnsi="黑体"/>
                <w:szCs w:val="18"/>
              </w:rPr>
              <w:t>固有</w:t>
            </w:r>
            <w:r>
              <w:rPr>
                <w:rFonts w:ascii="黑体" w:hAnsi="黑体" w:cs="Arial"/>
                <w:szCs w:val="18"/>
              </w:rPr>
              <w:t>频率 15 赫兹</w:t>
            </w:r>
          </w:p>
        </w:tc>
        <w:tc>
          <w:tcPr>
            <w:tcW w:w="6049" w:type="dxa"/>
            <w:tcBorders>
              <w:bottom w:val="single" w:color="000000" w:sz="10" w:space="0"/>
              <w:right w:val="single" w:color="000000" w:sz="10" w:space="0"/>
            </w:tcBorders>
            <w:tcMar>
              <w:top w:w="0" w:type="dxa"/>
              <w:right w:w="0" w:type="dxa"/>
            </w:tcMar>
            <w:vAlign w:val="center"/>
          </w:tcPr>
          <w:p w14:paraId="256E9F0F">
            <w:pPr>
              <w:spacing w:after="120" w:line="260" w:lineRule="atLeast"/>
              <w:jc w:val="left"/>
              <w:rPr>
                <w:rFonts w:ascii="黑体" w:hAnsi="黑体" w:cs="Arial"/>
                <w:szCs w:val="18"/>
              </w:rPr>
            </w:pPr>
            <w:r>
              <w:rPr>
                <w:rFonts w:hint="eastAsia" w:ascii="黑体" w:hAnsi="黑体" w:cs="Arial"/>
                <w:szCs w:val="18"/>
              </w:rPr>
              <w:t>不低于2</w:t>
            </w:r>
            <w:r>
              <w:rPr>
                <w:rFonts w:ascii="黑体" w:hAnsi="黑体" w:cs="Arial"/>
                <w:szCs w:val="18"/>
              </w:rPr>
              <w:t>mm的</w:t>
            </w:r>
            <w:r>
              <w:rPr>
                <w:rFonts w:hint="eastAsia" w:ascii="黑体" w:hAnsi="黑体" w:cs="Arial"/>
                <w:szCs w:val="18"/>
              </w:rPr>
              <w:t>镀锌</w:t>
            </w:r>
            <w:r>
              <w:rPr>
                <w:rFonts w:ascii="黑体" w:hAnsi="黑体" w:cs="Arial"/>
                <w:szCs w:val="18"/>
              </w:rPr>
              <w:t xml:space="preserve">钢板上 </w:t>
            </w:r>
            <w:r>
              <w:rPr>
                <w:rFonts w:hint="eastAsia" w:ascii="黑体" w:hAnsi="黑体" w:cs="Arial"/>
                <w:szCs w:val="18"/>
              </w:rPr>
              <w:t>提供</w:t>
            </w:r>
            <w:r>
              <w:rPr>
                <w:rFonts w:ascii="黑体" w:hAnsi="黑体" w:cs="Arial"/>
                <w:szCs w:val="18"/>
              </w:rPr>
              <w:t>最</w:t>
            </w:r>
            <w:r>
              <w:rPr>
                <w:rFonts w:hint="eastAsia" w:ascii="黑体" w:hAnsi="黑体" w:cs="Arial"/>
                <w:szCs w:val="18"/>
              </w:rPr>
              <w:t>少1</w:t>
            </w:r>
            <w:r>
              <w:rPr>
                <w:rFonts w:ascii="黑体" w:hAnsi="黑体" w:cs="Arial"/>
                <w:szCs w:val="18"/>
              </w:rPr>
              <w:t>5</w:t>
            </w:r>
            <w:r>
              <w:rPr>
                <w:rFonts w:hint="eastAsia" w:ascii="黑体" w:hAnsi="黑体" w:cs="Arial"/>
                <w:szCs w:val="18"/>
              </w:rPr>
              <w:t>0mm</w:t>
            </w:r>
            <w:r>
              <w:rPr>
                <w:rFonts w:ascii="黑体" w:hAnsi="黑体" w:cs="Arial"/>
                <w:szCs w:val="18"/>
              </w:rPr>
              <w:t>钢筋混凝土</w:t>
            </w:r>
            <w:r>
              <w:rPr>
                <w:rFonts w:hint="eastAsia" w:ascii="黑体" w:hAnsi="黑体" w:cs="Arial"/>
                <w:szCs w:val="18"/>
              </w:rPr>
              <w:t>浮筑楼板，</w:t>
            </w:r>
            <w:r>
              <w:rPr>
                <w:rFonts w:ascii="黑体" w:hAnsi="黑体" w:cs="Arial"/>
                <w:szCs w:val="18"/>
              </w:rPr>
              <w:t xml:space="preserve"> </w:t>
            </w:r>
          </w:p>
          <w:p w14:paraId="067710FC">
            <w:pPr>
              <w:spacing w:after="120" w:line="260" w:lineRule="atLeast"/>
              <w:jc w:val="left"/>
              <w:rPr>
                <w:rFonts w:ascii="黑体" w:hAnsi="黑体" w:cs="Arial"/>
                <w:szCs w:val="18"/>
              </w:rPr>
            </w:pPr>
            <w:r>
              <w:rPr>
                <w:rFonts w:hint="eastAsia" w:ascii="黑体" w:hAnsi="黑体" w:cs="Arial"/>
                <w:szCs w:val="18"/>
              </w:rPr>
              <w:t>50</w:t>
            </w:r>
            <w:r>
              <w:rPr>
                <w:rFonts w:ascii="黑体" w:hAnsi="黑体" w:cs="Arial"/>
                <w:szCs w:val="18"/>
              </w:rPr>
              <w:t xml:space="preserve"> </w:t>
            </w:r>
            <w:r>
              <w:rPr>
                <w:rFonts w:hint="eastAsia" w:ascii="黑体" w:hAnsi="黑体" w:cs="Arial"/>
                <w:szCs w:val="18"/>
              </w:rPr>
              <w:t>mm</w:t>
            </w:r>
            <w:r>
              <w:rPr>
                <w:rFonts w:ascii="黑体" w:hAnsi="黑体" w:cs="Arial"/>
                <w:szCs w:val="18"/>
              </w:rPr>
              <w:t>厚的</w:t>
            </w:r>
            <w:r>
              <w:rPr>
                <w:rFonts w:hint="eastAsia" w:ascii="黑体" w:hAnsi="黑体"/>
                <w:szCs w:val="18"/>
              </w:rPr>
              <w:t>隔振胶（块），空隙填满</w:t>
            </w:r>
            <w:r>
              <w:rPr>
                <w:rFonts w:ascii="黑体" w:hAnsi="黑体" w:cs="Arial"/>
                <w:szCs w:val="18"/>
              </w:rPr>
              <w:t xml:space="preserve"> 50</w:t>
            </w:r>
            <w:r>
              <w:rPr>
                <w:rFonts w:hint="eastAsia" w:ascii="黑体" w:hAnsi="黑体" w:cs="Arial"/>
                <w:szCs w:val="18"/>
              </w:rPr>
              <w:t>mm</w:t>
            </w:r>
            <w:r>
              <w:rPr>
                <w:rFonts w:ascii="黑体" w:hAnsi="黑体" w:cs="Arial"/>
                <w:szCs w:val="18"/>
              </w:rPr>
              <w:t xml:space="preserve">厚 48 </w:t>
            </w:r>
            <w:r>
              <w:rPr>
                <w:rFonts w:hint="eastAsia" w:ascii="黑体" w:hAnsi="黑体" w:cs="Arial"/>
                <w:szCs w:val="18"/>
              </w:rPr>
              <w:t>kg/m</w:t>
            </w:r>
            <w:r>
              <w:rPr>
                <w:rFonts w:hint="eastAsia" w:ascii="黑体" w:hAnsi="黑体" w:cs="Arial"/>
                <w:szCs w:val="18"/>
                <w:vertAlign w:val="superscript"/>
              </w:rPr>
              <w:t>3</w:t>
            </w:r>
            <w:r>
              <w:rPr>
                <w:rFonts w:ascii="黑体" w:hAnsi="黑体" w:cs="Arial"/>
                <w:szCs w:val="18"/>
              </w:rPr>
              <w:t>玻璃</w:t>
            </w:r>
            <w:r>
              <w:rPr>
                <w:rFonts w:hint="eastAsia" w:ascii="黑体" w:hAnsi="黑体" w:cs="Arial"/>
                <w:szCs w:val="18"/>
              </w:rPr>
              <w:t>棉</w:t>
            </w:r>
            <w:r>
              <w:rPr>
                <w:rFonts w:ascii="黑体" w:hAnsi="黑体" w:cs="Arial"/>
                <w:szCs w:val="18"/>
              </w:rPr>
              <w:t>。</w:t>
            </w:r>
          </w:p>
        </w:tc>
      </w:tr>
    </w:tbl>
    <w:p w14:paraId="65DD9971">
      <w:pPr>
        <w:pStyle w:val="14"/>
        <w:spacing w:before="240" w:after="180"/>
        <w:ind w:left="1129"/>
        <w:jc w:val="left"/>
        <w:rPr>
          <w:rFonts w:ascii="黑体" w:hAnsi="黑体"/>
          <w:szCs w:val="18"/>
        </w:rPr>
      </w:pPr>
    </w:p>
    <w:p w14:paraId="03FEE4EE">
      <w:pPr>
        <w:pStyle w:val="14"/>
        <w:widowControl/>
        <w:numPr>
          <w:ilvl w:val="0"/>
          <w:numId w:val="178"/>
        </w:numPr>
        <w:spacing w:before="240" w:after="180"/>
        <w:jc w:val="left"/>
        <w:rPr>
          <w:rFonts w:ascii="黑体" w:hAnsi="黑体"/>
          <w:szCs w:val="18"/>
        </w:rPr>
      </w:pPr>
      <w:r>
        <w:rPr>
          <w:rFonts w:hint="eastAsia" w:ascii="黑体" w:hAnsi="黑体"/>
          <w:szCs w:val="18"/>
        </w:rPr>
        <w:t>隔振胶（块）物料应适合在 0℃ 到40℃温度，及相对湿度 20%至 99%环境下使用。浮筑地板的安装应符合当地的消防规定。</w:t>
      </w:r>
    </w:p>
    <w:p w14:paraId="23CC201F">
      <w:pPr>
        <w:pStyle w:val="14"/>
        <w:widowControl/>
        <w:numPr>
          <w:ilvl w:val="0"/>
          <w:numId w:val="178"/>
        </w:numPr>
        <w:spacing w:before="240" w:after="180"/>
        <w:jc w:val="left"/>
        <w:rPr>
          <w:rFonts w:ascii="黑体" w:hAnsi="黑体"/>
          <w:szCs w:val="18"/>
        </w:rPr>
      </w:pPr>
      <w:r>
        <w:rPr>
          <w:rFonts w:hint="eastAsia" w:ascii="黑体" w:hAnsi="黑体"/>
          <w:szCs w:val="18"/>
        </w:rPr>
        <w:t>隔振胶（块）、玻璃棉、隔振橡塑板、胶水应采用满足环保要求（如V</w:t>
      </w:r>
      <w:r>
        <w:rPr>
          <w:rFonts w:ascii="黑体" w:hAnsi="黑体"/>
          <w:szCs w:val="18"/>
        </w:rPr>
        <w:t>OC</w:t>
      </w:r>
      <w:r>
        <w:rPr>
          <w:rFonts w:hint="eastAsia" w:ascii="黑体" w:hAnsi="黑体"/>
          <w:szCs w:val="18"/>
        </w:rPr>
        <w:t>、甲醛等），无异味（严禁采用再生材料），物料应能抵抗昆虫、真菌、 臭氧和水的侵蚀。</w:t>
      </w:r>
    </w:p>
    <w:p w14:paraId="35A9BCDD">
      <w:pPr>
        <w:tabs>
          <w:tab w:val="left" w:pos="1418"/>
        </w:tabs>
        <w:ind w:left="1418"/>
        <w:jc w:val="left"/>
        <w:rPr>
          <w:rFonts w:ascii="黑体" w:hAnsi="黑体" w:cs="Arial"/>
          <w:szCs w:val="18"/>
          <w:lang w:val="en-GB"/>
        </w:rPr>
      </w:pPr>
    </w:p>
    <w:p w14:paraId="2891EE40">
      <w:pPr>
        <w:widowControl/>
        <w:numPr>
          <w:ilvl w:val="2"/>
          <w:numId w:val="174"/>
        </w:numPr>
        <w:tabs>
          <w:tab w:val="left" w:pos="851"/>
        </w:tabs>
        <w:ind w:left="851" w:hanging="851"/>
        <w:jc w:val="left"/>
        <w:rPr>
          <w:rFonts w:ascii="黑体" w:hAnsi="黑体" w:cs="Arial"/>
          <w:szCs w:val="18"/>
        </w:rPr>
      </w:pPr>
      <w:r>
        <w:rPr>
          <w:rFonts w:ascii="黑体" w:hAnsi="黑体" w:cs="Arial"/>
          <w:szCs w:val="18"/>
        </w:rPr>
        <w:t>弹性周边板及密封物料</w:t>
      </w:r>
    </w:p>
    <w:p w14:paraId="76C0A8C0">
      <w:pPr>
        <w:numPr>
          <w:ilvl w:val="0"/>
          <w:numId w:val="179"/>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 xml:space="preserve">周边必须有弹性板的装置，弹性周边板应至少有 </w:t>
      </w:r>
      <w:r>
        <w:rPr>
          <w:rFonts w:hint="eastAsia" w:ascii="黑体" w:hAnsi="黑体" w:cs="Arial"/>
          <w:szCs w:val="18"/>
        </w:rPr>
        <w:t>2</w:t>
      </w:r>
      <w:r>
        <w:rPr>
          <w:rFonts w:ascii="黑体" w:hAnsi="黑体" w:cs="Arial"/>
          <w:szCs w:val="18"/>
        </w:rPr>
        <w:t>0mm 厚。</w:t>
      </w:r>
    </w:p>
    <w:p w14:paraId="1332A360">
      <w:pPr>
        <w:widowControl/>
        <w:numPr>
          <w:ilvl w:val="0"/>
          <w:numId w:val="179"/>
        </w:numPr>
        <w:tabs>
          <w:tab w:val="left" w:pos="1418"/>
        </w:tabs>
        <w:autoSpaceDE w:val="0"/>
        <w:autoSpaceDN w:val="0"/>
        <w:adjustRightInd w:val="0"/>
        <w:spacing w:before="240" w:after="180"/>
        <w:jc w:val="left"/>
        <w:rPr>
          <w:rFonts w:ascii="黑体" w:hAnsi="黑体"/>
          <w:szCs w:val="18"/>
        </w:rPr>
      </w:pPr>
      <w:r>
        <w:rPr>
          <w:rFonts w:hint="eastAsia" w:ascii="黑体" w:hAnsi="黑体" w:cs="Arial"/>
          <w:szCs w:val="18"/>
        </w:rPr>
        <w:t>材料的</w:t>
      </w:r>
      <w:r>
        <w:rPr>
          <w:rFonts w:ascii="黑体" w:hAnsi="黑体" w:cs="Arial"/>
          <w:szCs w:val="18"/>
        </w:rPr>
        <w:t>永久弹性、防硬化、防漏</w:t>
      </w:r>
      <w:r>
        <w:rPr>
          <w:rFonts w:hint="eastAsia" w:ascii="黑体" w:hAnsi="黑体" w:cs="Arial"/>
          <w:szCs w:val="18"/>
        </w:rPr>
        <w:t>性能需满足国标</w:t>
      </w:r>
      <w:r>
        <w:rPr>
          <w:rFonts w:ascii="黑体" w:hAnsi="黑体" w:cs="Arial"/>
          <w:szCs w:val="18"/>
        </w:rPr>
        <w:t>。</w:t>
      </w:r>
    </w:p>
    <w:p w14:paraId="081436AD">
      <w:pPr>
        <w:widowControl/>
        <w:numPr>
          <w:ilvl w:val="0"/>
          <w:numId w:val="179"/>
        </w:numPr>
        <w:tabs>
          <w:tab w:val="left" w:pos="1418"/>
        </w:tabs>
        <w:autoSpaceDE w:val="0"/>
        <w:autoSpaceDN w:val="0"/>
        <w:adjustRightInd w:val="0"/>
        <w:spacing w:before="240" w:after="180"/>
        <w:jc w:val="left"/>
        <w:rPr>
          <w:rFonts w:ascii="黑体" w:hAnsi="黑体"/>
          <w:szCs w:val="18"/>
        </w:rPr>
      </w:pPr>
      <w:r>
        <w:rPr>
          <w:rFonts w:hint="eastAsia" w:ascii="黑体" w:hAnsi="黑体"/>
          <w:szCs w:val="18"/>
        </w:rPr>
        <w:t>边缘隔振（围边）橡塑板应采用闭孔式类材料，材料样品必须在现场安装工作开始前提供给专业经理审批。</w:t>
      </w:r>
    </w:p>
    <w:p w14:paraId="3F920147">
      <w:pPr>
        <w:pStyle w:val="14"/>
        <w:widowControl/>
        <w:numPr>
          <w:ilvl w:val="0"/>
          <w:numId w:val="179"/>
        </w:numPr>
        <w:spacing w:before="240" w:after="180"/>
        <w:jc w:val="left"/>
        <w:rPr>
          <w:rFonts w:ascii="黑体" w:hAnsi="黑体"/>
          <w:szCs w:val="18"/>
        </w:rPr>
      </w:pPr>
      <w:r>
        <w:rPr>
          <w:rFonts w:hint="eastAsia" w:ascii="黑体" w:hAnsi="黑体"/>
          <w:szCs w:val="18"/>
        </w:rPr>
        <w:t>边缘隔振（围边）橡塑板的安装范围需要从楼板底部至高于完成面5m</w:t>
      </w:r>
      <w:r>
        <w:rPr>
          <w:rFonts w:ascii="黑体" w:hAnsi="黑体"/>
          <w:szCs w:val="18"/>
        </w:rPr>
        <w:t>m</w:t>
      </w:r>
      <w:r>
        <w:rPr>
          <w:rFonts w:hint="eastAsia" w:ascii="黑体" w:hAnsi="黑体"/>
          <w:szCs w:val="18"/>
        </w:rPr>
        <w:t>。隔振（围边）橡塑板必须妥善黏贴牢固。</w:t>
      </w:r>
    </w:p>
    <w:p w14:paraId="3C402CC8">
      <w:pPr>
        <w:pStyle w:val="14"/>
        <w:widowControl/>
        <w:numPr>
          <w:ilvl w:val="0"/>
          <w:numId w:val="179"/>
        </w:numPr>
        <w:spacing w:before="240" w:after="180"/>
        <w:jc w:val="left"/>
        <w:rPr>
          <w:rFonts w:ascii="黑体" w:hAnsi="黑体"/>
          <w:szCs w:val="18"/>
        </w:rPr>
      </w:pPr>
      <w:r>
        <w:rPr>
          <w:rFonts w:hint="eastAsia" w:ascii="黑体" w:hAnsi="黑体"/>
          <w:szCs w:val="18"/>
        </w:rPr>
        <w:t>边缘隔振（围边）橡塑板必须用自粘聚合物改性沥青防水卷材完全覆盖并确保防水。</w:t>
      </w:r>
    </w:p>
    <w:p w14:paraId="799C14A4">
      <w:pPr>
        <w:pStyle w:val="14"/>
        <w:widowControl/>
        <w:numPr>
          <w:ilvl w:val="0"/>
          <w:numId w:val="179"/>
        </w:numPr>
        <w:spacing w:before="240" w:after="180"/>
        <w:jc w:val="left"/>
        <w:rPr>
          <w:rFonts w:ascii="黑体" w:hAnsi="黑体"/>
          <w:szCs w:val="18"/>
        </w:rPr>
      </w:pPr>
      <w:r>
        <w:rPr>
          <w:rFonts w:hint="eastAsia" w:ascii="黑体" w:hAnsi="黑体"/>
          <w:szCs w:val="18"/>
        </w:rPr>
        <w:t>浮筑地板固化后，多余的边缘隔振橡塑板必须切割掉，切割深度比完成面低5m</w:t>
      </w:r>
      <w:r>
        <w:rPr>
          <w:rFonts w:ascii="黑体" w:hAnsi="黑体"/>
          <w:szCs w:val="18"/>
        </w:rPr>
        <w:t>m</w:t>
      </w:r>
      <w:r>
        <w:rPr>
          <w:rFonts w:hint="eastAsia" w:ascii="黑体" w:hAnsi="黑体"/>
          <w:szCs w:val="18"/>
        </w:rPr>
        <w:t>的高度，并使用防水密封胶把空腔填满。</w:t>
      </w:r>
    </w:p>
    <w:p w14:paraId="52700E1E">
      <w:pPr>
        <w:pStyle w:val="14"/>
        <w:widowControl/>
        <w:numPr>
          <w:ilvl w:val="0"/>
          <w:numId w:val="179"/>
        </w:numPr>
        <w:spacing w:before="240" w:after="180"/>
        <w:jc w:val="left"/>
        <w:rPr>
          <w:rFonts w:ascii="黑体" w:hAnsi="黑体"/>
          <w:szCs w:val="18"/>
        </w:rPr>
      </w:pPr>
      <w:r>
        <w:rPr>
          <w:rFonts w:hint="eastAsia" w:ascii="黑体" w:hAnsi="黑体"/>
          <w:szCs w:val="18"/>
        </w:rPr>
        <w:t>在施工过程中，承包商应确保没有杂物或碎片，掉入浮筑地板内。</w:t>
      </w:r>
    </w:p>
    <w:p w14:paraId="7DC7E4BA">
      <w:pPr>
        <w:widowControl/>
        <w:tabs>
          <w:tab w:val="left" w:pos="851"/>
        </w:tabs>
        <w:ind w:left="851"/>
        <w:jc w:val="left"/>
        <w:rPr>
          <w:rFonts w:ascii="黑体" w:hAnsi="黑体" w:cs="Arial"/>
          <w:szCs w:val="18"/>
        </w:rPr>
      </w:pPr>
    </w:p>
    <w:p w14:paraId="470B9FBB">
      <w:pPr>
        <w:widowControl/>
        <w:numPr>
          <w:ilvl w:val="2"/>
          <w:numId w:val="174"/>
        </w:numPr>
        <w:tabs>
          <w:tab w:val="left" w:pos="851"/>
        </w:tabs>
        <w:ind w:left="851" w:hanging="851"/>
        <w:jc w:val="left"/>
        <w:rPr>
          <w:rFonts w:ascii="黑体" w:hAnsi="黑体" w:cs="Arial"/>
          <w:szCs w:val="18"/>
        </w:rPr>
      </w:pPr>
      <w:r>
        <w:rPr>
          <w:rFonts w:ascii="黑体" w:hAnsi="黑体" w:cs="Arial"/>
          <w:szCs w:val="18"/>
        </w:rPr>
        <w:t>混凝土板</w:t>
      </w:r>
    </w:p>
    <w:p w14:paraId="53FF4B1E">
      <w:pPr>
        <w:numPr>
          <w:ilvl w:val="0"/>
          <w:numId w:val="180"/>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混凝土地板的</w:t>
      </w:r>
      <w:r>
        <w:rPr>
          <w:rFonts w:hint="eastAsia" w:ascii="黑体" w:hAnsi="黑体" w:cs="Arial"/>
          <w:szCs w:val="18"/>
        </w:rPr>
        <w:t>配筋</w:t>
      </w:r>
      <w:r>
        <w:rPr>
          <w:rFonts w:ascii="黑体" w:hAnsi="黑体" w:cs="Arial"/>
          <w:szCs w:val="18"/>
        </w:rPr>
        <w:t>必须由</w:t>
      </w:r>
      <w:r>
        <w:rPr>
          <w:rFonts w:hint="eastAsia" w:ascii="黑体" w:hAnsi="黑体" w:cs="Arial"/>
          <w:szCs w:val="18"/>
        </w:rPr>
        <w:t>设计院</w:t>
      </w:r>
      <w:r>
        <w:rPr>
          <w:rFonts w:ascii="黑体" w:hAnsi="黑体" w:cs="Arial"/>
          <w:szCs w:val="18"/>
        </w:rPr>
        <w:t>提供</w:t>
      </w:r>
      <w:r>
        <w:rPr>
          <w:rFonts w:hint="eastAsia" w:ascii="黑体" w:hAnsi="黑体" w:cs="Arial"/>
          <w:szCs w:val="18"/>
        </w:rPr>
        <w:t>，防水以设计图纸为准。</w:t>
      </w:r>
    </w:p>
    <w:p w14:paraId="41F508EE">
      <w:pPr>
        <w:widowControl/>
        <w:tabs>
          <w:tab w:val="left" w:pos="851"/>
        </w:tabs>
        <w:ind w:left="851"/>
        <w:jc w:val="left"/>
        <w:rPr>
          <w:rFonts w:ascii="黑体" w:hAnsi="黑体" w:cs="Arial"/>
          <w:szCs w:val="18"/>
        </w:rPr>
      </w:pPr>
    </w:p>
    <w:p w14:paraId="17F764AC">
      <w:pPr>
        <w:widowControl/>
        <w:numPr>
          <w:ilvl w:val="2"/>
          <w:numId w:val="174"/>
        </w:numPr>
        <w:tabs>
          <w:tab w:val="left" w:pos="851"/>
        </w:tabs>
        <w:ind w:left="851" w:hanging="851"/>
        <w:jc w:val="left"/>
        <w:rPr>
          <w:rFonts w:ascii="黑体" w:hAnsi="黑体" w:cs="Arial"/>
          <w:szCs w:val="18"/>
        </w:rPr>
      </w:pPr>
      <w:r>
        <w:rPr>
          <w:rFonts w:ascii="黑体" w:hAnsi="黑体" w:cs="Arial"/>
          <w:szCs w:val="18"/>
        </w:rPr>
        <w:t>贯穿位置的密封条</w:t>
      </w:r>
    </w:p>
    <w:p w14:paraId="660F2590">
      <w:pPr>
        <w:numPr>
          <w:ilvl w:val="0"/>
          <w:numId w:val="181"/>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所有穿过浮筑楼板的风管、水管和排水出口应避免与浮筑楼板有固定的接触。此部份应由浮筑楼板制造商设计及监工，但由其他人提供。而风管和水管应用有弹性的接缝条，并确保密封而没有水分能穿过。</w:t>
      </w:r>
    </w:p>
    <w:p w14:paraId="054EFEBB">
      <w:pPr>
        <w:numPr>
          <w:ilvl w:val="0"/>
          <w:numId w:val="181"/>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贯穿位置必须由结构工程师审查及得到浮筑楼板制造商同意采用于指定隔振系统。</w:t>
      </w:r>
    </w:p>
    <w:p w14:paraId="4A7BD2DF">
      <w:pPr>
        <w:jc w:val="left"/>
        <w:rPr>
          <w:rFonts w:ascii="黑体" w:hAnsi="黑体" w:cs="Arial"/>
          <w:szCs w:val="18"/>
          <w:lang w:val="en-GB"/>
        </w:rPr>
      </w:pPr>
    </w:p>
    <w:p w14:paraId="56764A64">
      <w:pPr>
        <w:widowControl/>
        <w:numPr>
          <w:ilvl w:val="0"/>
          <w:numId w:val="174"/>
        </w:numPr>
        <w:tabs>
          <w:tab w:val="left" w:pos="851"/>
        </w:tabs>
        <w:ind w:left="851" w:hanging="851"/>
        <w:jc w:val="left"/>
        <w:rPr>
          <w:rFonts w:ascii="黑体" w:hAnsi="黑体" w:cs="Arial"/>
          <w:b/>
          <w:szCs w:val="18"/>
        </w:rPr>
      </w:pPr>
      <w:r>
        <w:rPr>
          <w:rFonts w:hint="eastAsia" w:ascii="黑体" w:hAnsi="黑体" w:cs="Arial"/>
          <w:b/>
          <w:szCs w:val="18"/>
        </w:rPr>
        <w:t>现场施工要求</w:t>
      </w:r>
    </w:p>
    <w:p w14:paraId="4BA1AE38">
      <w:pPr>
        <w:widowControl/>
        <w:numPr>
          <w:ilvl w:val="1"/>
          <w:numId w:val="174"/>
        </w:numPr>
        <w:tabs>
          <w:tab w:val="left" w:pos="851"/>
        </w:tabs>
        <w:ind w:left="851" w:hanging="851"/>
        <w:jc w:val="left"/>
        <w:rPr>
          <w:rFonts w:ascii="黑体" w:hAnsi="黑体" w:cs="Arial"/>
          <w:szCs w:val="18"/>
          <w:u w:val="single"/>
        </w:rPr>
      </w:pPr>
      <w:r>
        <w:rPr>
          <w:rFonts w:ascii="黑体" w:hAnsi="黑体" w:cs="Arial"/>
          <w:szCs w:val="18"/>
          <w:u w:val="single"/>
        </w:rPr>
        <w:t>浮筑楼板</w:t>
      </w:r>
    </w:p>
    <w:p w14:paraId="0F2FDF8E">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w:t>
      </w:r>
      <w:r>
        <w:rPr>
          <w:rFonts w:hint="eastAsia" w:ascii="黑体" w:hAnsi="黑体" w:cs="Arial"/>
          <w:szCs w:val="18"/>
        </w:rPr>
        <w:t>平台</w:t>
      </w:r>
      <w:r>
        <w:rPr>
          <w:rFonts w:ascii="黑体" w:hAnsi="黑体" w:cs="Arial"/>
          <w:szCs w:val="18"/>
        </w:rPr>
        <w:t>系统及其产品必须由</w:t>
      </w:r>
      <w:r>
        <w:rPr>
          <w:rFonts w:hint="eastAsia" w:ascii="黑体" w:hAnsi="黑体" w:cs="Arial"/>
          <w:szCs w:val="18"/>
        </w:rPr>
        <w:t>同一</w:t>
      </w:r>
      <w:r>
        <w:rPr>
          <w:rFonts w:ascii="黑体" w:hAnsi="黑体" w:cs="Arial"/>
          <w:szCs w:val="18"/>
        </w:rPr>
        <w:t>制造商或其代表提供。浮筑</w:t>
      </w:r>
      <w:r>
        <w:rPr>
          <w:rFonts w:hint="eastAsia" w:ascii="黑体" w:hAnsi="黑体" w:cs="Arial"/>
          <w:szCs w:val="18"/>
        </w:rPr>
        <w:t>平台</w:t>
      </w:r>
      <w:r>
        <w:rPr>
          <w:rFonts w:ascii="黑体" w:hAnsi="黑体" w:cs="Arial"/>
          <w:szCs w:val="18"/>
        </w:rPr>
        <w:t>厂家必须</w:t>
      </w:r>
      <w:r>
        <w:rPr>
          <w:rFonts w:hint="eastAsia" w:ascii="黑体" w:hAnsi="黑体" w:cs="Arial"/>
          <w:szCs w:val="18"/>
        </w:rPr>
        <w:t>监督相关</w:t>
      </w:r>
      <w:r>
        <w:rPr>
          <w:rFonts w:ascii="黑体" w:hAnsi="黑体" w:cs="Arial"/>
          <w:szCs w:val="18"/>
        </w:rPr>
        <w:t>混凝土的</w:t>
      </w:r>
      <w:r>
        <w:rPr>
          <w:rFonts w:hint="eastAsia" w:ascii="黑体" w:hAnsi="黑体" w:cs="Arial"/>
          <w:szCs w:val="18"/>
        </w:rPr>
        <w:t>施工</w:t>
      </w:r>
      <w:r>
        <w:rPr>
          <w:rFonts w:ascii="黑体" w:hAnsi="黑体" w:cs="Arial"/>
          <w:szCs w:val="18"/>
        </w:rPr>
        <w:t>。</w:t>
      </w:r>
    </w:p>
    <w:p w14:paraId="04311115">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w:t>
      </w:r>
      <w:r>
        <w:rPr>
          <w:rFonts w:hint="eastAsia" w:ascii="黑体" w:hAnsi="黑体" w:cs="Arial"/>
          <w:szCs w:val="18"/>
        </w:rPr>
        <w:t>平台承包</w:t>
      </w:r>
      <w:r>
        <w:rPr>
          <w:rFonts w:ascii="黑体" w:hAnsi="黑体" w:cs="Arial"/>
          <w:szCs w:val="18"/>
        </w:rPr>
        <w:t>商必须检查楼板及隔离橡胶点的整平及清洁。楼板整平及清洁不在浮筑</w:t>
      </w:r>
      <w:r>
        <w:rPr>
          <w:rFonts w:hint="eastAsia" w:ascii="黑体" w:hAnsi="黑体" w:cs="Arial"/>
          <w:szCs w:val="18"/>
        </w:rPr>
        <w:t>平台承包</w:t>
      </w:r>
      <w:r>
        <w:rPr>
          <w:rFonts w:ascii="黑体" w:hAnsi="黑体" w:cs="Arial"/>
          <w:szCs w:val="18"/>
        </w:rPr>
        <w:t>商的责任范围。</w:t>
      </w:r>
    </w:p>
    <w:p w14:paraId="2DECF67A">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w:t>
      </w:r>
      <w:r>
        <w:rPr>
          <w:rFonts w:hint="eastAsia" w:ascii="黑体" w:hAnsi="黑体" w:cs="Arial"/>
          <w:szCs w:val="18"/>
        </w:rPr>
        <w:t>平台承包</w:t>
      </w:r>
      <w:r>
        <w:rPr>
          <w:rFonts w:ascii="黑体" w:hAnsi="黑体" w:cs="Arial"/>
          <w:szCs w:val="18"/>
        </w:rPr>
        <w:t>商需提交</w:t>
      </w:r>
      <w:r>
        <w:rPr>
          <w:rFonts w:hint="eastAsia" w:ascii="黑体" w:hAnsi="黑体" w:cs="Arial"/>
          <w:szCs w:val="18"/>
        </w:rPr>
        <w:t>施工计划</w:t>
      </w:r>
      <w:r>
        <w:rPr>
          <w:rFonts w:ascii="黑体" w:hAnsi="黑体" w:cs="Arial"/>
          <w:szCs w:val="18"/>
        </w:rPr>
        <w:t>，并在以下安装阶段3天前，必须先通知业主及声学顾问以便设计单位的审查及协调，提交照片记录：</w:t>
      </w:r>
    </w:p>
    <w:p w14:paraId="50392DD0">
      <w:pPr>
        <w:numPr>
          <w:ilvl w:val="0"/>
          <w:numId w:val="182"/>
        </w:numPr>
        <w:tabs>
          <w:tab w:val="left" w:pos="1418"/>
        </w:tabs>
        <w:autoSpaceDE w:val="0"/>
        <w:autoSpaceDN w:val="0"/>
        <w:adjustRightInd w:val="0"/>
        <w:ind w:left="1418"/>
        <w:jc w:val="left"/>
        <w:rPr>
          <w:rFonts w:ascii="黑体" w:hAnsi="黑体" w:cs="Arial"/>
          <w:szCs w:val="18"/>
        </w:rPr>
      </w:pPr>
      <w:r>
        <w:rPr>
          <w:rFonts w:ascii="黑体" w:hAnsi="黑体" w:cs="Arial"/>
          <w:szCs w:val="18"/>
        </w:rPr>
        <w:t>完成围墙</w:t>
      </w:r>
      <w:r>
        <w:rPr>
          <w:rFonts w:hint="eastAsia" w:ascii="黑体" w:hAnsi="黑体" w:cs="Arial"/>
          <w:szCs w:val="18"/>
        </w:rPr>
        <w:t>结</w:t>
      </w:r>
      <w:r>
        <w:rPr>
          <w:rFonts w:ascii="黑体" w:hAnsi="黑体" w:cs="Arial"/>
          <w:szCs w:val="18"/>
        </w:rPr>
        <w:t>板、胶膜及隔</w:t>
      </w:r>
      <w:r>
        <w:rPr>
          <w:rFonts w:hint="eastAsia" w:ascii="黑体" w:hAnsi="黑体" w:cs="Arial"/>
          <w:szCs w:val="18"/>
        </w:rPr>
        <w:t>振</w:t>
      </w:r>
      <w:r>
        <w:rPr>
          <w:rFonts w:ascii="黑体" w:hAnsi="黑体" w:cs="Arial"/>
          <w:szCs w:val="18"/>
        </w:rPr>
        <w:t>橡胶</w:t>
      </w:r>
      <w:r>
        <w:rPr>
          <w:rFonts w:hint="eastAsia" w:ascii="黑体" w:hAnsi="黑体" w:cs="Arial"/>
          <w:szCs w:val="18"/>
        </w:rPr>
        <w:t>（块）</w:t>
      </w:r>
      <w:r>
        <w:rPr>
          <w:rFonts w:ascii="黑体" w:hAnsi="黑体" w:cs="Arial"/>
          <w:szCs w:val="18"/>
        </w:rPr>
        <w:t>的安装</w:t>
      </w:r>
      <w:r>
        <w:rPr>
          <w:rFonts w:hint="eastAsia" w:ascii="黑体" w:hAnsi="黑体" w:cs="Arial"/>
          <w:szCs w:val="18"/>
        </w:rPr>
        <w:t>；</w:t>
      </w:r>
    </w:p>
    <w:p w14:paraId="0B1EE43A">
      <w:pPr>
        <w:numPr>
          <w:ilvl w:val="0"/>
          <w:numId w:val="182"/>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完成混凝土加固工序</w:t>
      </w:r>
      <w:r>
        <w:rPr>
          <w:rFonts w:hint="eastAsia" w:ascii="黑体" w:hAnsi="黑体" w:cs="Arial"/>
          <w:szCs w:val="18"/>
        </w:rPr>
        <w:t>（如有）；</w:t>
      </w:r>
    </w:p>
    <w:p w14:paraId="116BB497">
      <w:pPr>
        <w:numPr>
          <w:ilvl w:val="0"/>
          <w:numId w:val="182"/>
        </w:numPr>
        <w:tabs>
          <w:tab w:val="left" w:pos="1418"/>
        </w:tabs>
        <w:autoSpaceDE w:val="0"/>
        <w:autoSpaceDN w:val="0"/>
        <w:adjustRightInd w:val="0"/>
        <w:ind w:left="1418" w:hanging="567"/>
        <w:jc w:val="left"/>
        <w:rPr>
          <w:rFonts w:ascii="黑体" w:hAnsi="黑体" w:cs="Arial"/>
          <w:szCs w:val="18"/>
        </w:rPr>
      </w:pPr>
      <w:r>
        <w:rPr>
          <w:rFonts w:ascii="黑体" w:hAnsi="黑体" w:cs="Arial"/>
          <w:szCs w:val="18"/>
        </w:rPr>
        <w:t>完成浮筑地板的安装工作</w:t>
      </w:r>
      <w:r>
        <w:rPr>
          <w:rFonts w:hint="eastAsia" w:ascii="黑体" w:hAnsi="黑体" w:cs="Arial"/>
          <w:szCs w:val="18"/>
        </w:rPr>
        <w:t>。</w:t>
      </w:r>
    </w:p>
    <w:p w14:paraId="433476F4">
      <w:pPr>
        <w:widowControl/>
        <w:numPr>
          <w:ilvl w:val="2"/>
          <w:numId w:val="174"/>
        </w:numPr>
        <w:tabs>
          <w:tab w:val="left" w:pos="851"/>
        </w:tabs>
        <w:ind w:left="851" w:hanging="851"/>
        <w:jc w:val="left"/>
        <w:rPr>
          <w:rFonts w:ascii="黑体" w:hAnsi="黑体" w:cs="Arial"/>
          <w:szCs w:val="18"/>
        </w:rPr>
      </w:pPr>
      <w:r>
        <w:rPr>
          <w:rFonts w:ascii="黑体" w:hAnsi="黑体" w:cs="Arial"/>
          <w:szCs w:val="18"/>
        </w:rPr>
        <w:t>在</w:t>
      </w:r>
      <w:r>
        <w:rPr>
          <w:rFonts w:hint="eastAsia" w:ascii="黑体" w:hAnsi="黑体" w:cs="Arial"/>
          <w:szCs w:val="18"/>
        </w:rPr>
        <w:t>业主</w:t>
      </w:r>
      <w:r>
        <w:rPr>
          <w:rFonts w:ascii="黑体" w:hAnsi="黑体" w:cs="Arial"/>
          <w:szCs w:val="18"/>
        </w:rPr>
        <w:t>收到设计单位</w:t>
      </w:r>
      <w:r>
        <w:rPr>
          <w:rFonts w:hint="eastAsia" w:ascii="黑体" w:hAnsi="黑体" w:cs="Arial"/>
          <w:szCs w:val="18"/>
        </w:rPr>
        <w:t>（包括声学顾间）</w:t>
      </w:r>
      <w:r>
        <w:rPr>
          <w:rFonts w:ascii="黑体" w:hAnsi="黑体" w:cs="Arial"/>
          <w:szCs w:val="18"/>
        </w:rPr>
        <w:t>的工地视察审批前，不可进行任何灌注混凝土工作。</w:t>
      </w:r>
    </w:p>
    <w:p w14:paraId="08B51FE1">
      <w:pPr>
        <w:widowControl/>
        <w:numPr>
          <w:ilvl w:val="2"/>
          <w:numId w:val="174"/>
        </w:numPr>
        <w:tabs>
          <w:tab w:val="left" w:pos="851"/>
        </w:tabs>
        <w:ind w:left="851" w:hanging="851"/>
        <w:jc w:val="left"/>
        <w:rPr>
          <w:rFonts w:ascii="黑体" w:hAnsi="黑体" w:cs="Arial"/>
          <w:szCs w:val="18"/>
        </w:rPr>
      </w:pPr>
      <w:r>
        <w:rPr>
          <w:rFonts w:ascii="黑体" w:hAnsi="黑体" w:cs="Arial"/>
          <w:szCs w:val="18"/>
        </w:rPr>
        <w:t>总</w:t>
      </w:r>
      <w:r>
        <w:rPr>
          <w:rFonts w:hint="eastAsia" w:ascii="黑体" w:hAnsi="黑体" w:cs="Arial"/>
          <w:szCs w:val="18"/>
        </w:rPr>
        <w:t>包</w:t>
      </w:r>
      <w:r>
        <w:rPr>
          <w:rFonts w:ascii="黑体" w:hAnsi="黑体" w:cs="Arial"/>
          <w:szCs w:val="18"/>
        </w:rPr>
        <w:t>须负责以下工作：</w:t>
      </w:r>
    </w:p>
    <w:p w14:paraId="639E822D">
      <w:pPr>
        <w:numPr>
          <w:ilvl w:val="0"/>
          <w:numId w:val="183"/>
        </w:numPr>
        <w:tabs>
          <w:tab w:val="left" w:pos="1418"/>
        </w:tabs>
        <w:autoSpaceDE w:val="0"/>
        <w:autoSpaceDN w:val="0"/>
        <w:adjustRightInd w:val="0"/>
        <w:jc w:val="left"/>
        <w:rPr>
          <w:rFonts w:ascii="黑体" w:hAnsi="黑体" w:cs="Arial"/>
          <w:szCs w:val="18"/>
        </w:rPr>
      </w:pPr>
      <w:r>
        <w:rPr>
          <w:rFonts w:ascii="黑体" w:hAnsi="黑体" w:cs="Arial"/>
          <w:szCs w:val="18"/>
        </w:rPr>
        <w:t>清理及整</w:t>
      </w:r>
      <w:r>
        <w:rPr>
          <w:rFonts w:hint="eastAsia" w:ascii="黑体" w:hAnsi="黑体" w:cs="Arial"/>
          <w:szCs w:val="18"/>
        </w:rPr>
        <w:t>平结构</w:t>
      </w:r>
      <w:r>
        <w:rPr>
          <w:rFonts w:ascii="黑体" w:hAnsi="黑体" w:cs="Arial"/>
          <w:szCs w:val="18"/>
        </w:rPr>
        <w:t>楼板</w:t>
      </w:r>
      <w:r>
        <w:rPr>
          <w:rFonts w:hint="eastAsia" w:ascii="黑体" w:hAnsi="黑体" w:cs="Arial"/>
          <w:szCs w:val="18"/>
        </w:rPr>
        <w:t>；</w:t>
      </w:r>
    </w:p>
    <w:p w14:paraId="2A4AF7A6">
      <w:pPr>
        <w:numPr>
          <w:ilvl w:val="0"/>
          <w:numId w:val="183"/>
        </w:numPr>
        <w:tabs>
          <w:tab w:val="left" w:pos="1418"/>
        </w:tabs>
        <w:autoSpaceDE w:val="0"/>
        <w:autoSpaceDN w:val="0"/>
        <w:adjustRightInd w:val="0"/>
        <w:jc w:val="left"/>
        <w:rPr>
          <w:rFonts w:ascii="黑体" w:hAnsi="黑体" w:cs="Arial"/>
          <w:szCs w:val="18"/>
        </w:rPr>
      </w:pPr>
      <w:r>
        <w:rPr>
          <w:rFonts w:ascii="黑体" w:hAnsi="黑体" w:cs="Arial"/>
          <w:szCs w:val="18"/>
        </w:rPr>
        <w:t>各</w:t>
      </w:r>
      <w:r>
        <w:rPr>
          <w:rFonts w:hint="eastAsia" w:ascii="黑体" w:hAnsi="黑体" w:cs="Arial"/>
          <w:szCs w:val="18"/>
        </w:rPr>
        <w:t>专业</w:t>
      </w:r>
      <w:r>
        <w:rPr>
          <w:rFonts w:ascii="黑体" w:hAnsi="黑体" w:cs="Arial"/>
          <w:szCs w:val="18"/>
        </w:rPr>
        <w:t>的协调、</w:t>
      </w:r>
      <w:r>
        <w:rPr>
          <w:rFonts w:hint="eastAsia" w:ascii="黑体" w:hAnsi="黑体" w:cs="Arial"/>
          <w:szCs w:val="18"/>
        </w:rPr>
        <w:t>现场巡检</w:t>
      </w:r>
      <w:r>
        <w:rPr>
          <w:rFonts w:ascii="黑体" w:hAnsi="黑体" w:cs="Arial"/>
          <w:szCs w:val="18"/>
        </w:rPr>
        <w:t>及设计审批</w:t>
      </w:r>
      <w:r>
        <w:rPr>
          <w:rFonts w:hint="eastAsia" w:ascii="黑体" w:hAnsi="黑体" w:cs="Arial"/>
          <w:szCs w:val="18"/>
        </w:rPr>
        <w:t>；</w:t>
      </w:r>
    </w:p>
    <w:p w14:paraId="0CA4A4AA">
      <w:pPr>
        <w:numPr>
          <w:ilvl w:val="0"/>
          <w:numId w:val="183"/>
        </w:numPr>
        <w:tabs>
          <w:tab w:val="left" w:pos="1418"/>
        </w:tabs>
        <w:autoSpaceDE w:val="0"/>
        <w:autoSpaceDN w:val="0"/>
        <w:adjustRightInd w:val="0"/>
        <w:jc w:val="left"/>
        <w:rPr>
          <w:rFonts w:ascii="黑体" w:hAnsi="黑体" w:cs="Arial"/>
          <w:szCs w:val="18"/>
        </w:rPr>
      </w:pPr>
      <w:r>
        <w:rPr>
          <w:rFonts w:ascii="黑体" w:hAnsi="黑体" w:cs="Arial"/>
          <w:szCs w:val="18"/>
        </w:rPr>
        <w:t>在浮筑地板制造商升高地板后，进行维护浮筑地板四周的清理，防止尘污进入。</w:t>
      </w:r>
    </w:p>
    <w:p w14:paraId="2B473607">
      <w:pPr>
        <w:jc w:val="left"/>
        <w:rPr>
          <w:rFonts w:ascii="黑体" w:hAnsi="黑体" w:cs="Arial"/>
          <w:szCs w:val="18"/>
        </w:rPr>
      </w:pPr>
    </w:p>
    <w:p w14:paraId="42A04F32">
      <w:pPr>
        <w:widowControl/>
        <w:numPr>
          <w:ilvl w:val="0"/>
          <w:numId w:val="174"/>
        </w:numPr>
        <w:tabs>
          <w:tab w:val="left" w:pos="851"/>
        </w:tabs>
        <w:ind w:left="851" w:hanging="851"/>
        <w:jc w:val="left"/>
        <w:rPr>
          <w:rFonts w:ascii="黑体" w:hAnsi="黑体" w:cs="Arial"/>
          <w:b/>
          <w:szCs w:val="18"/>
        </w:rPr>
      </w:pPr>
      <w:r>
        <w:rPr>
          <w:rFonts w:ascii="黑体" w:hAnsi="黑体" w:cs="Arial"/>
          <w:b/>
          <w:szCs w:val="18"/>
        </w:rPr>
        <w:t>现场隔音</w:t>
      </w:r>
      <w:r>
        <w:rPr>
          <w:rFonts w:hint="eastAsia" w:ascii="黑体" w:hAnsi="黑体" w:cs="Arial"/>
          <w:b/>
          <w:szCs w:val="18"/>
        </w:rPr>
        <w:t>要求</w:t>
      </w:r>
    </w:p>
    <w:p w14:paraId="3BCC9C34">
      <w:pPr>
        <w:widowControl/>
        <w:numPr>
          <w:ilvl w:val="1"/>
          <w:numId w:val="174"/>
        </w:numPr>
        <w:tabs>
          <w:tab w:val="left" w:pos="851"/>
        </w:tabs>
        <w:ind w:left="851" w:hanging="851"/>
        <w:jc w:val="left"/>
        <w:rPr>
          <w:rFonts w:ascii="黑体" w:hAnsi="黑体" w:cs="Arial"/>
          <w:szCs w:val="18"/>
          <w:u w:val="single"/>
        </w:rPr>
      </w:pPr>
      <w:r>
        <w:rPr>
          <w:rFonts w:ascii="黑体" w:hAnsi="黑体" w:cs="Arial"/>
          <w:szCs w:val="18"/>
          <w:u w:val="single"/>
        </w:rPr>
        <w:t>浮筑楼板</w:t>
      </w:r>
    </w:p>
    <w:p w14:paraId="2F8EC4E0">
      <w:pPr>
        <w:widowControl/>
        <w:numPr>
          <w:ilvl w:val="2"/>
          <w:numId w:val="174"/>
        </w:numPr>
        <w:tabs>
          <w:tab w:val="left" w:pos="851"/>
        </w:tabs>
        <w:ind w:left="851" w:hanging="851"/>
        <w:jc w:val="left"/>
        <w:rPr>
          <w:rFonts w:ascii="黑体" w:hAnsi="黑体" w:cs="Arial"/>
          <w:szCs w:val="18"/>
        </w:rPr>
      </w:pPr>
      <w:r>
        <w:rPr>
          <w:rFonts w:ascii="黑体" w:hAnsi="黑体" w:cs="Arial"/>
          <w:szCs w:val="18"/>
        </w:rPr>
        <w:t>浮筑地板</w:t>
      </w:r>
      <w:r>
        <w:rPr>
          <w:rFonts w:hint="eastAsia" w:ascii="黑体" w:hAnsi="黑体" w:cs="Arial"/>
          <w:szCs w:val="18"/>
        </w:rPr>
        <w:t>承包</w:t>
      </w:r>
      <w:r>
        <w:rPr>
          <w:rFonts w:ascii="黑体" w:hAnsi="黑体" w:cs="Arial"/>
          <w:szCs w:val="18"/>
        </w:rPr>
        <w:t>商需要保证工地安装符合设计。在工程完成时，</w:t>
      </w:r>
      <w:r>
        <w:rPr>
          <w:rFonts w:hint="eastAsia" w:ascii="黑体" w:hAnsi="黑体" w:cs="Arial"/>
          <w:szCs w:val="18"/>
        </w:rPr>
        <w:t>承包</w:t>
      </w:r>
      <w:r>
        <w:rPr>
          <w:rFonts w:ascii="黑体" w:hAnsi="黑体" w:cs="Arial"/>
          <w:szCs w:val="18"/>
        </w:rPr>
        <w:t>商必须提交</w:t>
      </w:r>
      <w:r>
        <w:rPr>
          <w:rFonts w:hint="eastAsia" w:ascii="黑体" w:hAnsi="黑体" w:cs="Arial"/>
          <w:szCs w:val="18"/>
        </w:rPr>
        <w:t>测试</w:t>
      </w:r>
      <w:r>
        <w:rPr>
          <w:rFonts w:ascii="黑体" w:hAnsi="黑体" w:cs="Arial"/>
          <w:szCs w:val="18"/>
        </w:rPr>
        <w:t>文件注明所安装及调整工作已根据审批的施工图及合约内容完成。</w:t>
      </w:r>
    </w:p>
    <w:p w14:paraId="6DCF775B">
      <w:pPr>
        <w:widowControl/>
        <w:tabs>
          <w:tab w:val="left" w:pos="851"/>
        </w:tabs>
        <w:ind w:left="851"/>
        <w:jc w:val="left"/>
        <w:rPr>
          <w:rFonts w:ascii="黑体" w:hAnsi="黑体" w:cs="仿宋"/>
          <w:szCs w:val="18"/>
        </w:rPr>
      </w:pPr>
      <w:r>
        <w:rPr>
          <w:rFonts w:hint="eastAsia" w:ascii="黑体" w:hAnsi="黑体" w:cs="仿宋"/>
          <w:szCs w:val="18"/>
        </w:rPr>
        <w:t>GB 50118-2010 民用建筑隔声设计规范建筑中第七章旅馆建筑隔声标准及第八章办公建筑隔声标准要求和建筑构件隔声测量</w:t>
      </w:r>
      <w:r>
        <w:rPr>
          <w:rFonts w:ascii="黑体" w:hAnsi="黑体" w:cs="仿宋"/>
          <w:szCs w:val="18"/>
        </w:rPr>
        <w:t>GB55016-2021</w:t>
      </w:r>
      <w:r>
        <w:rPr>
          <w:rFonts w:hint="eastAsia" w:ascii="黑体" w:hAnsi="黑体" w:cs="仿宋"/>
          <w:szCs w:val="18"/>
        </w:rPr>
        <w:t>建筑环境通用规范</w:t>
      </w:r>
    </w:p>
    <w:p w14:paraId="7584FE0A">
      <w:pPr>
        <w:widowControl/>
        <w:tabs>
          <w:tab w:val="left" w:pos="851"/>
        </w:tabs>
        <w:ind w:left="851"/>
        <w:jc w:val="left"/>
        <w:rPr>
          <w:rFonts w:ascii="黑体" w:hAnsi="黑体" w:cs="仿宋"/>
          <w:szCs w:val="18"/>
        </w:rPr>
      </w:pPr>
      <w:r>
        <w:rPr>
          <w:rFonts w:hint="eastAsia" w:ascii="黑体" w:hAnsi="黑体"/>
          <w:szCs w:val="18"/>
        </w:rPr>
        <w:drawing>
          <wp:inline distT="0" distB="0" distL="0" distR="0">
            <wp:extent cx="3771900" cy="2087880"/>
            <wp:effectExtent l="0" t="0" r="0" b="7620"/>
            <wp:docPr id="54"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3771900" cy="2087880"/>
                    </a:xfrm>
                    <a:prstGeom prst="rect">
                      <a:avLst/>
                    </a:prstGeom>
                    <a:noFill/>
                    <a:ln>
                      <a:noFill/>
                    </a:ln>
                  </pic:spPr>
                </pic:pic>
              </a:graphicData>
            </a:graphic>
          </wp:inline>
        </w:drawing>
      </w:r>
      <w:r>
        <w:rPr>
          <w:rFonts w:hint="eastAsia" w:ascii="黑体" w:hAnsi="黑体"/>
          <w:szCs w:val="18"/>
        </w:rPr>
        <w:drawing>
          <wp:inline distT="0" distB="0" distL="0" distR="0">
            <wp:extent cx="3931920" cy="2217420"/>
            <wp:effectExtent l="0" t="0" r="0" b="0"/>
            <wp:docPr id="53" name="图片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931920" cy="2217420"/>
                    </a:xfrm>
                    <a:prstGeom prst="rect">
                      <a:avLst/>
                    </a:prstGeom>
                    <a:noFill/>
                    <a:ln>
                      <a:noFill/>
                    </a:ln>
                    <a:effectLst/>
                  </pic:spPr>
                </pic:pic>
              </a:graphicData>
            </a:graphic>
          </wp:inline>
        </w:drawing>
      </w:r>
    </w:p>
    <w:p w14:paraId="03A13586">
      <w:pPr>
        <w:pStyle w:val="14"/>
        <w:spacing w:before="240"/>
        <w:jc w:val="left"/>
        <w:rPr>
          <w:rFonts w:ascii="黑体" w:hAnsi="黑体"/>
          <w:b/>
          <w:bCs/>
          <w:szCs w:val="18"/>
        </w:rPr>
      </w:pPr>
      <w:r>
        <w:rPr>
          <w:rFonts w:hint="eastAsia" w:ascii="黑体" w:hAnsi="黑体"/>
          <w:szCs w:val="18"/>
        </w:rPr>
        <w:t>4</w:t>
      </w:r>
      <w:r>
        <w:rPr>
          <w:rFonts w:ascii="黑体" w:hAnsi="黑体"/>
          <w:szCs w:val="18"/>
        </w:rPr>
        <w:t>.1.2《</w:t>
      </w:r>
      <w:r>
        <w:rPr>
          <w:rFonts w:hint="eastAsia" w:ascii="黑体" w:hAnsi="黑体"/>
          <w:szCs w:val="18"/>
        </w:rPr>
        <w:t>声学建筑和建筑构件隔声测量</w:t>
      </w:r>
      <w:r>
        <w:rPr>
          <w:rFonts w:ascii="黑体" w:hAnsi="黑体"/>
          <w:szCs w:val="18"/>
        </w:rPr>
        <w:t>》（</w:t>
      </w:r>
      <w:r>
        <w:rPr>
          <w:rFonts w:hint="eastAsia" w:ascii="黑体" w:hAnsi="黑体"/>
          <w:szCs w:val="18"/>
        </w:rPr>
        <w:t xml:space="preserve">GB/T19889-2005 </w:t>
      </w:r>
      <w:r>
        <w:rPr>
          <w:rFonts w:ascii="黑体" w:hAnsi="黑体"/>
          <w:szCs w:val="18"/>
        </w:rPr>
        <w:t>）</w:t>
      </w:r>
      <w:r>
        <w:rPr>
          <w:rFonts w:hint="eastAsia" w:ascii="黑体" w:hAnsi="黑体"/>
          <w:szCs w:val="18"/>
        </w:rPr>
        <w:t>中应用参考：</w:t>
      </w:r>
    </w:p>
    <w:p w14:paraId="16DFE57C">
      <w:pPr>
        <w:pStyle w:val="14"/>
        <w:widowControl/>
        <w:numPr>
          <w:ilvl w:val="0"/>
          <w:numId w:val="184"/>
        </w:numPr>
        <w:spacing w:before="240" w:after="180"/>
        <w:jc w:val="left"/>
        <w:rPr>
          <w:rFonts w:ascii="黑体" w:hAnsi="黑体"/>
          <w:szCs w:val="18"/>
        </w:rPr>
      </w:pPr>
      <w:r>
        <w:rPr>
          <w:rFonts w:hint="eastAsia" w:ascii="黑体" w:hAnsi="黑体"/>
          <w:szCs w:val="18"/>
        </w:rPr>
        <w:t>GBT 19889.3-2005 声学 建筑和建筑构件隔声测量 第3部分：建筑构件空气声隔声的实验室测量</w:t>
      </w:r>
    </w:p>
    <w:p w14:paraId="74B35961">
      <w:pPr>
        <w:pStyle w:val="14"/>
        <w:widowControl/>
        <w:numPr>
          <w:ilvl w:val="0"/>
          <w:numId w:val="184"/>
        </w:numPr>
        <w:spacing w:before="240" w:after="180"/>
        <w:jc w:val="left"/>
        <w:rPr>
          <w:rFonts w:ascii="黑体" w:hAnsi="黑体"/>
          <w:szCs w:val="18"/>
        </w:rPr>
      </w:pPr>
      <w:r>
        <w:rPr>
          <w:rFonts w:hint="eastAsia" w:ascii="黑体" w:hAnsi="黑体"/>
          <w:szCs w:val="18"/>
        </w:rPr>
        <w:t>GBT 19889.4-2005 声学 建筑和建筑构件隔声测量 第4部分：房间之间空气声隔声的现场测量</w:t>
      </w:r>
    </w:p>
    <w:p w14:paraId="15D70DDD">
      <w:pPr>
        <w:pStyle w:val="14"/>
        <w:widowControl/>
        <w:numPr>
          <w:ilvl w:val="0"/>
          <w:numId w:val="184"/>
        </w:numPr>
        <w:spacing w:before="240" w:after="180"/>
        <w:jc w:val="left"/>
        <w:rPr>
          <w:rFonts w:ascii="黑体" w:hAnsi="黑体"/>
          <w:szCs w:val="18"/>
        </w:rPr>
      </w:pPr>
      <w:r>
        <w:rPr>
          <w:rFonts w:hint="eastAsia" w:ascii="黑体" w:hAnsi="黑体"/>
          <w:szCs w:val="18"/>
        </w:rPr>
        <w:t>GBT 19889.5-2006 声学 建筑和建筑构件隔声测量 第5部分：外墙构件和外墙空气声隔声的现场测量</w:t>
      </w:r>
    </w:p>
    <w:p w14:paraId="4FB70999">
      <w:pPr>
        <w:widowControl/>
        <w:jc w:val="left"/>
        <w:rPr>
          <w:rFonts w:ascii="黑体" w:hAnsi="黑体"/>
          <w:szCs w:val="18"/>
        </w:rPr>
      </w:pPr>
    </w:p>
    <w:bookmarkEnd w:id="193"/>
    <w:p w14:paraId="6DCFBD35">
      <w:pPr>
        <w:widowControl/>
        <w:jc w:val="left"/>
        <w:rPr>
          <w:rFonts w:ascii="黑体" w:hAnsi="黑体"/>
          <w:b/>
          <w:szCs w:val="18"/>
        </w:rPr>
      </w:pPr>
      <w:r>
        <w:rPr>
          <w:rFonts w:ascii="黑体" w:hAnsi="黑体"/>
          <w:b/>
          <w:szCs w:val="18"/>
        </w:rPr>
        <w:br w:type="page"/>
      </w:r>
    </w:p>
    <w:p w14:paraId="02C5BD7E">
      <w:pPr>
        <w:jc w:val="center"/>
        <w:rPr>
          <w:rFonts w:ascii="黑体" w:hAnsi="黑体"/>
          <w:b/>
          <w:sz w:val="21"/>
          <w:szCs w:val="18"/>
        </w:rPr>
      </w:pPr>
      <w:r>
        <w:rPr>
          <w:rFonts w:hint="eastAsia" w:ascii="黑体" w:hAnsi="黑体"/>
          <w:b/>
          <w:sz w:val="21"/>
          <w:szCs w:val="18"/>
        </w:rPr>
        <w:t>附件</w:t>
      </w:r>
      <w:r>
        <w:rPr>
          <w:rFonts w:hint="eastAsia" w:ascii="黑体" w:hAnsi="黑体"/>
          <w:b/>
          <w:sz w:val="21"/>
          <w:szCs w:val="18"/>
          <w:lang w:val="en-US" w:eastAsia="zh-CN"/>
        </w:rPr>
        <w:t>四</w:t>
      </w:r>
      <w:r>
        <w:rPr>
          <w:rFonts w:hint="eastAsia" w:ascii="黑体" w:hAnsi="黑体"/>
          <w:b/>
          <w:sz w:val="21"/>
          <w:szCs w:val="18"/>
        </w:rPr>
        <w:t>：钢结构防腐与防火涂料设计标准</w:t>
      </w:r>
    </w:p>
    <w:p w14:paraId="068651E4">
      <w:pPr>
        <w:jc w:val="center"/>
        <w:rPr>
          <w:rFonts w:ascii="黑体" w:hAnsi="黑体"/>
          <w:szCs w:val="18"/>
        </w:rPr>
      </w:pPr>
    </w:p>
    <w:p w14:paraId="721623D9">
      <w:pPr>
        <w:pStyle w:val="2"/>
        <w:keepNext w:val="0"/>
        <w:numPr>
          <w:ilvl w:val="0"/>
          <w:numId w:val="185"/>
        </w:numPr>
        <w:spacing w:before="0" w:after="241" w:line="259" w:lineRule="auto"/>
        <w:ind w:left="360" w:firstLine="0"/>
        <w:jc w:val="left"/>
        <w:rPr>
          <w:szCs w:val="18"/>
        </w:rPr>
      </w:pPr>
      <w:r>
        <w:rPr>
          <w:szCs w:val="18"/>
        </w:rPr>
        <w:t>总则</w:t>
      </w:r>
    </w:p>
    <w:p w14:paraId="2D9447D4">
      <w:pPr>
        <w:pStyle w:val="49"/>
        <w:widowControl/>
        <w:numPr>
          <w:ilvl w:val="1"/>
          <w:numId w:val="185"/>
        </w:numPr>
        <w:spacing w:after="241" w:line="259" w:lineRule="auto"/>
        <w:ind w:left="345" w:firstLineChars="0"/>
        <w:jc w:val="left"/>
        <w:rPr>
          <w:rFonts w:ascii="黑体" w:hAnsi="黑体"/>
          <w:szCs w:val="18"/>
        </w:rPr>
      </w:pPr>
      <w:r>
        <w:rPr>
          <w:rFonts w:hint="eastAsia" w:ascii="黑体" w:hAnsi="黑体"/>
          <w:szCs w:val="18"/>
        </w:rPr>
        <w:t>范围</w:t>
      </w:r>
      <w:r>
        <w:rPr>
          <w:rFonts w:ascii="黑体" w:hAnsi="黑体"/>
          <w:szCs w:val="18"/>
        </w:rPr>
        <w:t xml:space="preserve"> </w:t>
      </w:r>
    </w:p>
    <w:p w14:paraId="50AD7453">
      <w:pPr>
        <w:spacing w:after="241"/>
        <w:ind w:firstLine="360" w:firstLineChars="200"/>
        <w:jc w:val="left"/>
        <w:rPr>
          <w:rFonts w:ascii="黑体" w:hAnsi="黑体"/>
          <w:szCs w:val="18"/>
        </w:rPr>
      </w:pPr>
      <w:r>
        <w:rPr>
          <w:rFonts w:hint="eastAsia" w:ascii="黑体" w:hAnsi="黑体"/>
          <w:szCs w:val="18"/>
        </w:rPr>
        <w:t>本标准适用于建（构）筑物钢结构表面使用的各类钢结构防腐及防火涂料</w:t>
      </w:r>
      <w:r>
        <w:rPr>
          <w:rFonts w:ascii="黑体" w:hAnsi="黑体"/>
          <w:szCs w:val="18"/>
        </w:rPr>
        <w:t>。</w:t>
      </w:r>
    </w:p>
    <w:p w14:paraId="639E6F9F">
      <w:pPr>
        <w:pStyle w:val="49"/>
        <w:widowControl/>
        <w:numPr>
          <w:ilvl w:val="1"/>
          <w:numId w:val="185"/>
        </w:numPr>
        <w:spacing w:after="241" w:line="259" w:lineRule="auto"/>
        <w:ind w:left="345" w:firstLineChars="0"/>
        <w:jc w:val="left"/>
        <w:rPr>
          <w:rFonts w:ascii="黑体" w:hAnsi="黑体"/>
          <w:szCs w:val="18"/>
        </w:rPr>
      </w:pPr>
      <w:r>
        <w:rPr>
          <w:rFonts w:ascii="黑体" w:hAnsi="黑体"/>
          <w:szCs w:val="18"/>
        </w:rPr>
        <w:t>参考</w:t>
      </w:r>
      <w:r>
        <w:rPr>
          <w:rFonts w:hint="eastAsia" w:ascii="黑体" w:hAnsi="黑体"/>
          <w:szCs w:val="18"/>
        </w:rPr>
        <w:t>规范</w:t>
      </w:r>
    </w:p>
    <w:p w14:paraId="58FDE32A">
      <w:pPr>
        <w:spacing w:line="360" w:lineRule="auto"/>
        <w:ind w:left="-45"/>
        <w:jc w:val="left"/>
        <w:rPr>
          <w:rFonts w:ascii="黑体" w:hAnsi="黑体"/>
          <w:szCs w:val="18"/>
        </w:rPr>
      </w:pPr>
      <w:r>
        <w:rPr>
          <w:rFonts w:ascii="黑体" w:hAnsi="黑体"/>
          <w:szCs w:val="18"/>
        </w:rPr>
        <w:t>《建筑设计防火规范》                        GB50016-2014（2018 版）</w:t>
      </w:r>
    </w:p>
    <w:p w14:paraId="4034E18F">
      <w:pPr>
        <w:spacing w:line="360" w:lineRule="auto"/>
        <w:ind w:left="-45"/>
        <w:jc w:val="left"/>
        <w:rPr>
          <w:rFonts w:ascii="黑体" w:hAnsi="黑体"/>
          <w:szCs w:val="18"/>
        </w:rPr>
      </w:pPr>
      <w:r>
        <w:rPr>
          <w:rFonts w:hint="eastAsia" w:ascii="黑体" w:hAnsi="黑体"/>
          <w:szCs w:val="18"/>
        </w:rPr>
        <w:t xml:space="preserve">《建筑钢结构防火技术规范》 </w:t>
      </w:r>
      <w:r>
        <w:rPr>
          <w:rFonts w:ascii="黑体" w:hAnsi="黑体"/>
          <w:szCs w:val="18"/>
        </w:rPr>
        <w:t xml:space="preserve">                 </w:t>
      </w:r>
      <w:r>
        <w:rPr>
          <w:rFonts w:hint="eastAsia" w:ascii="黑体" w:hAnsi="黑体"/>
          <w:szCs w:val="18"/>
        </w:rPr>
        <w:t>GB 51249-201</w:t>
      </w:r>
      <w:r>
        <w:rPr>
          <w:rFonts w:ascii="黑体" w:hAnsi="黑体"/>
          <w:szCs w:val="18"/>
        </w:rPr>
        <w:t>7</w:t>
      </w:r>
    </w:p>
    <w:p w14:paraId="24D26645">
      <w:pPr>
        <w:spacing w:line="360" w:lineRule="auto"/>
        <w:ind w:left="-45"/>
        <w:jc w:val="left"/>
        <w:rPr>
          <w:rFonts w:ascii="黑体" w:hAnsi="黑体"/>
          <w:szCs w:val="18"/>
        </w:rPr>
      </w:pPr>
      <w:r>
        <w:rPr>
          <w:rFonts w:hint="eastAsia" w:ascii="黑体" w:hAnsi="黑体"/>
          <w:szCs w:val="18"/>
        </w:rPr>
        <w:t>《</w:t>
      </w:r>
      <w:r>
        <w:rPr>
          <w:rFonts w:ascii="黑体" w:hAnsi="黑体"/>
          <w:szCs w:val="18"/>
        </w:rPr>
        <w:t>钢结构防火涂料应用技术规程</w:t>
      </w:r>
      <w:r>
        <w:rPr>
          <w:rFonts w:hint="eastAsia" w:ascii="黑体" w:hAnsi="黑体"/>
          <w:szCs w:val="18"/>
        </w:rPr>
        <w:t xml:space="preserve">》 </w:t>
      </w:r>
      <w:r>
        <w:rPr>
          <w:rFonts w:ascii="黑体" w:hAnsi="黑体"/>
          <w:szCs w:val="18"/>
        </w:rPr>
        <w:t xml:space="preserve">             T/CECS 24—2020</w:t>
      </w:r>
    </w:p>
    <w:p w14:paraId="308C73D1">
      <w:pPr>
        <w:spacing w:line="360" w:lineRule="auto"/>
        <w:ind w:right="30"/>
        <w:jc w:val="left"/>
        <w:rPr>
          <w:rFonts w:ascii="黑体" w:hAnsi="黑体"/>
          <w:szCs w:val="18"/>
        </w:rPr>
      </w:pPr>
      <w:r>
        <w:rPr>
          <w:rFonts w:hint="eastAsia" w:ascii="黑体" w:hAnsi="黑体"/>
          <w:szCs w:val="18"/>
        </w:rPr>
        <w:t>《</w:t>
      </w:r>
      <w:r>
        <w:rPr>
          <w:rFonts w:ascii="黑体" w:hAnsi="黑体"/>
          <w:szCs w:val="18"/>
        </w:rPr>
        <w:t>钢结构防火涂料</w:t>
      </w:r>
      <w:r>
        <w:rPr>
          <w:rFonts w:hint="eastAsia" w:ascii="黑体" w:hAnsi="黑体"/>
          <w:szCs w:val="18"/>
        </w:rPr>
        <w:t xml:space="preserve">》 </w:t>
      </w:r>
      <w:r>
        <w:rPr>
          <w:rFonts w:ascii="黑体" w:hAnsi="黑体"/>
          <w:szCs w:val="18"/>
        </w:rPr>
        <w:t xml:space="preserve">                        </w:t>
      </w:r>
      <w:r>
        <w:rPr>
          <w:rFonts w:hint="eastAsia" w:ascii="黑体" w:hAnsi="黑体"/>
          <w:szCs w:val="18"/>
        </w:rPr>
        <w:t>GB 14907-2018</w:t>
      </w:r>
    </w:p>
    <w:p w14:paraId="1C76B300">
      <w:pPr>
        <w:spacing w:line="360" w:lineRule="auto"/>
        <w:ind w:left="-45"/>
        <w:jc w:val="left"/>
        <w:rPr>
          <w:rFonts w:ascii="黑体" w:hAnsi="黑体"/>
          <w:szCs w:val="18"/>
        </w:rPr>
      </w:pPr>
      <w:r>
        <w:rPr>
          <w:rFonts w:hint="eastAsia" w:ascii="黑体" w:hAnsi="黑体"/>
          <w:szCs w:val="18"/>
        </w:rPr>
        <w:t>《</w:t>
      </w:r>
      <w:r>
        <w:fldChar w:fldCharType="begin"/>
      </w:r>
      <w:r>
        <w:instrText xml:space="preserve"> HYPERLINK "http://www.jianbiaoku.com/webarbs/book/10573/816864.shtml" \t "_blank" \o "建筑钢结构防腐蚀技术规程[附条文说明]JGJ/T 251-2011" </w:instrText>
      </w:r>
      <w:r>
        <w:fldChar w:fldCharType="separate"/>
      </w:r>
      <w:r>
        <w:rPr>
          <w:rFonts w:hint="eastAsia" w:ascii="黑体" w:hAnsi="黑体"/>
          <w:szCs w:val="18"/>
        </w:rPr>
        <w:t xml:space="preserve">建筑钢结构防腐蚀技术规程》 </w:t>
      </w:r>
      <w:r>
        <w:rPr>
          <w:rFonts w:ascii="黑体" w:hAnsi="黑体"/>
          <w:szCs w:val="18"/>
        </w:rPr>
        <w:t xml:space="preserve">              </w:t>
      </w:r>
      <w:r>
        <w:rPr>
          <w:rFonts w:hint="eastAsia" w:ascii="黑体" w:hAnsi="黑体"/>
          <w:szCs w:val="18"/>
        </w:rPr>
        <w:t>JGJ/T 251-2011</w:t>
      </w:r>
      <w:r>
        <w:rPr>
          <w:rFonts w:hint="eastAsia" w:ascii="黑体" w:hAnsi="黑体"/>
          <w:szCs w:val="18"/>
        </w:rPr>
        <w:fldChar w:fldCharType="end"/>
      </w:r>
    </w:p>
    <w:p w14:paraId="6A5A6203">
      <w:pPr>
        <w:spacing w:line="360" w:lineRule="auto"/>
        <w:ind w:left="-45"/>
        <w:jc w:val="left"/>
        <w:rPr>
          <w:rFonts w:ascii="黑体" w:hAnsi="黑体"/>
          <w:szCs w:val="18"/>
        </w:rPr>
      </w:pPr>
      <w:r>
        <w:rPr>
          <w:rFonts w:hint="eastAsia" w:ascii="黑体" w:hAnsi="黑体"/>
          <w:szCs w:val="18"/>
        </w:rPr>
        <w:t>《</w:t>
      </w:r>
      <w:r>
        <w:fldChar w:fldCharType="begin"/>
      </w:r>
      <w:r>
        <w:instrText xml:space="preserve"> HYPERLINK "http://www.jianbiaoku.com/webarbs/book/10573/816864.shtml" \t "_blank" \o "建筑钢结构防腐蚀技术规程[附条文说明]JGJ/T 251-2011" </w:instrText>
      </w:r>
      <w:r>
        <w:fldChar w:fldCharType="separate"/>
      </w:r>
      <w:r>
        <w:rPr>
          <w:rFonts w:ascii="黑体" w:hAnsi="黑体"/>
          <w:szCs w:val="18"/>
        </w:rPr>
        <w:t>工业建筑防腐蚀设计标准</w:t>
      </w:r>
      <w:r>
        <w:rPr>
          <w:rFonts w:hint="eastAsia" w:ascii="黑体" w:hAnsi="黑体"/>
          <w:szCs w:val="18"/>
        </w:rPr>
        <w:t xml:space="preserve">》 </w:t>
      </w:r>
      <w:r>
        <w:rPr>
          <w:rFonts w:ascii="黑体" w:hAnsi="黑体"/>
          <w:szCs w:val="18"/>
        </w:rPr>
        <w:t xml:space="preserve">                G</w:t>
      </w:r>
      <w:r>
        <w:rPr>
          <w:rFonts w:ascii="Calibri" w:hAnsi="Calibri" w:cs="Calibri"/>
          <w:szCs w:val="18"/>
        </w:rPr>
        <w:t>ß</w:t>
      </w:r>
      <w:r>
        <w:rPr>
          <w:rFonts w:ascii="黑体" w:hAnsi="黑体"/>
          <w:szCs w:val="18"/>
        </w:rPr>
        <w:t>/T 50046 - 2018</w:t>
      </w:r>
      <w:r>
        <w:rPr>
          <w:rFonts w:ascii="黑体" w:hAnsi="黑体"/>
          <w:szCs w:val="18"/>
        </w:rPr>
        <w:fldChar w:fldCharType="end"/>
      </w:r>
    </w:p>
    <w:p w14:paraId="1127ADD3">
      <w:pPr>
        <w:spacing w:after="241"/>
        <w:ind w:left="-45"/>
        <w:jc w:val="left"/>
        <w:rPr>
          <w:rFonts w:ascii="黑体" w:hAnsi="黑体"/>
          <w:szCs w:val="18"/>
        </w:rPr>
      </w:pPr>
    </w:p>
    <w:p w14:paraId="4618FF06">
      <w:pPr>
        <w:pStyle w:val="2"/>
        <w:keepNext w:val="0"/>
        <w:numPr>
          <w:ilvl w:val="0"/>
          <w:numId w:val="185"/>
        </w:numPr>
        <w:spacing w:before="0" w:after="241" w:line="259" w:lineRule="auto"/>
        <w:ind w:left="360" w:firstLine="0"/>
        <w:jc w:val="left"/>
        <w:rPr>
          <w:szCs w:val="18"/>
        </w:rPr>
      </w:pPr>
      <w:r>
        <w:rPr>
          <w:rFonts w:hint="eastAsia"/>
          <w:szCs w:val="18"/>
        </w:rPr>
        <w:t>钢结构防腐</w:t>
      </w:r>
    </w:p>
    <w:p w14:paraId="6152B5CE">
      <w:pPr>
        <w:pStyle w:val="49"/>
        <w:widowControl/>
        <w:numPr>
          <w:ilvl w:val="1"/>
          <w:numId w:val="185"/>
        </w:numPr>
        <w:spacing w:after="83" w:line="360" w:lineRule="auto"/>
        <w:ind w:left="345" w:firstLineChars="0"/>
        <w:jc w:val="left"/>
        <w:rPr>
          <w:rFonts w:ascii="黑体" w:hAnsi="黑体"/>
          <w:b/>
          <w:szCs w:val="18"/>
        </w:rPr>
      </w:pPr>
      <w:r>
        <w:rPr>
          <w:rFonts w:hint="eastAsia" w:ascii="黑体" w:hAnsi="黑体"/>
          <w:b/>
          <w:szCs w:val="18"/>
        </w:rPr>
        <w:t xml:space="preserve"> 一般规定</w:t>
      </w:r>
    </w:p>
    <w:p w14:paraId="538B9847">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建筑钢结构应根据环境条件、结构型式、使用要求、施工条件进行防腐设计</w:t>
      </w:r>
    </w:p>
    <w:p w14:paraId="1BDAC520">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腐蚀等级的选用：一般条件下室内为Ⅲ级（C</w:t>
      </w:r>
      <w:r>
        <w:rPr>
          <w:rFonts w:ascii="黑体" w:hAnsi="黑体"/>
          <w:szCs w:val="18"/>
        </w:rPr>
        <w:t>3</w:t>
      </w:r>
      <w:r>
        <w:rPr>
          <w:rFonts w:hint="eastAsia" w:ascii="黑体" w:hAnsi="黑体"/>
          <w:szCs w:val="18"/>
        </w:rPr>
        <w:t>级），室外为Ⅳ级（C</w:t>
      </w:r>
      <w:r>
        <w:rPr>
          <w:rFonts w:ascii="黑体" w:hAnsi="黑体"/>
          <w:szCs w:val="18"/>
        </w:rPr>
        <w:t>4</w:t>
      </w:r>
      <w:r>
        <w:rPr>
          <w:rFonts w:hint="eastAsia" w:ascii="黑体" w:hAnsi="黑体"/>
          <w:szCs w:val="18"/>
        </w:rPr>
        <w:t>级）</w:t>
      </w:r>
    </w:p>
    <w:p w14:paraId="59117159">
      <w:pPr>
        <w:pStyle w:val="49"/>
        <w:widowControl/>
        <w:numPr>
          <w:ilvl w:val="2"/>
          <w:numId w:val="185"/>
        </w:numPr>
        <w:adjustRightInd w:val="0"/>
        <w:spacing w:after="83" w:line="360" w:lineRule="auto"/>
        <w:ind w:left="720" w:firstLineChars="0"/>
        <w:jc w:val="left"/>
        <w:rPr>
          <w:rFonts w:ascii="黑体" w:hAnsi="黑体"/>
          <w:szCs w:val="18"/>
        </w:rPr>
      </w:pPr>
      <w:r>
        <w:rPr>
          <w:rFonts w:hint="eastAsia" w:ascii="黑体" w:hAnsi="黑体"/>
          <w:szCs w:val="18"/>
        </w:rPr>
        <w:t>钢结构防腐设计年限为</w:t>
      </w:r>
      <w:r>
        <w:rPr>
          <w:rFonts w:ascii="黑体" w:hAnsi="黑体"/>
          <w:szCs w:val="18"/>
        </w:rPr>
        <w:t>15</w:t>
      </w:r>
      <w:r>
        <w:rPr>
          <w:rFonts w:hint="eastAsia" w:ascii="黑体" w:hAnsi="黑体"/>
          <w:szCs w:val="18"/>
        </w:rPr>
        <w:t>年，钢构件的除锈和涂装应在制作质量检验合格后进行</w:t>
      </w:r>
    </w:p>
    <w:p w14:paraId="7F1AB9AA">
      <w:pPr>
        <w:pStyle w:val="49"/>
        <w:widowControl/>
        <w:numPr>
          <w:ilvl w:val="1"/>
          <w:numId w:val="185"/>
        </w:numPr>
        <w:spacing w:after="83" w:line="360" w:lineRule="auto"/>
        <w:ind w:left="345" w:firstLineChars="0"/>
        <w:jc w:val="left"/>
        <w:rPr>
          <w:rFonts w:ascii="黑体" w:hAnsi="黑体"/>
          <w:b/>
          <w:szCs w:val="18"/>
        </w:rPr>
      </w:pPr>
      <w:r>
        <w:rPr>
          <w:rFonts w:hint="eastAsia" w:ascii="黑体" w:hAnsi="黑体"/>
          <w:b/>
          <w:szCs w:val="18"/>
        </w:rPr>
        <w:t xml:space="preserve"> 除锈</w:t>
      </w:r>
    </w:p>
    <w:p w14:paraId="128222DD">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钢结构在涂装之前应进行表面处理，除锈等级及表面粗糙度达到要求。</w:t>
      </w:r>
    </w:p>
    <w:p w14:paraId="3ECD8755">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钢结构在除锈处理前，应清除焊渣、毛刺和飞溅等附着物，对边角进行钝化处理，并应清除基体表面可见的油脂和其他污物。</w:t>
      </w:r>
      <w:r>
        <w:rPr>
          <w:rFonts w:ascii="黑体" w:hAnsi="黑体"/>
          <w:szCs w:val="18"/>
        </w:rPr>
        <w:t xml:space="preserve"> </w:t>
      </w:r>
    </w:p>
    <w:p w14:paraId="6ECBE166">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涂装前，钢材表面采用喷砂除锈，除锈等级Sa</w:t>
      </w:r>
      <w:r>
        <w:rPr>
          <w:rFonts w:ascii="黑体" w:hAnsi="黑体"/>
          <w:szCs w:val="18"/>
        </w:rPr>
        <w:t>2</w:t>
      </w:r>
      <w:r>
        <w:rPr>
          <w:rFonts w:ascii="黑体" w:hAnsi="黑体"/>
          <w:szCs w:val="18"/>
          <w:vertAlign w:val="superscript"/>
        </w:rPr>
        <w:t>1</w:t>
      </w:r>
      <w:r>
        <w:rPr>
          <w:rFonts w:hint="eastAsia" w:ascii="黑体" w:hAnsi="黑体"/>
          <w:szCs w:val="18"/>
        </w:rPr>
        <w:t>/</w:t>
      </w:r>
      <w:r>
        <w:rPr>
          <w:rFonts w:ascii="黑体" w:hAnsi="黑体"/>
          <w:szCs w:val="18"/>
          <w:vertAlign w:val="subscript"/>
        </w:rPr>
        <w:t>2</w:t>
      </w:r>
      <w:r>
        <w:rPr>
          <w:rFonts w:hint="eastAsia" w:ascii="黑体" w:hAnsi="黑体"/>
          <w:szCs w:val="18"/>
        </w:rPr>
        <w:t>,其质量要求</w:t>
      </w:r>
      <w:r>
        <w:rPr>
          <w:rFonts w:ascii="黑体" w:hAnsi="黑体"/>
          <w:szCs w:val="18"/>
        </w:rPr>
        <w:t>应符合现行国家标准《涂覆涂料前钢材表面处理 表面清洁度的目视评定》GB／T 8923的规定</w:t>
      </w:r>
      <w:r>
        <w:rPr>
          <w:rFonts w:hint="eastAsia" w:ascii="黑体" w:hAnsi="黑体"/>
          <w:szCs w:val="18"/>
        </w:rPr>
        <w:t>。</w:t>
      </w:r>
    </w:p>
    <w:p w14:paraId="76F82CE9">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现场补漆应采用风动或者电动工具除锈，除锈等级达到S</w:t>
      </w:r>
      <w:r>
        <w:rPr>
          <w:rFonts w:ascii="黑体" w:hAnsi="黑体"/>
          <w:szCs w:val="18"/>
        </w:rPr>
        <w:t>t3</w:t>
      </w:r>
      <w:r>
        <w:rPr>
          <w:rFonts w:hint="eastAsia" w:ascii="黑体" w:hAnsi="黑体"/>
          <w:szCs w:val="18"/>
        </w:rPr>
        <w:t>级别。</w:t>
      </w:r>
    </w:p>
    <w:p w14:paraId="50B5C6F4">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表面粗糙度R</w:t>
      </w:r>
      <w:r>
        <w:rPr>
          <w:rFonts w:ascii="黑体" w:hAnsi="黑体"/>
          <w:szCs w:val="18"/>
        </w:rPr>
        <w:t>z</w:t>
      </w:r>
      <w:r>
        <w:rPr>
          <w:rFonts w:hint="eastAsia" w:ascii="黑体" w:hAnsi="黑体"/>
          <w:szCs w:val="18"/>
        </w:rPr>
        <w:t>为</w:t>
      </w:r>
      <w:r>
        <w:rPr>
          <w:rFonts w:ascii="黑体" w:hAnsi="黑体"/>
          <w:szCs w:val="18"/>
        </w:rPr>
        <w:t>40~75</w:t>
      </w:r>
      <w:r>
        <w:rPr>
          <w:rFonts w:hint="eastAsia" w:ascii="黑体" w:hAnsi="黑体"/>
          <w:szCs w:val="18"/>
        </w:rPr>
        <w:t>μm，并不超过1/</w:t>
      </w:r>
      <w:r>
        <w:rPr>
          <w:rFonts w:ascii="黑体" w:hAnsi="黑体"/>
          <w:szCs w:val="18"/>
        </w:rPr>
        <w:t>3</w:t>
      </w:r>
      <w:r>
        <w:rPr>
          <w:rFonts w:hint="eastAsia" w:ascii="黑体" w:hAnsi="黑体"/>
          <w:szCs w:val="18"/>
        </w:rPr>
        <w:t>的防腐涂料干膜厚度。</w:t>
      </w:r>
    </w:p>
    <w:p w14:paraId="73B42EDF">
      <w:pPr>
        <w:pStyle w:val="49"/>
        <w:widowControl/>
        <w:numPr>
          <w:ilvl w:val="1"/>
          <w:numId w:val="185"/>
        </w:numPr>
        <w:spacing w:line="360" w:lineRule="auto"/>
        <w:ind w:left="0" w:firstLine="0" w:firstLineChars="0"/>
        <w:jc w:val="left"/>
        <w:rPr>
          <w:rFonts w:ascii="黑体" w:hAnsi="黑体"/>
          <w:b/>
          <w:szCs w:val="18"/>
        </w:rPr>
      </w:pPr>
      <w:r>
        <w:rPr>
          <w:rFonts w:hint="eastAsia" w:ascii="黑体" w:hAnsi="黑体"/>
          <w:b/>
          <w:szCs w:val="18"/>
        </w:rPr>
        <w:t xml:space="preserve"> 防腐涂装</w:t>
      </w:r>
    </w:p>
    <w:p w14:paraId="42A938F2">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所有钢构件（型钢混凝土中的钢构件、钢管混凝土钢构件内壁与混凝土的接触面除外）在出厂前均涂环氧富锌底漆</w:t>
      </w:r>
      <w:r>
        <w:rPr>
          <w:rFonts w:ascii="黑体" w:hAnsi="黑体"/>
          <w:szCs w:val="18"/>
        </w:rPr>
        <w:t>(</w:t>
      </w:r>
      <w:r>
        <w:rPr>
          <w:rFonts w:hint="eastAsia" w:ascii="黑体" w:hAnsi="黑体"/>
          <w:szCs w:val="18"/>
        </w:rPr>
        <w:t>耐盐雾试验不小于</w:t>
      </w:r>
      <w:r>
        <w:rPr>
          <w:rFonts w:ascii="黑体" w:hAnsi="黑体"/>
          <w:szCs w:val="18"/>
        </w:rPr>
        <w:t>1440</w:t>
      </w:r>
      <w:r>
        <w:rPr>
          <w:rFonts w:hint="eastAsia" w:ascii="黑体" w:hAnsi="黑体"/>
          <w:szCs w:val="18"/>
        </w:rPr>
        <w:t>小时</w:t>
      </w:r>
      <w:r>
        <w:rPr>
          <w:rFonts w:ascii="黑体" w:hAnsi="黑体"/>
          <w:szCs w:val="18"/>
        </w:rPr>
        <w:t>),</w:t>
      </w:r>
      <w:r>
        <w:rPr>
          <w:rFonts w:hint="eastAsia" w:ascii="黑体" w:hAnsi="黑体"/>
          <w:szCs w:val="18"/>
        </w:rPr>
        <w:t>富锌底漆不挥发分中金属锌含量不少于</w:t>
      </w:r>
      <w:r>
        <w:rPr>
          <w:rFonts w:ascii="黑体" w:hAnsi="黑体"/>
          <w:szCs w:val="18"/>
        </w:rPr>
        <w:t>70%,</w:t>
      </w:r>
      <w:r>
        <w:rPr>
          <w:rFonts w:hint="eastAsia" w:ascii="黑体" w:hAnsi="黑体"/>
          <w:szCs w:val="18"/>
        </w:rPr>
        <w:t>油漆附着力要求大于划格法一级；除锈完成后至底漆喷涂的时间间隔不得大于</w:t>
      </w:r>
      <w:r>
        <w:rPr>
          <w:rFonts w:ascii="黑体" w:hAnsi="黑体"/>
          <w:szCs w:val="18"/>
        </w:rPr>
        <w:t>4</w:t>
      </w:r>
      <w:r>
        <w:rPr>
          <w:rFonts w:hint="eastAsia" w:ascii="黑体" w:hAnsi="黑体"/>
          <w:szCs w:val="18"/>
        </w:rPr>
        <w:t>小时；中间漆也宜在出厂前涂装。</w:t>
      </w:r>
    </w:p>
    <w:p w14:paraId="0220C952">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构件出厂安装前，钢结构表面摩擦连接面不能涂漆，现场焊缝两侧应预留</w:t>
      </w:r>
      <w:r>
        <w:rPr>
          <w:rFonts w:ascii="黑体" w:hAnsi="黑体"/>
          <w:szCs w:val="18"/>
        </w:rPr>
        <w:t>100mm</w:t>
      </w:r>
      <w:r>
        <w:rPr>
          <w:rFonts w:hint="eastAsia" w:ascii="黑体" w:hAnsi="黑体"/>
          <w:szCs w:val="18"/>
        </w:rPr>
        <w:t>～</w:t>
      </w:r>
      <w:r>
        <w:rPr>
          <w:rFonts w:ascii="黑体" w:hAnsi="黑体"/>
          <w:szCs w:val="18"/>
        </w:rPr>
        <w:t>150mm</w:t>
      </w:r>
      <w:r>
        <w:rPr>
          <w:rFonts w:hint="eastAsia" w:ascii="黑体" w:hAnsi="黑体"/>
          <w:szCs w:val="18"/>
        </w:rPr>
        <w:t>宽度涂刷车间底漆临时保护，待工地拼装焊接后，应对焊缝热影响区进行二次表面处理，再按设计要求重新进行表面清理和喷涂施工</w:t>
      </w:r>
    </w:p>
    <w:p w14:paraId="757AE014">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对于预留底漆部分及运输安装过程中损坏的底漆，应手工打磨后补足底漆厚度；高强度螺栓连接未涂涂料区应补涂。</w:t>
      </w:r>
    </w:p>
    <w:p w14:paraId="1814AE1A">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对于现场焊缝，应仔细打磨后再刷防锈漆，要求与本体部分相同</w:t>
      </w:r>
    </w:p>
    <w:p w14:paraId="79E7BC42">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钢结构涂装技术要求见下表</w:t>
      </w:r>
    </w:p>
    <w:p w14:paraId="56E1EFFF">
      <w:pPr>
        <w:spacing w:line="360" w:lineRule="auto"/>
        <w:jc w:val="left"/>
        <w:rPr>
          <w:rFonts w:ascii="黑体" w:hAnsi="黑体"/>
          <w:szCs w:val="18"/>
        </w:rPr>
      </w:pPr>
      <w:r>
        <w:rPr>
          <w:rFonts w:hint="eastAsia" w:ascii="黑体" w:hAnsi="黑体"/>
          <w:szCs w:val="18"/>
        </w:rPr>
        <w:t>（1）主体钢结构室内构件（防腐蚀等级C</w:t>
      </w:r>
      <w:r>
        <w:rPr>
          <w:rFonts w:ascii="黑体" w:hAnsi="黑体"/>
          <w:szCs w:val="18"/>
        </w:rPr>
        <w:t>3</w:t>
      </w:r>
      <w:r>
        <w:rPr>
          <w:rFonts w:hint="eastAsia" w:ascii="黑体" w:hAnsi="黑体"/>
          <w:szCs w:val="18"/>
        </w:rPr>
        <w:t>）</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8"/>
        <w:gridCol w:w="2839"/>
        <w:gridCol w:w="2237"/>
        <w:gridCol w:w="2138"/>
      </w:tblGrid>
      <w:tr w14:paraId="06E9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vAlign w:val="center"/>
          </w:tcPr>
          <w:p w14:paraId="525014FA">
            <w:pPr>
              <w:spacing w:line="360" w:lineRule="auto"/>
              <w:jc w:val="center"/>
              <w:rPr>
                <w:rFonts w:ascii="黑体" w:hAnsi="黑体"/>
                <w:b/>
                <w:szCs w:val="18"/>
              </w:rPr>
            </w:pPr>
            <w:r>
              <w:rPr>
                <w:rFonts w:hint="eastAsia" w:ascii="黑体" w:hAnsi="黑体"/>
                <w:b/>
                <w:szCs w:val="18"/>
              </w:rPr>
              <w:t>涂层</w:t>
            </w:r>
          </w:p>
        </w:tc>
        <w:tc>
          <w:tcPr>
            <w:tcW w:w="3118" w:type="dxa"/>
            <w:vMerge w:val="restart"/>
            <w:vAlign w:val="center"/>
          </w:tcPr>
          <w:p w14:paraId="4D4ADF08">
            <w:pPr>
              <w:spacing w:line="360" w:lineRule="auto"/>
              <w:jc w:val="center"/>
              <w:rPr>
                <w:rFonts w:ascii="黑体" w:hAnsi="黑体"/>
                <w:b/>
                <w:szCs w:val="18"/>
              </w:rPr>
            </w:pPr>
            <w:r>
              <w:rPr>
                <w:rFonts w:hint="eastAsia" w:ascii="黑体" w:hAnsi="黑体"/>
                <w:b/>
                <w:szCs w:val="18"/>
              </w:rPr>
              <w:t>涂料</w:t>
            </w:r>
          </w:p>
        </w:tc>
        <w:tc>
          <w:tcPr>
            <w:tcW w:w="4732" w:type="dxa"/>
            <w:gridSpan w:val="2"/>
            <w:vAlign w:val="center"/>
          </w:tcPr>
          <w:p w14:paraId="032EDD1B">
            <w:pPr>
              <w:spacing w:line="360" w:lineRule="auto"/>
              <w:jc w:val="center"/>
              <w:rPr>
                <w:rFonts w:ascii="黑体" w:hAnsi="黑体"/>
                <w:b/>
                <w:szCs w:val="18"/>
              </w:rPr>
            </w:pPr>
            <w:r>
              <w:rPr>
                <w:rFonts w:hint="eastAsia" w:ascii="黑体" w:hAnsi="黑体"/>
                <w:b/>
                <w:szCs w:val="18"/>
              </w:rPr>
              <w:t>干膜厚度（μm）</w:t>
            </w:r>
          </w:p>
        </w:tc>
      </w:tr>
      <w:tr w14:paraId="504D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14:paraId="2D444927">
            <w:pPr>
              <w:spacing w:line="360" w:lineRule="auto"/>
              <w:jc w:val="center"/>
              <w:rPr>
                <w:rFonts w:ascii="黑体" w:hAnsi="黑体"/>
                <w:b/>
                <w:szCs w:val="18"/>
              </w:rPr>
            </w:pPr>
          </w:p>
        </w:tc>
        <w:tc>
          <w:tcPr>
            <w:tcW w:w="3118" w:type="dxa"/>
            <w:vMerge w:val="continue"/>
            <w:vAlign w:val="center"/>
          </w:tcPr>
          <w:p w14:paraId="635E6FD9">
            <w:pPr>
              <w:spacing w:line="360" w:lineRule="auto"/>
              <w:jc w:val="center"/>
              <w:rPr>
                <w:rFonts w:ascii="黑体" w:hAnsi="黑体"/>
                <w:b/>
                <w:szCs w:val="18"/>
              </w:rPr>
            </w:pPr>
          </w:p>
        </w:tc>
        <w:tc>
          <w:tcPr>
            <w:tcW w:w="2416" w:type="dxa"/>
            <w:vAlign w:val="center"/>
          </w:tcPr>
          <w:p w14:paraId="35B5DE95">
            <w:pPr>
              <w:spacing w:line="360" w:lineRule="auto"/>
              <w:jc w:val="center"/>
              <w:rPr>
                <w:rFonts w:ascii="黑体" w:hAnsi="黑体"/>
                <w:b/>
                <w:szCs w:val="18"/>
              </w:rPr>
            </w:pPr>
            <w:r>
              <w:rPr>
                <w:rFonts w:hint="eastAsia" w:ascii="黑体" w:hAnsi="黑体"/>
                <w:b/>
                <w:szCs w:val="18"/>
              </w:rPr>
              <w:t>不涂装面漆</w:t>
            </w:r>
          </w:p>
        </w:tc>
        <w:tc>
          <w:tcPr>
            <w:tcW w:w="2316" w:type="dxa"/>
            <w:vAlign w:val="center"/>
          </w:tcPr>
          <w:p w14:paraId="21BE5DA7">
            <w:pPr>
              <w:spacing w:line="360" w:lineRule="auto"/>
              <w:jc w:val="center"/>
              <w:rPr>
                <w:rFonts w:ascii="黑体" w:hAnsi="黑体"/>
                <w:b/>
                <w:szCs w:val="18"/>
              </w:rPr>
            </w:pPr>
            <w:r>
              <w:rPr>
                <w:rFonts w:hint="eastAsia" w:ascii="黑体" w:hAnsi="黑体"/>
                <w:b/>
                <w:szCs w:val="18"/>
              </w:rPr>
              <w:t>涂装面漆</w:t>
            </w:r>
          </w:p>
        </w:tc>
      </w:tr>
      <w:tr w14:paraId="5E4E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180B91E7">
            <w:pPr>
              <w:spacing w:line="360" w:lineRule="auto"/>
              <w:jc w:val="center"/>
              <w:rPr>
                <w:rFonts w:ascii="黑体" w:hAnsi="黑体"/>
                <w:szCs w:val="18"/>
              </w:rPr>
            </w:pPr>
            <w:r>
              <w:rPr>
                <w:rFonts w:hint="eastAsia" w:ascii="黑体" w:hAnsi="黑体"/>
                <w:szCs w:val="18"/>
              </w:rPr>
              <w:t>底层</w:t>
            </w:r>
          </w:p>
        </w:tc>
        <w:tc>
          <w:tcPr>
            <w:tcW w:w="3118" w:type="dxa"/>
            <w:vAlign w:val="center"/>
          </w:tcPr>
          <w:p w14:paraId="1432F856">
            <w:pPr>
              <w:spacing w:line="360" w:lineRule="auto"/>
              <w:jc w:val="center"/>
              <w:rPr>
                <w:rFonts w:ascii="黑体" w:hAnsi="黑体"/>
                <w:szCs w:val="18"/>
              </w:rPr>
            </w:pPr>
            <w:r>
              <w:rPr>
                <w:rFonts w:hint="eastAsia" w:ascii="黑体" w:hAnsi="黑体"/>
                <w:szCs w:val="18"/>
              </w:rPr>
              <w:t>环氧富锌底漆</w:t>
            </w:r>
          </w:p>
        </w:tc>
        <w:tc>
          <w:tcPr>
            <w:tcW w:w="2416" w:type="dxa"/>
            <w:vAlign w:val="center"/>
          </w:tcPr>
          <w:p w14:paraId="0B97E9F0">
            <w:pPr>
              <w:spacing w:line="360" w:lineRule="auto"/>
              <w:jc w:val="center"/>
              <w:rPr>
                <w:rFonts w:ascii="黑体" w:hAnsi="黑体"/>
                <w:szCs w:val="18"/>
              </w:rPr>
            </w:pPr>
            <w:r>
              <w:rPr>
                <w:rFonts w:ascii="黑体" w:hAnsi="黑体"/>
                <w:color w:val="FF0000"/>
                <w:szCs w:val="18"/>
              </w:rPr>
              <w:t>7</w:t>
            </w:r>
            <w:r>
              <w:rPr>
                <w:rFonts w:ascii="黑体" w:hAnsi="黑体"/>
                <w:szCs w:val="18"/>
              </w:rPr>
              <w:t>0</w:t>
            </w:r>
            <w:r>
              <w:rPr>
                <w:rFonts w:hint="eastAsia" w:ascii="黑体" w:hAnsi="黑体"/>
                <w:szCs w:val="18"/>
              </w:rPr>
              <w:t>（2遍）</w:t>
            </w:r>
          </w:p>
        </w:tc>
        <w:tc>
          <w:tcPr>
            <w:tcW w:w="2316" w:type="dxa"/>
            <w:vAlign w:val="center"/>
          </w:tcPr>
          <w:p w14:paraId="77A6911F">
            <w:pPr>
              <w:spacing w:line="360" w:lineRule="auto"/>
              <w:jc w:val="center"/>
              <w:rPr>
                <w:rFonts w:ascii="黑体" w:hAnsi="黑体"/>
                <w:szCs w:val="18"/>
              </w:rPr>
            </w:pPr>
            <w:r>
              <w:rPr>
                <w:rFonts w:ascii="黑体" w:hAnsi="黑体"/>
                <w:color w:val="FF0000"/>
                <w:szCs w:val="18"/>
              </w:rPr>
              <w:t>7</w:t>
            </w:r>
            <w:r>
              <w:rPr>
                <w:rFonts w:ascii="黑体" w:hAnsi="黑体"/>
                <w:szCs w:val="18"/>
              </w:rPr>
              <w:t>0</w:t>
            </w:r>
            <w:r>
              <w:rPr>
                <w:rFonts w:hint="eastAsia" w:ascii="黑体" w:hAnsi="黑体"/>
                <w:szCs w:val="18"/>
              </w:rPr>
              <w:t>（2遍）</w:t>
            </w:r>
          </w:p>
        </w:tc>
      </w:tr>
      <w:tr w14:paraId="7D9B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321B578">
            <w:pPr>
              <w:spacing w:line="360" w:lineRule="auto"/>
              <w:jc w:val="center"/>
              <w:rPr>
                <w:rFonts w:ascii="黑体" w:hAnsi="黑体"/>
                <w:szCs w:val="18"/>
              </w:rPr>
            </w:pPr>
            <w:r>
              <w:rPr>
                <w:rFonts w:hint="eastAsia" w:ascii="黑体" w:hAnsi="黑体"/>
                <w:szCs w:val="18"/>
              </w:rPr>
              <w:t>层中间</w:t>
            </w:r>
          </w:p>
        </w:tc>
        <w:tc>
          <w:tcPr>
            <w:tcW w:w="3118" w:type="dxa"/>
            <w:vAlign w:val="center"/>
          </w:tcPr>
          <w:p w14:paraId="4023A5C5">
            <w:pPr>
              <w:spacing w:line="360" w:lineRule="auto"/>
              <w:jc w:val="center"/>
              <w:rPr>
                <w:rFonts w:ascii="黑体" w:hAnsi="黑体"/>
                <w:szCs w:val="18"/>
              </w:rPr>
            </w:pPr>
            <w:r>
              <w:rPr>
                <w:rFonts w:hint="eastAsia" w:ascii="黑体" w:hAnsi="黑体"/>
                <w:szCs w:val="18"/>
              </w:rPr>
              <w:t>环氧云铁中间漆</w:t>
            </w:r>
          </w:p>
        </w:tc>
        <w:tc>
          <w:tcPr>
            <w:tcW w:w="2416" w:type="dxa"/>
            <w:vAlign w:val="center"/>
          </w:tcPr>
          <w:p w14:paraId="1D8D1C21">
            <w:pPr>
              <w:spacing w:line="360" w:lineRule="auto"/>
              <w:jc w:val="center"/>
              <w:rPr>
                <w:rFonts w:ascii="黑体" w:hAnsi="黑体"/>
                <w:szCs w:val="18"/>
              </w:rPr>
            </w:pPr>
            <w:r>
              <w:rPr>
                <w:rFonts w:ascii="黑体" w:hAnsi="黑体"/>
                <w:szCs w:val="18"/>
              </w:rPr>
              <w:t>130(2</w:t>
            </w:r>
            <w:r>
              <w:rPr>
                <w:rFonts w:hint="eastAsia" w:ascii="黑体" w:hAnsi="黑体"/>
                <w:szCs w:val="18"/>
              </w:rPr>
              <w:t>遍</w:t>
            </w:r>
            <w:r>
              <w:rPr>
                <w:rFonts w:ascii="黑体" w:hAnsi="黑体"/>
                <w:szCs w:val="18"/>
              </w:rPr>
              <w:t>)</w:t>
            </w:r>
          </w:p>
        </w:tc>
        <w:tc>
          <w:tcPr>
            <w:tcW w:w="2316" w:type="dxa"/>
            <w:vAlign w:val="center"/>
          </w:tcPr>
          <w:p w14:paraId="6A512B15">
            <w:pPr>
              <w:spacing w:line="360" w:lineRule="auto"/>
              <w:jc w:val="center"/>
              <w:rPr>
                <w:rFonts w:ascii="黑体" w:hAnsi="黑体"/>
                <w:szCs w:val="18"/>
              </w:rPr>
            </w:pPr>
            <w:r>
              <w:rPr>
                <w:rFonts w:ascii="黑体" w:hAnsi="黑体"/>
                <w:color w:val="FF0000"/>
                <w:szCs w:val="18"/>
              </w:rPr>
              <w:t>7</w:t>
            </w:r>
            <w:r>
              <w:rPr>
                <w:rFonts w:ascii="黑体" w:hAnsi="黑体"/>
                <w:szCs w:val="18"/>
              </w:rPr>
              <w:t>0</w:t>
            </w:r>
          </w:p>
        </w:tc>
      </w:tr>
      <w:tr w14:paraId="049F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797D507">
            <w:pPr>
              <w:spacing w:line="360" w:lineRule="auto"/>
              <w:jc w:val="center"/>
              <w:rPr>
                <w:rFonts w:ascii="黑体" w:hAnsi="黑体"/>
                <w:szCs w:val="18"/>
              </w:rPr>
            </w:pPr>
            <w:r>
              <w:rPr>
                <w:rFonts w:hint="eastAsia" w:ascii="黑体" w:hAnsi="黑体"/>
                <w:szCs w:val="18"/>
              </w:rPr>
              <w:t>防火涂料</w:t>
            </w:r>
          </w:p>
        </w:tc>
        <w:tc>
          <w:tcPr>
            <w:tcW w:w="3118" w:type="dxa"/>
            <w:vAlign w:val="center"/>
          </w:tcPr>
          <w:p w14:paraId="7404E5C1">
            <w:pPr>
              <w:spacing w:line="360" w:lineRule="auto"/>
              <w:jc w:val="center"/>
              <w:rPr>
                <w:rFonts w:ascii="黑体" w:hAnsi="黑体"/>
                <w:szCs w:val="18"/>
              </w:rPr>
            </w:pPr>
            <w:r>
              <w:rPr>
                <w:rFonts w:hint="eastAsia" w:ascii="黑体" w:hAnsi="黑体"/>
                <w:szCs w:val="18"/>
              </w:rPr>
              <w:t>膨胀型/非膨胀型</w:t>
            </w:r>
          </w:p>
        </w:tc>
        <w:tc>
          <w:tcPr>
            <w:tcW w:w="2416" w:type="dxa"/>
            <w:vAlign w:val="center"/>
          </w:tcPr>
          <w:p w14:paraId="2846FEAD">
            <w:pPr>
              <w:spacing w:line="360" w:lineRule="auto"/>
              <w:jc w:val="center"/>
              <w:rPr>
                <w:rFonts w:ascii="黑体" w:hAnsi="黑体"/>
                <w:szCs w:val="18"/>
              </w:rPr>
            </w:pPr>
            <w:r>
              <w:rPr>
                <w:rFonts w:hint="eastAsia" w:ascii="黑体" w:hAnsi="黑体"/>
                <w:szCs w:val="18"/>
              </w:rPr>
              <w:t>非膨胀型涂料厚度</w:t>
            </w:r>
          </w:p>
        </w:tc>
        <w:tc>
          <w:tcPr>
            <w:tcW w:w="2316" w:type="dxa"/>
            <w:vAlign w:val="center"/>
          </w:tcPr>
          <w:p w14:paraId="1981E9B4">
            <w:pPr>
              <w:spacing w:line="360" w:lineRule="auto"/>
              <w:jc w:val="center"/>
              <w:rPr>
                <w:rFonts w:ascii="黑体" w:hAnsi="黑体"/>
                <w:szCs w:val="18"/>
              </w:rPr>
            </w:pPr>
            <w:r>
              <w:rPr>
                <w:rFonts w:hint="eastAsia" w:ascii="黑体" w:hAnsi="黑体"/>
                <w:szCs w:val="18"/>
              </w:rPr>
              <w:t>膨胀型涂料厚度</w:t>
            </w:r>
          </w:p>
        </w:tc>
      </w:tr>
      <w:tr w14:paraId="2340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74ED4D4">
            <w:pPr>
              <w:spacing w:line="360" w:lineRule="auto"/>
              <w:jc w:val="center"/>
              <w:rPr>
                <w:rFonts w:ascii="黑体" w:hAnsi="黑体"/>
                <w:szCs w:val="18"/>
              </w:rPr>
            </w:pPr>
            <w:r>
              <w:rPr>
                <w:rFonts w:hint="eastAsia" w:ascii="黑体" w:hAnsi="黑体"/>
                <w:szCs w:val="18"/>
              </w:rPr>
              <w:t>批嵌层</w:t>
            </w:r>
          </w:p>
        </w:tc>
        <w:tc>
          <w:tcPr>
            <w:tcW w:w="3118" w:type="dxa"/>
            <w:vAlign w:val="center"/>
          </w:tcPr>
          <w:p w14:paraId="386B58FD">
            <w:pPr>
              <w:spacing w:line="360" w:lineRule="auto"/>
              <w:jc w:val="center"/>
              <w:rPr>
                <w:rFonts w:ascii="黑体" w:hAnsi="黑体"/>
                <w:szCs w:val="18"/>
              </w:rPr>
            </w:pPr>
            <w:r>
              <w:rPr>
                <w:rFonts w:hint="eastAsia" w:ascii="黑体" w:hAnsi="黑体"/>
                <w:szCs w:val="18"/>
              </w:rPr>
              <w:t>专用腻子批嵌并打磨平整</w:t>
            </w:r>
          </w:p>
        </w:tc>
        <w:tc>
          <w:tcPr>
            <w:tcW w:w="2416" w:type="dxa"/>
            <w:vAlign w:val="center"/>
          </w:tcPr>
          <w:p w14:paraId="10604C10">
            <w:pPr>
              <w:spacing w:line="360" w:lineRule="auto"/>
              <w:jc w:val="center"/>
              <w:rPr>
                <w:rFonts w:ascii="黑体" w:hAnsi="黑体"/>
                <w:szCs w:val="18"/>
              </w:rPr>
            </w:pPr>
            <w:r>
              <w:rPr>
                <w:rFonts w:hint="eastAsia" w:ascii="黑体" w:hAnsi="黑体"/>
                <w:szCs w:val="18"/>
              </w:rPr>
              <w:t>专用腻子批嵌并打磨平整</w:t>
            </w:r>
          </w:p>
        </w:tc>
        <w:tc>
          <w:tcPr>
            <w:tcW w:w="2316" w:type="dxa"/>
            <w:vAlign w:val="center"/>
          </w:tcPr>
          <w:p w14:paraId="779FFD22">
            <w:pPr>
              <w:spacing w:line="360" w:lineRule="auto"/>
              <w:jc w:val="center"/>
              <w:rPr>
                <w:rFonts w:ascii="黑体" w:hAnsi="黑体"/>
                <w:szCs w:val="18"/>
              </w:rPr>
            </w:pPr>
            <w:r>
              <w:rPr>
                <w:rFonts w:ascii="黑体" w:hAnsi="黑体"/>
                <w:szCs w:val="18"/>
              </w:rPr>
              <w:t>---</w:t>
            </w:r>
          </w:p>
        </w:tc>
      </w:tr>
      <w:tr w14:paraId="5B96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529645C">
            <w:pPr>
              <w:spacing w:line="360" w:lineRule="auto"/>
              <w:jc w:val="center"/>
              <w:rPr>
                <w:rFonts w:ascii="黑体" w:hAnsi="黑体"/>
                <w:szCs w:val="18"/>
              </w:rPr>
            </w:pPr>
            <w:r>
              <w:rPr>
                <w:rFonts w:hint="eastAsia" w:ascii="黑体" w:hAnsi="黑体"/>
                <w:szCs w:val="18"/>
              </w:rPr>
              <w:t>面层</w:t>
            </w:r>
          </w:p>
        </w:tc>
        <w:tc>
          <w:tcPr>
            <w:tcW w:w="3118" w:type="dxa"/>
            <w:vAlign w:val="center"/>
          </w:tcPr>
          <w:p w14:paraId="73752561">
            <w:pPr>
              <w:spacing w:line="360" w:lineRule="auto"/>
              <w:jc w:val="center"/>
              <w:rPr>
                <w:rFonts w:ascii="黑体" w:hAnsi="黑体"/>
                <w:szCs w:val="18"/>
              </w:rPr>
            </w:pPr>
            <w:r>
              <w:rPr>
                <w:rFonts w:hint="eastAsia" w:ascii="黑体" w:hAnsi="黑体"/>
                <w:szCs w:val="18"/>
              </w:rPr>
              <w:t>聚氨酯面漆/氟碳面漆</w:t>
            </w:r>
          </w:p>
        </w:tc>
        <w:tc>
          <w:tcPr>
            <w:tcW w:w="2416" w:type="dxa"/>
            <w:vAlign w:val="center"/>
          </w:tcPr>
          <w:p w14:paraId="09786D6B">
            <w:pPr>
              <w:spacing w:line="360" w:lineRule="auto"/>
              <w:jc w:val="center"/>
              <w:rPr>
                <w:rFonts w:ascii="黑体" w:hAnsi="黑体"/>
                <w:szCs w:val="18"/>
              </w:rPr>
            </w:pPr>
            <w:r>
              <w:rPr>
                <w:rFonts w:hint="eastAsia" w:ascii="黑体" w:hAnsi="黑体"/>
                <w:szCs w:val="18"/>
              </w:rPr>
              <w:t>精装面层</w:t>
            </w:r>
          </w:p>
        </w:tc>
        <w:tc>
          <w:tcPr>
            <w:tcW w:w="2316" w:type="dxa"/>
            <w:vAlign w:val="center"/>
          </w:tcPr>
          <w:p w14:paraId="641D9C58">
            <w:pPr>
              <w:spacing w:line="360" w:lineRule="auto"/>
              <w:jc w:val="center"/>
              <w:rPr>
                <w:rFonts w:ascii="黑体" w:hAnsi="黑体"/>
                <w:szCs w:val="18"/>
              </w:rPr>
            </w:pPr>
            <w:r>
              <w:rPr>
                <w:rFonts w:ascii="黑体" w:hAnsi="黑体"/>
                <w:szCs w:val="18"/>
              </w:rPr>
              <w:t>60</w:t>
            </w:r>
            <w:r>
              <w:rPr>
                <w:rFonts w:hint="eastAsia" w:ascii="黑体" w:hAnsi="黑体"/>
                <w:szCs w:val="18"/>
              </w:rPr>
              <w:t>（2遍）</w:t>
            </w:r>
          </w:p>
        </w:tc>
      </w:tr>
    </w:tbl>
    <w:p w14:paraId="28831E83">
      <w:pPr>
        <w:spacing w:before="156" w:beforeLines="50" w:line="360" w:lineRule="auto"/>
        <w:jc w:val="left"/>
        <w:rPr>
          <w:rFonts w:ascii="黑体" w:hAnsi="黑体"/>
          <w:szCs w:val="18"/>
        </w:rPr>
      </w:pPr>
    </w:p>
    <w:p w14:paraId="69F23A7E">
      <w:pPr>
        <w:pStyle w:val="49"/>
        <w:widowControl/>
        <w:numPr>
          <w:ilvl w:val="0"/>
          <w:numId w:val="186"/>
        </w:numPr>
        <w:spacing w:before="156" w:beforeLines="50" w:line="360" w:lineRule="auto"/>
        <w:ind w:firstLineChars="0"/>
        <w:jc w:val="left"/>
        <w:rPr>
          <w:rFonts w:ascii="黑体" w:hAnsi="黑体"/>
          <w:szCs w:val="18"/>
        </w:rPr>
      </w:pPr>
      <w:r>
        <w:rPr>
          <w:rFonts w:hint="eastAsia" w:ascii="黑体" w:hAnsi="黑体"/>
          <w:szCs w:val="18"/>
        </w:rPr>
        <w:t>主体钢结构室外构件（防腐蚀等级C</w:t>
      </w:r>
      <w:r>
        <w:rPr>
          <w:rFonts w:ascii="黑体" w:hAnsi="黑体"/>
          <w:szCs w:val="18"/>
        </w:rPr>
        <w:t>4</w:t>
      </w:r>
      <w:r>
        <w:rPr>
          <w:rFonts w:hint="eastAsia" w:ascii="黑体" w:hAnsi="黑体"/>
          <w:szCs w:val="18"/>
        </w:rPr>
        <w:t>）</w:t>
      </w:r>
    </w:p>
    <w:tbl>
      <w:tblPr>
        <w:tblStyle w:val="37"/>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2268"/>
        <w:gridCol w:w="2268"/>
        <w:gridCol w:w="1701"/>
      </w:tblGrid>
      <w:tr w14:paraId="4A0B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restart"/>
            <w:vAlign w:val="center"/>
          </w:tcPr>
          <w:p w14:paraId="766A6D23">
            <w:pPr>
              <w:spacing w:line="360" w:lineRule="auto"/>
              <w:jc w:val="center"/>
              <w:rPr>
                <w:rFonts w:ascii="黑体" w:hAnsi="黑体"/>
                <w:b/>
                <w:szCs w:val="18"/>
              </w:rPr>
            </w:pPr>
            <w:r>
              <w:rPr>
                <w:rFonts w:hint="eastAsia" w:ascii="黑体" w:hAnsi="黑体"/>
                <w:b/>
                <w:szCs w:val="18"/>
              </w:rPr>
              <w:t>涂层</w:t>
            </w:r>
          </w:p>
        </w:tc>
        <w:tc>
          <w:tcPr>
            <w:tcW w:w="2268" w:type="dxa"/>
            <w:vMerge w:val="restart"/>
            <w:vAlign w:val="center"/>
          </w:tcPr>
          <w:p w14:paraId="0A531464">
            <w:pPr>
              <w:spacing w:line="360" w:lineRule="auto"/>
              <w:jc w:val="center"/>
              <w:rPr>
                <w:rFonts w:ascii="黑体" w:hAnsi="黑体"/>
                <w:b/>
                <w:szCs w:val="18"/>
              </w:rPr>
            </w:pPr>
            <w:r>
              <w:rPr>
                <w:rFonts w:hint="eastAsia" w:ascii="黑体" w:hAnsi="黑体"/>
                <w:b/>
                <w:szCs w:val="18"/>
              </w:rPr>
              <w:t>涂料</w:t>
            </w:r>
          </w:p>
        </w:tc>
        <w:tc>
          <w:tcPr>
            <w:tcW w:w="3969" w:type="dxa"/>
            <w:gridSpan w:val="2"/>
            <w:vAlign w:val="center"/>
          </w:tcPr>
          <w:p w14:paraId="383FCE8B">
            <w:pPr>
              <w:spacing w:line="360" w:lineRule="auto"/>
              <w:jc w:val="center"/>
              <w:rPr>
                <w:rFonts w:ascii="黑体" w:hAnsi="黑体"/>
                <w:b/>
                <w:szCs w:val="18"/>
              </w:rPr>
            </w:pPr>
            <w:r>
              <w:rPr>
                <w:rFonts w:hint="eastAsia" w:ascii="黑体" w:hAnsi="黑体"/>
                <w:b/>
                <w:szCs w:val="18"/>
              </w:rPr>
              <w:t>干膜厚度（μm）</w:t>
            </w:r>
          </w:p>
        </w:tc>
      </w:tr>
      <w:tr w14:paraId="321C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Merge w:val="continue"/>
            <w:vAlign w:val="center"/>
          </w:tcPr>
          <w:p w14:paraId="5ADFF4ED">
            <w:pPr>
              <w:spacing w:line="360" w:lineRule="auto"/>
              <w:jc w:val="center"/>
              <w:rPr>
                <w:rFonts w:ascii="黑体" w:hAnsi="黑体"/>
                <w:b/>
                <w:szCs w:val="18"/>
              </w:rPr>
            </w:pPr>
          </w:p>
        </w:tc>
        <w:tc>
          <w:tcPr>
            <w:tcW w:w="2268" w:type="dxa"/>
            <w:vMerge w:val="continue"/>
            <w:vAlign w:val="center"/>
          </w:tcPr>
          <w:p w14:paraId="75499E33">
            <w:pPr>
              <w:spacing w:line="360" w:lineRule="auto"/>
              <w:jc w:val="center"/>
              <w:rPr>
                <w:rFonts w:ascii="黑体" w:hAnsi="黑体"/>
                <w:b/>
                <w:szCs w:val="18"/>
              </w:rPr>
            </w:pPr>
          </w:p>
        </w:tc>
        <w:tc>
          <w:tcPr>
            <w:tcW w:w="2268" w:type="dxa"/>
            <w:vAlign w:val="center"/>
          </w:tcPr>
          <w:p w14:paraId="424B36A0">
            <w:pPr>
              <w:spacing w:line="360" w:lineRule="auto"/>
              <w:jc w:val="center"/>
              <w:rPr>
                <w:rFonts w:ascii="黑体" w:hAnsi="黑体"/>
                <w:b/>
                <w:szCs w:val="18"/>
              </w:rPr>
            </w:pPr>
            <w:r>
              <w:rPr>
                <w:rFonts w:hint="eastAsia" w:ascii="黑体" w:hAnsi="黑体"/>
                <w:b/>
                <w:szCs w:val="18"/>
              </w:rPr>
              <w:t>不涂装面漆</w:t>
            </w:r>
          </w:p>
        </w:tc>
        <w:tc>
          <w:tcPr>
            <w:tcW w:w="1701" w:type="dxa"/>
            <w:vAlign w:val="center"/>
          </w:tcPr>
          <w:p w14:paraId="4EED8B8D">
            <w:pPr>
              <w:spacing w:line="360" w:lineRule="auto"/>
              <w:jc w:val="center"/>
              <w:rPr>
                <w:rFonts w:ascii="黑体" w:hAnsi="黑体"/>
                <w:b/>
                <w:szCs w:val="18"/>
              </w:rPr>
            </w:pPr>
            <w:r>
              <w:rPr>
                <w:rFonts w:hint="eastAsia" w:ascii="黑体" w:hAnsi="黑体"/>
                <w:b/>
                <w:szCs w:val="18"/>
              </w:rPr>
              <w:t>涂装面漆</w:t>
            </w:r>
          </w:p>
        </w:tc>
      </w:tr>
      <w:tr w14:paraId="5363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30F80482">
            <w:pPr>
              <w:spacing w:line="360" w:lineRule="auto"/>
              <w:jc w:val="center"/>
              <w:rPr>
                <w:rFonts w:ascii="黑体" w:hAnsi="黑体"/>
                <w:szCs w:val="18"/>
              </w:rPr>
            </w:pPr>
            <w:r>
              <w:rPr>
                <w:rFonts w:hint="eastAsia" w:ascii="黑体" w:hAnsi="黑体"/>
                <w:szCs w:val="18"/>
              </w:rPr>
              <w:t>底层</w:t>
            </w:r>
          </w:p>
        </w:tc>
        <w:tc>
          <w:tcPr>
            <w:tcW w:w="2268" w:type="dxa"/>
            <w:vAlign w:val="center"/>
          </w:tcPr>
          <w:p w14:paraId="4FA484BA">
            <w:pPr>
              <w:spacing w:line="360" w:lineRule="auto"/>
              <w:jc w:val="center"/>
              <w:rPr>
                <w:rFonts w:ascii="黑体" w:hAnsi="黑体"/>
                <w:szCs w:val="18"/>
              </w:rPr>
            </w:pPr>
            <w:r>
              <w:rPr>
                <w:rFonts w:hint="eastAsia" w:ascii="黑体" w:hAnsi="黑体"/>
                <w:szCs w:val="18"/>
              </w:rPr>
              <w:t>环氧富锌底漆</w:t>
            </w:r>
          </w:p>
        </w:tc>
        <w:tc>
          <w:tcPr>
            <w:tcW w:w="2268" w:type="dxa"/>
            <w:vAlign w:val="center"/>
          </w:tcPr>
          <w:p w14:paraId="2A86221F">
            <w:pPr>
              <w:spacing w:line="360" w:lineRule="auto"/>
              <w:jc w:val="center"/>
              <w:rPr>
                <w:rFonts w:ascii="黑体" w:hAnsi="黑体"/>
                <w:szCs w:val="18"/>
              </w:rPr>
            </w:pPr>
            <w:r>
              <w:rPr>
                <w:rFonts w:ascii="黑体" w:hAnsi="黑体"/>
                <w:color w:val="FF0000"/>
                <w:szCs w:val="18"/>
              </w:rPr>
              <w:t>7</w:t>
            </w:r>
            <w:r>
              <w:rPr>
                <w:rFonts w:ascii="黑体" w:hAnsi="黑体"/>
                <w:szCs w:val="18"/>
              </w:rPr>
              <w:t>0</w:t>
            </w:r>
            <w:r>
              <w:rPr>
                <w:rFonts w:hint="eastAsia" w:ascii="黑体" w:hAnsi="黑体"/>
                <w:szCs w:val="18"/>
              </w:rPr>
              <w:t>（2遍）</w:t>
            </w:r>
          </w:p>
        </w:tc>
        <w:tc>
          <w:tcPr>
            <w:tcW w:w="1701" w:type="dxa"/>
            <w:vAlign w:val="center"/>
          </w:tcPr>
          <w:p w14:paraId="53C8C228">
            <w:pPr>
              <w:spacing w:line="360" w:lineRule="auto"/>
              <w:jc w:val="center"/>
              <w:rPr>
                <w:rFonts w:ascii="黑体" w:hAnsi="黑体"/>
                <w:szCs w:val="18"/>
              </w:rPr>
            </w:pPr>
            <w:r>
              <w:rPr>
                <w:rFonts w:ascii="黑体" w:hAnsi="黑体"/>
                <w:color w:val="FF0000"/>
                <w:szCs w:val="18"/>
              </w:rPr>
              <w:t>7</w:t>
            </w:r>
            <w:r>
              <w:rPr>
                <w:rFonts w:ascii="黑体" w:hAnsi="黑体"/>
                <w:szCs w:val="18"/>
              </w:rPr>
              <w:t>0</w:t>
            </w:r>
            <w:r>
              <w:rPr>
                <w:rFonts w:hint="eastAsia" w:ascii="黑体" w:hAnsi="黑体"/>
                <w:szCs w:val="18"/>
              </w:rPr>
              <w:t>（2遍）</w:t>
            </w:r>
          </w:p>
        </w:tc>
      </w:tr>
      <w:tr w14:paraId="4E98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3E8FC93F">
            <w:pPr>
              <w:spacing w:line="360" w:lineRule="auto"/>
              <w:jc w:val="center"/>
              <w:rPr>
                <w:rFonts w:ascii="黑体" w:hAnsi="黑体"/>
                <w:szCs w:val="18"/>
              </w:rPr>
            </w:pPr>
            <w:r>
              <w:rPr>
                <w:rFonts w:hint="eastAsia" w:ascii="黑体" w:hAnsi="黑体"/>
                <w:szCs w:val="18"/>
              </w:rPr>
              <w:t>中间层</w:t>
            </w:r>
          </w:p>
        </w:tc>
        <w:tc>
          <w:tcPr>
            <w:tcW w:w="2268" w:type="dxa"/>
            <w:vAlign w:val="center"/>
          </w:tcPr>
          <w:p w14:paraId="773B0E9C">
            <w:pPr>
              <w:spacing w:line="360" w:lineRule="auto"/>
              <w:jc w:val="center"/>
              <w:rPr>
                <w:rFonts w:ascii="黑体" w:hAnsi="黑体"/>
                <w:szCs w:val="18"/>
              </w:rPr>
            </w:pPr>
            <w:r>
              <w:rPr>
                <w:rFonts w:hint="eastAsia" w:ascii="黑体" w:hAnsi="黑体"/>
                <w:szCs w:val="18"/>
              </w:rPr>
              <w:t>环氧云铁中间漆</w:t>
            </w:r>
          </w:p>
        </w:tc>
        <w:tc>
          <w:tcPr>
            <w:tcW w:w="2268" w:type="dxa"/>
            <w:vAlign w:val="center"/>
          </w:tcPr>
          <w:p w14:paraId="48350341">
            <w:pPr>
              <w:spacing w:line="360" w:lineRule="auto"/>
              <w:jc w:val="center"/>
              <w:rPr>
                <w:rFonts w:ascii="黑体" w:hAnsi="黑体"/>
                <w:szCs w:val="18"/>
              </w:rPr>
            </w:pPr>
            <w:r>
              <w:rPr>
                <w:rFonts w:ascii="黑体" w:hAnsi="黑体"/>
                <w:szCs w:val="18"/>
              </w:rPr>
              <w:t>190(3</w:t>
            </w:r>
            <w:r>
              <w:rPr>
                <w:rFonts w:hint="eastAsia" w:ascii="黑体" w:hAnsi="黑体"/>
                <w:szCs w:val="18"/>
              </w:rPr>
              <w:t>遍</w:t>
            </w:r>
            <w:r>
              <w:rPr>
                <w:rFonts w:ascii="黑体" w:hAnsi="黑体"/>
                <w:szCs w:val="18"/>
              </w:rPr>
              <w:t>)</w:t>
            </w:r>
          </w:p>
        </w:tc>
        <w:tc>
          <w:tcPr>
            <w:tcW w:w="1701" w:type="dxa"/>
            <w:vAlign w:val="center"/>
          </w:tcPr>
          <w:p w14:paraId="695B711D">
            <w:pPr>
              <w:spacing w:line="360" w:lineRule="auto"/>
              <w:jc w:val="center"/>
              <w:rPr>
                <w:rFonts w:ascii="黑体" w:hAnsi="黑体"/>
                <w:szCs w:val="18"/>
              </w:rPr>
            </w:pPr>
            <w:r>
              <w:rPr>
                <w:rFonts w:ascii="黑体" w:hAnsi="黑体"/>
                <w:szCs w:val="18"/>
              </w:rPr>
              <w:t>110</w:t>
            </w:r>
            <w:r>
              <w:rPr>
                <w:rFonts w:hint="eastAsia" w:ascii="黑体" w:hAnsi="黑体"/>
                <w:szCs w:val="18"/>
              </w:rPr>
              <w:t>（2遍）</w:t>
            </w:r>
          </w:p>
        </w:tc>
      </w:tr>
      <w:tr w14:paraId="7EFC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47C085AC">
            <w:pPr>
              <w:spacing w:line="360" w:lineRule="auto"/>
              <w:jc w:val="center"/>
              <w:rPr>
                <w:rFonts w:ascii="黑体" w:hAnsi="黑体"/>
                <w:szCs w:val="18"/>
              </w:rPr>
            </w:pPr>
            <w:r>
              <w:rPr>
                <w:rFonts w:hint="eastAsia" w:ascii="黑体" w:hAnsi="黑体"/>
                <w:szCs w:val="18"/>
              </w:rPr>
              <w:t>防火涂料（是否采用详项目设计文件说明）</w:t>
            </w:r>
          </w:p>
        </w:tc>
        <w:tc>
          <w:tcPr>
            <w:tcW w:w="2268" w:type="dxa"/>
            <w:vAlign w:val="center"/>
          </w:tcPr>
          <w:p w14:paraId="4C1964E2">
            <w:pPr>
              <w:spacing w:line="360" w:lineRule="auto"/>
              <w:jc w:val="center"/>
              <w:rPr>
                <w:rFonts w:ascii="黑体" w:hAnsi="黑体"/>
                <w:szCs w:val="18"/>
              </w:rPr>
            </w:pPr>
            <w:r>
              <w:rPr>
                <w:rFonts w:hint="eastAsia" w:ascii="黑体" w:hAnsi="黑体"/>
                <w:szCs w:val="18"/>
              </w:rPr>
              <w:t>膨胀型/非膨胀型</w:t>
            </w:r>
          </w:p>
        </w:tc>
        <w:tc>
          <w:tcPr>
            <w:tcW w:w="2268" w:type="dxa"/>
            <w:vAlign w:val="center"/>
          </w:tcPr>
          <w:p w14:paraId="64FABC83">
            <w:pPr>
              <w:spacing w:line="360" w:lineRule="auto"/>
              <w:jc w:val="center"/>
              <w:rPr>
                <w:rFonts w:ascii="黑体" w:hAnsi="黑体"/>
                <w:szCs w:val="18"/>
              </w:rPr>
            </w:pPr>
            <w:r>
              <w:rPr>
                <w:rFonts w:hint="eastAsia" w:ascii="黑体" w:hAnsi="黑体"/>
                <w:szCs w:val="18"/>
              </w:rPr>
              <w:t>非膨胀型涂料厚度</w:t>
            </w:r>
          </w:p>
        </w:tc>
        <w:tc>
          <w:tcPr>
            <w:tcW w:w="1701" w:type="dxa"/>
            <w:vAlign w:val="center"/>
          </w:tcPr>
          <w:p w14:paraId="612802AD">
            <w:pPr>
              <w:spacing w:line="360" w:lineRule="auto"/>
              <w:jc w:val="center"/>
              <w:rPr>
                <w:rFonts w:ascii="黑体" w:hAnsi="黑体"/>
                <w:szCs w:val="18"/>
              </w:rPr>
            </w:pPr>
            <w:r>
              <w:rPr>
                <w:rFonts w:hint="eastAsia" w:ascii="黑体" w:hAnsi="黑体"/>
                <w:szCs w:val="18"/>
              </w:rPr>
              <w:t>膨胀型涂料厚度</w:t>
            </w:r>
          </w:p>
        </w:tc>
      </w:tr>
      <w:tr w14:paraId="0ECE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57644FEF">
            <w:pPr>
              <w:spacing w:line="360" w:lineRule="auto"/>
              <w:jc w:val="center"/>
              <w:rPr>
                <w:rFonts w:ascii="黑体" w:hAnsi="黑体"/>
                <w:szCs w:val="18"/>
              </w:rPr>
            </w:pPr>
            <w:r>
              <w:rPr>
                <w:rFonts w:hint="eastAsia" w:ascii="黑体" w:hAnsi="黑体"/>
                <w:szCs w:val="18"/>
              </w:rPr>
              <w:t>批嵌层（是否采用详项目设计文件说明）</w:t>
            </w:r>
          </w:p>
        </w:tc>
        <w:tc>
          <w:tcPr>
            <w:tcW w:w="2268" w:type="dxa"/>
            <w:vAlign w:val="center"/>
          </w:tcPr>
          <w:p w14:paraId="63683AD2">
            <w:pPr>
              <w:spacing w:line="360" w:lineRule="auto"/>
              <w:jc w:val="center"/>
              <w:rPr>
                <w:rFonts w:ascii="黑体" w:hAnsi="黑体"/>
                <w:szCs w:val="18"/>
              </w:rPr>
            </w:pPr>
            <w:r>
              <w:rPr>
                <w:rFonts w:hint="eastAsia" w:ascii="黑体" w:hAnsi="黑体"/>
                <w:szCs w:val="18"/>
              </w:rPr>
              <w:t>专用腻子批嵌并打磨平整</w:t>
            </w:r>
          </w:p>
        </w:tc>
        <w:tc>
          <w:tcPr>
            <w:tcW w:w="2268" w:type="dxa"/>
            <w:vAlign w:val="center"/>
          </w:tcPr>
          <w:p w14:paraId="12EEA7D8">
            <w:pPr>
              <w:spacing w:line="360" w:lineRule="auto"/>
              <w:jc w:val="center"/>
              <w:rPr>
                <w:rFonts w:ascii="黑体" w:hAnsi="黑体"/>
                <w:szCs w:val="18"/>
              </w:rPr>
            </w:pPr>
            <w:r>
              <w:rPr>
                <w:rFonts w:hint="eastAsia" w:ascii="黑体" w:hAnsi="黑体"/>
                <w:szCs w:val="18"/>
              </w:rPr>
              <w:t>专用腻子批嵌并打磨平整</w:t>
            </w:r>
          </w:p>
        </w:tc>
        <w:tc>
          <w:tcPr>
            <w:tcW w:w="1701" w:type="dxa"/>
            <w:vAlign w:val="center"/>
          </w:tcPr>
          <w:p w14:paraId="7B6265CF">
            <w:pPr>
              <w:spacing w:line="360" w:lineRule="auto"/>
              <w:jc w:val="center"/>
              <w:rPr>
                <w:rFonts w:ascii="黑体" w:hAnsi="黑体"/>
                <w:szCs w:val="18"/>
              </w:rPr>
            </w:pPr>
            <w:r>
              <w:rPr>
                <w:rFonts w:ascii="黑体" w:hAnsi="黑体"/>
                <w:szCs w:val="18"/>
              </w:rPr>
              <w:t>---</w:t>
            </w:r>
          </w:p>
        </w:tc>
      </w:tr>
      <w:tr w14:paraId="3A33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190326D5">
            <w:pPr>
              <w:spacing w:line="360" w:lineRule="auto"/>
              <w:jc w:val="center"/>
              <w:rPr>
                <w:rFonts w:ascii="黑体" w:hAnsi="黑体"/>
                <w:szCs w:val="18"/>
              </w:rPr>
            </w:pPr>
            <w:r>
              <w:rPr>
                <w:rFonts w:hint="eastAsia" w:ascii="黑体" w:hAnsi="黑体"/>
                <w:szCs w:val="18"/>
              </w:rPr>
              <w:t>面层</w:t>
            </w:r>
          </w:p>
        </w:tc>
        <w:tc>
          <w:tcPr>
            <w:tcW w:w="2268" w:type="dxa"/>
            <w:vAlign w:val="center"/>
          </w:tcPr>
          <w:p w14:paraId="2607C1C6">
            <w:pPr>
              <w:spacing w:line="360" w:lineRule="auto"/>
              <w:jc w:val="center"/>
              <w:rPr>
                <w:rFonts w:ascii="黑体" w:hAnsi="黑体"/>
                <w:szCs w:val="18"/>
              </w:rPr>
            </w:pPr>
            <w:r>
              <w:rPr>
                <w:rFonts w:hint="eastAsia" w:ascii="黑体" w:hAnsi="黑体"/>
                <w:szCs w:val="18"/>
              </w:rPr>
              <w:t>聚氨酯面漆/氟碳面漆</w:t>
            </w:r>
          </w:p>
        </w:tc>
        <w:tc>
          <w:tcPr>
            <w:tcW w:w="2268" w:type="dxa"/>
            <w:vAlign w:val="center"/>
          </w:tcPr>
          <w:p w14:paraId="7D5360F6">
            <w:pPr>
              <w:spacing w:line="360" w:lineRule="auto"/>
              <w:jc w:val="center"/>
              <w:rPr>
                <w:rFonts w:ascii="黑体" w:hAnsi="黑体"/>
                <w:szCs w:val="18"/>
              </w:rPr>
            </w:pPr>
            <w:r>
              <w:rPr>
                <w:rFonts w:ascii="黑体" w:hAnsi="黑体"/>
                <w:szCs w:val="18"/>
              </w:rPr>
              <w:t>---</w:t>
            </w:r>
          </w:p>
        </w:tc>
        <w:tc>
          <w:tcPr>
            <w:tcW w:w="1701" w:type="dxa"/>
            <w:vAlign w:val="center"/>
          </w:tcPr>
          <w:p w14:paraId="3E5BBA99">
            <w:pPr>
              <w:spacing w:line="360" w:lineRule="auto"/>
              <w:jc w:val="center"/>
              <w:rPr>
                <w:rFonts w:ascii="黑体" w:hAnsi="黑体"/>
                <w:szCs w:val="18"/>
              </w:rPr>
            </w:pPr>
            <w:r>
              <w:rPr>
                <w:rFonts w:hint="eastAsia" w:ascii="黑体" w:hAnsi="黑体"/>
                <w:szCs w:val="18"/>
              </w:rPr>
              <w:t>8</w:t>
            </w:r>
            <w:r>
              <w:rPr>
                <w:rFonts w:ascii="黑体" w:hAnsi="黑体"/>
                <w:szCs w:val="18"/>
              </w:rPr>
              <w:t>0</w:t>
            </w:r>
            <w:r>
              <w:rPr>
                <w:rFonts w:hint="eastAsia" w:ascii="黑体" w:hAnsi="黑体"/>
                <w:szCs w:val="18"/>
              </w:rPr>
              <w:t>（2遍）</w:t>
            </w:r>
          </w:p>
        </w:tc>
      </w:tr>
    </w:tbl>
    <w:p w14:paraId="1F7A6B93">
      <w:pPr>
        <w:spacing w:line="360" w:lineRule="auto"/>
        <w:jc w:val="left"/>
        <w:rPr>
          <w:rFonts w:ascii="黑体" w:hAnsi="黑体"/>
          <w:szCs w:val="18"/>
        </w:rPr>
      </w:pPr>
    </w:p>
    <w:p w14:paraId="3C9421AC">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整套防腐系统所有涂层及总系统附着力</w:t>
      </w:r>
      <w:r>
        <w:rPr>
          <w:rFonts w:ascii="黑体" w:hAnsi="黑体"/>
          <w:szCs w:val="18"/>
        </w:rPr>
        <w:t>≥5MPa</w:t>
      </w:r>
      <w:r>
        <w:rPr>
          <w:rFonts w:hint="eastAsia" w:ascii="黑体" w:hAnsi="黑体"/>
          <w:szCs w:val="18"/>
        </w:rPr>
        <w:t>。</w:t>
      </w:r>
    </w:p>
    <w:p w14:paraId="445EC515">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高端厂房及洁净区域室内钢结构需做面漆，面漆的颜色应满足建筑装饰要求。</w:t>
      </w:r>
    </w:p>
    <w:p w14:paraId="2D30FEFC">
      <w:pPr>
        <w:pStyle w:val="49"/>
        <w:widowControl/>
        <w:numPr>
          <w:ilvl w:val="2"/>
          <w:numId w:val="185"/>
        </w:numPr>
        <w:spacing w:after="83" w:line="360" w:lineRule="auto"/>
        <w:ind w:left="720" w:firstLineChars="0"/>
        <w:jc w:val="left"/>
        <w:rPr>
          <w:rFonts w:ascii="黑体" w:hAnsi="黑体"/>
          <w:szCs w:val="18"/>
        </w:rPr>
      </w:pPr>
      <w:r>
        <w:rPr>
          <w:rFonts w:hint="eastAsia" w:ascii="黑体" w:hAnsi="黑体"/>
          <w:szCs w:val="18"/>
        </w:rPr>
        <w:t>所有锚具、螺杆、轴销均做电镀锌处理，厚度为</w:t>
      </w:r>
      <w:r>
        <w:rPr>
          <w:rFonts w:ascii="黑体" w:hAnsi="黑体"/>
          <w:szCs w:val="18"/>
        </w:rPr>
        <w:t xml:space="preserve">50μm, </w:t>
      </w:r>
      <w:r>
        <w:rPr>
          <w:rFonts w:hint="eastAsia" w:ascii="黑体" w:hAnsi="黑体"/>
          <w:szCs w:val="18"/>
        </w:rPr>
        <w:t>并符合</w:t>
      </w:r>
      <w:r>
        <w:rPr>
          <w:rFonts w:ascii="黑体" w:hAnsi="黑体"/>
          <w:szCs w:val="18"/>
        </w:rPr>
        <w:t>GB/T5267.3</w:t>
      </w:r>
      <w:r>
        <w:rPr>
          <w:rFonts w:hint="eastAsia" w:ascii="黑体" w:hAnsi="黑体"/>
          <w:szCs w:val="18"/>
        </w:rPr>
        <w:t>要求</w:t>
      </w:r>
    </w:p>
    <w:p w14:paraId="4B618693">
      <w:pPr>
        <w:spacing w:before="133" w:line="360" w:lineRule="auto"/>
        <w:ind w:left="531" w:hanging="531" w:hangingChars="295"/>
        <w:jc w:val="left"/>
        <w:rPr>
          <w:rFonts w:ascii="黑体" w:hAnsi="黑体"/>
          <w:szCs w:val="18"/>
        </w:rPr>
      </w:pPr>
      <w:r>
        <w:rPr>
          <w:rFonts w:ascii="黑体" w:hAnsi="黑体"/>
          <w:szCs w:val="18"/>
        </w:rPr>
        <w:t>2.3.9</w:t>
      </w:r>
      <w:r>
        <w:rPr>
          <w:rFonts w:hint="eastAsia" w:ascii="黑体" w:hAnsi="黑体"/>
          <w:szCs w:val="18"/>
        </w:rPr>
        <w:t>钢结构防腐涂料、涂装遍数、涂层厚度均应符合设计和涂料产品说明书要求。检查数量与检验方法应符合下列规定：</w:t>
      </w:r>
    </w:p>
    <w:p w14:paraId="4EF20D63">
      <w:pPr>
        <w:spacing w:before="132" w:line="360" w:lineRule="auto"/>
        <w:jc w:val="left"/>
        <w:rPr>
          <w:rFonts w:ascii="黑体" w:hAnsi="黑体"/>
          <w:szCs w:val="18"/>
        </w:rPr>
      </w:pPr>
      <w:r>
        <w:rPr>
          <w:rFonts w:ascii="黑体" w:hAnsi="黑体"/>
          <w:szCs w:val="18"/>
        </w:rPr>
        <w:t>(1)</w:t>
      </w:r>
      <w:r>
        <w:rPr>
          <w:rFonts w:hint="eastAsia" w:ascii="黑体" w:hAnsi="黑体"/>
          <w:szCs w:val="18"/>
        </w:rPr>
        <w:t>按构件数量抽查</w:t>
      </w:r>
      <w:r>
        <w:rPr>
          <w:rFonts w:ascii="黑体" w:hAnsi="黑体"/>
          <w:szCs w:val="18"/>
        </w:rPr>
        <w:t>10%,</w:t>
      </w:r>
      <w:r>
        <w:rPr>
          <w:rFonts w:hint="eastAsia" w:ascii="黑体" w:hAnsi="黑体"/>
          <w:szCs w:val="18"/>
        </w:rPr>
        <w:t>且同类构件不应少于</w:t>
      </w:r>
      <w:r>
        <w:rPr>
          <w:rFonts w:ascii="黑体" w:hAnsi="黑体"/>
          <w:szCs w:val="18"/>
        </w:rPr>
        <w:t>3</w:t>
      </w:r>
      <w:r>
        <w:rPr>
          <w:rFonts w:hint="eastAsia" w:ascii="黑体" w:hAnsi="黑体"/>
          <w:szCs w:val="18"/>
        </w:rPr>
        <w:t>件。</w:t>
      </w:r>
    </w:p>
    <w:p w14:paraId="67DCF52D">
      <w:pPr>
        <w:spacing w:line="360" w:lineRule="auto"/>
        <w:jc w:val="left"/>
        <w:rPr>
          <w:rFonts w:ascii="黑体" w:hAnsi="黑体"/>
          <w:szCs w:val="18"/>
        </w:rPr>
      </w:pPr>
      <w:r>
        <w:rPr>
          <w:rFonts w:ascii="黑体" w:hAnsi="黑体"/>
          <w:szCs w:val="18"/>
        </w:rPr>
        <w:t>(2)</w:t>
      </w:r>
      <w:r>
        <w:rPr>
          <w:rFonts w:hint="eastAsia" w:ascii="黑体" w:hAnsi="黑体"/>
          <w:szCs w:val="18"/>
        </w:rPr>
        <w:t>每个构件检测</w:t>
      </w:r>
      <w:r>
        <w:rPr>
          <w:rFonts w:ascii="黑体" w:hAnsi="黑体"/>
          <w:szCs w:val="18"/>
        </w:rPr>
        <w:t>5</w:t>
      </w:r>
      <w:r>
        <w:rPr>
          <w:rFonts w:hint="eastAsia" w:ascii="黑体" w:hAnsi="黑体"/>
          <w:szCs w:val="18"/>
        </w:rPr>
        <w:t>处，每处数值为</w:t>
      </w:r>
      <w:r>
        <w:rPr>
          <w:rFonts w:ascii="黑体" w:hAnsi="黑体"/>
          <w:szCs w:val="18"/>
        </w:rPr>
        <w:t>3</w:t>
      </w:r>
      <w:r>
        <w:rPr>
          <w:rFonts w:hint="eastAsia" w:ascii="黑体" w:hAnsi="黑体"/>
          <w:szCs w:val="18"/>
        </w:rPr>
        <w:t>个相距</w:t>
      </w:r>
      <w:r>
        <w:rPr>
          <w:rFonts w:ascii="黑体" w:hAnsi="黑体"/>
          <w:szCs w:val="18"/>
        </w:rPr>
        <w:t>50mm</w:t>
      </w:r>
      <w:r>
        <w:rPr>
          <w:rFonts w:hint="eastAsia" w:ascii="黑体" w:hAnsi="黑体"/>
          <w:szCs w:val="18"/>
        </w:rPr>
        <w:t>测点涂层干漆膜厚度的平均值。</w:t>
      </w:r>
    </w:p>
    <w:p w14:paraId="2B5D59CD">
      <w:pPr>
        <w:spacing w:line="360" w:lineRule="auto"/>
        <w:jc w:val="left"/>
        <w:rPr>
          <w:rFonts w:ascii="黑体" w:hAnsi="黑体"/>
          <w:szCs w:val="18"/>
        </w:rPr>
      </w:pPr>
    </w:p>
    <w:p w14:paraId="732AE377">
      <w:pPr>
        <w:pStyle w:val="2"/>
        <w:numPr>
          <w:ilvl w:val="0"/>
          <w:numId w:val="0"/>
        </w:numPr>
        <w:ind w:left="357"/>
        <w:jc w:val="left"/>
        <w:rPr>
          <w:szCs w:val="18"/>
        </w:rPr>
      </w:pPr>
      <w:r>
        <w:rPr>
          <w:rFonts w:hint="eastAsia"/>
          <w:szCs w:val="18"/>
        </w:rPr>
        <w:t>3钢结构防火</w:t>
      </w:r>
    </w:p>
    <w:p w14:paraId="3648847F">
      <w:pPr>
        <w:pStyle w:val="31"/>
        <w:shd w:val="clear" w:color="auto" w:fill="FFFFFF"/>
        <w:spacing w:before="0" w:beforeAutospacing="0" w:after="0" w:afterAutospacing="0" w:line="360" w:lineRule="auto"/>
        <w:rPr>
          <w:rStyle w:val="46"/>
          <w:bCs/>
          <w:szCs w:val="18"/>
        </w:rPr>
      </w:pPr>
      <w:r>
        <w:rPr>
          <w:rFonts w:hint="eastAsia" w:ascii="黑体" w:hAnsi="黑体"/>
          <w:sz w:val="18"/>
          <w:szCs w:val="18"/>
        </w:rPr>
        <w:t>3</w:t>
      </w:r>
      <w:r>
        <w:rPr>
          <w:rFonts w:ascii="黑体" w:hAnsi="黑体"/>
          <w:sz w:val="18"/>
          <w:szCs w:val="18"/>
        </w:rPr>
        <w:t>.1</w:t>
      </w:r>
      <w:r>
        <w:rPr>
          <w:rStyle w:val="46"/>
          <w:rFonts w:hint="eastAsia"/>
          <w:bCs/>
          <w:szCs w:val="18"/>
        </w:rPr>
        <w:t xml:space="preserve"> 防火要求</w:t>
      </w:r>
    </w:p>
    <w:p w14:paraId="2E7B8FFF">
      <w:pPr>
        <w:pStyle w:val="31"/>
        <w:shd w:val="clear" w:color="auto" w:fill="FFFFFF"/>
        <w:spacing w:before="0" w:beforeAutospacing="0" w:after="0" w:afterAutospacing="0" w:line="360" w:lineRule="auto"/>
        <w:rPr>
          <w:rStyle w:val="142"/>
          <w:rFonts w:ascii="黑体" w:hAnsi="黑体"/>
          <w:bCs/>
          <w:sz w:val="18"/>
          <w:szCs w:val="18"/>
        </w:rPr>
      </w:pPr>
      <w:r>
        <w:rPr>
          <w:rStyle w:val="142"/>
          <w:rFonts w:hint="eastAsia" w:ascii="黑体" w:hAnsi="黑体"/>
          <w:bCs/>
          <w:sz w:val="18"/>
          <w:szCs w:val="18"/>
        </w:rPr>
        <w:t>3.1.1 </w:t>
      </w:r>
      <w:r>
        <w:rPr>
          <w:rFonts w:ascii="黑体" w:hAnsi="黑体"/>
          <w:spacing w:val="1"/>
          <w:sz w:val="18"/>
          <w:szCs w:val="18"/>
        </w:rPr>
        <w:t>钢结构防火设计年限为15年</w:t>
      </w:r>
      <w:r>
        <w:rPr>
          <w:rFonts w:hint="eastAsia" w:ascii="黑体" w:hAnsi="黑体"/>
          <w:spacing w:val="1"/>
          <w:sz w:val="18"/>
          <w:szCs w:val="18"/>
        </w:rPr>
        <w:t>。</w:t>
      </w:r>
    </w:p>
    <w:p w14:paraId="0236C73F">
      <w:pPr>
        <w:pStyle w:val="31"/>
        <w:shd w:val="clear" w:color="auto" w:fill="FFFFFF"/>
        <w:spacing w:before="0" w:beforeAutospacing="0" w:after="0" w:afterAutospacing="0" w:line="360" w:lineRule="auto"/>
        <w:rPr>
          <w:rFonts w:ascii="黑体" w:hAnsi="黑体"/>
          <w:color w:val="000000"/>
          <w:sz w:val="18"/>
          <w:szCs w:val="18"/>
        </w:rPr>
      </w:pPr>
      <w:r>
        <w:rPr>
          <w:rStyle w:val="142"/>
          <w:rFonts w:hint="eastAsia" w:ascii="黑体" w:hAnsi="黑体"/>
          <w:bCs/>
          <w:sz w:val="18"/>
          <w:szCs w:val="18"/>
        </w:rPr>
        <w:t>3</w:t>
      </w:r>
      <w:r>
        <w:rPr>
          <w:rStyle w:val="142"/>
          <w:rFonts w:ascii="黑体" w:hAnsi="黑体"/>
          <w:bCs/>
          <w:sz w:val="18"/>
          <w:szCs w:val="18"/>
        </w:rPr>
        <w:t xml:space="preserve">.1.2 </w:t>
      </w:r>
      <w:r>
        <w:rPr>
          <w:rStyle w:val="142"/>
          <w:rFonts w:hint="eastAsia" w:ascii="黑体" w:hAnsi="黑体"/>
          <w:bCs/>
          <w:sz w:val="18"/>
          <w:szCs w:val="18"/>
        </w:rPr>
        <w:t>钢结构构件的设计耐火极限应根据建筑的耐火等级，按现行国家标准《建筑设计防火规范》GB 50016的规定确定。柱间支撑的设计耐火极限应与柱相同，楼盖支撑的设计耐火极限应与梁相同，屋盖支撑和系杆的设计耐火极限应与屋顶承重构件相同。</w:t>
      </w:r>
    </w:p>
    <w:tbl>
      <w:tblPr>
        <w:tblStyle w:val="37"/>
        <w:tblW w:w="83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1842"/>
        <w:gridCol w:w="1985"/>
        <w:gridCol w:w="2420"/>
      </w:tblGrid>
      <w:tr w14:paraId="0EFC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jc w:val="center"/>
        </w:trPr>
        <w:tc>
          <w:tcPr>
            <w:tcW w:w="2122" w:type="dxa"/>
            <w:vMerge w:val="restart"/>
            <w:vAlign w:val="center"/>
          </w:tcPr>
          <w:p w14:paraId="15F4152C">
            <w:pPr>
              <w:pStyle w:val="31"/>
              <w:spacing w:before="0" w:beforeAutospacing="0" w:after="0" w:afterAutospacing="0" w:line="360" w:lineRule="auto"/>
              <w:jc w:val="center"/>
              <w:rPr>
                <w:rFonts w:ascii="黑体" w:hAnsi="黑体"/>
                <w:b/>
                <w:spacing w:val="1"/>
                <w:sz w:val="18"/>
                <w:szCs w:val="18"/>
              </w:rPr>
            </w:pPr>
            <w:r>
              <w:rPr>
                <w:rFonts w:hint="eastAsia" w:ascii="黑体" w:hAnsi="黑体"/>
                <w:b/>
                <w:spacing w:val="1"/>
                <w:sz w:val="18"/>
                <w:szCs w:val="18"/>
              </w:rPr>
              <w:t>构件类型</w:t>
            </w:r>
          </w:p>
        </w:tc>
        <w:tc>
          <w:tcPr>
            <w:tcW w:w="3827" w:type="dxa"/>
            <w:gridSpan w:val="2"/>
            <w:vAlign w:val="center"/>
          </w:tcPr>
          <w:p w14:paraId="44DD735B">
            <w:pPr>
              <w:pStyle w:val="31"/>
              <w:spacing w:before="0" w:beforeAutospacing="0" w:after="0" w:afterAutospacing="0" w:line="360" w:lineRule="auto"/>
              <w:jc w:val="center"/>
              <w:rPr>
                <w:rFonts w:ascii="黑体" w:hAnsi="黑体"/>
                <w:b/>
                <w:spacing w:val="1"/>
                <w:sz w:val="18"/>
                <w:szCs w:val="18"/>
              </w:rPr>
            </w:pPr>
            <w:r>
              <w:rPr>
                <w:rFonts w:hint="eastAsia" w:ascii="黑体" w:hAnsi="黑体"/>
                <w:b/>
                <w:spacing w:val="1"/>
                <w:sz w:val="18"/>
                <w:szCs w:val="18"/>
              </w:rPr>
              <w:t>耐火极限</w:t>
            </w:r>
          </w:p>
        </w:tc>
        <w:tc>
          <w:tcPr>
            <w:tcW w:w="2420" w:type="dxa"/>
            <w:vMerge w:val="restart"/>
            <w:vAlign w:val="center"/>
          </w:tcPr>
          <w:p w14:paraId="7CA643FA">
            <w:pPr>
              <w:pStyle w:val="31"/>
              <w:spacing w:before="0" w:beforeAutospacing="0" w:after="0" w:afterAutospacing="0" w:line="360" w:lineRule="auto"/>
              <w:jc w:val="center"/>
              <w:rPr>
                <w:rFonts w:ascii="黑体" w:hAnsi="黑体"/>
                <w:b/>
                <w:spacing w:val="1"/>
                <w:sz w:val="18"/>
                <w:szCs w:val="18"/>
              </w:rPr>
            </w:pPr>
            <w:r>
              <w:rPr>
                <w:rFonts w:hint="eastAsia" w:ascii="黑体" w:hAnsi="黑体"/>
                <w:b/>
                <w:spacing w:val="1"/>
                <w:sz w:val="18"/>
                <w:szCs w:val="18"/>
              </w:rPr>
              <w:t>防火涂料类型</w:t>
            </w:r>
          </w:p>
        </w:tc>
      </w:tr>
      <w:tr w14:paraId="11B1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22" w:type="dxa"/>
            <w:vMerge w:val="continue"/>
          </w:tcPr>
          <w:p w14:paraId="4DACE8C9">
            <w:pPr>
              <w:pStyle w:val="31"/>
              <w:spacing w:before="0" w:beforeAutospacing="0" w:after="0" w:afterAutospacing="0" w:line="360" w:lineRule="auto"/>
              <w:rPr>
                <w:rFonts w:ascii="黑体" w:hAnsi="黑体"/>
                <w:spacing w:val="1"/>
                <w:sz w:val="18"/>
                <w:szCs w:val="18"/>
              </w:rPr>
            </w:pPr>
          </w:p>
        </w:tc>
        <w:tc>
          <w:tcPr>
            <w:tcW w:w="1842" w:type="dxa"/>
          </w:tcPr>
          <w:p w14:paraId="3D5396DC">
            <w:pPr>
              <w:pStyle w:val="31"/>
              <w:spacing w:before="0" w:beforeAutospacing="0" w:after="0" w:afterAutospacing="0" w:line="360" w:lineRule="auto"/>
              <w:jc w:val="center"/>
              <w:rPr>
                <w:rFonts w:ascii="黑体" w:hAnsi="黑体"/>
                <w:b/>
                <w:spacing w:val="1"/>
                <w:sz w:val="18"/>
                <w:szCs w:val="18"/>
              </w:rPr>
            </w:pPr>
            <w:r>
              <w:rPr>
                <w:rFonts w:hint="eastAsia" w:ascii="黑体" w:hAnsi="黑体"/>
                <w:b/>
                <w:spacing w:val="1"/>
                <w:sz w:val="18"/>
                <w:szCs w:val="18"/>
              </w:rPr>
              <w:t>耐火等级一级</w:t>
            </w:r>
          </w:p>
        </w:tc>
        <w:tc>
          <w:tcPr>
            <w:tcW w:w="1985" w:type="dxa"/>
          </w:tcPr>
          <w:p w14:paraId="5483E5A2">
            <w:pPr>
              <w:pStyle w:val="31"/>
              <w:spacing w:before="0" w:beforeAutospacing="0" w:after="0" w:afterAutospacing="0" w:line="360" w:lineRule="auto"/>
              <w:jc w:val="center"/>
              <w:rPr>
                <w:rFonts w:ascii="黑体" w:hAnsi="黑体"/>
                <w:b/>
                <w:spacing w:val="1"/>
                <w:sz w:val="18"/>
                <w:szCs w:val="18"/>
              </w:rPr>
            </w:pPr>
            <w:r>
              <w:rPr>
                <w:rFonts w:hint="eastAsia" w:ascii="黑体" w:hAnsi="黑体"/>
                <w:b/>
                <w:spacing w:val="1"/>
                <w:sz w:val="18"/>
                <w:szCs w:val="18"/>
              </w:rPr>
              <w:t>耐火等级二级</w:t>
            </w:r>
          </w:p>
        </w:tc>
        <w:tc>
          <w:tcPr>
            <w:tcW w:w="2420" w:type="dxa"/>
            <w:vMerge w:val="continue"/>
          </w:tcPr>
          <w:p w14:paraId="62CF01E1">
            <w:pPr>
              <w:pStyle w:val="31"/>
              <w:spacing w:before="0" w:beforeAutospacing="0" w:after="0" w:afterAutospacing="0" w:line="360" w:lineRule="auto"/>
              <w:rPr>
                <w:rFonts w:ascii="黑体" w:hAnsi="黑体"/>
                <w:spacing w:val="1"/>
                <w:sz w:val="18"/>
                <w:szCs w:val="18"/>
              </w:rPr>
            </w:pPr>
          </w:p>
        </w:tc>
      </w:tr>
      <w:tr w14:paraId="154D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122" w:type="dxa"/>
            <w:vAlign w:val="center"/>
          </w:tcPr>
          <w:p w14:paraId="326EC09C">
            <w:pPr>
              <w:pStyle w:val="31"/>
              <w:spacing w:before="0" w:beforeAutospacing="0" w:after="0" w:afterAutospacing="0" w:line="360" w:lineRule="auto"/>
              <w:rPr>
                <w:rFonts w:ascii="黑体" w:hAnsi="黑体"/>
                <w:spacing w:val="1"/>
                <w:sz w:val="18"/>
                <w:szCs w:val="18"/>
              </w:rPr>
            </w:pPr>
            <w:r>
              <w:rPr>
                <w:rFonts w:ascii="黑体" w:hAnsi="黑体"/>
                <w:spacing w:val="1"/>
                <w:sz w:val="18"/>
                <w:szCs w:val="18"/>
              </w:rPr>
              <w:t>钢管混凝土柱、钢柱</w:t>
            </w:r>
          </w:p>
        </w:tc>
        <w:tc>
          <w:tcPr>
            <w:tcW w:w="1842" w:type="dxa"/>
          </w:tcPr>
          <w:p w14:paraId="490FDC59">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3</w:t>
            </w:r>
          </w:p>
        </w:tc>
        <w:tc>
          <w:tcPr>
            <w:tcW w:w="1985" w:type="dxa"/>
          </w:tcPr>
          <w:p w14:paraId="68B146F5">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2</w:t>
            </w:r>
            <w:r>
              <w:rPr>
                <w:rFonts w:ascii="黑体" w:hAnsi="黑体"/>
                <w:spacing w:val="1"/>
                <w:sz w:val="18"/>
                <w:szCs w:val="18"/>
              </w:rPr>
              <w:t>.5</w:t>
            </w:r>
          </w:p>
        </w:tc>
        <w:tc>
          <w:tcPr>
            <w:tcW w:w="2420" w:type="dxa"/>
          </w:tcPr>
          <w:p w14:paraId="2840F00E">
            <w:pPr>
              <w:pStyle w:val="31"/>
              <w:spacing w:before="0" w:beforeAutospacing="0" w:after="0" w:afterAutospacing="0" w:line="360" w:lineRule="auto"/>
              <w:rPr>
                <w:rFonts w:ascii="黑体" w:hAnsi="黑体"/>
                <w:spacing w:val="1"/>
                <w:sz w:val="18"/>
                <w:szCs w:val="18"/>
              </w:rPr>
            </w:pPr>
            <w:r>
              <w:rPr>
                <w:rFonts w:ascii="黑体" w:hAnsi="黑体"/>
                <w:spacing w:val="1"/>
                <w:sz w:val="18"/>
                <w:szCs w:val="18"/>
              </w:rPr>
              <w:t>非膨胀型</w:t>
            </w:r>
          </w:p>
        </w:tc>
      </w:tr>
      <w:tr w14:paraId="6BBF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122" w:type="dxa"/>
          </w:tcPr>
          <w:p w14:paraId="49CD0AE7">
            <w:pPr>
              <w:pStyle w:val="31"/>
              <w:spacing w:before="0" w:beforeAutospacing="0" w:after="0" w:afterAutospacing="0" w:line="360" w:lineRule="auto"/>
              <w:rPr>
                <w:rFonts w:ascii="黑体" w:hAnsi="黑体"/>
                <w:spacing w:val="1"/>
                <w:sz w:val="18"/>
                <w:szCs w:val="18"/>
              </w:rPr>
            </w:pPr>
            <w:r>
              <w:rPr>
                <w:rFonts w:hint="eastAsia" w:ascii="黑体" w:hAnsi="黑体"/>
                <w:spacing w:val="1"/>
                <w:sz w:val="18"/>
                <w:szCs w:val="18"/>
              </w:rPr>
              <w:t>柱间钢支撑</w:t>
            </w:r>
          </w:p>
        </w:tc>
        <w:tc>
          <w:tcPr>
            <w:tcW w:w="1842" w:type="dxa"/>
          </w:tcPr>
          <w:p w14:paraId="02C761BF">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3</w:t>
            </w:r>
          </w:p>
        </w:tc>
        <w:tc>
          <w:tcPr>
            <w:tcW w:w="1985" w:type="dxa"/>
          </w:tcPr>
          <w:p w14:paraId="6E62AA8D">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2</w:t>
            </w:r>
            <w:r>
              <w:rPr>
                <w:rFonts w:ascii="黑体" w:hAnsi="黑体"/>
                <w:spacing w:val="1"/>
                <w:sz w:val="18"/>
                <w:szCs w:val="18"/>
              </w:rPr>
              <w:t>.5</w:t>
            </w:r>
          </w:p>
        </w:tc>
        <w:tc>
          <w:tcPr>
            <w:tcW w:w="2420" w:type="dxa"/>
          </w:tcPr>
          <w:p w14:paraId="66E7931E">
            <w:pPr>
              <w:pStyle w:val="31"/>
              <w:spacing w:before="0" w:beforeAutospacing="0" w:after="0" w:afterAutospacing="0" w:line="360" w:lineRule="auto"/>
              <w:rPr>
                <w:rFonts w:ascii="黑体" w:hAnsi="黑体"/>
                <w:spacing w:val="1"/>
                <w:sz w:val="18"/>
                <w:szCs w:val="18"/>
              </w:rPr>
            </w:pPr>
            <w:r>
              <w:rPr>
                <w:rFonts w:ascii="黑体" w:hAnsi="黑体"/>
                <w:spacing w:val="1"/>
                <w:sz w:val="18"/>
                <w:szCs w:val="18"/>
              </w:rPr>
              <w:t>非膨胀型</w:t>
            </w:r>
          </w:p>
        </w:tc>
      </w:tr>
      <w:tr w14:paraId="77B0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122" w:type="dxa"/>
          </w:tcPr>
          <w:p w14:paraId="251BF316">
            <w:pPr>
              <w:pStyle w:val="31"/>
              <w:spacing w:before="0" w:beforeAutospacing="0" w:after="0" w:afterAutospacing="0" w:line="360" w:lineRule="auto"/>
              <w:rPr>
                <w:rFonts w:ascii="黑体" w:hAnsi="黑体"/>
                <w:spacing w:val="1"/>
                <w:sz w:val="18"/>
                <w:szCs w:val="18"/>
              </w:rPr>
            </w:pPr>
            <w:r>
              <w:rPr>
                <w:rFonts w:hint="eastAsia" w:ascii="黑体" w:hAnsi="黑体"/>
                <w:spacing w:val="1"/>
                <w:sz w:val="18"/>
                <w:szCs w:val="18"/>
              </w:rPr>
              <w:t>钢桁架</w:t>
            </w:r>
          </w:p>
        </w:tc>
        <w:tc>
          <w:tcPr>
            <w:tcW w:w="1842" w:type="dxa"/>
          </w:tcPr>
          <w:p w14:paraId="6739DD15">
            <w:pPr>
              <w:pStyle w:val="31"/>
              <w:spacing w:before="0" w:beforeAutospacing="0" w:after="0" w:afterAutospacing="0" w:line="360" w:lineRule="auto"/>
              <w:jc w:val="center"/>
              <w:rPr>
                <w:rFonts w:ascii="黑体" w:hAnsi="黑体"/>
                <w:spacing w:val="1"/>
                <w:sz w:val="18"/>
                <w:szCs w:val="18"/>
              </w:rPr>
            </w:pPr>
            <w:r>
              <w:rPr>
                <w:rFonts w:ascii="黑体" w:hAnsi="黑体"/>
                <w:spacing w:val="1"/>
                <w:sz w:val="18"/>
                <w:szCs w:val="18"/>
              </w:rPr>
              <w:t>2</w:t>
            </w:r>
          </w:p>
        </w:tc>
        <w:tc>
          <w:tcPr>
            <w:tcW w:w="1985" w:type="dxa"/>
          </w:tcPr>
          <w:p w14:paraId="1699C4DB">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1</w:t>
            </w:r>
            <w:r>
              <w:rPr>
                <w:rFonts w:ascii="黑体" w:hAnsi="黑体"/>
                <w:spacing w:val="1"/>
                <w:sz w:val="18"/>
                <w:szCs w:val="18"/>
              </w:rPr>
              <w:t>.5</w:t>
            </w:r>
          </w:p>
        </w:tc>
        <w:tc>
          <w:tcPr>
            <w:tcW w:w="2420" w:type="dxa"/>
          </w:tcPr>
          <w:p w14:paraId="6857DF73">
            <w:pPr>
              <w:pStyle w:val="31"/>
              <w:spacing w:before="0" w:beforeAutospacing="0" w:after="0" w:afterAutospacing="0" w:line="360" w:lineRule="auto"/>
              <w:rPr>
                <w:rFonts w:ascii="黑体" w:hAnsi="黑体"/>
                <w:spacing w:val="1"/>
                <w:sz w:val="18"/>
                <w:szCs w:val="18"/>
              </w:rPr>
            </w:pPr>
            <w:r>
              <w:rPr>
                <w:rFonts w:ascii="黑体" w:hAnsi="黑体"/>
                <w:spacing w:val="1"/>
                <w:sz w:val="18"/>
                <w:szCs w:val="18"/>
              </w:rPr>
              <w:t>膨胀型</w:t>
            </w:r>
          </w:p>
        </w:tc>
      </w:tr>
      <w:tr w14:paraId="4ABD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122" w:type="dxa"/>
          </w:tcPr>
          <w:p w14:paraId="6F8C5D3A">
            <w:pPr>
              <w:pStyle w:val="31"/>
              <w:spacing w:before="0" w:beforeAutospacing="0" w:after="0" w:afterAutospacing="0" w:line="360" w:lineRule="auto"/>
              <w:rPr>
                <w:rFonts w:ascii="黑体" w:hAnsi="黑体"/>
                <w:spacing w:val="1"/>
                <w:sz w:val="18"/>
                <w:szCs w:val="18"/>
              </w:rPr>
            </w:pPr>
            <w:r>
              <w:rPr>
                <w:rFonts w:hint="eastAsia" w:ascii="黑体" w:hAnsi="黑体"/>
                <w:spacing w:val="1"/>
                <w:sz w:val="18"/>
                <w:szCs w:val="18"/>
              </w:rPr>
              <w:t>钢梁、楼面钢支撑</w:t>
            </w:r>
          </w:p>
        </w:tc>
        <w:tc>
          <w:tcPr>
            <w:tcW w:w="1842" w:type="dxa"/>
          </w:tcPr>
          <w:p w14:paraId="327649D7">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2</w:t>
            </w:r>
          </w:p>
        </w:tc>
        <w:tc>
          <w:tcPr>
            <w:tcW w:w="1985" w:type="dxa"/>
          </w:tcPr>
          <w:p w14:paraId="67C2E5DB">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1</w:t>
            </w:r>
            <w:r>
              <w:rPr>
                <w:rFonts w:ascii="黑体" w:hAnsi="黑体"/>
                <w:spacing w:val="1"/>
                <w:sz w:val="18"/>
                <w:szCs w:val="18"/>
              </w:rPr>
              <w:t>.5</w:t>
            </w:r>
          </w:p>
        </w:tc>
        <w:tc>
          <w:tcPr>
            <w:tcW w:w="2420" w:type="dxa"/>
          </w:tcPr>
          <w:p w14:paraId="7B39A624">
            <w:pPr>
              <w:pStyle w:val="31"/>
              <w:spacing w:before="0" w:beforeAutospacing="0" w:after="0" w:afterAutospacing="0" w:line="360" w:lineRule="auto"/>
              <w:rPr>
                <w:rFonts w:ascii="黑体" w:hAnsi="黑体"/>
                <w:spacing w:val="1"/>
                <w:sz w:val="18"/>
                <w:szCs w:val="18"/>
              </w:rPr>
            </w:pPr>
            <w:r>
              <w:rPr>
                <w:rFonts w:ascii="黑体" w:hAnsi="黑体"/>
                <w:spacing w:val="1"/>
                <w:sz w:val="18"/>
                <w:szCs w:val="18"/>
              </w:rPr>
              <w:t>膨胀型</w:t>
            </w:r>
          </w:p>
        </w:tc>
      </w:tr>
      <w:tr w14:paraId="4A32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122" w:type="dxa"/>
          </w:tcPr>
          <w:p w14:paraId="3A4A01CE">
            <w:pPr>
              <w:pStyle w:val="31"/>
              <w:spacing w:before="0" w:beforeAutospacing="0" w:after="0" w:afterAutospacing="0" w:line="360" w:lineRule="auto"/>
              <w:rPr>
                <w:rFonts w:ascii="黑体" w:hAnsi="黑体"/>
                <w:spacing w:val="1"/>
                <w:sz w:val="18"/>
                <w:szCs w:val="18"/>
              </w:rPr>
            </w:pPr>
            <w:r>
              <w:rPr>
                <w:rFonts w:hint="eastAsia" w:ascii="黑体" w:hAnsi="黑体"/>
                <w:spacing w:val="1"/>
                <w:sz w:val="18"/>
                <w:szCs w:val="18"/>
              </w:rPr>
              <w:t>钢楼板，小屋面</w:t>
            </w:r>
          </w:p>
        </w:tc>
        <w:tc>
          <w:tcPr>
            <w:tcW w:w="1842" w:type="dxa"/>
          </w:tcPr>
          <w:p w14:paraId="4663595F">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1</w:t>
            </w:r>
            <w:r>
              <w:rPr>
                <w:rFonts w:ascii="黑体" w:hAnsi="黑体"/>
                <w:spacing w:val="1"/>
                <w:sz w:val="18"/>
                <w:szCs w:val="18"/>
              </w:rPr>
              <w:t>.5</w:t>
            </w:r>
          </w:p>
        </w:tc>
        <w:tc>
          <w:tcPr>
            <w:tcW w:w="1985" w:type="dxa"/>
          </w:tcPr>
          <w:p w14:paraId="37D428A6">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1</w:t>
            </w:r>
            <w:r>
              <w:rPr>
                <w:rFonts w:ascii="黑体" w:hAnsi="黑体"/>
                <w:spacing w:val="1"/>
                <w:sz w:val="18"/>
                <w:szCs w:val="18"/>
              </w:rPr>
              <w:t>.0</w:t>
            </w:r>
          </w:p>
        </w:tc>
        <w:tc>
          <w:tcPr>
            <w:tcW w:w="2420" w:type="dxa"/>
          </w:tcPr>
          <w:p w14:paraId="5BC2E598">
            <w:pPr>
              <w:pStyle w:val="31"/>
              <w:spacing w:before="0" w:beforeAutospacing="0" w:after="0" w:afterAutospacing="0" w:line="360" w:lineRule="auto"/>
              <w:rPr>
                <w:rFonts w:ascii="黑体" w:hAnsi="黑体"/>
                <w:spacing w:val="1"/>
                <w:sz w:val="18"/>
                <w:szCs w:val="18"/>
              </w:rPr>
            </w:pPr>
            <w:r>
              <w:rPr>
                <w:rFonts w:ascii="黑体" w:hAnsi="黑体"/>
                <w:spacing w:val="1"/>
                <w:sz w:val="18"/>
                <w:szCs w:val="18"/>
              </w:rPr>
              <w:t>膨胀型</w:t>
            </w:r>
          </w:p>
        </w:tc>
      </w:tr>
      <w:tr w14:paraId="1CC8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122" w:type="dxa"/>
          </w:tcPr>
          <w:p w14:paraId="442E5BA0">
            <w:pPr>
              <w:pStyle w:val="31"/>
              <w:spacing w:before="0" w:beforeAutospacing="0" w:after="0" w:afterAutospacing="0" w:line="360" w:lineRule="auto"/>
              <w:rPr>
                <w:rFonts w:ascii="黑体" w:hAnsi="黑体"/>
                <w:spacing w:val="1"/>
                <w:sz w:val="18"/>
                <w:szCs w:val="18"/>
              </w:rPr>
            </w:pPr>
            <w:r>
              <w:rPr>
                <w:rFonts w:hint="eastAsia" w:ascii="黑体" w:hAnsi="黑体"/>
                <w:spacing w:val="1"/>
                <w:sz w:val="18"/>
                <w:szCs w:val="18"/>
              </w:rPr>
              <w:t>钢楼梯</w:t>
            </w:r>
          </w:p>
        </w:tc>
        <w:tc>
          <w:tcPr>
            <w:tcW w:w="1842" w:type="dxa"/>
          </w:tcPr>
          <w:p w14:paraId="4BEB876F">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1</w:t>
            </w:r>
            <w:r>
              <w:rPr>
                <w:rFonts w:ascii="黑体" w:hAnsi="黑体"/>
                <w:spacing w:val="1"/>
                <w:sz w:val="18"/>
                <w:szCs w:val="18"/>
              </w:rPr>
              <w:t>.5</w:t>
            </w:r>
          </w:p>
        </w:tc>
        <w:tc>
          <w:tcPr>
            <w:tcW w:w="1985" w:type="dxa"/>
          </w:tcPr>
          <w:p w14:paraId="649B3C82">
            <w:pPr>
              <w:pStyle w:val="31"/>
              <w:spacing w:before="0" w:beforeAutospacing="0" w:after="0" w:afterAutospacing="0" w:line="360" w:lineRule="auto"/>
              <w:jc w:val="center"/>
              <w:rPr>
                <w:rFonts w:ascii="黑体" w:hAnsi="黑体"/>
                <w:spacing w:val="1"/>
                <w:sz w:val="18"/>
                <w:szCs w:val="18"/>
              </w:rPr>
            </w:pPr>
            <w:r>
              <w:rPr>
                <w:rFonts w:hint="eastAsia" w:ascii="黑体" w:hAnsi="黑体"/>
                <w:spacing w:val="1"/>
                <w:sz w:val="18"/>
                <w:szCs w:val="18"/>
              </w:rPr>
              <w:t>1</w:t>
            </w:r>
            <w:r>
              <w:rPr>
                <w:rFonts w:ascii="黑体" w:hAnsi="黑体"/>
                <w:spacing w:val="1"/>
                <w:sz w:val="18"/>
                <w:szCs w:val="18"/>
              </w:rPr>
              <w:t>.0</w:t>
            </w:r>
          </w:p>
        </w:tc>
        <w:tc>
          <w:tcPr>
            <w:tcW w:w="2420" w:type="dxa"/>
          </w:tcPr>
          <w:p w14:paraId="1694DE81">
            <w:pPr>
              <w:pStyle w:val="31"/>
              <w:spacing w:before="0" w:beforeAutospacing="0" w:after="0" w:afterAutospacing="0" w:line="360" w:lineRule="auto"/>
              <w:rPr>
                <w:rFonts w:ascii="黑体" w:hAnsi="黑体"/>
                <w:spacing w:val="1"/>
                <w:sz w:val="18"/>
                <w:szCs w:val="18"/>
              </w:rPr>
            </w:pPr>
            <w:r>
              <w:rPr>
                <w:rFonts w:ascii="黑体" w:hAnsi="黑体"/>
                <w:spacing w:val="1"/>
                <w:sz w:val="18"/>
                <w:szCs w:val="18"/>
              </w:rPr>
              <w:t>膨胀型</w:t>
            </w:r>
          </w:p>
        </w:tc>
      </w:tr>
    </w:tbl>
    <w:p w14:paraId="539A8C34">
      <w:pPr>
        <w:pStyle w:val="31"/>
        <w:shd w:val="clear" w:color="auto" w:fill="FFFFFF"/>
        <w:spacing w:before="0" w:beforeAutospacing="0" w:after="0" w:afterAutospacing="0" w:line="360" w:lineRule="auto"/>
        <w:rPr>
          <w:rFonts w:ascii="黑体" w:hAnsi="黑体"/>
          <w:color w:val="000000"/>
          <w:sz w:val="18"/>
          <w:szCs w:val="18"/>
        </w:rPr>
      </w:pPr>
      <w:r>
        <w:rPr>
          <w:rFonts w:hint="eastAsia" w:ascii="黑体" w:hAnsi="黑体"/>
          <w:color w:val="000000"/>
          <w:sz w:val="18"/>
          <w:szCs w:val="18"/>
        </w:rPr>
        <w:t>注：</w:t>
      </w:r>
      <w:r>
        <w:rPr>
          <w:sz w:val="18"/>
          <w:szCs w:val="18"/>
        </w:rPr>
        <w:t>高端厂房洁净区选用进口品牌膨胀型防火涂料</w:t>
      </w:r>
      <w:r>
        <w:rPr>
          <w:rFonts w:hint="eastAsia"/>
          <w:sz w:val="18"/>
          <w:szCs w:val="18"/>
        </w:rPr>
        <w:t>（超薄型）</w:t>
      </w:r>
      <w:r>
        <w:rPr>
          <w:rFonts w:hint="eastAsia" w:ascii="黑体" w:hAnsi="黑体"/>
          <w:color w:val="000000"/>
          <w:sz w:val="18"/>
          <w:szCs w:val="18"/>
        </w:rPr>
        <w:t>。</w:t>
      </w:r>
    </w:p>
    <w:p w14:paraId="2179D867">
      <w:pPr>
        <w:pStyle w:val="31"/>
        <w:shd w:val="clear" w:color="auto" w:fill="FFFFFF"/>
        <w:spacing w:before="0" w:beforeAutospacing="0" w:after="0" w:afterAutospacing="0" w:line="360" w:lineRule="auto"/>
        <w:rPr>
          <w:rStyle w:val="142"/>
          <w:rFonts w:ascii="黑体" w:hAnsi="黑体"/>
          <w:bCs/>
          <w:sz w:val="18"/>
          <w:szCs w:val="18"/>
        </w:rPr>
      </w:pPr>
      <w:r>
        <w:rPr>
          <w:rStyle w:val="142"/>
          <w:rFonts w:hint="eastAsia" w:ascii="黑体" w:hAnsi="黑体"/>
          <w:bCs/>
          <w:sz w:val="18"/>
          <w:szCs w:val="18"/>
        </w:rPr>
        <w:t>3.1.</w:t>
      </w:r>
      <w:r>
        <w:rPr>
          <w:rStyle w:val="142"/>
          <w:rFonts w:ascii="黑体" w:hAnsi="黑体"/>
          <w:bCs/>
          <w:sz w:val="18"/>
          <w:szCs w:val="18"/>
        </w:rPr>
        <w:t>3</w:t>
      </w:r>
      <w:r>
        <w:rPr>
          <w:rStyle w:val="142"/>
          <w:rFonts w:hint="eastAsia" w:ascii="黑体" w:hAnsi="黑体"/>
          <w:bCs/>
          <w:sz w:val="18"/>
          <w:szCs w:val="18"/>
        </w:rPr>
        <w:t>钢结构节点的防火保护应与被连接构件中防火保护要求最高者相同</w:t>
      </w:r>
    </w:p>
    <w:p w14:paraId="4F94BA43">
      <w:pPr>
        <w:spacing w:line="360" w:lineRule="auto"/>
        <w:jc w:val="left"/>
        <w:rPr>
          <w:rFonts w:ascii="黑体" w:hAnsi="黑体"/>
          <w:szCs w:val="18"/>
        </w:rPr>
      </w:pPr>
      <w:r>
        <w:rPr>
          <w:rFonts w:hint="eastAsia" w:ascii="黑体" w:hAnsi="黑体"/>
          <w:szCs w:val="18"/>
        </w:rPr>
        <w:t>3</w:t>
      </w:r>
      <w:r>
        <w:rPr>
          <w:rFonts w:ascii="黑体" w:hAnsi="黑体"/>
          <w:szCs w:val="18"/>
        </w:rPr>
        <w:t>.1.4</w:t>
      </w:r>
      <w:r>
        <w:rPr>
          <w:rFonts w:hint="eastAsia" w:ascii="黑体" w:hAnsi="黑体"/>
          <w:szCs w:val="18"/>
        </w:rPr>
        <w:t>一般不需要做防火保护的构件：</w:t>
      </w:r>
    </w:p>
    <w:p w14:paraId="01BED068">
      <w:pPr>
        <w:spacing w:line="360" w:lineRule="auto"/>
        <w:jc w:val="left"/>
        <w:rPr>
          <w:rFonts w:ascii="黑体" w:hAnsi="黑体"/>
          <w:szCs w:val="18"/>
        </w:rPr>
      </w:pPr>
      <w:r>
        <w:rPr>
          <w:rFonts w:hint="eastAsia" w:ascii="黑体" w:hAnsi="黑体"/>
          <w:szCs w:val="18"/>
        </w:rPr>
        <w:t xml:space="preserve"> </w:t>
      </w:r>
      <w:r>
        <w:rPr>
          <w:rFonts w:ascii="黑体" w:hAnsi="黑体"/>
          <w:szCs w:val="18"/>
        </w:rPr>
        <w:t xml:space="preserve">     </w:t>
      </w:r>
      <w:r>
        <w:rPr>
          <w:rFonts w:hint="eastAsia" w:ascii="黑体" w:hAnsi="黑体"/>
          <w:szCs w:val="18"/>
        </w:rPr>
        <w:t>型钢混凝土中的钢构件、钢筋桁架楼承板</w:t>
      </w:r>
    </w:p>
    <w:p w14:paraId="2561A7C5">
      <w:pPr>
        <w:spacing w:line="360" w:lineRule="auto"/>
        <w:jc w:val="left"/>
        <w:rPr>
          <w:rFonts w:ascii="黑体" w:hAnsi="黑体"/>
          <w:szCs w:val="18"/>
        </w:rPr>
      </w:pPr>
      <w:r>
        <w:rPr>
          <w:rFonts w:hint="eastAsia" w:ascii="黑体" w:hAnsi="黑体"/>
          <w:szCs w:val="18"/>
        </w:rPr>
        <w:t>3</w:t>
      </w:r>
      <w:r>
        <w:rPr>
          <w:rFonts w:ascii="黑体" w:hAnsi="黑体"/>
          <w:szCs w:val="18"/>
        </w:rPr>
        <w:t xml:space="preserve">.2 </w:t>
      </w:r>
      <w:r>
        <w:rPr>
          <w:rFonts w:hint="eastAsia" w:ascii="黑体" w:hAnsi="黑体"/>
          <w:b/>
          <w:szCs w:val="18"/>
        </w:rPr>
        <w:t>防火涂料</w:t>
      </w:r>
    </w:p>
    <w:p w14:paraId="7A1D5B77">
      <w:pPr>
        <w:pStyle w:val="31"/>
        <w:shd w:val="clear" w:color="auto" w:fill="FFFFFF"/>
        <w:spacing w:before="0" w:beforeAutospacing="0" w:after="0" w:afterAutospacing="0" w:line="360" w:lineRule="auto"/>
        <w:rPr>
          <w:rFonts w:ascii="黑体" w:hAnsi="黑体"/>
          <w:color w:val="000000"/>
          <w:kern w:val="2"/>
          <w:sz w:val="18"/>
          <w:szCs w:val="18"/>
        </w:rPr>
      </w:pPr>
      <w:r>
        <w:rPr>
          <w:rFonts w:ascii="黑体" w:hAnsi="黑体"/>
          <w:color w:val="000000"/>
          <w:kern w:val="2"/>
          <w:sz w:val="18"/>
          <w:szCs w:val="18"/>
        </w:rPr>
        <w:t>3.2</w:t>
      </w:r>
      <w:r>
        <w:rPr>
          <w:rFonts w:hint="eastAsia" w:ascii="黑体" w:hAnsi="黑体"/>
          <w:color w:val="000000"/>
          <w:kern w:val="2"/>
          <w:sz w:val="18"/>
          <w:szCs w:val="18"/>
        </w:rPr>
        <w:t>.1  用于生产钢结构防火涂料的原材料应符合国家环境保护和安全卫生相关法律法规的规定。</w:t>
      </w:r>
    </w:p>
    <w:p w14:paraId="6771E15D">
      <w:pPr>
        <w:pStyle w:val="31"/>
        <w:shd w:val="clear" w:color="auto" w:fill="FFFFFF"/>
        <w:spacing w:before="0" w:beforeAutospacing="0" w:after="0" w:afterAutospacing="0" w:line="360" w:lineRule="auto"/>
        <w:rPr>
          <w:rFonts w:ascii="黑体" w:hAnsi="黑体"/>
          <w:color w:val="000000"/>
          <w:kern w:val="2"/>
          <w:sz w:val="18"/>
          <w:szCs w:val="18"/>
        </w:rPr>
      </w:pPr>
      <w:r>
        <w:rPr>
          <w:rFonts w:ascii="黑体" w:hAnsi="黑体"/>
          <w:color w:val="000000"/>
          <w:kern w:val="2"/>
          <w:sz w:val="18"/>
          <w:szCs w:val="18"/>
        </w:rPr>
        <w:t>3.2.2</w:t>
      </w:r>
      <w:r>
        <w:rPr>
          <w:rFonts w:hint="eastAsia" w:ascii="黑体" w:hAnsi="黑体"/>
          <w:color w:val="000000"/>
          <w:kern w:val="2"/>
          <w:sz w:val="18"/>
          <w:szCs w:val="18"/>
        </w:rPr>
        <w:t>  钢结构防火涂料应能采用规定的分散介质进行调和、稀释。</w:t>
      </w:r>
    </w:p>
    <w:p w14:paraId="51948837">
      <w:pPr>
        <w:pStyle w:val="31"/>
        <w:shd w:val="clear" w:color="auto" w:fill="FFFFFF"/>
        <w:spacing w:before="0" w:beforeAutospacing="0" w:after="0" w:afterAutospacing="0" w:line="360" w:lineRule="auto"/>
        <w:rPr>
          <w:rFonts w:ascii="黑体" w:hAnsi="黑体"/>
          <w:color w:val="000000"/>
          <w:kern w:val="2"/>
          <w:sz w:val="18"/>
          <w:szCs w:val="18"/>
        </w:rPr>
      </w:pPr>
      <w:r>
        <w:rPr>
          <w:rFonts w:ascii="黑体" w:hAnsi="黑体"/>
          <w:color w:val="000000"/>
          <w:kern w:val="2"/>
          <w:sz w:val="18"/>
          <w:szCs w:val="18"/>
        </w:rPr>
        <w:t>3.2.</w:t>
      </w:r>
      <w:r>
        <w:rPr>
          <w:rFonts w:hint="eastAsia" w:ascii="黑体" w:hAnsi="黑体"/>
          <w:color w:val="000000"/>
          <w:kern w:val="2"/>
          <w:sz w:val="18"/>
          <w:szCs w:val="18"/>
        </w:rPr>
        <w:t>3  钢结构防火涂料应能采用喷涂、抹涂、刷涂、辊涂、刮涂等方法中的一种或多种方法施工，并能在正常的自然环境条件下干燥固化，涂层实干后不应有刺激性气味。</w:t>
      </w:r>
    </w:p>
    <w:p w14:paraId="7C342DC0">
      <w:pPr>
        <w:pStyle w:val="31"/>
        <w:shd w:val="clear" w:color="auto" w:fill="FFFFFF"/>
        <w:spacing w:before="0" w:beforeAutospacing="0" w:after="0" w:afterAutospacing="0" w:line="360" w:lineRule="auto"/>
        <w:rPr>
          <w:rFonts w:ascii="黑体" w:hAnsi="黑体"/>
          <w:color w:val="000000"/>
          <w:kern w:val="2"/>
          <w:sz w:val="18"/>
          <w:szCs w:val="18"/>
        </w:rPr>
      </w:pPr>
      <w:r>
        <w:rPr>
          <w:rFonts w:ascii="黑体" w:hAnsi="黑体"/>
          <w:color w:val="000000"/>
          <w:kern w:val="2"/>
          <w:sz w:val="18"/>
          <w:szCs w:val="18"/>
        </w:rPr>
        <w:t>3.2</w:t>
      </w:r>
      <w:r>
        <w:rPr>
          <w:rFonts w:hint="eastAsia" w:ascii="黑体" w:hAnsi="黑体"/>
          <w:color w:val="000000"/>
          <w:kern w:val="2"/>
          <w:sz w:val="18"/>
          <w:szCs w:val="18"/>
        </w:rPr>
        <w:t>.4  膨胀型防火涂料通常分水性与溶剂型产品，一般室内正常环境优先选用水性产品，室外及高温、高湿度环境选用溶剂型产品。</w:t>
      </w:r>
    </w:p>
    <w:p w14:paraId="3503C879">
      <w:pPr>
        <w:spacing w:line="360" w:lineRule="auto"/>
        <w:jc w:val="left"/>
        <w:rPr>
          <w:rFonts w:ascii="黑体" w:hAnsi="黑体"/>
          <w:szCs w:val="18"/>
        </w:rPr>
      </w:pPr>
      <w:r>
        <w:rPr>
          <w:rFonts w:hint="eastAsia" w:ascii="黑体" w:hAnsi="黑体"/>
          <w:szCs w:val="18"/>
        </w:rPr>
        <w:t>3</w:t>
      </w:r>
      <w:r>
        <w:rPr>
          <w:rFonts w:ascii="黑体" w:hAnsi="黑体"/>
          <w:szCs w:val="18"/>
        </w:rPr>
        <w:t>.2.5</w:t>
      </w:r>
      <w:r>
        <w:rPr>
          <w:rFonts w:hint="eastAsia" w:ascii="黑体" w:hAnsi="黑体"/>
          <w:szCs w:val="18"/>
        </w:rPr>
        <w:t> 膨胀型钢结构防火涂料的涂层厚度不应小于1.5mm，非膨胀型钢结构防火涂料的涂层厚度不应小于15mm。</w:t>
      </w:r>
    </w:p>
    <w:p w14:paraId="18C17C2C">
      <w:pPr>
        <w:spacing w:line="360" w:lineRule="auto"/>
        <w:jc w:val="left"/>
        <w:rPr>
          <w:rFonts w:ascii="黑体" w:hAnsi="黑体"/>
          <w:spacing w:val="-7"/>
          <w:szCs w:val="18"/>
        </w:rPr>
      </w:pPr>
      <w:r>
        <w:rPr>
          <w:rFonts w:hint="eastAsia" w:ascii="黑体" w:hAnsi="黑体"/>
          <w:spacing w:val="-5"/>
          <w:szCs w:val="18"/>
        </w:rPr>
        <w:t>3</w:t>
      </w:r>
      <w:r>
        <w:rPr>
          <w:rFonts w:ascii="黑体" w:hAnsi="黑体"/>
          <w:spacing w:val="-5"/>
          <w:szCs w:val="18"/>
        </w:rPr>
        <w:t xml:space="preserve">.2.6 </w:t>
      </w:r>
      <w:r>
        <w:rPr>
          <w:rFonts w:hint="eastAsia" w:ascii="黑体" w:hAnsi="黑体"/>
          <w:spacing w:val="-5"/>
          <w:szCs w:val="18"/>
        </w:rPr>
        <w:t>承包商应根据拟采用的防火材料组分性能、构件耐火极限要求，</w:t>
      </w:r>
      <w:r>
        <w:rPr>
          <w:rFonts w:hint="eastAsia" w:ascii="黑体" w:hAnsi="黑体"/>
          <w:spacing w:val="-6"/>
          <w:szCs w:val="18"/>
        </w:rPr>
        <w:t>确定防火材料的厚度，并取得当地消防管理</w:t>
      </w:r>
      <w:r>
        <w:rPr>
          <w:rFonts w:hint="eastAsia" w:ascii="黑体" w:hAnsi="黑体"/>
          <w:spacing w:val="-7"/>
          <w:szCs w:val="18"/>
        </w:rPr>
        <w:t>部门的批准。选用的防火涂料应与防腐涂料相容匹配，并有良好的结合能力，应具有相容性证明文件。</w:t>
      </w:r>
    </w:p>
    <w:p w14:paraId="6267E8BB">
      <w:pPr>
        <w:spacing w:line="360" w:lineRule="auto"/>
        <w:jc w:val="left"/>
        <w:rPr>
          <w:rFonts w:ascii="黑体" w:hAnsi="黑体"/>
          <w:spacing w:val="-5"/>
          <w:szCs w:val="18"/>
        </w:rPr>
      </w:pPr>
      <w:r>
        <w:rPr>
          <w:rFonts w:hint="eastAsia" w:ascii="黑体" w:hAnsi="黑体"/>
          <w:spacing w:val="-5"/>
          <w:szCs w:val="18"/>
        </w:rPr>
        <w:t>3</w:t>
      </w:r>
      <w:r>
        <w:rPr>
          <w:rFonts w:ascii="黑体" w:hAnsi="黑体"/>
          <w:spacing w:val="-5"/>
          <w:szCs w:val="18"/>
        </w:rPr>
        <w:t xml:space="preserve">.2.7 </w:t>
      </w:r>
      <w:r>
        <w:rPr>
          <w:rFonts w:hint="eastAsia" w:ascii="黑体" w:hAnsi="黑体"/>
          <w:spacing w:val="-5"/>
          <w:szCs w:val="18"/>
        </w:rPr>
        <w:t>防火涂料应选用环保材料，不含有石棉和甲醛，不宜采用苯类溶剂，涂层实干后不应有刺激性气味。</w:t>
      </w:r>
    </w:p>
    <w:p w14:paraId="3AF5F18D">
      <w:pPr>
        <w:spacing w:line="360" w:lineRule="auto"/>
        <w:jc w:val="left"/>
        <w:rPr>
          <w:rFonts w:ascii="黑体" w:hAnsi="黑体"/>
          <w:spacing w:val="-6"/>
          <w:szCs w:val="18"/>
        </w:rPr>
      </w:pPr>
      <w:r>
        <w:rPr>
          <w:rFonts w:ascii="黑体" w:hAnsi="黑体"/>
          <w:spacing w:val="-5"/>
          <w:szCs w:val="18"/>
        </w:rPr>
        <w:t xml:space="preserve">3.2.8 </w:t>
      </w:r>
      <w:r>
        <w:rPr>
          <w:rFonts w:hint="eastAsia" w:ascii="黑体" w:hAnsi="黑体"/>
          <w:spacing w:val="-5"/>
          <w:szCs w:val="18"/>
        </w:rPr>
        <w:t>防火涂料使用符合《钢结构防火涂料》</w:t>
      </w:r>
      <w:r>
        <w:rPr>
          <w:rFonts w:ascii="黑体" w:hAnsi="黑体" w:cs="仿宋"/>
          <w:spacing w:val="-5"/>
          <w:szCs w:val="18"/>
        </w:rPr>
        <w:t>GB14907</w:t>
      </w:r>
      <w:r>
        <w:rPr>
          <w:rFonts w:hint="eastAsia" w:ascii="黑体" w:hAnsi="黑体" w:cs="仿宋"/>
          <w:spacing w:val="-5"/>
          <w:szCs w:val="18"/>
        </w:rPr>
        <w:t>的</w:t>
      </w:r>
      <w:r>
        <w:rPr>
          <w:rFonts w:hint="eastAsia" w:ascii="黑体" w:hAnsi="黑体"/>
          <w:spacing w:val="-5"/>
          <w:szCs w:val="18"/>
        </w:rPr>
        <w:t>要求，并取得公安部消防产品合格评</w:t>
      </w:r>
      <w:r>
        <w:rPr>
          <w:rFonts w:hint="eastAsia" w:ascii="黑体" w:hAnsi="黑体"/>
          <w:spacing w:val="-6"/>
          <w:szCs w:val="18"/>
        </w:rPr>
        <w:t>定中心所发的有效型式认可证书的优质产品。</w:t>
      </w:r>
    </w:p>
    <w:p w14:paraId="1929AE28">
      <w:pPr>
        <w:spacing w:line="360" w:lineRule="auto"/>
        <w:jc w:val="left"/>
        <w:rPr>
          <w:rFonts w:ascii="黑体" w:hAnsi="黑体"/>
          <w:spacing w:val="-12"/>
          <w:position w:val="1"/>
          <w:szCs w:val="18"/>
        </w:rPr>
      </w:pPr>
      <w:r>
        <w:rPr>
          <w:rFonts w:hint="eastAsia" w:ascii="黑体" w:hAnsi="黑体"/>
          <w:szCs w:val="18"/>
        </w:rPr>
        <w:t>3</w:t>
      </w:r>
      <w:r>
        <w:rPr>
          <w:rFonts w:ascii="黑体" w:hAnsi="黑体"/>
          <w:szCs w:val="18"/>
        </w:rPr>
        <w:t xml:space="preserve">.2.9 </w:t>
      </w:r>
      <w:r>
        <w:rPr>
          <w:rFonts w:hint="eastAsia" w:ascii="黑体" w:hAnsi="黑体"/>
          <w:szCs w:val="18"/>
        </w:rPr>
        <w:t>室内非膨胀型防火涂料应选用干密度小于</w:t>
      </w:r>
      <w:r>
        <w:rPr>
          <w:rFonts w:hint="eastAsia" w:ascii="黑体" w:hAnsi="黑体" w:cs="仿宋"/>
          <w:szCs w:val="18"/>
        </w:rPr>
        <w:t>5</w:t>
      </w:r>
      <w:r>
        <w:rPr>
          <w:rFonts w:ascii="黑体" w:hAnsi="黑体" w:cs="仿宋"/>
          <w:szCs w:val="18"/>
        </w:rPr>
        <w:t>00kg/m</w:t>
      </w:r>
      <w:r>
        <w:rPr>
          <w:rFonts w:ascii="Calibri" w:hAnsi="Calibri" w:cs="Calibri"/>
          <w:szCs w:val="18"/>
        </w:rPr>
        <w:t>³</w:t>
      </w:r>
      <w:r>
        <w:rPr>
          <w:rFonts w:ascii="黑体" w:hAnsi="黑体"/>
          <w:spacing w:val="80"/>
          <w:szCs w:val="18"/>
        </w:rPr>
        <w:t xml:space="preserve"> </w:t>
      </w:r>
      <w:r>
        <w:rPr>
          <w:rFonts w:hint="eastAsia" w:ascii="黑体" w:hAnsi="黑体"/>
          <w:szCs w:val="18"/>
        </w:rPr>
        <w:t>的优质产品，钢梁的挠曲度不超过长度的</w:t>
      </w:r>
      <w:r>
        <w:rPr>
          <w:rFonts w:ascii="黑体" w:hAnsi="黑体" w:cs="仿宋"/>
          <w:szCs w:val="18"/>
        </w:rPr>
        <w:t>1/100</w:t>
      </w:r>
      <w:r>
        <w:rPr>
          <w:rFonts w:hint="eastAsia" w:ascii="黑体" w:hAnsi="黑体"/>
          <w:szCs w:val="18"/>
        </w:rPr>
        <w:t>时，防</w:t>
      </w:r>
      <w:r>
        <w:rPr>
          <w:rFonts w:hint="eastAsia" w:ascii="黑体" w:hAnsi="黑体"/>
          <w:spacing w:val="-12"/>
          <w:position w:val="1"/>
          <w:szCs w:val="18"/>
        </w:rPr>
        <w:t>火涂料应无龟裂及变形。</w:t>
      </w:r>
    </w:p>
    <w:p w14:paraId="6F30FD92">
      <w:pPr>
        <w:spacing w:line="360" w:lineRule="auto"/>
        <w:jc w:val="left"/>
        <w:rPr>
          <w:rFonts w:ascii="黑体" w:hAnsi="黑体"/>
          <w:spacing w:val="-5"/>
          <w:szCs w:val="18"/>
        </w:rPr>
      </w:pPr>
      <w:r>
        <w:rPr>
          <w:rFonts w:hint="eastAsia" w:ascii="黑体" w:hAnsi="黑体"/>
          <w:spacing w:val="-5"/>
          <w:szCs w:val="18"/>
        </w:rPr>
        <w:t>3</w:t>
      </w:r>
      <w:r>
        <w:rPr>
          <w:rFonts w:ascii="黑体" w:hAnsi="黑体"/>
          <w:spacing w:val="-5"/>
          <w:szCs w:val="18"/>
        </w:rPr>
        <w:t xml:space="preserve">.2.10 </w:t>
      </w:r>
      <w:r>
        <w:rPr>
          <w:rFonts w:hint="eastAsia" w:ascii="黑体" w:hAnsi="黑体"/>
          <w:spacing w:val="-5"/>
          <w:szCs w:val="18"/>
        </w:rPr>
        <w:t>防火涂料固化时间宜小于</w:t>
      </w:r>
      <w:r>
        <w:rPr>
          <w:rFonts w:ascii="黑体" w:hAnsi="黑体" w:cs="仿宋"/>
          <w:spacing w:val="-5"/>
          <w:szCs w:val="18"/>
        </w:rPr>
        <w:t>1</w:t>
      </w:r>
      <w:r>
        <w:rPr>
          <w:rFonts w:hint="eastAsia" w:ascii="黑体" w:hAnsi="黑体"/>
          <w:spacing w:val="-5"/>
          <w:szCs w:val="18"/>
        </w:rPr>
        <w:t>小时，且对钢结构不具有腐蚀性</w:t>
      </w:r>
    </w:p>
    <w:p w14:paraId="1AE89D5A">
      <w:pPr>
        <w:spacing w:line="360" w:lineRule="auto"/>
        <w:jc w:val="left"/>
        <w:rPr>
          <w:rFonts w:ascii="黑体" w:hAnsi="黑体" w:cs="仿宋"/>
          <w:spacing w:val="-5"/>
          <w:szCs w:val="18"/>
        </w:rPr>
      </w:pPr>
      <w:r>
        <w:rPr>
          <w:rFonts w:hint="eastAsia" w:ascii="黑体" w:hAnsi="黑体"/>
          <w:spacing w:val="-5"/>
          <w:szCs w:val="18"/>
        </w:rPr>
        <w:t>3</w:t>
      </w:r>
      <w:r>
        <w:rPr>
          <w:rFonts w:ascii="黑体" w:hAnsi="黑体"/>
          <w:spacing w:val="-5"/>
          <w:szCs w:val="18"/>
        </w:rPr>
        <w:t xml:space="preserve">.2.11 </w:t>
      </w:r>
      <w:r>
        <w:rPr>
          <w:rFonts w:hint="eastAsia" w:ascii="黑体" w:hAnsi="黑体"/>
          <w:spacing w:val="-5"/>
          <w:szCs w:val="18"/>
        </w:rPr>
        <w:t>涂料施工、检验与验收必须严格执行现行行业标准《钢结构防火涂料应用技术规范》</w:t>
      </w:r>
      <w:r>
        <w:rPr>
          <w:rFonts w:ascii="黑体" w:hAnsi="黑体" w:cs="仿宋"/>
          <w:spacing w:val="-4"/>
          <w:szCs w:val="18"/>
        </w:rPr>
        <w:t>CECS</w:t>
      </w:r>
      <w:r>
        <w:rPr>
          <w:rFonts w:ascii="黑体" w:hAnsi="黑体" w:cs="仿宋"/>
          <w:spacing w:val="-5"/>
          <w:szCs w:val="18"/>
        </w:rPr>
        <w:t>24</w:t>
      </w:r>
      <w:r>
        <w:rPr>
          <w:rFonts w:hint="eastAsia" w:ascii="黑体" w:hAnsi="黑体" w:cs="仿宋"/>
          <w:spacing w:val="-5"/>
          <w:szCs w:val="18"/>
        </w:rPr>
        <w:t>的要求。</w:t>
      </w:r>
    </w:p>
    <w:p w14:paraId="0D374F4D">
      <w:pPr>
        <w:spacing w:line="360" w:lineRule="auto"/>
        <w:jc w:val="left"/>
        <w:rPr>
          <w:rFonts w:ascii="黑体" w:hAnsi="黑体"/>
          <w:spacing w:val="-6"/>
          <w:position w:val="-1"/>
          <w:szCs w:val="18"/>
        </w:rPr>
      </w:pPr>
      <w:r>
        <w:rPr>
          <w:rFonts w:hint="eastAsia" w:ascii="黑体" w:hAnsi="黑体"/>
          <w:spacing w:val="-6"/>
          <w:position w:val="-1"/>
          <w:szCs w:val="18"/>
        </w:rPr>
        <w:t>3</w:t>
      </w:r>
      <w:r>
        <w:rPr>
          <w:rFonts w:ascii="黑体" w:hAnsi="黑体"/>
          <w:spacing w:val="-6"/>
          <w:position w:val="-1"/>
          <w:szCs w:val="18"/>
        </w:rPr>
        <w:t xml:space="preserve">.2.12 </w:t>
      </w:r>
      <w:r>
        <w:rPr>
          <w:rFonts w:hint="eastAsia" w:ascii="黑体" w:hAnsi="黑体"/>
          <w:spacing w:val="-6"/>
          <w:position w:val="-1"/>
          <w:szCs w:val="18"/>
        </w:rPr>
        <w:t>防火涂料需在防腐中间漆完成后再涂装，然后涂装面漆。当防火涂料具有且达到面漆的防腐性能时，做防火涂料的部位若建筑或者室内装修无特别要求，可不做面漆。</w:t>
      </w:r>
    </w:p>
    <w:p w14:paraId="3A35AC04">
      <w:pPr>
        <w:spacing w:line="360" w:lineRule="auto"/>
        <w:jc w:val="left"/>
        <w:rPr>
          <w:rFonts w:ascii="黑体" w:hAnsi="黑体"/>
          <w:spacing w:val="-5"/>
          <w:position w:val="1"/>
          <w:szCs w:val="18"/>
        </w:rPr>
      </w:pPr>
      <w:r>
        <w:rPr>
          <w:rFonts w:hint="eastAsia" w:ascii="黑体" w:hAnsi="黑体"/>
          <w:spacing w:val="-4"/>
          <w:position w:val="1"/>
          <w:szCs w:val="18"/>
        </w:rPr>
        <w:t>3</w:t>
      </w:r>
      <w:r>
        <w:rPr>
          <w:rFonts w:ascii="黑体" w:hAnsi="黑体"/>
          <w:spacing w:val="-4"/>
          <w:position w:val="1"/>
          <w:szCs w:val="18"/>
        </w:rPr>
        <w:t xml:space="preserve">.2.13 </w:t>
      </w:r>
      <w:r>
        <w:rPr>
          <w:rFonts w:hint="eastAsia" w:ascii="黑体" w:hAnsi="黑体"/>
          <w:spacing w:val="-4"/>
          <w:position w:val="1"/>
          <w:szCs w:val="18"/>
        </w:rPr>
        <w:t>防火涂料的涂层厚度应符合耐火极限的设计要求，宜直接采用</w:t>
      </w:r>
      <w:r>
        <w:rPr>
          <w:rFonts w:hint="eastAsia" w:ascii="黑体" w:hAnsi="黑体"/>
          <w:spacing w:val="-5"/>
          <w:position w:val="1"/>
          <w:szCs w:val="18"/>
        </w:rPr>
        <w:t>实际构件的耐火试验数据或《钢结构防火涂料</w:t>
      </w:r>
      <w:r>
        <w:rPr>
          <w:rFonts w:hint="eastAsia" w:ascii="黑体" w:hAnsi="黑体"/>
          <w:spacing w:val="-5"/>
          <w:szCs w:val="18"/>
        </w:rPr>
        <w:t>应用技术规范》</w:t>
      </w:r>
      <w:r>
        <w:rPr>
          <w:rFonts w:ascii="黑体" w:hAnsi="黑体" w:cs="仿宋"/>
          <w:spacing w:val="-4"/>
          <w:szCs w:val="18"/>
        </w:rPr>
        <w:t>CECS</w:t>
      </w:r>
      <w:r>
        <w:rPr>
          <w:rFonts w:ascii="黑体" w:hAnsi="黑体" w:cs="仿宋"/>
          <w:spacing w:val="-5"/>
          <w:szCs w:val="18"/>
        </w:rPr>
        <w:t>24</w:t>
      </w:r>
      <w:r>
        <w:rPr>
          <w:rFonts w:hint="eastAsia" w:ascii="黑体" w:hAnsi="黑体" w:cs="仿宋"/>
          <w:spacing w:val="-5"/>
          <w:szCs w:val="18"/>
        </w:rPr>
        <w:t>推算并按</w:t>
      </w:r>
      <w:r>
        <w:rPr>
          <w:rFonts w:hint="eastAsia" w:ascii="黑体" w:hAnsi="黑体"/>
          <w:spacing w:val="-5"/>
          <w:position w:val="1"/>
          <w:szCs w:val="18"/>
        </w:rPr>
        <w:t>《高层民用建筑钢结构</w:t>
      </w:r>
      <w:r>
        <w:rPr>
          <w:rFonts w:hint="eastAsia" w:ascii="黑体" w:hAnsi="黑体"/>
          <w:spacing w:val="-5"/>
          <w:szCs w:val="18"/>
        </w:rPr>
        <w:t>技术规程》JGJ</w:t>
      </w:r>
      <w:r>
        <w:rPr>
          <w:rFonts w:ascii="黑体" w:hAnsi="黑体"/>
          <w:spacing w:val="-5"/>
          <w:szCs w:val="18"/>
        </w:rPr>
        <w:t>99</w:t>
      </w:r>
      <w:r>
        <w:rPr>
          <w:rFonts w:hint="eastAsia" w:ascii="黑体" w:hAnsi="黑体"/>
          <w:spacing w:val="-5"/>
          <w:szCs w:val="18"/>
        </w:rPr>
        <w:t>进行验算，取其较大值确定实际构件的防火厚度。</w:t>
      </w:r>
    </w:p>
    <w:p w14:paraId="18AB64DB">
      <w:pPr>
        <w:spacing w:line="360" w:lineRule="auto"/>
        <w:jc w:val="left"/>
        <w:rPr>
          <w:rFonts w:ascii="黑体" w:hAnsi="黑体"/>
          <w:b/>
          <w:sz w:val="21"/>
          <w:szCs w:val="21"/>
        </w:rPr>
      </w:pPr>
      <w:r>
        <w:rPr>
          <w:rFonts w:ascii="黑体" w:hAnsi="黑体"/>
          <w:spacing w:val="-3"/>
          <w:szCs w:val="18"/>
        </w:rPr>
        <w:t xml:space="preserve">3.2.14 </w:t>
      </w:r>
      <w:r>
        <w:rPr>
          <w:rFonts w:hint="eastAsia" w:ascii="黑体" w:hAnsi="黑体"/>
          <w:spacing w:val="-3"/>
          <w:szCs w:val="18"/>
        </w:rPr>
        <w:t>膨胀型防火涂料的涂层厚度应符合耐火极限的设计要求。非膨胀型防火涂料的涂层厚度，</w:t>
      </w:r>
      <w:r>
        <w:rPr>
          <w:rFonts w:ascii="黑体" w:hAnsi="黑体" w:cs="仿宋"/>
          <w:spacing w:val="-3"/>
          <w:szCs w:val="18"/>
        </w:rPr>
        <w:t>80%</w:t>
      </w:r>
      <w:r>
        <w:rPr>
          <w:rFonts w:hint="eastAsia" w:ascii="黑体" w:hAnsi="黑体"/>
          <w:spacing w:val="-3"/>
          <w:szCs w:val="18"/>
        </w:rPr>
        <w:t>及以上面积应</w:t>
      </w:r>
      <w:r>
        <w:rPr>
          <w:rFonts w:hint="eastAsia" w:ascii="黑体" w:hAnsi="黑体"/>
          <w:spacing w:val="-2"/>
          <w:szCs w:val="18"/>
        </w:rPr>
        <w:t>符合耐火极限的设计要求，且最薄处厚度不应低于设计要求的</w:t>
      </w:r>
      <w:r>
        <w:rPr>
          <w:rFonts w:ascii="黑体" w:hAnsi="黑体" w:cs="仿宋"/>
          <w:spacing w:val="-2"/>
          <w:szCs w:val="18"/>
        </w:rPr>
        <w:t>85%</w:t>
      </w:r>
      <w:r>
        <w:rPr>
          <w:rFonts w:hint="eastAsia" w:ascii="黑体" w:hAnsi="黑体"/>
          <w:spacing w:val="-2"/>
          <w:szCs w:val="18"/>
        </w:rPr>
        <w:t>。检查数量按同类构件数抽查</w:t>
      </w:r>
      <w:r>
        <w:rPr>
          <w:rFonts w:ascii="黑体" w:hAnsi="黑体" w:cs="仿宋"/>
          <w:spacing w:val="-2"/>
          <w:szCs w:val="18"/>
        </w:rPr>
        <w:t>10%,</w:t>
      </w:r>
      <w:r>
        <w:rPr>
          <w:rFonts w:hint="eastAsia" w:ascii="黑体" w:hAnsi="黑体"/>
          <w:spacing w:val="-2"/>
          <w:szCs w:val="18"/>
        </w:rPr>
        <w:t>且</w:t>
      </w:r>
      <w:r>
        <w:rPr>
          <w:rFonts w:hint="eastAsia" w:ascii="黑体" w:hAnsi="黑体"/>
          <w:spacing w:val="-14"/>
          <w:szCs w:val="18"/>
        </w:rPr>
        <w:t>均不应少于3件。</w:t>
      </w:r>
    </w:p>
    <w:p w14:paraId="439B1B02">
      <w:pPr>
        <w:widowControl/>
        <w:jc w:val="left"/>
        <w:rPr>
          <w:rFonts w:ascii="黑体" w:hAnsi="黑体"/>
          <w:b/>
          <w:sz w:val="21"/>
          <w:szCs w:val="21"/>
        </w:rPr>
      </w:pPr>
      <w:r>
        <w:rPr>
          <w:rFonts w:ascii="黑体" w:hAnsi="黑体"/>
          <w:b/>
          <w:sz w:val="21"/>
          <w:szCs w:val="21"/>
        </w:rPr>
        <w:br w:type="page"/>
      </w:r>
    </w:p>
    <w:p w14:paraId="49626027">
      <w:pPr>
        <w:adjustRightInd w:val="0"/>
        <w:snapToGrid w:val="0"/>
        <w:spacing w:line="360" w:lineRule="auto"/>
        <w:jc w:val="center"/>
        <w:rPr>
          <w:rFonts w:ascii="黑体" w:hAnsi="黑体"/>
          <w:b/>
          <w:sz w:val="21"/>
          <w:szCs w:val="21"/>
        </w:rPr>
      </w:pPr>
      <w:r>
        <w:rPr>
          <w:rFonts w:hint="eastAsia" w:ascii="黑体" w:hAnsi="黑体"/>
          <w:b/>
          <w:sz w:val="21"/>
          <w:szCs w:val="21"/>
        </w:rPr>
        <w:t>附件</w:t>
      </w:r>
      <w:r>
        <w:rPr>
          <w:rFonts w:hint="eastAsia" w:ascii="黑体" w:hAnsi="黑体"/>
          <w:b/>
          <w:sz w:val="21"/>
          <w:szCs w:val="21"/>
          <w:lang w:val="en-US" w:eastAsia="zh-CN"/>
        </w:rPr>
        <w:t>五</w:t>
      </w:r>
      <w:r>
        <w:rPr>
          <w:rFonts w:hint="eastAsia" w:ascii="黑体" w:hAnsi="黑体"/>
          <w:b/>
          <w:sz w:val="21"/>
          <w:szCs w:val="21"/>
        </w:rPr>
        <w:t>：钢结构防火涂料产品与施工</w:t>
      </w:r>
      <w:r>
        <w:rPr>
          <w:rFonts w:ascii="黑体" w:hAnsi="黑体"/>
          <w:b/>
          <w:sz w:val="21"/>
          <w:szCs w:val="21"/>
        </w:rPr>
        <w:t>技术</w:t>
      </w:r>
      <w:r>
        <w:rPr>
          <w:rFonts w:hint="eastAsia" w:ascii="黑体" w:hAnsi="黑体"/>
          <w:b/>
          <w:sz w:val="21"/>
          <w:szCs w:val="21"/>
        </w:rPr>
        <w:t>标准</w:t>
      </w:r>
    </w:p>
    <w:p w14:paraId="0E2D4662">
      <w:pPr>
        <w:adjustRightInd w:val="0"/>
        <w:snapToGrid w:val="0"/>
        <w:spacing w:line="360" w:lineRule="auto"/>
        <w:jc w:val="left"/>
        <w:rPr>
          <w:rFonts w:ascii="黑体" w:hAnsi="黑体"/>
          <w:szCs w:val="18"/>
        </w:rPr>
      </w:pPr>
      <w:r>
        <w:rPr>
          <w:rFonts w:ascii="黑体" w:hAnsi="黑体"/>
          <w:szCs w:val="18"/>
        </w:rPr>
        <w:t>1 总则</w:t>
      </w:r>
    </w:p>
    <w:p w14:paraId="58ADE314">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hint="eastAsia" w:ascii="黑体" w:hAnsi="黑体"/>
          <w:b/>
          <w:bCs/>
          <w:szCs w:val="18"/>
        </w:rPr>
        <w:t xml:space="preserve"> </w:t>
      </w:r>
      <w:r>
        <w:rPr>
          <w:rFonts w:ascii="黑体" w:hAnsi="黑体"/>
          <w:b/>
          <w:bCs/>
          <w:szCs w:val="18"/>
        </w:rPr>
        <w:t xml:space="preserve">概要 </w:t>
      </w:r>
    </w:p>
    <w:p w14:paraId="3BB31B2A">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本标准</w:t>
      </w:r>
      <w:r>
        <w:rPr>
          <w:rFonts w:ascii="黑体" w:hAnsi="黑体"/>
          <w:szCs w:val="18"/>
        </w:rPr>
        <w:t>说明</w:t>
      </w:r>
      <w:r>
        <w:rPr>
          <w:rFonts w:hint="eastAsia" w:ascii="黑体" w:hAnsi="黑体"/>
          <w:szCs w:val="18"/>
        </w:rPr>
        <w:t>各种</w:t>
      </w:r>
      <w:r>
        <w:rPr>
          <w:rFonts w:ascii="黑体" w:hAnsi="黑体"/>
          <w:szCs w:val="18"/>
        </w:rPr>
        <w:t>钢结构防火涂料系统的材料、安装、施工及检验等相关规定。</w:t>
      </w:r>
    </w:p>
    <w:p w14:paraId="74F06D44">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钢结构防火涂料系统安装在待保护钢结构上，并通常通过隔热提供局部保护。典型的涂料为非膨胀型和膨胀型涂层。本技术规范</w:t>
      </w:r>
      <w:r>
        <w:rPr>
          <w:rFonts w:ascii="黑体" w:hAnsi="黑体"/>
          <w:szCs w:val="18"/>
        </w:rPr>
        <w:t>提供了建筑钢结构使用</w:t>
      </w:r>
      <w:r>
        <w:rPr>
          <w:rFonts w:hint="eastAsia" w:ascii="黑体" w:hAnsi="黑体"/>
          <w:szCs w:val="18"/>
        </w:rPr>
        <w:t>防火</w:t>
      </w:r>
      <w:r>
        <w:rPr>
          <w:rFonts w:ascii="黑体" w:hAnsi="黑体"/>
          <w:szCs w:val="18"/>
        </w:rPr>
        <w:t>涂层的</w:t>
      </w:r>
      <w:r>
        <w:rPr>
          <w:rFonts w:hint="eastAsia" w:ascii="黑体" w:hAnsi="黑体"/>
          <w:szCs w:val="18"/>
        </w:rPr>
        <w:t>应用</w:t>
      </w:r>
      <w:r>
        <w:rPr>
          <w:rFonts w:ascii="黑体" w:hAnsi="黑体"/>
          <w:szCs w:val="18"/>
        </w:rPr>
        <w:t>指南</w:t>
      </w:r>
      <w:r>
        <w:rPr>
          <w:rFonts w:hint="eastAsia" w:ascii="黑体" w:hAnsi="黑体"/>
          <w:szCs w:val="18"/>
        </w:rPr>
        <w:t>。</w:t>
      </w:r>
    </w:p>
    <w:p w14:paraId="5EDE34E3">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本标准适用于新建、改建、扩建工业与民用建筑工程中钢结构构件的防火涂装施工。</w:t>
      </w:r>
    </w:p>
    <w:p w14:paraId="08369E32">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hint="eastAsia" w:ascii="黑体" w:hAnsi="黑体"/>
          <w:b/>
          <w:bCs/>
          <w:szCs w:val="18"/>
        </w:rPr>
        <w:t>符合最新版规范要求，包括但不限于：</w:t>
      </w:r>
    </w:p>
    <w:p w14:paraId="58272DF5">
      <w:pPr>
        <w:adjustRightInd w:val="0"/>
        <w:snapToGrid w:val="0"/>
        <w:spacing w:line="360" w:lineRule="auto"/>
        <w:jc w:val="left"/>
        <w:rPr>
          <w:rFonts w:ascii="黑体" w:hAnsi="黑体"/>
          <w:szCs w:val="18"/>
        </w:rPr>
      </w:pPr>
      <w:r>
        <w:rPr>
          <w:rFonts w:ascii="黑体" w:hAnsi="黑体"/>
          <w:szCs w:val="18"/>
        </w:rPr>
        <w:t>《建筑设计防火规范》                     GB50016</w:t>
      </w:r>
    </w:p>
    <w:p w14:paraId="67743A84">
      <w:pPr>
        <w:adjustRightInd w:val="0"/>
        <w:snapToGrid w:val="0"/>
        <w:spacing w:line="360" w:lineRule="auto"/>
        <w:jc w:val="left"/>
        <w:rPr>
          <w:rFonts w:ascii="黑体" w:hAnsi="黑体"/>
          <w:szCs w:val="18"/>
        </w:rPr>
      </w:pPr>
      <w:r>
        <w:rPr>
          <w:rFonts w:ascii="黑体" w:hAnsi="黑体"/>
          <w:szCs w:val="18"/>
        </w:rPr>
        <w:t xml:space="preserve">《建筑内部装修设计防火规范》             GB 50222 </w:t>
      </w:r>
    </w:p>
    <w:p w14:paraId="27196D06">
      <w:pPr>
        <w:adjustRightInd w:val="0"/>
        <w:snapToGrid w:val="0"/>
        <w:spacing w:line="360" w:lineRule="auto"/>
        <w:jc w:val="left"/>
        <w:rPr>
          <w:rFonts w:ascii="黑体" w:hAnsi="黑体"/>
          <w:szCs w:val="18"/>
        </w:rPr>
      </w:pPr>
      <w:r>
        <w:rPr>
          <w:rFonts w:ascii="黑体" w:hAnsi="黑体"/>
          <w:szCs w:val="18"/>
        </w:rPr>
        <w:t xml:space="preserve">《电子工业洁净厂房设计规范》             GB 50472 </w:t>
      </w:r>
    </w:p>
    <w:p w14:paraId="02DE2800">
      <w:pPr>
        <w:adjustRightInd w:val="0"/>
        <w:snapToGrid w:val="0"/>
        <w:spacing w:line="360" w:lineRule="auto"/>
        <w:jc w:val="left"/>
        <w:rPr>
          <w:rFonts w:ascii="黑体" w:hAnsi="黑体"/>
          <w:szCs w:val="18"/>
        </w:rPr>
      </w:pPr>
      <w:r>
        <w:rPr>
          <w:rFonts w:hint="eastAsia" w:ascii="黑体" w:hAnsi="黑体"/>
          <w:szCs w:val="18"/>
        </w:rPr>
        <w:t xml:space="preserve">《钢结构防火涂料》 </w:t>
      </w:r>
      <w:r>
        <w:rPr>
          <w:rFonts w:ascii="黑体" w:hAnsi="黑体"/>
          <w:szCs w:val="18"/>
        </w:rPr>
        <w:t xml:space="preserve">                      </w:t>
      </w:r>
      <w:r>
        <w:rPr>
          <w:rFonts w:hint="eastAsia" w:ascii="黑体" w:hAnsi="黑体"/>
          <w:szCs w:val="18"/>
        </w:rPr>
        <w:t>GB14907</w:t>
      </w:r>
    </w:p>
    <w:p w14:paraId="34AA4977">
      <w:pPr>
        <w:adjustRightInd w:val="0"/>
        <w:snapToGrid w:val="0"/>
        <w:spacing w:line="360" w:lineRule="auto"/>
        <w:jc w:val="left"/>
        <w:rPr>
          <w:rFonts w:ascii="黑体" w:hAnsi="黑体"/>
          <w:szCs w:val="18"/>
        </w:rPr>
      </w:pPr>
      <w:r>
        <w:rPr>
          <w:rFonts w:hint="eastAsia" w:ascii="黑体" w:hAnsi="黑体"/>
          <w:szCs w:val="18"/>
        </w:rPr>
        <w:t xml:space="preserve">《钢结构工程施工质量验收标准》 </w:t>
      </w:r>
      <w:r>
        <w:rPr>
          <w:rFonts w:ascii="黑体" w:hAnsi="黑体"/>
          <w:szCs w:val="18"/>
        </w:rPr>
        <w:t xml:space="preserve">          GB 50205</w:t>
      </w:r>
    </w:p>
    <w:p w14:paraId="2E557F23">
      <w:pPr>
        <w:adjustRightInd w:val="0"/>
        <w:snapToGrid w:val="0"/>
        <w:spacing w:line="360" w:lineRule="auto"/>
        <w:jc w:val="left"/>
        <w:rPr>
          <w:rFonts w:ascii="黑体" w:hAnsi="黑体"/>
          <w:szCs w:val="18"/>
        </w:rPr>
      </w:pPr>
      <w:r>
        <w:rPr>
          <w:rFonts w:hint="eastAsia" w:ascii="黑体" w:hAnsi="黑体"/>
          <w:szCs w:val="18"/>
        </w:rPr>
        <w:t>《</w:t>
      </w:r>
      <w:r>
        <w:rPr>
          <w:rFonts w:ascii="黑体" w:hAnsi="黑体"/>
          <w:szCs w:val="18"/>
        </w:rPr>
        <w:t>钢结构防火涂料应用技术规程</w:t>
      </w:r>
      <w:r>
        <w:rPr>
          <w:rFonts w:hint="eastAsia" w:ascii="黑体" w:hAnsi="黑体"/>
          <w:szCs w:val="18"/>
        </w:rPr>
        <w:t xml:space="preserve">》 </w:t>
      </w:r>
      <w:r>
        <w:rPr>
          <w:rFonts w:ascii="黑体" w:hAnsi="黑体"/>
          <w:szCs w:val="18"/>
        </w:rPr>
        <w:t xml:space="preserve">          T/CECS 24</w:t>
      </w:r>
    </w:p>
    <w:p w14:paraId="69CEFF31">
      <w:pPr>
        <w:adjustRightInd w:val="0"/>
        <w:snapToGrid w:val="0"/>
        <w:spacing w:line="360" w:lineRule="auto"/>
        <w:jc w:val="left"/>
        <w:rPr>
          <w:rFonts w:ascii="黑体" w:hAnsi="黑体"/>
          <w:szCs w:val="18"/>
        </w:rPr>
      </w:pPr>
      <w:r>
        <w:rPr>
          <w:rFonts w:hint="eastAsia" w:ascii="黑体" w:hAnsi="黑体"/>
          <w:szCs w:val="18"/>
        </w:rPr>
        <w:t xml:space="preserve">《建筑钢结构防火技术规范》 </w:t>
      </w:r>
      <w:r>
        <w:rPr>
          <w:rFonts w:ascii="黑体" w:hAnsi="黑体"/>
          <w:szCs w:val="18"/>
        </w:rPr>
        <w:t xml:space="preserve">              GB 51249</w:t>
      </w:r>
    </w:p>
    <w:p w14:paraId="507BE52E">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hint="eastAsia" w:ascii="黑体" w:hAnsi="黑体"/>
          <w:b/>
          <w:bCs/>
          <w:szCs w:val="18"/>
        </w:rPr>
        <w:t xml:space="preserve"> </w:t>
      </w:r>
      <w:r>
        <w:rPr>
          <w:rFonts w:ascii="黑体" w:hAnsi="黑体"/>
          <w:b/>
          <w:bCs/>
          <w:szCs w:val="18"/>
        </w:rPr>
        <w:t>资料送审</w:t>
      </w:r>
    </w:p>
    <w:p w14:paraId="0B9A7BDC">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施工方案及</w:t>
      </w:r>
      <w:r>
        <w:rPr>
          <w:rFonts w:ascii="黑体" w:hAnsi="黑体"/>
          <w:szCs w:val="18"/>
        </w:rPr>
        <w:t>质量管理计划</w:t>
      </w:r>
      <w:r>
        <w:rPr>
          <w:rFonts w:hint="eastAsia" w:ascii="黑体" w:hAnsi="黑体"/>
          <w:szCs w:val="18"/>
        </w:rPr>
        <w:t>：施工单位在防火涂料进场前提供。</w:t>
      </w:r>
    </w:p>
    <w:p w14:paraId="4E5BCDFE">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ascii="黑体" w:hAnsi="黑体"/>
          <w:szCs w:val="18"/>
        </w:rPr>
        <w:t xml:space="preserve">送审资料 </w:t>
      </w:r>
    </w:p>
    <w:p w14:paraId="5CDDBD96">
      <w:pPr>
        <w:pStyle w:val="49"/>
        <w:widowControl/>
        <w:numPr>
          <w:ilvl w:val="3"/>
          <w:numId w:val="185"/>
        </w:numPr>
        <w:adjustRightInd w:val="0"/>
        <w:snapToGrid w:val="0"/>
        <w:spacing w:line="360" w:lineRule="auto"/>
        <w:ind w:left="0" w:firstLine="0" w:firstLineChars="0"/>
        <w:jc w:val="left"/>
        <w:rPr>
          <w:rFonts w:ascii="黑体" w:hAnsi="黑体"/>
          <w:szCs w:val="18"/>
        </w:rPr>
      </w:pPr>
      <w:r>
        <w:rPr>
          <w:rFonts w:ascii="黑体" w:hAnsi="黑体"/>
          <w:szCs w:val="18"/>
        </w:rPr>
        <w:t>投标文件中应提供以下资料及实物：</w:t>
      </w:r>
      <w:r>
        <w:rPr>
          <w:rFonts w:hint="eastAsia" w:ascii="黑体" w:hAnsi="黑体"/>
          <w:szCs w:val="18"/>
        </w:rPr>
        <w:t>厂家</w:t>
      </w:r>
      <w:r>
        <w:rPr>
          <w:rFonts w:ascii="黑体" w:hAnsi="黑体"/>
          <w:szCs w:val="18"/>
        </w:rPr>
        <w:t>对于每个</w:t>
      </w:r>
      <w:r>
        <w:rPr>
          <w:rFonts w:hint="eastAsia" w:ascii="黑体" w:hAnsi="黑体"/>
          <w:szCs w:val="18"/>
        </w:rPr>
        <w:t>产品的型式检测报告、自愿性认证证书</w:t>
      </w:r>
      <w:r>
        <w:rPr>
          <w:rFonts w:ascii="黑体" w:hAnsi="黑体"/>
          <w:szCs w:val="18"/>
        </w:rPr>
        <w:t>、</w:t>
      </w:r>
      <w:r>
        <w:rPr>
          <w:rFonts w:hint="eastAsia" w:ascii="黑体" w:hAnsi="黑体"/>
          <w:szCs w:val="18"/>
        </w:rPr>
        <w:t>产品</w:t>
      </w:r>
      <w:r>
        <w:rPr>
          <w:rFonts w:ascii="黑体" w:hAnsi="黑体"/>
          <w:szCs w:val="18"/>
        </w:rPr>
        <w:t>技术规格书和</w:t>
      </w:r>
      <w:r>
        <w:rPr>
          <w:rFonts w:hint="eastAsia" w:ascii="黑体" w:hAnsi="黑体"/>
          <w:szCs w:val="18"/>
        </w:rPr>
        <w:t>施工</w:t>
      </w:r>
      <w:r>
        <w:rPr>
          <w:rFonts w:ascii="黑体" w:hAnsi="黑体"/>
          <w:szCs w:val="18"/>
        </w:rPr>
        <w:t xml:space="preserve">指南等，包括响应合同条款的证书和数据。 </w:t>
      </w:r>
    </w:p>
    <w:p w14:paraId="5BEB3F6F">
      <w:pPr>
        <w:pStyle w:val="49"/>
        <w:widowControl/>
        <w:numPr>
          <w:ilvl w:val="3"/>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建筑防火涂料产品进入施工现场后，可根据使用的量及场所情况在监理单位或建设单位监督下，由施工单位有关人员现场取样，送至依照产品质量法的规定确定的检验进行见证取样检验。</w:t>
      </w:r>
    </w:p>
    <w:p w14:paraId="6F5F7F68">
      <w:pPr>
        <w:pStyle w:val="49"/>
        <w:widowControl/>
        <w:numPr>
          <w:ilvl w:val="3"/>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各种建筑防火涂料的施工应严格按照涂料生产厂家的施工工艺进行。生产厂家在施工前提供必要的工艺培训。</w:t>
      </w:r>
    </w:p>
    <w:p w14:paraId="535383D4">
      <w:pPr>
        <w:pStyle w:val="49"/>
        <w:widowControl/>
        <w:numPr>
          <w:ilvl w:val="3"/>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防火涂料进场前</w:t>
      </w:r>
      <w:r>
        <w:rPr>
          <w:rFonts w:ascii="黑体" w:hAnsi="黑体"/>
          <w:szCs w:val="18"/>
        </w:rPr>
        <w:t xml:space="preserve">应提供以下资料： </w:t>
      </w:r>
    </w:p>
    <w:p w14:paraId="2AD34DA6">
      <w:pPr>
        <w:pStyle w:val="49"/>
        <w:widowControl/>
        <w:numPr>
          <w:ilvl w:val="4"/>
          <w:numId w:val="185"/>
        </w:numPr>
        <w:adjustRightInd w:val="0"/>
        <w:snapToGrid w:val="0"/>
        <w:spacing w:line="360" w:lineRule="auto"/>
        <w:ind w:left="0" w:firstLine="0" w:firstLineChars="0"/>
        <w:jc w:val="left"/>
        <w:rPr>
          <w:rFonts w:ascii="黑体" w:hAnsi="黑体"/>
          <w:szCs w:val="18"/>
        </w:rPr>
      </w:pPr>
      <w:r>
        <w:rPr>
          <w:rFonts w:ascii="黑体" w:hAnsi="黑体"/>
          <w:szCs w:val="18"/>
        </w:rPr>
        <w:t xml:space="preserve">测试报告，证明本项目所用产品的样品经过全面测试后，满足膨胀型钢结构防火涂料的要求。测试应由国家认可的有关部门进行。 </w:t>
      </w:r>
    </w:p>
    <w:p w14:paraId="4BAD714D">
      <w:pPr>
        <w:pStyle w:val="49"/>
        <w:widowControl/>
        <w:numPr>
          <w:ilvl w:val="4"/>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施工指南</w:t>
      </w:r>
      <w:r>
        <w:rPr>
          <w:rFonts w:ascii="黑体" w:hAnsi="黑体"/>
          <w:szCs w:val="18"/>
        </w:rPr>
        <w:t>——应提供施工方法的所有相关信息，包括</w:t>
      </w:r>
      <w:r>
        <w:rPr>
          <w:rFonts w:hint="eastAsia" w:ascii="黑体" w:hAnsi="黑体"/>
          <w:szCs w:val="18"/>
        </w:rPr>
        <w:t>施工方式</w:t>
      </w:r>
      <w:r>
        <w:rPr>
          <w:rFonts w:ascii="黑体" w:hAnsi="黑体"/>
          <w:szCs w:val="18"/>
        </w:rPr>
        <w:t>、施工用机具及器材</w:t>
      </w:r>
      <w:r>
        <w:rPr>
          <w:rFonts w:hint="eastAsia" w:ascii="黑体" w:hAnsi="黑体"/>
          <w:szCs w:val="18"/>
        </w:rPr>
        <w:t>、</w:t>
      </w:r>
      <w:r>
        <w:rPr>
          <w:rFonts w:ascii="黑体" w:hAnsi="黑体"/>
          <w:szCs w:val="18"/>
        </w:rPr>
        <w:t>与其他工程和材料</w:t>
      </w:r>
      <w:r>
        <w:rPr>
          <w:rFonts w:hint="eastAsia" w:ascii="黑体" w:hAnsi="黑体"/>
          <w:szCs w:val="18"/>
        </w:rPr>
        <w:t>交叉施工的</w:t>
      </w:r>
      <w:r>
        <w:rPr>
          <w:rFonts w:ascii="黑体" w:hAnsi="黑体"/>
          <w:szCs w:val="18"/>
        </w:rPr>
        <w:t xml:space="preserve">所有特殊条件。 </w:t>
      </w:r>
    </w:p>
    <w:p w14:paraId="239E4049">
      <w:pPr>
        <w:pStyle w:val="49"/>
        <w:widowControl/>
        <w:numPr>
          <w:ilvl w:val="4"/>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建筑防火涂料的施工必须按照防火设计要求进行。提供</w:t>
      </w:r>
      <w:r>
        <w:rPr>
          <w:rFonts w:ascii="黑体" w:hAnsi="黑体"/>
          <w:szCs w:val="18"/>
        </w:rPr>
        <w:t>产品</w:t>
      </w:r>
      <w:r>
        <w:rPr>
          <w:rFonts w:hint="eastAsia" w:ascii="黑体" w:hAnsi="黑体"/>
          <w:szCs w:val="18"/>
        </w:rPr>
        <w:t>应用厚度及用量等</w:t>
      </w:r>
      <w:r>
        <w:rPr>
          <w:rFonts w:ascii="黑体" w:hAnsi="黑体"/>
          <w:szCs w:val="18"/>
        </w:rPr>
        <w:t xml:space="preserve">数据。 </w:t>
      </w:r>
    </w:p>
    <w:p w14:paraId="0D084CE5">
      <w:pPr>
        <w:pStyle w:val="49"/>
        <w:widowControl/>
        <w:numPr>
          <w:ilvl w:val="4"/>
          <w:numId w:val="185"/>
        </w:numPr>
        <w:adjustRightInd w:val="0"/>
        <w:snapToGrid w:val="0"/>
        <w:spacing w:line="360" w:lineRule="auto"/>
        <w:ind w:left="0" w:firstLine="0" w:firstLineChars="0"/>
        <w:jc w:val="left"/>
        <w:rPr>
          <w:rFonts w:ascii="黑体" w:hAnsi="黑体"/>
          <w:szCs w:val="18"/>
        </w:rPr>
      </w:pPr>
      <w:r>
        <w:rPr>
          <w:rFonts w:ascii="黑体" w:hAnsi="黑体"/>
          <w:szCs w:val="18"/>
        </w:rPr>
        <w:t>质量保证：提供书面保证，统一修理或替换不满足耐</w:t>
      </w:r>
      <w:r>
        <w:rPr>
          <w:rFonts w:hint="eastAsia" w:ascii="黑体" w:hAnsi="黑体"/>
          <w:szCs w:val="18"/>
        </w:rPr>
        <w:t>久</w:t>
      </w:r>
      <w:r>
        <w:rPr>
          <w:rFonts w:ascii="黑体" w:hAnsi="黑体"/>
          <w:szCs w:val="18"/>
        </w:rPr>
        <w:t xml:space="preserve">性要求或有其他性能缺陷的产品。 </w:t>
      </w:r>
    </w:p>
    <w:p w14:paraId="6FDEA6B9">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小</w:t>
      </w:r>
      <w:r>
        <w:rPr>
          <w:rFonts w:ascii="黑体" w:hAnsi="黑体"/>
          <w:szCs w:val="18"/>
        </w:rPr>
        <w:t>样品 :各类膨胀型钢结构防火涂料及其它配件，</w:t>
      </w:r>
      <w:r>
        <w:rPr>
          <w:rFonts w:hint="eastAsia" w:ascii="黑体" w:hAnsi="黑体"/>
          <w:szCs w:val="18"/>
        </w:rPr>
        <w:t>项目所需的不同规格的</w:t>
      </w:r>
      <w:r>
        <w:rPr>
          <w:rFonts w:ascii="黑体" w:hAnsi="黑体"/>
          <w:szCs w:val="18"/>
        </w:rPr>
        <w:t>实际产品</w:t>
      </w:r>
      <w:r>
        <w:rPr>
          <w:rFonts w:hint="eastAsia" w:ascii="黑体" w:hAnsi="黑体"/>
          <w:szCs w:val="18"/>
        </w:rPr>
        <w:t>样板</w:t>
      </w:r>
      <w:r>
        <w:rPr>
          <w:rFonts w:ascii="黑体" w:hAnsi="黑体"/>
          <w:szCs w:val="18"/>
        </w:rPr>
        <w:t>各1 份，且能显示其</w:t>
      </w:r>
      <w:r>
        <w:rPr>
          <w:rFonts w:hint="eastAsia" w:ascii="黑体" w:hAnsi="黑体"/>
          <w:szCs w:val="18"/>
        </w:rPr>
        <w:t>涂层体系，外观</w:t>
      </w:r>
      <w:r>
        <w:rPr>
          <w:rFonts w:ascii="黑体" w:hAnsi="黑体"/>
          <w:szCs w:val="18"/>
        </w:rPr>
        <w:t xml:space="preserve">及颜色。 </w:t>
      </w:r>
    </w:p>
    <w:p w14:paraId="0585D949">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工艺样板：</w:t>
      </w:r>
      <w:r>
        <w:rPr>
          <w:rFonts w:ascii="黑体" w:hAnsi="黑体"/>
          <w:szCs w:val="18"/>
        </w:rPr>
        <w:t>膨胀型钢结构防火涂料产品</w:t>
      </w:r>
      <w:r>
        <w:rPr>
          <w:rFonts w:hint="eastAsia" w:ascii="黑体" w:hAnsi="黑体"/>
          <w:szCs w:val="18"/>
        </w:rPr>
        <w:t>，</w:t>
      </w:r>
      <w:r>
        <w:rPr>
          <w:rFonts w:ascii="黑体" w:hAnsi="黑体"/>
          <w:szCs w:val="18"/>
        </w:rPr>
        <w:t>除另有规定外</w:t>
      </w:r>
      <w:r>
        <w:rPr>
          <w:rFonts w:hint="eastAsia" w:ascii="黑体" w:hAnsi="黑体"/>
          <w:szCs w:val="18"/>
        </w:rPr>
        <w:t>，</w:t>
      </w:r>
      <w:r>
        <w:rPr>
          <w:rFonts w:ascii="黑体" w:hAnsi="黑体"/>
          <w:szCs w:val="18"/>
        </w:rPr>
        <w:t>需要求承包商</w:t>
      </w:r>
      <w:r>
        <w:rPr>
          <w:rFonts w:hint="eastAsia" w:ascii="黑体" w:hAnsi="黑体"/>
          <w:szCs w:val="18"/>
        </w:rPr>
        <w:t>现场</w:t>
      </w:r>
      <w:r>
        <w:rPr>
          <w:rFonts w:ascii="黑体" w:hAnsi="黑体"/>
          <w:szCs w:val="18"/>
        </w:rPr>
        <w:t>制作</w:t>
      </w:r>
      <w:r>
        <w:rPr>
          <w:rFonts w:hint="eastAsia" w:ascii="黑体" w:hAnsi="黑体"/>
          <w:szCs w:val="18"/>
        </w:rPr>
        <w:t>工艺样板</w:t>
      </w:r>
      <w:r>
        <w:rPr>
          <w:rFonts w:ascii="黑体" w:hAnsi="黑体"/>
          <w:szCs w:val="18"/>
        </w:rPr>
        <w:t>，经</w:t>
      </w:r>
      <w:r>
        <w:rPr>
          <w:rFonts w:hint="eastAsia" w:ascii="黑体" w:hAnsi="黑体"/>
          <w:szCs w:val="18"/>
        </w:rPr>
        <w:t>业主组织审</w:t>
      </w:r>
      <w:r>
        <w:rPr>
          <w:rFonts w:ascii="黑体" w:hAnsi="黑体"/>
          <w:szCs w:val="18"/>
        </w:rPr>
        <w:t>核可后方</w:t>
      </w:r>
      <w:r>
        <w:rPr>
          <w:rFonts w:hint="eastAsia" w:ascii="黑体" w:hAnsi="黑体"/>
          <w:szCs w:val="18"/>
        </w:rPr>
        <w:t>可大量施工</w:t>
      </w:r>
      <w:r>
        <w:rPr>
          <w:rFonts w:ascii="黑体" w:hAnsi="黑体"/>
          <w:szCs w:val="18"/>
        </w:rPr>
        <w:t xml:space="preserve">。  </w:t>
      </w:r>
    </w:p>
    <w:p w14:paraId="67CAE32C">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hint="eastAsia" w:ascii="黑体" w:hAnsi="黑体"/>
          <w:b/>
          <w:bCs/>
          <w:szCs w:val="18"/>
        </w:rPr>
        <w:t xml:space="preserve"> </w:t>
      </w:r>
      <w:r>
        <w:rPr>
          <w:rFonts w:ascii="黑体" w:hAnsi="黑体"/>
          <w:b/>
          <w:bCs/>
          <w:szCs w:val="18"/>
        </w:rPr>
        <w:t xml:space="preserve">运送、储存及处理 </w:t>
      </w:r>
    </w:p>
    <w:p w14:paraId="50C233CD">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涂料进场检验合格后，应存放在受监理监管的专用场地或者仓库。取用需登记手续。</w:t>
      </w:r>
    </w:p>
    <w:p w14:paraId="74AEFC09">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ascii="黑体" w:hAnsi="黑体"/>
          <w:szCs w:val="18"/>
        </w:rPr>
        <w:t>运送至现场的产品应完好无缺，搬运时应防雨</w:t>
      </w:r>
      <w:r>
        <w:rPr>
          <w:rFonts w:hint="eastAsia" w:ascii="黑体" w:hAnsi="黑体"/>
          <w:szCs w:val="18"/>
        </w:rPr>
        <w:t>淋湿</w:t>
      </w:r>
      <w:r>
        <w:rPr>
          <w:rFonts w:ascii="黑体" w:hAnsi="黑体"/>
          <w:szCs w:val="18"/>
        </w:rPr>
        <w:t>及碰撞、刮伤等机械损伤。</w:t>
      </w:r>
    </w:p>
    <w:p w14:paraId="4BAE15A4">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ascii="黑体" w:hAnsi="黑体"/>
          <w:szCs w:val="18"/>
        </w:rPr>
        <w:t>产品储存时应保持干燥，并与地面、土壤隔离。</w:t>
      </w:r>
    </w:p>
    <w:p w14:paraId="5FB9D321">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ascii="黑体" w:hAnsi="黑体"/>
          <w:szCs w:val="18"/>
        </w:rPr>
        <w:t>储存时应避免外来的损坏或干扰。已损坏的物品应贴上明显标志，并搬出作业场地。</w:t>
      </w:r>
    </w:p>
    <w:p w14:paraId="3A6F4B88">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hint="eastAsia" w:ascii="黑体" w:hAnsi="黑体"/>
          <w:b/>
          <w:bCs/>
          <w:szCs w:val="18"/>
        </w:rPr>
        <w:t xml:space="preserve"> </w:t>
      </w:r>
      <w:r>
        <w:rPr>
          <w:rFonts w:ascii="黑体" w:hAnsi="黑体"/>
          <w:b/>
          <w:bCs/>
          <w:szCs w:val="18"/>
        </w:rPr>
        <w:t xml:space="preserve">工厂检查 </w:t>
      </w:r>
    </w:p>
    <w:p w14:paraId="76D8BEB5">
      <w:pPr>
        <w:pStyle w:val="49"/>
        <w:adjustRightInd w:val="0"/>
        <w:snapToGrid w:val="0"/>
        <w:spacing w:line="360" w:lineRule="auto"/>
        <w:ind w:firstLine="360"/>
        <w:jc w:val="left"/>
        <w:rPr>
          <w:rFonts w:ascii="黑体" w:hAnsi="黑体"/>
          <w:szCs w:val="18"/>
        </w:rPr>
      </w:pPr>
      <w:r>
        <w:rPr>
          <w:rFonts w:ascii="黑体" w:hAnsi="黑体"/>
          <w:szCs w:val="18"/>
        </w:rPr>
        <w:t>在</w:t>
      </w:r>
      <w:r>
        <w:rPr>
          <w:rFonts w:hint="eastAsia" w:ascii="黑体" w:hAnsi="黑体"/>
          <w:szCs w:val="18"/>
        </w:rPr>
        <w:t>涂料施工阶段业主及</w:t>
      </w:r>
      <w:r>
        <w:rPr>
          <w:rFonts w:ascii="黑体" w:hAnsi="黑体"/>
          <w:szCs w:val="18"/>
        </w:rPr>
        <w:t>总包方有权随时可以参观</w:t>
      </w:r>
      <w:r>
        <w:rPr>
          <w:rFonts w:hint="eastAsia" w:ascii="黑体" w:hAnsi="黑体"/>
          <w:szCs w:val="18"/>
        </w:rPr>
        <w:t>供应商</w:t>
      </w:r>
      <w:r>
        <w:rPr>
          <w:rFonts w:ascii="黑体" w:hAnsi="黑体"/>
          <w:szCs w:val="18"/>
        </w:rPr>
        <w:t>的工厂、检查</w:t>
      </w:r>
      <w:r>
        <w:rPr>
          <w:rFonts w:hint="eastAsia" w:ascii="黑体" w:hAnsi="黑体"/>
          <w:szCs w:val="18"/>
        </w:rPr>
        <w:t>生产、存储</w:t>
      </w:r>
      <w:r>
        <w:rPr>
          <w:rFonts w:ascii="黑体" w:hAnsi="黑体"/>
          <w:szCs w:val="18"/>
        </w:rPr>
        <w:t xml:space="preserve">、包装等环节。 </w:t>
      </w:r>
    </w:p>
    <w:p w14:paraId="3C5D5280">
      <w:pPr>
        <w:adjustRightInd w:val="0"/>
        <w:snapToGrid w:val="0"/>
        <w:spacing w:line="360" w:lineRule="auto"/>
        <w:jc w:val="left"/>
        <w:rPr>
          <w:rFonts w:ascii="黑体" w:hAnsi="黑体"/>
          <w:szCs w:val="18"/>
        </w:rPr>
      </w:pPr>
    </w:p>
    <w:p w14:paraId="3FAB3FCF">
      <w:pPr>
        <w:pStyle w:val="2"/>
        <w:keepNext w:val="0"/>
        <w:numPr>
          <w:ilvl w:val="0"/>
          <w:numId w:val="185"/>
        </w:numPr>
        <w:adjustRightInd w:val="0"/>
        <w:snapToGrid w:val="0"/>
        <w:spacing w:before="0" w:after="0" w:line="360" w:lineRule="auto"/>
        <w:ind w:left="365" w:hanging="365"/>
        <w:jc w:val="left"/>
        <w:rPr>
          <w:bCs/>
          <w:szCs w:val="18"/>
        </w:rPr>
      </w:pPr>
      <w:bookmarkStart w:id="194" w:name="_Toc174556839"/>
      <w:r>
        <w:rPr>
          <w:rFonts w:hint="eastAsia"/>
          <w:bCs/>
          <w:szCs w:val="18"/>
        </w:rPr>
        <w:t>防火涂料</w:t>
      </w:r>
      <w:r>
        <w:rPr>
          <w:bCs/>
          <w:szCs w:val="18"/>
        </w:rPr>
        <w:t>产品</w:t>
      </w:r>
      <w:bookmarkEnd w:id="194"/>
    </w:p>
    <w:p w14:paraId="549F8B86">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ascii="黑体" w:hAnsi="黑体"/>
          <w:b/>
          <w:bCs/>
          <w:szCs w:val="18"/>
        </w:rPr>
        <w:t>功能</w:t>
      </w:r>
    </w:p>
    <w:p w14:paraId="4AF557F1">
      <w:pPr>
        <w:autoSpaceDE w:val="0"/>
        <w:autoSpaceDN w:val="0"/>
        <w:adjustRightInd w:val="0"/>
        <w:snapToGrid w:val="0"/>
        <w:spacing w:line="360" w:lineRule="auto"/>
        <w:ind w:firstLine="360" w:firstLineChars="200"/>
        <w:jc w:val="left"/>
        <w:rPr>
          <w:rFonts w:ascii="黑体" w:hAnsi="黑体" w:cs="CIDFont+F4"/>
          <w:kern w:val="0"/>
          <w:szCs w:val="18"/>
        </w:rPr>
      </w:pPr>
      <w:r>
        <w:rPr>
          <w:rFonts w:hint="eastAsia" w:ascii="黑体" w:hAnsi="黑体"/>
          <w:szCs w:val="18"/>
        </w:rPr>
        <w:t>防火涂料</w:t>
      </w:r>
      <w:r>
        <w:rPr>
          <w:rFonts w:hint="eastAsia" w:ascii="黑体" w:hAnsi="黑体" w:cs="CIDFont+F3"/>
          <w:kern w:val="0"/>
          <w:szCs w:val="18"/>
        </w:rPr>
        <w:t>是施涂于建筑物或构筑物的钢结构表面，能形成耐火隔热保护层以提高钢结构耐火极限的涂料。</w:t>
      </w:r>
    </w:p>
    <w:p w14:paraId="5089E211">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cs="CIDFont+F3"/>
          <w:kern w:val="0"/>
          <w:szCs w:val="18"/>
        </w:rPr>
        <w:t>膨胀型钢结构防火涂料</w:t>
      </w:r>
      <w:r>
        <w:rPr>
          <w:rFonts w:hint="eastAsia" w:ascii="黑体" w:hAnsi="黑体" w:cs="CIDFont+F4"/>
          <w:kern w:val="0"/>
          <w:szCs w:val="18"/>
        </w:rPr>
        <w:t>：</w:t>
      </w:r>
      <w:r>
        <w:rPr>
          <w:rFonts w:hint="eastAsia" w:ascii="黑体" w:hAnsi="黑体" w:cs="CIDFont+F3"/>
          <w:kern w:val="0"/>
          <w:szCs w:val="18"/>
        </w:rPr>
        <w:t>施涂于建筑物或构筑物的钢结构表面，涂层在高温时膨胀发泡，形成耐火隔热保护层的防火涂料。</w:t>
      </w:r>
    </w:p>
    <w:p w14:paraId="65048001">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cs="CIDFont+F3"/>
          <w:kern w:val="0"/>
          <w:szCs w:val="18"/>
        </w:rPr>
        <w:t>非膨胀型钢结构防火涂料：施涂于建筑物或构筑物的钢结构表面，涂层在高温时不膨胀发泡，其自身成为耐火隔热保护层的防火涂料。</w:t>
      </w:r>
    </w:p>
    <w:p w14:paraId="654C39FC">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ascii="黑体" w:hAnsi="黑体"/>
          <w:szCs w:val="18"/>
        </w:rPr>
        <w:t>相容性</w:t>
      </w:r>
      <w:r>
        <w:rPr>
          <w:rFonts w:hint="eastAsia" w:ascii="黑体" w:hAnsi="黑体"/>
          <w:szCs w:val="18"/>
        </w:rPr>
        <w:t>：不同涂料之间结合不产生负面的物理、化学变化的性能</w:t>
      </w:r>
    </w:p>
    <w:p w14:paraId="0EB6EB32">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耐久性：涂层长期抵抗所处环境的破坏作用而保持其特性的能力。</w:t>
      </w:r>
    </w:p>
    <w:p w14:paraId="0A1E1701">
      <w:pPr>
        <w:pStyle w:val="49"/>
        <w:adjustRightInd w:val="0"/>
        <w:snapToGrid w:val="0"/>
        <w:spacing w:line="360" w:lineRule="auto"/>
        <w:ind w:firstLine="0" w:firstLineChars="0"/>
        <w:jc w:val="left"/>
        <w:rPr>
          <w:rFonts w:ascii="黑体" w:hAnsi="黑体"/>
          <w:szCs w:val="18"/>
        </w:rPr>
      </w:pPr>
    </w:p>
    <w:p w14:paraId="4CA73669">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ascii="黑体" w:hAnsi="黑体"/>
          <w:b/>
          <w:bCs/>
          <w:szCs w:val="18"/>
        </w:rPr>
        <w:t>材料</w:t>
      </w:r>
    </w:p>
    <w:p w14:paraId="556661F4">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钢结构防火涂料的分类应符合表</w:t>
      </w:r>
      <w:r>
        <w:rPr>
          <w:rFonts w:ascii="黑体" w:hAnsi="黑体" w:eastAsia="黑体"/>
          <w:bCs w:val="0"/>
          <w:sz w:val="18"/>
          <w:szCs w:val="18"/>
        </w:rPr>
        <w:t>1的规定。</w:t>
      </w:r>
    </w:p>
    <w:p w14:paraId="134BC8AC">
      <w:pPr>
        <w:adjustRightInd w:val="0"/>
        <w:snapToGrid w:val="0"/>
        <w:spacing w:line="360" w:lineRule="auto"/>
        <w:jc w:val="left"/>
        <w:rPr>
          <w:rFonts w:ascii="黑体" w:hAnsi="黑体"/>
          <w:szCs w:val="18"/>
        </w:rPr>
      </w:pPr>
      <w:r>
        <w:rPr>
          <w:rFonts w:hint="eastAsia" w:ascii="黑体" w:hAnsi="黑体"/>
          <w:szCs w:val="18"/>
        </w:rPr>
        <w:t>表</w:t>
      </w:r>
      <w:r>
        <w:rPr>
          <w:rFonts w:ascii="黑体" w:hAnsi="黑体"/>
          <w:szCs w:val="18"/>
        </w:rPr>
        <w:t xml:space="preserve">1  </w:t>
      </w:r>
      <w:r>
        <w:rPr>
          <w:rFonts w:hint="eastAsia" w:ascii="黑体" w:hAnsi="黑体"/>
          <w:szCs w:val="18"/>
        </w:rPr>
        <w:t>钢结构防火涂料的分类</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2660"/>
        <w:gridCol w:w="4090"/>
      </w:tblGrid>
      <w:tr w14:paraId="79B7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tcBorders>
              <w:top w:val="single" w:color="auto" w:sz="4" w:space="0"/>
              <w:left w:val="single" w:color="auto" w:sz="4" w:space="0"/>
              <w:bottom w:val="single" w:color="auto" w:sz="4" w:space="0"/>
              <w:right w:val="single" w:color="auto" w:sz="4" w:space="0"/>
            </w:tcBorders>
            <w:shd w:val="clear" w:color="auto" w:fill="auto"/>
            <w:vAlign w:val="center"/>
          </w:tcPr>
          <w:p w14:paraId="182226C2">
            <w:pPr>
              <w:adjustRightInd w:val="0"/>
              <w:snapToGrid w:val="0"/>
              <w:spacing w:line="360" w:lineRule="auto"/>
              <w:jc w:val="left"/>
              <w:rPr>
                <w:rFonts w:ascii="黑体" w:hAnsi="黑体"/>
                <w:szCs w:val="18"/>
              </w:rPr>
            </w:pPr>
            <w:r>
              <w:rPr>
                <w:rFonts w:hint="eastAsia" w:ascii="黑体" w:hAnsi="黑体"/>
                <w:szCs w:val="18"/>
              </w:rPr>
              <w:t>划分方式</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7C7296BE">
            <w:pPr>
              <w:adjustRightInd w:val="0"/>
              <w:snapToGrid w:val="0"/>
              <w:spacing w:line="360" w:lineRule="auto"/>
              <w:jc w:val="left"/>
              <w:rPr>
                <w:rFonts w:ascii="黑体" w:hAnsi="黑体"/>
                <w:szCs w:val="18"/>
              </w:rPr>
            </w:pPr>
            <w:r>
              <w:rPr>
                <w:rFonts w:hint="eastAsia" w:ascii="黑体" w:hAnsi="黑体"/>
                <w:szCs w:val="18"/>
              </w:rPr>
              <w:t>类别</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30FD601E">
            <w:pPr>
              <w:adjustRightInd w:val="0"/>
              <w:snapToGrid w:val="0"/>
              <w:spacing w:line="360" w:lineRule="auto"/>
              <w:jc w:val="left"/>
              <w:rPr>
                <w:rFonts w:ascii="黑体" w:hAnsi="黑体"/>
                <w:szCs w:val="18"/>
              </w:rPr>
            </w:pPr>
            <w:r>
              <w:rPr>
                <w:rFonts w:hint="eastAsia" w:ascii="黑体" w:hAnsi="黑体"/>
                <w:szCs w:val="18"/>
              </w:rPr>
              <w:t>使用特性</w:t>
            </w:r>
          </w:p>
        </w:tc>
      </w:tr>
      <w:tr w14:paraId="6937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C43777">
            <w:pPr>
              <w:adjustRightInd w:val="0"/>
              <w:snapToGrid w:val="0"/>
              <w:spacing w:line="360" w:lineRule="auto"/>
              <w:jc w:val="left"/>
              <w:rPr>
                <w:rFonts w:ascii="黑体" w:hAnsi="黑体"/>
                <w:szCs w:val="18"/>
              </w:rPr>
            </w:pPr>
            <w:r>
              <w:rPr>
                <w:rFonts w:hint="eastAsia" w:ascii="黑体" w:hAnsi="黑体"/>
                <w:szCs w:val="18"/>
              </w:rPr>
              <w:t>火灾防护对象</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19D70915">
            <w:pPr>
              <w:adjustRightInd w:val="0"/>
              <w:snapToGrid w:val="0"/>
              <w:spacing w:line="360" w:lineRule="auto"/>
              <w:jc w:val="left"/>
              <w:rPr>
                <w:rFonts w:ascii="黑体" w:hAnsi="黑体"/>
                <w:szCs w:val="18"/>
              </w:rPr>
            </w:pPr>
            <w:r>
              <w:rPr>
                <w:rFonts w:hint="eastAsia" w:ascii="黑体" w:hAnsi="黑体"/>
                <w:szCs w:val="18"/>
              </w:rPr>
              <w:t>普通钢结构防火涂料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27F8E0D7">
            <w:pPr>
              <w:adjustRightInd w:val="0"/>
              <w:snapToGrid w:val="0"/>
              <w:spacing w:line="360" w:lineRule="auto"/>
              <w:jc w:val="left"/>
              <w:rPr>
                <w:rFonts w:ascii="黑体" w:hAnsi="黑体"/>
                <w:szCs w:val="18"/>
              </w:rPr>
            </w:pPr>
            <w:r>
              <w:rPr>
                <w:rFonts w:hint="eastAsia" w:ascii="黑体" w:hAnsi="黑体"/>
                <w:szCs w:val="18"/>
              </w:rPr>
              <w:t>用于普通工业与民用建（构）筑物钢结构</w:t>
            </w:r>
          </w:p>
        </w:tc>
      </w:tr>
      <w:tr w14:paraId="187B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799253">
            <w:pPr>
              <w:adjustRightInd w:val="0"/>
              <w:snapToGrid w:val="0"/>
              <w:spacing w:line="360" w:lineRule="auto"/>
              <w:jc w:val="left"/>
              <w:rPr>
                <w:rFonts w:ascii="黑体" w:hAnsi="黑体"/>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0F5C603C">
            <w:pPr>
              <w:adjustRightInd w:val="0"/>
              <w:snapToGrid w:val="0"/>
              <w:spacing w:line="360" w:lineRule="auto"/>
              <w:jc w:val="left"/>
              <w:rPr>
                <w:rFonts w:ascii="黑体" w:hAnsi="黑体"/>
                <w:szCs w:val="18"/>
              </w:rPr>
            </w:pPr>
            <w:r>
              <w:rPr>
                <w:rFonts w:hint="eastAsia" w:ascii="黑体" w:hAnsi="黑体"/>
                <w:szCs w:val="18"/>
              </w:rPr>
              <w:t>特种钢结构防火涂料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14FCE2E0">
            <w:pPr>
              <w:adjustRightInd w:val="0"/>
              <w:snapToGrid w:val="0"/>
              <w:spacing w:line="360" w:lineRule="auto"/>
              <w:jc w:val="left"/>
              <w:rPr>
                <w:rFonts w:ascii="黑体" w:hAnsi="黑体"/>
                <w:szCs w:val="18"/>
              </w:rPr>
            </w:pPr>
            <w:r>
              <w:rPr>
                <w:rFonts w:hint="eastAsia" w:ascii="黑体" w:hAnsi="黑体"/>
                <w:szCs w:val="18"/>
              </w:rPr>
              <w:t>用于特殊建（构）筑物（如石油化工设施、变配电站等）钢结构</w:t>
            </w:r>
          </w:p>
        </w:tc>
      </w:tr>
      <w:tr w14:paraId="3EBB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5EF3F1">
            <w:pPr>
              <w:adjustRightInd w:val="0"/>
              <w:snapToGrid w:val="0"/>
              <w:spacing w:line="360" w:lineRule="auto"/>
              <w:jc w:val="left"/>
              <w:rPr>
                <w:rFonts w:ascii="黑体" w:hAnsi="黑体"/>
                <w:szCs w:val="18"/>
              </w:rPr>
            </w:pPr>
            <w:r>
              <w:rPr>
                <w:rFonts w:hint="eastAsia" w:ascii="黑体" w:hAnsi="黑体"/>
                <w:szCs w:val="18"/>
              </w:rPr>
              <w:t>使用场所</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03CCCA75">
            <w:pPr>
              <w:adjustRightInd w:val="0"/>
              <w:snapToGrid w:val="0"/>
              <w:spacing w:line="360" w:lineRule="auto"/>
              <w:jc w:val="left"/>
              <w:rPr>
                <w:rFonts w:ascii="黑体" w:hAnsi="黑体"/>
                <w:szCs w:val="18"/>
              </w:rPr>
            </w:pPr>
            <w:r>
              <w:rPr>
                <w:rFonts w:hint="eastAsia" w:ascii="黑体" w:hAnsi="黑体"/>
                <w:szCs w:val="18"/>
              </w:rPr>
              <w:t>室内钢结构防火涂料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60F0E892">
            <w:pPr>
              <w:adjustRightInd w:val="0"/>
              <w:snapToGrid w:val="0"/>
              <w:spacing w:line="360" w:lineRule="auto"/>
              <w:jc w:val="left"/>
              <w:rPr>
                <w:rFonts w:ascii="黑体" w:hAnsi="黑体"/>
                <w:szCs w:val="18"/>
              </w:rPr>
            </w:pPr>
            <w:r>
              <w:rPr>
                <w:rFonts w:hint="eastAsia" w:ascii="黑体" w:hAnsi="黑体"/>
                <w:szCs w:val="18"/>
              </w:rPr>
              <w:t>用于建筑物室内或隐蔽工程的钢结构</w:t>
            </w:r>
          </w:p>
        </w:tc>
      </w:tr>
      <w:tr w14:paraId="3EB5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47BC9F">
            <w:pPr>
              <w:adjustRightInd w:val="0"/>
              <w:snapToGrid w:val="0"/>
              <w:spacing w:line="360" w:lineRule="auto"/>
              <w:jc w:val="left"/>
              <w:rPr>
                <w:rFonts w:ascii="黑体" w:hAnsi="黑体"/>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63E9809A">
            <w:pPr>
              <w:adjustRightInd w:val="0"/>
              <w:snapToGrid w:val="0"/>
              <w:spacing w:line="360" w:lineRule="auto"/>
              <w:jc w:val="left"/>
              <w:rPr>
                <w:rFonts w:ascii="黑体" w:hAnsi="黑体"/>
                <w:szCs w:val="18"/>
              </w:rPr>
            </w:pPr>
            <w:r>
              <w:rPr>
                <w:rFonts w:hint="eastAsia" w:ascii="黑体" w:hAnsi="黑体"/>
                <w:szCs w:val="18"/>
              </w:rPr>
              <w:t>室外钢结构防火涂料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6DEC2827">
            <w:pPr>
              <w:adjustRightInd w:val="0"/>
              <w:snapToGrid w:val="0"/>
              <w:spacing w:line="360" w:lineRule="auto"/>
              <w:jc w:val="left"/>
              <w:rPr>
                <w:rFonts w:ascii="黑体" w:hAnsi="黑体"/>
                <w:szCs w:val="18"/>
              </w:rPr>
            </w:pPr>
            <w:r>
              <w:rPr>
                <w:rFonts w:hint="eastAsia" w:ascii="黑体" w:hAnsi="黑体"/>
                <w:szCs w:val="18"/>
              </w:rPr>
              <w:t>用于建筑物室外或露天工程的钢结构</w:t>
            </w:r>
          </w:p>
        </w:tc>
      </w:tr>
      <w:tr w14:paraId="1411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4E8032">
            <w:pPr>
              <w:adjustRightInd w:val="0"/>
              <w:snapToGrid w:val="0"/>
              <w:spacing w:line="360" w:lineRule="auto"/>
              <w:jc w:val="left"/>
              <w:rPr>
                <w:rFonts w:ascii="黑体" w:hAnsi="黑体"/>
                <w:szCs w:val="18"/>
              </w:rPr>
            </w:pPr>
            <w:r>
              <w:rPr>
                <w:rFonts w:hint="eastAsia" w:ascii="黑体" w:hAnsi="黑体"/>
                <w:szCs w:val="18"/>
              </w:rPr>
              <w:t>按分散介质</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17C36463">
            <w:pPr>
              <w:adjustRightInd w:val="0"/>
              <w:snapToGrid w:val="0"/>
              <w:spacing w:line="360" w:lineRule="auto"/>
              <w:jc w:val="left"/>
              <w:rPr>
                <w:rFonts w:ascii="黑体" w:hAnsi="黑体"/>
                <w:szCs w:val="18"/>
              </w:rPr>
            </w:pPr>
            <w:r>
              <w:rPr>
                <w:rFonts w:hint="eastAsia" w:ascii="黑体" w:hAnsi="黑体"/>
                <w:szCs w:val="18"/>
              </w:rPr>
              <w:t>水基性钢结构防火涂料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325C5199">
            <w:pPr>
              <w:adjustRightInd w:val="0"/>
              <w:snapToGrid w:val="0"/>
              <w:spacing w:line="360" w:lineRule="auto"/>
              <w:jc w:val="left"/>
              <w:rPr>
                <w:rFonts w:ascii="黑体" w:hAnsi="黑体"/>
                <w:szCs w:val="18"/>
              </w:rPr>
            </w:pPr>
            <w:r>
              <w:rPr>
                <w:rFonts w:hint="eastAsia" w:ascii="黑体" w:hAnsi="黑体"/>
                <w:szCs w:val="18"/>
              </w:rPr>
              <w:t>以水作为分散介质</w:t>
            </w:r>
          </w:p>
        </w:tc>
      </w:tr>
      <w:tr w14:paraId="2FCA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21B983">
            <w:pPr>
              <w:adjustRightInd w:val="0"/>
              <w:snapToGrid w:val="0"/>
              <w:spacing w:line="360" w:lineRule="auto"/>
              <w:jc w:val="left"/>
              <w:rPr>
                <w:rFonts w:ascii="黑体" w:hAnsi="黑体"/>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29BE9DCA">
            <w:pPr>
              <w:adjustRightInd w:val="0"/>
              <w:snapToGrid w:val="0"/>
              <w:spacing w:line="360" w:lineRule="auto"/>
              <w:jc w:val="left"/>
              <w:rPr>
                <w:rFonts w:ascii="黑体" w:hAnsi="黑体"/>
                <w:szCs w:val="18"/>
              </w:rPr>
            </w:pPr>
            <w:r>
              <w:rPr>
                <w:rFonts w:hint="eastAsia" w:ascii="黑体" w:hAnsi="黑体"/>
                <w:szCs w:val="18"/>
              </w:rPr>
              <w:t>溶剂性钢结构防火涂料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0C2D4FF5">
            <w:pPr>
              <w:adjustRightInd w:val="0"/>
              <w:snapToGrid w:val="0"/>
              <w:spacing w:line="360" w:lineRule="auto"/>
              <w:jc w:val="left"/>
              <w:rPr>
                <w:rFonts w:ascii="黑体" w:hAnsi="黑体"/>
                <w:szCs w:val="18"/>
              </w:rPr>
            </w:pPr>
            <w:r>
              <w:rPr>
                <w:rFonts w:hint="eastAsia" w:ascii="黑体" w:hAnsi="黑体"/>
                <w:szCs w:val="18"/>
              </w:rPr>
              <w:t>以有机溶剂作为分散介质</w:t>
            </w:r>
          </w:p>
        </w:tc>
      </w:tr>
      <w:tr w14:paraId="3ACE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0556D8">
            <w:pPr>
              <w:adjustRightInd w:val="0"/>
              <w:snapToGrid w:val="0"/>
              <w:spacing w:line="360" w:lineRule="auto"/>
              <w:jc w:val="left"/>
              <w:rPr>
                <w:rFonts w:ascii="黑体" w:hAnsi="黑体"/>
                <w:szCs w:val="18"/>
              </w:rPr>
            </w:pPr>
            <w:r>
              <w:rPr>
                <w:rFonts w:hint="eastAsia" w:ascii="黑体" w:hAnsi="黑体"/>
                <w:szCs w:val="18"/>
              </w:rPr>
              <w:t>防火机理</w:t>
            </w: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0DFCF68A">
            <w:pPr>
              <w:adjustRightInd w:val="0"/>
              <w:snapToGrid w:val="0"/>
              <w:spacing w:line="360" w:lineRule="auto"/>
              <w:jc w:val="left"/>
              <w:rPr>
                <w:rFonts w:ascii="黑体" w:hAnsi="黑体"/>
                <w:szCs w:val="18"/>
              </w:rPr>
            </w:pPr>
            <w:r>
              <w:rPr>
                <w:rFonts w:hint="eastAsia" w:ascii="黑体" w:hAnsi="黑体"/>
                <w:szCs w:val="18"/>
              </w:rPr>
              <w:t>膨胀型钢结构防火涂料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638261AC">
            <w:pPr>
              <w:adjustRightInd w:val="0"/>
              <w:snapToGrid w:val="0"/>
              <w:spacing w:line="360" w:lineRule="auto"/>
              <w:jc w:val="left"/>
              <w:rPr>
                <w:rFonts w:ascii="黑体" w:hAnsi="黑体"/>
                <w:szCs w:val="18"/>
              </w:rPr>
            </w:pPr>
            <w:r>
              <w:rPr>
                <w:rFonts w:hint="eastAsia" w:ascii="黑体" w:hAnsi="黑体"/>
                <w:szCs w:val="18"/>
              </w:rPr>
              <w:t>涂层在高温时膨胀发泡，形成耐火隔热保护层</w:t>
            </w:r>
          </w:p>
        </w:tc>
      </w:tr>
      <w:tr w14:paraId="1574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0FC22A">
            <w:pPr>
              <w:adjustRightInd w:val="0"/>
              <w:snapToGrid w:val="0"/>
              <w:spacing w:line="360" w:lineRule="auto"/>
              <w:jc w:val="left"/>
              <w:rPr>
                <w:rFonts w:ascii="黑体" w:hAnsi="黑体"/>
                <w:szCs w:val="18"/>
              </w:rPr>
            </w:pPr>
          </w:p>
        </w:tc>
        <w:tc>
          <w:tcPr>
            <w:tcW w:w="2660" w:type="dxa"/>
            <w:tcBorders>
              <w:top w:val="single" w:color="auto" w:sz="4" w:space="0"/>
              <w:left w:val="single" w:color="auto" w:sz="4" w:space="0"/>
              <w:bottom w:val="single" w:color="auto" w:sz="4" w:space="0"/>
              <w:right w:val="single" w:color="auto" w:sz="4" w:space="0"/>
            </w:tcBorders>
            <w:shd w:val="clear" w:color="auto" w:fill="auto"/>
            <w:vAlign w:val="center"/>
          </w:tcPr>
          <w:p w14:paraId="7AA6F5D1">
            <w:pPr>
              <w:adjustRightInd w:val="0"/>
              <w:snapToGrid w:val="0"/>
              <w:spacing w:line="360" w:lineRule="auto"/>
              <w:jc w:val="left"/>
              <w:rPr>
                <w:rFonts w:ascii="黑体" w:hAnsi="黑体"/>
                <w:szCs w:val="18"/>
              </w:rPr>
            </w:pPr>
            <w:r>
              <w:rPr>
                <w:rFonts w:hint="eastAsia" w:ascii="黑体" w:hAnsi="黑体"/>
                <w:szCs w:val="18"/>
              </w:rPr>
              <w:t>非膨胀型钢结构防火涂料</w:t>
            </w:r>
          </w:p>
        </w:tc>
        <w:tc>
          <w:tcPr>
            <w:tcW w:w="4090" w:type="dxa"/>
            <w:tcBorders>
              <w:top w:val="single" w:color="auto" w:sz="4" w:space="0"/>
              <w:left w:val="single" w:color="auto" w:sz="4" w:space="0"/>
              <w:bottom w:val="single" w:color="auto" w:sz="4" w:space="0"/>
              <w:right w:val="single" w:color="auto" w:sz="4" w:space="0"/>
            </w:tcBorders>
            <w:shd w:val="clear" w:color="auto" w:fill="auto"/>
            <w:vAlign w:val="center"/>
          </w:tcPr>
          <w:p w14:paraId="4124B9CC">
            <w:pPr>
              <w:adjustRightInd w:val="0"/>
              <w:snapToGrid w:val="0"/>
              <w:spacing w:line="360" w:lineRule="auto"/>
              <w:jc w:val="left"/>
              <w:rPr>
                <w:rFonts w:ascii="黑体" w:hAnsi="黑体"/>
                <w:szCs w:val="18"/>
              </w:rPr>
            </w:pPr>
            <w:r>
              <w:rPr>
                <w:rFonts w:hint="eastAsia" w:ascii="黑体" w:hAnsi="黑体"/>
                <w:szCs w:val="18"/>
              </w:rPr>
              <w:t>涂层在高温时不膨胀发泡，其自身成为耐火隔热保护层</w:t>
            </w:r>
          </w:p>
        </w:tc>
      </w:tr>
    </w:tbl>
    <w:p w14:paraId="734656B0">
      <w:pPr>
        <w:pStyle w:val="49"/>
        <w:adjustRightInd w:val="0"/>
        <w:snapToGrid w:val="0"/>
        <w:spacing w:line="360" w:lineRule="auto"/>
        <w:ind w:firstLine="0" w:firstLineChars="0"/>
        <w:jc w:val="left"/>
        <w:rPr>
          <w:rFonts w:ascii="黑体" w:hAnsi="黑体"/>
          <w:szCs w:val="18"/>
        </w:rPr>
      </w:pPr>
    </w:p>
    <w:p w14:paraId="063AB791">
      <w:pPr>
        <w:pStyle w:val="135"/>
        <w:adjustRightInd w:val="0"/>
        <w:snapToGrid w:val="0"/>
        <w:jc w:val="left"/>
        <w:rPr>
          <w:rFonts w:ascii="黑体" w:hAnsi="黑体" w:eastAsia="黑体"/>
          <w:bCs w:val="0"/>
          <w:sz w:val="18"/>
          <w:szCs w:val="18"/>
        </w:rPr>
      </w:pPr>
      <w:r>
        <w:rPr>
          <w:rFonts w:ascii="黑体" w:hAnsi="黑体" w:eastAsia="黑体"/>
          <w:bCs w:val="0"/>
          <w:sz w:val="18"/>
          <w:szCs w:val="18"/>
        </w:rPr>
        <w:t>室内钢结构防火涂料的理化性能应符合表2的规定。</w:t>
      </w:r>
    </w:p>
    <w:p w14:paraId="764E0F72">
      <w:pPr>
        <w:adjustRightInd w:val="0"/>
        <w:snapToGrid w:val="0"/>
        <w:spacing w:line="360" w:lineRule="auto"/>
        <w:jc w:val="left"/>
        <w:rPr>
          <w:rFonts w:ascii="黑体" w:hAnsi="黑体"/>
          <w:szCs w:val="18"/>
        </w:rPr>
      </w:pPr>
      <w:r>
        <w:rPr>
          <w:rFonts w:ascii="黑体" w:hAnsi="黑体"/>
          <w:szCs w:val="18"/>
        </w:rPr>
        <w:t>表2  室内钢结构防火涂料的理化性能</w:t>
      </w:r>
    </w:p>
    <w:tbl>
      <w:tblPr>
        <w:tblStyle w:val="37"/>
        <w:tblW w:w="8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2020"/>
        <w:gridCol w:w="2390"/>
        <w:gridCol w:w="2253"/>
        <w:gridCol w:w="1134"/>
      </w:tblGrid>
      <w:tr w14:paraId="3AE0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vAlign w:val="center"/>
          </w:tcPr>
          <w:p w14:paraId="4E17957E">
            <w:pPr>
              <w:adjustRightInd w:val="0"/>
              <w:snapToGrid w:val="0"/>
              <w:spacing w:line="360" w:lineRule="auto"/>
              <w:jc w:val="left"/>
              <w:rPr>
                <w:rFonts w:ascii="黑体" w:hAnsi="黑体"/>
                <w:szCs w:val="18"/>
              </w:rPr>
            </w:pPr>
            <w:r>
              <w:rPr>
                <w:rFonts w:hint="eastAsia" w:ascii="黑体" w:hAnsi="黑体"/>
                <w:szCs w:val="18"/>
              </w:rPr>
              <w:t>序号</w:t>
            </w:r>
          </w:p>
        </w:tc>
        <w:tc>
          <w:tcPr>
            <w:tcW w:w="2020" w:type="dxa"/>
            <w:vMerge w:val="restart"/>
            <w:vAlign w:val="center"/>
          </w:tcPr>
          <w:p w14:paraId="2CA101B8">
            <w:pPr>
              <w:adjustRightInd w:val="0"/>
              <w:snapToGrid w:val="0"/>
              <w:spacing w:line="360" w:lineRule="auto"/>
              <w:jc w:val="left"/>
              <w:rPr>
                <w:rFonts w:ascii="黑体" w:hAnsi="黑体"/>
                <w:szCs w:val="18"/>
              </w:rPr>
            </w:pPr>
            <w:r>
              <w:rPr>
                <w:rFonts w:hint="eastAsia" w:ascii="黑体" w:hAnsi="黑体"/>
                <w:szCs w:val="18"/>
              </w:rPr>
              <w:t>检验项目</w:t>
            </w:r>
          </w:p>
        </w:tc>
        <w:tc>
          <w:tcPr>
            <w:tcW w:w="4643" w:type="dxa"/>
            <w:gridSpan w:val="2"/>
            <w:vAlign w:val="center"/>
          </w:tcPr>
          <w:p w14:paraId="668667FD">
            <w:pPr>
              <w:adjustRightInd w:val="0"/>
              <w:snapToGrid w:val="0"/>
              <w:spacing w:line="360" w:lineRule="auto"/>
              <w:jc w:val="left"/>
              <w:rPr>
                <w:rFonts w:ascii="黑体" w:hAnsi="黑体"/>
                <w:szCs w:val="18"/>
              </w:rPr>
            </w:pPr>
            <w:r>
              <w:rPr>
                <w:rFonts w:hint="eastAsia" w:ascii="黑体" w:hAnsi="黑体"/>
                <w:szCs w:val="18"/>
              </w:rPr>
              <w:t>技术指标</w:t>
            </w:r>
          </w:p>
        </w:tc>
        <w:tc>
          <w:tcPr>
            <w:tcW w:w="1134" w:type="dxa"/>
            <w:vMerge w:val="restart"/>
            <w:vAlign w:val="center"/>
          </w:tcPr>
          <w:p w14:paraId="32E05C7E">
            <w:pPr>
              <w:adjustRightInd w:val="0"/>
              <w:snapToGrid w:val="0"/>
              <w:spacing w:line="360" w:lineRule="auto"/>
              <w:jc w:val="left"/>
              <w:rPr>
                <w:rFonts w:ascii="黑体" w:hAnsi="黑体"/>
                <w:szCs w:val="18"/>
              </w:rPr>
            </w:pPr>
            <w:r>
              <w:rPr>
                <w:rFonts w:hint="eastAsia" w:ascii="黑体" w:hAnsi="黑体"/>
                <w:szCs w:val="18"/>
              </w:rPr>
              <w:t>试验方法</w:t>
            </w:r>
          </w:p>
        </w:tc>
      </w:tr>
      <w:tr w14:paraId="1845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vAlign w:val="center"/>
          </w:tcPr>
          <w:p w14:paraId="356C6A5C">
            <w:pPr>
              <w:adjustRightInd w:val="0"/>
              <w:snapToGrid w:val="0"/>
              <w:spacing w:line="360" w:lineRule="auto"/>
              <w:jc w:val="left"/>
              <w:rPr>
                <w:rFonts w:ascii="黑体" w:hAnsi="黑体"/>
                <w:szCs w:val="18"/>
              </w:rPr>
            </w:pPr>
          </w:p>
        </w:tc>
        <w:tc>
          <w:tcPr>
            <w:tcW w:w="2020" w:type="dxa"/>
            <w:vMerge w:val="continue"/>
            <w:vAlign w:val="center"/>
          </w:tcPr>
          <w:p w14:paraId="3205187D">
            <w:pPr>
              <w:adjustRightInd w:val="0"/>
              <w:snapToGrid w:val="0"/>
              <w:spacing w:line="360" w:lineRule="auto"/>
              <w:jc w:val="left"/>
              <w:rPr>
                <w:rFonts w:ascii="黑体" w:hAnsi="黑体"/>
                <w:szCs w:val="18"/>
              </w:rPr>
            </w:pPr>
          </w:p>
        </w:tc>
        <w:tc>
          <w:tcPr>
            <w:tcW w:w="2390" w:type="dxa"/>
            <w:vAlign w:val="center"/>
          </w:tcPr>
          <w:p w14:paraId="2208D3D8">
            <w:pPr>
              <w:adjustRightInd w:val="0"/>
              <w:snapToGrid w:val="0"/>
              <w:spacing w:line="360" w:lineRule="auto"/>
              <w:jc w:val="left"/>
              <w:rPr>
                <w:rFonts w:ascii="黑体" w:hAnsi="黑体"/>
                <w:szCs w:val="18"/>
              </w:rPr>
            </w:pPr>
            <w:r>
              <w:rPr>
                <w:rFonts w:hint="eastAsia" w:ascii="黑体" w:hAnsi="黑体"/>
                <w:szCs w:val="18"/>
              </w:rPr>
              <w:t>膨胀型</w:t>
            </w:r>
          </w:p>
        </w:tc>
        <w:tc>
          <w:tcPr>
            <w:tcW w:w="2253" w:type="dxa"/>
            <w:vAlign w:val="center"/>
          </w:tcPr>
          <w:p w14:paraId="40B24FE7">
            <w:pPr>
              <w:adjustRightInd w:val="0"/>
              <w:snapToGrid w:val="0"/>
              <w:spacing w:line="360" w:lineRule="auto"/>
              <w:jc w:val="left"/>
              <w:rPr>
                <w:rFonts w:ascii="黑体" w:hAnsi="黑体"/>
                <w:szCs w:val="18"/>
              </w:rPr>
            </w:pPr>
            <w:r>
              <w:rPr>
                <w:rFonts w:hint="eastAsia" w:ascii="黑体" w:hAnsi="黑体"/>
                <w:szCs w:val="18"/>
              </w:rPr>
              <w:t>非膨胀型</w:t>
            </w:r>
          </w:p>
        </w:tc>
        <w:tc>
          <w:tcPr>
            <w:tcW w:w="1134" w:type="dxa"/>
            <w:vMerge w:val="continue"/>
            <w:vAlign w:val="center"/>
          </w:tcPr>
          <w:p w14:paraId="75103756">
            <w:pPr>
              <w:adjustRightInd w:val="0"/>
              <w:snapToGrid w:val="0"/>
              <w:spacing w:line="360" w:lineRule="auto"/>
              <w:jc w:val="left"/>
              <w:rPr>
                <w:rFonts w:ascii="黑体" w:hAnsi="黑体"/>
                <w:szCs w:val="18"/>
              </w:rPr>
            </w:pPr>
          </w:p>
        </w:tc>
      </w:tr>
      <w:tr w14:paraId="2518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56869C7A">
            <w:pPr>
              <w:adjustRightInd w:val="0"/>
              <w:snapToGrid w:val="0"/>
              <w:spacing w:line="360" w:lineRule="auto"/>
              <w:jc w:val="left"/>
              <w:rPr>
                <w:rFonts w:ascii="黑体" w:hAnsi="黑体"/>
                <w:szCs w:val="18"/>
              </w:rPr>
            </w:pPr>
            <w:r>
              <w:rPr>
                <w:rFonts w:hint="eastAsia" w:ascii="黑体" w:hAnsi="黑体"/>
                <w:szCs w:val="18"/>
              </w:rPr>
              <w:t>1</w:t>
            </w:r>
          </w:p>
        </w:tc>
        <w:tc>
          <w:tcPr>
            <w:tcW w:w="2020" w:type="dxa"/>
            <w:vAlign w:val="center"/>
          </w:tcPr>
          <w:p w14:paraId="397B169F">
            <w:pPr>
              <w:adjustRightInd w:val="0"/>
              <w:snapToGrid w:val="0"/>
              <w:spacing w:line="360" w:lineRule="auto"/>
              <w:jc w:val="left"/>
              <w:rPr>
                <w:rFonts w:ascii="黑体" w:hAnsi="黑体"/>
                <w:szCs w:val="18"/>
              </w:rPr>
            </w:pPr>
            <w:r>
              <w:rPr>
                <w:rFonts w:hint="eastAsia" w:ascii="黑体" w:hAnsi="黑体"/>
                <w:szCs w:val="18"/>
              </w:rPr>
              <w:t>在容器中的状态</w:t>
            </w:r>
          </w:p>
        </w:tc>
        <w:tc>
          <w:tcPr>
            <w:tcW w:w="2390" w:type="dxa"/>
            <w:vAlign w:val="center"/>
          </w:tcPr>
          <w:p w14:paraId="37C2E87C">
            <w:pPr>
              <w:adjustRightInd w:val="0"/>
              <w:snapToGrid w:val="0"/>
              <w:spacing w:line="360" w:lineRule="auto"/>
              <w:jc w:val="left"/>
              <w:rPr>
                <w:rFonts w:ascii="黑体" w:hAnsi="黑体"/>
                <w:szCs w:val="18"/>
              </w:rPr>
            </w:pPr>
            <w:r>
              <w:rPr>
                <w:rFonts w:hint="eastAsia" w:ascii="黑体" w:hAnsi="黑体"/>
                <w:szCs w:val="18"/>
              </w:rPr>
              <w:t>经搅拌后呈均匀细腻状态或稠厚流体状态，无结块</w:t>
            </w:r>
          </w:p>
        </w:tc>
        <w:tc>
          <w:tcPr>
            <w:tcW w:w="2253" w:type="dxa"/>
            <w:vAlign w:val="center"/>
          </w:tcPr>
          <w:p w14:paraId="5D9B51A9">
            <w:pPr>
              <w:adjustRightInd w:val="0"/>
              <w:snapToGrid w:val="0"/>
              <w:spacing w:line="360" w:lineRule="auto"/>
              <w:jc w:val="left"/>
              <w:rPr>
                <w:rFonts w:ascii="黑体" w:hAnsi="黑体"/>
                <w:szCs w:val="18"/>
              </w:rPr>
            </w:pPr>
            <w:r>
              <w:rPr>
                <w:rFonts w:hint="eastAsia" w:ascii="黑体" w:hAnsi="黑体"/>
                <w:szCs w:val="18"/>
              </w:rPr>
              <w:t>经搅拌后呈均匀稠厚流体状态，无结块</w:t>
            </w:r>
          </w:p>
        </w:tc>
        <w:tc>
          <w:tcPr>
            <w:tcW w:w="1134" w:type="dxa"/>
            <w:vAlign w:val="center"/>
          </w:tcPr>
          <w:p w14:paraId="36431115">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3875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5F6632FD">
            <w:pPr>
              <w:adjustRightInd w:val="0"/>
              <w:snapToGrid w:val="0"/>
              <w:spacing w:line="360" w:lineRule="auto"/>
              <w:jc w:val="left"/>
              <w:rPr>
                <w:rFonts w:ascii="黑体" w:hAnsi="黑体"/>
                <w:szCs w:val="18"/>
              </w:rPr>
            </w:pPr>
            <w:r>
              <w:rPr>
                <w:rFonts w:hint="eastAsia" w:ascii="黑体" w:hAnsi="黑体"/>
                <w:szCs w:val="18"/>
              </w:rPr>
              <w:t>2</w:t>
            </w:r>
          </w:p>
        </w:tc>
        <w:tc>
          <w:tcPr>
            <w:tcW w:w="2020" w:type="dxa"/>
            <w:vAlign w:val="center"/>
          </w:tcPr>
          <w:p w14:paraId="18CF6E7C">
            <w:pPr>
              <w:adjustRightInd w:val="0"/>
              <w:snapToGrid w:val="0"/>
              <w:spacing w:line="360" w:lineRule="auto"/>
              <w:jc w:val="left"/>
              <w:rPr>
                <w:rFonts w:ascii="黑体" w:hAnsi="黑体"/>
                <w:szCs w:val="18"/>
              </w:rPr>
            </w:pPr>
            <w:r>
              <w:rPr>
                <w:rFonts w:hint="eastAsia" w:ascii="黑体" w:hAnsi="黑体"/>
                <w:szCs w:val="18"/>
              </w:rPr>
              <w:t>干燥时间（表干），h</w:t>
            </w:r>
          </w:p>
        </w:tc>
        <w:tc>
          <w:tcPr>
            <w:tcW w:w="2390" w:type="dxa"/>
            <w:vAlign w:val="center"/>
          </w:tcPr>
          <w:p w14:paraId="0081DB7E">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2</w:t>
            </w:r>
          </w:p>
        </w:tc>
        <w:tc>
          <w:tcPr>
            <w:tcW w:w="2253" w:type="dxa"/>
            <w:vAlign w:val="center"/>
          </w:tcPr>
          <w:p w14:paraId="4FFDE10A">
            <w:pPr>
              <w:adjustRightInd w:val="0"/>
              <w:snapToGrid w:val="0"/>
              <w:spacing w:line="360" w:lineRule="auto"/>
              <w:jc w:val="left"/>
              <w:rPr>
                <w:rFonts w:ascii="黑体" w:hAnsi="黑体"/>
                <w:szCs w:val="18"/>
              </w:rPr>
            </w:pPr>
            <w:r>
              <w:rPr>
                <w:rFonts w:hint="eastAsia" w:ascii="黑体" w:hAnsi="黑体"/>
                <w:szCs w:val="18"/>
              </w:rPr>
              <w:t>≤2</w:t>
            </w:r>
            <w:r>
              <w:rPr>
                <w:rFonts w:ascii="黑体" w:hAnsi="黑体"/>
                <w:szCs w:val="18"/>
              </w:rPr>
              <w:t>4</w:t>
            </w:r>
          </w:p>
        </w:tc>
        <w:tc>
          <w:tcPr>
            <w:tcW w:w="1134" w:type="dxa"/>
            <w:vAlign w:val="center"/>
          </w:tcPr>
          <w:p w14:paraId="36705F64">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22F5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27BFA11C">
            <w:pPr>
              <w:adjustRightInd w:val="0"/>
              <w:snapToGrid w:val="0"/>
              <w:spacing w:line="360" w:lineRule="auto"/>
              <w:jc w:val="left"/>
              <w:rPr>
                <w:rFonts w:ascii="黑体" w:hAnsi="黑体"/>
                <w:szCs w:val="18"/>
              </w:rPr>
            </w:pPr>
            <w:r>
              <w:rPr>
                <w:rFonts w:hint="eastAsia" w:ascii="黑体" w:hAnsi="黑体"/>
                <w:szCs w:val="18"/>
              </w:rPr>
              <w:t>3</w:t>
            </w:r>
          </w:p>
        </w:tc>
        <w:tc>
          <w:tcPr>
            <w:tcW w:w="2020" w:type="dxa"/>
            <w:vAlign w:val="center"/>
          </w:tcPr>
          <w:p w14:paraId="01A95A26">
            <w:pPr>
              <w:adjustRightInd w:val="0"/>
              <w:snapToGrid w:val="0"/>
              <w:spacing w:line="360" w:lineRule="auto"/>
              <w:jc w:val="left"/>
              <w:rPr>
                <w:rFonts w:ascii="黑体" w:hAnsi="黑体"/>
                <w:szCs w:val="18"/>
              </w:rPr>
            </w:pPr>
            <w:r>
              <w:rPr>
                <w:rFonts w:hint="eastAsia" w:ascii="黑体" w:hAnsi="黑体"/>
                <w:szCs w:val="18"/>
              </w:rPr>
              <w:t>初期干燥抗裂性</w:t>
            </w:r>
          </w:p>
        </w:tc>
        <w:tc>
          <w:tcPr>
            <w:tcW w:w="2390" w:type="dxa"/>
            <w:vAlign w:val="center"/>
          </w:tcPr>
          <w:p w14:paraId="1FAC2DD1">
            <w:pPr>
              <w:adjustRightInd w:val="0"/>
              <w:snapToGrid w:val="0"/>
              <w:spacing w:line="360" w:lineRule="auto"/>
              <w:jc w:val="left"/>
              <w:rPr>
                <w:rFonts w:ascii="黑体" w:hAnsi="黑体"/>
                <w:szCs w:val="18"/>
              </w:rPr>
            </w:pPr>
            <w:r>
              <w:rPr>
                <w:rFonts w:hint="eastAsia" w:ascii="黑体" w:hAnsi="黑体"/>
                <w:szCs w:val="18"/>
              </w:rPr>
              <w:t>不应出现裂纹</w:t>
            </w:r>
          </w:p>
        </w:tc>
        <w:tc>
          <w:tcPr>
            <w:tcW w:w="2253" w:type="dxa"/>
            <w:vAlign w:val="center"/>
          </w:tcPr>
          <w:p w14:paraId="6316F56C">
            <w:pPr>
              <w:adjustRightInd w:val="0"/>
              <w:snapToGrid w:val="0"/>
              <w:spacing w:line="360" w:lineRule="auto"/>
              <w:jc w:val="left"/>
              <w:rPr>
                <w:rFonts w:ascii="黑体" w:hAnsi="黑体"/>
                <w:szCs w:val="18"/>
              </w:rPr>
            </w:pPr>
            <w:r>
              <w:rPr>
                <w:rFonts w:hint="eastAsia" w:ascii="黑体" w:hAnsi="黑体"/>
                <w:szCs w:val="18"/>
              </w:rPr>
              <w:t>平面不允许出现裂纹，阴角处可出现小裂纹</w:t>
            </w:r>
          </w:p>
        </w:tc>
        <w:tc>
          <w:tcPr>
            <w:tcW w:w="1134" w:type="dxa"/>
            <w:vAlign w:val="center"/>
          </w:tcPr>
          <w:p w14:paraId="4081955C">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26F7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1BC21CA0">
            <w:pPr>
              <w:adjustRightInd w:val="0"/>
              <w:snapToGrid w:val="0"/>
              <w:spacing w:line="360" w:lineRule="auto"/>
              <w:jc w:val="left"/>
              <w:rPr>
                <w:rFonts w:ascii="黑体" w:hAnsi="黑体"/>
                <w:szCs w:val="18"/>
              </w:rPr>
            </w:pPr>
            <w:r>
              <w:rPr>
                <w:rFonts w:hint="eastAsia" w:ascii="黑体" w:hAnsi="黑体"/>
                <w:szCs w:val="18"/>
              </w:rPr>
              <w:t>4</w:t>
            </w:r>
          </w:p>
        </w:tc>
        <w:tc>
          <w:tcPr>
            <w:tcW w:w="2020" w:type="dxa"/>
            <w:vAlign w:val="center"/>
          </w:tcPr>
          <w:p w14:paraId="18C27ECD">
            <w:pPr>
              <w:adjustRightInd w:val="0"/>
              <w:snapToGrid w:val="0"/>
              <w:spacing w:line="360" w:lineRule="auto"/>
              <w:jc w:val="left"/>
              <w:rPr>
                <w:rFonts w:ascii="黑体" w:hAnsi="黑体"/>
                <w:szCs w:val="18"/>
              </w:rPr>
            </w:pPr>
            <w:r>
              <w:rPr>
                <w:rFonts w:hint="eastAsia" w:ascii="黑体" w:hAnsi="黑体"/>
                <w:szCs w:val="18"/>
              </w:rPr>
              <w:t>粘结强度，M</w:t>
            </w:r>
            <w:r>
              <w:rPr>
                <w:rFonts w:ascii="黑体" w:hAnsi="黑体"/>
                <w:szCs w:val="18"/>
              </w:rPr>
              <w:t>Pa</w:t>
            </w:r>
          </w:p>
        </w:tc>
        <w:tc>
          <w:tcPr>
            <w:tcW w:w="2390" w:type="dxa"/>
            <w:vAlign w:val="center"/>
          </w:tcPr>
          <w:p w14:paraId="1AFA4B03">
            <w:pPr>
              <w:adjustRightInd w:val="0"/>
              <w:snapToGrid w:val="0"/>
              <w:spacing w:line="360" w:lineRule="auto"/>
              <w:jc w:val="left"/>
              <w:rPr>
                <w:rFonts w:ascii="黑体" w:hAnsi="黑体"/>
                <w:szCs w:val="18"/>
              </w:rPr>
            </w:pPr>
            <w:r>
              <w:rPr>
                <w:rFonts w:hint="eastAsia" w:ascii="黑体" w:hAnsi="黑体"/>
                <w:szCs w:val="18"/>
              </w:rPr>
              <w:t>≥0</w:t>
            </w:r>
            <w:r>
              <w:rPr>
                <w:rFonts w:ascii="黑体" w:hAnsi="黑体"/>
                <w:szCs w:val="18"/>
              </w:rPr>
              <w:t>.15</w:t>
            </w:r>
          </w:p>
        </w:tc>
        <w:tc>
          <w:tcPr>
            <w:tcW w:w="2253" w:type="dxa"/>
            <w:vAlign w:val="center"/>
          </w:tcPr>
          <w:p w14:paraId="4369C290">
            <w:pPr>
              <w:adjustRightInd w:val="0"/>
              <w:snapToGrid w:val="0"/>
              <w:spacing w:line="360" w:lineRule="auto"/>
              <w:jc w:val="left"/>
              <w:rPr>
                <w:rFonts w:ascii="黑体" w:hAnsi="黑体"/>
                <w:szCs w:val="18"/>
              </w:rPr>
            </w:pPr>
            <w:r>
              <w:rPr>
                <w:rFonts w:hint="eastAsia" w:ascii="黑体" w:hAnsi="黑体"/>
                <w:szCs w:val="18"/>
              </w:rPr>
              <w:t>≥0</w:t>
            </w:r>
            <w:r>
              <w:rPr>
                <w:rFonts w:ascii="黑体" w:hAnsi="黑体"/>
                <w:szCs w:val="18"/>
              </w:rPr>
              <w:t>.04</w:t>
            </w:r>
          </w:p>
        </w:tc>
        <w:tc>
          <w:tcPr>
            <w:tcW w:w="1134" w:type="dxa"/>
            <w:vAlign w:val="center"/>
          </w:tcPr>
          <w:p w14:paraId="534A6C5C">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4236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05149907">
            <w:pPr>
              <w:adjustRightInd w:val="0"/>
              <w:snapToGrid w:val="0"/>
              <w:spacing w:line="360" w:lineRule="auto"/>
              <w:jc w:val="left"/>
              <w:rPr>
                <w:rFonts w:ascii="黑体" w:hAnsi="黑体"/>
                <w:szCs w:val="18"/>
              </w:rPr>
            </w:pPr>
            <w:r>
              <w:rPr>
                <w:rFonts w:hint="eastAsia" w:ascii="黑体" w:hAnsi="黑体"/>
                <w:szCs w:val="18"/>
              </w:rPr>
              <w:t>5</w:t>
            </w:r>
          </w:p>
        </w:tc>
        <w:tc>
          <w:tcPr>
            <w:tcW w:w="2020" w:type="dxa"/>
            <w:vAlign w:val="center"/>
          </w:tcPr>
          <w:p w14:paraId="4A97EEF9">
            <w:pPr>
              <w:adjustRightInd w:val="0"/>
              <w:snapToGrid w:val="0"/>
              <w:spacing w:line="360" w:lineRule="auto"/>
              <w:jc w:val="left"/>
              <w:rPr>
                <w:rFonts w:ascii="黑体" w:hAnsi="黑体"/>
                <w:szCs w:val="18"/>
              </w:rPr>
            </w:pPr>
            <w:r>
              <w:rPr>
                <w:rFonts w:hint="eastAsia" w:ascii="黑体" w:hAnsi="黑体"/>
                <w:szCs w:val="18"/>
              </w:rPr>
              <w:t>抗压强度，M</w:t>
            </w:r>
            <w:r>
              <w:rPr>
                <w:rFonts w:ascii="黑体" w:hAnsi="黑体"/>
                <w:szCs w:val="18"/>
              </w:rPr>
              <w:t>Pa</w:t>
            </w:r>
          </w:p>
        </w:tc>
        <w:tc>
          <w:tcPr>
            <w:tcW w:w="2390" w:type="dxa"/>
            <w:vAlign w:val="center"/>
          </w:tcPr>
          <w:p w14:paraId="1A873878">
            <w:pPr>
              <w:adjustRightInd w:val="0"/>
              <w:snapToGrid w:val="0"/>
              <w:spacing w:line="360" w:lineRule="auto"/>
              <w:jc w:val="left"/>
              <w:rPr>
                <w:rFonts w:ascii="黑体" w:hAnsi="黑体"/>
                <w:szCs w:val="18"/>
              </w:rPr>
            </w:pPr>
            <w:r>
              <w:rPr>
                <w:rFonts w:hint="eastAsia" w:ascii="黑体" w:hAnsi="黑体"/>
                <w:szCs w:val="18"/>
              </w:rPr>
              <w:t>—</w:t>
            </w:r>
          </w:p>
        </w:tc>
        <w:tc>
          <w:tcPr>
            <w:tcW w:w="2253" w:type="dxa"/>
            <w:vAlign w:val="center"/>
          </w:tcPr>
          <w:p w14:paraId="405F6A07">
            <w:pPr>
              <w:adjustRightInd w:val="0"/>
              <w:snapToGrid w:val="0"/>
              <w:spacing w:line="360" w:lineRule="auto"/>
              <w:jc w:val="left"/>
              <w:rPr>
                <w:rFonts w:ascii="黑体" w:hAnsi="黑体"/>
                <w:szCs w:val="18"/>
              </w:rPr>
            </w:pPr>
            <w:r>
              <w:rPr>
                <w:rFonts w:hint="eastAsia" w:ascii="黑体" w:hAnsi="黑体"/>
                <w:szCs w:val="18"/>
              </w:rPr>
              <w:t>≥0</w:t>
            </w:r>
            <w:r>
              <w:rPr>
                <w:rFonts w:ascii="黑体" w:hAnsi="黑体"/>
                <w:szCs w:val="18"/>
              </w:rPr>
              <w:t>.3</w:t>
            </w:r>
          </w:p>
        </w:tc>
        <w:tc>
          <w:tcPr>
            <w:tcW w:w="1134" w:type="dxa"/>
            <w:vAlign w:val="center"/>
          </w:tcPr>
          <w:p w14:paraId="22D0C508">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4262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2C62ECDF">
            <w:pPr>
              <w:adjustRightInd w:val="0"/>
              <w:snapToGrid w:val="0"/>
              <w:spacing w:line="360" w:lineRule="auto"/>
              <w:jc w:val="left"/>
              <w:rPr>
                <w:rFonts w:ascii="黑体" w:hAnsi="黑体"/>
                <w:szCs w:val="18"/>
              </w:rPr>
            </w:pPr>
            <w:r>
              <w:rPr>
                <w:rFonts w:hint="eastAsia" w:ascii="黑体" w:hAnsi="黑体"/>
                <w:szCs w:val="18"/>
              </w:rPr>
              <w:t>6</w:t>
            </w:r>
          </w:p>
        </w:tc>
        <w:tc>
          <w:tcPr>
            <w:tcW w:w="2020" w:type="dxa"/>
            <w:vAlign w:val="center"/>
          </w:tcPr>
          <w:p w14:paraId="30172E9C">
            <w:pPr>
              <w:adjustRightInd w:val="0"/>
              <w:snapToGrid w:val="0"/>
              <w:spacing w:line="360" w:lineRule="auto"/>
              <w:jc w:val="left"/>
              <w:rPr>
                <w:rFonts w:ascii="黑体" w:hAnsi="黑体"/>
                <w:szCs w:val="18"/>
              </w:rPr>
            </w:pPr>
            <w:r>
              <w:rPr>
                <w:rFonts w:hint="eastAsia" w:ascii="黑体" w:hAnsi="黑体"/>
                <w:szCs w:val="18"/>
              </w:rPr>
              <w:t>干密度，k</w:t>
            </w:r>
            <w:r>
              <w:rPr>
                <w:rFonts w:ascii="黑体" w:hAnsi="黑体"/>
                <w:szCs w:val="18"/>
              </w:rPr>
              <w:t>g/m</w:t>
            </w:r>
            <w:r>
              <w:rPr>
                <w:rFonts w:ascii="黑体" w:hAnsi="黑体"/>
                <w:szCs w:val="18"/>
                <w:vertAlign w:val="superscript"/>
              </w:rPr>
              <w:t>3</w:t>
            </w:r>
          </w:p>
        </w:tc>
        <w:tc>
          <w:tcPr>
            <w:tcW w:w="2390" w:type="dxa"/>
            <w:vAlign w:val="center"/>
          </w:tcPr>
          <w:p w14:paraId="23B2497E">
            <w:pPr>
              <w:adjustRightInd w:val="0"/>
              <w:snapToGrid w:val="0"/>
              <w:spacing w:line="360" w:lineRule="auto"/>
              <w:jc w:val="left"/>
              <w:rPr>
                <w:rFonts w:ascii="黑体" w:hAnsi="黑体"/>
                <w:szCs w:val="18"/>
              </w:rPr>
            </w:pPr>
            <w:r>
              <w:rPr>
                <w:rFonts w:hint="eastAsia" w:ascii="黑体" w:hAnsi="黑体"/>
                <w:szCs w:val="18"/>
              </w:rPr>
              <w:t>—</w:t>
            </w:r>
          </w:p>
        </w:tc>
        <w:tc>
          <w:tcPr>
            <w:tcW w:w="2253" w:type="dxa"/>
            <w:vAlign w:val="center"/>
          </w:tcPr>
          <w:p w14:paraId="62FECD3B">
            <w:pPr>
              <w:adjustRightInd w:val="0"/>
              <w:snapToGrid w:val="0"/>
              <w:spacing w:line="360" w:lineRule="auto"/>
              <w:jc w:val="left"/>
              <w:rPr>
                <w:rFonts w:ascii="黑体" w:hAnsi="黑体"/>
                <w:szCs w:val="18"/>
              </w:rPr>
            </w:pPr>
            <w:r>
              <w:rPr>
                <w:rFonts w:hint="eastAsia" w:ascii="黑体" w:hAnsi="黑体"/>
                <w:szCs w:val="18"/>
              </w:rPr>
              <w:t>≤5</w:t>
            </w:r>
            <w:r>
              <w:rPr>
                <w:rFonts w:ascii="黑体" w:hAnsi="黑体"/>
                <w:szCs w:val="18"/>
              </w:rPr>
              <w:t>00</w:t>
            </w:r>
          </w:p>
        </w:tc>
        <w:tc>
          <w:tcPr>
            <w:tcW w:w="1134" w:type="dxa"/>
            <w:vAlign w:val="center"/>
          </w:tcPr>
          <w:p w14:paraId="7386E1AD">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5B10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01339A97">
            <w:pPr>
              <w:adjustRightInd w:val="0"/>
              <w:snapToGrid w:val="0"/>
              <w:spacing w:line="360" w:lineRule="auto"/>
              <w:jc w:val="left"/>
              <w:rPr>
                <w:rFonts w:ascii="黑体" w:hAnsi="黑体"/>
                <w:szCs w:val="18"/>
              </w:rPr>
            </w:pPr>
            <w:r>
              <w:rPr>
                <w:rFonts w:hint="eastAsia" w:ascii="黑体" w:hAnsi="黑体"/>
                <w:szCs w:val="18"/>
              </w:rPr>
              <w:t>7</w:t>
            </w:r>
          </w:p>
        </w:tc>
        <w:tc>
          <w:tcPr>
            <w:tcW w:w="2020" w:type="dxa"/>
            <w:vAlign w:val="center"/>
          </w:tcPr>
          <w:p w14:paraId="5F8DCBF3">
            <w:pPr>
              <w:adjustRightInd w:val="0"/>
              <w:snapToGrid w:val="0"/>
              <w:spacing w:line="360" w:lineRule="auto"/>
              <w:jc w:val="left"/>
              <w:rPr>
                <w:rFonts w:ascii="黑体" w:hAnsi="黑体"/>
                <w:szCs w:val="18"/>
              </w:rPr>
            </w:pPr>
            <w:r>
              <w:rPr>
                <w:rFonts w:hint="eastAsia" w:ascii="黑体" w:hAnsi="黑体"/>
                <w:szCs w:val="18"/>
              </w:rPr>
              <w:t>隔热效率偏差，%</w:t>
            </w:r>
          </w:p>
        </w:tc>
        <w:tc>
          <w:tcPr>
            <w:tcW w:w="2390" w:type="dxa"/>
            <w:vAlign w:val="center"/>
          </w:tcPr>
          <w:p w14:paraId="7169F49B">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w:t>
            </w:r>
          </w:p>
        </w:tc>
        <w:tc>
          <w:tcPr>
            <w:tcW w:w="2253" w:type="dxa"/>
            <w:vAlign w:val="center"/>
          </w:tcPr>
          <w:p w14:paraId="285F6EE3">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w:t>
            </w:r>
          </w:p>
        </w:tc>
        <w:tc>
          <w:tcPr>
            <w:tcW w:w="1134" w:type="dxa"/>
            <w:vAlign w:val="center"/>
          </w:tcPr>
          <w:p w14:paraId="17F50361">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3979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548C13A8">
            <w:pPr>
              <w:adjustRightInd w:val="0"/>
              <w:snapToGrid w:val="0"/>
              <w:spacing w:line="360" w:lineRule="auto"/>
              <w:jc w:val="left"/>
              <w:rPr>
                <w:rFonts w:ascii="黑体" w:hAnsi="黑体"/>
                <w:szCs w:val="18"/>
              </w:rPr>
            </w:pPr>
            <w:r>
              <w:rPr>
                <w:rFonts w:hint="eastAsia" w:ascii="黑体" w:hAnsi="黑体"/>
                <w:szCs w:val="18"/>
              </w:rPr>
              <w:t>8</w:t>
            </w:r>
          </w:p>
        </w:tc>
        <w:tc>
          <w:tcPr>
            <w:tcW w:w="2020" w:type="dxa"/>
            <w:vAlign w:val="center"/>
          </w:tcPr>
          <w:p w14:paraId="2176205C">
            <w:pPr>
              <w:adjustRightInd w:val="0"/>
              <w:snapToGrid w:val="0"/>
              <w:spacing w:line="360" w:lineRule="auto"/>
              <w:jc w:val="left"/>
              <w:rPr>
                <w:rFonts w:ascii="黑体" w:hAnsi="黑体"/>
                <w:szCs w:val="18"/>
              </w:rPr>
            </w:pPr>
            <w:r>
              <w:rPr>
                <w:rFonts w:hint="eastAsia" w:ascii="黑体" w:hAnsi="黑体"/>
                <w:szCs w:val="18"/>
              </w:rPr>
              <w:t>P</w:t>
            </w:r>
            <w:r>
              <w:rPr>
                <w:rFonts w:ascii="黑体" w:hAnsi="黑体"/>
                <w:szCs w:val="18"/>
              </w:rPr>
              <w:t>H值</w:t>
            </w:r>
          </w:p>
        </w:tc>
        <w:tc>
          <w:tcPr>
            <w:tcW w:w="2390" w:type="dxa"/>
            <w:vAlign w:val="center"/>
          </w:tcPr>
          <w:p w14:paraId="294BB3E1">
            <w:pPr>
              <w:adjustRightInd w:val="0"/>
              <w:snapToGrid w:val="0"/>
              <w:spacing w:line="360" w:lineRule="auto"/>
              <w:jc w:val="left"/>
              <w:rPr>
                <w:rFonts w:ascii="黑体" w:hAnsi="黑体"/>
                <w:szCs w:val="18"/>
              </w:rPr>
            </w:pPr>
            <w:r>
              <w:rPr>
                <w:rFonts w:hint="eastAsia" w:ascii="黑体" w:hAnsi="黑体"/>
                <w:szCs w:val="18"/>
              </w:rPr>
              <w:t>≥7</w:t>
            </w:r>
          </w:p>
        </w:tc>
        <w:tc>
          <w:tcPr>
            <w:tcW w:w="2253" w:type="dxa"/>
            <w:vAlign w:val="center"/>
          </w:tcPr>
          <w:p w14:paraId="6D351990">
            <w:pPr>
              <w:adjustRightInd w:val="0"/>
              <w:snapToGrid w:val="0"/>
              <w:spacing w:line="360" w:lineRule="auto"/>
              <w:jc w:val="left"/>
              <w:rPr>
                <w:rFonts w:ascii="黑体" w:hAnsi="黑体"/>
                <w:szCs w:val="18"/>
              </w:rPr>
            </w:pPr>
            <w:r>
              <w:rPr>
                <w:rFonts w:hint="eastAsia" w:ascii="黑体" w:hAnsi="黑体"/>
                <w:szCs w:val="18"/>
              </w:rPr>
              <w:t>≥7</w:t>
            </w:r>
          </w:p>
        </w:tc>
        <w:tc>
          <w:tcPr>
            <w:tcW w:w="1134" w:type="dxa"/>
            <w:vAlign w:val="center"/>
          </w:tcPr>
          <w:p w14:paraId="3952D00C">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64EA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527" w:type="dxa"/>
            <w:vAlign w:val="center"/>
          </w:tcPr>
          <w:p w14:paraId="490B4953">
            <w:pPr>
              <w:adjustRightInd w:val="0"/>
              <w:snapToGrid w:val="0"/>
              <w:spacing w:line="360" w:lineRule="auto"/>
              <w:jc w:val="left"/>
              <w:rPr>
                <w:rFonts w:ascii="黑体" w:hAnsi="黑体"/>
                <w:szCs w:val="18"/>
              </w:rPr>
            </w:pPr>
            <w:r>
              <w:rPr>
                <w:rFonts w:hint="eastAsia" w:ascii="黑体" w:hAnsi="黑体"/>
                <w:szCs w:val="18"/>
              </w:rPr>
              <w:t>9</w:t>
            </w:r>
          </w:p>
        </w:tc>
        <w:tc>
          <w:tcPr>
            <w:tcW w:w="2020" w:type="dxa"/>
            <w:vAlign w:val="center"/>
          </w:tcPr>
          <w:p w14:paraId="5C436721">
            <w:pPr>
              <w:adjustRightInd w:val="0"/>
              <w:snapToGrid w:val="0"/>
              <w:spacing w:line="360" w:lineRule="auto"/>
              <w:jc w:val="left"/>
              <w:rPr>
                <w:rFonts w:ascii="黑体" w:hAnsi="黑体"/>
                <w:szCs w:val="18"/>
              </w:rPr>
            </w:pPr>
            <w:r>
              <w:rPr>
                <w:rFonts w:hint="eastAsia" w:ascii="黑体" w:hAnsi="黑体"/>
                <w:szCs w:val="18"/>
              </w:rPr>
              <w:t>耐水性</w:t>
            </w:r>
          </w:p>
        </w:tc>
        <w:tc>
          <w:tcPr>
            <w:tcW w:w="2390" w:type="dxa"/>
            <w:vAlign w:val="center"/>
          </w:tcPr>
          <w:p w14:paraId="1DF9AA2C">
            <w:pPr>
              <w:adjustRightInd w:val="0"/>
              <w:snapToGrid w:val="0"/>
              <w:spacing w:line="360" w:lineRule="auto"/>
              <w:jc w:val="left"/>
              <w:rPr>
                <w:rFonts w:ascii="黑体" w:hAnsi="黑体"/>
                <w:szCs w:val="18"/>
              </w:rPr>
            </w:pPr>
            <w:r>
              <w:rPr>
                <w:rFonts w:hint="eastAsia" w:ascii="黑体" w:hAnsi="黑体"/>
                <w:szCs w:val="18"/>
              </w:rPr>
              <w:t>2</w:t>
            </w:r>
            <w:r>
              <w:rPr>
                <w:rFonts w:ascii="黑体" w:hAnsi="黑体"/>
                <w:szCs w:val="18"/>
              </w:rPr>
              <w:t>4h试验后，涂层应无起层、发泡、脱落现象，且隔热效率衰减量应</w:t>
            </w:r>
            <w:r>
              <w:rPr>
                <w:rFonts w:hint="eastAsia" w:ascii="黑体" w:hAnsi="黑体"/>
                <w:szCs w:val="18"/>
              </w:rPr>
              <w:t>≤</w:t>
            </w:r>
            <w:r>
              <w:rPr>
                <w:rFonts w:ascii="黑体" w:hAnsi="黑体"/>
                <w:szCs w:val="18"/>
              </w:rPr>
              <w:t>35%</w:t>
            </w:r>
          </w:p>
        </w:tc>
        <w:tc>
          <w:tcPr>
            <w:tcW w:w="2253" w:type="dxa"/>
            <w:vAlign w:val="center"/>
          </w:tcPr>
          <w:p w14:paraId="0F4397EA">
            <w:pPr>
              <w:adjustRightInd w:val="0"/>
              <w:snapToGrid w:val="0"/>
              <w:spacing w:line="360" w:lineRule="auto"/>
              <w:jc w:val="left"/>
              <w:rPr>
                <w:rFonts w:ascii="黑体" w:hAnsi="黑体"/>
                <w:szCs w:val="18"/>
              </w:rPr>
            </w:pPr>
            <w:r>
              <w:rPr>
                <w:rFonts w:hint="eastAsia" w:ascii="黑体" w:hAnsi="黑体"/>
                <w:szCs w:val="18"/>
              </w:rPr>
              <w:t>2</w:t>
            </w:r>
            <w:r>
              <w:rPr>
                <w:rFonts w:ascii="黑体" w:hAnsi="黑体"/>
                <w:szCs w:val="18"/>
              </w:rPr>
              <w:t>4h试验后，涂层应无起层、发泡、脱落现象，且隔热效率衰减量应</w:t>
            </w:r>
            <w:r>
              <w:rPr>
                <w:rFonts w:hint="eastAsia" w:ascii="黑体" w:hAnsi="黑体"/>
                <w:szCs w:val="18"/>
              </w:rPr>
              <w:t>≤</w:t>
            </w:r>
            <w:r>
              <w:rPr>
                <w:rFonts w:ascii="黑体" w:hAnsi="黑体"/>
                <w:szCs w:val="18"/>
              </w:rPr>
              <w:t>35%</w:t>
            </w:r>
          </w:p>
        </w:tc>
        <w:tc>
          <w:tcPr>
            <w:tcW w:w="1134" w:type="dxa"/>
            <w:vAlign w:val="center"/>
          </w:tcPr>
          <w:p w14:paraId="7EFF1AF0">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703F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2D3CD832">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0</w:t>
            </w:r>
          </w:p>
        </w:tc>
        <w:tc>
          <w:tcPr>
            <w:tcW w:w="2020" w:type="dxa"/>
            <w:vAlign w:val="center"/>
          </w:tcPr>
          <w:p w14:paraId="6A69DC5E">
            <w:pPr>
              <w:adjustRightInd w:val="0"/>
              <w:snapToGrid w:val="0"/>
              <w:spacing w:line="360" w:lineRule="auto"/>
              <w:jc w:val="left"/>
              <w:rPr>
                <w:rFonts w:ascii="黑体" w:hAnsi="黑体"/>
                <w:szCs w:val="18"/>
              </w:rPr>
            </w:pPr>
            <w:r>
              <w:rPr>
                <w:rFonts w:hint="eastAsia" w:ascii="黑体" w:hAnsi="黑体"/>
                <w:szCs w:val="18"/>
              </w:rPr>
              <w:t>耐冷热循环性</w:t>
            </w:r>
          </w:p>
        </w:tc>
        <w:tc>
          <w:tcPr>
            <w:tcW w:w="2390" w:type="dxa"/>
            <w:vAlign w:val="center"/>
          </w:tcPr>
          <w:p w14:paraId="397B9988">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5次试验后，涂层应无开裂、剥落、起泡现象，且隔热效率衰减量应</w:t>
            </w:r>
            <w:r>
              <w:rPr>
                <w:rFonts w:hint="eastAsia" w:ascii="黑体" w:hAnsi="黑体"/>
                <w:szCs w:val="18"/>
              </w:rPr>
              <w:t>≤</w:t>
            </w:r>
            <w:r>
              <w:rPr>
                <w:rFonts w:ascii="黑体" w:hAnsi="黑体"/>
                <w:szCs w:val="18"/>
              </w:rPr>
              <w:t>35%</w:t>
            </w:r>
          </w:p>
        </w:tc>
        <w:tc>
          <w:tcPr>
            <w:tcW w:w="2253" w:type="dxa"/>
            <w:vAlign w:val="center"/>
          </w:tcPr>
          <w:p w14:paraId="4BD0CEE9">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5次试验后，涂层应无开裂、剥落、起泡现象，且隔热效率衰减量应</w:t>
            </w:r>
            <w:r>
              <w:rPr>
                <w:rFonts w:hint="eastAsia" w:ascii="黑体" w:hAnsi="黑体"/>
                <w:szCs w:val="18"/>
              </w:rPr>
              <w:t>≤</w:t>
            </w:r>
            <w:r>
              <w:rPr>
                <w:rFonts w:ascii="黑体" w:hAnsi="黑体"/>
                <w:szCs w:val="18"/>
              </w:rPr>
              <w:t>35%</w:t>
            </w:r>
          </w:p>
        </w:tc>
        <w:tc>
          <w:tcPr>
            <w:tcW w:w="1134" w:type="dxa"/>
            <w:vAlign w:val="center"/>
          </w:tcPr>
          <w:p w14:paraId="40FB69C9">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bl>
    <w:p w14:paraId="1DF64414">
      <w:pPr>
        <w:adjustRightInd w:val="0"/>
        <w:snapToGrid w:val="0"/>
        <w:spacing w:line="360" w:lineRule="auto"/>
        <w:jc w:val="left"/>
        <w:rPr>
          <w:rFonts w:ascii="黑体" w:hAnsi="黑体"/>
          <w:szCs w:val="18"/>
        </w:rPr>
      </w:pPr>
      <w:r>
        <w:rPr>
          <w:rFonts w:hint="eastAsia" w:ascii="黑体" w:hAnsi="黑体"/>
          <w:szCs w:val="18"/>
        </w:rPr>
        <w:t>注：隔热效率偏差只作为出厂检验项目；P</w:t>
      </w:r>
      <w:r>
        <w:rPr>
          <w:rFonts w:ascii="黑体" w:hAnsi="黑体"/>
          <w:szCs w:val="18"/>
        </w:rPr>
        <w:t>H值只适用于水基性钢结构防火涂料。</w:t>
      </w:r>
    </w:p>
    <w:p w14:paraId="623F4F21">
      <w:pPr>
        <w:pStyle w:val="135"/>
        <w:adjustRightInd w:val="0"/>
        <w:snapToGrid w:val="0"/>
        <w:jc w:val="left"/>
        <w:rPr>
          <w:rFonts w:ascii="黑体" w:hAnsi="黑体" w:eastAsia="黑体"/>
          <w:bCs w:val="0"/>
          <w:sz w:val="18"/>
          <w:szCs w:val="18"/>
        </w:rPr>
      </w:pPr>
      <w:r>
        <w:rPr>
          <w:rFonts w:ascii="黑体" w:hAnsi="黑体" w:eastAsia="黑体"/>
          <w:bCs w:val="0"/>
          <w:sz w:val="18"/>
          <w:szCs w:val="18"/>
        </w:rPr>
        <w:t>室外钢结构防火涂料的理化性能应符合表3的规定。</w:t>
      </w:r>
    </w:p>
    <w:p w14:paraId="0F5628EC">
      <w:pPr>
        <w:adjustRightInd w:val="0"/>
        <w:snapToGrid w:val="0"/>
        <w:spacing w:line="360" w:lineRule="auto"/>
        <w:jc w:val="left"/>
        <w:rPr>
          <w:rFonts w:ascii="黑体" w:hAnsi="黑体"/>
          <w:szCs w:val="18"/>
        </w:rPr>
      </w:pPr>
      <w:r>
        <w:rPr>
          <w:rFonts w:ascii="黑体" w:hAnsi="黑体"/>
          <w:szCs w:val="18"/>
        </w:rPr>
        <w:t>表3  室外钢结构防火涂料的理化性能</w:t>
      </w:r>
    </w:p>
    <w:tbl>
      <w:tblPr>
        <w:tblStyle w:val="37"/>
        <w:tblW w:w="8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2170"/>
        <w:gridCol w:w="2240"/>
        <w:gridCol w:w="2253"/>
        <w:gridCol w:w="1134"/>
      </w:tblGrid>
      <w:tr w14:paraId="2BBE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restart"/>
            <w:vAlign w:val="center"/>
          </w:tcPr>
          <w:p w14:paraId="4DB190F8">
            <w:pPr>
              <w:adjustRightInd w:val="0"/>
              <w:snapToGrid w:val="0"/>
              <w:spacing w:line="360" w:lineRule="auto"/>
              <w:jc w:val="left"/>
              <w:rPr>
                <w:rFonts w:ascii="黑体" w:hAnsi="黑体"/>
                <w:szCs w:val="18"/>
              </w:rPr>
            </w:pPr>
            <w:r>
              <w:rPr>
                <w:rFonts w:hint="eastAsia" w:ascii="黑体" w:hAnsi="黑体"/>
                <w:szCs w:val="18"/>
              </w:rPr>
              <w:t>序号</w:t>
            </w:r>
          </w:p>
        </w:tc>
        <w:tc>
          <w:tcPr>
            <w:tcW w:w="2170" w:type="dxa"/>
            <w:vMerge w:val="restart"/>
            <w:vAlign w:val="center"/>
          </w:tcPr>
          <w:p w14:paraId="698F24E2">
            <w:pPr>
              <w:adjustRightInd w:val="0"/>
              <w:snapToGrid w:val="0"/>
              <w:spacing w:line="360" w:lineRule="auto"/>
              <w:jc w:val="left"/>
              <w:rPr>
                <w:rFonts w:ascii="黑体" w:hAnsi="黑体"/>
                <w:szCs w:val="18"/>
              </w:rPr>
            </w:pPr>
            <w:r>
              <w:rPr>
                <w:rFonts w:hint="eastAsia" w:ascii="黑体" w:hAnsi="黑体"/>
                <w:szCs w:val="18"/>
              </w:rPr>
              <w:t>检验项目</w:t>
            </w:r>
          </w:p>
        </w:tc>
        <w:tc>
          <w:tcPr>
            <w:tcW w:w="4493" w:type="dxa"/>
            <w:gridSpan w:val="2"/>
            <w:vAlign w:val="center"/>
          </w:tcPr>
          <w:p w14:paraId="52A42A88">
            <w:pPr>
              <w:adjustRightInd w:val="0"/>
              <w:snapToGrid w:val="0"/>
              <w:spacing w:line="360" w:lineRule="auto"/>
              <w:jc w:val="left"/>
              <w:rPr>
                <w:rFonts w:ascii="黑体" w:hAnsi="黑体"/>
                <w:szCs w:val="18"/>
              </w:rPr>
            </w:pPr>
            <w:r>
              <w:rPr>
                <w:rFonts w:hint="eastAsia" w:ascii="黑体" w:hAnsi="黑体"/>
                <w:szCs w:val="18"/>
              </w:rPr>
              <w:t>技术指标</w:t>
            </w:r>
          </w:p>
        </w:tc>
        <w:tc>
          <w:tcPr>
            <w:tcW w:w="1134" w:type="dxa"/>
            <w:vMerge w:val="restart"/>
            <w:vAlign w:val="center"/>
          </w:tcPr>
          <w:p w14:paraId="44962932">
            <w:pPr>
              <w:adjustRightInd w:val="0"/>
              <w:snapToGrid w:val="0"/>
              <w:spacing w:line="360" w:lineRule="auto"/>
              <w:jc w:val="left"/>
              <w:rPr>
                <w:rFonts w:ascii="黑体" w:hAnsi="黑体"/>
                <w:szCs w:val="18"/>
              </w:rPr>
            </w:pPr>
            <w:r>
              <w:rPr>
                <w:rFonts w:hint="eastAsia" w:ascii="黑体" w:hAnsi="黑体"/>
                <w:szCs w:val="18"/>
              </w:rPr>
              <w:t>试验方法</w:t>
            </w:r>
          </w:p>
        </w:tc>
      </w:tr>
      <w:tr w14:paraId="0199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Merge w:val="continue"/>
            <w:vAlign w:val="center"/>
          </w:tcPr>
          <w:p w14:paraId="41CFCD17">
            <w:pPr>
              <w:adjustRightInd w:val="0"/>
              <w:snapToGrid w:val="0"/>
              <w:spacing w:line="360" w:lineRule="auto"/>
              <w:jc w:val="left"/>
              <w:rPr>
                <w:rFonts w:ascii="黑体" w:hAnsi="黑体"/>
                <w:szCs w:val="18"/>
              </w:rPr>
            </w:pPr>
          </w:p>
        </w:tc>
        <w:tc>
          <w:tcPr>
            <w:tcW w:w="2170" w:type="dxa"/>
            <w:vMerge w:val="continue"/>
            <w:vAlign w:val="center"/>
          </w:tcPr>
          <w:p w14:paraId="47A24B06">
            <w:pPr>
              <w:adjustRightInd w:val="0"/>
              <w:snapToGrid w:val="0"/>
              <w:spacing w:line="360" w:lineRule="auto"/>
              <w:jc w:val="left"/>
              <w:rPr>
                <w:rFonts w:ascii="黑体" w:hAnsi="黑体"/>
                <w:szCs w:val="18"/>
              </w:rPr>
            </w:pPr>
          </w:p>
        </w:tc>
        <w:tc>
          <w:tcPr>
            <w:tcW w:w="2240" w:type="dxa"/>
            <w:vAlign w:val="center"/>
          </w:tcPr>
          <w:p w14:paraId="3334107C">
            <w:pPr>
              <w:adjustRightInd w:val="0"/>
              <w:snapToGrid w:val="0"/>
              <w:spacing w:line="360" w:lineRule="auto"/>
              <w:jc w:val="left"/>
              <w:rPr>
                <w:rFonts w:ascii="黑体" w:hAnsi="黑体"/>
                <w:szCs w:val="18"/>
              </w:rPr>
            </w:pPr>
            <w:r>
              <w:rPr>
                <w:rFonts w:hint="eastAsia" w:ascii="黑体" w:hAnsi="黑体"/>
                <w:szCs w:val="18"/>
              </w:rPr>
              <w:t>膨胀型</w:t>
            </w:r>
          </w:p>
        </w:tc>
        <w:tc>
          <w:tcPr>
            <w:tcW w:w="2253" w:type="dxa"/>
            <w:vAlign w:val="center"/>
          </w:tcPr>
          <w:p w14:paraId="4F5B0C17">
            <w:pPr>
              <w:adjustRightInd w:val="0"/>
              <w:snapToGrid w:val="0"/>
              <w:spacing w:line="360" w:lineRule="auto"/>
              <w:jc w:val="left"/>
              <w:rPr>
                <w:rFonts w:ascii="黑体" w:hAnsi="黑体"/>
                <w:szCs w:val="18"/>
              </w:rPr>
            </w:pPr>
            <w:r>
              <w:rPr>
                <w:rFonts w:hint="eastAsia" w:ascii="黑体" w:hAnsi="黑体"/>
                <w:szCs w:val="18"/>
              </w:rPr>
              <w:t>非膨胀型</w:t>
            </w:r>
          </w:p>
        </w:tc>
        <w:tc>
          <w:tcPr>
            <w:tcW w:w="1134" w:type="dxa"/>
            <w:vMerge w:val="continue"/>
            <w:vAlign w:val="center"/>
          </w:tcPr>
          <w:p w14:paraId="18F6C515">
            <w:pPr>
              <w:adjustRightInd w:val="0"/>
              <w:snapToGrid w:val="0"/>
              <w:spacing w:line="360" w:lineRule="auto"/>
              <w:jc w:val="left"/>
              <w:rPr>
                <w:rFonts w:ascii="黑体" w:hAnsi="黑体"/>
                <w:szCs w:val="18"/>
              </w:rPr>
            </w:pPr>
          </w:p>
        </w:tc>
      </w:tr>
      <w:tr w14:paraId="3A86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781CE260">
            <w:pPr>
              <w:adjustRightInd w:val="0"/>
              <w:snapToGrid w:val="0"/>
              <w:spacing w:line="360" w:lineRule="auto"/>
              <w:jc w:val="left"/>
              <w:rPr>
                <w:rFonts w:ascii="黑体" w:hAnsi="黑体"/>
                <w:szCs w:val="18"/>
              </w:rPr>
            </w:pPr>
            <w:r>
              <w:rPr>
                <w:rFonts w:hint="eastAsia" w:ascii="黑体" w:hAnsi="黑体"/>
                <w:szCs w:val="18"/>
              </w:rPr>
              <w:t>1</w:t>
            </w:r>
          </w:p>
        </w:tc>
        <w:tc>
          <w:tcPr>
            <w:tcW w:w="2170" w:type="dxa"/>
            <w:vAlign w:val="center"/>
          </w:tcPr>
          <w:p w14:paraId="0281243A">
            <w:pPr>
              <w:adjustRightInd w:val="0"/>
              <w:snapToGrid w:val="0"/>
              <w:spacing w:line="360" w:lineRule="auto"/>
              <w:jc w:val="left"/>
              <w:rPr>
                <w:rFonts w:ascii="黑体" w:hAnsi="黑体"/>
                <w:szCs w:val="18"/>
              </w:rPr>
            </w:pPr>
            <w:r>
              <w:rPr>
                <w:rFonts w:hint="eastAsia" w:ascii="黑体" w:hAnsi="黑体"/>
                <w:szCs w:val="18"/>
              </w:rPr>
              <w:t>在容器中的状态</w:t>
            </w:r>
          </w:p>
        </w:tc>
        <w:tc>
          <w:tcPr>
            <w:tcW w:w="2240" w:type="dxa"/>
            <w:vAlign w:val="center"/>
          </w:tcPr>
          <w:p w14:paraId="35920C2A">
            <w:pPr>
              <w:adjustRightInd w:val="0"/>
              <w:snapToGrid w:val="0"/>
              <w:spacing w:line="360" w:lineRule="auto"/>
              <w:jc w:val="left"/>
              <w:rPr>
                <w:rFonts w:ascii="黑体" w:hAnsi="黑体"/>
                <w:szCs w:val="18"/>
              </w:rPr>
            </w:pPr>
            <w:r>
              <w:rPr>
                <w:rFonts w:hint="eastAsia" w:ascii="黑体" w:hAnsi="黑体"/>
                <w:szCs w:val="18"/>
              </w:rPr>
              <w:t>经搅拌后呈均匀细腻状态或稠厚流体状态，无结块</w:t>
            </w:r>
          </w:p>
        </w:tc>
        <w:tc>
          <w:tcPr>
            <w:tcW w:w="2253" w:type="dxa"/>
            <w:vAlign w:val="center"/>
          </w:tcPr>
          <w:p w14:paraId="721C0A1E">
            <w:pPr>
              <w:adjustRightInd w:val="0"/>
              <w:snapToGrid w:val="0"/>
              <w:spacing w:line="360" w:lineRule="auto"/>
              <w:jc w:val="left"/>
              <w:rPr>
                <w:rFonts w:ascii="黑体" w:hAnsi="黑体"/>
                <w:szCs w:val="18"/>
              </w:rPr>
            </w:pPr>
            <w:r>
              <w:rPr>
                <w:rFonts w:hint="eastAsia" w:ascii="黑体" w:hAnsi="黑体"/>
                <w:szCs w:val="18"/>
              </w:rPr>
              <w:t>经搅拌后呈均匀稠厚流体状态，无结块</w:t>
            </w:r>
          </w:p>
        </w:tc>
        <w:tc>
          <w:tcPr>
            <w:tcW w:w="1134" w:type="dxa"/>
            <w:vAlign w:val="center"/>
          </w:tcPr>
          <w:p w14:paraId="317320D4">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2D23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25C2D9BE">
            <w:pPr>
              <w:adjustRightInd w:val="0"/>
              <w:snapToGrid w:val="0"/>
              <w:spacing w:line="360" w:lineRule="auto"/>
              <w:jc w:val="left"/>
              <w:rPr>
                <w:rFonts w:ascii="黑体" w:hAnsi="黑体"/>
                <w:szCs w:val="18"/>
              </w:rPr>
            </w:pPr>
            <w:r>
              <w:rPr>
                <w:rFonts w:hint="eastAsia" w:ascii="黑体" w:hAnsi="黑体"/>
                <w:szCs w:val="18"/>
              </w:rPr>
              <w:t>2</w:t>
            </w:r>
          </w:p>
        </w:tc>
        <w:tc>
          <w:tcPr>
            <w:tcW w:w="2170" w:type="dxa"/>
            <w:vAlign w:val="center"/>
          </w:tcPr>
          <w:p w14:paraId="48FC2833">
            <w:pPr>
              <w:adjustRightInd w:val="0"/>
              <w:snapToGrid w:val="0"/>
              <w:spacing w:line="360" w:lineRule="auto"/>
              <w:jc w:val="left"/>
              <w:rPr>
                <w:rFonts w:ascii="黑体" w:hAnsi="黑体"/>
                <w:szCs w:val="18"/>
              </w:rPr>
            </w:pPr>
            <w:r>
              <w:rPr>
                <w:rFonts w:hint="eastAsia" w:ascii="黑体" w:hAnsi="黑体"/>
                <w:szCs w:val="18"/>
              </w:rPr>
              <w:t>干燥时间（表干），h</w:t>
            </w:r>
          </w:p>
        </w:tc>
        <w:tc>
          <w:tcPr>
            <w:tcW w:w="2240" w:type="dxa"/>
            <w:vAlign w:val="center"/>
          </w:tcPr>
          <w:p w14:paraId="02EF9091">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2</w:t>
            </w:r>
          </w:p>
        </w:tc>
        <w:tc>
          <w:tcPr>
            <w:tcW w:w="2253" w:type="dxa"/>
            <w:vAlign w:val="center"/>
          </w:tcPr>
          <w:p w14:paraId="138D5DB3">
            <w:pPr>
              <w:adjustRightInd w:val="0"/>
              <w:snapToGrid w:val="0"/>
              <w:spacing w:line="360" w:lineRule="auto"/>
              <w:jc w:val="left"/>
              <w:rPr>
                <w:rFonts w:ascii="黑体" w:hAnsi="黑体"/>
                <w:szCs w:val="18"/>
              </w:rPr>
            </w:pPr>
            <w:r>
              <w:rPr>
                <w:rFonts w:hint="eastAsia" w:ascii="黑体" w:hAnsi="黑体"/>
                <w:szCs w:val="18"/>
              </w:rPr>
              <w:t>≤2</w:t>
            </w:r>
            <w:r>
              <w:rPr>
                <w:rFonts w:ascii="黑体" w:hAnsi="黑体"/>
                <w:szCs w:val="18"/>
              </w:rPr>
              <w:t>4</w:t>
            </w:r>
          </w:p>
        </w:tc>
        <w:tc>
          <w:tcPr>
            <w:tcW w:w="1134" w:type="dxa"/>
            <w:vAlign w:val="center"/>
          </w:tcPr>
          <w:p w14:paraId="494E917E">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22EF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6DAB95BE">
            <w:pPr>
              <w:adjustRightInd w:val="0"/>
              <w:snapToGrid w:val="0"/>
              <w:spacing w:line="360" w:lineRule="auto"/>
              <w:jc w:val="left"/>
              <w:rPr>
                <w:rFonts w:ascii="黑体" w:hAnsi="黑体"/>
                <w:szCs w:val="18"/>
              </w:rPr>
            </w:pPr>
            <w:r>
              <w:rPr>
                <w:rFonts w:hint="eastAsia" w:ascii="黑体" w:hAnsi="黑体"/>
                <w:szCs w:val="18"/>
              </w:rPr>
              <w:t>3</w:t>
            </w:r>
          </w:p>
        </w:tc>
        <w:tc>
          <w:tcPr>
            <w:tcW w:w="2170" w:type="dxa"/>
            <w:vAlign w:val="center"/>
          </w:tcPr>
          <w:p w14:paraId="6181439F">
            <w:pPr>
              <w:adjustRightInd w:val="0"/>
              <w:snapToGrid w:val="0"/>
              <w:spacing w:line="360" w:lineRule="auto"/>
              <w:jc w:val="left"/>
              <w:rPr>
                <w:rFonts w:ascii="黑体" w:hAnsi="黑体"/>
                <w:szCs w:val="18"/>
              </w:rPr>
            </w:pPr>
            <w:r>
              <w:rPr>
                <w:rFonts w:hint="eastAsia" w:ascii="黑体" w:hAnsi="黑体"/>
                <w:szCs w:val="18"/>
              </w:rPr>
              <w:t>初期干燥抗裂性</w:t>
            </w:r>
          </w:p>
        </w:tc>
        <w:tc>
          <w:tcPr>
            <w:tcW w:w="2240" w:type="dxa"/>
            <w:vAlign w:val="center"/>
          </w:tcPr>
          <w:p w14:paraId="5FD3618A">
            <w:pPr>
              <w:adjustRightInd w:val="0"/>
              <w:snapToGrid w:val="0"/>
              <w:spacing w:line="360" w:lineRule="auto"/>
              <w:jc w:val="left"/>
              <w:rPr>
                <w:rFonts w:ascii="黑体" w:hAnsi="黑体"/>
                <w:szCs w:val="18"/>
              </w:rPr>
            </w:pPr>
            <w:r>
              <w:rPr>
                <w:rFonts w:hint="eastAsia" w:ascii="黑体" w:hAnsi="黑体"/>
                <w:szCs w:val="18"/>
              </w:rPr>
              <w:t>不应出现裂纹</w:t>
            </w:r>
          </w:p>
        </w:tc>
        <w:tc>
          <w:tcPr>
            <w:tcW w:w="2253" w:type="dxa"/>
            <w:vAlign w:val="center"/>
          </w:tcPr>
          <w:p w14:paraId="675D1AA2">
            <w:pPr>
              <w:adjustRightInd w:val="0"/>
              <w:snapToGrid w:val="0"/>
              <w:spacing w:line="360" w:lineRule="auto"/>
              <w:jc w:val="left"/>
              <w:rPr>
                <w:rFonts w:ascii="黑体" w:hAnsi="黑体"/>
                <w:szCs w:val="18"/>
              </w:rPr>
            </w:pPr>
            <w:r>
              <w:rPr>
                <w:rFonts w:hint="eastAsia" w:ascii="黑体" w:hAnsi="黑体"/>
                <w:szCs w:val="18"/>
              </w:rPr>
              <w:t>平面不允许出现裂纹，阴角处可出现小裂纹，其宽度应≤0</w:t>
            </w:r>
            <w:r>
              <w:rPr>
                <w:rFonts w:ascii="黑体" w:hAnsi="黑体"/>
                <w:szCs w:val="18"/>
              </w:rPr>
              <w:t>.5mm</w:t>
            </w:r>
          </w:p>
        </w:tc>
        <w:tc>
          <w:tcPr>
            <w:tcW w:w="1134" w:type="dxa"/>
            <w:vAlign w:val="center"/>
          </w:tcPr>
          <w:p w14:paraId="6D344C2E">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0AFD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339624B4">
            <w:pPr>
              <w:adjustRightInd w:val="0"/>
              <w:snapToGrid w:val="0"/>
              <w:spacing w:line="360" w:lineRule="auto"/>
              <w:jc w:val="left"/>
              <w:rPr>
                <w:rFonts w:ascii="黑体" w:hAnsi="黑体"/>
                <w:szCs w:val="18"/>
              </w:rPr>
            </w:pPr>
            <w:r>
              <w:rPr>
                <w:rFonts w:hint="eastAsia" w:ascii="黑体" w:hAnsi="黑体"/>
                <w:szCs w:val="18"/>
              </w:rPr>
              <w:t>4</w:t>
            </w:r>
          </w:p>
        </w:tc>
        <w:tc>
          <w:tcPr>
            <w:tcW w:w="2170" w:type="dxa"/>
            <w:vAlign w:val="center"/>
          </w:tcPr>
          <w:p w14:paraId="1E6B9EF5">
            <w:pPr>
              <w:adjustRightInd w:val="0"/>
              <w:snapToGrid w:val="0"/>
              <w:spacing w:line="360" w:lineRule="auto"/>
              <w:jc w:val="left"/>
              <w:rPr>
                <w:rFonts w:ascii="黑体" w:hAnsi="黑体"/>
                <w:szCs w:val="18"/>
              </w:rPr>
            </w:pPr>
            <w:r>
              <w:rPr>
                <w:rFonts w:hint="eastAsia" w:ascii="黑体" w:hAnsi="黑体"/>
                <w:szCs w:val="18"/>
              </w:rPr>
              <w:t>粘结强度，M</w:t>
            </w:r>
            <w:r>
              <w:rPr>
                <w:rFonts w:ascii="黑体" w:hAnsi="黑体"/>
                <w:szCs w:val="18"/>
              </w:rPr>
              <w:t>Pa</w:t>
            </w:r>
          </w:p>
        </w:tc>
        <w:tc>
          <w:tcPr>
            <w:tcW w:w="2240" w:type="dxa"/>
            <w:vAlign w:val="center"/>
          </w:tcPr>
          <w:p w14:paraId="22DFBDD6">
            <w:pPr>
              <w:adjustRightInd w:val="0"/>
              <w:snapToGrid w:val="0"/>
              <w:spacing w:line="360" w:lineRule="auto"/>
              <w:jc w:val="left"/>
              <w:rPr>
                <w:rFonts w:ascii="黑体" w:hAnsi="黑体"/>
                <w:szCs w:val="18"/>
              </w:rPr>
            </w:pPr>
            <w:r>
              <w:rPr>
                <w:rFonts w:hint="eastAsia" w:ascii="黑体" w:hAnsi="黑体"/>
                <w:szCs w:val="18"/>
              </w:rPr>
              <w:t>≥0</w:t>
            </w:r>
            <w:r>
              <w:rPr>
                <w:rFonts w:ascii="黑体" w:hAnsi="黑体"/>
                <w:szCs w:val="18"/>
              </w:rPr>
              <w:t>.15</w:t>
            </w:r>
          </w:p>
        </w:tc>
        <w:tc>
          <w:tcPr>
            <w:tcW w:w="2253" w:type="dxa"/>
            <w:vAlign w:val="center"/>
          </w:tcPr>
          <w:p w14:paraId="57650971">
            <w:pPr>
              <w:adjustRightInd w:val="0"/>
              <w:snapToGrid w:val="0"/>
              <w:spacing w:line="360" w:lineRule="auto"/>
              <w:jc w:val="left"/>
              <w:rPr>
                <w:rFonts w:ascii="黑体" w:hAnsi="黑体"/>
                <w:szCs w:val="18"/>
              </w:rPr>
            </w:pPr>
            <w:r>
              <w:rPr>
                <w:rFonts w:hint="eastAsia" w:ascii="黑体" w:hAnsi="黑体"/>
                <w:szCs w:val="18"/>
              </w:rPr>
              <w:t>≥0</w:t>
            </w:r>
            <w:r>
              <w:rPr>
                <w:rFonts w:ascii="黑体" w:hAnsi="黑体"/>
                <w:szCs w:val="18"/>
              </w:rPr>
              <w:t>.04</w:t>
            </w:r>
          </w:p>
        </w:tc>
        <w:tc>
          <w:tcPr>
            <w:tcW w:w="1134" w:type="dxa"/>
            <w:vAlign w:val="center"/>
          </w:tcPr>
          <w:p w14:paraId="6E2A4C50">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0ACE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67E38631">
            <w:pPr>
              <w:adjustRightInd w:val="0"/>
              <w:snapToGrid w:val="0"/>
              <w:spacing w:line="360" w:lineRule="auto"/>
              <w:jc w:val="left"/>
              <w:rPr>
                <w:rFonts w:ascii="黑体" w:hAnsi="黑体"/>
                <w:szCs w:val="18"/>
              </w:rPr>
            </w:pPr>
            <w:r>
              <w:rPr>
                <w:rFonts w:hint="eastAsia" w:ascii="黑体" w:hAnsi="黑体"/>
                <w:szCs w:val="18"/>
              </w:rPr>
              <w:t>5</w:t>
            </w:r>
          </w:p>
        </w:tc>
        <w:tc>
          <w:tcPr>
            <w:tcW w:w="2170" w:type="dxa"/>
            <w:vAlign w:val="center"/>
          </w:tcPr>
          <w:p w14:paraId="1CD23007">
            <w:pPr>
              <w:adjustRightInd w:val="0"/>
              <w:snapToGrid w:val="0"/>
              <w:spacing w:line="360" w:lineRule="auto"/>
              <w:jc w:val="left"/>
              <w:rPr>
                <w:rFonts w:ascii="黑体" w:hAnsi="黑体"/>
                <w:szCs w:val="18"/>
              </w:rPr>
            </w:pPr>
            <w:r>
              <w:rPr>
                <w:rFonts w:hint="eastAsia" w:ascii="黑体" w:hAnsi="黑体"/>
                <w:szCs w:val="18"/>
              </w:rPr>
              <w:t>抗压强度，M</w:t>
            </w:r>
            <w:r>
              <w:rPr>
                <w:rFonts w:ascii="黑体" w:hAnsi="黑体"/>
                <w:szCs w:val="18"/>
              </w:rPr>
              <w:t>Pa</w:t>
            </w:r>
          </w:p>
        </w:tc>
        <w:tc>
          <w:tcPr>
            <w:tcW w:w="2240" w:type="dxa"/>
            <w:vAlign w:val="center"/>
          </w:tcPr>
          <w:p w14:paraId="11A3DECE">
            <w:pPr>
              <w:adjustRightInd w:val="0"/>
              <w:snapToGrid w:val="0"/>
              <w:spacing w:line="360" w:lineRule="auto"/>
              <w:jc w:val="left"/>
              <w:rPr>
                <w:rFonts w:ascii="黑体" w:hAnsi="黑体"/>
                <w:szCs w:val="18"/>
              </w:rPr>
            </w:pPr>
            <w:r>
              <w:rPr>
                <w:rFonts w:hint="eastAsia" w:ascii="黑体" w:hAnsi="黑体"/>
                <w:szCs w:val="18"/>
              </w:rPr>
              <w:t>—</w:t>
            </w:r>
          </w:p>
        </w:tc>
        <w:tc>
          <w:tcPr>
            <w:tcW w:w="2253" w:type="dxa"/>
            <w:vAlign w:val="center"/>
          </w:tcPr>
          <w:p w14:paraId="1BFD5F38">
            <w:pPr>
              <w:adjustRightInd w:val="0"/>
              <w:snapToGrid w:val="0"/>
              <w:spacing w:line="360" w:lineRule="auto"/>
              <w:jc w:val="left"/>
              <w:rPr>
                <w:rFonts w:ascii="黑体" w:hAnsi="黑体"/>
                <w:szCs w:val="18"/>
              </w:rPr>
            </w:pPr>
            <w:r>
              <w:rPr>
                <w:rFonts w:hint="eastAsia" w:ascii="黑体" w:hAnsi="黑体"/>
                <w:szCs w:val="18"/>
              </w:rPr>
              <w:t>≥0</w:t>
            </w:r>
            <w:r>
              <w:rPr>
                <w:rFonts w:ascii="黑体" w:hAnsi="黑体"/>
                <w:szCs w:val="18"/>
              </w:rPr>
              <w:t>.5</w:t>
            </w:r>
          </w:p>
        </w:tc>
        <w:tc>
          <w:tcPr>
            <w:tcW w:w="1134" w:type="dxa"/>
            <w:vAlign w:val="center"/>
          </w:tcPr>
          <w:p w14:paraId="06446F4A">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52B5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7347DF87">
            <w:pPr>
              <w:adjustRightInd w:val="0"/>
              <w:snapToGrid w:val="0"/>
              <w:spacing w:line="360" w:lineRule="auto"/>
              <w:jc w:val="left"/>
              <w:rPr>
                <w:rFonts w:ascii="黑体" w:hAnsi="黑体"/>
                <w:szCs w:val="18"/>
              </w:rPr>
            </w:pPr>
            <w:r>
              <w:rPr>
                <w:rFonts w:hint="eastAsia" w:ascii="黑体" w:hAnsi="黑体"/>
                <w:szCs w:val="18"/>
              </w:rPr>
              <w:t>6</w:t>
            </w:r>
          </w:p>
        </w:tc>
        <w:tc>
          <w:tcPr>
            <w:tcW w:w="2170" w:type="dxa"/>
            <w:vAlign w:val="center"/>
          </w:tcPr>
          <w:p w14:paraId="185701EC">
            <w:pPr>
              <w:adjustRightInd w:val="0"/>
              <w:snapToGrid w:val="0"/>
              <w:spacing w:line="360" w:lineRule="auto"/>
              <w:jc w:val="left"/>
              <w:rPr>
                <w:rFonts w:ascii="黑体" w:hAnsi="黑体"/>
                <w:szCs w:val="18"/>
              </w:rPr>
            </w:pPr>
            <w:r>
              <w:rPr>
                <w:rFonts w:hint="eastAsia" w:ascii="黑体" w:hAnsi="黑体"/>
                <w:szCs w:val="18"/>
              </w:rPr>
              <w:t>干密度，k</w:t>
            </w:r>
            <w:r>
              <w:rPr>
                <w:rFonts w:ascii="黑体" w:hAnsi="黑体"/>
                <w:szCs w:val="18"/>
              </w:rPr>
              <w:t>g/m</w:t>
            </w:r>
            <w:r>
              <w:rPr>
                <w:rFonts w:ascii="黑体" w:hAnsi="黑体"/>
                <w:szCs w:val="18"/>
                <w:vertAlign w:val="superscript"/>
              </w:rPr>
              <w:t>3</w:t>
            </w:r>
          </w:p>
        </w:tc>
        <w:tc>
          <w:tcPr>
            <w:tcW w:w="2240" w:type="dxa"/>
            <w:vAlign w:val="center"/>
          </w:tcPr>
          <w:p w14:paraId="1572825D">
            <w:pPr>
              <w:adjustRightInd w:val="0"/>
              <w:snapToGrid w:val="0"/>
              <w:spacing w:line="360" w:lineRule="auto"/>
              <w:jc w:val="left"/>
              <w:rPr>
                <w:rFonts w:ascii="黑体" w:hAnsi="黑体"/>
                <w:szCs w:val="18"/>
              </w:rPr>
            </w:pPr>
            <w:r>
              <w:rPr>
                <w:rFonts w:hint="eastAsia" w:ascii="黑体" w:hAnsi="黑体"/>
                <w:szCs w:val="18"/>
              </w:rPr>
              <w:t>—</w:t>
            </w:r>
          </w:p>
        </w:tc>
        <w:tc>
          <w:tcPr>
            <w:tcW w:w="2253" w:type="dxa"/>
            <w:vAlign w:val="center"/>
          </w:tcPr>
          <w:p w14:paraId="44246A74">
            <w:pPr>
              <w:adjustRightInd w:val="0"/>
              <w:snapToGrid w:val="0"/>
              <w:spacing w:line="360" w:lineRule="auto"/>
              <w:jc w:val="left"/>
              <w:rPr>
                <w:rFonts w:ascii="黑体" w:hAnsi="黑体"/>
                <w:szCs w:val="18"/>
              </w:rPr>
            </w:pPr>
            <w:r>
              <w:rPr>
                <w:rFonts w:hint="eastAsia" w:ascii="黑体" w:hAnsi="黑体"/>
                <w:szCs w:val="18"/>
              </w:rPr>
              <w:t>≤</w:t>
            </w:r>
            <w:r>
              <w:rPr>
                <w:rFonts w:ascii="黑体" w:hAnsi="黑体"/>
                <w:szCs w:val="18"/>
              </w:rPr>
              <w:t>550</w:t>
            </w:r>
          </w:p>
        </w:tc>
        <w:tc>
          <w:tcPr>
            <w:tcW w:w="1134" w:type="dxa"/>
            <w:vAlign w:val="center"/>
          </w:tcPr>
          <w:p w14:paraId="05A82932">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195E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58DD2D47">
            <w:pPr>
              <w:adjustRightInd w:val="0"/>
              <w:snapToGrid w:val="0"/>
              <w:spacing w:line="360" w:lineRule="auto"/>
              <w:jc w:val="left"/>
              <w:rPr>
                <w:rFonts w:ascii="黑体" w:hAnsi="黑体"/>
                <w:szCs w:val="18"/>
              </w:rPr>
            </w:pPr>
            <w:r>
              <w:rPr>
                <w:rFonts w:hint="eastAsia" w:ascii="黑体" w:hAnsi="黑体"/>
                <w:szCs w:val="18"/>
              </w:rPr>
              <w:t>7</w:t>
            </w:r>
          </w:p>
        </w:tc>
        <w:tc>
          <w:tcPr>
            <w:tcW w:w="2170" w:type="dxa"/>
            <w:vAlign w:val="center"/>
          </w:tcPr>
          <w:p w14:paraId="7BEC2CFF">
            <w:pPr>
              <w:adjustRightInd w:val="0"/>
              <w:snapToGrid w:val="0"/>
              <w:spacing w:line="360" w:lineRule="auto"/>
              <w:jc w:val="left"/>
              <w:rPr>
                <w:rFonts w:ascii="黑体" w:hAnsi="黑体"/>
                <w:szCs w:val="18"/>
              </w:rPr>
            </w:pPr>
            <w:r>
              <w:rPr>
                <w:rFonts w:hint="eastAsia" w:ascii="黑体" w:hAnsi="黑体"/>
                <w:szCs w:val="18"/>
              </w:rPr>
              <w:t>隔热效率偏差，%</w:t>
            </w:r>
          </w:p>
        </w:tc>
        <w:tc>
          <w:tcPr>
            <w:tcW w:w="2240" w:type="dxa"/>
            <w:vAlign w:val="center"/>
          </w:tcPr>
          <w:p w14:paraId="02031A99">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w:t>
            </w:r>
          </w:p>
        </w:tc>
        <w:tc>
          <w:tcPr>
            <w:tcW w:w="2253" w:type="dxa"/>
            <w:vAlign w:val="center"/>
          </w:tcPr>
          <w:p w14:paraId="08D9B334">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w:t>
            </w:r>
          </w:p>
        </w:tc>
        <w:tc>
          <w:tcPr>
            <w:tcW w:w="1134" w:type="dxa"/>
            <w:vAlign w:val="center"/>
          </w:tcPr>
          <w:p w14:paraId="0B29D196">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1CCA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44AAB034">
            <w:pPr>
              <w:adjustRightInd w:val="0"/>
              <w:snapToGrid w:val="0"/>
              <w:spacing w:line="360" w:lineRule="auto"/>
              <w:jc w:val="left"/>
              <w:rPr>
                <w:rFonts w:ascii="黑体" w:hAnsi="黑体"/>
                <w:szCs w:val="18"/>
              </w:rPr>
            </w:pPr>
            <w:r>
              <w:rPr>
                <w:rFonts w:hint="eastAsia" w:ascii="黑体" w:hAnsi="黑体"/>
                <w:szCs w:val="18"/>
              </w:rPr>
              <w:t>8</w:t>
            </w:r>
          </w:p>
        </w:tc>
        <w:tc>
          <w:tcPr>
            <w:tcW w:w="2170" w:type="dxa"/>
            <w:vAlign w:val="center"/>
          </w:tcPr>
          <w:p w14:paraId="52FE861F">
            <w:pPr>
              <w:adjustRightInd w:val="0"/>
              <w:snapToGrid w:val="0"/>
              <w:spacing w:line="360" w:lineRule="auto"/>
              <w:jc w:val="left"/>
              <w:rPr>
                <w:rFonts w:ascii="黑体" w:hAnsi="黑体"/>
                <w:szCs w:val="18"/>
              </w:rPr>
            </w:pPr>
            <w:r>
              <w:rPr>
                <w:rFonts w:hint="eastAsia" w:ascii="黑体" w:hAnsi="黑体"/>
                <w:szCs w:val="18"/>
              </w:rPr>
              <w:t>P</w:t>
            </w:r>
            <w:r>
              <w:rPr>
                <w:rFonts w:ascii="黑体" w:hAnsi="黑体"/>
                <w:szCs w:val="18"/>
              </w:rPr>
              <w:t>H值</w:t>
            </w:r>
          </w:p>
        </w:tc>
        <w:tc>
          <w:tcPr>
            <w:tcW w:w="2240" w:type="dxa"/>
            <w:vAlign w:val="center"/>
          </w:tcPr>
          <w:p w14:paraId="50F8040E">
            <w:pPr>
              <w:adjustRightInd w:val="0"/>
              <w:snapToGrid w:val="0"/>
              <w:spacing w:line="360" w:lineRule="auto"/>
              <w:jc w:val="left"/>
              <w:rPr>
                <w:rFonts w:ascii="黑体" w:hAnsi="黑体"/>
                <w:szCs w:val="18"/>
              </w:rPr>
            </w:pPr>
            <w:r>
              <w:rPr>
                <w:rFonts w:hint="eastAsia" w:ascii="黑体" w:hAnsi="黑体"/>
                <w:szCs w:val="18"/>
              </w:rPr>
              <w:t>≥7</w:t>
            </w:r>
          </w:p>
        </w:tc>
        <w:tc>
          <w:tcPr>
            <w:tcW w:w="2253" w:type="dxa"/>
            <w:vAlign w:val="center"/>
          </w:tcPr>
          <w:p w14:paraId="2421D837">
            <w:pPr>
              <w:adjustRightInd w:val="0"/>
              <w:snapToGrid w:val="0"/>
              <w:spacing w:line="360" w:lineRule="auto"/>
              <w:jc w:val="left"/>
              <w:rPr>
                <w:rFonts w:ascii="黑体" w:hAnsi="黑体"/>
                <w:szCs w:val="18"/>
              </w:rPr>
            </w:pPr>
            <w:r>
              <w:rPr>
                <w:rFonts w:hint="eastAsia" w:ascii="黑体" w:hAnsi="黑体"/>
                <w:szCs w:val="18"/>
              </w:rPr>
              <w:t>≥7</w:t>
            </w:r>
          </w:p>
        </w:tc>
        <w:tc>
          <w:tcPr>
            <w:tcW w:w="1134" w:type="dxa"/>
            <w:vAlign w:val="center"/>
          </w:tcPr>
          <w:p w14:paraId="1CC91AF1">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05B4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31A6B259">
            <w:pPr>
              <w:adjustRightInd w:val="0"/>
              <w:snapToGrid w:val="0"/>
              <w:spacing w:line="360" w:lineRule="auto"/>
              <w:jc w:val="left"/>
              <w:rPr>
                <w:rFonts w:ascii="黑体" w:hAnsi="黑体"/>
                <w:szCs w:val="18"/>
              </w:rPr>
            </w:pPr>
            <w:r>
              <w:rPr>
                <w:rFonts w:hint="eastAsia" w:ascii="黑体" w:hAnsi="黑体"/>
                <w:szCs w:val="18"/>
              </w:rPr>
              <w:t>9</w:t>
            </w:r>
          </w:p>
        </w:tc>
        <w:tc>
          <w:tcPr>
            <w:tcW w:w="2170" w:type="dxa"/>
            <w:vAlign w:val="center"/>
          </w:tcPr>
          <w:p w14:paraId="4B3ECBBE">
            <w:pPr>
              <w:adjustRightInd w:val="0"/>
              <w:snapToGrid w:val="0"/>
              <w:spacing w:line="360" w:lineRule="auto"/>
              <w:jc w:val="left"/>
              <w:rPr>
                <w:rFonts w:ascii="黑体" w:hAnsi="黑体"/>
                <w:szCs w:val="18"/>
              </w:rPr>
            </w:pPr>
            <w:r>
              <w:rPr>
                <w:rFonts w:hint="eastAsia" w:ascii="黑体" w:hAnsi="黑体"/>
                <w:szCs w:val="18"/>
              </w:rPr>
              <w:t>耐曝热性</w:t>
            </w:r>
          </w:p>
        </w:tc>
        <w:tc>
          <w:tcPr>
            <w:tcW w:w="2240" w:type="dxa"/>
            <w:vAlign w:val="center"/>
          </w:tcPr>
          <w:p w14:paraId="6E5D05BF">
            <w:pPr>
              <w:adjustRightInd w:val="0"/>
              <w:snapToGrid w:val="0"/>
              <w:spacing w:line="360" w:lineRule="auto"/>
              <w:jc w:val="left"/>
              <w:rPr>
                <w:rFonts w:ascii="黑体" w:hAnsi="黑体"/>
                <w:szCs w:val="18"/>
              </w:rPr>
            </w:pPr>
            <w:r>
              <w:rPr>
                <w:rFonts w:ascii="黑体" w:hAnsi="黑体"/>
                <w:szCs w:val="18"/>
              </w:rPr>
              <w:t>720h试验后，涂层应无起层、脱落、空鼓、开裂现象，且隔热效率衰减量应</w:t>
            </w:r>
            <w:r>
              <w:rPr>
                <w:rFonts w:hint="eastAsia" w:ascii="黑体" w:hAnsi="黑体"/>
                <w:szCs w:val="18"/>
              </w:rPr>
              <w:t>≤</w:t>
            </w:r>
            <w:r>
              <w:rPr>
                <w:rFonts w:ascii="黑体" w:hAnsi="黑体"/>
                <w:szCs w:val="18"/>
              </w:rPr>
              <w:t>35%</w:t>
            </w:r>
          </w:p>
        </w:tc>
        <w:tc>
          <w:tcPr>
            <w:tcW w:w="2253" w:type="dxa"/>
            <w:vAlign w:val="center"/>
          </w:tcPr>
          <w:p w14:paraId="00D136C0">
            <w:pPr>
              <w:adjustRightInd w:val="0"/>
              <w:snapToGrid w:val="0"/>
              <w:spacing w:line="360" w:lineRule="auto"/>
              <w:jc w:val="left"/>
              <w:rPr>
                <w:rFonts w:ascii="黑体" w:hAnsi="黑体"/>
                <w:szCs w:val="18"/>
              </w:rPr>
            </w:pPr>
            <w:r>
              <w:rPr>
                <w:rFonts w:ascii="黑体" w:hAnsi="黑体"/>
                <w:szCs w:val="18"/>
              </w:rPr>
              <w:t>720h试验后，涂层应无起层、脱落、空鼓、开裂现象，且隔热效率衰减量应</w:t>
            </w:r>
            <w:r>
              <w:rPr>
                <w:rFonts w:hint="eastAsia" w:ascii="黑体" w:hAnsi="黑体"/>
                <w:szCs w:val="18"/>
              </w:rPr>
              <w:t>≤</w:t>
            </w:r>
            <w:r>
              <w:rPr>
                <w:rFonts w:ascii="黑体" w:hAnsi="黑体"/>
                <w:szCs w:val="18"/>
              </w:rPr>
              <w:t>35%</w:t>
            </w:r>
          </w:p>
        </w:tc>
        <w:tc>
          <w:tcPr>
            <w:tcW w:w="1134" w:type="dxa"/>
            <w:vAlign w:val="center"/>
          </w:tcPr>
          <w:p w14:paraId="30A3144E">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2401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010942B4">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0</w:t>
            </w:r>
          </w:p>
        </w:tc>
        <w:tc>
          <w:tcPr>
            <w:tcW w:w="2170" w:type="dxa"/>
            <w:vAlign w:val="center"/>
          </w:tcPr>
          <w:p w14:paraId="237EAC34">
            <w:pPr>
              <w:adjustRightInd w:val="0"/>
              <w:snapToGrid w:val="0"/>
              <w:spacing w:line="360" w:lineRule="auto"/>
              <w:jc w:val="left"/>
              <w:rPr>
                <w:rFonts w:ascii="黑体" w:hAnsi="黑体"/>
                <w:szCs w:val="18"/>
              </w:rPr>
            </w:pPr>
            <w:r>
              <w:rPr>
                <w:rFonts w:hint="eastAsia" w:ascii="黑体" w:hAnsi="黑体"/>
                <w:szCs w:val="18"/>
              </w:rPr>
              <w:t>耐湿热性</w:t>
            </w:r>
          </w:p>
        </w:tc>
        <w:tc>
          <w:tcPr>
            <w:tcW w:w="2240" w:type="dxa"/>
            <w:vAlign w:val="center"/>
          </w:tcPr>
          <w:p w14:paraId="03199931">
            <w:pPr>
              <w:adjustRightInd w:val="0"/>
              <w:snapToGrid w:val="0"/>
              <w:spacing w:line="360" w:lineRule="auto"/>
              <w:jc w:val="left"/>
              <w:rPr>
                <w:rFonts w:ascii="黑体" w:hAnsi="黑体"/>
                <w:szCs w:val="18"/>
              </w:rPr>
            </w:pPr>
            <w:r>
              <w:rPr>
                <w:rFonts w:ascii="黑体" w:hAnsi="黑体"/>
                <w:szCs w:val="18"/>
              </w:rPr>
              <w:t>504h试验后，涂层应无起层、脱落现象，且隔热效率衰减量应</w:t>
            </w:r>
            <w:r>
              <w:rPr>
                <w:rFonts w:hint="eastAsia" w:ascii="黑体" w:hAnsi="黑体"/>
                <w:szCs w:val="18"/>
              </w:rPr>
              <w:t>≤</w:t>
            </w:r>
            <w:r>
              <w:rPr>
                <w:rFonts w:ascii="黑体" w:hAnsi="黑体"/>
                <w:szCs w:val="18"/>
              </w:rPr>
              <w:t>35%</w:t>
            </w:r>
          </w:p>
        </w:tc>
        <w:tc>
          <w:tcPr>
            <w:tcW w:w="2253" w:type="dxa"/>
            <w:vAlign w:val="center"/>
          </w:tcPr>
          <w:p w14:paraId="17DBE2BC">
            <w:pPr>
              <w:adjustRightInd w:val="0"/>
              <w:snapToGrid w:val="0"/>
              <w:spacing w:line="360" w:lineRule="auto"/>
              <w:jc w:val="left"/>
              <w:rPr>
                <w:rFonts w:ascii="黑体" w:hAnsi="黑体"/>
                <w:szCs w:val="18"/>
              </w:rPr>
            </w:pPr>
            <w:r>
              <w:rPr>
                <w:rFonts w:ascii="黑体" w:hAnsi="黑体"/>
                <w:szCs w:val="18"/>
              </w:rPr>
              <w:t>504h试验后，涂层应无起层、脱落现象，且隔热效率衰减量应</w:t>
            </w:r>
            <w:r>
              <w:rPr>
                <w:rFonts w:hint="eastAsia" w:ascii="黑体" w:hAnsi="黑体"/>
                <w:szCs w:val="18"/>
              </w:rPr>
              <w:t>≤</w:t>
            </w:r>
            <w:r>
              <w:rPr>
                <w:rFonts w:ascii="黑体" w:hAnsi="黑体"/>
                <w:szCs w:val="18"/>
              </w:rPr>
              <w:t>35%</w:t>
            </w:r>
          </w:p>
        </w:tc>
        <w:tc>
          <w:tcPr>
            <w:tcW w:w="1134" w:type="dxa"/>
            <w:vAlign w:val="center"/>
          </w:tcPr>
          <w:p w14:paraId="247D10BC">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1050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01E195B9">
            <w:pPr>
              <w:adjustRightInd w:val="0"/>
              <w:snapToGrid w:val="0"/>
              <w:spacing w:line="360" w:lineRule="auto"/>
              <w:jc w:val="left"/>
              <w:rPr>
                <w:rFonts w:ascii="黑体" w:hAnsi="黑体"/>
                <w:szCs w:val="18"/>
              </w:rPr>
            </w:pPr>
            <w:r>
              <w:rPr>
                <w:rFonts w:ascii="黑体" w:hAnsi="黑体"/>
                <w:szCs w:val="18"/>
              </w:rPr>
              <w:t>11</w:t>
            </w:r>
          </w:p>
        </w:tc>
        <w:tc>
          <w:tcPr>
            <w:tcW w:w="2170" w:type="dxa"/>
            <w:vAlign w:val="center"/>
          </w:tcPr>
          <w:p w14:paraId="65D25956">
            <w:pPr>
              <w:adjustRightInd w:val="0"/>
              <w:snapToGrid w:val="0"/>
              <w:spacing w:line="360" w:lineRule="auto"/>
              <w:jc w:val="left"/>
              <w:rPr>
                <w:rFonts w:ascii="黑体" w:hAnsi="黑体"/>
                <w:szCs w:val="18"/>
              </w:rPr>
            </w:pPr>
            <w:r>
              <w:rPr>
                <w:rFonts w:hint="eastAsia" w:ascii="黑体" w:hAnsi="黑体"/>
                <w:szCs w:val="18"/>
              </w:rPr>
              <w:t>耐冻融循环性</w:t>
            </w:r>
          </w:p>
        </w:tc>
        <w:tc>
          <w:tcPr>
            <w:tcW w:w="2240" w:type="dxa"/>
            <w:vAlign w:val="center"/>
          </w:tcPr>
          <w:p w14:paraId="6C5267BC">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5次试验后，涂层应无开裂、脱落、起泡现象，且隔热效率衰减量应</w:t>
            </w:r>
            <w:r>
              <w:rPr>
                <w:rFonts w:hint="eastAsia" w:ascii="黑体" w:hAnsi="黑体"/>
                <w:szCs w:val="18"/>
              </w:rPr>
              <w:t>≤</w:t>
            </w:r>
            <w:r>
              <w:rPr>
                <w:rFonts w:ascii="黑体" w:hAnsi="黑体"/>
                <w:szCs w:val="18"/>
              </w:rPr>
              <w:t>35%</w:t>
            </w:r>
          </w:p>
        </w:tc>
        <w:tc>
          <w:tcPr>
            <w:tcW w:w="2253" w:type="dxa"/>
            <w:vAlign w:val="center"/>
          </w:tcPr>
          <w:p w14:paraId="04BD759B">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5次试验后，涂层应无开裂、脱落、起泡现象，且隔热效率衰减量应</w:t>
            </w:r>
            <w:r>
              <w:rPr>
                <w:rFonts w:hint="eastAsia" w:ascii="黑体" w:hAnsi="黑体"/>
                <w:szCs w:val="18"/>
              </w:rPr>
              <w:t>≤</w:t>
            </w:r>
            <w:r>
              <w:rPr>
                <w:rFonts w:ascii="黑体" w:hAnsi="黑体"/>
                <w:szCs w:val="18"/>
              </w:rPr>
              <w:t>35%</w:t>
            </w:r>
          </w:p>
        </w:tc>
        <w:tc>
          <w:tcPr>
            <w:tcW w:w="1134" w:type="dxa"/>
            <w:vAlign w:val="center"/>
          </w:tcPr>
          <w:p w14:paraId="0FFB3A18">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7DFB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5187BFF4">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2</w:t>
            </w:r>
          </w:p>
        </w:tc>
        <w:tc>
          <w:tcPr>
            <w:tcW w:w="2170" w:type="dxa"/>
            <w:vAlign w:val="center"/>
          </w:tcPr>
          <w:p w14:paraId="4CE2B4F9">
            <w:pPr>
              <w:adjustRightInd w:val="0"/>
              <w:snapToGrid w:val="0"/>
              <w:spacing w:line="360" w:lineRule="auto"/>
              <w:jc w:val="left"/>
              <w:rPr>
                <w:rFonts w:ascii="黑体" w:hAnsi="黑体"/>
                <w:szCs w:val="18"/>
              </w:rPr>
            </w:pPr>
            <w:r>
              <w:rPr>
                <w:rFonts w:hint="eastAsia" w:ascii="黑体" w:hAnsi="黑体"/>
                <w:szCs w:val="18"/>
              </w:rPr>
              <w:t>耐酸性</w:t>
            </w:r>
          </w:p>
        </w:tc>
        <w:tc>
          <w:tcPr>
            <w:tcW w:w="2240" w:type="dxa"/>
            <w:vAlign w:val="center"/>
          </w:tcPr>
          <w:p w14:paraId="60A77108">
            <w:pPr>
              <w:adjustRightInd w:val="0"/>
              <w:snapToGrid w:val="0"/>
              <w:spacing w:line="360" w:lineRule="auto"/>
              <w:jc w:val="left"/>
              <w:rPr>
                <w:rFonts w:ascii="黑体" w:hAnsi="黑体"/>
                <w:szCs w:val="18"/>
              </w:rPr>
            </w:pPr>
            <w:r>
              <w:rPr>
                <w:rFonts w:ascii="黑体" w:hAnsi="黑体"/>
                <w:szCs w:val="18"/>
              </w:rPr>
              <w:t>360h试验后，涂层应无起层、脱落、开裂现象，且隔热效率衰减量应</w:t>
            </w:r>
            <w:r>
              <w:rPr>
                <w:rFonts w:hint="eastAsia" w:ascii="黑体" w:hAnsi="黑体"/>
                <w:szCs w:val="18"/>
              </w:rPr>
              <w:t>≤</w:t>
            </w:r>
            <w:r>
              <w:rPr>
                <w:rFonts w:ascii="黑体" w:hAnsi="黑体"/>
                <w:szCs w:val="18"/>
              </w:rPr>
              <w:t>35%</w:t>
            </w:r>
          </w:p>
        </w:tc>
        <w:tc>
          <w:tcPr>
            <w:tcW w:w="2253" w:type="dxa"/>
            <w:vAlign w:val="center"/>
          </w:tcPr>
          <w:p w14:paraId="06E4BA38">
            <w:pPr>
              <w:adjustRightInd w:val="0"/>
              <w:snapToGrid w:val="0"/>
              <w:spacing w:line="360" w:lineRule="auto"/>
              <w:jc w:val="left"/>
              <w:rPr>
                <w:rFonts w:ascii="黑体" w:hAnsi="黑体"/>
                <w:szCs w:val="18"/>
              </w:rPr>
            </w:pPr>
            <w:r>
              <w:rPr>
                <w:rFonts w:ascii="黑体" w:hAnsi="黑体"/>
                <w:szCs w:val="18"/>
              </w:rPr>
              <w:t>360h试验后，涂层应无起层、脱落、开裂现象，且隔热效率衰减量应</w:t>
            </w:r>
            <w:r>
              <w:rPr>
                <w:rFonts w:hint="eastAsia" w:ascii="黑体" w:hAnsi="黑体"/>
                <w:szCs w:val="18"/>
              </w:rPr>
              <w:t>≤</w:t>
            </w:r>
            <w:r>
              <w:rPr>
                <w:rFonts w:ascii="黑体" w:hAnsi="黑体"/>
                <w:szCs w:val="18"/>
              </w:rPr>
              <w:t>35%</w:t>
            </w:r>
          </w:p>
        </w:tc>
        <w:tc>
          <w:tcPr>
            <w:tcW w:w="1134" w:type="dxa"/>
            <w:vAlign w:val="center"/>
          </w:tcPr>
          <w:p w14:paraId="351BAA90">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355C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13382B87">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3</w:t>
            </w:r>
          </w:p>
        </w:tc>
        <w:tc>
          <w:tcPr>
            <w:tcW w:w="2170" w:type="dxa"/>
            <w:vAlign w:val="center"/>
          </w:tcPr>
          <w:p w14:paraId="3CC6E62A">
            <w:pPr>
              <w:adjustRightInd w:val="0"/>
              <w:snapToGrid w:val="0"/>
              <w:spacing w:line="360" w:lineRule="auto"/>
              <w:jc w:val="left"/>
              <w:rPr>
                <w:rFonts w:ascii="黑体" w:hAnsi="黑体"/>
                <w:szCs w:val="18"/>
              </w:rPr>
            </w:pPr>
            <w:r>
              <w:rPr>
                <w:rFonts w:hint="eastAsia" w:ascii="黑体" w:hAnsi="黑体"/>
                <w:szCs w:val="18"/>
              </w:rPr>
              <w:t>耐碱性</w:t>
            </w:r>
          </w:p>
        </w:tc>
        <w:tc>
          <w:tcPr>
            <w:tcW w:w="2240" w:type="dxa"/>
            <w:vAlign w:val="center"/>
          </w:tcPr>
          <w:p w14:paraId="67EF11EF">
            <w:pPr>
              <w:adjustRightInd w:val="0"/>
              <w:snapToGrid w:val="0"/>
              <w:spacing w:line="360" w:lineRule="auto"/>
              <w:jc w:val="left"/>
              <w:rPr>
                <w:rFonts w:ascii="黑体" w:hAnsi="黑体"/>
                <w:szCs w:val="18"/>
              </w:rPr>
            </w:pPr>
            <w:r>
              <w:rPr>
                <w:rFonts w:ascii="黑体" w:hAnsi="黑体"/>
                <w:szCs w:val="18"/>
              </w:rPr>
              <w:t>360h试验后，涂层应无起层、脱落、开裂现象，且隔热效率衰减量应</w:t>
            </w:r>
            <w:r>
              <w:rPr>
                <w:rFonts w:hint="eastAsia" w:ascii="黑体" w:hAnsi="黑体"/>
                <w:szCs w:val="18"/>
              </w:rPr>
              <w:t>≤</w:t>
            </w:r>
            <w:r>
              <w:rPr>
                <w:rFonts w:ascii="黑体" w:hAnsi="黑体"/>
                <w:szCs w:val="18"/>
              </w:rPr>
              <w:t>35%</w:t>
            </w:r>
          </w:p>
        </w:tc>
        <w:tc>
          <w:tcPr>
            <w:tcW w:w="2253" w:type="dxa"/>
            <w:vAlign w:val="center"/>
          </w:tcPr>
          <w:p w14:paraId="3BFBEBAA">
            <w:pPr>
              <w:adjustRightInd w:val="0"/>
              <w:snapToGrid w:val="0"/>
              <w:spacing w:line="360" w:lineRule="auto"/>
              <w:jc w:val="left"/>
              <w:rPr>
                <w:rFonts w:ascii="黑体" w:hAnsi="黑体"/>
                <w:szCs w:val="18"/>
              </w:rPr>
            </w:pPr>
            <w:r>
              <w:rPr>
                <w:rFonts w:ascii="黑体" w:hAnsi="黑体"/>
                <w:szCs w:val="18"/>
              </w:rPr>
              <w:t>360h试验后，涂层应无起层、脱落、开裂现象，且隔热效率衰减量应</w:t>
            </w:r>
            <w:r>
              <w:rPr>
                <w:rFonts w:hint="eastAsia" w:ascii="黑体" w:hAnsi="黑体"/>
                <w:szCs w:val="18"/>
              </w:rPr>
              <w:t>≤</w:t>
            </w:r>
            <w:r>
              <w:rPr>
                <w:rFonts w:ascii="黑体" w:hAnsi="黑体"/>
                <w:szCs w:val="18"/>
              </w:rPr>
              <w:t>35%</w:t>
            </w:r>
          </w:p>
        </w:tc>
        <w:tc>
          <w:tcPr>
            <w:tcW w:w="1134" w:type="dxa"/>
            <w:vAlign w:val="center"/>
          </w:tcPr>
          <w:p w14:paraId="66D0D446">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459B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463111AF">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4</w:t>
            </w:r>
          </w:p>
        </w:tc>
        <w:tc>
          <w:tcPr>
            <w:tcW w:w="2170" w:type="dxa"/>
            <w:vAlign w:val="center"/>
          </w:tcPr>
          <w:p w14:paraId="55DAE0FE">
            <w:pPr>
              <w:adjustRightInd w:val="0"/>
              <w:snapToGrid w:val="0"/>
              <w:spacing w:line="360" w:lineRule="auto"/>
              <w:jc w:val="left"/>
              <w:rPr>
                <w:rFonts w:ascii="黑体" w:hAnsi="黑体"/>
                <w:szCs w:val="18"/>
              </w:rPr>
            </w:pPr>
            <w:r>
              <w:rPr>
                <w:rFonts w:hint="eastAsia" w:ascii="黑体" w:hAnsi="黑体"/>
                <w:szCs w:val="18"/>
              </w:rPr>
              <w:t>耐盐雾腐蚀性</w:t>
            </w:r>
          </w:p>
        </w:tc>
        <w:tc>
          <w:tcPr>
            <w:tcW w:w="2240" w:type="dxa"/>
            <w:vAlign w:val="center"/>
          </w:tcPr>
          <w:p w14:paraId="6326F693">
            <w:pPr>
              <w:adjustRightInd w:val="0"/>
              <w:snapToGrid w:val="0"/>
              <w:spacing w:line="360" w:lineRule="auto"/>
              <w:jc w:val="left"/>
              <w:rPr>
                <w:rFonts w:ascii="黑体" w:hAnsi="黑体"/>
                <w:szCs w:val="18"/>
              </w:rPr>
            </w:pPr>
            <w:r>
              <w:rPr>
                <w:rFonts w:ascii="黑体" w:hAnsi="黑体"/>
                <w:szCs w:val="18"/>
              </w:rPr>
              <w:t>30次试验后，涂层应无起泡，明显的变质、软化现象，且隔热效率衰减量应</w:t>
            </w:r>
            <w:r>
              <w:rPr>
                <w:rFonts w:hint="eastAsia" w:ascii="黑体" w:hAnsi="黑体"/>
                <w:szCs w:val="18"/>
              </w:rPr>
              <w:t>≤</w:t>
            </w:r>
            <w:r>
              <w:rPr>
                <w:rFonts w:ascii="黑体" w:hAnsi="黑体"/>
                <w:szCs w:val="18"/>
              </w:rPr>
              <w:t>35%</w:t>
            </w:r>
          </w:p>
        </w:tc>
        <w:tc>
          <w:tcPr>
            <w:tcW w:w="2253" w:type="dxa"/>
            <w:vAlign w:val="center"/>
          </w:tcPr>
          <w:p w14:paraId="2F2C2875">
            <w:pPr>
              <w:adjustRightInd w:val="0"/>
              <w:snapToGrid w:val="0"/>
              <w:spacing w:line="360" w:lineRule="auto"/>
              <w:jc w:val="left"/>
              <w:rPr>
                <w:rFonts w:ascii="黑体" w:hAnsi="黑体"/>
                <w:szCs w:val="18"/>
              </w:rPr>
            </w:pPr>
            <w:r>
              <w:rPr>
                <w:rFonts w:ascii="黑体" w:hAnsi="黑体"/>
                <w:szCs w:val="18"/>
              </w:rPr>
              <w:t>30次试验后，涂层应无起泡，明显的变质、软化现象，且隔热效率衰减量应</w:t>
            </w:r>
            <w:r>
              <w:rPr>
                <w:rFonts w:hint="eastAsia" w:ascii="黑体" w:hAnsi="黑体"/>
                <w:szCs w:val="18"/>
              </w:rPr>
              <w:t>≤</w:t>
            </w:r>
            <w:r>
              <w:rPr>
                <w:rFonts w:ascii="黑体" w:hAnsi="黑体"/>
                <w:szCs w:val="18"/>
              </w:rPr>
              <w:t>35%</w:t>
            </w:r>
          </w:p>
        </w:tc>
        <w:tc>
          <w:tcPr>
            <w:tcW w:w="1134" w:type="dxa"/>
            <w:vAlign w:val="center"/>
          </w:tcPr>
          <w:p w14:paraId="6855E612">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r w14:paraId="2825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7" w:type="dxa"/>
            <w:vAlign w:val="center"/>
          </w:tcPr>
          <w:p w14:paraId="0BECC44A">
            <w:pPr>
              <w:adjustRightInd w:val="0"/>
              <w:snapToGrid w:val="0"/>
              <w:spacing w:line="360" w:lineRule="auto"/>
              <w:jc w:val="left"/>
              <w:rPr>
                <w:rFonts w:ascii="黑体" w:hAnsi="黑体"/>
                <w:szCs w:val="18"/>
              </w:rPr>
            </w:pPr>
            <w:r>
              <w:rPr>
                <w:rFonts w:hint="eastAsia" w:ascii="黑体" w:hAnsi="黑体"/>
                <w:szCs w:val="18"/>
              </w:rPr>
              <w:t>1</w:t>
            </w:r>
            <w:r>
              <w:rPr>
                <w:rFonts w:ascii="黑体" w:hAnsi="黑体"/>
                <w:szCs w:val="18"/>
              </w:rPr>
              <w:t>5</w:t>
            </w:r>
          </w:p>
        </w:tc>
        <w:tc>
          <w:tcPr>
            <w:tcW w:w="2170" w:type="dxa"/>
            <w:vAlign w:val="center"/>
          </w:tcPr>
          <w:p w14:paraId="2CCCB43B">
            <w:pPr>
              <w:adjustRightInd w:val="0"/>
              <w:snapToGrid w:val="0"/>
              <w:spacing w:line="360" w:lineRule="auto"/>
              <w:jc w:val="left"/>
              <w:rPr>
                <w:rFonts w:ascii="黑体" w:hAnsi="黑体"/>
                <w:szCs w:val="18"/>
              </w:rPr>
            </w:pPr>
            <w:r>
              <w:rPr>
                <w:rFonts w:hint="eastAsia" w:ascii="黑体" w:hAnsi="黑体"/>
                <w:szCs w:val="18"/>
              </w:rPr>
              <w:t>耐紫外线辐照性</w:t>
            </w:r>
          </w:p>
        </w:tc>
        <w:tc>
          <w:tcPr>
            <w:tcW w:w="2240" w:type="dxa"/>
            <w:vAlign w:val="center"/>
          </w:tcPr>
          <w:p w14:paraId="00B99E02">
            <w:pPr>
              <w:adjustRightInd w:val="0"/>
              <w:snapToGrid w:val="0"/>
              <w:spacing w:line="360" w:lineRule="auto"/>
              <w:jc w:val="left"/>
              <w:rPr>
                <w:rFonts w:ascii="黑体" w:hAnsi="黑体"/>
                <w:szCs w:val="18"/>
              </w:rPr>
            </w:pPr>
            <w:r>
              <w:rPr>
                <w:rFonts w:ascii="黑体" w:hAnsi="黑体"/>
                <w:szCs w:val="18"/>
              </w:rPr>
              <w:t>60次试验后，涂层应无起层、开裂、粉化现象，且隔热效率衰减量应</w:t>
            </w:r>
            <w:r>
              <w:rPr>
                <w:rFonts w:hint="eastAsia" w:ascii="黑体" w:hAnsi="黑体"/>
                <w:szCs w:val="18"/>
              </w:rPr>
              <w:t>≤</w:t>
            </w:r>
            <w:r>
              <w:rPr>
                <w:rFonts w:ascii="黑体" w:hAnsi="黑体"/>
                <w:szCs w:val="18"/>
              </w:rPr>
              <w:t>35%</w:t>
            </w:r>
          </w:p>
        </w:tc>
        <w:tc>
          <w:tcPr>
            <w:tcW w:w="2253" w:type="dxa"/>
            <w:vAlign w:val="center"/>
          </w:tcPr>
          <w:p w14:paraId="35E3BEE9">
            <w:pPr>
              <w:adjustRightInd w:val="0"/>
              <w:snapToGrid w:val="0"/>
              <w:spacing w:line="360" w:lineRule="auto"/>
              <w:jc w:val="left"/>
              <w:rPr>
                <w:rFonts w:ascii="黑体" w:hAnsi="黑体"/>
                <w:szCs w:val="18"/>
              </w:rPr>
            </w:pPr>
            <w:r>
              <w:rPr>
                <w:rFonts w:ascii="黑体" w:hAnsi="黑体"/>
                <w:szCs w:val="18"/>
              </w:rPr>
              <w:t>60次试验后，涂层应无起层、开裂、粉化现象，且隔热效率衰减量应</w:t>
            </w:r>
            <w:r>
              <w:rPr>
                <w:rFonts w:hint="eastAsia" w:ascii="黑体" w:hAnsi="黑体"/>
                <w:szCs w:val="18"/>
              </w:rPr>
              <w:t>≤</w:t>
            </w:r>
            <w:r>
              <w:rPr>
                <w:rFonts w:ascii="黑体" w:hAnsi="黑体"/>
                <w:szCs w:val="18"/>
              </w:rPr>
              <w:t>35%</w:t>
            </w:r>
          </w:p>
        </w:tc>
        <w:tc>
          <w:tcPr>
            <w:tcW w:w="1134" w:type="dxa"/>
            <w:vAlign w:val="center"/>
          </w:tcPr>
          <w:p w14:paraId="793C7EA0">
            <w:pPr>
              <w:adjustRightInd w:val="0"/>
              <w:snapToGrid w:val="0"/>
              <w:spacing w:line="360" w:lineRule="auto"/>
              <w:jc w:val="left"/>
              <w:rPr>
                <w:rFonts w:ascii="黑体" w:hAnsi="黑体"/>
                <w:szCs w:val="18"/>
              </w:rPr>
            </w:pPr>
            <w:r>
              <w:rPr>
                <w:rFonts w:hint="eastAsia" w:ascii="黑体" w:hAnsi="黑体"/>
                <w:szCs w:val="18"/>
              </w:rPr>
              <w:t>G</w:t>
            </w:r>
            <w:r>
              <w:rPr>
                <w:rFonts w:ascii="黑体" w:hAnsi="黑体"/>
                <w:szCs w:val="18"/>
              </w:rPr>
              <w:t>B 14907</w:t>
            </w:r>
          </w:p>
        </w:tc>
      </w:tr>
    </w:tbl>
    <w:p w14:paraId="5632E1E9">
      <w:pPr>
        <w:adjustRightInd w:val="0"/>
        <w:snapToGrid w:val="0"/>
        <w:spacing w:line="360" w:lineRule="auto"/>
        <w:jc w:val="left"/>
        <w:rPr>
          <w:rFonts w:ascii="黑体" w:hAnsi="黑体"/>
          <w:szCs w:val="18"/>
        </w:rPr>
      </w:pPr>
      <w:r>
        <w:rPr>
          <w:rFonts w:hint="eastAsia" w:ascii="黑体" w:hAnsi="黑体"/>
          <w:szCs w:val="18"/>
        </w:rPr>
        <w:t>注：隔热效率偏差只作为出厂检验项目；P</w:t>
      </w:r>
      <w:r>
        <w:rPr>
          <w:rFonts w:ascii="黑体" w:hAnsi="黑体"/>
          <w:szCs w:val="18"/>
        </w:rPr>
        <w:t>H值只适用于水基性钢结构防火涂料。</w:t>
      </w:r>
      <w:r>
        <w:rPr>
          <w:rFonts w:hint="eastAsia" w:ascii="黑体" w:hAnsi="黑体"/>
          <w:szCs w:val="18"/>
        </w:rPr>
        <w:t>另外，</w:t>
      </w:r>
      <w:r>
        <w:rPr>
          <w:rFonts w:ascii="黑体" w:hAnsi="黑体"/>
          <w:szCs w:val="18"/>
        </w:rPr>
        <w:t>钢结构防火涂料的耐火性能应符合设计文件的规定。钢结构防火涂料涂层实干后不应有刺激性气味。</w:t>
      </w:r>
    </w:p>
    <w:p w14:paraId="62A9CFBC">
      <w:pPr>
        <w:pStyle w:val="49"/>
        <w:adjustRightInd w:val="0"/>
        <w:snapToGrid w:val="0"/>
        <w:spacing w:line="360" w:lineRule="auto"/>
        <w:ind w:firstLine="0" w:firstLineChars="0"/>
        <w:jc w:val="left"/>
        <w:rPr>
          <w:rFonts w:ascii="黑体" w:hAnsi="黑体"/>
          <w:szCs w:val="18"/>
        </w:rPr>
      </w:pPr>
    </w:p>
    <w:p w14:paraId="485B1EDE">
      <w:pPr>
        <w:pStyle w:val="135"/>
        <w:adjustRightInd w:val="0"/>
        <w:snapToGrid w:val="0"/>
        <w:jc w:val="left"/>
        <w:rPr>
          <w:rFonts w:ascii="黑体" w:hAnsi="黑体" w:eastAsia="黑体"/>
          <w:bCs w:val="0"/>
          <w:sz w:val="18"/>
          <w:szCs w:val="18"/>
        </w:rPr>
      </w:pPr>
      <w:r>
        <w:rPr>
          <w:rFonts w:ascii="黑体" w:hAnsi="黑体" w:eastAsia="黑体"/>
          <w:bCs w:val="0"/>
          <w:sz w:val="18"/>
          <w:szCs w:val="18"/>
        </w:rPr>
        <w:t>2</w:t>
      </w:r>
      <w:r>
        <w:rPr>
          <w:rFonts w:hint="eastAsia" w:ascii="黑体" w:hAnsi="黑体" w:eastAsia="黑体"/>
          <w:bCs w:val="0"/>
          <w:sz w:val="18"/>
          <w:szCs w:val="18"/>
        </w:rPr>
        <w:t>.2.2</w:t>
      </w:r>
      <w:r>
        <w:rPr>
          <w:rFonts w:ascii="黑体" w:hAnsi="黑体" w:eastAsia="黑体"/>
          <w:bCs w:val="0"/>
          <w:sz w:val="18"/>
          <w:szCs w:val="18"/>
        </w:rPr>
        <w:t xml:space="preserve">  </w:t>
      </w:r>
      <w:r>
        <w:rPr>
          <w:rFonts w:hint="eastAsia" w:ascii="黑体" w:hAnsi="黑体" w:eastAsia="黑体"/>
          <w:bCs w:val="0"/>
          <w:sz w:val="18"/>
          <w:szCs w:val="18"/>
        </w:rPr>
        <w:t>钢结构防火涂料的选用应符合下列规定：</w:t>
      </w:r>
    </w:p>
    <w:p w14:paraId="5588166D">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.2.2.1</w:t>
      </w:r>
      <w:r>
        <w:rPr>
          <w:rFonts w:ascii="黑体" w:hAnsi="黑体" w:eastAsia="黑体"/>
          <w:sz w:val="18"/>
          <w:szCs w:val="18"/>
        </w:rPr>
        <w:t xml:space="preserve">  </w:t>
      </w:r>
      <w:r>
        <w:rPr>
          <w:rFonts w:hint="eastAsia" w:ascii="黑体" w:hAnsi="黑体" w:eastAsia="黑体"/>
          <w:sz w:val="18"/>
          <w:szCs w:val="18"/>
        </w:rPr>
        <w:t>钢构件的防火保护应根据使用环境、材料性能和耐火极限等要求选用防火涂料。</w:t>
      </w:r>
    </w:p>
    <w:p w14:paraId="78B4C7E3">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.2.2.2</w:t>
      </w:r>
      <w:r>
        <w:rPr>
          <w:rFonts w:ascii="黑体" w:hAnsi="黑体" w:eastAsia="黑体"/>
          <w:sz w:val="18"/>
          <w:szCs w:val="18"/>
        </w:rPr>
        <w:t xml:space="preserve">  </w:t>
      </w:r>
      <w:r>
        <w:rPr>
          <w:rFonts w:hint="eastAsia" w:ascii="黑体" w:hAnsi="黑体" w:eastAsia="黑体"/>
          <w:sz w:val="18"/>
          <w:szCs w:val="18"/>
        </w:rPr>
        <w:t>钢构件防火涂层的耐火极限不应低于建（构）筑物钢结构构件的设计耐火极限。</w:t>
      </w:r>
    </w:p>
    <w:p w14:paraId="75D86538">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.2.2.3</w:t>
      </w:r>
      <w:r>
        <w:rPr>
          <w:rFonts w:ascii="黑体" w:hAnsi="黑体" w:eastAsia="黑体"/>
          <w:sz w:val="18"/>
          <w:szCs w:val="18"/>
        </w:rPr>
        <w:t xml:space="preserve">  </w:t>
      </w:r>
      <w:r>
        <w:rPr>
          <w:rFonts w:hint="eastAsia" w:ascii="黑体" w:hAnsi="黑体" w:eastAsia="黑体"/>
          <w:sz w:val="18"/>
          <w:szCs w:val="18"/>
        </w:rPr>
        <w:t>在生产、储存、使用过程中采用易燃、易爆产品的建（构）筑物，其钢结构防火保护应选用特种钢结构防火涂料。</w:t>
      </w:r>
    </w:p>
    <w:p w14:paraId="6A4ACAEB">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.2.2.4</w:t>
      </w:r>
      <w:r>
        <w:rPr>
          <w:rFonts w:ascii="黑体" w:hAnsi="黑体" w:eastAsia="黑体"/>
          <w:sz w:val="18"/>
          <w:szCs w:val="18"/>
        </w:rPr>
        <w:t xml:space="preserve">  </w:t>
      </w:r>
      <w:r>
        <w:rPr>
          <w:rFonts w:hint="eastAsia" w:ascii="黑体" w:hAnsi="黑体" w:eastAsia="黑体"/>
          <w:sz w:val="18"/>
          <w:szCs w:val="18"/>
        </w:rPr>
        <w:t>室外、半室外钢结构或室内潮湿部位的钢结构应选用室外钢结构防火涂料。</w:t>
      </w:r>
    </w:p>
    <w:p w14:paraId="45763EA3">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.2.2.5</w:t>
      </w:r>
      <w:r>
        <w:rPr>
          <w:rFonts w:ascii="黑体" w:hAnsi="黑体" w:eastAsia="黑体"/>
          <w:sz w:val="18"/>
          <w:szCs w:val="18"/>
        </w:rPr>
        <w:t xml:space="preserve">  </w:t>
      </w:r>
      <w:r>
        <w:rPr>
          <w:rFonts w:hint="eastAsia" w:ascii="黑体" w:hAnsi="黑体" w:eastAsia="黑体"/>
          <w:sz w:val="18"/>
          <w:szCs w:val="18"/>
        </w:rPr>
        <w:t>室内裸露钢结构或薄壁型钢结构宜选用膨胀型钢结构防火涂料。</w:t>
      </w:r>
    </w:p>
    <w:p w14:paraId="4F174FCF">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w:t>
      </w:r>
      <w:r>
        <w:rPr>
          <w:rFonts w:ascii="黑体" w:hAnsi="黑体" w:eastAsia="黑体"/>
          <w:sz w:val="18"/>
          <w:szCs w:val="18"/>
        </w:rPr>
        <w:t xml:space="preserve">6  </w:t>
      </w:r>
      <w:r>
        <w:rPr>
          <w:rFonts w:hint="eastAsia" w:ascii="黑体" w:hAnsi="黑体" w:eastAsia="黑体"/>
          <w:sz w:val="18"/>
          <w:szCs w:val="18"/>
        </w:rPr>
        <w:t>设计耐火极限大于2.0</w:t>
      </w:r>
      <w:r>
        <w:rPr>
          <w:rFonts w:ascii="黑体" w:hAnsi="黑体" w:eastAsia="黑体"/>
          <w:sz w:val="18"/>
          <w:szCs w:val="18"/>
        </w:rPr>
        <w:t>0</w:t>
      </w:r>
      <w:r>
        <w:rPr>
          <w:rFonts w:hint="eastAsia" w:ascii="黑体" w:hAnsi="黑体" w:eastAsia="黑体"/>
          <w:sz w:val="18"/>
          <w:szCs w:val="18"/>
        </w:rPr>
        <w:t>h的钢构件，不宜选用膨胀型钢结构防火涂料。</w:t>
      </w:r>
    </w:p>
    <w:p w14:paraId="70A0CCF7">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w:t>
      </w:r>
      <w:r>
        <w:rPr>
          <w:rFonts w:ascii="黑体" w:hAnsi="黑体" w:eastAsia="黑体"/>
          <w:sz w:val="18"/>
          <w:szCs w:val="18"/>
        </w:rPr>
        <w:t xml:space="preserve">7  </w:t>
      </w:r>
      <w:r>
        <w:rPr>
          <w:rFonts w:hint="eastAsia" w:ascii="黑体" w:hAnsi="黑体" w:eastAsia="黑体"/>
          <w:sz w:val="18"/>
          <w:szCs w:val="18"/>
        </w:rPr>
        <w:t>在不能停产的工业建（构）筑物或通风不良的施工环境中，应选用挥发性有机化合物含量低的环保型涂料。</w:t>
      </w:r>
    </w:p>
    <w:p w14:paraId="5ED713EE">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w:t>
      </w:r>
      <w:r>
        <w:rPr>
          <w:rFonts w:ascii="黑体" w:hAnsi="黑体" w:eastAsia="黑体"/>
          <w:sz w:val="18"/>
          <w:szCs w:val="18"/>
        </w:rPr>
        <w:t xml:space="preserve">8  </w:t>
      </w:r>
      <w:r>
        <w:rPr>
          <w:rFonts w:hint="eastAsia" w:ascii="黑体" w:hAnsi="黑体" w:eastAsia="黑体"/>
          <w:sz w:val="18"/>
          <w:szCs w:val="18"/>
        </w:rPr>
        <w:t>防火涂料应与防腐蚀涂料具有相容性。</w:t>
      </w:r>
    </w:p>
    <w:p w14:paraId="33A27008">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2</w:t>
      </w:r>
      <w:r>
        <w:rPr>
          <w:rFonts w:hint="eastAsia" w:ascii="黑体" w:hAnsi="黑体" w:eastAsia="黑体"/>
          <w:sz w:val="18"/>
          <w:szCs w:val="18"/>
        </w:rPr>
        <w:t>.2.2.</w:t>
      </w:r>
      <w:r>
        <w:rPr>
          <w:rFonts w:ascii="黑体" w:hAnsi="黑体" w:eastAsia="黑体"/>
          <w:sz w:val="18"/>
          <w:szCs w:val="18"/>
        </w:rPr>
        <w:t xml:space="preserve">9  </w:t>
      </w:r>
      <w:r>
        <w:rPr>
          <w:rFonts w:hint="eastAsia" w:ascii="黑体" w:hAnsi="黑体" w:eastAsia="黑体"/>
          <w:sz w:val="18"/>
          <w:szCs w:val="18"/>
        </w:rPr>
        <w:t>钢结构防火涂料应有产品质量证明文件和使用说明书，并应选择经国家检测机构检测合格的钢结构防火涂料。</w:t>
      </w:r>
    </w:p>
    <w:p w14:paraId="65A38EFE">
      <w:pPr>
        <w:pStyle w:val="137"/>
        <w:adjustRightInd w:val="0"/>
        <w:snapToGrid w:val="0"/>
        <w:spacing w:before="0" w:beforeLines="0" w:after="0" w:afterLines="0" w:line="360" w:lineRule="auto"/>
        <w:jc w:val="left"/>
        <w:rPr>
          <w:rFonts w:ascii="黑体" w:hAnsi="黑体" w:eastAsia="黑体"/>
          <w:b w:val="0"/>
          <w:bCs w:val="0"/>
          <w:sz w:val="18"/>
          <w:szCs w:val="18"/>
        </w:rPr>
      </w:pPr>
      <w:bookmarkStart w:id="195" w:name="_Toc174556840"/>
      <w:r>
        <w:rPr>
          <w:rFonts w:ascii="黑体" w:hAnsi="黑体" w:eastAsia="黑体"/>
          <w:b w:val="0"/>
          <w:bCs w:val="0"/>
          <w:sz w:val="18"/>
          <w:szCs w:val="18"/>
        </w:rPr>
        <w:t xml:space="preserve">2.2.3  </w:t>
      </w:r>
      <w:r>
        <w:rPr>
          <w:rFonts w:hint="eastAsia" w:ascii="黑体" w:hAnsi="黑体" w:eastAsia="黑体"/>
          <w:b w:val="0"/>
          <w:bCs w:val="0"/>
          <w:sz w:val="18"/>
          <w:szCs w:val="18"/>
        </w:rPr>
        <w:t>防火涂层</w:t>
      </w:r>
      <w:r>
        <w:rPr>
          <w:rFonts w:ascii="黑体" w:hAnsi="黑体" w:eastAsia="黑体"/>
          <w:b w:val="0"/>
          <w:bCs w:val="0"/>
          <w:sz w:val="18"/>
          <w:szCs w:val="18"/>
        </w:rPr>
        <w:t>厚度要求</w:t>
      </w:r>
      <w:bookmarkEnd w:id="195"/>
    </w:p>
    <w:p w14:paraId="06A1EBDA">
      <w:pPr>
        <w:pStyle w:val="135"/>
        <w:adjustRightInd w:val="0"/>
        <w:snapToGrid w:val="0"/>
        <w:jc w:val="left"/>
        <w:rPr>
          <w:rFonts w:ascii="黑体" w:hAnsi="黑体" w:eastAsia="黑体"/>
          <w:bCs w:val="0"/>
          <w:sz w:val="18"/>
          <w:szCs w:val="18"/>
        </w:rPr>
      </w:pPr>
      <w:r>
        <w:rPr>
          <w:rFonts w:ascii="黑体" w:hAnsi="黑体" w:eastAsia="黑体"/>
          <w:bCs w:val="0"/>
          <w:sz w:val="18"/>
          <w:szCs w:val="18"/>
        </w:rPr>
        <w:t>2.2</w:t>
      </w:r>
      <w:r>
        <w:rPr>
          <w:rFonts w:hint="eastAsia" w:ascii="黑体" w:hAnsi="黑体" w:eastAsia="黑体"/>
          <w:bCs w:val="0"/>
          <w:sz w:val="18"/>
          <w:szCs w:val="18"/>
        </w:rPr>
        <w:t>.3.1</w:t>
      </w:r>
      <w:r>
        <w:rPr>
          <w:rFonts w:ascii="黑体" w:hAnsi="黑体" w:eastAsia="黑体"/>
          <w:bCs w:val="0"/>
          <w:sz w:val="18"/>
          <w:szCs w:val="18"/>
        </w:rPr>
        <w:t xml:space="preserve">  </w:t>
      </w:r>
      <w:r>
        <w:rPr>
          <w:rFonts w:hint="eastAsia" w:ascii="黑体" w:hAnsi="黑体" w:eastAsia="黑体"/>
          <w:bCs w:val="0"/>
          <w:sz w:val="18"/>
          <w:szCs w:val="18"/>
        </w:rPr>
        <w:t>应根据标准耐火试验数据选定相应耐火极限的防火涂层厚度。膨胀型钢结构防火涂料的涂层厚度不应小于1.5mm，非膨胀型钢结构防火涂料的涂层厚度不应小于15mm。</w:t>
      </w:r>
    </w:p>
    <w:p w14:paraId="7D62EBB6">
      <w:pPr>
        <w:pStyle w:val="135"/>
        <w:adjustRightInd w:val="0"/>
        <w:snapToGrid w:val="0"/>
        <w:jc w:val="left"/>
        <w:rPr>
          <w:rFonts w:ascii="黑体" w:hAnsi="黑体" w:eastAsia="黑体"/>
          <w:bCs w:val="0"/>
          <w:sz w:val="18"/>
          <w:szCs w:val="18"/>
        </w:rPr>
      </w:pPr>
      <w:r>
        <w:rPr>
          <w:rFonts w:ascii="黑体" w:hAnsi="黑体" w:eastAsia="黑体"/>
          <w:bCs w:val="0"/>
          <w:sz w:val="18"/>
          <w:szCs w:val="18"/>
        </w:rPr>
        <w:t>2.2.</w:t>
      </w:r>
      <w:r>
        <w:rPr>
          <w:rFonts w:hint="eastAsia" w:ascii="黑体" w:hAnsi="黑体" w:eastAsia="黑体"/>
          <w:bCs w:val="0"/>
          <w:sz w:val="18"/>
          <w:szCs w:val="18"/>
        </w:rPr>
        <w:t>3.</w:t>
      </w:r>
      <w:r>
        <w:rPr>
          <w:rFonts w:ascii="黑体" w:hAnsi="黑体" w:eastAsia="黑体"/>
          <w:bCs w:val="0"/>
          <w:sz w:val="18"/>
          <w:szCs w:val="18"/>
        </w:rPr>
        <w:t xml:space="preserve">2  </w:t>
      </w:r>
      <w:r>
        <w:rPr>
          <w:rFonts w:hint="eastAsia" w:ascii="黑体" w:hAnsi="黑体" w:eastAsia="黑体"/>
          <w:bCs w:val="0"/>
          <w:sz w:val="18"/>
          <w:szCs w:val="18"/>
        </w:rPr>
        <w:t>钢构件的防火涂层厚度、耐火时间的设计和验收均应采取国家检验测试部门的防火保护系统耐火性能评估报告数据作为依据。</w:t>
      </w:r>
    </w:p>
    <w:p w14:paraId="55879E7B">
      <w:pPr>
        <w:pStyle w:val="137"/>
        <w:adjustRightInd w:val="0"/>
        <w:snapToGrid w:val="0"/>
        <w:spacing w:before="0" w:beforeLines="0" w:after="0" w:afterLines="0" w:line="360" w:lineRule="auto"/>
        <w:jc w:val="left"/>
        <w:rPr>
          <w:rFonts w:ascii="黑体" w:hAnsi="黑体" w:eastAsia="黑体"/>
          <w:b w:val="0"/>
          <w:bCs w:val="0"/>
          <w:sz w:val="18"/>
          <w:szCs w:val="18"/>
        </w:rPr>
      </w:pPr>
      <w:bookmarkStart w:id="196" w:name="_Toc174556841"/>
      <w:r>
        <w:rPr>
          <w:rFonts w:ascii="黑体" w:hAnsi="黑体" w:eastAsia="黑体"/>
          <w:b w:val="0"/>
          <w:bCs w:val="0"/>
          <w:sz w:val="18"/>
          <w:szCs w:val="18"/>
        </w:rPr>
        <w:t>2.2.</w:t>
      </w:r>
      <w:r>
        <w:rPr>
          <w:rFonts w:hint="eastAsia" w:ascii="黑体" w:hAnsi="黑体" w:eastAsia="黑体"/>
          <w:b w:val="0"/>
          <w:bCs w:val="0"/>
          <w:sz w:val="18"/>
          <w:szCs w:val="18"/>
        </w:rPr>
        <w:t>4</w:t>
      </w:r>
      <w:r>
        <w:rPr>
          <w:rFonts w:ascii="黑体" w:hAnsi="黑体" w:eastAsia="黑体"/>
          <w:b w:val="0"/>
          <w:bCs w:val="0"/>
          <w:sz w:val="18"/>
          <w:szCs w:val="18"/>
        </w:rPr>
        <w:t xml:space="preserve">  </w:t>
      </w:r>
      <w:r>
        <w:rPr>
          <w:rFonts w:hint="eastAsia" w:ascii="黑体" w:hAnsi="黑体" w:eastAsia="黑体"/>
          <w:b w:val="0"/>
          <w:bCs w:val="0"/>
          <w:sz w:val="18"/>
          <w:szCs w:val="18"/>
        </w:rPr>
        <w:t>防火涂层</w:t>
      </w:r>
      <w:r>
        <w:rPr>
          <w:rFonts w:ascii="黑体" w:hAnsi="黑体" w:eastAsia="黑体"/>
          <w:b w:val="0"/>
          <w:bCs w:val="0"/>
          <w:sz w:val="18"/>
          <w:szCs w:val="18"/>
        </w:rPr>
        <w:t>构造要求</w:t>
      </w:r>
      <w:bookmarkEnd w:id="196"/>
    </w:p>
    <w:p w14:paraId="1C2B61A5">
      <w:pPr>
        <w:pStyle w:val="135"/>
        <w:adjustRightInd w:val="0"/>
        <w:snapToGrid w:val="0"/>
        <w:jc w:val="left"/>
        <w:rPr>
          <w:rFonts w:ascii="黑体" w:hAnsi="黑体" w:eastAsia="黑体"/>
          <w:bCs w:val="0"/>
          <w:sz w:val="18"/>
          <w:szCs w:val="18"/>
        </w:rPr>
      </w:pPr>
      <w:r>
        <w:rPr>
          <w:rFonts w:ascii="黑体" w:hAnsi="黑体" w:eastAsia="黑体"/>
          <w:bCs w:val="0"/>
          <w:sz w:val="18"/>
          <w:szCs w:val="18"/>
        </w:rPr>
        <w:t>2.2</w:t>
      </w:r>
      <w:r>
        <w:rPr>
          <w:rFonts w:hint="eastAsia" w:ascii="黑体" w:hAnsi="黑体" w:eastAsia="黑体"/>
          <w:bCs w:val="0"/>
          <w:sz w:val="18"/>
          <w:szCs w:val="18"/>
        </w:rPr>
        <w:t>.4.1</w:t>
      </w:r>
      <w:r>
        <w:rPr>
          <w:rFonts w:ascii="黑体" w:hAnsi="黑体" w:eastAsia="黑体"/>
          <w:bCs w:val="0"/>
          <w:sz w:val="18"/>
          <w:szCs w:val="18"/>
        </w:rPr>
        <w:t xml:space="preserve">  </w:t>
      </w:r>
      <w:r>
        <w:rPr>
          <w:rFonts w:hint="eastAsia" w:ascii="黑体" w:hAnsi="黑体" w:eastAsia="黑体"/>
          <w:bCs w:val="0"/>
          <w:sz w:val="18"/>
          <w:szCs w:val="18"/>
        </w:rPr>
        <w:t>膨胀型钢结构防火涂料的涂层构造应符合下列规定：</w:t>
      </w:r>
    </w:p>
    <w:p w14:paraId="085EEA4D">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 xml:space="preserve">  </w:t>
      </w:r>
      <w:r>
        <w:rPr>
          <w:rFonts w:hint="eastAsia" w:ascii="黑体" w:hAnsi="黑体" w:eastAsia="黑体"/>
          <w:sz w:val="18"/>
          <w:szCs w:val="18"/>
        </w:rPr>
        <w:t>涂层构造应包括防腐蚀底涂层、防腐蚀中间涂层、防火涂层和防腐蚀面涂层。</w:t>
      </w:r>
    </w:p>
    <w:p w14:paraId="677F7930">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 xml:space="preserve">2） </w:t>
      </w:r>
      <w:r>
        <w:rPr>
          <w:rFonts w:ascii="黑体" w:hAnsi="黑体" w:eastAsia="黑体"/>
          <w:sz w:val="18"/>
          <w:szCs w:val="18"/>
        </w:rPr>
        <w:t xml:space="preserve"> </w:t>
      </w:r>
      <w:r>
        <w:rPr>
          <w:rFonts w:hint="eastAsia" w:ascii="黑体" w:hAnsi="黑体" w:eastAsia="黑体"/>
          <w:sz w:val="18"/>
          <w:szCs w:val="18"/>
        </w:rPr>
        <w:t>在膨胀型钢结构防火涂料涂层表面上，不应采用对防火涂层膨胀性能有不良影响的防腐蚀面涂层。</w:t>
      </w:r>
    </w:p>
    <w:p w14:paraId="27996243">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3）</w:t>
      </w:r>
      <w:r>
        <w:rPr>
          <w:rFonts w:ascii="黑体" w:hAnsi="黑体" w:eastAsia="黑体"/>
          <w:sz w:val="18"/>
          <w:szCs w:val="18"/>
        </w:rPr>
        <w:t xml:space="preserve">  </w:t>
      </w:r>
      <w:r>
        <w:rPr>
          <w:rFonts w:hint="eastAsia" w:ascii="黑体" w:hAnsi="黑体" w:eastAsia="黑体"/>
          <w:sz w:val="18"/>
          <w:szCs w:val="18"/>
        </w:rPr>
        <w:t>膨胀型钢结构防火涂料涂层表面的防腐蚀面漆厚度不应过高，以免影响膨胀。</w:t>
      </w:r>
    </w:p>
    <w:p w14:paraId="04DD2648">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4</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膨胀型钢结构防火涂料涂层与基层的粘结强度不应低于0.15MPa。</w:t>
      </w:r>
    </w:p>
    <w:p w14:paraId="2AB4F3E5">
      <w:pPr>
        <w:pStyle w:val="135"/>
        <w:adjustRightInd w:val="0"/>
        <w:snapToGrid w:val="0"/>
        <w:jc w:val="left"/>
        <w:rPr>
          <w:rFonts w:ascii="黑体" w:hAnsi="黑体" w:eastAsia="黑体"/>
          <w:bCs w:val="0"/>
          <w:sz w:val="18"/>
          <w:szCs w:val="18"/>
        </w:rPr>
      </w:pPr>
      <w:r>
        <w:rPr>
          <w:rFonts w:ascii="黑体" w:hAnsi="黑体" w:eastAsia="黑体"/>
          <w:bCs w:val="0"/>
          <w:sz w:val="18"/>
          <w:szCs w:val="18"/>
        </w:rPr>
        <w:t>2.2.</w:t>
      </w:r>
      <w:r>
        <w:rPr>
          <w:rFonts w:hint="eastAsia" w:ascii="黑体" w:hAnsi="黑体" w:eastAsia="黑体"/>
          <w:bCs w:val="0"/>
          <w:sz w:val="18"/>
          <w:szCs w:val="18"/>
        </w:rPr>
        <w:t>4.2</w:t>
      </w:r>
      <w:r>
        <w:rPr>
          <w:rFonts w:ascii="黑体" w:hAnsi="黑体" w:eastAsia="黑体"/>
          <w:bCs w:val="0"/>
          <w:sz w:val="18"/>
          <w:szCs w:val="18"/>
        </w:rPr>
        <w:t xml:space="preserve">  </w:t>
      </w:r>
      <w:r>
        <w:rPr>
          <w:rFonts w:hint="eastAsia" w:ascii="黑体" w:hAnsi="黑体" w:eastAsia="黑体"/>
          <w:bCs w:val="0"/>
          <w:sz w:val="18"/>
          <w:szCs w:val="18"/>
        </w:rPr>
        <w:t>非膨胀型钢结构防火涂料的涂层构造应符合下列规定：</w:t>
      </w:r>
    </w:p>
    <w:p w14:paraId="19EEBDE2">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 xml:space="preserve">)  </w:t>
      </w:r>
      <w:r>
        <w:rPr>
          <w:rFonts w:hint="eastAsia" w:ascii="黑体" w:hAnsi="黑体" w:eastAsia="黑体"/>
          <w:sz w:val="18"/>
          <w:szCs w:val="18"/>
        </w:rPr>
        <w:t>涂层构造应包括防腐蚀底涂层、防腐蚀中间涂层、防火涂层。</w:t>
      </w:r>
    </w:p>
    <w:p w14:paraId="0E4DC3D3">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 xml:space="preserve">2)  </w:t>
      </w:r>
      <w:r>
        <w:rPr>
          <w:rFonts w:hint="eastAsia" w:ascii="黑体" w:hAnsi="黑体" w:eastAsia="黑体"/>
          <w:sz w:val="18"/>
          <w:szCs w:val="18"/>
        </w:rPr>
        <w:t>非膨胀型钢结构防火涂料涂层与基层的粘结强度不应低于0.04MPa。</w:t>
      </w:r>
    </w:p>
    <w:p w14:paraId="2F7F7249">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 xml:space="preserve">3)  </w:t>
      </w:r>
      <w:r>
        <w:rPr>
          <w:rFonts w:hint="eastAsia" w:ascii="黑体" w:hAnsi="黑体" w:eastAsia="黑体"/>
          <w:sz w:val="18"/>
          <w:szCs w:val="18"/>
        </w:rPr>
        <w:t>非膨胀型钢结构防火涂料涂层有下列情况之一者，宜在涂层内设置与钢构件相连接的镀锌钢丝网或玻纤网：</w:t>
      </w:r>
    </w:p>
    <w:p w14:paraId="6E1223FC">
      <w:pPr>
        <w:pStyle w:val="139"/>
        <w:adjustRightInd w:val="0"/>
        <w:snapToGrid w:val="0"/>
        <w:ind w:left="810" w:hanging="270"/>
        <w:jc w:val="left"/>
        <w:rPr>
          <w:rFonts w:ascii="黑体" w:hAnsi="黑体" w:eastAsia="黑体"/>
          <w:sz w:val="18"/>
          <w:szCs w:val="18"/>
        </w:rPr>
      </w:pPr>
      <w:r>
        <w:rPr>
          <w:rFonts w:hint="eastAsia" w:ascii="黑体" w:hAnsi="黑体" w:eastAsia="黑体"/>
          <w:sz w:val="18"/>
          <w:szCs w:val="18"/>
        </w:rPr>
        <w:t>1）钢构件承受冲击、震动荷载；</w:t>
      </w:r>
    </w:p>
    <w:p w14:paraId="5D3D21C7">
      <w:pPr>
        <w:pStyle w:val="139"/>
        <w:adjustRightInd w:val="0"/>
        <w:snapToGrid w:val="0"/>
        <w:ind w:left="810" w:hanging="270"/>
        <w:jc w:val="left"/>
        <w:rPr>
          <w:rFonts w:ascii="黑体" w:hAnsi="黑体" w:eastAsia="黑体"/>
          <w:sz w:val="18"/>
          <w:szCs w:val="18"/>
        </w:rPr>
      </w:pPr>
      <w:r>
        <w:rPr>
          <w:rFonts w:hint="eastAsia" w:ascii="黑体" w:hAnsi="黑体" w:eastAsia="黑体"/>
          <w:sz w:val="18"/>
          <w:szCs w:val="18"/>
        </w:rPr>
        <w:t>2）防火涂层的粘结强度不大于0.05MPa；</w:t>
      </w:r>
    </w:p>
    <w:p w14:paraId="6F95DB08">
      <w:pPr>
        <w:pStyle w:val="139"/>
        <w:adjustRightInd w:val="0"/>
        <w:snapToGrid w:val="0"/>
        <w:ind w:left="810" w:hanging="270"/>
        <w:jc w:val="left"/>
        <w:rPr>
          <w:rFonts w:ascii="黑体" w:hAnsi="黑体" w:eastAsia="黑体"/>
          <w:sz w:val="18"/>
          <w:szCs w:val="18"/>
        </w:rPr>
      </w:pPr>
      <w:r>
        <w:rPr>
          <w:rFonts w:hint="eastAsia" w:ascii="黑体" w:hAnsi="黑体" w:eastAsia="黑体"/>
          <w:sz w:val="18"/>
          <w:szCs w:val="18"/>
        </w:rPr>
        <w:t>3）钢构件的腹板高度大于500mm，且防火涂层厚度不小于30mm；</w:t>
      </w:r>
    </w:p>
    <w:p w14:paraId="03DCC016">
      <w:pPr>
        <w:pStyle w:val="139"/>
        <w:adjustRightInd w:val="0"/>
        <w:snapToGrid w:val="0"/>
        <w:ind w:left="810" w:hanging="270"/>
        <w:jc w:val="left"/>
        <w:rPr>
          <w:rFonts w:ascii="黑体" w:hAnsi="黑体" w:eastAsia="黑体"/>
          <w:sz w:val="18"/>
          <w:szCs w:val="18"/>
        </w:rPr>
      </w:pPr>
      <w:r>
        <w:rPr>
          <w:rFonts w:hint="eastAsia" w:ascii="黑体" w:hAnsi="黑体" w:eastAsia="黑体"/>
          <w:sz w:val="18"/>
          <w:szCs w:val="18"/>
        </w:rPr>
        <w:t>4）钢构件的腹板高度大于500mm，且防火涂层长期暴露在室外；</w:t>
      </w:r>
    </w:p>
    <w:p w14:paraId="45D7652D">
      <w:pPr>
        <w:pStyle w:val="139"/>
        <w:adjustRightInd w:val="0"/>
        <w:snapToGrid w:val="0"/>
        <w:ind w:left="810" w:hanging="270"/>
        <w:jc w:val="left"/>
        <w:rPr>
          <w:rFonts w:ascii="黑体" w:hAnsi="黑体" w:eastAsia="黑体"/>
          <w:sz w:val="18"/>
          <w:szCs w:val="18"/>
        </w:rPr>
      </w:pPr>
      <w:r>
        <w:rPr>
          <w:rFonts w:hint="eastAsia" w:ascii="黑体" w:hAnsi="黑体" w:eastAsia="黑体"/>
          <w:sz w:val="18"/>
          <w:szCs w:val="18"/>
        </w:rPr>
        <w:t>5）防火涂层厚度大于25mm；</w:t>
      </w:r>
    </w:p>
    <w:p w14:paraId="452F8336">
      <w:pPr>
        <w:pStyle w:val="139"/>
        <w:adjustRightInd w:val="0"/>
        <w:snapToGrid w:val="0"/>
        <w:ind w:left="0" w:leftChars="0" w:firstLine="420" w:firstLineChars="0"/>
        <w:jc w:val="left"/>
        <w:rPr>
          <w:rFonts w:ascii="黑体" w:hAnsi="黑体" w:eastAsia="黑体"/>
          <w:sz w:val="18"/>
          <w:szCs w:val="18"/>
        </w:rPr>
      </w:pPr>
      <w:r>
        <w:rPr>
          <w:rFonts w:hint="eastAsia" w:ascii="黑体" w:hAnsi="黑体" w:eastAsia="黑体"/>
          <w:sz w:val="18"/>
          <w:szCs w:val="18"/>
        </w:rPr>
        <w:t>6）镀锌钢丝网的规格宜采用丝径φ0.5mm～φ1.5mm、网孔20</w:t>
      </w:r>
      <w:r>
        <w:rPr>
          <w:rFonts w:ascii="黑体" w:hAnsi="黑体" w:eastAsia="黑体"/>
          <w:sz w:val="18"/>
          <w:szCs w:val="18"/>
        </w:rPr>
        <w:t>mm</w:t>
      </w:r>
      <w:r>
        <w:rPr>
          <w:rFonts w:hint="eastAsia" w:ascii="黑体" w:hAnsi="黑体" w:eastAsia="黑体"/>
          <w:sz w:val="18"/>
          <w:szCs w:val="18"/>
        </w:rPr>
        <w:t>×20mm～50</w:t>
      </w:r>
      <w:r>
        <w:rPr>
          <w:rFonts w:ascii="黑体" w:hAnsi="黑体" w:eastAsia="黑体"/>
          <w:sz w:val="18"/>
          <w:szCs w:val="18"/>
        </w:rPr>
        <w:t>mm</w:t>
      </w:r>
      <w:r>
        <w:rPr>
          <w:rFonts w:hint="eastAsia" w:ascii="黑体" w:hAnsi="黑体" w:eastAsia="黑体"/>
          <w:sz w:val="18"/>
          <w:szCs w:val="18"/>
        </w:rPr>
        <w:t>×50mm。</w:t>
      </w:r>
    </w:p>
    <w:p w14:paraId="4F7AA8CE">
      <w:pPr>
        <w:pStyle w:val="139"/>
        <w:adjustRightInd w:val="0"/>
        <w:snapToGrid w:val="0"/>
        <w:ind w:left="810" w:hanging="270"/>
        <w:jc w:val="left"/>
        <w:rPr>
          <w:rFonts w:ascii="黑体" w:hAnsi="黑体" w:eastAsia="黑体"/>
          <w:sz w:val="18"/>
          <w:szCs w:val="18"/>
        </w:rPr>
      </w:pPr>
      <w:r>
        <w:rPr>
          <w:rFonts w:hint="eastAsia" w:ascii="黑体" w:hAnsi="黑体" w:eastAsia="黑体"/>
          <w:sz w:val="18"/>
          <w:szCs w:val="18"/>
        </w:rPr>
        <w:t>7）耐碱型玻璃纤维网格布技术要求：</w:t>
      </w:r>
    </w:p>
    <w:p w14:paraId="0BFCFB92">
      <w:pPr>
        <w:spacing w:line="325" w:lineRule="exact"/>
        <w:ind w:left="3043"/>
        <w:jc w:val="left"/>
        <w:rPr>
          <w:rFonts w:ascii="黑体" w:hAnsi="黑体"/>
          <w:szCs w:val="18"/>
        </w:rPr>
      </w:pPr>
      <w:r>
        <w:rPr>
          <w:rFonts w:hint="eastAsia" w:ascii="黑体" w:hAnsi="黑体"/>
          <w:szCs w:val="18"/>
        </w:rPr>
        <w:t>耐碱型玻璃纤维网格布技术要求</w:t>
      </w:r>
    </w:p>
    <w:tbl>
      <w:tblPr>
        <w:tblStyle w:val="36"/>
        <w:tblW w:w="7820" w:type="dxa"/>
        <w:tblInd w:w="403" w:type="dxa"/>
        <w:tblLayout w:type="autofit"/>
        <w:tblCellMar>
          <w:top w:w="0" w:type="dxa"/>
          <w:left w:w="0" w:type="dxa"/>
          <w:bottom w:w="0" w:type="dxa"/>
          <w:right w:w="0" w:type="dxa"/>
        </w:tblCellMar>
      </w:tblPr>
      <w:tblGrid>
        <w:gridCol w:w="833"/>
        <w:gridCol w:w="2634"/>
        <w:gridCol w:w="1309"/>
        <w:gridCol w:w="1544"/>
        <w:gridCol w:w="1500"/>
      </w:tblGrid>
      <w:tr w14:paraId="57DF2AF4">
        <w:tblPrEx>
          <w:tblCellMar>
            <w:top w:w="0" w:type="dxa"/>
            <w:left w:w="0" w:type="dxa"/>
            <w:bottom w:w="0" w:type="dxa"/>
            <w:right w:w="0" w:type="dxa"/>
          </w:tblCellMar>
        </w:tblPrEx>
        <w:trPr>
          <w:trHeight w:val="266" w:hRule="atLeast"/>
        </w:trPr>
        <w:tc>
          <w:tcPr>
            <w:tcW w:w="833" w:type="dxa"/>
            <w:tcBorders>
              <w:top w:val="single" w:color="000000" w:sz="8" w:space="0"/>
              <w:left w:val="single" w:color="000000" w:sz="8" w:space="0"/>
              <w:bottom w:val="single" w:color="000000" w:sz="8" w:space="0"/>
              <w:right w:val="single" w:color="000000" w:sz="8" w:space="0"/>
            </w:tcBorders>
            <w:shd w:val="clear" w:color="auto" w:fill="BDBDBD"/>
          </w:tcPr>
          <w:p w14:paraId="4111E083">
            <w:pPr>
              <w:pStyle w:val="132"/>
              <w:spacing w:before="27"/>
              <w:ind w:left="404" w:right="175" w:hanging="404"/>
              <w:rPr>
                <w:rFonts w:ascii="黑体" w:hAnsi="黑体" w:eastAsia="黑体"/>
                <w:sz w:val="18"/>
                <w:szCs w:val="18"/>
                <w:lang w:eastAsia="en-US"/>
              </w:rPr>
            </w:pPr>
            <w:r>
              <w:rPr>
                <w:rFonts w:hint="eastAsia" w:ascii="黑体" w:hAnsi="黑体" w:eastAsia="黑体"/>
                <w:sz w:val="18"/>
                <w:szCs w:val="18"/>
                <w:lang w:eastAsia="en-US"/>
              </w:rPr>
              <w:t>序号</w:t>
            </w:r>
          </w:p>
        </w:tc>
        <w:tc>
          <w:tcPr>
            <w:tcW w:w="2634" w:type="dxa"/>
            <w:tcBorders>
              <w:top w:val="single" w:color="000000" w:sz="8" w:space="0"/>
              <w:left w:val="nil"/>
              <w:bottom w:val="single" w:color="000000" w:sz="8" w:space="0"/>
              <w:right w:val="single" w:color="000000" w:sz="8" w:space="0"/>
            </w:tcBorders>
            <w:shd w:val="clear" w:color="auto" w:fill="BDBDBD"/>
          </w:tcPr>
          <w:p w14:paraId="13F5A767">
            <w:pPr>
              <w:pStyle w:val="132"/>
              <w:spacing w:before="27"/>
              <w:ind w:left="404" w:right="385" w:hanging="404"/>
              <w:rPr>
                <w:rFonts w:ascii="黑体" w:hAnsi="黑体" w:eastAsia="黑体"/>
                <w:sz w:val="18"/>
                <w:szCs w:val="18"/>
                <w:lang w:eastAsia="en-US"/>
              </w:rPr>
            </w:pPr>
            <w:r>
              <w:rPr>
                <w:rFonts w:hint="eastAsia" w:ascii="黑体" w:hAnsi="黑体" w:eastAsia="黑体"/>
                <w:sz w:val="18"/>
                <w:szCs w:val="18"/>
                <w:lang w:eastAsia="en-US"/>
              </w:rPr>
              <w:t>项目</w:t>
            </w:r>
          </w:p>
        </w:tc>
        <w:tc>
          <w:tcPr>
            <w:tcW w:w="2853" w:type="dxa"/>
            <w:gridSpan w:val="2"/>
            <w:tcBorders>
              <w:top w:val="single" w:color="000000" w:sz="8" w:space="0"/>
              <w:left w:val="nil"/>
              <w:bottom w:val="single" w:color="000000" w:sz="8" w:space="0"/>
              <w:right w:val="single" w:color="000000" w:sz="8" w:space="0"/>
            </w:tcBorders>
            <w:shd w:val="clear" w:color="auto" w:fill="BDBDBD"/>
          </w:tcPr>
          <w:p w14:paraId="0B364EBC">
            <w:pPr>
              <w:pStyle w:val="132"/>
              <w:spacing w:before="27"/>
              <w:ind w:left="404" w:right="1045" w:hanging="404"/>
              <w:rPr>
                <w:rFonts w:ascii="黑体" w:hAnsi="黑体" w:eastAsia="黑体"/>
                <w:sz w:val="18"/>
                <w:szCs w:val="18"/>
                <w:lang w:eastAsia="en-US"/>
              </w:rPr>
            </w:pPr>
            <w:r>
              <w:rPr>
                <w:rFonts w:hint="eastAsia" w:ascii="黑体" w:hAnsi="黑体" w:eastAsia="黑体"/>
                <w:sz w:val="18"/>
                <w:szCs w:val="18"/>
                <w:lang w:eastAsia="en-US"/>
              </w:rPr>
              <w:t>指标要求</w:t>
            </w:r>
          </w:p>
        </w:tc>
        <w:tc>
          <w:tcPr>
            <w:tcW w:w="1500" w:type="dxa"/>
            <w:tcBorders>
              <w:top w:val="single" w:color="000000" w:sz="8" w:space="0"/>
              <w:left w:val="nil"/>
              <w:bottom w:val="single" w:color="000000" w:sz="8" w:space="0"/>
              <w:right w:val="single" w:color="000000" w:sz="8" w:space="0"/>
            </w:tcBorders>
            <w:shd w:val="clear" w:color="auto" w:fill="BDBDBD"/>
          </w:tcPr>
          <w:p w14:paraId="724E0A27">
            <w:pPr>
              <w:pStyle w:val="132"/>
              <w:spacing w:before="27"/>
              <w:ind w:left="404" w:hanging="404"/>
              <w:rPr>
                <w:rFonts w:ascii="黑体" w:hAnsi="黑体" w:eastAsia="黑体"/>
                <w:sz w:val="18"/>
                <w:szCs w:val="18"/>
                <w:lang w:eastAsia="en-US"/>
              </w:rPr>
            </w:pPr>
            <w:r>
              <w:rPr>
                <w:rFonts w:hint="eastAsia" w:ascii="黑体" w:hAnsi="黑体" w:eastAsia="黑体"/>
                <w:sz w:val="18"/>
                <w:szCs w:val="18"/>
                <w:lang w:eastAsia="en-US"/>
              </w:rPr>
              <w:t>测试方法</w:t>
            </w:r>
          </w:p>
        </w:tc>
      </w:tr>
      <w:tr w14:paraId="2154E06C">
        <w:tblPrEx>
          <w:tblCellMar>
            <w:top w:w="0" w:type="dxa"/>
            <w:left w:w="0" w:type="dxa"/>
            <w:bottom w:w="0" w:type="dxa"/>
            <w:right w:w="0" w:type="dxa"/>
          </w:tblCellMar>
        </w:tblPrEx>
        <w:trPr>
          <w:trHeight w:val="266" w:hRule="atLeast"/>
        </w:trPr>
        <w:tc>
          <w:tcPr>
            <w:tcW w:w="833" w:type="dxa"/>
            <w:tcBorders>
              <w:top w:val="nil"/>
              <w:left w:val="single" w:color="000000" w:sz="8" w:space="0"/>
              <w:bottom w:val="single" w:color="000000" w:sz="8" w:space="0"/>
              <w:right w:val="single" w:color="000000" w:sz="8" w:space="0"/>
            </w:tcBorders>
          </w:tcPr>
          <w:p w14:paraId="6E09812B">
            <w:pPr>
              <w:pStyle w:val="132"/>
              <w:spacing w:before="81"/>
              <w:ind w:left="429" w:hanging="429"/>
              <w:rPr>
                <w:rFonts w:ascii="黑体" w:hAnsi="黑体" w:eastAsia="黑体"/>
                <w:sz w:val="18"/>
                <w:szCs w:val="18"/>
                <w:lang w:eastAsia="en-US"/>
              </w:rPr>
            </w:pPr>
            <w:r>
              <w:rPr>
                <w:rFonts w:ascii="黑体" w:hAnsi="黑体" w:eastAsia="黑体"/>
                <w:sz w:val="18"/>
                <w:szCs w:val="18"/>
                <w:lang w:eastAsia="en-US"/>
              </w:rPr>
              <w:t>1</w:t>
            </w:r>
          </w:p>
        </w:tc>
        <w:tc>
          <w:tcPr>
            <w:tcW w:w="2634" w:type="dxa"/>
            <w:tcBorders>
              <w:top w:val="nil"/>
              <w:left w:val="nil"/>
              <w:bottom w:val="single" w:color="000000" w:sz="8" w:space="0"/>
              <w:right w:val="single" w:color="000000" w:sz="8" w:space="0"/>
            </w:tcBorders>
          </w:tcPr>
          <w:p w14:paraId="4CDE5C97">
            <w:pPr>
              <w:pStyle w:val="132"/>
              <w:spacing w:before="27"/>
              <w:ind w:left="404" w:right="385" w:hanging="404"/>
              <w:rPr>
                <w:rFonts w:ascii="黑体" w:hAnsi="黑体" w:eastAsia="黑体"/>
                <w:sz w:val="18"/>
                <w:szCs w:val="18"/>
              </w:rPr>
            </w:pPr>
            <w:r>
              <w:rPr>
                <w:rFonts w:hint="eastAsia" w:ascii="黑体" w:hAnsi="黑体" w:eastAsia="黑体"/>
                <w:sz w:val="18"/>
                <w:szCs w:val="18"/>
              </w:rPr>
              <w:t>单位面积质量（</w:t>
            </w:r>
            <w:r>
              <w:rPr>
                <w:rFonts w:ascii="黑体" w:hAnsi="黑体" w:eastAsia="黑体"/>
                <w:spacing w:val="-1"/>
                <w:sz w:val="18"/>
                <w:szCs w:val="18"/>
              </w:rPr>
              <w:t>g/</w:t>
            </w:r>
            <w:r>
              <w:rPr>
                <w:rFonts w:ascii="黑体" w:hAnsi="黑体" w:eastAsia="黑体"/>
                <w:sz w:val="18"/>
                <w:szCs w:val="18"/>
              </w:rPr>
              <w:t>m</w:t>
            </w:r>
            <w:r>
              <w:rPr>
                <w:rFonts w:ascii="黑体" w:hAnsi="黑体" w:eastAsia="黑体"/>
                <w:spacing w:val="-1"/>
                <w:position w:val="10"/>
                <w:sz w:val="18"/>
                <w:szCs w:val="18"/>
              </w:rPr>
              <w:t>2</w:t>
            </w:r>
            <w:r>
              <w:rPr>
                <w:rFonts w:hint="eastAsia" w:ascii="黑体" w:hAnsi="黑体" w:eastAsia="黑体"/>
                <w:sz w:val="18"/>
                <w:szCs w:val="18"/>
              </w:rPr>
              <w:t>）</w:t>
            </w:r>
          </w:p>
        </w:tc>
        <w:tc>
          <w:tcPr>
            <w:tcW w:w="2853" w:type="dxa"/>
            <w:gridSpan w:val="2"/>
            <w:tcBorders>
              <w:top w:val="nil"/>
              <w:left w:val="nil"/>
              <w:bottom w:val="single" w:color="000000" w:sz="8" w:space="0"/>
              <w:right w:val="single" w:color="000000" w:sz="8" w:space="0"/>
            </w:tcBorders>
          </w:tcPr>
          <w:p w14:paraId="663EA6A1">
            <w:pPr>
              <w:pStyle w:val="132"/>
              <w:spacing w:before="81"/>
              <w:ind w:left="423" w:right="1044" w:hanging="423"/>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160</w:t>
            </w:r>
          </w:p>
        </w:tc>
        <w:tc>
          <w:tcPr>
            <w:tcW w:w="1500" w:type="dxa"/>
            <w:vMerge w:val="restart"/>
            <w:tcBorders>
              <w:top w:val="nil"/>
              <w:left w:val="nil"/>
              <w:bottom w:val="single" w:color="000000" w:sz="8" w:space="0"/>
              <w:right w:val="single" w:color="000000" w:sz="8" w:space="0"/>
            </w:tcBorders>
          </w:tcPr>
          <w:p w14:paraId="20D4EB72">
            <w:pPr>
              <w:pStyle w:val="132"/>
              <w:ind w:left="404" w:hanging="404"/>
              <w:rPr>
                <w:rFonts w:ascii="黑体" w:hAnsi="黑体" w:eastAsia="黑体"/>
                <w:sz w:val="18"/>
                <w:szCs w:val="18"/>
                <w:lang w:eastAsia="en-US"/>
              </w:rPr>
            </w:pPr>
          </w:p>
          <w:p w14:paraId="0DA0ED5A">
            <w:pPr>
              <w:pStyle w:val="132"/>
              <w:spacing w:before="5"/>
              <w:ind w:left="404" w:hanging="404"/>
              <w:rPr>
                <w:rFonts w:ascii="黑体" w:hAnsi="黑体" w:eastAsia="黑体"/>
                <w:sz w:val="18"/>
                <w:szCs w:val="18"/>
                <w:lang w:eastAsia="en-US"/>
              </w:rPr>
            </w:pPr>
          </w:p>
          <w:p w14:paraId="7D1F3575">
            <w:pPr>
              <w:pStyle w:val="132"/>
              <w:ind w:left="404" w:hanging="404"/>
              <w:rPr>
                <w:rFonts w:ascii="黑体" w:hAnsi="黑体" w:eastAsia="黑体"/>
                <w:sz w:val="18"/>
                <w:szCs w:val="18"/>
                <w:lang w:eastAsia="en-US"/>
              </w:rPr>
            </w:pPr>
            <w:r>
              <w:rPr>
                <w:rFonts w:ascii="黑体" w:hAnsi="黑体" w:eastAsia="黑体"/>
                <w:sz w:val="18"/>
                <w:szCs w:val="18"/>
                <w:lang w:eastAsia="en-US"/>
              </w:rPr>
              <w:t>JC/T</w:t>
            </w:r>
            <w:r>
              <w:rPr>
                <w:rFonts w:ascii="黑体" w:hAnsi="黑体" w:eastAsia="黑体"/>
                <w:spacing w:val="-3"/>
                <w:sz w:val="18"/>
                <w:szCs w:val="18"/>
                <w:lang w:eastAsia="en-US"/>
              </w:rPr>
              <w:t xml:space="preserve"> </w:t>
            </w:r>
            <w:r>
              <w:rPr>
                <w:rFonts w:ascii="黑体" w:hAnsi="黑体" w:eastAsia="黑体"/>
                <w:sz w:val="18"/>
                <w:szCs w:val="18"/>
                <w:lang w:eastAsia="en-US"/>
              </w:rPr>
              <w:t>841-2007</w:t>
            </w:r>
          </w:p>
        </w:tc>
      </w:tr>
      <w:tr w14:paraId="44586475">
        <w:tblPrEx>
          <w:tblCellMar>
            <w:top w:w="0" w:type="dxa"/>
            <w:left w:w="0" w:type="dxa"/>
            <w:bottom w:w="0" w:type="dxa"/>
            <w:right w:w="0" w:type="dxa"/>
          </w:tblCellMar>
        </w:tblPrEx>
        <w:trPr>
          <w:trHeight w:val="266" w:hRule="atLeast"/>
        </w:trPr>
        <w:tc>
          <w:tcPr>
            <w:tcW w:w="833" w:type="dxa"/>
            <w:vMerge w:val="restart"/>
            <w:tcBorders>
              <w:top w:val="nil"/>
              <w:left w:val="single" w:color="000000" w:sz="8" w:space="0"/>
              <w:bottom w:val="single" w:color="000000" w:sz="8" w:space="0"/>
              <w:right w:val="single" w:color="000000" w:sz="8" w:space="0"/>
            </w:tcBorders>
          </w:tcPr>
          <w:p w14:paraId="682D420D">
            <w:pPr>
              <w:pStyle w:val="132"/>
              <w:spacing w:before="5"/>
              <w:ind w:left="404" w:hanging="404"/>
              <w:rPr>
                <w:rFonts w:ascii="黑体" w:hAnsi="黑体" w:eastAsia="黑体"/>
                <w:sz w:val="18"/>
                <w:szCs w:val="18"/>
                <w:lang w:eastAsia="en-US"/>
              </w:rPr>
            </w:pPr>
          </w:p>
          <w:p w14:paraId="2A3679E0">
            <w:pPr>
              <w:pStyle w:val="132"/>
              <w:ind w:left="429" w:hanging="429"/>
              <w:rPr>
                <w:rFonts w:ascii="黑体" w:hAnsi="黑体" w:eastAsia="黑体"/>
                <w:sz w:val="18"/>
                <w:szCs w:val="18"/>
                <w:lang w:eastAsia="en-US"/>
              </w:rPr>
            </w:pPr>
            <w:r>
              <w:rPr>
                <w:rFonts w:ascii="黑体" w:hAnsi="黑体" w:eastAsia="黑体"/>
                <w:sz w:val="18"/>
                <w:szCs w:val="18"/>
                <w:lang w:eastAsia="en-US"/>
              </w:rPr>
              <w:t>2</w:t>
            </w:r>
          </w:p>
        </w:tc>
        <w:tc>
          <w:tcPr>
            <w:tcW w:w="2634" w:type="dxa"/>
            <w:vMerge w:val="restart"/>
            <w:tcBorders>
              <w:top w:val="nil"/>
              <w:left w:val="nil"/>
              <w:bottom w:val="single" w:color="000000" w:sz="8" w:space="0"/>
              <w:right w:val="single" w:color="000000" w:sz="8" w:space="0"/>
            </w:tcBorders>
          </w:tcPr>
          <w:p w14:paraId="542EA941">
            <w:pPr>
              <w:pStyle w:val="132"/>
              <w:spacing w:before="264"/>
              <w:ind w:left="404" w:hanging="404"/>
              <w:rPr>
                <w:rFonts w:ascii="黑体" w:hAnsi="黑体" w:eastAsia="黑体"/>
                <w:sz w:val="18"/>
                <w:szCs w:val="18"/>
                <w:lang w:eastAsia="en-US"/>
              </w:rPr>
            </w:pPr>
            <w:r>
              <w:rPr>
                <w:rFonts w:hint="eastAsia" w:ascii="黑体" w:hAnsi="黑体" w:eastAsia="黑体"/>
                <w:sz w:val="18"/>
                <w:szCs w:val="18"/>
                <w:lang w:eastAsia="en-US"/>
              </w:rPr>
              <w:t>抗拉强度（</w:t>
            </w:r>
            <w:r>
              <w:rPr>
                <w:rFonts w:ascii="黑体" w:hAnsi="黑体" w:eastAsia="黑体"/>
                <w:sz w:val="18"/>
                <w:szCs w:val="18"/>
                <w:lang w:eastAsia="en-US"/>
              </w:rPr>
              <w:t>N/50mm）</w:t>
            </w:r>
          </w:p>
        </w:tc>
        <w:tc>
          <w:tcPr>
            <w:tcW w:w="1309" w:type="dxa"/>
            <w:tcBorders>
              <w:top w:val="nil"/>
              <w:left w:val="nil"/>
              <w:bottom w:val="single" w:color="000000" w:sz="8" w:space="0"/>
              <w:right w:val="single" w:color="000000" w:sz="8" w:space="0"/>
            </w:tcBorders>
          </w:tcPr>
          <w:p w14:paraId="2DBB4499">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纵向</w:t>
            </w:r>
          </w:p>
        </w:tc>
        <w:tc>
          <w:tcPr>
            <w:tcW w:w="1544" w:type="dxa"/>
            <w:tcBorders>
              <w:top w:val="nil"/>
              <w:left w:val="nil"/>
              <w:bottom w:val="single" w:color="000000" w:sz="8" w:space="0"/>
              <w:right w:val="single" w:color="000000" w:sz="8" w:space="0"/>
            </w:tcBorders>
          </w:tcPr>
          <w:p w14:paraId="6C7ED429">
            <w:pPr>
              <w:pStyle w:val="132"/>
              <w:spacing w:before="81"/>
              <w:ind w:left="423" w:right="474" w:hanging="423"/>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1200</w:t>
            </w:r>
          </w:p>
        </w:tc>
        <w:tc>
          <w:tcPr>
            <w:tcW w:w="0" w:type="auto"/>
            <w:vMerge w:val="continue"/>
            <w:tcBorders>
              <w:top w:val="nil"/>
              <w:left w:val="nil"/>
              <w:bottom w:val="single" w:color="000000" w:sz="8" w:space="0"/>
              <w:right w:val="single" w:color="000000" w:sz="8" w:space="0"/>
            </w:tcBorders>
            <w:vAlign w:val="center"/>
          </w:tcPr>
          <w:p w14:paraId="3C297B52">
            <w:pPr>
              <w:jc w:val="left"/>
              <w:rPr>
                <w:rFonts w:ascii="黑体" w:hAnsi="黑体"/>
                <w:szCs w:val="18"/>
                <w:lang w:eastAsia="en-US"/>
              </w:rPr>
            </w:pPr>
          </w:p>
        </w:tc>
      </w:tr>
      <w:tr w14:paraId="03B4BEA5">
        <w:tblPrEx>
          <w:tblCellMar>
            <w:top w:w="0" w:type="dxa"/>
            <w:left w:w="0" w:type="dxa"/>
            <w:bottom w:w="0" w:type="dxa"/>
            <w:right w:w="0" w:type="dxa"/>
          </w:tblCellMar>
        </w:tblPrEx>
        <w:trPr>
          <w:trHeight w:val="266" w:hRule="atLeast"/>
        </w:trPr>
        <w:tc>
          <w:tcPr>
            <w:tcW w:w="0" w:type="auto"/>
            <w:vMerge w:val="continue"/>
            <w:tcBorders>
              <w:top w:val="nil"/>
              <w:left w:val="single" w:color="000000" w:sz="8" w:space="0"/>
              <w:bottom w:val="single" w:color="000000" w:sz="8" w:space="0"/>
              <w:right w:val="single" w:color="000000" w:sz="8" w:space="0"/>
            </w:tcBorders>
            <w:vAlign w:val="center"/>
          </w:tcPr>
          <w:p w14:paraId="02BA18CC">
            <w:pPr>
              <w:jc w:val="left"/>
              <w:rPr>
                <w:rFonts w:ascii="黑体" w:hAnsi="黑体"/>
                <w:szCs w:val="18"/>
                <w:lang w:eastAsia="en-US"/>
              </w:rPr>
            </w:pPr>
          </w:p>
        </w:tc>
        <w:tc>
          <w:tcPr>
            <w:tcW w:w="0" w:type="auto"/>
            <w:vMerge w:val="continue"/>
            <w:tcBorders>
              <w:top w:val="nil"/>
              <w:left w:val="nil"/>
              <w:bottom w:val="single" w:color="000000" w:sz="8" w:space="0"/>
              <w:right w:val="single" w:color="000000" w:sz="8" w:space="0"/>
            </w:tcBorders>
            <w:vAlign w:val="center"/>
          </w:tcPr>
          <w:p w14:paraId="5270B92C">
            <w:pPr>
              <w:jc w:val="left"/>
              <w:rPr>
                <w:rFonts w:ascii="黑体" w:hAnsi="黑体"/>
                <w:szCs w:val="18"/>
                <w:lang w:eastAsia="en-US"/>
              </w:rPr>
            </w:pPr>
          </w:p>
        </w:tc>
        <w:tc>
          <w:tcPr>
            <w:tcW w:w="1309" w:type="dxa"/>
            <w:tcBorders>
              <w:top w:val="nil"/>
              <w:left w:val="nil"/>
              <w:bottom w:val="single" w:color="000000" w:sz="8" w:space="0"/>
              <w:right w:val="single" w:color="000000" w:sz="8" w:space="0"/>
            </w:tcBorders>
          </w:tcPr>
          <w:p w14:paraId="6D0A47F5">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横向</w:t>
            </w:r>
          </w:p>
        </w:tc>
        <w:tc>
          <w:tcPr>
            <w:tcW w:w="1544" w:type="dxa"/>
            <w:tcBorders>
              <w:top w:val="nil"/>
              <w:left w:val="nil"/>
              <w:bottom w:val="single" w:color="000000" w:sz="8" w:space="0"/>
              <w:right w:val="single" w:color="000000" w:sz="8" w:space="0"/>
            </w:tcBorders>
          </w:tcPr>
          <w:p w14:paraId="67433E4D">
            <w:pPr>
              <w:pStyle w:val="132"/>
              <w:spacing w:before="81"/>
              <w:ind w:left="423" w:right="474" w:hanging="423"/>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1200</w:t>
            </w:r>
          </w:p>
        </w:tc>
        <w:tc>
          <w:tcPr>
            <w:tcW w:w="0" w:type="auto"/>
            <w:vMerge w:val="continue"/>
            <w:tcBorders>
              <w:top w:val="nil"/>
              <w:left w:val="nil"/>
              <w:bottom w:val="single" w:color="000000" w:sz="8" w:space="0"/>
              <w:right w:val="single" w:color="000000" w:sz="8" w:space="0"/>
            </w:tcBorders>
            <w:vAlign w:val="center"/>
          </w:tcPr>
          <w:p w14:paraId="3DF46317">
            <w:pPr>
              <w:jc w:val="left"/>
              <w:rPr>
                <w:rFonts w:ascii="黑体" w:hAnsi="黑体"/>
                <w:szCs w:val="18"/>
                <w:lang w:eastAsia="en-US"/>
              </w:rPr>
            </w:pPr>
          </w:p>
        </w:tc>
      </w:tr>
      <w:tr w14:paraId="22E1DCA6">
        <w:tblPrEx>
          <w:tblCellMar>
            <w:top w:w="0" w:type="dxa"/>
            <w:left w:w="0" w:type="dxa"/>
            <w:bottom w:w="0" w:type="dxa"/>
            <w:right w:w="0" w:type="dxa"/>
          </w:tblCellMar>
        </w:tblPrEx>
        <w:trPr>
          <w:trHeight w:val="266" w:hRule="atLeast"/>
        </w:trPr>
        <w:tc>
          <w:tcPr>
            <w:tcW w:w="833" w:type="dxa"/>
            <w:vMerge w:val="restart"/>
            <w:tcBorders>
              <w:top w:val="nil"/>
              <w:left w:val="single" w:color="000000" w:sz="8" w:space="0"/>
              <w:bottom w:val="single" w:color="000000" w:sz="8" w:space="0"/>
              <w:right w:val="single" w:color="000000" w:sz="8" w:space="0"/>
            </w:tcBorders>
          </w:tcPr>
          <w:p w14:paraId="436B7B4A">
            <w:pPr>
              <w:pStyle w:val="132"/>
              <w:spacing w:before="5"/>
              <w:ind w:left="404" w:hanging="404"/>
              <w:rPr>
                <w:rFonts w:ascii="黑体" w:hAnsi="黑体" w:eastAsia="黑体"/>
                <w:sz w:val="18"/>
                <w:szCs w:val="18"/>
                <w:lang w:eastAsia="en-US"/>
              </w:rPr>
            </w:pPr>
          </w:p>
          <w:p w14:paraId="29FCA07E">
            <w:pPr>
              <w:pStyle w:val="132"/>
              <w:ind w:left="429" w:hanging="429"/>
              <w:rPr>
                <w:rFonts w:ascii="黑体" w:hAnsi="黑体" w:eastAsia="黑体"/>
                <w:sz w:val="18"/>
                <w:szCs w:val="18"/>
                <w:lang w:eastAsia="en-US"/>
              </w:rPr>
            </w:pPr>
            <w:r>
              <w:rPr>
                <w:rFonts w:ascii="黑体" w:hAnsi="黑体" w:eastAsia="黑体"/>
                <w:sz w:val="18"/>
                <w:szCs w:val="18"/>
                <w:lang w:eastAsia="en-US"/>
              </w:rPr>
              <w:t>3</w:t>
            </w:r>
          </w:p>
        </w:tc>
        <w:tc>
          <w:tcPr>
            <w:tcW w:w="2634" w:type="dxa"/>
            <w:vMerge w:val="restart"/>
            <w:tcBorders>
              <w:top w:val="nil"/>
              <w:left w:val="nil"/>
              <w:bottom w:val="single" w:color="000000" w:sz="8" w:space="0"/>
              <w:right w:val="single" w:color="000000" w:sz="8" w:space="0"/>
            </w:tcBorders>
          </w:tcPr>
          <w:p w14:paraId="2F2DF14D">
            <w:pPr>
              <w:pStyle w:val="132"/>
              <w:spacing w:before="264"/>
              <w:ind w:left="404" w:hanging="404"/>
              <w:rPr>
                <w:rFonts w:ascii="黑体" w:hAnsi="黑体" w:eastAsia="黑体"/>
                <w:sz w:val="18"/>
                <w:szCs w:val="18"/>
                <w:lang w:eastAsia="en-US"/>
              </w:rPr>
            </w:pPr>
            <w:r>
              <w:rPr>
                <w:rFonts w:hint="eastAsia" w:ascii="黑体" w:hAnsi="黑体" w:eastAsia="黑体"/>
                <w:sz w:val="18"/>
                <w:szCs w:val="18"/>
                <w:lang w:eastAsia="en-US"/>
              </w:rPr>
              <w:t>延伸率（</w:t>
            </w:r>
            <w:r>
              <w:rPr>
                <w:rFonts w:ascii="黑体" w:hAnsi="黑体" w:eastAsia="黑体"/>
                <w:sz w:val="18"/>
                <w:szCs w:val="18"/>
                <w:lang w:eastAsia="en-US"/>
              </w:rPr>
              <w:t>%）</w:t>
            </w:r>
          </w:p>
        </w:tc>
        <w:tc>
          <w:tcPr>
            <w:tcW w:w="1309" w:type="dxa"/>
            <w:tcBorders>
              <w:top w:val="nil"/>
              <w:left w:val="nil"/>
              <w:bottom w:val="single" w:color="000000" w:sz="8" w:space="0"/>
              <w:right w:val="single" w:color="000000" w:sz="8" w:space="0"/>
            </w:tcBorders>
          </w:tcPr>
          <w:p w14:paraId="4C8342C5">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纵向</w:t>
            </w:r>
          </w:p>
        </w:tc>
        <w:tc>
          <w:tcPr>
            <w:tcW w:w="1544" w:type="dxa"/>
            <w:tcBorders>
              <w:top w:val="nil"/>
              <w:left w:val="nil"/>
              <w:bottom w:val="single" w:color="000000" w:sz="8" w:space="0"/>
              <w:right w:val="single" w:color="000000" w:sz="8" w:space="0"/>
            </w:tcBorders>
          </w:tcPr>
          <w:p w14:paraId="1AD1CFEA">
            <w:pPr>
              <w:pStyle w:val="132"/>
              <w:spacing w:before="81"/>
              <w:ind w:left="423" w:right="474" w:hanging="423"/>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2</w:t>
            </w:r>
          </w:p>
        </w:tc>
        <w:tc>
          <w:tcPr>
            <w:tcW w:w="0" w:type="auto"/>
            <w:vMerge w:val="continue"/>
            <w:tcBorders>
              <w:top w:val="nil"/>
              <w:left w:val="nil"/>
              <w:bottom w:val="single" w:color="000000" w:sz="8" w:space="0"/>
              <w:right w:val="single" w:color="000000" w:sz="8" w:space="0"/>
            </w:tcBorders>
            <w:vAlign w:val="center"/>
          </w:tcPr>
          <w:p w14:paraId="0537389D">
            <w:pPr>
              <w:jc w:val="left"/>
              <w:rPr>
                <w:rFonts w:ascii="黑体" w:hAnsi="黑体"/>
                <w:szCs w:val="18"/>
                <w:lang w:eastAsia="en-US"/>
              </w:rPr>
            </w:pPr>
          </w:p>
        </w:tc>
      </w:tr>
      <w:tr w14:paraId="694132A3">
        <w:tblPrEx>
          <w:tblCellMar>
            <w:top w:w="0" w:type="dxa"/>
            <w:left w:w="0" w:type="dxa"/>
            <w:bottom w:w="0" w:type="dxa"/>
            <w:right w:w="0" w:type="dxa"/>
          </w:tblCellMar>
        </w:tblPrEx>
        <w:trPr>
          <w:trHeight w:val="266" w:hRule="atLeast"/>
        </w:trPr>
        <w:tc>
          <w:tcPr>
            <w:tcW w:w="0" w:type="auto"/>
            <w:vMerge w:val="continue"/>
            <w:tcBorders>
              <w:top w:val="nil"/>
              <w:left w:val="single" w:color="000000" w:sz="8" w:space="0"/>
              <w:bottom w:val="single" w:color="000000" w:sz="8" w:space="0"/>
              <w:right w:val="single" w:color="000000" w:sz="8" w:space="0"/>
            </w:tcBorders>
            <w:vAlign w:val="center"/>
          </w:tcPr>
          <w:p w14:paraId="573AA904">
            <w:pPr>
              <w:jc w:val="left"/>
              <w:rPr>
                <w:rFonts w:ascii="黑体" w:hAnsi="黑体"/>
                <w:szCs w:val="18"/>
                <w:lang w:eastAsia="en-US"/>
              </w:rPr>
            </w:pPr>
          </w:p>
        </w:tc>
        <w:tc>
          <w:tcPr>
            <w:tcW w:w="0" w:type="auto"/>
            <w:vMerge w:val="continue"/>
            <w:tcBorders>
              <w:top w:val="nil"/>
              <w:left w:val="nil"/>
              <w:bottom w:val="single" w:color="000000" w:sz="8" w:space="0"/>
              <w:right w:val="single" w:color="000000" w:sz="8" w:space="0"/>
            </w:tcBorders>
            <w:vAlign w:val="center"/>
          </w:tcPr>
          <w:p w14:paraId="35737D97">
            <w:pPr>
              <w:jc w:val="left"/>
              <w:rPr>
                <w:rFonts w:ascii="黑体" w:hAnsi="黑体"/>
                <w:szCs w:val="18"/>
                <w:lang w:eastAsia="en-US"/>
              </w:rPr>
            </w:pPr>
          </w:p>
        </w:tc>
        <w:tc>
          <w:tcPr>
            <w:tcW w:w="1309" w:type="dxa"/>
            <w:tcBorders>
              <w:top w:val="nil"/>
              <w:left w:val="nil"/>
              <w:bottom w:val="single" w:color="000000" w:sz="8" w:space="0"/>
              <w:right w:val="single" w:color="000000" w:sz="8" w:space="0"/>
            </w:tcBorders>
          </w:tcPr>
          <w:p w14:paraId="11571D7D">
            <w:pPr>
              <w:pStyle w:val="132"/>
              <w:spacing w:before="27"/>
              <w:ind w:left="404" w:right="461" w:hanging="404"/>
              <w:rPr>
                <w:rFonts w:ascii="黑体" w:hAnsi="黑体" w:eastAsia="黑体"/>
                <w:sz w:val="18"/>
                <w:szCs w:val="18"/>
                <w:lang w:eastAsia="en-US"/>
              </w:rPr>
            </w:pPr>
            <w:r>
              <w:rPr>
                <w:rFonts w:hint="eastAsia" w:ascii="黑体" w:hAnsi="黑体" w:eastAsia="黑体"/>
                <w:sz w:val="18"/>
                <w:szCs w:val="18"/>
                <w:lang w:eastAsia="en-US"/>
              </w:rPr>
              <w:t>横向</w:t>
            </w:r>
          </w:p>
        </w:tc>
        <w:tc>
          <w:tcPr>
            <w:tcW w:w="1544" w:type="dxa"/>
            <w:tcBorders>
              <w:top w:val="nil"/>
              <w:left w:val="nil"/>
              <w:bottom w:val="single" w:color="000000" w:sz="8" w:space="0"/>
              <w:right w:val="single" w:color="000000" w:sz="8" w:space="0"/>
            </w:tcBorders>
          </w:tcPr>
          <w:p w14:paraId="022D3007">
            <w:pPr>
              <w:pStyle w:val="132"/>
              <w:spacing w:before="81"/>
              <w:ind w:left="423" w:right="474" w:hanging="423"/>
              <w:rPr>
                <w:rFonts w:ascii="黑体" w:hAnsi="黑体" w:eastAsia="黑体"/>
                <w:sz w:val="18"/>
                <w:szCs w:val="18"/>
                <w:lang w:eastAsia="en-US"/>
              </w:rPr>
            </w:pPr>
            <w:r>
              <w:rPr>
                <w:rFonts w:hint="eastAsia" w:ascii="黑体" w:hAnsi="黑体" w:eastAsia="黑体"/>
                <w:sz w:val="18"/>
                <w:szCs w:val="18"/>
                <w:lang w:eastAsia="en-US"/>
              </w:rPr>
              <w:t>≥</w:t>
            </w:r>
            <w:r>
              <w:rPr>
                <w:rFonts w:ascii="黑体" w:hAnsi="黑体" w:eastAsia="黑体"/>
                <w:sz w:val="18"/>
                <w:szCs w:val="18"/>
                <w:lang w:eastAsia="en-US"/>
              </w:rPr>
              <w:t>2</w:t>
            </w:r>
          </w:p>
        </w:tc>
        <w:tc>
          <w:tcPr>
            <w:tcW w:w="0" w:type="auto"/>
            <w:vMerge w:val="continue"/>
            <w:tcBorders>
              <w:top w:val="nil"/>
              <w:left w:val="nil"/>
              <w:bottom w:val="single" w:color="000000" w:sz="8" w:space="0"/>
              <w:right w:val="single" w:color="000000" w:sz="8" w:space="0"/>
            </w:tcBorders>
            <w:vAlign w:val="center"/>
          </w:tcPr>
          <w:p w14:paraId="3F75C82D">
            <w:pPr>
              <w:jc w:val="left"/>
              <w:rPr>
                <w:rFonts w:ascii="黑体" w:hAnsi="黑体"/>
                <w:szCs w:val="18"/>
                <w:lang w:eastAsia="en-US"/>
              </w:rPr>
            </w:pPr>
          </w:p>
        </w:tc>
      </w:tr>
    </w:tbl>
    <w:p w14:paraId="7431942C">
      <w:pPr>
        <w:spacing w:line="325" w:lineRule="exact"/>
        <w:ind w:firstLine="420"/>
        <w:jc w:val="left"/>
        <w:rPr>
          <w:rFonts w:ascii="黑体" w:hAnsi="黑体"/>
          <w:szCs w:val="18"/>
        </w:rPr>
      </w:pPr>
      <w:r>
        <w:rPr>
          <w:rFonts w:hint="eastAsia" w:ascii="黑体" w:hAnsi="黑体" w:cs="宋体"/>
          <w:szCs w:val="18"/>
        </w:rPr>
        <w:t>注：网眼</w:t>
      </w:r>
      <w:r>
        <w:rPr>
          <w:rFonts w:ascii="黑体" w:hAnsi="黑体" w:cs="宋体"/>
          <w:szCs w:val="18"/>
        </w:rPr>
        <w:t>5mmx5mm</w:t>
      </w:r>
      <w:r>
        <w:rPr>
          <w:rFonts w:hint="eastAsia" w:ascii="黑体" w:hAnsi="黑体" w:cs="宋体"/>
          <w:szCs w:val="18"/>
        </w:rPr>
        <w:t>，耐碱玻璃纤维网布详见</w:t>
      </w:r>
      <w:r>
        <w:rPr>
          <w:rFonts w:ascii="黑体" w:hAnsi="黑体" w:cs="宋体"/>
          <w:szCs w:val="18"/>
        </w:rPr>
        <w:t>JCT 841-2007</w:t>
      </w:r>
      <w:r>
        <w:rPr>
          <w:rFonts w:hint="eastAsia" w:ascii="黑体" w:hAnsi="黑体" w:cs="宋体"/>
          <w:szCs w:val="18"/>
        </w:rPr>
        <w:t>。</w:t>
      </w:r>
    </w:p>
    <w:p w14:paraId="447894CB">
      <w:pPr>
        <w:pStyle w:val="135"/>
        <w:adjustRightInd w:val="0"/>
        <w:snapToGrid w:val="0"/>
        <w:jc w:val="left"/>
        <w:rPr>
          <w:rFonts w:ascii="黑体" w:hAnsi="黑体" w:eastAsia="黑体"/>
          <w:bCs w:val="0"/>
          <w:sz w:val="18"/>
          <w:szCs w:val="18"/>
        </w:rPr>
      </w:pPr>
      <w:r>
        <w:rPr>
          <w:rFonts w:ascii="黑体" w:hAnsi="黑体" w:eastAsia="黑体"/>
          <w:bCs w:val="0"/>
          <w:sz w:val="18"/>
          <w:szCs w:val="18"/>
        </w:rPr>
        <w:t>2.2</w:t>
      </w:r>
      <w:r>
        <w:rPr>
          <w:rFonts w:hint="eastAsia" w:ascii="黑体" w:hAnsi="黑体" w:eastAsia="黑体"/>
          <w:bCs w:val="0"/>
          <w:sz w:val="18"/>
          <w:szCs w:val="18"/>
        </w:rPr>
        <w:t>.4.3</w:t>
      </w:r>
      <w:r>
        <w:rPr>
          <w:rFonts w:ascii="黑体" w:hAnsi="黑体" w:eastAsia="黑体"/>
          <w:bCs w:val="0"/>
          <w:sz w:val="18"/>
          <w:szCs w:val="18"/>
        </w:rPr>
        <w:t xml:space="preserve">  </w:t>
      </w:r>
      <w:r>
        <w:rPr>
          <w:rFonts w:hint="eastAsia" w:ascii="黑体" w:hAnsi="黑体" w:eastAsia="黑体"/>
          <w:bCs w:val="0"/>
          <w:sz w:val="18"/>
          <w:szCs w:val="18"/>
        </w:rPr>
        <w:t>用于钢构件表面的防腐蚀底层涂料和用于防火涂层表面的防腐蚀面层涂料均应与钢结构防火涂料相适应，并具有良好的结合力。</w:t>
      </w:r>
    </w:p>
    <w:p w14:paraId="30ADA990">
      <w:pPr>
        <w:pStyle w:val="135"/>
        <w:adjustRightInd w:val="0"/>
        <w:snapToGrid w:val="0"/>
        <w:jc w:val="left"/>
        <w:rPr>
          <w:rFonts w:ascii="黑体" w:hAnsi="黑体" w:eastAsia="黑体"/>
          <w:bCs w:val="0"/>
          <w:sz w:val="18"/>
          <w:szCs w:val="18"/>
        </w:rPr>
      </w:pPr>
      <w:r>
        <w:rPr>
          <w:rFonts w:ascii="黑体" w:hAnsi="黑体" w:eastAsia="黑体"/>
          <w:bCs w:val="0"/>
          <w:sz w:val="18"/>
          <w:szCs w:val="18"/>
        </w:rPr>
        <w:t>2.2</w:t>
      </w:r>
      <w:r>
        <w:rPr>
          <w:rFonts w:hint="eastAsia" w:ascii="黑体" w:hAnsi="黑体" w:eastAsia="黑体"/>
          <w:bCs w:val="0"/>
          <w:sz w:val="18"/>
          <w:szCs w:val="18"/>
        </w:rPr>
        <w:t>.4.4</w:t>
      </w:r>
      <w:r>
        <w:rPr>
          <w:rFonts w:ascii="黑体" w:hAnsi="黑体" w:eastAsia="黑体"/>
          <w:bCs w:val="0"/>
          <w:sz w:val="18"/>
          <w:szCs w:val="18"/>
        </w:rPr>
        <w:t xml:space="preserve">  </w:t>
      </w:r>
      <w:r>
        <w:rPr>
          <w:rFonts w:hint="eastAsia" w:ascii="黑体" w:hAnsi="黑体" w:eastAsia="黑体"/>
          <w:bCs w:val="0"/>
          <w:sz w:val="18"/>
          <w:szCs w:val="18"/>
        </w:rPr>
        <w:t>钢构件</w:t>
      </w:r>
      <w:r>
        <w:rPr>
          <w:rFonts w:ascii="黑体" w:hAnsi="黑体" w:eastAsia="黑体"/>
          <w:bCs w:val="0"/>
          <w:sz w:val="18"/>
          <w:szCs w:val="18"/>
        </w:rPr>
        <w:t>在腐蚀环境下，防火涂层应按</w:t>
      </w:r>
      <w:r>
        <w:rPr>
          <w:rFonts w:hint="eastAsia" w:ascii="黑体" w:hAnsi="黑体" w:eastAsia="黑体"/>
          <w:bCs w:val="0"/>
          <w:sz w:val="18"/>
          <w:szCs w:val="18"/>
        </w:rPr>
        <w:t>下</w:t>
      </w:r>
      <w:r>
        <w:rPr>
          <w:rFonts w:ascii="黑体" w:hAnsi="黑体" w:eastAsia="黑体"/>
          <w:bCs w:val="0"/>
          <w:sz w:val="18"/>
          <w:szCs w:val="18"/>
        </w:rPr>
        <w:t>列</w:t>
      </w:r>
      <w:r>
        <w:rPr>
          <w:rFonts w:hint="eastAsia" w:ascii="黑体" w:hAnsi="黑体" w:eastAsia="黑体"/>
          <w:bCs w:val="0"/>
          <w:sz w:val="18"/>
          <w:szCs w:val="18"/>
        </w:rPr>
        <w:t>顺序</w:t>
      </w:r>
      <w:r>
        <w:rPr>
          <w:rFonts w:ascii="黑体" w:hAnsi="黑体" w:eastAsia="黑体"/>
          <w:bCs w:val="0"/>
          <w:sz w:val="18"/>
          <w:szCs w:val="18"/>
        </w:rPr>
        <w:t>涂装</w:t>
      </w:r>
      <w:r>
        <w:rPr>
          <w:rFonts w:hint="eastAsia" w:ascii="黑体" w:hAnsi="黑体" w:eastAsia="黑体"/>
          <w:bCs w:val="0"/>
          <w:sz w:val="18"/>
          <w:szCs w:val="18"/>
        </w:rPr>
        <w:t>：</w:t>
      </w:r>
    </w:p>
    <w:p w14:paraId="5CAE76DF">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1</w:t>
      </w:r>
      <w:r>
        <w:rPr>
          <w:rFonts w:ascii="黑体" w:hAnsi="黑体" w:eastAsia="黑体"/>
          <w:sz w:val="18"/>
          <w:szCs w:val="18"/>
        </w:rPr>
        <w:t xml:space="preserve">)  </w:t>
      </w:r>
      <w:r>
        <w:rPr>
          <w:rFonts w:hint="eastAsia" w:ascii="黑体" w:hAnsi="黑体" w:eastAsia="黑体"/>
          <w:sz w:val="18"/>
          <w:szCs w:val="18"/>
        </w:rPr>
        <w:t>先在钢构件表面涂覆防腐蚀底层涂料及防腐蚀中间层涂料。</w:t>
      </w:r>
    </w:p>
    <w:p w14:paraId="061EE824">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2</w:t>
      </w:r>
      <w:r>
        <w:rPr>
          <w:rFonts w:ascii="黑体" w:hAnsi="黑体" w:eastAsia="黑体"/>
          <w:sz w:val="18"/>
          <w:szCs w:val="18"/>
        </w:rPr>
        <w:t xml:space="preserve">)  </w:t>
      </w:r>
      <w:r>
        <w:rPr>
          <w:rFonts w:hint="eastAsia" w:ascii="黑体" w:hAnsi="黑体" w:eastAsia="黑体"/>
          <w:sz w:val="18"/>
          <w:szCs w:val="18"/>
        </w:rPr>
        <w:t>待防腐蚀涂层干燥固化后再涂覆钢结构防火涂料。</w:t>
      </w:r>
    </w:p>
    <w:p w14:paraId="2EB418E2">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3</w:t>
      </w:r>
      <w:r>
        <w:rPr>
          <w:rFonts w:ascii="黑体" w:hAnsi="黑体" w:eastAsia="黑体"/>
          <w:sz w:val="18"/>
          <w:szCs w:val="18"/>
        </w:rPr>
        <w:t>)  待</w:t>
      </w:r>
      <w:r>
        <w:rPr>
          <w:rFonts w:hint="eastAsia" w:ascii="黑体" w:hAnsi="黑体" w:eastAsia="黑体"/>
          <w:sz w:val="18"/>
          <w:szCs w:val="18"/>
        </w:rPr>
        <w:t>防火涂层干燥固化后再涂覆防腐蚀面层涂料。</w:t>
      </w:r>
    </w:p>
    <w:p w14:paraId="17C6730D">
      <w:pPr>
        <w:pStyle w:val="49"/>
        <w:adjustRightInd w:val="0"/>
        <w:snapToGrid w:val="0"/>
        <w:spacing w:line="360" w:lineRule="auto"/>
        <w:ind w:firstLine="0" w:firstLineChars="0"/>
        <w:jc w:val="left"/>
        <w:rPr>
          <w:rFonts w:ascii="黑体" w:hAnsi="黑体"/>
          <w:szCs w:val="18"/>
        </w:rPr>
      </w:pPr>
    </w:p>
    <w:p w14:paraId="6074AC66">
      <w:pPr>
        <w:pStyle w:val="2"/>
        <w:keepNext w:val="0"/>
        <w:numPr>
          <w:ilvl w:val="0"/>
          <w:numId w:val="185"/>
        </w:numPr>
        <w:adjustRightInd w:val="0"/>
        <w:snapToGrid w:val="0"/>
        <w:spacing w:before="0" w:after="0" w:line="360" w:lineRule="auto"/>
        <w:ind w:left="365" w:hanging="365"/>
        <w:jc w:val="left"/>
        <w:rPr>
          <w:bCs/>
          <w:szCs w:val="18"/>
        </w:rPr>
      </w:pPr>
      <w:bookmarkStart w:id="197" w:name="_Toc174556842"/>
      <w:r>
        <w:rPr>
          <w:bCs/>
          <w:szCs w:val="18"/>
        </w:rPr>
        <w:t>施</w:t>
      </w:r>
      <w:r>
        <w:rPr>
          <w:rFonts w:hint="eastAsia"/>
          <w:bCs/>
          <w:szCs w:val="18"/>
        </w:rPr>
        <w:t>工</w:t>
      </w:r>
      <w:bookmarkEnd w:id="197"/>
      <w:r>
        <w:rPr>
          <w:bCs/>
          <w:szCs w:val="18"/>
        </w:rPr>
        <w:t xml:space="preserve"> </w:t>
      </w:r>
    </w:p>
    <w:p w14:paraId="063DED77">
      <w:pPr>
        <w:pStyle w:val="49"/>
        <w:widowControl/>
        <w:numPr>
          <w:ilvl w:val="1"/>
          <w:numId w:val="185"/>
        </w:numPr>
        <w:adjustRightInd w:val="0"/>
        <w:snapToGrid w:val="0"/>
        <w:spacing w:line="360" w:lineRule="auto"/>
        <w:ind w:left="0" w:firstLine="0" w:firstLineChars="0"/>
        <w:jc w:val="left"/>
        <w:rPr>
          <w:rFonts w:ascii="黑体" w:hAnsi="黑体"/>
          <w:b/>
          <w:bCs/>
          <w:szCs w:val="18"/>
        </w:rPr>
      </w:pPr>
      <w:r>
        <w:rPr>
          <w:rFonts w:hint="eastAsia" w:ascii="黑体" w:hAnsi="黑体"/>
          <w:b/>
          <w:bCs/>
          <w:szCs w:val="18"/>
        </w:rPr>
        <w:t>进场复检</w:t>
      </w:r>
    </w:p>
    <w:p w14:paraId="342DD488">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hint="eastAsia" w:ascii="黑体" w:hAnsi="黑体"/>
          <w:szCs w:val="18"/>
        </w:rPr>
        <w:t>防</w:t>
      </w:r>
      <w:r>
        <w:rPr>
          <w:rFonts w:ascii="黑体" w:hAnsi="黑体"/>
          <w:szCs w:val="18"/>
        </w:rPr>
        <w:t>火涂料产品进入施工现场后，应</w:t>
      </w:r>
      <w:r>
        <w:rPr>
          <w:rFonts w:hint="eastAsia" w:ascii="黑体" w:hAnsi="黑体"/>
          <w:szCs w:val="18"/>
        </w:rPr>
        <w:t>进行抽样检验。抽样检验时，应</w:t>
      </w:r>
      <w:r>
        <w:rPr>
          <w:rFonts w:ascii="黑体" w:hAnsi="黑体"/>
          <w:szCs w:val="18"/>
        </w:rPr>
        <w:t>由施工单位、涂料生产厂家及监理或建设单位三方在现场见证取样，送有资质的检测机构进行复检，复检合格后方可使用。</w:t>
      </w:r>
    </w:p>
    <w:p w14:paraId="6108FA38">
      <w:pPr>
        <w:pStyle w:val="49"/>
        <w:widowControl/>
        <w:numPr>
          <w:ilvl w:val="2"/>
          <w:numId w:val="185"/>
        </w:numPr>
        <w:adjustRightInd w:val="0"/>
        <w:snapToGrid w:val="0"/>
        <w:spacing w:line="360" w:lineRule="auto"/>
        <w:ind w:left="0" w:firstLine="0" w:firstLineChars="0"/>
        <w:jc w:val="left"/>
        <w:rPr>
          <w:rFonts w:ascii="黑体" w:hAnsi="黑体"/>
          <w:szCs w:val="18"/>
        </w:rPr>
      </w:pPr>
      <w:r>
        <w:rPr>
          <w:rFonts w:ascii="黑体" w:hAnsi="黑体"/>
          <w:szCs w:val="18"/>
        </w:rPr>
        <w:t>防火涂料产品进场后的抽样检验应符合下列规定：</w:t>
      </w:r>
    </w:p>
    <w:p w14:paraId="03072FFE">
      <w:pPr>
        <w:pStyle w:val="49"/>
        <w:widowControl/>
        <w:numPr>
          <w:ilvl w:val="0"/>
          <w:numId w:val="187"/>
        </w:numPr>
        <w:adjustRightInd w:val="0"/>
        <w:snapToGrid w:val="0"/>
        <w:spacing w:line="360" w:lineRule="auto"/>
        <w:ind w:firstLineChars="0"/>
        <w:jc w:val="left"/>
        <w:rPr>
          <w:rFonts w:ascii="黑体" w:hAnsi="黑体"/>
          <w:szCs w:val="18"/>
        </w:rPr>
      </w:pPr>
      <w:r>
        <w:rPr>
          <w:rFonts w:hint="eastAsia" w:ascii="黑体" w:hAnsi="黑体"/>
          <w:szCs w:val="18"/>
        </w:rPr>
        <w:t>抽样检验的数量应按涂料产品施工进货的生产批次确定，每一批次应抽检一次。检验项目应包括粘结强度、抗压强度、耐火性能等主要技术指标，并应符合设计文件和国家现行有关产品标准的规定。</w:t>
      </w:r>
    </w:p>
    <w:p w14:paraId="1CC4604D">
      <w:pPr>
        <w:pStyle w:val="49"/>
        <w:widowControl/>
        <w:numPr>
          <w:ilvl w:val="0"/>
          <w:numId w:val="187"/>
        </w:numPr>
        <w:adjustRightInd w:val="0"/>
        <w:snapToGrid w:val="0"/>
        <w:spacing w:line="360" w:lineRule="auto"/>
        <w:ind w:firstLineChars="0"/>
        <w:jc w:val="left"/>
        <w:rPr>
          <w:rFonts w:ascii="黑体" w:hAnsi="黑体"/>
          <w:szCs w:val="18"/>
        </w:rPr>
      </w:pPr>
      <w:r>
        <w:rPr>
          <w:rFonts w:ascii="黑体" w:hAnsi="黑体"/>
          <w:szCs w:val="18"/>
        </w:rPr>
        <w:t>当</w:t>
      </w:r>
      <w:r>
        <w:rPr>
          <w:rFonts w:hint="eastAsia" w:ascii="黑体" w:hAnsi="黑体"/>
          <w:szCs w:val="18"/>
        </w:rPr>
        <w:t>抽样检验结果为不合格时，该生产批次的涂料产品不得使用。</w:t>
      </w:r>
    </w:p>
    <w:p w14:paraId="51E2A44E">
      <w:pPr>
        <w:pStyle w:val="49"/>
        <w:widowControl/>
        <w:numPr>
          <w:ilvl w:val="0"/>
          <w:numId w:val="187"/>
        </w:numPr>
        <w:adjustRightInd w:val="0"/>
        <w:snapToGrid w:val="0"/>
        <w:spacing w:line="360" w:lineRule="auto"/>
        <w:ind w:firstLineChars="0"/>
        <w:jc w:val="left"/>
        <w:rPr>
          <w:rFonts w:ascii="黑体" w:hAnsi="黑体"/>
          <w:szCs w:val="18"/>
        </w:rPr>
      </w:pPr>
      <w:r>
        <w:rPr>
          <w:rFonts w:ascii="黑体" w:hAnsi="黑体"/>
          <w:szCs w:val="18"/>
        </w:rPr>
        <w:t>钢结构防火涂料的品种、规格型号和理化性能应符合设计要求和国家现行有关产品标准的规定。</w:t>
      </w:r>
    </w:p>
    <w:p w14:paraId="34F5EE7F">
      <w:pPr>
        <w:pStyle w:val="49"/>
        <w:widowControl/>
        <w:numPr>
          <w:ilvl w:val="2"/>
          <w:numId w:val="188"/>
        </w:numPr>
        <w:adjustRightInd w:val="0"/>
        <w:snapToGrid w:val="0"/>
        <w:spacing w:line="360" w:lineRule="auto"/>
        <w:ind w:left="0" w:firstLine="0" w:firstLineChars="0"/>
        <w:jc w:val="left"/>
        <w:rPr>
          <w:rFonts w:ascii="黑体" w:hAnsi="黑体"/>
          <w:szCs w:val="18"/>
        </w:rPr>
      </w:pPr>
      <w:r>
        <w:rPr>
          <w:rFonts w:ascii="黑体" w:hAnsi="黑体"/>
          <w:szCs w:val="18"/>
        </w:rPr>
        <w:t>贮存和保管</w:t>
      </w:r>
    </w:p>
    <w:p w14:paraId="2A6F07BB">
      <w:pPr>
        <w:pStyle w:val="49"/>
        <w:numPr>
          <w:ilvl w:val="1"/>
          <w:numId w:val="189"/>
        </w:numPr>
        <w:adjustRightInd w:val="0"/>
        <w:snapToGrid w:val="0"/>
        <w:spacing w:line="360" w:lineRule="auto"/>
        <w:ind w:firstLineChars="0"/>
        <w:jc w:val="left"/>
        <w:rPr>
          <w:rFonts w:ascii="黑体" w:hAnsi="黑体"/>
          <w:szCs w:val="18"/>
        </w:rPr>
      </w:pPr>
      <w:r>
        <w:rPr>
          <w:rFonts w:ascii="黑体" w:hAnsi="黑体"/>
          <w:szCs w:val="18"/>
        </w:rPr>
        <w:t>防火涂料产品在运输时应防止雨淋、曝晒，</w:t>
      </w:r>
      <w:r>
        <w:rPr>
          <w:rFonts w:hint="eastAsia" w:ascii="黑体" w:hAnsi="黑体"/>
          <w:szCs w:val="18"/>
        </w:rPr>
        <w:t>在装卸时应轻拿轻放，不得抛掷。</w:t>
      </w:r>
    </w:p>
    <w:p w14:paraId="2CAC0005">
      <w:pPr>
        <w:pStyle w:val="49"/>
        <w:numPr>
          <w:ilvl w:val="1"/>
          <w:numId w:val="189"/>
        </w:numPr>
        <w:adjustRightInd w:val="0"/>
        <w:snapToGrid w:val="0"/>
        <w:spacing w:line="360" w:lineRule="auto"/>
        <w:ind w:firstLineChars="0"/>
        <w:jc w:val="left"/>
        <w:rPr>
          <w:rFonts w:ascii="黑体" w:hAnsi="黑体"/>
          <w:szCs w:val="18"/>
        </w:rPr>
      </w:pPr>
      <w:r>
        <w:rPr>
          <w:rFonts w:ascii="黑体" w:hAnsi="黑体"/>
          <w:szCs w:val="18"/>
        </w:rPr>
        <w:t>防火涂料产品</w:t>
      </w:r>
      <w:r>
        <w:rPr>
          <w:rFonts w:hint="eastAsia" w:ascii="黑体" w:hAnsi="黑体"/>
          <w:szCs w:val="18"/>
        </w:rPr>
        <w:t>应存放在通风、干燥的仓库内。</w:t>
      </w:r>
      <w:r>
        <w:rPr>
          <w:rFonts w:ascii="黑体" w:hAnsi="黑体"/>
          <w:szCs w:val="18"/>
        </w:rPr>
        <w:t>防火涂料</w:t>
      </w:r>
      <w:r>
        <w:rPr>
          <w:rFonts w:hint="eastAsia" w:ascii="黑体" w:hAnsi="黑体"/>
          <w:szCs w:val="18"/>
        </w:rPr>
        <w:t>应按品种、规格型号分类存放。</w:t>
      </w:r>
    </w:p>
    <w:p w14:paraId="5B05241C">
      <w:pPr>
        <w:pStyle w:val="49"/>
        <w:numPr>
          <w:ilvl w:val="1"/>
          <w:numId w:val="189"/>
        </w:numPr>
        <w:adjustRightInd w:val="0"/>
        <w:snapToGrid w:val="0"/>
        <w:spacing w:line="360" w:lineRule="auto"/>
        <w:ind w:firstLineChars="0"/>
        <w:jc w:val="left"/>
        <w:rPr>
          <w:rFonts w:ascii="黑体" w:hAnsi="黑体"/>
          <w:szCs w:val="18"/>
        </w:rPr>
      </w:pPr>
      <w:r>
        <w:rPr>
          <w:rFonts w:hint="eastAsia" w:ascii="黑体" w:hAnsi="黑体"/>
          <w:szCs w:val="18"/>
        </w:rPr>
        <w:t>在保管中应根据涂料品种的不同，分别设置防潮、防水、防冻和防火等设施。</w:t>
      </w:r>
      <w:r>
        <w:rPr>
          <w:rFonts w:ascii="黑体" w:hAnsi="黑体"/>
          <w:szCs w:val="18"/>
        </w:rPr>
        <w:t>防火涂料应在产品贮存期内使用</w:t>
      </w:r>
    </w:p>
    <w:p w14:paraId="77C0E242">
      <w:pPr>
        <w:pStyle w:val="140"/>
        <w:adjustRightInd w:val="0"/>
        <w:snapToGrid w:val="0"/>
        <w:spacing w:before="0" w:beforeLines="0" w:after="0" w:afterLines="0" w:line="360" w:lineRule="auto"/>
        <w:jc w:val="left"/>
        <w:rPr>
          <w:rFonts w:ascii="黑体" w:hAnsi="黑体" w:eastAsia="黑体"/>
          <w:sz w:val="18"/>
          <w:szCs w:val="18"/>
        </w:rPr>
      </w:pPr>
      <w:bookmarkStart w:id="198" w:name="_Toc174556843"/>
      <w:r>
        <w:rPr>
          <w:rFonts w:ascii="黑体" w:hAnsi="黑体" w:eastAsia="黑体"/>
          <w:sz w:val="18"/>
          <w:szCs w:val="18"/>
        </w:rPr>
        <w:t xml:space="preserve">3.2 </w:t>
      </w:r>
      <w:r>
        <w:rPr>
          <w:rFonts w:hint="eastAsia" w:ascii="黑体" w:hAnsi="黑体" w:eastAsia="黑体"/>
          <w:sz w:val="18"/>
          <w:szCs w:val="18"/>
        </w:rPr>
        <w:t>防火涂层的施工</w:t>
      </w:r>
      <w:bookmarkEnd w:id="198"/>
    </w:p>
    <w:p w14:paraId="6CE07C1F">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3.2.1 </w:t>
      </w:r>
      <w:r>
        <w:rPr>
          <w:rFonts w:hint="eastAsia" w:ascii="黑体" w:hAnsi="黑体" w:eastAsia="黑体"/>
          <w:bCs w:val="0"/>
          <w:sz w:val="18"/>
          <w:szCs w:val="18"/>
        </w:rPr>
        <w:t>施工准备</w:t>
      </w:r>
    </w:p>
    <w:p w14:paraId="4773BA32">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.2.1.1钢结构防火涂料工程应由具有相应资质的施工单位或生产单位进行施工</w:t>
      </w:r>
      <w:r>
        <w:rPr>
          <w:rFonts w:hint="eastAsia" w:ascii="黑体" w:hAnsi="黑体" w:eastAsia="黑体"/>
          <w:bCs w:val="0"/>
          <w:sz w:val="18"/>
          <w:szCs w:val="18"/>
        </w:rPr>
        <w:t>。</w:t>
      </w:r>
    </w:p>
    <w:p w14:paraId="0132460C">
      <w:pPr>
        <w:pStyle w:val="135"/>
        <w:adjustRightInd w:val="0"/>
        <w:snapToGrid w:val="0"/>
        <w:jc w:val="left"/>
        <w:rPr>
          <w:rFonts w:ascii="黑体" w:hAnsi="黑体" w:eastAsia="黑体"/>
          <w:bCs w:val="0"/>
          <w:sz w:val="18"/>
          <w:szCs w:val="18"/>
        </w:rPr>
      </w:pPr>
      <w:r>
        <w:rPr>
          <w:rFonts w:ascii="黑体" w:hAnsi="黑体" w:eastAsia="黑体"/>
          <w:bCs w:val="0"/>
          <w:sz w:val="18"/>
          <w:szCs w:val="18"/>
        </w:rPr>
        <w:t>3.2.1.2</w:t>
      </w:r>
      <w:r>
        <w:rPr>
          <w:rFonts w:hint="eastAsia" w:ascii="黑体" w:hAnsi="黑体" w:eastAsia="黑体"/>
          <w:bCs w:val="0"/>
          <w:sz w:val="18"/>
          <w:szCs w:val="18"/>
        </w:rPr>
        <w:t>钢结构防火涂料工程的施工准备应符合下列规定：</w:t>
      </w:r>
    </w:p>
    <w:p w14:paraId="1E3CB878">
      <w:pPr>
        <w:pStyle w:val="113"/>
        <w:numPr>
          <w:ilvl w:val="4"/>
          <w:numId w:val="190"/>
        </w:numPr>
      </w:pPr>
      <w:r>
        <w:t>设计文件及相关技术文件应齐全，施工图纸已会审。</w:t>
      </w:r>
    </w:p>
    <w:p w14:paraId="4B896FF0">
      <w:pPr>
        <w:pStyle w:val="113"/>
        <w:numPr>
          <w:ilvl w:val="4"/>
          <w:numId w:val="190"/>
        </w:numPr>
      </w:pPr>
      <w:r>
        <w:t>应编制施工方案，</w:t>
      </w:r>
      <w:r>
        <w:rPr>
          <w:rFonts w:hint="eastAsia"/>
        </w:rPr>
        <w:t>并已批准实施；应对施工人员进行技术和安全交底。</w:t>
      </w:r>
    </w:p>
    <w:p w14:paraId="41C7B3E2">
      <w:pPr>
        <w:pStyle w:val="113"/>
        <w:numPr>
          <w:ilvl w:val="4"/>
          <w:numId w:val="190"/>
        </w:numPr>
      </w:pPr>
      <w:r>
        <w:t>应对</w:t>
      </w:r>
      <w:r>
        <w:rPr>
          <w:rFonts w:hint="eastAsia"/>
        </w:rPr>
        <w:t>施工人员进行安全教育和技术培训，且经考核合格。</w:t>
      </w:r>
    </w:p>
    <w:p w14:paraId="6840686A">
      <w:pPr>
        <w:pStyle w:val="113"/>
        <w:numPr>
          <w:ilvl w:val="4"/>
          <w:numId w:val="190"/>
        </w:numPr>
      </w:pPr>
      <w:r>
        <w:t>施工用水、电、气应能满足施工需求。</w:t>
      </w:r>
    </w:p>
    <w:p w14:paraId="7D24FA24">
      <w:pPr>
        <w:pStyle w:val="113"/>
        <w:numPr>
          <w:ilvl w:val="4"/>
          <w:numId w:val="190"/>
        </w:numPr>
      </w:pPr>
      <w:r>
        <w:t>施工机具应配备合理，且经调试、试运转正常；计量器具应配备齐全，且处于合格状态。</w:t>
      </w:r>
    </w:p>
    <w:p w14:paraId="39B62B7B">
      <w:pPr>
        <w:pStyle w:val="113"/>
        <w:numPr>
          <w:ilvl w:val="4"/>
          <w:numId w:val="190"/>
        </w:numPr>
      </w:pPr>
      <w:r>
        <w:t>防火涂料</w:t>
      </w:r>
      <w:r>
        <w:rPr>
          <w:rFonts w:hint="eastAsia"/>
        </w:rPr>
        <w:t>已进入现场，并应检验合格。</w:t>
      </w:r>
    </w:p>
    <w:p w14:paraId="31E9BBC1">
      <w:pPr>
        <w:pStyle w:val="113"/>
        <w:numPr>
          <w:ilvl w:val="4"/>
          <w:numId w:val="190"/>
        </w:numPr>
      </w:pPr>
      <w:r>
        <w:t>钢结构的制作和安装</w:t>
      </w:r>
      <w:r>
        <w:rPr>
          <w:rFonts w:hint="eastAsia"/>
        </w:rPr>
        <w:t>工作应全部完成，并经检验合格后办理交接手续。</w:t>
      </w:r>
    </w:p>
    <w:p w14:paraId="0476444E">
      <w:pPr>
        <w:pStyle w:val="113"/>
        <w:numPr>
          <w:ilvl w:val="4"/>
          <w:numId w:val="190"/>
        </w:numPr>
      </w:pPr>
      <w:r>
        <w:t>钢结构的基体表面处理及防腐蚀底涂层和中间涂层已施工完毕，并应检验合格。</w:t>
      </w:r>
    </w:p>
    <w:p w14:paraId="1D5F78D5">
      <w:pPr>
        <w:pStyle w:val="135"/>
        <w:adjustRightInd w:val="0"/>
        <w:snapToGrid w:val="0"/>
        <w:jc w:val="left"/>
        <w:rPr>
          <w:rFonts w:ascii="黑体" w:hAnsi="黑体" w:eastAsia="黑体"/>
          <w:bCs w:val="0"/>
          <w:sz w:val="18"/>
          <w:szCs w:val="18"/>
        </w:rPr>
      </w:pPr>
      <w:r>
        <w:rPr>
          <w:rFonts w:ascii="黑体" w:hAnsi="黑体" w:eastAsia="黑体"/>
          <w:bCs w:val="0"/>
          <w:sz w:val="18"/>
          <w:szCs w:val="18"/>
        </w:rPr>
        <w:t>3.2.</w:t>
      </w:r>
      <w:r>
        <w:rPr>
          <w:rFonts w:hint="eastAsia" w:ascii="黑体" w:hAnsi="黑体" w:eastAsia="黑体"/>
          <w:bCs w:val="0"/>
          <w:sz w:val="18"/>
          <w:szCs w:val="18"/>
        </w:rPr>
        <w:t>1.3</w:t>
      </w:r>
      <w:r>
        <w:rPr>
          <w:rFonts w:ascii="黑体" w:hAnsi="黑体" w:eastAsia="黑体"/>
          <w:bCs w:val="0"/>
          <w:sz w:val="18"/>
          <w:szCs w:val="18"/>
        </w:rPr>
        <w:t xml:space="preserve">  </w:t>
      </w:r>
      <w:r>
        <w:rPr>
          <w:rFonts w:hint="eastAsia" w:ascii="黑体" w:hAnsi="黑体" w:eastAsia="黑体"/>
          <w:bCs w:val="0"/>
          <w:sz w:val="18"/>
          <w:szCs w:val="18"/>
        </w:rPr>
        <w:t>钢结构防火涂料施工的</w:t>
      </w:r>
      <w:r>
        <w:rPr>
          <w:rFonts w:ascii="黑体" w:hAnsi="黑体" w:eastAsia="黑体"/>
          <w:bCs w:val="0"/>
          <w:sz w:val="18"/>
          <w:szCs w:val="18"/>
        </w:rPr>
        <w:t>环境温度和相对湿度应符合涂料产品使用说明书的要求。当产品使用说明书无要求时，环境温度宜为5</w:t>
      </w:r>
      <w:r>
        <w:rPr>
          <w:rFonts w:hint="eastAsia" w:ascii="黑体" w:hAnsi="黑体" w:eastAsia="黑体"/>
          <w:bCs w:val="0"/>
          <w:sz w:val="18"/>
          <w:szCs w:val="18"/>
        </w:rPr>
        <w:t>℃</w:t>
      </w:r>
      <w:r>
        <w:rPr>
          <w:rFonts w:ascii="黑体" w:hAnsi="黑体" w:eastAsia="黑体"/>
          <w:bCs w:val="0"/>
          <w:sz w:val="18"/>
          <w:szCs w:val="18"/>
        </w:rPr>
        <w:t>～38</w:t>
      </w:r>
      <w:r>
        <w:rPr>
          <w:rFonts w:hint="eastAsia" w:ascii="黑体" w:hAnsi="黑体" w:eastAsia="黑体"/>
          <w:bCs w:val="0"/>
          <w:sz w:val="18"/>
          <w:szCs w:val="18"/>
        </w:rPr>
        <w:t>℃，</w:t>
      </w:r>
      <w:r>
        <w:rPr>
          <w:rFonts w:ascii="黑体" w:hAnsi="黑体" w:eastAsia="黑体"/>
          <w:bCs w:val="0"/>
          <w:sz w:val="18"/>
          <w:szCs w:val="18"/>
        </w:rPr>
        <w:t>相对湿度不宜大于80%，作业场所应</w:t>
      </w:r>
      <w:r>
        <w:rPr>
          <w:rFonts w:hint="eastAsia" w:ascii="黑体" w:hAnsi="黑体" w:eastAsia="黑体"/>
          <w:bCs w:val="0"/>
          <w:sz w:val="18"/>
          <w:szCs w:val="18"/>
        </w:rPr>
        <w:t>通风良好。</w:t>
      </w:r>
      <w:r>
        <w:rPr>
          <w:rFonts w:ascii="黑体" w:hAnsi="黑体" w:eastAsia="黑体"/>
          <w:bCs w:val="0"/>
          <w:sz w:val="18"/>
          <w:szCs w:val="18"/>
        </w:rPr>
        <w:t>当风速大于5m/s、雨雪天或钢构件表面有结露时，不宜作业</w:t>
      </w:r>
      <w:r>
        <w:rPr>
          <w:rFonts w:hint="eastAsia" w:ascii="黑体" w:hAnsi="黑体" w:eastAsia="黑体"/>
          <w:bCs w:val="0"/>
          <w:sz w:val="18"/>
          <w:szCs w:val="18"/>
        </w:rPr>
        <w:t>。</w:t>
      </w:r>
    </w:p>
    <w:p w14:paraId="7FD2560C">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3.2.1.4  </w:t>
      </w:r>
      <w:r>
        <w:rPr>
          <w:rFonts w:hint="eastAsia" w:ascii="黑体" w:hAnsi="黑体" w:eastAsia="黑体"/>
          <w:bCs w:val="0"/>
          <w:sz w:val="18"/>
          <w:szCs w:val="18"/>
        </w:rPr>
        <w:t>在钢结构防火涂料喷涂施工前应先进行试喷涂，试喷涂时要掌握好喷涂压力和喷涂距离，经确认无误后，方可开始大面积喷涂施工。</w:t>
      </w:r>
    </w:p>
    <w:p w14:paraId="5734F039">
      <w:pPr>
        <w:pStyle w:val="135"/>
        <w:adjustRightInd w:val="0"/>
        <w:snapToGrid w:val="0"/>
        <w:jc w:val="left"/>
        <w:rPr>
          <w:rFonts w:ascii="黑体" w:hAnsi="黑体" w:eastAsia="黑体"/>
          <w:bCs w:val="0"/>
          <w:sz w:val="18"/>
          <w:szCs w:val="18"/>
        </w:rPr>
      </w:pPr>
      <w:r>
        <w:rPr>
          <w:rFonts w:ascii="黑体" w:hAnsi="黑体" w:eastAsia="黑体"/>
          <w:bCs w:val="0"/>
          <w:sz w:val="18"/>
          <w:szCs w:val="18"/>
        </w:rPr>
        <w:t>3.2.</w:t>
      </w:r>
      <w:r>
        <w:rPr>
          <w:rFonts w:hint="eastAsia" w:ascii="黑体" w:hAnsi="黑体" w:eastAsia="黑体"/>
          <w:bCs w:val="0"/>
          <w:sz w:val="18"/>
          <w:szCs w:val="18"/>
        </w:rPr>
        <w:t>1.5</w:t>
      </w:r>
      <w:r>
        <w:rPr>
          <w:rFonts w:ascii="黑体" w:hAnsi="黑体" w:eastAsia="黑体"/>
          <w:bCs w:val="0"/>
          <w:sz w:val="18"/>
          <w:szCs w:val="18"/>
        </w:rPr>
        <w:t xml:space="preserve">  在进行钢结构防火涂料</w:t>
      </w:r>
      <w:r>
        <w:rPr>
          <w:rFonts w:hint="eastAsia" w:ascii="黑体" w:hAnsi="黑体" w:eastAsia="黑体"/>
          <w:bCs w:val="0"/>
          <w:sz w:val="18"/>
          <w:szCs w:val="18"/>
        </w:rPr>
        <w:t>喷涂施工时，对钢构件周围已经安装完成的不需要作防火保护的设备、管道、墙面、门窗及其他设施应采取遮盖保护措施，防止被涂料污染。</w:t>
      </w:r>
    </w:p>
    <w:p w14:paraId="421AF567">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3.2.1.6  </w:t>
      </w:r>
      <w:r>
        <w:rPr>
          <w:rFonts w:hint="eastAsia" w:ascii="黑体" w:hAnsi="黑体" w:eastAsia="黑体"/>
          <w:bCs w:val="0"/>
          <w:sz w:val="18"/>
          <w:szCs w:val="18"/>
        </w:rPr>
        <w:t>钢结构防火涂料的施工，应在保证不被后续工程所损坏</w:t>
      </w:r>
      <w:r>
        <w:rPr>
          <w:rFonts w:ascii="黑体" w:hAnsi="黑体" w:eastAsia="黑体"/>
          <w:bCs w:val="0"/>
          <w:sz w:val="18"/>
          <w:szCs w:val="18"/>
        </w:rPr>
        <w:t>的条件下进行。当对</w:t>
      </w:r>
      <w:r>
        <w:rPr>
          <w:rFonts w:hint="eastAsia" w:ascii="黑体" w:hAnsi="黑体" w:eastAsia="黑体"/>
          <w:bCs w:val="0"/>
          <w:sz w:val="18"/>
          <w:szCs w:val="18"/>
        </w:rPr>
        <w:t>室内钢结构进行防火保护施工时，应在室内装修之前进行。</w:t>
      </w:r>
    </w:p>
    <w:p w14:paraId="3C61AF16">
      <w:pPr>
        <w:pStyle w:val="135"/>
        <w:adjustRightInd w:val="0"/>
        <w:snapToGrid w:val="0"/>
        <w:jc w:val="left"/>
        <w:rPr>
          <w:rFonts w:ascii="黑体" w:hAnsi="黑体" w:eastAsia="黑体"/>
          <w:bCs w:val="0"/>
          <w:sz w:val="18"/>
          <w:szCs w:val="18"/>
        </w:rPr>
      </w:pPr>
      <w:r>
        <w:rPr>
          <w:rFonts w:ascii="黑体" w:hAnsi="黑体" w:eastAsia="黑体"/>
          <w:bCs w:val="0"/>
          <w:sz w:val="18"/>
          <w:szCs w:val="18"/>
        </w:rPr>
        <w:t>3.2.1.7  施工完毕后的钢结构防火涂层，在涂料产品使用说明书规定的养护期内，应防止暴晒、雨淋、磕碰和被其他工序破坏。如有损坏，应及时进行修补。</w:t>
      </w:r>
    </w:p>
    <w:p w14:paraId="7BB41B0F">
      <w:pPr>
        <w:pStyle w:val="137"/>
        <w:adjustRightInd w:val="0"/>
        <w:snapToGrid w:val="0"/>
        <w:spacing w:before="0" w:beforeLines="0" w:after="0" w:afterLines="0" w:line="360" w:lineRule="auto"/>
        <w:jc w:val="left"/>
        <w:rPr>
          <w:rFonts w:ascii="黑体" w:hAnsi="黑体" w:eastAsia="黑体"/>
          <w:b w:val="0"/>
          <w:bCs w:val="0"/>
          <w:sz w:val="18"/>
          <w:szCs w:val="18"/>
        </w:rPr>
      </w:pPr>
      <w:bookmarkStart w:id="199" w:name="_Toc174556844"/>
      <w:r>
        <w:rPr>
          <w:rFonts w:ascii="黑体" w:hAnsi="黑体" w:eastAsia="黑体"/>
          <w:b w:val="0"/>
          <w:bCs w:val="0"/>
          <w:sz w:val="18"/>
          <w:szCs w:val="18"/>
        </w:rPr>
        <w:t>3.2</w:t>
      </w:r>
      <w:r>
        <w:rPr>
          <w:rFonts w:hint="eastAsia" w:ascii="黑体" w:hAnsi="黑体" w:eastAsia="黑体"/>
          <w:b w:val="0"/>
          <w:bCs w:val="0"/>
          <w:sz w:val="18"/>
          <w:szCs w:val="18"/>
        </w:rPr>
        <w:t>.</w:t>
      </w:r>
      <w:r>
        <w:rPr>
          <w:rFonts w:ascii="黑体" w:hAnsi="黑体" w:eastAsia="黑体"/>
          <w:b w:val="0"/>
          <w:bCs w:val="0"/>
          <w:sz w:val="18"/>
          <w:szCs w:val="18"/>
        </w:rPr>
        <w:t xml:space="preserve">2  </w:t>
      </w:r>
      <w:r>
        <w:rPr>
          <w:rFonts w:hint="eastAsia" w:ascii="黑体" w:hAnsi="黑体" w:eastAsia="黑体"/>
          <w:b w:val="0"/>
          <w:bCs w:val="0"/>
          <w:sz w:val="18"/>
          <w:szCs w:val="18"/>
        </w:rPr>
        <w:t>涂装施工</w:t>
      </w:r>
      <w:bookmarkEnd w:id="199"/>
    </w:p>
    <w:p w14:paraId="3D227D8C">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.2.2.1 钢结构防火涂层施工应在钢结构防腐蚀底涂层和中间涂层的质量检验合格后进行，钢结构防火涂料涂装的基层应符合下列规定：</w:t>
      </w:r>
    </w:p>
    <w:p w14:paraId="36403525">
      <w:pPr>
        <w:pStyle w:val="113"/>
        <w:numPr>
          <w:ilvl w:val="4"/>
          <w:numId w:val="191"/>
        </w:numPr>
      </w:pPr>
      <w:r>
        <w:t>防腐蚀涂层的层数和厚度应符合</w:t>
      </w:r>
      <w:r>
        <w:rPr>
          <w:rFonts w:hint="eastAsia"/>
        </w:rPr>
        <w:t>设计文件的规定。</w:t>
      </w:r>
    </w:p>
    <w:p w14:paraId="2B37E099">
      <w:pPr>
        <w:pStyle w:val="113"/>
        <w:numPr>
          <w:ilvl w:val="4"/>
          <w:numId w:val="191"/>
        </w:numPr>
      </w:pPr>
      <w:r>
        <w:t>防腐蚀涂层应</w:t>
      </w:r>
      <w:r>
        <w:rPr>
          <w:rFonts w:hint="eastAsia"/>
        </w:rPr>
        <w:t>牢固完整、固化完全，无锈蚀和破损。</w:t>
      </w:r>
    </w:p>
    <w:p w14:paraId="3F0E2134">
      <w:pPr>
        <w:pStyle w:val="113"/>
        <w:numPr>
          <w:ilvl w:val="4"/>
          <w:numId w:val="191"/>
        </w:numPr>
      </w:pPr>
      <w:r>
        <w:t>防腐蚀涂层表面的</w:t>
      </w:r>
      <w:r>
        <w:rPr>
          <w:rFonts w:hint="eastAsia"/>
        </w:rPr>
        <w:t>灰尘、油脂、污物应清理干净，在涂覆防火涂料前应保持干燥和洁净，确保油漆和钢结构、涂料和油漆之间的附着力满足规范、标准要求。</w:t>
      </w:r>
    </w:p>
    <w:p w14:paraId="705FE0A7">
      <w:pPr>
        <w:pStyle w:val="113"/>
        <w:numPr>
          <w:ilvl w:val="4"/>
          <w:numId w:val="191"/>
        </w:numPr>
      </w:pPr>
      <w:r>
        <w:rPr>
          <w:rFonts w:hint="eastAsia"/>
        </w:rPr>
        <w:t>防腐蚀涂层表面较光洁部位宜用砂纸进行打毛处理，使表面有一定的粗糙度，以增强防火涂层与防腐蚀涂层之间的结合力。</w:t>
      </w:r>
    </w:p>
    <w:p w14:paraId="4E34164B">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.2.2.2 钢结构防火涂料的施工</w:t>
      </w:r>
      <w:r>
        <w:rPr>
          <w:rFonts w:hint="eastAsia" w:ascii="黑体" w:hAnsi="黑体" w:eastAsia="黑体"/>
          <w:bCs w:val="0"/>
          <w:sz w:val="18"/>
          <w:szCs w:val="18"/>
        </w:rPr>
        <w:t>应按照自上而下、从左到右、先里后外、先难后易的次序，纵横交错地进行。</w:t>
      </w:r>
    </w:p>
    <w:p w14:paraId="693EE641">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 xml:space="preserve">.2.2.3  </w:t>
      </w:r>
      <w:r>
        <w:rPr>
          <w:rFonts w:hint="eastAsia" w:ascii="黑体" w:hAnsi="黑体" w:eastAsia="黑体"/>
          <w:bCs w:val="0"/>
          <w:sz w:val="18"/>
          <w:szCs w:val="18"/>
        </w:rPr>
        <w:t>施工完成的钢结构防火涂层厚度应符合设计规定的耐火极限要求。</w:t>
      </w:r>
    </w:p>
    <w:p w14:paraId="5E574734">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 xml:space="preserve">.2.2.4  </w:t>
      </w:r>
      <w:r>
        <w:rPr>
          <w:rFonts w:ascii="黑体" w:hAnsi="黑体" w:eastAsia="黑体"/>
          <w:b/>
          <w:bCs w:val="0"/>
          <w:sz w:val="18"/>
          <w:szCs w:val="18"/>
        </w:rPr>
        <w:t>水基</w:t>
      </w:r>
      <w:r>
        <w:rPr>
          <w:rFonts w:hint="eastAsia" w:ascii="黑体" w:hAnsi="黑体" w:eastAsia="黑体"/>
          <w:b/>
          <w:bCs w:val="0"/>
          <w:sz w:val="18"/>
          <w:szCs w:val="18"/>
        </w:rPr>
        <w:t>性膨胀型</w:t>
      </w:r>
      <w:r>
        <w:rPr>
          <w:rFonts w:hint="eastAsia" w:ascii="黑体" w:hAnsi="黑体" w:eastAsia="黑体"/>
          <w:bCs w:val="0"/>
          <w:sz w:val="18"/>
          <w:szCs w:val="18"/>
        </w:rPr>
        <w:t>钢结构防火涂料的施工，应符合下列规定：</w:t>
      </w:r>
    </w:p>
    <w:p w14:paraId="29E781B6">
      <w:pPr>
        <w:pStyle w:val="113"/>
        <w:numPr>
          <w:ilvl w:val="4"/>
          <w:numId w:val="192"/>
        </w:numPr>
      </w:pPr>
      <w:r>
        <w:t>水基性</w:t>
      </w:r>
      <w:r>
        <w:rPr>
          <w:rFonts w:hint="eastAsia"/>
        </w:rPr>
        <w:t>膨胀</w:t>
      </w:r>
      <w:r>
        <w:t>型钢结构防火涂料宜采用喷涂方法进行施工。</w:t>
      </w:r>
      <w:r>
        <w:rPr>
          <w:rFonts w:hint="eastAsia"/>
        </w:rPr>
        <w:t>喷涂施工时，</w:t>
      </w:r>
      <w:r>
        <w:t>宜采用重力式喷枪喷涂，喷</w:t>
      </w:r>
      <w:r>
        <w:rPr>
          <w:rFonts w:hint="eastAsia"/>
        </w:rPr>
        <w:t>枪口</w:t>
      </w:r>
      <w:r>
        <w:t>直径宜为4mm～6mm，压力宜为0.4MPa</w:t>
      </w:r>
      <w:r>
        <w:rPr>
          <w:rFonts w:hint="eastAsia"/>
        </w:rPr>
        <w:t>～</w:t>
      </w:r>
      <w:r>
        <w:t>0.6MPa。局部修补和小面积施工，在不具备喷涂条件时，可采用手</w:t>
      </w:r>
      <w:r>
        <w:rPr>
          <w:rFonts w:hint="eastAsia"/>
        </w:rPr>
        <w:t>工涂抹方法。</w:t>
      </w:r>
    </w:p>
    <w:p w14:paraId="21286B2A">
      <w:pPr>
        <w:pStyle w:val="113"/>
        <w:numPr>
          <w:ilvl w:val="4"/>
          <w:numId w:val="192"/>
        </w:numPr>
      </w:pPr>
      <w:r>
        <w:rPr>
          <w:rFonts w:hint="eastAsia"/>
        </w:rPr>
        <w:t>涂料应按产品使用说明书的规定进行调配，并应搅拌均匀。调配好的涂料应稠度适宜，以喷涂时不出现流淌或下坠现象为宜，必要时可加水进行稀释。</w:t>
      </w:r>
    </w:p>
    <w:p w14:paraId="4DA20360">
      <w:pPr>
        <w:pStyle w:val="113"/>
        <w:numPr>
          <w:ilvl w:val="4"/>
          <w:numId w:val="192"/>
        </w:numPr>
      </w:pPr>
      <w:r>
        <w:t>喷涂施工应分层进行，依次完成。每道涂层的喷涂厚度宜为</w:t>
      </w:r>
      <w:r>
        <w:rPr>
          <w:rFonts w:hint="eastAsia"/>
        </w:rPr>
        <w:t>1</w:t>
      </w:r>
      <w:r>
        <w:t>mm～</w:t>
      </w:r>
      <w:r>
        <w:rPr>
          <w:rFonts w:hint="eastAsia"/>
        </w:rPr>
        <w:t>2</w:t>
      </w:r>
      <w:r>
        <w:t>mm，不应超过2.5mm，</w:t>
      </w:r>
      <w:r>
        <w:rPr>
          <w:rFonts w:hint="eastAsia"/>
        </w:rPr>
        <w:t>直至达到设计规定厚度。</w:t>
      </w:r>
      <w:r>
        <w:t>涂料应按产品使用说明书规定的施工间隔进行施工，一般间隔时间宜为8h</w:t>
      </w:r>
      <w:r>
        <w:rPr>
          <w:rFonts w:hint="eastAsia"/>
        </w:rPr>
        <w:t>～12</w:t>
      </w:r>
      <w:r>
        <w:t>h，应待前道涂层基本干燥固化后再喷涂下一道涂层。</w:t>
      </w:r>
    </w:p>
    <w:p w14:paraId="74DCE066">
      <w:pPr>
        <w:pStyle w:val="113"/>
        <w:numPr>
          <w:ilvl w:val="4"/>
          <w:numId w:val="192"/>
        </w:numPr>
      </w:pPr>
      <w:r>
        <w:rPr>
          <w:rFonts w:hint="eastAsia"/>
        </w:rPr>
        <w:t>在喷涂施工过程中，应及时检测防火涂层厚度，确保达到设计规定厚度。</w:t>
      </w:r>
    </w:p>
    <w:p w14:paraId="3439D63F">
      <w:pPr>
        <w:pStyle w:val="113"/>
        <w:numPr>
          <w:ilvl w:val="4"/>
          <w:numId w:val="192"/>
        </w:numPr>
      </w:pPr>
      <w:r>
        <w:t>当设计要求防火涂层表面平整时，应对最后一道防火涂层作抹平处理，确保防火涂层外表面均匀平整。</w:t>
      </w:r>
    </w:p>
    <w:p w14:paraId="1F1B961F">
      <w:pPr>
        <w:pStyle w:val="113"/>
        <w:numPr>
          <w:ilvl w:val="4"/>
          <w:numId w:val="192"/>
        </w:numPr>
      </w:pPr>
      <w:r>
        <w:t>喷涂后的防火涂层应完整、厚度均匀，无漏涂、流挂、粉化、空鼓、脱落和裂纹等缺陷。</w:t>
      </w:r>
    </w:p>
    <w:p w14:paraId="5894888B">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 xml:space="preserve">.2.2.5  </w:t>
      </w:r>
      <w:r>
        <w:rPr>
          <w:rFonts w:hint="eastAsia" w:ascii="黑体" w:hAnsi="黑体" w:eastAsia="黑体"/>
          <w:b/>
          <w:bCs w:val="0"/>
          <w:sz w:val="18"/>
          <w:szCs w:val="18"/>
        </w:rPr>
        <w:t>溶剂性膨胀型</w:t>
      </w:r>
      <w:r>
        <w:rPr>
          <w:rFonts w:hint="eastAsia" w:ascii="黑体" w:hAnsi="黑体" w:eastAsia="黑体"/>
          <w:bCs w:val="0"/>
          <w:sz w:val="18"/>
          <w:szCs w:val="18"/>
        </w:rPr>
        <w:t>钢结构防火涂料的施工，应符合下列规定：</w:t>
      </w:r>
    </w:p>
    <w:p w14:paraId="11571EA9">
      <w:pPr>
        <w:pStyle w:val="113"/>
        <w:numPr>
          <w:ilvl w:val="4"/>
          <w:numId w:val="193"/>
        </w:numPr>
      </w:pPr>
      <w:r>
        <w:t>溶剂性</w:t>
      </w:r>
      <w:r>
        <w:rPr>
          <w:rFonts w:hint="eastAsia"/>
        </w:rPr>
        <w:t>膨胀</w:t>
      </w:r>
      <w:r>
        <w:t>型钢结构防火涂料可采用刷涂、滚涂或喷涂</w:t>
      </w:r>
      <w:r>
        <w:rPr>
          <w:rFonts w:hint="eastAsia"/>
        </w:rPr>
        <w:t>方法</w:t>
      </w:r>
      <w:r>
        <w:t>进行施工。当采用重力式喷枪喷涂时，压力宜为0.4MPa～0.6MPa。</w:t>
      </w:r>
      <w:r>
        <w:rPr>
          <w:rFonts w:hint="eastAsia"/>
        </w:rPr>
        <w:t>当采用高压无气喷涂时，压力应大于24.5MPa，喷嘴直径宜为0.</w:t>
      </w:r>
      <w:r>
        <w:t>8mm</w:t>
      </w:r>
      <w:r>
        <w:rPr>
          <w:rFonts w:hint="eastAsia"/>
        </w:rPr>
        <w:t>～</w:t>
      </w:r>
      <w:r>
        <w:t>1.0</w:t>
      </w:r>
      <w:r>
        <w:rPr>
          <w:rFonts w:hint="eastAsia"/>
        </w:rPr>
        <w:t>mm。喷涂施工时，喷嘴应垂直于构件表面，喷枪应平行移动，运行速度应保持一致。</w:t>
      </w:r>
    </w:p>
    <w:p w14:paraId="1A07E752">
      <w:pPr>
        <w:pStyle w:val="113"/>
        <w:numPr>
          <w:ilvl w:val="4"/>
          <w:numId w:val="193"/>
        </w:numPr>
      </w:pPr>
      <w:r>
        <w:t>双组份的涂料，应按产品使用说明书的规定调配使用；单组份的涂料，应搅拌均匀后使用。</w:t>
      </w:r>
      <w:r>
        <w:rPr>
          <w:rFonts w:hint="eastAsia"/>
        </w:rPr>
        <w:t>必要时，可用稀释剂调整涂料的稠度，以便于施工。</w:t>
      </w:r>
    </w:p>
    <w:p w14:paraId="15AB7EB0">
      <w:pPr>
        <w:pStyle w:val="113"/>
        <w:numPr>
          <w:ilvl w:val="4"/>
          <w:numId w:val="193"/>
        </w:numPr>
      </w:pPr>
      <w:r>
        <w:rPr>
          <w:rFonts w:hint="eastAsia"/>
        </w:rPr>
        <w:t>手工刷涂时，涂料会发生一段时间的湿边现象，并会引起表面不平滑。为了确保施工的涂层平滑完整，为防腐蚀面层涂料的施工创造良好的表面，必要时可加入适量的稀释剂。</w:t>
      </w:r>
    </w:p>
    <w:p w14:paraId="45B08571">
      <w:pPr>
        <w:pStyle w:val="113"/>
        <w:numPr>
          <w:ilvl w:val="4"/>
          <w:numId w:val="193"/>
        </w:numPr>
      </w:pPr>
      <w:r>
        <w:t>涂料的施工应分层涂覆，依次完成。涂料应按产品使用说明书规定的施工间隔进行涂覆，</w:t>
      </w:r>
      <w:r>
        <w:rPr>
          <w:rFonts w:hint="eastAsia"/>
        </w:rPr>
        <w:t>一般间隔时间宜为12</w:t>
      </w:r>
      <w:r>
        <w:t>h，应待前道涂层基本干燥固化后再涂覆下一道涂层。一般首道涂层的施工厚度宜为</w:t>
      </w:r>
      <w:r>
        <w:rPr>
          <w:rFonts w:hint="eastAsia"/>
        </w:rPr>
        <w:t>0</w:t>
      </w:r>
      <w:r>
        <w:t>.2mm～</w:t>
      </w:r>
      <w:r>
        <w:rPr>
          <w:rFonts w:hint="eastAsia"/>
        </w:rPr>
        <w:t>0</w:t>
      </w:r>
      <w:r>
        <w:t>.3mm，以后各道涂层的施工厚度宜控制在</w:t>
      </w:r>
      <w:r>
        <w:rPr>
          <w:rFonts w:hint="eastAsia"/>
        </w:rPr>
        <w:t>0</w:t>
      </w:r>
      <w:r>
        <w:t>.5mm左右，</w:t>
      </w:r>
      <w:r>
        <w:rPr>
          <w:rFonts w:hint="eastAsia"/>
        </w:rPr>
        <w:t>直至达到设计规定厚度。</w:t>
      </w:r>
    </w:p>
    <w:p w14:paraId="3B066581">
      <w:pPr>
        <w:pStyle w:val="113"/>
        <w:numPr>
          <w:ilvl w:val="4"/>
          <w:numId w:val="193"/>
        </w:numPr>
      </w:pPr>
      <w:r>
        <w:t>在施工过程中，应及时检测防火涂层厚度，确保达到设计规定厚度。</w:t>
      </w:r>
    </w:p>
    <w:p w14:paraId="782A9AA8">
      <w:pPr>
        <w:pStyle w:val="113"/>
        <w:numPr>
          <w:ilvl w:val="4"/>
          <w:numId w:val="193"/>
        </w:numPr>
      </w:pPr>
      <w:r>
        <w:t>施工后的防火涂层应完整、厚度均匀、色泽一致，不应出现漏涂、流挂、粉化、空鼓、起</w:t>
      </w:r>
      <w:r>
        <w:rPr>
          <w:rFonts w:hint="eastAsia"/>
        </w:rPr>
        <w:t>泡、</w:t>
      </w:r>
      <w:r>
        <w:t>脱落和裂纹等缺陷。</w:t>
      </w:r>
    </w:p>
    <w:p w14:paraId="1A6AE705">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.2.2</w:t>
      </w:r>
      <w:r>
        <w:rPr>
          <w:rFonts w:hint="eastAsia" w:ascii="黑体" w:hAnsi="黑体" w:eastAsia="黑体"/>
          <w:bCs w:val="0"/>
          <w:sz w:val="18"/>
          <w:szCs w:val="18"/>
        </w:rPr>
        <w:t>.</w:t>
      </w:r>
      <w:r>
        <w:rPr>
          <w:rFonts w:ascii="黑体" w:hAnsi="黑体" w:eastAsia="黑体"/>
          <w:bCs w:val="0"/>
          <w:sz w:val="18"/>
          <w:szCs w:val="18"/>
        </w:rPr>
        <w:t xml:space="preserve">6  </w:t>
      </w:r>
      <w:r>
        <w:rPr>
          <w:rFonts w:hint="eastAsia" w:ascii="黑体" w:hAnsi="黑体" w:eastAsia="黑体"/>
          <w:b/>
          <w:bCs w:val="0"/>
          <w:sz w:val="18"/>
          <w:szCs w:val="18"/>
        </w:rPr>
        <w:t>非膨胀型</w:t>
      </w:r>
      <w:r>
        <w:rPr>
          <w:rFonts w:hint="eastAsia" w:ascii="黑体" w:hAnsi="黑体" w:eastAsia="黑体"/>
          <w:bCs w:val="0"/>
          <w:sz w:val="18"/>
          <w:szCs w:val="18"/>
        </w:rPr>
        <w:t>钢结构防火涂料的施工，应符合下列规定：</w:t>
      </w:r>
    </w:p>
    <w:p w14:paraId="3505C183">
      <w:pPr>
        <w:pStyle w:val="113"/>
        <w:numPr>
          <w:ilvl w:val="4"/>
          <w:numId w:val="194"/>
        </w:numPr>
      </w:pPr>
      <w:r>
        <w:rPr>
          <w:rFonts w:hint="eastAsia"/>
        </w:rPr>
        <w:t>非膨胀型钢结构防火涂料</w:t>
      </w:r>
      <w:r>
        <w:t>宜采用压送式喷涂机进行喷涂施工，当压力为0.4MPa～0.6MPa时，喷枪口直径宜为6mm～10mm。也可采用手工抹涂方法进行施工。</w:t>
      </w:r>
    </w:p>
    <w:p w14:paraId="7577906C">
      <w:pPr>
        <w:pStyle w:val="113"/>
        <w:numPr>
          <w:ilvl w:val="4"/>
          <w:numId w:val="194"/>
        </w:numPr>
      </w:pPr>
      <w:r>
        <w:t>在</w:t>
      </w:r>
      <w:r>
        <w:rPr>
          <w:rFonts w:hint="eastAsia"/>
        </w:rPr>
        <w:t>进行非膨胀型钢结构防火涂料施工前，如设计规定需要焊接锚固件，应先打磨除去焊接部位的防腐蚀底涂层和中间涂层，再进行焊接工作。焊接完成后应将焊缝部位清理干净，并涂刷防腐蚀底层涂料和中间层涂料。不得直接在防腐蚀底涂层或中间涂层上焊接锚固件。</w:t>
      </w:r>
    </w:p>
    <w:p w14:paraId="5219339A">
      <w:pPr>
        <w:pStyle w:val="113"/>
        <w:numPr>
          <w:ilvl w:val="4"/>
          <w:numId w:val="194"/>
        </w:numPr>
      </w:pPr>
      <w:r>
        <w:t>涂料的调配应严格按产品使用说明书规定的配合比加料或加稀释剂，并应搅拌均匀，使涂料稠度适宜。</w:t>
      </w:r>
      <w:r>
        <w:rPr>
          <w:rFonts w:hint="eastAsia"/>
        </w:rPr>
        <w:t>双组份的涂料，应先将液体组份放入搅拌器内搅拌3</w:t>
      </w:r>
      <w:r>
        <w:t>min</w:t>
      </w:r>
      <w:r>
        <w:rPr>
          <w:rFonts w:hint="eastAsia"/>
        </w:rPr>
        <w:t>～5min，再加入粉料，并按配比加入水后搅拌均匀，搅拌时间宜控制在10min以内；单组份的涂料，只需在使用前搅拌均匀即可，不得随意加水稀释。调配</w:t>
      </w:r>
      <w:r>
        <w:t>好的涂料应在规定时间内用完</w:t>
      </w:r>
      <w:r>
        <w:rPr>
          <w:rFonts w:hint="eastAsia"/>
        </w:rPr>
        <w:t>，以防涂料固化变质</w:t>
      </w:r>
      <w:r>
        <w:t>。</w:t>
      </w:r>
    </w:p>
    <w:p w14:paraId="301786E8">
      <w:pPr>
        <w:pStyle w:val="113"/>
        <w:numPr>
          <w:ilvl w:val="4"/>
          <w:numId w:val="194"/>
        </w:numPr>
      </w:pPr>
      <w:r>
        <w:t>涂料的施工应分层进行，依次完成。每道涂层的施工厚度不宜过厚，应在前道涂层基本干燥固化后方可进行下一道涂层的施工，</w:t>
      </w:r>
      <w:r>
        <w:rPr>
          <w:rFonts w:hint="eastAsia"/>
        </w:rPr>
        <w:t>直至达到设计规定厚度。当采用喷涂方法进行施工时，首道涂层的喷涂厚度宜为4</w:t>
      </w:r>
      <w:r>
        <w:t>mm～</w:t>
      </w:r>
      <w:r>
        <w:rPr>
          <w:rFonts w:hint="eastAsia"/>
        </w:rPr>
        <w:t>5</w:t>
      </w:r>
      <w:r>
        <w:t>mm，以后各道涂层的喷涂厚度不宜超过10mm；当</w:t>
      </w:r>
      <w:r>
        <w:rPr>
          <w:rFonts w:hint="eastAsia"/>
        </w:rPr>
        <w:t>采用手工抹涂方法进行施工时，每道涂层的抹涂厚度宜控制在8mm以内。</w:t>
      </w:r>
    </w:p>
    <w:p w14:paraId="2A645CA0">
      <w:pPr>
        <w:pStyle w:val="113"/>
        <w:numPr>
          <w:ilvl w:val="4"/>
          <w:numId w:val="194"/>
        </w:numPr>
      </w:pPr>
      <w:r>
        <w:t>在施工过程中，应及时检测防火涂层厚度，确保达到设计规定厚度。</w:t>
      </w:r>
    </w:p>
    <w:p w14:paraId="55B01DBE">
      <w:pPr>
        <w:pStyle w:val="113"/>
        <w:numPr>
          <w:ilvl w:val="4"/>
          <w:numId w:val="194"/>
        </w:numPr>
      </w:pPr>
      <w:r>
        <w:rPr>
          <w:rFonts w:hint="eastAsia"/>
        </w:rPr>
        <w:t>防火涂层的拐角可做成直角形或半径为10mm的圆弧形。</w:t>
      </w:r>
    </w:p>
    <w:p w14:paraId="4941EF70">
      <w:pPr>
        <w:pStyle w:val="113"/>
        <w:numPr>
          <w:ilvl w:val="4"/>
          <w:numId w:val="194"/>
        </w:numPr>
      </w:pPr>
      <w:r>
        <w:t>当设计要求防火涂层表面平整时，应对最后一道防火涂层作抹平处理，确保防火涂层外表面均匀平整。</w:t>
      </w:r>
    </w:p>
    <w:p w14:paraId="3C06581D">
      <w:pPr>
        <w:pStyle w:val="113"/>
        <w:numPr>
          <w:ilvl w:val="4"/>
          <w:numId w:val="194"/>
        </w:numPr>
      </w:pPr>
      <w:r>
        <w:t>施工后的防火涂层应完整、厚度均匀，无漏涂、流挂、粉化、空鼓和脱落等缺陷。允许出现个别裂纹，其宽度不应大于</w:t>
      </w:r>
      <w:r>
        <w:rPr>
          <w:rFonts w:hint="eastAsia"/>
        </w:rPr>
        <w:t>0.5</w:t>
      </w:r>
      <w:r>
        <w:t>mm、长度不应大于</w:t>
      </w:r>
      <w:r>
        <w:rPr>
          <w:rFonts w:hint="eastAsia"/>
        </w:rPr>
        <w:t>1</w:t>
      </w:r>
      <w:r>
        <w:t>m，</w:t>
      </w:r>
      <w:r>
        <w:rPr>
          <w:rFonts w:hint="eastAsia"/>
        </w:rPr>
        <w:t>且裂纹数量不应大于3条，否则应进行修补。</w:t>
      </w:r>
    </w:p>
    <w:p w14:paraId="225FFC10">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3</w:t>
      </w:r>
      <w:r>
        <w:rPr>
          <w:rFonts w:ascii="黑体" w:hAnsi="黑体" w:eastAsia="黑体"/>
          <w:bCs w:val="0"/>
          <w:sz w:val="18"/>
          <w:szCs w:val="18"/>
        </w:rPr>
        <w:t>.2.2.7  当防火涂层表面需要防腐蚀面涂层时，防腐蚀面层涂料的施工应符合下列规定：</w:t>
      </w:r>
    </w:p>
    <w:p w14:paraId="6421C9DC">
      <w:pPr>
        <w:pStyle w:val="113"/>
        <w:numPr>
          <w:ilvl w:val="4"/>
          <w:numId w:val="195"/>
        </w:numPr>
      </w:pPr>
      <w:r>
        <w:t>防腐蚀面层涂料的施工应在钢结构防火涂层的质量检验合格后进行。</w:t>
      </w:r>
    </w:p>
    <w:p w14:paraId="6B23672A">
      <w:pPr>
        <w:pStyle w:val="113"/>
        <w:numPr>
          <w:ilvl w:val="4"/>
          <w:numId w:val="195"/>
        </w:numPr>
      </w:pPr>
      <w:r>
        <w:t>钢结构防火涂层应固化完全，表面应干燥、洁净，无灰尘和污物。</w:t>
      </w:r>
    </w:p>
    <w:p w14:paraId="4CB25BF7">
      <w:pPr>
        <w:pStyle w:val="113"/>
        <w:numPr>
          <w:ilvl w:val="4"/>
          <w:numId w:val="195"/>
        </w:numPr>
      </w:pPr>
      <w:r>
        <w:t>防腐蚀面层涂料可采用刷涂、滚涂或喷涂</w:t>
      </w:r>
      <w:r>
        <w:rPr>
          <w:rFonts w:hint="eastAsia"/>
        </w:rPr>
        <w:t>方法</w:t>
      </w:r>
      <w:r>
        <w:t>进行施工。</w:t>
      </w:r>
    </w:p>
    <w:p w14:paraId="3A3D0FB1">
      <w:pPr>
        <w:pStyle w:val="113"/>
        <w:numPr>
          <w:ilvl w:val="4"/>
          <w:numId w:val="195"/>
        </w:numPr>
        <w:rPr>
          <w:bCs/>
        </w:rPr>
      </w:pPr>
      <w:r>
        <w:t>施工后的防腐蚀面涂层的层数和厚度应符合</w:t>
      </w:r>
      <w:r>
        <w:rPr>
          <w:rFonts w:hint="eastAsia"/>
        </w:rPr>
        <w:t>设计要求，表面</w:t>
      </w:r>
      <w:r>
        <w:t>应均匀一致，无流挂和漏涂。</w:t>
      </w:r>
    </w:p>
    <w:p w14:paraId="66A9FA1A">
      <w:pPr>
        <w:pStyle w:val="135"/>
        <w:adjustRightInd w:val="0"/>
        <w:snapToGrid w:val="0"/>
        <w:jc w:val="left"/>
        <w:rPr>
          <w:rFonts w:ascii="黑体" w:hAnsi="黑体" w:eastAsia="黑体"/>
          <w:bCs w:val="0"/>
          <w:sz w:val="18"/>
          <w:szCs w:val="18"/>
        </w:rPr>
      </w:pPr>
    </w:p>
    <w:p w14:paraId="2E7BDD06">
      <w:pPr>
        <w:pStyle w:val="140"/>
        <w:adjustRightInd w:val="0"/>
        <w:snapToGrid w:val="0"/>
        <w:spacing w:before="0" w:beforeLines="0" w:after="0" w:afterLines="0" w:line="360" w:lineRule="auto"/>
        <w:jc w:val="left"/>
        <w:rPr>
          <w:rFonts w:ascii="黑体" w:hAnsi="黑体" w:eastAsia="黑体"/>
          <w:sz w:val="18"/>
          <w:szCs w:val="18"/>
        </w:rPr>
      </w:pPr>
      <w:bookmarkStart w:id="200" w:name="_Toc174556845"/>
      <w:r>
        <w:rPr>
          <w:rFonts w:ascii="黑体" w:hAnsi="黑体" w:eastAsia="黑体"/>
          <w:sz w:val="18"/>
          <w:szCs w:val="18"/>
        </w:rPr>
        <w:t>4 防火涂层的质量检验</w:t>
      </w:r>
      <w:bookmarkEnd w:id="200"/>
    </w:p>
    <w:p w14:paraId="2B1C6EF5">
      <w:pPr>
        <w:pStyle w:val="137"/>
        <w:adjustRightInd w:val="0"/>
        <w:snapToGrid w:val="0"/>
        <w:spacing w:before="0" w:beforeLines="0" w:after="0" w:afterLines="0" w:line="360" w:lineRule="auto"/>
        <w:jc w:val="left"/>
        <w:rPr>
          <w:rFonts w:ascii="黑体" w:hAnsi="黑体" w:eastAsia="黑体"/>
          <w:sz w:val="18"/>
          <w:szCs w:val="18"/>
        </w:rPr>
      </w:pPr>
      <w:bookmarkStart w:id="201" w:name="_Toc174556846"/>
      <w:r>
        <w:rPr>
          <w:rFonts w:ascii="黑体" w:hAnsi="黑体" w:eastAsia="黑体"/>
          <w:sz w:val="18"/>
          <w:szCs w:val="18"/>
        </w:rPr>
        <w:t>4</w:t>
      </w:r>
      <w:r>
        <w:rPr>
          <w:rFonts w:hint="eastAsia" w:ascii="黑体" w:hAnsi="黑体" w:eastAsia="黑体"/>
          <w:sz w:val="18"/>
          <w:szCs w:val="18"/>
        </w:rPr>
        <w:t>.1</w:t>
      </w:r>
      <w:r>
        <w:rPr>
          <w:rFonts w:ascii="黑体" w:hAnsi="黑体" w:eastAsia="黑体"/>
          <w:sz w:val="18"/>
          <w:szCs w:val="18"/>
        </w:rPr>
        <w:t xml:space="preserve">  一般规定</w:t>
      </w:r>
      <w:bookmarkEnd w:id="201"/>
    </w:p>
    <w:p w14:paraId="02629EFD">
      <w:pPr>
        <w:pStyle w:val="135"/>
        <w:adjustRightInd w:val="0"/>
        <w:snapToGrid w:val="0"/>
        <w:jc w:val="left"/>
        <w:rPr>
          <w:rFonts w:ascii="黑体" w:hAnsi="黑体" w:eastAsia="黑体"/>
          <w:bCs w:val="0"/>
          <w:sz w:val="18"/>
          <w:szCs w:val="18"/>
        </w:rPr>
      </w:pPr>
      <w:r>
        <w:rPr>
          <w:rFonts w:ascii="黑体" w:hAnsi="黑体" w:eastAsia="黑体"/>
          <w:bCs w:val="0"/>
          <w:sz w:val="18"/>
          <w:szCs w:val="18"/>
        </w:rPr>
        <w:t>4.1.1  钢结构防火涂料工程的施工质量验收，应采用</w:t>
      </w:r>
      <w:r>
        <w:rPr>
          <w:rFonts w:hint="eastAsia" w:ascii="黑体" w:hAnsi="黑体" w:eastAsia="黑体"/>
          <w:bCs w:val="0"/>
          <w:sz w:val="18"/>
          <w:szCs w:val="18"/>
        </w:rPr>
        <w:t>经计量检定、校准合格的计量器具。</w:t>
      </w:r>
    </w:p>
    <w:p w14:paraId="2D848DE1">
      <w:pPr>
        <w:pStyle w:val="135"/>
        <w:adjustRightInd w:val="0"/>
        <w:snapToGrid w:val="0"/>
        <w:jc w:val="left"/>
        <w:rPr>
          <w:rFonts w:ascii="黑体" w:hAnsi="黑体" w:eastAsia="黑体"/>
          <w:bCs w:val="0"/>
          <w:sz w:val="18"/>
          <w:szCs w:val="18"/>
        </w:rPr>
      </w:pPr>
      <w:r>
        <w:rPr>
          <w:rFonts w:ascii="黑体" w:hAnsi="黑体" w:eastAsia="黑体"/>
          <w:bCs w:val="0"/>
          <w:sz w:val="18"/>
          <w:szCs w:val="18"/>
        </w:rPr>
        <w:t>4.1.2  钢结构防火涂料</w:t>
      </w:r>
      <w:r>
        <w:rPr>
          <w:rFonts w:hint="eastAsia" w:ascii="黑体" w:hAnsi="黑体" w:eastAsia="黑体"/>
          <w:bCs w:val="0"/>
          <w:sz w:val="18"/>
          <w:szCs w:val="18"/>
        </w:rPr>
        <w:t>工程的施工质量验收可划分为检验批和分项工程。</w:t>
      </w:r>
    </w:p>
    <w:p w14:paraId="37C298E2">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4.1.3  </w:t>
      </w:r>
      <w:r>
        <w:rPr>
          <w:rFonts w:hint="eastAsia" w:ascii="黑体" w:hAnsi="黑体" w:eastAsia="黑体"/>
          <w:bCs w:val="0"/>
          <w:sz w:val="18"/>
          <w:szCs w:val="18"/>
        </w:rPr>
        <w:t>检验批可根据钢结构安装工程的检验批来进行划分，一个检验批内的钢结构防火保护应采用相同的防火涂料、相同的耐火极限要求。</w:t>
      </w:r>
    </w:p>
    <w:p w14:paraId="0306EBBD">
      <w:pPr>
        <w:pStyle w:val="135"/>
        <w:adjustRightInd w:val="0"/>
        <w:snapToGrid w:val="0"/>
        <w:jc w:val="left"/>
        <w:rPr>
          <w:rFonts w:ascii="黑体" w:hAnsi="黑体" w:eastAsia="黑体"/>
          <w:bCs w:val="0"/>
          <w:sz w:val="18"/>
          <w:szCs w:val="18"/>
        </w:rPr>
      </w:pPr>
      <w:r>
        <w:rPr>
          <w:rFonts w:ascii="黑体" w:hAnsi="黑体" w:eastAsia="黑体"/>
          <w:bCs w:val="0"/>
          <w:sz w:val="18"/>
          <w:szCs w:val="18"/>
        </w:rPr>
        <w:t>4.1.4  钢结构防火涂料工程作为钢结构安装工程的一个分项工程，</w:t>
      </w:r>
      <w:r>
        <w:rPr>
          <w:rFonts w:hint="eastAsia" w:ascii="黑体" w:hAnsi="黑体" w:eastAsia="黑体"/>
          <w:bCs w:val="0"/>
          <w:sz w:val="18"/>
          <w:szCs w:val="18"/>
        </w:rPr>
        <w:t>可由一个或若干个检验批组成。</w:t>
      </w:r>
    </w:p>
    <w:p w14:paraId="3BA9B672">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4.1.5  </w:t>
      </w:r>
      <w:r>
        <w:rPr>
          <w:rFonts w:hint="eastAsia" w:ascii="黑体" w:hAnsi="黑体" w:eastAsia="黑体"/>
          <w:bCs w:val="0"/>
          <w:sz w:val="18"/>
          <w:szCs w:val="18"/>
        </w:rPr>
        <w:t>检验批质量验收合格应符合下列规定：</w:t>
      </w:r>
    </w:p>
    <w:p w14:paraId="4375BB78">
      <w:pPr>
        <w:pStyle w:val="113"/>
        <w:numPr>
          <w:ilvl w:val="4"/>
          <w:numId w:val="196"/>
        </w:numPr>
      </w:pPr>
      <w:r>
        <w:rPr>
          <w:rFonts w:hint="eastAsia"/>
        </w:rPr>
        <w:t>主控项目应符合本标准的规定。</w:t>
      </w:r>
    </w:p>
    <w:p w14:paraId="3BA480F3">
      <w:pPr>
        <w:pStyle w:val="113"/>
        <w:numPr>
          <w:ilvl w:val="4"/>
          <w:numId w:val="196"/>
        </w:numPr>
      </w:pPr>
      <w:r>
        <w:rPr>
          <w:rFonts w:hint="eastAsia"/>
        </w:rPr>
        <w:t>一般项目每项抽检的处（点）均应符合本标准的规定；允许偏差项目每项抽检的点数中，应有不小于80%的实测值在本标准规定的允许偏差范围内，且不得有严重缺陷。</w:t>
      </w:r>
    </w:p>
    <w:p w14:paraId="036AA025">
      <w:pPr>
        <w:pStyle w:val="113"/>
        <w:numPr>
          <w:ilvl w:val="4"/>
          <w:numId w:val="196"/>
        </w:numPr>
      </w:pPr>
      <w:r>
        <w:rPr>
          <w:rFonts w:hint="eastAsia"/>
        </w:rPr>
        <w:t>质量控制资料应齐全。</w:t>
      </w:r>
    </w:p>
    <w:p w14:paraId="64F0F13F">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4.1.6  </w:t>
      </w:r>
      <w:r>
        <w:rPr>
          <w:rFonts w:hint="eastAsia" w:ascii="黑体" w:hAnsi="黑体" w:eastAsia="黑体"/>
          <w:bCs w:val="0"/>
          <w:sz w:val="18"/>
          <w:szCs w:val="18"/>
        </w:rPr>
        <w:t>分项工程质量验收合格应符合下列规定：</w:t>
      </w:r>
    </w:p>
    <w:p w14:paraId="4A4C5D3D">
      <w:pPr>
        <w:pStyle w:val="113"/>
        <w:numPr>
          <w:ilvl w:val="4"/>
          <w:numId w:val="197"/>
        </w:numPr>
      </w:pPr>
      <w:r>
        <w:rPr>
          <w:rFonts w:hint="eastAsia"/>
        </w:rPr>
        <w:t>分项工程所含检验批均应符合质量合格的规定。</w:t>
      </w:r>
    </w:p>
    <w:p w14:paraId="380CC1ED">
      <w:pPr>
        <w:pStyle w:val="113"/>
        <w:numPr>
          <w:ilvl w:val="4"/>
          <w:numId w:val="197"/>
        </w:numPr>
      </w:pPr>
      <w:r>
        <w:rPr>
          <w:rFonts w:hint="eastAsia"/>
        </w:rPr>
        <w:t>分项工程所含检验批的质量控制资料应齐全。</w:t>
      </w:r>
    </w:p>
    <w:p w14:paraId="7B073F46">
      <w:pPr>
        <w:pStyle w:val="135"/>
        <w:adjustRightInd w:val="0"/>
        <w:snapToGrid w:val="0"/>
        <w:jc w:val="left"/>
        <w:rPr>
          <w:rFonts w:ascii="黑体" w:hAnsi="黑体" w:eastAsia="黑体"/>
          <w:bCs w:val="0"/>
          <w:sz w:val="18"/>
          <w:szCs w:val="18"/>
        </w:rPr>
      </w:pPr>
      <w:r>
        <w:rPr>
          <w:rFonts w:ascii="黑体" w:hAnsi="黑体" w:eastAsia="黑体"/>
          <w:bCs w:val="0"/>
          <w:sz w:val="18"/>
          <w:szCs w:val="18"/>
        </w:rPr>
        <w:t>4.1.7  钢结构防火涂料工程</w:t>
      </w:r>
      <w:r>
        <w:rPr>
          <w:rFonts w:hint="eastAsia" w:ascii="黑体" w:hAnsi="黑体" w:eastAsia="黑体"/>
          <w:bCs w:val="0"/>
          <w:sz w:val="18"/>
          <w:szCs w:val="18"/>
        </w:rPr>
        <w:t>质量验收记录应符合下列规定：</w:t>
      </w:r>
    </w:p>
    <w:p w14:paraId="2BA5CE73">
      <w:pPr>
        <w:pStyle w:val="135"/>
        <w:numPr>
          <w:ilvl w:val="0"/>
          <w:numId w:val="198"/>
        </w:numPr>
        <w:adjustRightInd w:val="0"/>
        <w:snapToGrid w:val="0"/>
        <w:jc w:val="left"/>
        <w:rPr>
          <w:rFonts w:ascii="黑体" w:hAnsi="黑体" w:eastAsia="黑体"/>
          <w:bCs w:val="0"/>
          <w:sz w:val="18"/>
          <w:szCs w:val="18"/>
        </w:rPr>
      </w:pPr>
      <w:r>
        <w:rPr>
          <w:rFonts w:hint="eastAsia" w:ascii="黑体" w:hAnsi="黑体" w:eastAsia="黑体"/>
          <w:sz w:val="18"/>
          <w:szCs w:val="18"/>
        </w:rPr>
        <w:t>钢结构防火保护检验批质量验收记录应符合本标准附录A的规定。</w:t>
      </w:r>
    </w:p>
    <w:p w14:paraId="4A7C7B44">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4.1.8  </w:t>
      </w:r>
      <w:r>
        <w:rPr>
          <w:rFonts w:hint="eastAsia" w:ascii="黑体" w:hAnsi="黑体" w:eastAsia="黑体"/>
          <w:bCs w:val="0"/>
          <w:sz w:val="18"/>
          <w:szCs w:val="18"/>
        </w:rPr>
        <w:t>当钢结构防火涂料工程质量不符合本标准的规定时，应按下列规定进行处理：</w:t>
      </w:r>
    </w:p>
    <w:p w14:paraId="27F4D1DF">
      <w:pPr>
        <w:pStyle w:val="138"/>
        <w:numPr>
          <w:ilvl w:val="0"/>
          <w:numId w:val="199"/>
        </w:numPr>
        <w:adjustRightInd w:val="0"/>
        <w:snapToGrid w:val="0"/>
        <w:ind w:firstLineChars="0"/>
        <w:jc w:val="left"/>
        <w:rPr>
          <w:rFonts w:ascii="黑体" w:hAnsi="黑体" w:eastAsia="黑体"/>
          <w:sz w:val="18"/>
          <w:szCs w:val="18"/>
        </w:rPr>
      </w:pPr>
      <w:r>
        <w:rPr>
          <w:rFonts w:hint="eastAsia" w:ascii="黑体" w:hAnsi="黑体" w:eastAsia="黑体"/>
          <w:sz w:val="18"/>
          <w:szCs w:val="18"/>
        </w:rPr>
        <w:t>经返工或返修的检验批应重新进行验收。</w:t>
      </w:r>
    </w:p>
    <w:p w14:paraId="6D1F1DED">
      <w:pPr>
        <w:pStyle w:val="138"/>
        <w:numPr>
          <w:ilvl w:val="0"/>
          <w:numId w:val="199"/>
        </w:numPr>
        <w:adjustRightInd w:val="0"/>
        <w:snapToGrid w:val="0"/>
        <w:ind w:firstLineChars="0"/>
        <w:jc w:val="left"/>
        <w:rPr>
          <w:rFonts w:ascii="黑体" w:hAnsi="黑体" w:eastAsia="黑体"/>
          <w:sz w:val="18"/>
          <w:szCs w:val="18"/>
        </w:rPr>
      </w:pPr>
      <w:r>
        <w:rPr>
          <w:rFonts w:hint="eastAsia" w:ascii="黑体" w:hAnsi="黑体" w:eastAsia="黑体"/>
          <w:sz w:val="18"/>
          <w:szCs w:val="18"/>
        </w:rPr>
        <w:t>经有资质的检测单位检测鉴定能够达到设计要求的检验批，应予以验收。</w:t>
      </w:r>
    </w:p>
    <w:p w14:paraId="2E1AE55B">
      <w:pPr>
        <w:pStyle w:val="138"/>
        <w:numPr>
          <w:ilvl w:val="0"/>
          <w:numId w:val="199"/>
        </w:numPr>
        <w:adjustRightInd w:val="0"/>
        <w:snapToGrid w:val="0"/>
        <w:ind w:firstLineChars="0"/>
        <w:jc w:val="left"/>
        <w:rPr>
          <w:rFonts w:ascii="黑体" w:hAnsi="黑体" w:eastAsia="黑体"/>
          <w:sz w:val="18"/>
          <w:szCs w:val="18"/>
        </w:rPr>
      </w:pPr>
      <w:r>
        <w:rPr>
          <w:rFonts w:hint="eastAsia" w:ascii="黑体" w:hAnsi="黑体" w:eastAsia="黑体"/>
          <w:sz w:val="18"/>
          <w:szCs w:val="18"/>
        </w:rPr>
        <w:t>经有资质的检测单位检测鉴定达不到设计要求，但经原设计单位核算认可能够满足钢结构防火要求的检验批，可予以验收。</w:t>
      </w:r>
    </w:p>
    <w:p w14:paraId="4163B371">
      <w:pPr>
        <w:pStyle w:val="138"/>
        <w:numPr>
          <w:ilvl w:val="0"/>
          <w:numId w:val="199"/>
        </w:numPr>
        <w:adjustRightInd w:val="0"/>
        <w:snapToGrid w:val="0"/>
        <w:ind w:firstLineChars="0"/>
        <w:jc w:val="left"/>
        <w:rPr>
          <w:rFonts w:ascii="黑体" w:hAnsi="黑体" w:eastAsia="黑体"/>
          <w:sz w:val="18"/>
          <w:szCs w:val="18"/>
        </w:rPr>
      </w:pPr>
      <w:r>
        <w:rPr>
          <w:rFonts w:hint="eastAsia" w:ascii="黑体" w:hAnsi="黑体" w:eastAsia="黑体"/>
          <w:sz w:val="18"/>
          <w:szCs w:val="18"/>
        </w:rPr>
        <w:t>通过返工或返修后仍不能满足防火要求的钢结构防火保护分项工程，严禁验收。</w:t>
      </w:r>
    </w:p>
    <w:p w14:paraId="57ED0E2A">
      <w:pPr>
        <w:pStyle w:val="135"/>
        <w:adjustRightInd w:val="0"/>
        <w:snapToGrid w:val="0"/>
        <w:jc w:val="left"/>
        <w:rPr>
          <w:rFonts w:ascii="黑体" w:hAnsi="黑体" w:eastAsia="黑体"/>
          <w:bCs w:val="0"/>
          <w:sz w:val="18"/>
          <w:szCs w:val="18"/>
        </w:rPr>
      </w:pPr>
      <w:r>
        <w:rPr>
          <w:rFonts w:ascii="黑体" w:hAnsi="黑体" w:eastAsia="黑体"/>
          <w:bCs w:val="0"/>
          <w:sz w:val="18"/>
          <w:szCs w:val="18"/>
        </w:rPr>
        <w:t>4.1.9  钢结构防火涂料工程的</w:t>
      </w:r>
      <w:r>
        <w:rPr>
          <w:rFonts w:hint="eastAsia" w:ascii="黑体" w:hAnsi="黑体" w:eastAsia="黑体"/>
          <w:bCs w:val="0"/>
          <w:sz w:val="18"/>
          <w:szCs w:val="18"/>
        </w:rPr>
        <w:t>施工质量验收应按检验批、分项工程依次进行。</w:t>
      </w:r>
    </w:p>
    <w:p w14:paraId="61C11F64">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4.1.10  </w:t>
      </w:r>
      <w:r>
        <w:rPr>
          <w:rFonts w:hint="eastAsia" w:ascii="黑体" w:hAnsi="黑体" w:eastAsia="黑体"/>
          <w:bCs w:val="0"/>
          <w:sz w:val="18"/>
          <w:szCs w:val="18"/>
        </w:rPr>
        <w:t>检验批的质量验收应在施工单位自检合格的基础上，由监理工程师（建设单位项目专业技术负责人）组织施工单位项目专业质量检查员、项目专业技术负责人进行验收。</w:t>
      </w:r>
    </w:p>
    <w:p w14:paraId="5E57A676">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4.1.11  </w:t>
      </w:r>
      <w:r>
        <w:rPr>
          <w:rFonts w:hint="eastAsia" w:ascii="黑体" w:hAnsi="黑体" w:eastAsia="黑体"/>
          <w:bCs w:val="0"/>
          <w:sz w:val="18"/>
          <w:szCs w:val="18"/>
        </w:rPr>
        <w:t>分项工程的质量验收应在检验批质量验收合格的基础上，由监理工程师（建设单位项目专业技术负责人）组织施工单位项目专业质量检查员、项目专业技术负责人进行验收。</w:t>
      </w:r>
    </w:p>
    <w:p w14:paraId="45B1160D">
      <w:pPr>
        <w:pStyle w:val="137"/>
        <w:adjustRightInd w:val="0"/>
        <w:snapToGrid w:val="0"/>
        <w:spacing w:before="0" w:beforeLines="0" w:after="0" w:afterLines="0" w:line="360" w:lineRule="auto"/>
        <w:jc w:val="left"/>
        <w:rPr>
          <w:rFonts w:ascii="黑体" w:hAnsi="黑体" w:eastAsia="黑体"/>
          <w:sz w:val="18"/>
          <w:szCs w:val="18"/>
        </w:rPr>
      </w:pPr>
      <w:bookmarkStart w:id="202" w:name="_Toc174556847"/>
      <w:r>
        <w:rPr>
          <w:rFonts w:ascii="黑体" w:hAnsi="黑体" w:eastAsia="黑体"/>
          <w:sz w:val="18"/>
          <w:szCs w:val="18"/>
        </w:rPr>
        <w:t>4</w:t>
      </w:r>
      <w:r>
        <w:rPr>
          <w:rFonts w:hint="eastAsia" w:ascii="黑体" w:hAnsi="黑体" w:eastAsia="黑体"/>
          <w:sz w:val="18"/>
          <w:szCs w:val="18"/>
        </w:rPr>
        <w:t>.</w:t>
      </w:r>
      <w:r>
        <w:rPr>
          <w:rFonts w:ascii="黑体" w:hAnsi="黑体" w:eastAsia="黑体"/>
          <w:sz w:val="18"/>
          <w:szCs w:val="18"/>
        </w:rPr>
        <w:t>2  施工质量</w:t>
      </w:r>
      <w:bookmarkEnd w:id="202"/>
    </w:p>
    <w:p w14:paraId="7165AF0A">
      <w:pPr>
        <w:adjustRightInd w:val="0"/>
        <w:snapToGrid w:val="0"/>
        <w:spacing w:line="360" w:lineRule="auto"/>
        <w:jc w:val="left"/>
        <w:rPr>
          <w:rFonts w:ascii="黑体" w:hAnsi="黑体"/>
          <w:szCs w:val="18"/>
        </w:rPr>
      </w:pPr>
      <w:r>
        <w:rPr>
          <w:rFonts w:ascii="黑体" w:hAnsi="黑体"/>
          <w:szCs w:val="18"/>
        </w:rPr>
        <w:t xml:space="preserve">Ⅰ  </w:t>
      </w:r>
      <w:r>
        <w:rPr>
          <w:rFonts w:ascii="黑体" w:hAnsi="黑体"/>
          <w:b/>
          <w:szCs w:val="18"/>
        </w:rPr>
        <w:t>主控项目</w:t>
      </w:r>
    </w:p>
    <w:p w14:paraId="24EDDED9">
      <w:pPr>
        <w:pStyle w:val="135"/>
        <w:adjustRightInd w:val="0"/>
        <w:snapToGrid w:val="0"/>
        <w:jc w:val="left"/>
        <w:rPr>
          <w:rFonts w:ascii="黑体" w:hAnsi="黑体" w:eastAsia="黑体"/>
          <w:bCs w:val="0"/>
          <w:sz w:val="18"/>
          <w:szCs w:val="18"/>
        </w:rPr>
      </w:pPr>
      <w:r>
        <w:rPr>
          <w:rFonts w:ascii="黑体" w:hAnsi="黑体" w:eastAsia="黑体"/>
          <w:bCs w:val="0"/>
          <w:sz w:val="18"/>
          <w:szCs w:val="18"/>
        </w:rPr>
        <w:t>4.2.1  施工后的钢结构防火涂层厚度不得小于设计规定厚度。</w:t>
      </w:r>
    </w:p>
    <w:p w14:paraId="42040F30">
      <w:pPr>
        <w:pStyle w:val="136"/>
        <w:numPr>
          <w:ilvl w:val="0"/>
          <w:numId w:val="200"/>
        </w:numPr>
        <w:adjustRightInd w:val="0"/>
        <w:snapToGrid w:val="0"/>
        <w:ind w:firstLineChars="0"/>
        <w:jc w:val="left"/>
        <w:rPr>
          <w:rFonts w:ascii="黑体" w:hAnsi="黑体" w:eastAsia="黑体"/>
          <w:sz w:val="18"/>
          <w:szCs w:val="18"/>
        </w:rPr>
      </w:pPr>
      <w:r>
        <w:rPr>
          <w:rFonts w:ascii="黑体" w:hAnsi="黑体" w:eastAsia="黑体"/>
          <w:sz w:val="18"/>
          <w:szCs w:val="18"/>
        </w:rPr>
        <w:t>检查数量：按构件数抽查</w:t>
      </w:r>
      <w:r>
        <w:rPr>
          <w:rFonts w:hint="eastAsia" w:ascii="黑体" w:hAnsi="黑体" w:eastAsia="黑体"/>
          <w:sz w:val="18"/>
          <w:szCs w:val="18"/>
        </w:rPr>
        <w:t>1</w:t>
      </w:r>
      <w:r>
        <w:rPr>
          <w:rFonts w:ascii="黑体" w:hAnsi="黑体" w:eastAsia="黑体"/>
          <w:sz w:val="18"/>
          <w:szCs w:val="18"/>
        </w:rPr>
        <w:t>0%，且同类构件不应少于</w:t>
      </w:r>
      <w:r>
        <w:rPr>
          <w:rFonts w:hint="eastAsia" w:ascii="黑体" w:hAnsi="黑体" w:eastAsia="黑体"/>
          <w:sz w:val="18"/>
          <w:szCs w:val="18"/>
        </w:rPr>
        <w:t>3件。</w:t>
      </w:r>
    </w:p>
    <w:p w14:paraId="1EDBD5A5">
      <w:pPr>
        <w:pStyle w:val="136"/>
        <w:numPr>
          <w:ilvl w:val="0"/>
          <w:numId w:val="200"/>
        </w:numPr>
        <w:adjustRightInd w:val="0"/>
        <w:snapToGrid w:val="0"/>
        <w:ind w:firstLineChars="0"/>
        <w:jc w:val="left"/>
        <w:rPr>
          <w:rFonts w:ascii="黑体" w:hAnsi="黑体" w:eastAsia="黑体"/>
          <w:sz w:val="18"/>
          <w:szCs w:val="18"/>
        </w:rPr>
      </w:pPr>
      <w:r>
        <w:rPr>
          <w:rFonts w:ascii="黑体" w:hAnsi="黑体" w:eastAsia="黑体"/>
          <w:sz w:val="18"/>
          <w:szCs w:val="18"/>
        </w:rPr>
        <w:t>测量仪表</w:t>
      </w:r>
      <w:r>
        <w:rPr>
          <w:rFonts w:hint="eastAsia" w:ascii="黑体" w:hAnsi="黑体" w:eastAsia="黑体"/>
          <w:sz w:val="18"/>
          <w:szCs w:val="18"/>
        </w:rPr>
        <w:t>:</w:t>
      </w:r>
      <w:r>
        <w:rPr>
          <w:rFonts w:ascii="黑体" w:hAnsi="黑体" w:eastAsia="黑体"/>
          <w:sz w:val="18"/>
          <w:szCs w:val="18"/>
        </w:rPr>
        <w:t xml:space="preserve"> </w:t>
      </w:r>
      <w:r>
        <w:rPr>
          <w:rFonts w:hint="eastAsia" w:ascii="黑体" w:hAnsi="黑体" w:eastAsia="黑体"/>
          <w:sz w:val="18"/>
          <w:szCs w:val="18"/>
        </w:rPr>
        <w:t>厚度测定方法应使用采用电磁感应原理的量规。此类仪器的范围应适合规定的干膜厚度，并应在使用前在光滑的平板上进行校准。校准时应使用与指定膜厚度相适应的垫片。仪器应能够存储数据。能够打印和</w:t>
      </w:r>
      <w:r>
        <w:rPr>
          <w:rFonts w:ascii="黑体" w:hAnsi="黑体" w:eastAsia="黑体"/>
          <w:sz w:val="18"/>
          <w:szCs w:val="18"/>
        </w:rPr>
        <w:t>/或下载到计算机将有助于承包商展示数据。</w:t>
      </w:r>
    </w:p>
    <w:p w14:paraId="72BD1F1E">
      <w:pPr>
        <w:pStyle w:val="136"/>
        <w:numPr>
          <w:ilvl w:val="0"/>
          <w:numId w:val="200"/>
        </w:numPr>
        <w:adjustRightInd w:val="0"/>
        <w:snapToGrid w:val="0"/>
        <w:ind w:firstLineChars="0"/>
        <w:jc w:val="left"/>
        <w:rPr>
          <w:rFonts w:ascii="黑体" w:hAnsi="黑体" w:eastAsia="黑体"/>
          <w:sz w:val="18"/>
          <w:szCs w:val="18"/>
        </w:rPr>
      </w:pPr>
      <w:r>
        <w:rPr>
          <w:rFonts w:ascii="黑体" w:hAnsi="黑体" w:eastAsia="黑体"/>
          <w:sz w:val="18"/>
          <w:szCs w:val="18"/>
        </w:rPr>
        <w:t>厚度测量</w:t>
      </w:r>
      <w:r>
        <w:rPr>
          <w:rFonts w:hint="eastAsia" w:ascii="黑体" w:hAnsi="黑体" w:eastAsia="黑体"/>
          <w:sz w:val="18"/>
          <w:szCs w:val="18"/>
        </w:rPr>
        <w:t>:底漆厚度可在车间涂敷后确定，也可在开始涂敷膨胀型底漆之前在现场确定。考虑到所涂底漆的厚度，在涂任何规定的保护</w:t>
      </w:r>
      <w:r>
        <w:rPr>
          <w:rFonts w:ascii="黑体" w:hAnsi="黑体" w:eastAsia="黑体"/>
          <w:sz w:val="18"/>
          <w:szCs w:val="18"/>
        </w:rPr>
        <w:t>/装饰性面漆之前，应确定膨胀型底漆的总干膜涂层厚度。此阶段的测量将更容易促进任何后续的校正，这可能证明是必要的。</w:t>
      </w:r>
    </w:p>
    <w:p w14:paraId="4A2DEEF2">
      <w:pPr>
        <w:pStyle w:val="136"/>
        <w:numPr>
          <w:ilvl w:val="0"/>
          <w:numId w:val="200"/>
        </w:numPr>
        <w:adjustRightInd w:val="0"/>
        <w:snapToGrid w:val="0"/>
        <w:ind w:firstLineChars="0"/>
        <w:jc w:val="left"/>
        <w:rPr>
          <w:rFonts w:ascii="黑体" w:hAnsi="黑体" w:eastAsia="黑体"/>
          <w:sz w:val="18"/>
          <w:szCs w:val="18"/>
        </w:rPr>
      </w:pPr>
      <w:r>
        <w:rPr>
          <w:rFonts w:ascii="黑体" w:hAnsi="黑体" w:eastAsia="黑体"/>
          <w:sz w:val="18"/>
          <w:szCs w:val="18"/>
        </w:rPr>
        <w:t>检验方法：采用测厚仪、测厚针检查。</w:t>
      </w:r>
    </w:p>
    <w:p w14:paraId="47217006">
      <w:pPr>
        <w:pStyle w:val="135"/>
        <w:adjustRightInd w:val="0"/>
        <w:snapToGrid w:val="0"/>
        <w:jc w:val="left"/>
        <w:rPr>
          <w:rFonts w:ascii="黑体" w:hAnsi="黑体" w:eastAsia="黑体"/>
          <w:bCs w:val="0"/>
          <w:sz w:val="18"/>
          <w:szCs w:val="18"/>
        </w:rPr>
      </w:pPr>
      <w:r>
        <w:rPr>
          <w:rFonts w:ascii="黑体" w:hAnsi="黑体" w:eastAsia="黑体"/>
          <w:bCs w:val="0"/>
          <w:sz w:val="18"/>
          <w:szCs w:val="18"/>
        </w:rPr>
        <w:t>4.2.2  钢结构防火涂料施工后的抗裂性指标应符合国家现行有关产品标准的规定。膨胀型钢结构防火涂料涂层不应出现裂纹；非膨胀型钢结构防火涂料涂层允许出现</w:t>
      </w:r>
      <w:r>
        <w:rPr>
          <w:rFonts w:hint="eastAsia" w:ascii="黑体" w:hAnsi="黑体" w:eastAsia="黑体"/>
          <w:bCs w:val="0"/>
          <w:sz w:val="18"/>
          <w:szCs w:val="18"/>
        </w:rPr>
        <w:t>1～3条裂纹，其宽度不应大于0</w:t>
      </w:r>
      <w:r>
        <w:rPr>
          <w:rFonts w:ascii="黑体" w:hAnsi="黑体" w:eastAsia="黑体"/>
          <w:bCs w:val="0"/>
          <w:sz w:val="18"/>
          <w:szCs w:val="18"/>
        </w:rPr>
        <w:t>.5mm。</w:t>
      </w:r>
    </w:p>
    <w:p w14:paraId="79C359FE">
      <w:pPr>
        <w:pStyle w:val="136"/>
        <w:numPr>
          <w:ilvl w:val="0"/>
          <w:numId w:val="201"/>
        </w:numPr>
        <w:adjustRightInd w:val="0"/>
        <w:snapToGrid w:val="0"/>
        <w:ind w:firstLineChars="0"/>
        <w:jc w:val="left"/>
        <w:rPr>
          <w:rFonts w:ascii="黑体" w:hAnsi="黑体" w:eastAsia="黑体"/>
          <w:sz w:val="18"/>
          <w:szCs w:val="18"/>
        </w:rPr>
      </w:pPr>
      <w:r>
        <w:rPr>
          <w:rFonts w:ascii="黑体" w:hAnsi="黑体" w:eastAsia="黑体"/>
          <w:sz w:val="18"/>
          <w:szCs w:val="18"/>
        </w:rPr>
        <w:t>检查数量：按构件数抽查</w:t>
      </w:r>
      <w:r>
        <w:rPr>
          <w:rFonts w:hint="eastAsia" w:ascii="黑体" w:hAnsi="黑体" w:eastAsia="黑体"/>
          <w:sz w:val="18"/>
          <w:szCs w:val="18"/>
        </w:rPr>
        <w:t>1</w:t>
      </w:r>
      <w:r>
        <w:rPr>
          <w:rFonts w:ascii="黑体" w:hAnsi="黑体" w:eastAsia="黑体"/>
          <w:sz w:val="18"/>
          <w:szCs w:val="18"/>
        </w:rPr>
        <w:t>0%，且同类构件不应少于</w:t>
      </w:r>
      <w:r>
        <w:rPr>
          <w:rFonts w:hint="eastAsia" w:ascii="黑体" w:hAnsi="黑体" w:eastAsia="黑体"/>
          <w:sz w:val="18"/>
          <w:szCs w:val="18"/>
        </w:rPr>
        <w:t>3件。</w:t>
      </w:r>
    </w:p>
    <w:p w14:paraId="141D2646">
      <w:pPr>
        <w:pStyle w:val="136"/>
        <w:numPr>
          <w:ilvl w:val="0"/>
          <w:numId w:val="201"/>
        </w:numPr>
        <w:adjustRightInd w:val="0"/>
        <w:snapToGrid w:val="0"/>
        <w:ind w:firstLineChars="0"/>
        <w:jc w:val="left"/>
        <w:rPr>
          <w:rFonts w:ascii="黑体" w:hAnsi="黑体" w:eastAsia="黑体"/>
          <w:sz w:val="18"/>
          <w:szCs w:val="18"/>
        </w:rPr>
      </w:pPr>
      <w:r>
        <w:rPr>
          <w:rFonts w:ascii="黑体" w:hAnsi="黑体" w:eastAsia="黑体"/>
          <w:sz w:val="18"/>
          <w:szCs w:val="18"/>
        </w:rPr>
        <w:t>检验方法：观察和尺量检查。</w:t>
      </w:r>
    </w:p>
    <w:p w14:paraId="5206E05D">
      <w:pPr>
        <w:adjustRightInd w:val="0"/>
        <w:snapToGrid w:val="0"/>
        <w:spacing w:line="360" w:lineRule="auto"/>
        <w:jc w:val="left"/>
        <w:rPr>
          <w:rFonts w:ascii="黑体" w:hAnsi="黑体"/>
          <w:szCs w:val="18"/>
        </w:rPr>
      </w:pPr>
      <w:r>
        <w:rPr>
          <w:rFonts w:ascii="黑体" w:hAnsi="黑体"/>
          <w:szCs w:val="18"/>
        </w:rPr>
        <w:t xml:space="preserve">Ⅱ  </w:t>
      </w:r>
      <w:r>
        <w:rPr>
          <w:rFonts w:ascii="黑体" w:hAnsi="黑体"/>
          <w:b/>
          <w:szCs w:val="18"/>
        </w:rPr>
        <w:t>一般项目</w:t>
      </w:r>
    </w:p>
    <w:p w14:paraId="03056DA9">
      <w:pPr>
        <w:pStyle w:val="135"/>
        <w:adjustRightInd w:val="0"/>
        <w:snapToGrid w:val="0"/>
        <w:jc w:val="left"/>
        <w:rPr>
          <w:rFonts w:ascii="黑体" w:hAnsi="黑体" w:eastAsia="黑体"/>
          <w:bCs w:val="0"/>
          <w:sz w:val="18"/>
          <w:szCs w:val="18"/>
        </w:rPr>
      </w:pPr>
      <w:r>
        <w:rPr>
          <w:rFonts w:ascii="黑体" w:hAnsi="黑体" w:eastAsia="黑体"/>
          <w:bCs w:val="0"/>
          <w:sz w:val="18"/>
          <w:szCs w:val="18"/>
        </w:rPr>
        <w:t>4.2.3  钢结构防火涂料的施工环境条件应符合</w:t>
      </w:r>
      <w:r>
        <w:rPr>
          <w:rFonts w:hint="eastAsia" w:ascii="黑体" w:hAnsi="黑体" w:eastAsia="黑体"/>
          <w:bCs w:val="0"/>
          <w:sz w:val="18"/>
          <w:szCs w:val="18"/>
        </w:rPr>
        <w:t>产品厂家工艺</w:t>
      </w:r>
      <w:r>
        <w:rPr>
          <w:rFonts w:ascii="黑体" w:hAnsi="黑体" w:eastAsia="黑体"/>
          <w:bCs w:val="0"/>
          <w:sz w:val="18"/>
          <w:szCs w:val="18"/>
        </w:rPr>
        <w:t>的规定。</w:t>
      </w:r>
    </w:p>
    <w:p w14:paraId="1DE5068A">
      <w:pPr>
        <w:pStyle w:val="136"/>
        <w:numPr>
          <w:ilvl w:val="0"/>
          <w:numId w:val="202"/>
        </w:numPr>
        <w:adjustRightInd w:val="0"/>
        <w:snapToGrid w:val="0"/>
        <w:ind w:firstLineChars="0"/>
        <w:jc w:val="left"/>
        <w:rPr>
          <w:rFonts w:ascii="黑体" w:hAnsi="黑体" w:eastAsia="黑体"/>
          <w:sz w:val="18"/>
          <w:szCs w:val="18"/>
        </w:rPr>
      </w:pPr>
      <w:r>
        <w:rPr>
          <w:rFonts w:ascii="黑体" w:hAnsi="黑体" w:eastAsia="黑体"/>
          <w:sz w:val="18"/>
          <w:szCs w:val="18"/>
        </w:rPr>
        <w:t>检查数量：全部检查。</w:t>
      </w:r>
    </w:p>
    <w:p w14:paraId="2F9016A1">
      <w:pPr>
        <w:pStyle w:val="136"/>
        <w:numPr>
          <w:ilvl w:val="0"/>
          <w:numId w:val="202"/>
        </w:numPr>
        <w:adjustRightInd w:val="0"/>
        <w:snapToGrid w:val="0"/>
        <w:ind w:firstLineChars="0"/>
        <w:jc w:val="left"/>
        <w:rPr>
          <w:rFonts w:ascii="黑体" w:hAnsi="黑体" w:eastAsia="黑体"/>
          <w:sz w:val="18"/>
          <w:szCs w:val="18"/>
        </w:rPr>
      </w:pPr>
      <w:r>
        <w:rPr>
          <w:rFonts w:ascii="黑体" w:hAnsi="黑体" w:eastAsia="黑体"/>
          <w:sz w:val="18"/>
          <w:szCs w:val="18"/>
        </w:rPr>
        <w:t>检验方法：检查施工记录。</w:t>
      </w:r>
    </w:p>
    <w:p w14:paraId="67BA36A8">
      <w:pPr>
        <w:pStyle w:val="135"/>
        <w:adjustRightInd w:val="0"/>
        <w:snapToGrid w:val="0"/>
        <w:jc w:val="left"/>
        <w:rPr>
          <w:rFonts w:ascii="黑体" w:hAnsi="黑体" w:eastAsia="黑体"/>
          <w:bCs w:val="0"/>
          <w:sz w:val="18"/>
          <w:szCs w:val="18"/>
        </w:rPr>
      </w:pPr>
      <w:r>
        <w:rPr>
          <w:rFonts w:ascii="黑体" w:hAnsi="黑体" w:eastAsia="黑体"/>
          <w:bCs w:val="0"/>
          <w:sz w:val="18"/>
          <w:szCs w:val="18"/>
        </w:rPr>
        <w:t>4.2.4  钢结构防火涂料施工前，基层表面不应有</w:t>
      </w:r>
      <w:r>
        <w:rPr>
          <w:rFonts w:hint="eastAsia" w:ascii="黑体" w:hAnsi="黑体" w:eastAsia="黑体"/>
          <w:bCs w:val="0"/>
          <w:sz w:val="18"/>
          <w:szCs w:val="18"/>
        </w:rPr>
        <w:t>灰尘、油脂和污物。</w:t>
      </w:r>
    </w:p>
    <w:p w14:paraId="52168C26">
      <w:pPr>
        <w:pStyle w:val="136"/>
        <w:numPr>
          <w:ilvl w:val="0"/>
          <w:numId w:val="203"/>
        </w:numPr>
        <w:adjustRightInd w:val="0"/>
        <w:snapToGrid w:val="0"/>
        <w:ind w:firstLineChars="0"/>
        <w:jc w:val="left"/>
        <w:rPr>
          <w:rFonts w:ascii="黑体" w:hAnsi="黑体" w:eastAsia="黑体"/>
          <w:sz w:val="18"/>
          <w:szCs w:val="18"/>
        </w:rPr>
      </w:pPr>
      <w:r>
        <w:rPr>
          <w:rFonts w:ascii="黑体" w:hAnsi="黑体" w:eastAsia="黑体"/>
          <w:sz w:val="18"/>
          <w:szCs w:val="18"/>
        </w:rPr>
        <w:t>检查数量：全部检查。</w:t>
      </w:r>
    </w:p>
    <w:p w14:paraId="1498F105">
      <w:pPr>
        <w:pStyle w:val="136"/>
        <w:numPr>
          <w:ilvl w:val="0"/>
          <w:numId w:val="203"/>
        </w:numPr>
        <w:adjustRightInd w:val="0"/>
        <w:snapToGrid w:val="0"/>
        <w:ind w:firstLineChars="0"/>
        <w:jc w:val="left"/>
        <w:rPr>
          <w:rFonts w:ascii="黑体" w:hAnsi="黑体" w:eastAsia="黑体"/>
          <w:sz w:val="18"/>
          <w:szCs w:val="18"/>
        </w:rPr>
      </w:pPr>
      <w:r>
        <w:rPr>
          <w:rFonts w:ascii="黑体" w:hAnsi="黑体" w:eastAsia="黑体"/>
          <w:sz w:val="18"/>
          <w:szCs w:val="18"/>
        </w:rPr>
        <w:t>检验方法：观察检查。</w:t>
      </w:r>
    </w:p>
    <w:p w14:paraId="7E9468BF">
      <w:pPr>
        <w:pStyle w:val="135"/>
        <w:adjustRightInd w:val="0"/>
        <w:snapToGrid w:val="0"/>
        <w:jc w:val="left"/>
        <w:rPr>
          <w:rFonts w:ascii="黑体" w:hAnsi="黑体" w:eastAsia="黑体"/>
          <w:bCs w:val="0"/>
          <w:sz w:val="18"/>
          <w:szCs w:val="18"/>
        </w:rPr>
      </w:pPr>
      <w:r>
        <w:rPr>
          <w:rFonts w:ascii="黑体" w:hAnsi="黑体" w:eastAsia="黑体"/>
          <w:bCs w:val="0"/>
          <w:sz w:val="18"/>
          <w:szCs w:val="18"/>
        </w:rPr>
        <w:t>4.2.5  施工后的钢结构防火涂层应完整、厚度均匀，无漏涂、流挂、粉化、空鼓和脱落等外观缺陷。</w:t>
      </w:r>
    </w:p>
    <w:p w14:paraId="6FEB066A">
      <w:pPr>
        <w:pStyle w:val="136"/>
        <w:numPr>
          <w:ilvl w:val="0"/>
          <w:numId w:val="204"/>
        </w:numPr>
        <w:adjustRightInd w:val="0"/>
        <w:snapToGrid w:val="0"/>
        <w:ind w:firstLineChars="0"/>
        <w:jc w:val="left"/>
        <w:rPr>
          <w:rFonts w:ascii="黑体" w:hAnsi="黑体" w:eastAsia="黑体"/>
          <w:sz w:val="18"/>
          <w:szCs w:val="18"/>
        </w:rPr>
      </w:pPr>
      <w:r>
        <w:rPr>
          <w:rFonts w:ascii="黑体" w:hAnsi="黑体" w:eastAsia="黑体"/>
          <w:sz w:val="18"/>
          <w:szCs w:val="18"/>
        </w:rPr>
        <w:t>检查数量：全部检查。</w:t>
      </w:r>
    </w:p>
    <w:p w14:paraId="5CA30B7E">
      <w:pPr>
        <w:pStyle w:val="136"/>
        <w:numPr>
          <w:ilvl w:val="0"/>
          <w:numId w:val="204"/>
        </w:numPr>
        <w:adjustRightInd w:val="0"/>
        <w:snapToGrid w:val="0"/>
        <w:ind w:firstLineChars="0"/>
        <w:jc w:val="left"/>
        <w:rPr>
          <w:rFonts w:ascii="黑体" w:hAnsi="黑体" w:eastAsia="黑体"/>
          <w:sz w:val="18"/>
          <w:szCs w:val="18"/>
        </w:rPr>
      </w:pPr>
      <w:r>
        <w:rPr>
          <w:rFonts w:ascii="黑体" w:hAnsi="黑体" w:eastAsia="黑体"/>
          <w:sz w:val="18"/>
          <w:szCs w:val="18"/>
        </w:rPr>
        <w:t>检验方法：观察检查。</w:t>
      </w:r>
    </w:p>
    <w:p w14:paraId="53DB7E75">
      <w:pPr>
        <w:pStyle w:val="140"/>
        <w:adjustRightInd w:val="0"/>
        <w:snapToGrid w:val="0"/>
        <w:spacing w:before="156" w:beforeLines="50" w:after="0" w:afterLines="0" w:line="360" w:lineRule="auto"/>
        <w:jc w:val="left"/>
        <w:rPr>
          <w:rFonts w:ascii="黑体" w:hAnsi="黑体" w:eastAsia="黑体"/>
          <w:bCs w:val="0"/>
          <w:sz w:val="18"/>
          <w:szCs w:val="18"/>
        </w:rPr>
      </w:pPr>
      <w:bookmarkStart w:id="203" w:name="_Toc174556848"/>
      <w:r>
        <w:rPr>
          <w:rFonts w:ascii="黑体" w:hAnsi="黑体" w:eastAsia="黑体"/>
          <w:bCs w:val="0"/>
          <w:sz w:val="18"/>
          <w:szCs w:val="18"/>
        </w:rPr>
        <w:t>5  工程验收</w:t>
      </w:r>
      <w:bookmarkEnd w:id="203"/>
    </w:p>
    <w:p w14:paraId="547F67A8">
      <w:pPr>
        <w:pStyle w:val="135"/>
        <w:adjustRightInd w:val="0"/>
        <w:snapToGrid w:val="0"/>
        <w:jc w:val="left"/>
        <w:rPr>
          <w:rFonts w:ascii="黑体" w:hAnsi="黑体" w:eastAsia="黑体"/>
          <w:bCs w:val="0"/>
          <w:sz w:val="18"/>
          <w:szCs w:val="18"/>
        </w:rPr>
      </w:pPr>
      <w:r>
        <w:rPr>
          <w:rFonts w:ascii="黑体" w:hAnsi="黑体" w:eastAsia="黑体"/>
          <w:bCs w:val="0"/>
          <w:sz w:val="18"/>
          <w:szCs w:val="18"/>
        </w:rPr>
        <w:t>5.1  钢结构防火涂料工程完工后，建设单位应组织设计、监理和施工单位进行交工验收，</w:t>
      </w:r>
      <w:r>
        <w:rPr>
          <w:rFonts w:hint="eastAsia" w:ascii="黑体" w:hAnsi="黑体" w:eastAsia="黑体"/>
          <w:bCs w:val="0"/>
          <w:sz w:val="18"/>
          <w:szCs w:val="18"/>
        </w:rPr>
        <w:t>未经验收合格，不得投入生产使用。</w:t>
      </w:r>
    </w:p>
    <w:p w14:paraId="7C957F22">
      <w:pPr>
        <w:pStyle w:val="135"/>
        <w:adjustRightInd w:val="0"/>
        <w:snapToGrid w:val="0"/>
        <w:jc w:val="left"/>
        <w:rPr>
          <w:rFonts w:ascii="黑体" w:hAnsi="黑体" w:eastAsia="黑体"/>
          <w:bCs w:val="0"/>
          <w:sz w:val="18"/>
          <w:szCs w:val="18"/>
        </w:rPr>
      </w:pPr>
      <w:r>
        <w:rPr>
          <w:rFonts w:ascii="黑体" w:hAnsi="黑体" w:eastAsia="黑体"/>
          <w:bCs w:val="0"/>
          <w:sz w:val="18"/>
          <w:szCs w:val="18"/>
        </w:rPr>
        <w:t>5.2  交工验收时，建设单位应检查和确认下列内容：</w:t>
      </w:r>
    </w:p>
    <w:p w14:paraId="7B643C5B">
      <w:pPr>
        <w:pStyle w:val="138"/>
        <w:numPr>
          <w:ilvl w:val="0"/>
          <w:numId w:val="205"/>
        </w:numPr>
        <w:adjustRightInd w:val="0"/>
        <w:snapToGrid w:val="0"/>
        <w:ind w:firstLineChars="0"/>
        <w:jc w:val="left"/>
        <w:rPr>
          <w:rFonts w:ascii="黑体" w:hAnsi="黑体" w:eastAsia="黑体"/>
          <w:sz w:val="18"/>
          <w:szCs w:val="18"/>
        </w:rPr>
      </w:pPr>
      <w:r>
        <w:rPr>
          <w:rFonts w:hint="eastAsia" w:ascii="黑体" w:hAnsi="黑体" w:eastAsia="黑体"/>
          <w:sz w:val="18"/>
          <w:szCs w:val="18"/>
        </w:rPr>
        <w:t>施工范围和内容应符合合同规定。</w:t>
      </w:r>
    </w:p>
    <w:p w14:paraId="07D1ABA6">
      <w:pPr>
        <w:pStyle w:val="138"/>
        <w:numPr>
          <w:ilvl w:val="0"/>
          <w:numId w:val="205"/>
        </w:numPr>
        <w:adjustRightInd w:val="0"/>
        <w:snapToGrid w:val="0"/>
        <w:ind w:firstLineChars="0"/>
        <w:jc w:val="left"/>
        <w:rPr>
          <w:rFonts w:ascii="黑体" w:hAnsi="黑体" w:eastAsia="黑体"/>
          <w:sz w:val="18"/>
          <w:szCs w:val="18"/>
        </w:rPr>
      </w:pPr>
      <w:r>
        <w:rPr>
          <w:rFonts w:hint="eastAsia" w:ascii="黑体" w:hAnsi="黑体" w:eastAsia="黑体"/>
          <w:sz w:val="18"/>
          <w:szCs w:val="18"/>
        </w:rPr>
        <w:t>工程质量应符合设计文件和本标准的规定。</w:t>
      </w:r>
    </w:p>
    <w:p w14:paraId="1DE6010F">
      <w:pPr>
        <w:pStyle w:val="135"/>
        <w:adjustRightInd w:val="0"/>
        <w:snapToGrid w:val="0"/>
        <w:jc w:val="left"/>
        <w:rPr>
          <w:rFonts w:ascii="黑体" w:hAnsi="黑体" w:eastAsia="黑体"/>
          <w:bCs w:val="0"/>
          <w:sz w:val="18"/>
          <w:szCs w:val="18"/>
        </w:rPr>
      </w:pPr>
      <w:r>
        <w:rPr>
          <w:rFonts w:ascii="黑体" w:hAnsi="黑体" w:eastAsia="黑体"/>
          <w:bCs w:val="0"/>
          <w:sz w:val="18"/>
          <w:szCs w:val="18"/>
        </w:rPr>
        <w:t>5.3  交工验收时，施工单位应向建设单位提交下列资料：</w:t>
      </w:r>
    </w:p>
    <w:p w14:paraId="1DCB95CE">
      <w:pPr>
        <w:pStyle w:val="138"/>
        <w:numPr>
          <w:ilvl w:val="0"/>
          <w:numId w:val="206"/>
        </w:numPr>
        <w:adjustRightInd w:val="0"/>
        <w:snapToGrid w:val="0"/>
        <w:ind w:firstLineChars="0"/>
        <w:jc w:val="left"/>
        <w:rPr>
          <w:rFonts w:ascii="黑体" w:hAnsi="黑体" w:eastAsia="黑体"/>
          <w:sz w:val="18"/>
          <w:szCs w:val="18"/>
        </w:rPr>
      </w:pPr>
      <w:r>
        <w:rPr>
          <w:rFonts w:ascii="黑体" w:hAnsi="黑体" w:eastAsia="黑体"/>
          <w:sz w:val="18"/>
          <w:szCs w:val="18"/>
        </w:rPr>
        <w:t>防火涂料的产品质量证明文件和</w:t>
      </w:r>
      <w:r>
        <w:rPr>
          <w:rFonts w:hint="eastAsia" w:ascii="黑体" w:hAnsi="黑体" w:eastAsia="黑体"/>
          <w:sz w:val="18"/>
          <w:szCs w:val="18"/>
        </w:rPr>
        <w:t>现场抽样的复检报告；</w:t>
      </w:r>
    </w:p>
    <w:p w14:paraId="23E617CE">
      <w:pPr>
        <w:pStyle w:val="138"/>
        <w:numPr>
          <w:ilvl w:val="0"/>
          <w:numId w:val="206"/>
        </w:numPr>
        <w:adjustRightInd w:val="0"/>
        <w:snapToGrid w:val="0"/>
        <w:ind w:firstLineChars="0"/>
        <w:jc w:val="left"/>
        <w:rPr>
          <w:rFonts w:ascii="黑体" w:hAnsi="黑体" w:eastAsia="黑体"/>
          <w:sz w:val="18"/>
          <w:szCs w:val="18"/>
        </w:rPr>
      </w:pPr>
      <w:r>
        <w:rPr>
          <w:rFonts w:hint="eastAsia" w:ascii="黑体" w:hAnsi="黑体" w:eastAsia="黑体"/>
          <w:sz w:val="18"/>
          <w:szCs w:val="18"/>
        </w:rPr>
        <w:t>设计变更文件；</w:t>
      </w:r>
    </w:p>
    <w:p w14:paraId="7911124A">
      <w:pPr>
        <w:pStyle w:val="138"/>
        <w:numPr>
          <w:ilvl w:val="0"/>
          <w:numId w:val="206"/>
        </w:numPr>
        <w:adjustRightInd w:val="0"/>
        <w:snapToGrid w:val="0"/>
        <w:ind w:firstLineChars="0"/>
        <w:jc w:val="left"/>
        <w:rPr>
          <w:rFonts w:ascii="黑体" w:hAnsi="黑体" w:eastAsia="黑体"/>
          <w:sz w:val="18"/>
          <w:szCs w:val="18"/>
        </w:rPr>
      </w:pPr>
      <w:r>
        <w:rPr>
          <w:rFonts w:ascii="黑体" w:hAnsi="黑体" w:eastAsia="黑体"/>
          <w:sz w:val="18"/>
          <w:szCs w:val="18"/>
        </w:rPr>
        <w:t>施工技术文件；</w:t>
      </w:r>
    </w:p>
    <w:p w14:paraId="4597AAAF">
      <w:pPr>
        <w:pStyle w:val="138"/>
        <w:numPr>
          <w:ilvl w:val="0"/>
          <w:numId w:val="206"/>
        </w:numPr>
        <w:adjustRightInd w:val="0"/>
        <w:snapToGrid w:val="0"/>
        <w:ind w:firstLineChars="0"/>
        <w:jc w:val="left"/>
        <w:rPr>
          <w:rFonts w:ascii="黑体" w:hAnsi="黑体" w:eastAsia="黑体"/>
          <w:sz w:val="18"/>
          <w:szCs w:val="18"/>
        </w:rPr>
      </w:pPr>
      <w:r>
        <w:rPr>
          <w:rFonts w:hint="eastAsia" w:ascii="黑体" w:hAnsi="黑体" w:eastAsia="黑体"/>
          <w:sz w:val="18"/>
          <w:szCs w:val="18"/>
        </w:rPr>
        <w:t>隐蔽工程记录；</w:t>
      </w:r>
    </w:p>
    <w:p w14:paraId="2AECB323">
      <w:pPr>
        <w:pStyle w:val="138"/>
        <w:numPr>
          <w:ilvl w:val="0"/>
          <w:numId w:val="206"/>
        </w:numPr>
        <w:adjustRightInd w:val="0"/>
        <w:snapToGrid w:val="0"/>
        <w:ind w:firstLineChars="0"/>
        <w:jc w:val="left"/>
        <w:rPr>
          <w:rFonts w:ascii="黑体" w:hAnsi="黑体" w:eastAsia="黑体"/>
          <w:sz w:val="18"/>
          <w:szCs w:val="18"/>
        </w:rPr>
      </w:pPr>
      <w:r>
        <w:rPr>
          <w:rFonts w:ascii="黑体" w:hAnsi="黑体" w:eastAsia="黑体"/>
          <w:sz w:val="18"/>
          <w:szCs w:val="18"/>
        </w:rPr>
        <w:t>施工记录；</w:t>
      </w:r>
    </w:p>
    <w:p w14:paraId="6C51BF0F">
      <w:pPr>
        <w:pStyle w:val="138"/>
        <w:numPr>
          <w:ilvl w:val="0"/>
          <w:numId w:val="206"/>
        </w:numPr>
        <w:adjustRightInd w:val="0"/>
        <w:snapToGrid w:val="0"/>
        <w:ind w:firstLineChars="0"/>
        <w:jc w:val="left"/>
        <w:rPr>
          <w:rFonts w:ascii="黑体" w:hAnsi="黑体" w:eastAsia="黑体"/>
          <w:sz w:val="18"/>
          <w:szCs w:val="18"/>
        </w:rPr>
      </w:pPr>
      <w:r>
        <w:rPr>
          <w:rFonts w:hint="eastAsia" w:ascii="黑体" w:hAnsi="黑体" w:eastAsia="黑体"/>
          <w:sz w:val="18"/>
          <w:szCs w:val="18"/>
        </w:rPr>
        <w:t>返工或返修记录；</w:t>
      </w:r>
    </w:p>
    <w:p w14:paraId="0580D8F5">
      <w:pPr>
        <w:pStyle w:val="138"/>
        <w:numPr>
          <w:ilvl w:val="0"/>
          <w:numId w:val="206"/>
        </w:numPr>
        <w:adjustRightInd w:val="0"/>
        <w:snapToGrid w:val="0"/>
        <w:ind w:firstLineChars="0"/>
        <w:jc w:val="left"/>
        <w:rPr>
          <w:rFonts w:ascii="黑体" w:hAnsi="黑体" w:eastAsia="黑体"/>
          <w:sz w:val="18"/>
          <w:szCs w:val="18"/>
        </w:rPr>
      </w:pPr>
      <w:r>
        <w:rPr>
          <w:rFonts w:hint="eastAsia" w:ascii="黑体" w:hAnsi="黑体" w:eastAsia="黑体"/>
          <w:sz w:val="18"/>
          <w:szCs w:val="18"/>
        </w:rPr>
        <w:t>质量验收记录。</w:t>
      </w:r>
    </w:p>
    <w:p w14:paraId="3FF74815">
      <w:pPr>
        <w:pStyle w:val="135"/>
        <w:adjustRightInd w:val="0"/>
        <w:snapToGrid w:val="0"/>
        <w:jc w:val="left"/>
        <w:rPr>
          <w:rFonts w:ascii="黑体" w:hAnsi="黑体" w:eastAsia="黑体"/>
          <w:bCs w:val="0"/>
          <w:sz w:val="18"/>
          <w:szCs w:val="18"/>
        </w:rPr>
      </w:pPr>
      <w:r>
        <w:rPr>
          <w:rFonts w:hint="eastAsia" w:ascii="黑体" w:hAnsi="黑体" w:eastAsia="黑体"/>
          <w:bCs w:val="0"/>
          <w:sz w:val="18"/>
          <w:szCs w:val="18"/>
        </w:rPr>
        <w:t>5</w:t>
      </w:r>
      <w:r>
        <w:rPr>
          <w:rFonts w:ascii="黑体" w:hAnsi="黑体" w:eastAsia="黑体"/>
          <w:bCs w:val="0"/>
          <w:sz w:val="18"/>
          <w:szCs w:val="18"/>
        </w:rPr>
        <w:t>.4</w:t>
      </w:r>
      <w:r>
        <w:rPr>
          <w:rFonts w:hint="eastAsia" w:ascii="黑体" w:hAnsi="黑体" w:eastAsia="黑体"/>
          <w:bCs w:val="0"/>
          <w:sz w:val="18"/>
          <w:szCs w:val="18"/>
        </w:rPr>
        <w:t>工程验收对供应商管理的要求：</w:t>
      </w:r>
    </w:p>
    <w:p w14:paraId="55D427EE">
      <w:pPr>
        <w:pStyle w:val="138"/>
        <w:numPr>
          <w:ilvl w:val="0"/>
          <w:numId w:val="207"/>
        </w:numPr>
        <w:adjustRightInd w:val="0"/>
        <w:snapToGrid w:val="0"/>
        <w:ind w:firstLineChars="0"/>
        <w:jc w:val="left"/>
        <w:rPr>
          <w:rFonts w:ascii="黑体" w:hAnsi="黑体" w:eastAsia="黑体"/>
          <w:sz w:val="18"/>
          <w:szCs w:val="18"/>
        </w:rPr>
      </w:pPr>
      <w:r>
        <w:rPr>
          <w:rFonts w:ascii="黑体" w:hAnsi="黑体" w:eastAsia="黑体"/>
          <w:sz w:val="18"/>
          <w:szCs w:val="18"/>
        </w:rPr>
        <w:t>专项检查：雇佣有资质的检测机构执行以下检查和准备报告。</w:t>
      </w:r>
    </w:p>
    <w:p w14:paraId="57EF23C8">
      <w:pPr>
        <w:pStyle w:val="138"/>
        <w:numPr>
          <w:ilvl w:val="0"/>
          <w:numId w:val="207"/>
        </w:numPr>
        <w:adjustRightInd w:val="0"/>
        <w:snapToGrid w:val="0"/>
        <w:ind w:firstLineChars="0"/>
        <w:jc w:val="left"/>
        <w:rPr>
          <w:rFonts w:ascii="黑体" w:hAnsi="黑体" w:eastAsia="黑体"/>
          <w:sz w:val="18"/>
          <w:szCs w:val="18"/>
        </w:rPr>
      </w:pPr>
      <w:r>
        <w:rPr>
          <w:rFonts w:ascii="黑体" w:hAnsi="黑体" w:eastAsia="黑体"/>
          <w:sz w:val="18"/>
          <w:szCs w:val="18"/>
        </w:rPr>
        <w:t>检测机构：雇佣有资质的检测机构执行以下测试、检查和准备检测报告。</w:t>
      </w:r>
    </w:p>
    <w:p w14:paraId="598BA75B">
      <w:pPr>
        <w:pStyle w:val="138"/>
        <w:numPr>
          <w:ilvl w:val="0"/>
          <w:numId w:val="207"/>
        </w:numPr>
        <w:adjustRightInd w:val="0"/>
        <w:snapToGrid w:val="0"/>
        <w:ind w:firstLineChars="0"/>
        <w:jc w:val="left"/>
        <w:rPr>
          <w:rFonts w:ascii="黑体" w:hAnsi="黑体" w:eastAsia="黑体"/>
          <w:sz w:val="18"/>
          <w:szCs w:val="18"/>
        </w:rPr>
      </w:pPr>
      <w:r>
        <w:rPr>
          <w:rFonts w:ascii="黑体" w:hAnsi="黑体" w:eastAsia="黑体"/>
          <w:sz w:val="18"/>
          <w:szCs w:val="18"/>
        </w:rPr>
        <w:t>测试和检查：防火涂料完工的测试和检查应连续进行，范围和方法如下。在前一区域完成非膨胀和膨胀防火涂料测试结果显示满足要求之前，不能进行下一区域施工。测试值必需等于或超过批准的防火设计要求值。</w:t>
      </w:r>
    </w:p>
    <w:p w14:paraId="6B4854EC">
      <w:pPr>
        <w:pStyle w:val="138"/>
        <w:numPr>
          <w:ilvl w:val="0"/>
          <w:numId w:val="207"/>
        </w:numPr>
        <w:adjustRightInd w:val="0"/>
        <w:snapToGrid w:val="0"/>
        <w:ind w:firstLineChars="0"/>
        <w:jc w:val="left"/>
        <w:rPr>
          <w:rFonts w:ascii="黑体" w:hAnsi="黑体" w:eastAsia="黑体"/>
          <w:sz w:val="18"/>
          <w:szCs w:val="18"/>
        </w:rPr>
      </w:pPr>
      <w:r>
        <w:rPr>
          <w:rFonts w:ascii="黑体" w:hAnsi="黑体" w:eastAsia="黑体"/>
          <w:sz w:val="18"/>
          <w:szCs w:val="18"/>
        </w:rPr>
        <w:t>移除并替换未通过粘聚、密度检测、或都未通过的防火涂料，重新进行以上检测。</w:t>
      </w:r>
    </w:p>
    <w:p w14:paraId="44B2CBEB">
      <w:pPr>
        <w:pStyle w:val="138"/>
        <w:numPr>
          <w:ilvl w:val="0"/>
          <w:numId w:val="207"/>
        </w:numPr>
        <w:adjustRightInd w:val="0"/>
        <w:snapToGrid w:val="0"/>
        <w:ind w:firstLineChars="0"/>
        <w:jc w:val="left"/>
        <w:rPr>
          <w:rFonts w:ascii="黑体" w:hAnsi="黑体" w:eastAsia="黑体"/>
          <w:sz w:val="18"/>
          <w:szCs w:val="18"/>
        </w:rPr>
      </w:pPr>
      <w:r>
        <w:rPr>
          <w:rFonts w:ascii="黑体" w:hAnsi="黑体" w:eastAsia="黑体"/>
          <w:sz w:val="18"/>
          <w:szCs w:val="18"/>
        </w:rPr>
        <w:t>按照制造商的要求，当测试结果厚度不符合要求，应重新施工并检测。</w:t>
      </w:r>
    </w:p>
    <w:p w14:paraId="073F34A1">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总包验收与检验：</w:t>
      </w:r>
    </w:p>
    <w:p w14:paraId="772203C4">
      <w:pPr>
        <w:pStyle w:val="138"/>
        <w:adjustRightInd w:val="0"/>
        <w:snapToGrid w:val="0"/>
        <w:ind w:firstLine="0" w:firstLineChars="0"/>
        <w:jc w:val="left"/>
        <w:rPr>
          <w:rFonts w:ascii="黑体" w:hAnsi="黑体" w:eastAsia="黑体"/>
          <w:sz w:val="18"/>
          <w:szCs w:val="18"/>
        </w:rPr>
      </w:pPr>
      <w:r>
        <w:rPr>
          <w:rFonts w:hint="eastAsia" w:ascii="黑体" w:hAnsi="黑体" w:eastAsia="黑体"/>
          <w:sz w:val="18"/>
          <w:szCs w:val="18"/>
        </w:rPr>
        <w:t>依据防火时效对照材料制造商提供的要求涂层厚度，施工以后以湿膜卡测量厚度，待涂敷实干后以磁性涂膜厚度测定。防火涂料分阶段验收（至少三个区以上），防火涂料验收后方可涂敷面漆。防火涂料附着力不低于国标要求，测试方案依据国标要求。涂装外观应满足样板要求。</w:t>
      </w:r>
    </w:p>
    <w:p w14:paraId="0C06CF6C">
      <w:pPr>
        <w:pStyle w:val="138"/>
        <w:adjustRightInd w:val="0"/>
        <w:snapToGrid w:val="0"/>
        <w:ind w:firstLine="0" w:firstLineChars="0"/>
        <w:jc w:val="left"/>
        <w:rPr>
          <w:rFonts w:ascii="黑体" w:hAnsi="黑体" w:eastAsia="黑体"/>
          <w:sz w:val="18"/>
          <w:szCs w:val="18"/>
        </w:rPr>
      </w:pPr>
    </w:p>
    <w:p w14:paraId="399AA965">
      <w:pPr>
        <w:pStyle w:val="140"/>
        <w:adjustRightInd w:val="0"/>
        <w:snapToGrid w:val="0"/>
        <w:spacing w:before="0" w:beforeLines="0" w:after="0" w:afterLines="0" w:line="360" w:lineRule="auto"/>
        <w:jc w:val="left"/>
        <w:rPr>
          <w:rFonts w:ascii="黑体" w:hAnsi="黑体" w:eastAsia="黑体"/>
          <w:b w:val="0"/>
          <w:bCs w:val="0"/>
          <w:sz w:val="18"/>
          <w:szCs w:val="18"/>
        </w:rPr>
      </w:pPr>
      <w:bookmarkStart w:id="204" w:name="_Toc174556849"/>
      <w:r>
        <w:rPr>
          <w:rFonts w:ascii="黑体" w:hAnsi="黑体" w:eastAsia="黑体"/>
          <w:bCs w:val="0"/>
          <w:sz w:val="18"/>
          <w:szCs w:val="18"/>
        </w:rPr>
        <w:t xml:space="preserve">6 </w:t>
      </w:r>
      <w:r>
        <w:rPr>
          <w:rFonts w:hint="eastAsia" w:ascii="黑体" w:hAnsi="黑体" w:eastAsia="黑体"/>
          <w:bCs w:val="0"/>
          <w:sz w:val="18"/>
          <w:szCs w:val="18"/>
        </w:rPr>
        <w:t>维护检测</w:t>
      </w:r>
      <w:bookmarkEnd w:id="204"/>
    </w:p>
    <w:p w14:paraId="37618579">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6.1 </w:t>
      </w:r>
      <w:r>
        <w:rPr>
          <w:rFonts w:hint="eastAsia" w:ascii="黑体" w:hAnsi="黑体" w:eastAsia="黑体"/>
          <w:bCs w:val="0"/>
          <w:sz w:val="18"/>
          <w:szCs w:val="18"/>
        </w:rPr>
        <w:t>为确保钢结构防火涂层的可靠性，应对其外观和粘结强度等进行维护检测。外观检测应包括对剥落、开裂、起泡等的检测；粘结强度检测应包括采用拉拔法或划叉法进行的检测。</w:t>
      </w:r>
    </w:p>
    <w:p w14:paraId="3639FA1A">
      <w:pPr>
        <w:pStyle w:val="135"/>
        <w:adjustRightInd w:val="0"/>
        <w:snapToGrid w:val="0"/>
        <w:jc w:val="left"/>
        <w:rPr>
          <w:rFonts w:ascii="黑体" w:hAnsi="黑体" w:eastAsia="黑体"/>
          <w:bCs w:val="0"/>
          <w:sz w:val="18"/>
          <w:szCs w:val="18"/>
        </w:rPr>
      </w:pPr>
      <w:r>
        <w:rPr>
          <w:rFonts w:ascii="黑体" w:hAnsi="黑体" w:eastAsia="黑体"/>
          <w:bCs w:val="0"/>
          <w:sz w:val="18"/>
          <w:szCs w:val="18"/>
        </w:rPr>
        <w:t>6.2  钢结构防火涂层的</w:t>
      </w:r>
      <w:r>
        <w:rPr>
          <w:rFonts w:hint="eastAsia" w:ascii="黑体" w:hAnsi="黑体" w:eastAsia="黑体"/>
          <w:bCs w:val="0"/>
          <w:sz w:val="18"/>
          <w:szCs w:val="18"/>
        </w:rPr>
        <w:t>维护周期应符合下列规定：</w:t>
      </w:r>
    </w:p>
    <w:p w14:paraId="275F0136">
      <w:pPr>
        <w:pStyle w:val="138"/>
        <w:numPr>
          <w:ilvl w:val="0"/>
          <w:numId w:val="208"/>
        </w:numPr>
        <w:adjustRightInd w:val="0"/>
        <w:snapToGrid w:val="0"/>
        <w:ind w:firstLineChars="0"/>
        <w:jc w:val="left"/>
        <w:rPr>
          <w:rFonts w:ascii="黑体" w:hAnsi="黑体" w:eastAsia="黑体"/>
          <w:sz w:val="18"/>
          <w:szCs w:val="18"/>
        </w:rPr>
      </w:pPr>
      <w:r>
        <w:rPr>
          <w:rFonts w:hint="eastAsia" w:ascii="黑体" w:hAnsi="黑体" w:eastAsia="黑体"/>
          <w:sz w:val="18"/>
          <w:szCs w:val="18"/>
        </w:rPr>
        <w:t>防火涂层完工后第5年起，应进行首次外观维护检测，然后每隔2年都要进行外观维护检测。</w:t>
      </w:r>
    </w:p>
    <w:p w14:paraId="00AB930E">
      <w:pPr>
        <w:pStyle w:val="138"/>
        <w:numPr>
          <w:ilvl w:val="0"/>
          <w:numId w:val="208"/>
        </w:numPr>
        <w:adjustRightInd w:val="0"/>
        <w:snapToGrid w:val="0"/>
        <w:ind w:firstLineChars="0"/>
        <w:jc w:val="left"/>
        <w:rPr>
          <w:rFonts w:ascii="黑体" w:hAnsi="黑体" w:eastAsia="黑体"/>
          <w:sz w:val="18"/>
          <w:szCs w:val="18"/>
        </w:rPr>
      </w:pPr>
      <w:r>
        <w:rPr>
          <w:rFonts w:hint="eastAsia" w:ascii="黑体" w:hAnsi="黑体" w:eastAsia="黑体"/>
          <w:sz w:val="18"/>
          <w:szCs w:val="18"/>
        </w:rPr>
        <w:t>防火涂层完工后第5年起，应进行首次粘结强度维护检测，然后每隔3年都要进行粘结强度维护检测。</w:t>
      </w:r>
    </w:p>
    <w:p w14:paraId="4F039944">
      <w:pPr>
        <w:pStyle w:val="135"/>
        <w:adjustRightInd w:val="0"/>
        <w:snapToGrid w:val="0"/>
        <w:jc w:val="left"/>
        <w:rPr>
          <w:rFonts w:ascii="黑体" w:hAnsi="黑体" w:eastAsia="黑体"/>
          <w:bCs w:val="0"/>
          <w:sz w:val="18"/>
          <w:szCs w:val="18"/>
        </w:rPr>
      </w:pPr>
      <w:r>
        <w:rPr>
          <w:rFonts w:ascii="黑体" w:hAnsi="黑体" w:eastAsia="黑体"/>
          <w:bCs w:val="0"/>
          <w:sz w:val="18"/>
          <w:szCs w:val="18"/>
        </w:rPr>
        <w:t>6.3 钢结构防火涂层的</w:t>
      </w:r>
      <w:r>
        <w:rPr>
          <w:rFonts w:hint="eastAsia" w:ascii="黑体" w:hAnsi="黑体" w:eastAsia="黑体"/>
          <w:bCs w:val="0"/>
          <w:sz w:val="18"/>
          <w:szCs w:val="18"/>
        </w:rPr>
        <w:t>检测方法应符合下列规定：</w:t>
      </w:r>
    </w:p>
    <w:p w14:paraId="50778E8D">
      <w:pPr>
        <w:pStyle w:val="138"/>
        <w:numPr>
          <w:ilvl w:val="0"/>
          <w:numId w:val="209"/>
        </w:numPr>
        <w:adjustRightInd w:val="0"/>
        <w:snapToGrid w:val="0"/>
        <w:ind w:firstLineChars="0"/>
        <w:jc w:val="left"/>
        <w:rPr>
          <w:rFonts w:ascii="黑体" w:hAnsi="黑体" w:eastAsia="黑体"/>
          <w:sz w:val="18"/>
          <w:szCs w:val="18"/>
        </w:rPr>
      </w:pPr>
      <w:r>
        <w:rPr>
          <w:rFonts w:hint="eastAsia" w:ascii="黑体" w:hAnsi="黑体" w:eastAsia="黑体"/>
          <w:sz w:val="18"/>
          <w:szCs w:val="18"/>
        </w:rPr>
        <w:t>对于外观的检测方法，应采用目视检测，所有区域应做100%的检测。</w:t>
      </w:r>
    </w:p>
    <w:p w14:paraId="4EC3AF08">
      <w:pPr>
        <w:pStyle w:val="138"/>
        <w:numPr>
          <w:ilvl w:val="0"/>
          <w:numId w:val="209"/>
        </w:numPr>
        <w:adjustRightInd w:val="0"/>
        <w:snapToGrid w:val="0"/>
        <w:ind w:firstLineChars="0"/>
        <w:jc w:val="left"/>
        <w:rPr>
          <w:rFonts w:ascii="黑体" w:hAnsi="黑体" w:eastAsia="黑体"/>
          <w:sz w:val="18"/>
          <w:szCs w:val="18"/>
        </w:rPr>
      </w:pPr>
      <w:r>
        <w:rPr>
          <w:rFonts w:hint="eastAsia" w:ascii="黑体" w:hAnsi="黑体" w:eastAsia="黑体"/>
          <w:sz w:val="18"/>
          <w:szCs w:val="18"/>
        </w:rPr>
        <w:t>对于粘结强度的检测方法，应采用拉拔法。</w:t>
      </w:r>
    </w:p>
    <w:p w14:paraId="6B028F3C">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6.4 </w:t>
      </w:r>
      <w:r>
        <w:rPr>
          <w:rFonts w:hint="eastAsia" w:ascii="黑体" w:hAnsi="黑体" w:eastAsia="黑体"/>
          <w:bCs w:val="0"/>
          <w:sz w:val="18"/>
          <w:szCs w:val="18"/>
        </w:rPr>
        <w:t>对钢结构防火涂层外观的评价应符合下列规定：</w:t>
      </w:r>
    </w:p>
    <w:p w14:paraId="1A92BA68">
      <w:pPr>
        <w:pStyle w:val="138"/>
        <w:adjustRightInd w:val="0"/>
        <w:snapToGrid w:val="0"/>
        <w:ind w:firstLine="0" w:firstLineChars="0"/>
        <w:jc w:val="left"/>
        <w:rPr>
          <w:rFonts w:ascii="黑体" w:hAnsi="黑体" w:eastAsia="黑体"/>
          <w:sz w:val="18"/>
          <w:szCs w:val="18"/>
        </w:rPr>
      </w:pPr>
      <w:r>
        <w:rPr>
          <w:rFonts w:ascii="黑体" w:hAnsi="黑体" w:eastAsia="黑体"/>
          <w:sz w:val="18"/>
          <w:szCs w:val="18"/>
        </w:rPr>
        <w:t>对于</w:t>
      </w:r>
      <w:r>
        <w:rPr>
          <w:rFonts w:hint="eastAsia" w:ascii="黑体" w:hAnsi="黑体" w:eastAsia="黑体"/>
          <w:sz w:val="18"/>
          <w:szCs w:val="18"/>
        </w:rPr>
        <w:t>剥落、开裂或起泡，外观缺陷超过允许的区域应进行维护修补。</w:t>
      </w:r>
    </w:p>
    <w:p w14:paraId="223FD922">
      <w:pPr>
        <w:pStyle w:val="135"/>
        <w:adjustRightInd w:val="0"/>
        <w:snapToGrid w:val="0"/>
        <w:jc w:val="left"/>
        <w:rPr>
          <w:rFonts w:ascii="黑体" w:hAnsi="黑体" w:eastAsia="黑体"/>
          <w:bCs w:val="0"/>
          <w:sz w:val="18"/>
          <w:szCs w:val="18"/>
        </w:rPr>
      </w:pPr>
      <w:r>
        <w:rPr>
          <w:rFonts w:ascii="黑体" w:hAnsi="黑体" w:eastAsia="黑体"/>
          <w:bCs w:val="0"/>
          <w:sz w:val="18"/>
          <w:szCs w:val="18"/>
        </w:rPr>
        <w:t xml:space="preserve">6.5 </w:t>
      </w:r>
      <w:r>
        <w:rPr>
          <w:rFonts w:hint="eastAsia" w:ascii="黑体" w:hAnsi="黑体" w:eastAsia="黑体"/>
          <w:bCs w:val="0"/>
          <w:sz w:val="18"/>
          <w:szCs w:val="18"/>
        </w:rPr>
        <w:t>对钢结构防火涂层粘结强度的评价应符合下列规定：</w:t>
      </w:r>
    </w:p>
    <w:p w14:paraId="24C2E847">
      <w:pPr>
        <w:pStyle w:val="138"/>
        <w:numPr>
          <w:ilvl w:val="0"/>
          <w:numId w:val="210"/>
        </w:numPr>
        <w:adjustRightInd w:val="0"/>
        <w:snapToGrid w:val="0"/>
        <w:ind w:firstLineChars="0"/>
        <w:jc w:val="left"/>
        <w:rPr>
          <w:rFonts w:ascii="黑体" w:hAnsi="黑体" w:eastAsia="黑体"/>
          <w:sz w:val="18"/>
          <w:szCs w:val="18"/>
        </w:rPr>
      </w:pPr>
      <w:r>
        <w:rPr>
          <w:rFonts w:hint="eastAsia" w:ascii="黑体" w:hAnsi="黑体" w:eastAsia="黑体"/>
          <w:sz w:val="18"/>
          <w:szCs w:val="18"/>
        </w:rPr>
        <w:t>采用拉拔法检测时，膨胀型钢结构防火涂料涂层的粘结强度不应低于</w:t>
      </w:r>
      <w:r>
        <w:rPr>
          <w:rFonts w:ascii="黑体" w:hAnsi="黑体" w:eastAsia="黑体"/>
          <w:sz w:val="18"/>
          <w:szCs w:val="18"/>
        </w:rPr>
        <w:t>0.15MPa</w:t>
      </w:r>
      <w:r>
        <w:rPr>
          <w:rFonts w:hint="eastAsia" w:ascii="黑体" w:hAnsi="黑体" w:eastAsia="黑体"/>
          <w:sz w:val="18"/>
          <w:szCs w:val="18"/>
        </w:rPr>
        <w:t>，非膨胀型钢结构防火涂料涂层的粘结强度不应低于</w:t>
      </w:r>
      <w:r>
        <w:rPr>
          <w:rFonts w:ascii="黑体" w:hAnsi="黑体" w:eastAsia="黑体"/>
          <w:sz w:val="18"/>
          <w:szCs w:val="18"/>
        </w:rPr>
        <w:t>0.04MPa</w:t>
      </w:r>
      <w:r>
        <w:rPr>
          <w:rFonts w:hint="eastAsia" w:ascii="黑体" w:hAnsi="黑体" w:eastAsia="黑体"/>
          <w:sz w:val="18"/>
          <w:szCs w:val="18"/>
        </w:rPr>
        <w:t>。</w:t>
      </w:r>
    </w:p>
    <w:p w14:paraId="126D6FD8">
      <w:pPr>
        <w:pStyle w:val="138"/>
        <w:numPr>
          <w:ilvl w:val="0"/>
          <w:numId w:val="210"/>
        </w:numPr>
        <w:adjustRightInd w:val="0"/>
        <w:snapToGrid w:val="0"/>
        <w:ind w:firstLineChars="0"/>
        <w:jc w:val="left"/>
        <w:rPr>
          <w:rFonts w:ascii="黑体" w:hAnsi="黑体" w:eastAsia="黑体"/>
          <w:sz w:val="18"/>
          <w:szCs w:val="18"/>
        </w:rPr>
      </w:pPr>
      <w:r>
        <w:rPr>
          <w:rFonts w:hint="eastAsia" w:ascii="黑体" w:hAnsi="黑体" w:eastAsia="黑体"/>
          <w:sz w:val="18"/>
          <w:szCs w:val="18"/>
        </w:rPr>
        <w:t>粘结强度低于相应要求的区域，钢结构防火涂层应进行清除并做修缮处理</w:t>
      </w:r>
    </w:p>
    <w:p w14:paraId="05654471">
      <w:pPr>
        <w:pStyle w:val="138"/>
        <w:numPr>
          <w:ilvl w:val="0"/>
          <w:numId w:val="210"/>
        </w:numPr>
        <w:adjustRightInd w:val="0"/>
        <w:snapToGrid w:val="0"/>
        <w:ind w:firstLineChars="0"/>
        <w:jc w:val="left"/>
        <w:rPr>
          <w:rFonts w:ascii="黑体" w:hAnsi="黑体" w:eastAsia="黑体"/>
          <w:sz w:val="18"/>
          <w:szCs w:val="18"/>
        </w:rPr>
        <w:sectPr>
          <w:pgSz w:w="11906" w:h="16838"/>
          <w:pgMar w:top="1440" w:right="1800" w:bottom="1440" w:left="1800" w:header="851" w:footer="992" w:gutter="0"/>
          <w:pgNumType w:fmt="decimal"/>
          <w:cols w:space="425" w:num="1"/>
          <w:docGrid w:type="lines" w:linePitch="312" w:charSpace="0"/>
        </w:sectPr>
      </w:pPr>
    </w:p>
    <w:p w14:paraId="2B1A63EF">
      <w:pPr>
        <w:spacing w:line="240" w:lineRule="auto"/>
        <w:rPr>
          <w:rFonts w:ascii="黑体" w:hAnsi="黑体" w:cs="Arial"/>
          <w:szCs w:val="18"/>
        </w:rPr>
      </w:pPr>
    </w:p>
    <w:sectPr>
      <w:footerReference r:id="rId12" w:type="default"/>
      <w:pgSz w:w="11906" w:h="16838"/>
      <w:pgMar w:top="709" w:right="1133" w:bottom="720" w:left="1134" w:header="794" w:footer="49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Dutch801 Rm BT">
    <w:panose1 w:val="02020603060505020304"/>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IDFont+F4">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IDFont+F3">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E37D2">
    <w:pPr>
      <w:pStyle w:val="2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A7D34">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5D1A7D34">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D3D80">
    <w:pPr>
      <w:pStyle w:val="2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B4094">
                          <w:pPr>
                            <w:pStyle w:val="2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2D3B4094">
                    <w:pPr>
                      <w:pStyle w:val="2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53F96">
    <w:pPr>
      <w:pStyle w:val="2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8D72D">
                          <w:pPr>
                            <w:pStyle w:val="2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B78D72D">
                    <w:pPr>
                      <w:pStyle w:val="2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F786A">
    <w:pPr>
      <w:pStyle w:val="2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68AAA">
                          <w:pPr>
                            <w:pStyle w:val="2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AF68AAA">
                    <w:pPr>
                      <w:pStyle w:val="2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5FED">
    <w:pPr>
      <w:pStyle w:val="2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541D18">
                          <w:pPr>
                            <w:pStyle w:val="2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3541D18">
                    <w:pPr>
                      <w:pStyle w:val="2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9A3EE">
    <w:pPr>
      <w:pStyle w:val="2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E3C4A">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11E3C4A">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2713C">
    <w:pPr>
      <w:pStyle w:val="2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90728">
                          <w:pPr>
                            <w:pStyle w:val="2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8390728">
                    <w:pPr>
                      <w:pStyle w:val="2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3A1E1">
    <w:pPr>
      <w:pStyle w:val="2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BA777">
                          <w:pPr>
                            <w:pStyle w:val="2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EFBA777">
                    <w:pPr>
                      <w:pStyle w:val="2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43E16">
    <w:pPr>
      <w:pStyle w:val="23"/>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1BD6E">
                          <w:pPr>
                            <w:pStyle w:val="23"/>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6F81BD6E">
                    <w:pPr>
                      <w:pStyle w:val="23"/>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E2EB6">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bullet"/>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403"/>
    <w:multiLevelType w:val="multilevel"/>
    <w:tmpl w:val="00000403"/>
    <w:lvl w:ilvl="0" w:tentative="0">
      <w:start w:val="1"/>
      <w:numFmt w:val="decimal"/>
      <w:lvlText w:val="%1）"/>
      <w:lvlJc w:val="left"/>
      <w:pPr>
        <w:ind w:left="105" w:hanging="380"/>
      </w:pPr>
      <w:rPr>
        <w:rFonts w:ascii="宋体" w:eastAsia="宋体" w:cs="宋体"/>
        <w:b w:val="0"/>
        <w:bCs w:val="0"/>
        <w:spacing w:val="0"/>
        <w:w w:val="101"/>
        <w:sz w:val="18"/>
        <w:szCs w:val="18"/>
      </w:rPr>
    </w:lvl>
    <w:lvl w:ilvl="1" w:tentative="0">
      <w:start w:val="0"/>
      <w:numFmt w:val="bullet"/>
      <w:lvlText w:val="•"/>
      <w:lvlJc w:val="left"/>
      <w:pPr>
        <w:ind w:left="613" w:hanging="380"/>
      </w:pPr>
    </w:lvl>
    <w:lvl w:ilvl="2" w:tentative="0">
      <w:start w:val="0"/>
      <w:numFmt w:val="bullet"/>
      <w:lvlText w:val="•"/>
      <w:lvlJc w:val="left"/>
      <w:pPr>
        <w:ind w:left="1127" w:hanging="380"/>
      </w:pPr>
    </w:lvl>
    <w:lvl w:ilvl="3" w:tentative="0">
      <w:start w:val="0"/>
      <w:numFmt w:val="bullet"/>
      <w:lvlText w:val="•"/>
      <w:lvlJc w:val="left"/>
      <w:pPr>
        <w:ind w:left="1641" w:hanging="380"/>
      </w:pPr>
    </w:lvl>
    <w:lvl w:ilvl="4" w:tentative="0">
      <w:start w:val="0"/>
      <w:numFmt w:val="bullet"/>
      <w:lvlText w:val="•"/>
      <w:lvlJc w:val="left"/>
      <w:pPr>
        <w:ind w:left="2155" w:hanging="380"/>
      </w:pPr>
    </w:lvl>
    <w:lvl w:ilvl="5" w:tentative="0">
      <w:start w:val="0"/>
      <w:numFmt w:val="bullet"/>
      <w:lvlText w:val="•"/>
      <w:lvlJc w:val="left"/>
      <w:pPr>
        <w:ind w:left="2669" w:hanging="380"/>
      </w:pPr>
    </w:lvl>
    <w:lvl w:ilvl="6" w:tentative="0">
      <w:start w:val="0"/>
      <w:numFmt w:val="bullet"/>
      <w:lvlText w:val="•"/>
      <w:lvlJc w:val="left"/>
      <w:pPr>
        <w:ind w:left="3182" w:hanging="380"/>
      </w:pPr>
    </w:lvl>
    <w:lvl w:ilvl="7" w:tentative="0">
      <w:start w:val="0"/>
      <w:numFmt w:val="bullet"/>
      <w:lvlText w:val="•"/>
      <w:lvlJc w:val="left"/>
      <w:pPr>
        <w:ind w:left="3696" w:hanging="380"/>
      </w:pPr>
    </w:lvl>
    <w:lvl w:ilvl="8" w:tentative="0">
      <w:start w:val="0"/>
      <w:numFmt w:val="bullet"/>
      <w:lvlText w:val="•"/>
      <w:lvlJc w:val="left"/>
      <w:pPr>
        <w:ind w:left="4210" w:hanging="380"/>
      </w:pPr>
    </w:lvl>
  </w:abstractNum>
  <w:abstractNum w:abstractNumId="2">
    <w:nsid w:val="00000404"/>
    <w:multiLevelType w:val="multilevel"/>
    <w:tmpl w:val="00000404"/>
    <w:lvl w:ilvl="0" w:tentative="0">
      <w:start w:val="1"/>
      <w:numFmt w:val="decimal"/>
      <w:lvlText w:val="%1）"/>
      <w:lvlJc w:val="left"/>
      <w:pPr>
        <w:ind w:left="381" w:hanging="276"/>
      </w:pPr>
      <w:rPr>
        <w:rFonts w:ascii="Calibri" w:hAnsi="Calibri" w:cs="Calibri"/>
        <w:b w:val="0"/>
        <w:bCs w:val="0"/>
        <w:w w:val="101"/>
        <w:sz w:val="16"/>
        <w:szCs w:val="16"/>
      </w:rPr>
    </w:lvl>
    <w:lvl w:ilvl="1" w:tentative="0">
      <w:start w:val="0"/>
      <w:numFmt w:val="bullet"/>
      <w:lvlText w:val="•"/>
      <w:lvlJc w:val="left"/>
      <w:pPr>
        <w:ind w:left="851" w:hanging="276"/>
      </w:pPr>
    </w:lvl>
    <w:lvl w:ilvl="2" w:tentative="0">
      <w:start w:val="0"/>
      <w:numFmt w:val="bullet"/>
      <w:lvlText w:val="•"/>
      <w:lvlJc w:val="left"/>
      <w:pPr>
        <w:ind w:left="1322" w:hanging="276"/>
      </w:pPr>
    </w:lvl>
    <w:lvl w:ilvl="3" w:tentative="0">
      <w:start w:val="0"/>
      <w:numFmt w:val="bullet"/>
      <w:lvlText w:val="•"/>
      <w:lvlJc w:val="left"/>
      <w:pPr>
        <w:ind w:left="1794" w:hanging="276"/>
      </w:pPr>
    </w:lvl>
    <w:lvl w:ilvl="4" w:tentative="0">
      <w:start w:val="0"/>
      <w:numFmt w:val="bullet"/>
      <w:lvlText w:val="•"/>
      <w:lvlJc w:val="left"/>
      <w:pPr>
        <w:ind w:left="2265" w:hanging="276"/>
      </w:pPr>
    </w:lvl>
    <w:lvl w:ilvl="5" w:tentative="0">
      <w:start w:val="0"/>
      <w:numFmt w:val="bullet"/>
      <w:lvlText w:val="•"/>
      <w:lvlJc w:val="left"/>
      <w:pPr>
        <w:ind w:left="2737" w:hanging="276"/>
      </w:pPr>
    </w:lvl>
    <w:lvl w:ilvl="6" w:tentative="0">
      <w:start w:val="0"/>
      <w:numFmt w:val="bullet"/>
      <w:lvlText w:val="•"/>
      <w:lvlJc w:val="left"/>
      <w:pPr>
        <w:ind w:left="3208" w:hanging="276"/>
      </w:pPr>
    </w:lvl>
    <w:lvl w:ilvl="7" w:tentative="0">
      <w:start w:val="0"/>
      <w:numFmt w:val="bullet"/>
      <w:lvlText w:val="•"/>
      <w:lvlJc w:val="left"/>
      <w:pPr>
        <w:ind w:left="3679" w:hanging="276"/>
      </w:pPr>
    </w:lvl>
    <w:lvl w:ilvl="8" w:tentative="0">
      <w:start w:val="0"/>
      <w:numFmt w:val="bullet"/>
      <w:lvlText w:val="•"/>
      <w:lvlJc w:val="left"/>
      <w:pPr>
        <w:ind w:left="4151" w:hanging="276"/>
      </w:pPr>
    </w:lvl>
  </w:abstractNum>
  <w:abstractNum w:abstractNumId="3">
    <w:nsid w:val="00000405"/>
    <w:multiLevelType w:val="multilevel"/>
    <w:tmpl w:val="00000405"/>
    <w:lvl w:ilvl="0" w:tentative="0">
      <w:start w:val="3"/>
      <w:numFmt w:val="decimal"/>
      <w:lvlText w:val="%1）"/>
      <w:lvlJc w:val="left"/>
      <w:pPr>
        <w:ind w:left="288" w:hanging="275"/>
      </w:pPr>
      <w:rPr>
        <w:rFonts w:ascii="Calibri" w:hAnsi="Calibri" w:cs="Calibri"/>
        <w:b w:val="0"/>
        <w:bCs w:val="0"/>
        <w:spacing w:val="-2"/>
        <w:w w:val="101"/>
        <w:sz w:val="16"/>
        <w:szCs w:val="16"/>
      </w:rPr>
    </w:lvl>
    <w:lvl w:ilvl="1" w:tentative="0">
      <w:start w:val="0"/>
      <w:numFmt w:val="bullet"/>
      <w:lvlText w:val="•"/>
      <w:lvlJc w:val="left"/>
      <w:pPr>
        <w:ind w:left="761" w:hanging="275"/>
      </w:pPr>
    </w:lvl>
    <w:lvl w:ilvl="2" w:tentative="0">
      <w:start w:val="0"/>
      <w:numFmt w:val="bullet"/>
      <w:lvlText w:val="•"/>
      <w:lvlJc w:val="left"/>
      <w:pPr>
        <w:ind w:left="1242" w:hanging="275"/>
      </w:pPr>
    </w:lvl>
    <w:lvl w:ilvl="3" w:tentative="0">
      <w:start w:val="0"/>
      <w:numFmt w:val="bullet"/>
      <w:lvlText w:val="•"/>
      <w:lvlJc w:val="left"/>
      <w:pPr>
        <w:ind w:left="1724" w:hanging="275"/>
      </w:pPr>
    </w:lvl>
    <w:lvl w:ilvl="4" w:tentative="0">
      <w:start w:val="0"/>
      <w:numFmt w:val="bullet"/>
      <w:lvlText w:val="•"/>
      <w:lvlJc w:val="left"/>
      <w:pPr>
        <w:ind w:left="2205" w:hanging="275"/>
      </w:pPr>
    </w:lvl>
    <w:lvl w:ilvl="5" w:tentative="0">
      <w:start w:val="0"/>
      <w:numFmt w:val="bullet"/>
      <w:lvlText w:val="•"/>
      <w:lvlJc w:val="left"/>
      <w:pPr>
        <w:ind w:left="2687" w:hanging="275"/>
      </w:pPr>
    </w:lvl>
    <w:lvl w:ilvl="6" w:tentative="0">
      <w:start w:val="0"/>
      <w:numFmt w:val="bullet"/>
      <w:lvlText w:val="•"/>
      <w:lvlJc w:val="left"/>
      <w:pPr>
        <w:ind w:left="3168" w:hanging="275"/>
      </w:pPr>
    </w:lvl>
    <w:lvl w:ilvl="7" w:tentative="0">
      <w:start w:val="0"/>
      <w:numFmt w:val="bullet"/>
      <w:lvlText w:val="•"/>
      <w:lvlJc w:val="left"/>
      <w:pPr>
        <w:ind w:left="3649" w:hanging="275"/>
      </w:pPr>
    </w:lvl>
    <w:lvl w:ilvl="8" w:tentative="0">
      <w:start w:val="0"/>
      <w:numFmt w:val="bullet"/>
      <w:lvlText w:val="•"/>
      <w:lvlJc w:val="left"/>
      <w:pPr>
        <w:ind w:left="4131" w:hanging="275"/>
      </w:pPr>
    </w:lvl>
  </w:abstractNum>
  <w:abstractNum w:abstractNumId="4">
    <w:nsid w:val="00000406"/>
    <w:multiLevelType w:val="multilevel"/>
    <w:tmpl w:val="00000406"/>
    <w:lvl w:ilvl="0" w:tentative="0">
      <w:start w:val="1"/>
      <w:numFmt w:val="decimal"/>
      <w:lvlText w:val="%1）"/>
      <w:lvlJc w:val="left"/>
      <w:pPr>
        <w:ind w:left="105" w:hanging="283"/>
      </w:pPr>
      <w:rPr>
        <w:rFonts w:ascii="Calibri" w:hAnsi="Calibri" w:cs="Calibri"/>
        <w:b w:val="0"/>
        <w:bCs w:val="0"/>
        <w:spacing w:val="3"/>
        <w:w w:val="101"/>
        <w:sz w:val="16"/>
        <w:szCs w:val="16"/>
      </w:rPr>
    </w:lvl>
    <w:lvl w:ilvl="1" w:tentative="0">
      <w:start w:val="0"/>
      <w:numFmt w:val="bullet"/>
      <w:lvlText w:val="•"/>
      <w:lvlJc w:val="left"/>
      <w:pPr>
        <w:ind w:left="599" w:hanging="283"/>
      </w:pPr>
    </w:lvl>
    <w:lvl w:ilvl="2" w:tentative="0">
      <w:start w:val="0"/>
      <w:numFmt w:val="bullet"/>
      <w:lvlText w:val="•"/>
      <w:lvlJc w:val="left"/>
      <w:pPr>
        <w:ind w:left="1098" w:hanging="283"/>
      </w:pPr>
    </w:lvl>
    <w:lvl w:ilvl="3" w:tentative="0">
      <w:start w:val="0"/>
      <w:numFmt w:val="bullet"/>
      <w:lvlText w:val="•"/>
      <w:lvlJc w:val="left"/>
      <w:pPr>
        <w:ind w:left="1598" w:hanging="283"/>
      </w:pPr>
    </w:lvl>
    <w:lvl w:ilvl="4" w:tentative="0">
      <w:start w:val="0"/>
      <w:numFmt w:val="bullet"/>
      <w:lvlText w:val="•"/>
      <w:lvlJc w:val="left"/>
      <w:pPr>
        <w:ind w:left="2097" w:hanging="283"/>
      </w:pPr>
    </w:lvl>
    <w:lvl w:ilvl="5" w:tentative="0">
      <w:start w:val="0"/>
      <w:numFmt w:val="bullet"/>
      <w:lvlText w:val="•"/>
      <w:lvlJc w:val="left"/>
      <w:pPr>
        <w:ind w:left="2597" w:hanging="283"/>
      </w:pPr>
    </w:lvl>
    <w:lvl w:ilvl="6" w:tentative="0">
      <w:start w:val="0"/>
      <w:numFmt w:val="bullet"/>
      <w:lvlText w:val="•"/>
      <w:lvlJc w:val="left"/>
      <w:pPr>
        <w:ind w:left="3096" w:hanging="283"/>
      </w:pPr>
    </w:lvl>
    <w:lvl w:ilvl="7" w:tentative="0">
      <w:start w:val="0"/>
      <w:numFmt w:val="bullet"/>
      <w:lvlText w:val="•"/>
      <w:lvlJc w:val="left"/>
      <w:pPr>
        <w:ind w:left="3595" w:hanging="283"/>
      </w:pPr>
    </w:lvl>
    <w:lvl w:ilvl="8" w:tentative="0">
      <w:start w:val="0"/>
      <w:numFmt w:val="bullet"/>
      <w:lvlText w:val="•"/>
      <w:lvlJc w:val="left"/>
      <w:pPr>
        <w:ind w:left="4095" w:hanging="283"/>
      </w:pPr>
    </w:lvl>
  </w:abstractNum>
  <w:abstractNum w:abstractNumId="5">
    <w:nsid w:val="00000407"/>
    <w:multiLevelType w:val="multilevel"/>
    <w:tmpl w:val="00000407"/>
    <w:lvl w:ilvl="0" w:tentative="0">
      <w:start w:val="1"/>
      <w:numFmt w:val="decimal"/>
      <w:lvlText w:val="%1）"/>
      <w:lvlJc w:val="left"/>
      <w:pPr>
        <w:ind w:left="380" w:hanging="275"/>
      </w:pPr>
      <w:rPr>
        <w:rFonts w:ascii="Calibri" w:hAnsi="Calibri" w:cs="Calibri"/>
        <w:b w:val="0"/>
        <w:bCs w:val="0"/>
        <w:spacing w:val="-2"/>
        <w:w w:val="101"/>
        <w:sz w:val="16"/>
        <w:szCs w:val="16"/>
      </w:rPr>
    </w:lvl>
    <w:lvl w:ilvl="1" w:tentative="0">
      <w:start w:val="0"/>
      <w:numFmt w:val="bullet"/>
      <w:lvlText w:val="•"/>
      <w:lvlJc w:val="left"/>
      <w:pPr>
        <w:ind w:left="851" w:hanging="275"/>
      </w:pPr>
    </w:lvl>
    <w:lvl w:ilvl="2" w:tentative="0">
      <w:start w:val="0"/>
      <w:numFmt w:val="bullet"/>
      <w:lvlText w:val="•"/>
      <w:lvlJc w:val="left"/>
      <w:pPr>
        <w:ind w:left="1322" w:hanging="275"/>
      </w:pPr>
    </w:lvl>
    <w:lvl w:ilvl="3" w:tentative="0">
      <w:start w:val="0"/>
      <w:numFmt w:val="bullet"/>
      <w:lvlText w:val="•"/>
      <w:lvlJc w:val="left"/>
      <w:pPr>
        <w:ind w:left="1794" w:hanging="275"/>
      </w:pPr>
    </w:lvl>
    <w:lvl w:ilvl="4" w:tentative="0">
      <w:start w:val="0"/>
      <w:numFmt w:val="bullet"/>
      <w:lvlText w:val="•"/>
      <w:lvlJc w:val="left"/>
      <w:pPr>
        <w:ind w:left="2265" w:hanging="275"/>
      </w:pPr>
    </w:lvl>
    <w:lvl w:ilvl="5" w:tentative="0">
      <w:start w:val="0"/>
      <w:numFmt w:val="bullet"/>
      <w:lvlText w:val="•"/>
      <w:lvlJc w:val="left"/>
      <w:pPr>
        <w:ind w:left="2737" w:hanging="275"/>
      </w:pPr>
    </w:lvl>
    <w:lvl w:ilvl="6" w:tentative="0">
      <w:start w:val="0"/>
      <w:numFmt w:val="bullet"/>
      <w:lvlText w:val="•"/>
      <w:lvlJc w:val="left"/>
      <w:pPr>
        <w:ind w:left="3208" w:hanging="275"/>
      </w:pPr>
    </w:lvl>
    <w:lvl w:ilvl="7" w:tentative="0">
      <w:start w:val="0"/>
      <w:numFmt w:val="bullet"/>
      <w:lvlText w:val="•"/>
      <w:lvlJc w:val="left"/>
      <w:pPr>
        <w:ind w:left="3679" w:hanging="275"/>
      </w:pPr>
    </w:lvl>
    <w:lvl w:ilvl="8" w:tentative="0">
      <w:start w:val="0"/>
      <w:numFmt w:val="bullet"/>
      <w:lvlText w:val="•"/>
      <w:lvlJc w:val="left"/>
      <w:pPr>
        <w:ind w:left="4151" w:hanging="275"/>
      </w:pPr>
    </w:lvl>
  </w:abstractNum>
  <w:abstractNum w:abstractNumId="6">
    <w:nsid w:val="00000408"/>
    <w:multiLevelType w:val="multilevel"/>
    <w:tmpl w:val="00000408"/>
    <w:lvl w:ilvl="0" w:tentative="0">
      <w:start w:val="1"/>
      <w:numFmt w:val="decimal"/>
      <w:lvlText w:val="%1）"/>
      <w:lvlJc w:val="left"/>
      <w:pPr>
        <w:ind w:left="465" w:hanging="360"/>
      </w:pPr>
      <w:rPr>
        <w:rFonts w:ascii="Calibri" w:hAnsi="Calibri" w:cs="Calibri"/>
        <w:b w:val="0"/>
        <w:bCs w:val="0"/>
        <w:spacing w:val="-2"/>
        <w:w w:val="101"/>
        <w:sz w:val="18"/>
        <w:szCs w:val="18"/>
      </w:rPr>
    </w:lvl>
    <w:lvl w:ilvl="1" w:tentative="0">
      <w:start w:val="0"/>
      <w:numFmt w:val="bullet"/>
      <w:lvlText w:val="•"/>
      <w:lvlJc w:val="left"/>
      <w:pPr>
        <w:ind w:left="923" w:hanging="360"/>
      </w:pPr>
    </w:lvl>
    <w:lvl w:ilvl="2" w:tentative="0">
      <w:start w:val="0"/>
      <w:numFmt w:val="bullet"/>
      <w:lvlText w:val="•"/>
      <w:lvlJc w:val="left"/>
      <w:pPr>
        <w:ind w:left="1386" w:hanging="360"/>
      </w:pPr>
    </w:lvl>
    <w:lvl w:ilvl="3" w:tentative="0">
      <w:start w:val="0"/>
      <w:numFmt w:val="bullet"/>
      <w:lvlText w:val="•"/>
      <w:lvlJc w:val="left"/>
      <w:pPr>
        <w:ind w:left="1850" w:hanging="360"/>
      </w:pPr>
    </w:lvl>
    <w:lvl w:ilvl="4" w:tentative="0">
      <w:start w:val="0"/>
      <w:numFmt w:val="bullet"/>
      <w:lvlText w:val="•"/>
      <w:lvlJc w:val="left"/>
      <w:pPr>
        <w:ind w:left="2313" w:hanging="360"/>
      </w:pPr>
    </w:lvl>
    <w:lvl w:ilvl="5" w:tentative="0">
      <w:start w:val="0"/>
      <w:numFmt w:val="bullet"/>
      <w:lvlText w:val="•"/>
      <w:lvlJc w:val="left"/>
      <w:pPr>
        <w:ind w:left="2777" w:hanging="360"/>
      </w:pPr>
    </w:lvl>
    <w:lvl w:ilvl="6" w:tentative="0">
      <w:start w:val="0"/>
      <w:numFmt w:val="bullet"/>
      <w:lvlText w:val="•"/>
      <w:lvlJc w:val="left"/>
      <w:pPr>
        <w:ind w:left="3240" w:hanging="360"/>
      </w:pPr>
    </w:lvl>
    <w:lvl w:ilvl="7" w:tentative="0">
      <w:start w:val="0"/>
      <w:numFmt w:val="bullet"/>
      <w:lvlText w:val="•"/>
      <w:lvlJc w:val="left"/>
      <w:pPr>
        <w:ind w:left="3703" w:hanging="360"/>
      </w:pPr>
    </w:lvl>
    <w:lvl w:ilvl="8" w:tentative="0">
      <w:start w:val="0"/>
      <w:numFmt w:val="bullet"/>
      <w:lvlText w:val="•"/>
      <w:lvlJc w:val="left"/>
      <w:pPr>
        <w:ind w:left="4167" w:hanging="360"/>
      </w:pPr>
    </w:lvl>
  </w:abstractNum>
  <w:abstractNum w:abstractNumId="7">
    <w:nsid w:val="00000409"/>
    <w:multiLevelType w:val="multilevel"/>
    <w:tmpl w:val="00000409"/>
    <w:lvl w:ilvl="0" w:tentative="0">
      <w:start w:val="4"/>
      <w:numFmt w:val="decimal"/>
      <w:lvlText w:val="%1）"/>
      <w:lvlJc w:val="left"/>
      <w:pPr>
        <w:ind w:left="465" w:hanging="360"/>
      </w:pPr>
      <w:rPr>
        <w:rFonts w:ascii="Calibri" w:hAnsi="Calibri" w:cs="Calibri"/>
        <w:b w:val="0"/>
        <w:bCs w:val="0"/>
        <w:spacing w:val="-2"/>
        <w:w w:val="101"/>
        <w:sz w:val="18"/>
        <w:szCs w:val="18"/>
      </w:rPr>
    </w:lvl>
    <w:lvl w:ilvl="1" w:tentative="0">
      <w:start w:val="0"/>
      <w:numFmt w:val="bullet"/>
      <w:lvlText w:val="•"/>
      <w:lvlJc w:val="left"/>
      <w:pPr>
        <w:ind w:left="923" w:hanging="360"/>
      </w:pPr>
    </w:lvl>
    <w:lvl w:ilvl="2" w:tentative="0">
      <w:start w:val="0"/>
      <w:numFmt w:val="bullet"/>
      <w:lvlText w:val="•"/>
      <w:lvlJc w:val="left"/>
      <w:pPr>
        <w:ind w:left="1386" w:hanging="360"/>
      </w:pPr>
    </w:lvl>
    <w:lvl w:ilvl="3" w:tentative="0">
      <w:start w:val="0"/>
      <w:numFmt w:val="bullet"/>
      <w:lvlText w:val="•"/>
      <w:lvlJc w:val="left"/>
      <w:pPr>
        <w:ind w:left="1850" w:hanging="360"/>
      </w:pPr>
    </w:lvl>
    <w:lvl w:ilvl="4" w:tentative="0">
      <w:start w:val="0"/>
      <w:numFmt w:val="bullet"/>
      <w:lvlText w:val="•"/>
      <w:lvlJc w:val="left"/>
      <w:pPr>
        <w:ind w:left="2313" w:hanging="360"/>
      </w:pPr>
    </w:lvl>
    <w:lvl w:ilvl="5" w:tentative="0">
      <w:start w:val="0"/>
      <w:numFmt w:val="bullet"/>
      <w:lvlText w:val="•"/>
      <w:lvlJc w:val="left"/>
      <w:pPr>
        <w:ind w:left="2777" w:hanging="360"/>
      </w:pPr>
    </w:lvl>
    <w:lvl w:ilvl="6" w:tentative="0">
      <w:start w:val="0"/>
      <w:numFmt w:val="bullet"/>
      <w:lvlText w:val="•"/>
      <w:lvlJc w:val="left"/>
      <w:pPr>
        <w:ind w:left="3240" w:hanging="360"/>
      </w:pPr>
    </w:lvl>
    <w:lvl w:ilvl="7" w:tentative="0">
      <w:start w:val="0"/>
      <w:numFmt w:val="bullet"/>
      <w:lvlText w:val="•"/>
      <w:lvlJc w:val="left"/>
      <w:pPr>
        <w:ind w:left="3703" w:hanging="360"/>
      </w:pPr>
    </w:lvl>
    <w:lvl w:ilvl="8" w:tentative="0">
      <w:start w:val="0"/>
      <w:numFmt w:val="bullet"/>
      <w:lvlText w:val="•"/>
      <w:lvlJc w:val="left"/>
      <w:pPr>
        <w:ind w:left="4167" w:hanging="360"/>
      </w:pPr>
    </w:lvl>
  </w:abstractNum>
  <w:abstractNum w:abstractNumId="8">
    <w:nsid w:val="0000040A"/>
    <w:multiLevelType w:val="multilevel"/>
    <w:tmpl w:val="0000040A"/>
    <w:lvl w:ilvl="0" w:tentative="0">
      <w:start w:val="1"/>
      <w:numFmt w:val="decimal"/>
      <w:lvlText w:val="%1）"/>
      <w:lvlJc w:val="left"/>
      <w:pPr>
        <w:ind w:left="105" w:hanging="276"/>
      </w:pPr>
      <w:rPr>
        <w:rFonts w:ascii="Calibri" w:hAnsi="Calibri" w:cs="Calibri"/>
        <w:b w:val="0"/>
        <w:bCs w:val="0"/>
        <w:spacing w:val="-17"/>
        <w:w w:val="100"/>
        <w:sz w:val="16"/>
        <w:szCs w:val="16"/>
      </w:rPr>
    </w:lvl>
    <w:lvl w:ilvl="1" w:tentative="0">
      <w:start w:val="0"/>
      <w:numFmt w:val="bullet"/>
      <w:lvlText w:val="•"/>
      <w:lvlJc w:val="left"/>
      <w:pPr>
        <w:ind w:left="599" w:hanging="276"/>
      </w:pPr>
    </w:lvl>
    <w:lvl w:ilvl="2" w:tentative="0">
      <w:start w:val="0"/>
      <w:numFmt w:val="bullet"/>
      <w:lvlText w:val="•"/>
      <w:lvlJc w:val="left"/>
      <w:pPr>
        <w:ind w:left="1098" w:hanging="276"/>
      </w:pPr>
    </w:lvl>
    <w:lvl w:ilvl="3" w:tentative="0">
      <w:start w:val="0"/>
      <w:numFmt w:val="bullet"/>
      <w:lvlText w:val="•"/>
      <w:lvlJc w:val="left"/>
      <w:pPr>
        <w:ind w:left="1598" w:hanging="276"/>
      </w:pPr>
    </w:lvl>
    <w:lvl w:ilvl="4" w:tentative="0">
      <w:start w:val="0"/>
      <w:numFmt w:val="bullet"/>
      <w:lvlText w:val="•"/>
      <w:lvlJc w:val="left"/>
      <w:pPr>
        <w:ind w:left="2097" w:hanging="276"/>
      </w:pPr>
    </w:lvl>
    <w:lvl w:ilvl="5" w:tentative="0">
      <w:start w:val="0"/>
      <w:numFmt w:val="bullet"/>
      <w:lvlText w:val="•"/>
      <w:lvlJc w:val="left"/>
      <w:pPr>
        <w:ind w:left="2597" w:hanging="276"/>
      </w:pPr>
    </w:lvl>
    <w:lvl w:ilvl="6" w:tentative="0">
      <w:start w:val="0"/>
      <w:numFmt w:val="bullet"/>
      <w:lvlText w:val="•"/>
      <w:lvlJc w:val="left"/>
      <w:pPr>
        <w:ind w:left="3096" w:hanging="276"/>
      </w:pPr>
    </w:lvl>
    <w:lvl w:ilvl="7" w:tentative="0">
      <w:start w:val="0"/>
      <w:numFmt w:val="bullet"/>
      <w:lvlText w:val="•"/>
      <w:lvlJc w:val="left"/>
      <w:pPr>
        <w:ind w:left="3595" w:hanging="276"/>
      </w:pPr>
    </w:lvl>
    <w:lvl w:ilvl="8" w:tentative="0">
      <w:start w:val="0"/>
      <w:numFmt w:val="bullet"/>
      <w:lvlText w:val="•"/>
      <w:lvlJc w:val="left"/>
      <w:pPr>
        <w:ind w:left="4095" w:hanging="276"/>
      </w:pPr>
    </w:lvl>
  </w:abstractNum>
  <w:abstractNum w:abstractNumId="9">
    <w:nsid w:val="0000040B"/>
    <w:multiLevelType w:val="multilevel"/>
    <w:tmpl w:val="0000040B"/>
    <w:lvl w:ilvl="0" w:tentative="0">
      <w:start w:val="1"/>
      <w:numFmt w:val="decimal"/>
      <w:lvlText w:val="%1）"/>
      <w:lvlJc w:val="left"/>
      <w:pPr>
        <w:ind w:left="381" w:hanging="276"/>
      </w:pPr>
      <w:rPr>
        <w:rFonts w:ascii="Calibri" w:hAnsi="Calibri" w:cs="Calibri"/>
        <w:b w:val="0"/>
        <w:bCs w:val="0"/>
        <w:w w:val="101"/>
        <w:sz w:val="16"/>
        <w:szCs w:val="16"/>
      </w:rPr>
    </w:lvl>
    <w:lvl w:ilvl="1" w:tentative="0">
      <w:start w:val="0"/>
      <w:numFmt w:val="bullet"/>
      <w:lvlText w:val="•"/>
      <w:lvlJc w:val="left"/>
      <w:pPr>
        <w:ind w:left="837" w:hanging="276"/>
      </w:pPr>
    </w:lvl>
    <w:lvl w:ilvl="2" w:tentative="0">
      <w:start w:val="0"/>
      <w:numFmt w:val="bullet"/>
      <w:lvlText w:val="•"/>
      <w:lvlJc w:val="left"/>
      <w:pPr>
        <w:ind w:left="1294" w:hanging="276"/>
      </w:pPr>
    </w:lvl>
    <w:lvl w:ilvl="3" w:tentative="0">
      <w:start w:val="0"/>
      <w:numFmt w:val="bullet"/>
      <w:lvlText w:val="•"/>
      <w:lvlJc w:val="left"/>
      <w:pPr>
        <w:ind w:left="1751" w:hanging="276"/>
      </w:pPr>
    </w:lvl>
    <w:lvl w:ilvl="4" w:tentative="0">
      <w:start w:val="0"/>
      <w:numFmt w:val="bullet"/>
      <w:lvlText w:val="•"/>
      <w:lvlJc w:val="left"/>
      <w:pPr>
        <w:ind w:left="2208" w:hanging="276"/>
      </w:pPr>
    </w:lvl>
    <w:lvl w:ilvl="5" w:tentative="0">
      <w:start w:val="0"/>
      <w:numFmt w:val="bullet"/>
      <w:lvlText w:val="•"/>
      <w:lvlJc w:val="left"/>
      <w:pPr>
        <w:ind w:left="2665" w:hanging="276"/>
      </w:pPr>
    </w:lvl>
    <w:lvl w:ilvl="6" w:tentative="0">
      <w:start w:val="0"/>
      <w:numFmt w:val="bullet"/>
      <w:lvlText w:val="•"/>
      <w:lvlJc w:val="left"/>
      <w:pPr>
        <w:ind w:left="3122" w:hanging="276"/>
      </w:pPr>
    </w:lvl>
    <w:lvl w:ilvl="7" w:tentative="0">
      <w:start w:val="0"/>
      <w:numFmt w:val="bullet"/>
      <w:lvlText w:val="•"/>
      <w:lvlJc w:val="left"/>
      <w:pPr>
        <w:ind w:left="3579" w:hanging="276"/>
      </w:pPr>
    </w:lvl>
    <w:lvl w:ilvl="8" w:tentative="0">
      <w:start w:val="0"/>
      <w:numFmt w:val="bullet"/>
      <w:lvlText w:val="•"/>
      <w:lvlJc w:val="left"/>
      <w:pPr>
        <w:ind w:left="4036" w:hanging="276"/>
      </w:pPr>
    </w:lvl>
  </w:abstractNum>
  <w:abstractNum w:abstractNumId="10">
    <w:nsid w:val="0000040C"/>
    <w:multiLevelType w:val="multilevel"/>
    <w:tmpl w:val="0000040C"/>
    <w:lvl w:ilvl="0" w:tentative="0">
      <w:start w:val="3"/>
      <w:numFmt w:val="decimal"/>
      <w:lvlText w:val="%1）"/>
      <w:lvlJc w:val="left"/>
      <w:pPr>
        <w:ind w:left="288" w:hanging="275"/>
      </w:pPr>
      <w:rPr>
        <w:rFonts w:ascii="Calibri" w:hAnsi="Calibri" w:cs="Calibri"/>
        <w:b w:val="0"/>
        <w:bCs w:val="0"/>
        <w:spacing w:val="-2"/>
        <w:w w:val="101"/>
        <w:sz w:val="16"/>
        <w:szCs w:val="16"/>
      </w:rPr>
    </w:lvl>
    <w:lvl w:ilvl="1" w:tentative="0">
      <w:start w:val="0"/>
      <w:numFmt w:val="bullet"/>
      <w:lvlText w:val="•"/>
      <w:lvlJc w:val="left"/>
      <w:pPr>
        <w:ind w:left="747" w:hanging="275"/>
      </w:pPr>
    </w:lvl>
    <w:lvl w:ilvl="2" w:tentative="0">
      <w:start w:val="0"/>
      <w:numFmt w:val="bullet"/>
      <w:lvlText w:val="•"/>
      <w:lvlJc w:val="left"/>
      <w:pPr>
        <w:ind w:left="1214" w:hanging="275"/>
      </w:pPr>
    </w:lvl>
    <w:lvl w:ilvl="3" w:tentative="0">
      <w:start w:val="0"/>
      <w:numFmt w:val="bullet"/>
      <w:lvlText w:val="•"/>
      <w:lvlJc w:val="left"/>
      <w:pPr>
        <w:ind w:left="1681" w:hanging="275"/>
      </w:pPr>
    </w:lvl>
    <w:lvl w:ilvl="4" w:tentative="0">
      <w:start w:val="0"/>
      <w:numFmt w:val="bullet"/>
      <w:lvlText w:val="•"/>
      <w:lvlJc w:val="left"/>
      <w:pPr>
        <w:ind w:left="2148" w:hanging="275"/>
      </w:pPr>
    </w:lvl>
    <w:lvl w:ilvl="5" w:tentative="0">
      <w:start w:val="0"/>
      <w:numFmt w:val="bullet"/>
      <w:lvlText w:val="•"/>
      <w:lvlJc w:val="left"/>
      <w:pPr>
        <w:ind w:left="2615" w:hanging="275"/>
      </w:pPr>
    </w:lvl>
    <w:lvl w:ilvl="6" w:tentative="0">
      <w:start w:val="0"/>
      <w:numFmt w:val="bullet"/>
      <w:lvlText w:val="•"/>
      <w:lvlJc w:val="left"/>
      <w:pPr>
        <w:ind w:left="3082" w:hanging="275"/>
      </w:pPr>
    </w:lvl>
    <w:lvl w:ilvl="7" w:tentative="0">
      <w:start w:val="0"/>
      <w:numFmt w:val="bullet"/>
      <w:lvlText w:val="•"/>
      <w:lvlJc w:val="left"/>
      <w:pPr>
        <w:ind w:left="3549" w:hanging="275"/>
      </w:pPr>
    </w:lvl>
    <w:lvl w:ilvl="8" w:tentative="0">
      <w:start w:val="0"/>
      <w:numFmt w:val="bullet"/>
      <w:lvlText w:val="•"/>
      <w:lvlJc w:val="left"/>
      <w:pPr>
        <w:ind w:left="4016" w:hanging="275"/>
      </w:pPr>
    </w:lvl>
  </w:abstractNum>
  <w:abstractNum w:abstractNumId="11">
    <w:nsid w:val="0000040D"/>
    <w:multiLevelType w:val="multilevel"/>
    <w:tmpl w:val="0000040D"/>
    <w:lvl w:ilvl="0" w:tentative="0">
      <w:start w:val="1"/>
      <w:numFmt w:val="decimal"/>
      <w:lvlText w:val="%1）"/>
      <w:lvlJc w:val="left"/>
      <w:pPr>
        <w:ind w:left="465" w:hanging="360"/>
      </w:pPr>
      <w:rPr>
        <w:rFonts w:ascii="Calibri" w:hAnsi="Calibri" w:cs="Calibri"/>
        <w:b w:val="0"/>
        <w:bCs w:val="0"/>
        <w:spacing w:val="-2"/>
        <w:w w:val="101"/>
        <w:sz w:val="18"/>
        <w:szCs w:val="18"/>
      </w:rPr>
    </w:lvl>
    <w:lvl w:ilvl="1" w:tentative="0">
      <w:start w:val="0"/>
      <w:numFmt w:val="bullet"/>
      <w:lvlText w:val="•"/>
      <w:lvlJc w:val="left"/>
      <w:pPr>
        <w:ind w:left="909" w:hanging="360"/>
      </w:pPr>
    </w:lvl>
    <w:lvl w:ilvl="2" w:tentative="0">
      <w:start w:val="0"/>
      <w:numFmt w:val="bullet"/>
      <w:lvlText w:val="•"/>
      <w:lvlJc w:val="left"/>
      <w:pPr>
        <w:ind w:left="1358" w:hanging="360"/>
      </w:pPr>
    </w:lvl>
    <w:lvl w:ilvl="3" w:tentative="0">
      <w:start w:val="0"/>
      <w:numFmt w:val="bullet"/>
      <w:lvlText w:val="•"/>
      <w:lvlJc w:val="left"/>
      <w:pPr>
        <w:ind w:left="1807" w:hanging="360"/>
      </w:pPr>
    </w:lvl>
    <w:lvl w:ilvl="4" w:tentative="0">
      <w:start w:val="0"/>
      <w:numFmt w:val="bullet"/>
      <w:lvlText w:val="•"/>
      <w:lvlJc w:val="left"/>
      <w:pPr>
        <w:ind w:left="2256" w:hanging="360"/>
      </w:pPr>
    </w:lvl>
    <w:lvl w:ilvl="5" w:tentative="0">
      <w:start w:val="0"/>
      <w:numFmt w:val="bullet"/>
      <w:lvlText w:val="•"/>
      <w:lvlJc w:val="left"/>
      <w:pPr>
        <w:ind w:left="2705" w:hanging="360"/>
      </w:pPr>
    </w:lvl>
    <w:lvl w:ilvl="6" w:tentative="0">
      <w:start w:val="0"/>
      <w:numFmt w:val="bullet"/>
      <w:lvlText w:val="•"/>
      <w:lvlJc w:val="left"/>
      <w:pPr>
        <w:ind w:left="3154" w:hanging="360"/>
      </w:pPr>
    </w:lvl>
    <w:lvl w:ilvl="7" w:tentative="0">
      <w:start w:val="0"/>
      <w:numFmt w:val="bullet"/>
      <w:lvlText w:val="•"/>
      <w:lvlJc w:val="left"/>
      <w:pPr>
        <w:ind w:left="3603" w:hanging="360"/>
      </w:pPr>
    </w:lvl>
    <w:lvl w:ilvl="8" w:tentative="0">
      <w:start w:val="0"/>
      <w:numFmt w:val="bullet"/>
      <w:lvlText w:val="•"/>
      <w:lvlJc w:val="left"/>
      <w:pPr>
        <w:ind w:left="4052" w:hanging="360"/>
      </w:pPr>
    </w:lvl>
  </w:abstractNum>
  <w:abstractNum w:abstractNumId="12">
    <w:nsid w:val="0000040E"/>
    <w:multiLevelType w:val="multilevel"/>
    <w:tmpl w:val="0000040E"/>
    <w:lvl w:ilvl="0" w:tentative="0">
      <w:start w:val="1"/>
      <w:numFmt w:val="decimal"/>
      <w:lvlText w:val="%1）"/>
      <w:lvlJc w:val="left"/>
      <w:pPr>
        <w:ind w:left="465" w:hanging="360"/>
      </w:pPr>
      <w:rPr>
        <w:rFonts w:ascii="Calibri" w:hAnsi="Calibri" w:cs="Calibri"/>
        <w:b w:val="0"/>
        <w:bCs w:val="0"/>
        <w:spacing w:val="-2"/>
        <w:w w:val="101"/>
        <w:sz w:val="18"/>
        <w:szCs w:val="18"/>
      </w:rPr>
    </w:lvl>
    <w:lvl w:ilvl="1" w:tentative="0">
      <w:start w:val="0"/>
      <w:numFmt w:val="bullet"/>
      <w:lvlText w:val="•"/>
      <w:lvlJc w:val="left"/>
      <w:pPr>
        <w:ind w:left="909" w:hanging="360"/>
      </w:pPr>
    </w:lvl>
    <w:lvl w:ilvl="2" w:tentative="0">
      <w:start w:val="0"/>
      <w:numFmt w:val="bullet"/>
      <w:lvlText w:val="•"/>
      <w:lvlJc w:val="left"/>
      <w:pPr>
        <w:ind w:left="1358" w:hanging="360"/>
      </w:pPr>
    </w:lvl>
    <w:lvl w:ilvl="3" w:tentative="0">
      <w:start w:val="0"/>
      <w:numFmt w:val="bullet"/>
      <w:lvlText w:val="•"/>
      <w:lvlJc w:val="left"/>
      <w:pPr>
        <w:ind w:left="1807" w:hanging="360"/>
      </w:pPr>
    </w:lvl>
    <w:lvl w:ilvl="4" w:tentative="0">
      <w:start w:val="0"/>
      <w:numFmt w:val="bullet"/>
      <w:lvlText w:val="•"/>
      <w:lvlJc w:val="left"/>
      <w:pPr>
        <w:ind w:left="2256" w:hanging="360"/>
      </w:pPr>
    </w:lvl>
    <w:lvl w:ilvl="5" w:tentative="0">
      <w:start w:val="0"/>
      <w:numFmt w:val="bullet"/>
      <w:lvlText w:val="•"/>
      <w:lvlJc w:val="left"/>
      <w:pPr>
        <w:ind w:left="2705" w:hanging="360"/>
      </w:pPr>
    </w:lvl>
    <w:lvl w:ilvl="6" w:tentative="0">
      <w:start w:val="0"/>
      <w:numFmt w:val="bullet"/>
      <w:lvlText w:val="•"/>
      <w:lvlJc w:val="left"/>
      <w:pPr>
        <w:ind w:left="3154" w:hanging="360"/>
      </w:pPr>
    </w:lvl>
    <w:lvl w:ilvl="7" w:tentative="0">
      <w:start w:val="0"/>
      <w:numFmt w:val="bullet"/>
      <w:lvlText w:val="•"/>
      <w:lvlJc w:val="left"/>
      <w:pPr>
        <w:ind w:left="3603" w:hanging="360"/>
      </w:pPr>
    </w:lvl>
    <w:lvl w:ilvl="8" w:tentative="0">
      <w:start w:val="0"/>
      <w:numFmt w:val="bullet"/>
      <w:lvlText w:val="•"/>
      <w:lvlJc w:val="left"/>
      <w:pPr>
        <w:ind w:left="4052" w:hanging="360"/>
      </w:pPr>
    </w:lvl>
  </w:abstractNum>
  <w:abstractNum w:abstractNumId="13">
    <w:nsid w:val="0000040F"/>
    <w:multiLevelType w:val="multilevel"/>
    <w:tmpl w:val="0000040F"/>
    <w:lvl w:ilvl="0" w:tentative="0">
      <w:start w:val="1"/>
      <w:numFmt w:val="decimal"/>
      <w:lvlText w:val="%1）"/>
      <w:lvlJc w:val="left"/>
      <w:pPr>
        <w:ind w:left="105" w:hanging="283"/>
      </w:pPr>
      <w:rPr>
        <w:rFonts w:ascii="Calibri" w:hAnsi="Calibri" w:cs="Calibri"/>
        <w:b w:val="0"/>
        <w:bCs w:val="0"/>
        <w:spacing w:val="3"/>
        <w:w w:val="101"/>
        <w:sz w:val="16"/>
        <w:szCs w:val="16"/>
      </w:rPr>
    </w:lvl>
    <w:lvl w:ilvl="1" w:tentative="0">
      <w:start w:val="0"/>
      <w:numFmt w:val="bullet"/>
      <w:lvlText w:val="•"/>
      <w:lvlJc w:val="left"/>
      <w:pPr>
        <w:ind w:left="585" w:hanging="283"/>
      </w:pPr>
    </w:lvl>
    <w:lvl w:ilvl="2" w:tentative="0">
      <w:start w:val="0"/>
      <w:numFmt w:val="bullet"/>
      <w:lvlText w:val="•"/>
      <w:lvlJc w:val="left"/>
      <w:pPr>
        <w:ind w:left="1070" w:hanging="283"/>
      </w:pPr>
    </w:lvl>
    <w:lvl w:ilvl="3" w:tentative="0">
      <w:start w:val="0"/>
      <w:numFmt w:val="bullet"/>
      <w:lvlText w:val="•"/>
      <w:lvlJc w:val="left"/>
      <w:pPr>
        <w:ind w:left="1555" w:hanging="283"/>
      </w:pPr>
    </w:lvl>
    <w:lvl w:ilvl="4" w:tentative="0">
      <w:start w:val="0"/>
      <w:numFmt w:val="bullet"/>
      <w:lvlText w:val="•"/>
      <w:lvlJc w:val="left"/>
      <w:pPr>
        <w:ind w:left="2040" w:hanging="283"/>
      </w:pPr>
    </w:lvl>
    <w:lvl w:ilvl="5" w:tentative="0">
      <w:start w:val="0"/>
      <w:numFmt w:val="bullet"/>
      <w:lvlText w:val="•"/>
      <w:lvlJc w:val="left"/>
      <w:pPr>
        <w:ind w:left="2525" w:hanging="283"/>
      </w:pPr>
    </w:lvl>
    <w:lvl w:ilvl="6" w:tentative="0">
      <w:start w:val="0"/>
      <w:numFmt w:val="bullet"/>
      <w:lvlText w:val="•"/>
      <w:lvlJc w:val="left"/>
      <w:pPr>
        <w:ind w:left="3010" w:hanging="283"/>
      </w:pPr>
    </w:lvl>
    <w:lvl w:ilvl="7" w:tentative="0">
      <w:start w:val="0"/>
      <w:numFmt w:val="bullet"/>
      <w:lvlText w:val="•"/>
      <w:lvlJc w:val="left"/>
      <w:pPr>
        <w:ind w:left="3495" w:hanging="283"/>
      </w:pPr>
    </w:lvl>
    <w:lvl w:ilvl="8" w:tentative="0">
      <w:start w:val="0"/>
      <w:numFmt w:val="bullet"/>
      <w:lvlText w:val="•"/>
      <w:lvlJc w:val="left"/>
      <w:pPr>
        <w:ind w:left="3980" w:hanging="283"/>
      </w:pPr>
    </w:lvl>
  </w:abstractNum>
  <w:abstractNum w:abstractNumId="14">
    <w:nsid w:val="00000410"/>
    <w:multiLevelType w:val="multilevel"/>
    <w:tmpl w:val="00000410"/>
    <w:lvl w:ilvl="0" w:tentative="0">
      <w:start w:val="1"/>
      <w:numFmt w:val="decimal"/>
      <w:lvlText w:val="%1)"/>
      <w:lvlJc w:val="left"/>
      <w:pPr>
        <w:ind w:left="533" w:hanging="428"/>
      </w:pPr>
      <w:rPr>
        <w:rFonts w:ascii="Calibri" w:hAnsi="Calibri" w:cs="Calibri"/>
        <w:b w:val="0"/>
        <w:bCs w:val="0"/>
        <w:spacing w:val="-2"/>
        <w:w w:val="101"/>
        <w:sz w:val="18"/>
        <w:szCs w:val="18"/>
      </w:rPr>
    </w:lvl>
    <w:lvl w:ilvl="1" w:tentative="0">
      <w:start w:val="0"/>
      <w:numFmt w:val="bullet"/>
      <w:lvlText w:val="•"/>
      <w:lvlJc w:val="left"/>
      <w:pPr>
        <w:ind w:left="981" w:hanging="428"/>
      </w:pPr>
    </w:lvl>
    <w:lvl w:ilvl="2" w:tentative="0">
      <w:start w:val="0"/>
      <w:numFmt w:val="bullet"/>
      <w:lvlText w:val="•"/>
      <w:lvlJc w:val="left"/>
      <w:pPr>
        <w:ind w:left="1422" w:hanging="428"/>
      </w:pPr>
    </w:lvl>
    <w:lvl w:ilvl="3" w:tentative="0">
      <w:start w:val="0"/>
      <w:numFmt w:val="bullet"/>
      <w:lvlText w:val="•"/>
      <w:lvlJc w:val="left"/>
      <w:pPr>
        <w:ind w:left="1863" w:hanging="428"/>
      </w:pPr>
    </w:lvl>
    <w:lvl w:ilvl="4" w:tentative="0">
      <w:start w:val="0"/>
      <w:numFmt w:val="bullet"/>
      <w:lvlText w:val="•"/>
      <w:lvlJc w:val="left"/>
      <w:pPr>
        <w:ind w:left="2304" w:hanging="428"/>
      </w:pPr>
    </w:lvl>
    <w:lvl w:ilvl="5" w:tentative="0">
      <w:start w:val="0"/>
      <w:numFmt w:val="bullet"/>
      <w:lvlText w:val="•"/>
      <w:lvlJc w:val="left"/>
      <w:pPr>
        <w:ind w:left="2745" w:hanging="428"/>
      </w:pPr>
    </w:lvl>
    <w:lvl w:ilvl="6" w:tentative="0">
      <w:start w:val="0"/>
      <w:numFmt w:val="bullet"/>
      <w:lvlText w:val="•"/>
      <w:lvlJc w:val="left"/>
      <w:pPr>
        <w:ind w:left="3186" w:hanging="428"/>
      </w:pPr>
    </w:lvl>
    <w:lvl w:ilvl="7" w:tentative="0">
      <w:start w:val="0"/>
      <w:numFmt w:val="bullet"/>
      <w:lvlText w:val="•"/>
      <w:lvlJc w:val="left"/>
      <w:pPr>
        <w:ind w:left="3627" w:hanging="428"/>
      </w:pPr>
    </w:lvl>
    <w:lvl w:ilvl="8" w:tentative="0">
      <w:start w:val="0"/>
      <w:numFmt w:val="bullet"/>
      <w:lvlText w:val="•"/>
      <w:lvlJc w:val="left"/>
      <w:pPr>
        <w:ind w:left="4068" w:hanging="428"/>
      </w:pPr>
    </w:lvl>
  </w:abstractNum>
  <w:abstractNum w:abstractNumId="15">
    <w:nsid w:val="00000411"/>
    <w:multiLevelType w:val="multilevel"/>
    <w:tmpl w:val="00000411"/>
    <w:lvl w:ilvl="0" w:tentative="0">
      <w:start w:val="1"/>
      <w:numFmt w:val="decimal"/>
      <w:lvlText w:val="%1)"/>
      <w:lvlJc w:val="left"/>
      <w:pPr>
        <w:ind w:left="533" w:hanging="428"/>
      </w:pPr>
      <w:rPr>
        <w:rFonts w:ascii="Calibri" w:hAnsi="Calibri" w:cs="Calibri"/>
        <w:b w:val="0"/>
        <w:bCs w:val="0"/>
        <w:spacing w:val="-2"/>
        <w:w w:val="101"/>
        <w:sz w:val="18"/>
        <w:szCs w:val="18"/>
      </w:rPr>
    </w:lvl>
    <w:lvl w:ilvl="1" w:tentative="0">
      <w:start w:val="0"/>
      <w:numFmt w:val="bullet"/>
      <w:lvlText w:val="•"/>
      <w:lvlJc w:val="left"/>
      <w:pPr>
        <w:ind w:left="981" w:hanging="428"/>
      </w:pPr>
    </w:lvl>
    <w:lvl w:ilvl="2" w:tentative="0">
      <w:start w:val="0"/>
      <w:numFmt w:val="bullet"/>
      <w:lvlText w:val="•"/>
      <w:lvlJc w:val="left"/>
      <w:pPr>
        <w:ind w:left="1422" w:hanging="428"/>
      </w:pPr>
    </w:lvl>
    <w:lvl w:ilvl="3" w:tentative="0">
      <w:start w:val="0"/>
      <w:numFmt w:val="bullet"/>
      <w:lvlText w:val="•"/>
      <w:lvlJc w:val="left"/>
      <w:pPr>
        <w:ind w:left="1863" w:hanging="428"/>
      </w:pPr>
    </w:lvl>
    <w:lvl w:ilvl="4" w:tentative="0">
      <w:start w:val="0"/>
      <w:numFmt w:val="bullet"/>
      <w:lvlText w:val="•"/>
      <w:lvlJc w:val="left"/>
      <w:pPr>
        <w:ind w:left="2304" w:hanging="428"/>
      </w:pPr>
    </w:lvl>
    <w:lvl w:ilvl="5" w:tentative="0">
      <w:start w:val="0"/>
      <w:numFmt w:val="bullet"/>
      <w:lvlText w:val="•"/>
      <w:lvlJc w:val="left"/>
      <w:pPr>
        <w:ind w:left="2745" w:hanging="428"/>
      </w:pPr>
    </w:lvl>
    <w:lvl w:ilvl="6" w:tentative="0">
      <w:start w:val="0"/>
      <w:numFmt w:val="bullet"/>
      <w:lvlText w:val="•"/>
      <w:lvlJc w:val="left"/>
      <w:pPr>
        <w:ind w:left="3186" w:hanging="428"/>
      </w:pPr>
    </w:lvl>
    <w:lvl w:ilvl="7" w:tentative="0">
      <w:start w:val="0"/>
      <w:numFmt w:val="bullet"/>
      <w:lvlText w:val="•"/>
      <w:lvlJc w:val="left"/>
      <w:pPr>
        <w:ind w:left="3627" w:hanging="428"/>
      </w:pPr>
    </w:lvl>
    <w:lvl w:ilvl="8" w:tentative="0">
      <w:start w:val="0"/>
      <w:numFmt w:val="bullet"/>
      <w:lvlText w:val="•"/>
      <w:lvlJc w:val="left"/>
      <w:pPr>
        <w:ind w:left="4068" w:hanging="428"/>
      </w:pPr>
    </w:lvl>
  </w:abstractNum>
  <w:abstractNum w:abstractNumId="16">
    <w:nsid w:val="00000412"/>
    <w:multiLevelType w:val="multilevel"/>
    <w:tmpl w:val="00000412"/>
    <w:lvl w:ilvl="0" w:tentative="0">
      <w:start w:val="1"/>
      <w:numFmt w:val="decimal"/>
      <w:lvlText w:val="%1)"/>
      <w:lvlJc w:val="left"/>
      <w:pPr>
        <w:ind w:left="533" w:hanging="428"/>
      </w:pPr>
      <w:rPr>
        <w:rFonts w:ascii="Calibri" w:hAnsi="Calibri" w:cs="Calibri"/>
        <w:b w:val="0"/>
        <w:bCs w:val="0"/>
        <w:spacing w:val="-2"/>
        <w:w w:val="101"/>
        <w:sz w:val="18"/>
        <w:szCs w:val="18"/>
      </w:rPr>
    </w:lvl>
    <w:lvl w:ilvl="1" w:tentative="0">
      <w:start w:val="0"/>
      <w:numFmt w:val="bullet"/>
      <w:lvlText w:val="•"/>
      <w:lvlJc w:val="left"/>
      <w:pPr>
        <w:ind w:left="981" w:hanging="428"/>
      </w:pPr>
    </w:lvl>
    <w:lvl w:ilvl="2" w:tentative="0">
      <w:start w:val="0"/>
      <w:numFmt w:val="bullet"/>
      <w:lvlText w:val="•"/>
      <w:lvlJc w:val="left"/>
      <w:pPr>
        <w:ind w:left="1422" w:hanging="428"/>
      </w:pPr>
    </w:lvl>
    <w:lvl w:ilvl="3" w:tentative="0">
      <w:start w:val="0"/>
      <w:numFmt w:val="bullet"/>
      <w:lvlText w:val="•"/>
      <w:lvlJc w:val="left"/>
      <w:pPr>
        <w:ind w:left="1863" w:hanging="428"/>
      </w:pPr>
    </w:lvl>
    <w:lvl w:ilvl="4" w:tentative="0">
      <w:start w:val="0"/>
      <w:numFmt w:val="bullet"/>
      <w:lvlText w:val="•"/>
      <w:lvlJc w:val="left"/>
      <w:pPr>
        <w:ind w:left="2304" w:hanging="428"/>
      </w:pPr>
    </w:lvl>
    <w:lvl w:ilvl="5" w:tentative="0">
      <w:start w:val="0"/>
      <w:numFmt w:val="bullet"/>
      <w:lvlText w:val="•"/>
      <w:lvlJc w:val="left"/>
      <w:pPr>
        <w:ind w:left="2745" w:hanging="428"/>
      </w:pPr>
    </w:lvl>
    <w:lvl w:ilvl="6" w:tentative="0">
      <w:start w:val="0"/>
      <w:numFmt w:val="bullet"/>
      <w:lvlText w:val="•"/>
      <w:lvlJc w:val="left"/>
      <w:pPr>
        <w:ind w:left="3186" w:hanging="428"/>
      </w:pPr>
    </w:lvl>
    <w:lvl w:ilvl="7" w:tentative="0">
      <w:start w:val="0"/>
      <w:numFmt w:val="bullet"/>
      <w:lvlText w:val="•"/>
      <w:lvlJc w:val="left"/>
      <w:pPr>
        <w:ind w:left="3627" w:hanging="428"/>
      </w:pPr>
    </w:lvl>
    <w:lvl w:ilvl="8" w:tentative="0">
      <w:start w:val="0"/>
      <w:numFmt w:val="bullet"/>
      <w:lvlText w:val="•"/>
      <w:lvlJc w:val="left"/>
      <w:pPr>
        <w:ind w:left="4068" w:hanging="428"/>
      </w:pPr>
    </w:lvl>
  </w:abstractNum>
  <w:abstractNum w:abstractNumId="17">
    <w:nsid w:val="00000413"/>
    <w:multiLevelType w:val="multilevel"/>
    <w:tmpl w:val="00000413"/>
    <w:lvl w:ilvl="0" w:tentative="0">
      <w:start w:val="1"/>
      <w:numFmt w:val="decimal"/>
      <w:lvlText w:val="%1)"/>
      <w:lvlJc w:val="left"/>
      <w:pPr>
        <w:ind w:left="533" w:hanging="428"/>
      </w:pPr>
      <w:rPr>
        <w:rFonts w:ascii="Calibri" w:hAnsi="Calibri" w:cs="Calibri"/>
        <w:b w:val="0"/>
        <w:bCs w:val="0"/>
        <w:spacing w:val="-2"/>
        <w:w w:val="101"/>
        <w:sz w:val="18"/>
        <w:szCs w:val="18"/>
      </w:rPr>
    </w:lvl>
    <w:lvl w:ilvl="1" w:tentative="0">
      <w:start w:val="0"/>
      <w:numFmt w:val="bullet"/>
      <w:lvlText w:val="•"/>
      <w:lvlJc w:val="left"/>
      <w:pPr>
        <w:ind w:left="981" w:hanging="428"/>
      </w:pPr>
    </w:lvl>
    <w:lvl w:ilvl="2" w:tentative="0">
      <w:start w:val="0"/>
      <w:numFmt w:val="bullet"/>
      <w:lvlText w:val="•"/>
      <w:lvlJc w:val="left"/>
      <w:pPr>
        <w:ind w:left="1422" w:hanging="428"/>
      </w:pPr>
    </w:lvl>
    <w:lvl w:ilvl="3" w:tentative="0">
      <w:start w:val="0"/>
      <w:numFmt w:val="bullet"/>
      <w:lvlText w:val="•"/>
      <w:lvlJc w:val="left"/>
      <w:pPr>
        <w:ind w:left="1863" w:hanging="428"/>
      </w:pPr>
    </w:lvl>
    <w:lvl w:ilvl="4" w:tentative="0">
      <w:start w:val="0"/>
      <w:numFmt w:val="bullet"/>
      <w:lvlText w:val="•"/>
      <w:lvlJc w:val="left"/>
      <w:pPr>
        <w:ind w:left="2304" w:hanging="428"/>
      </w:pPr>
    </w:lvl>
    <w:lvl w:ilvl="5" w:tentative="0">
      <w:start w:val="0"/>
      <w:numFmt w:val="bullet"/>
      <w:lvlText w:val="•"/>
      <w:lvlJc w:val="left"/>
      <w:pPr>
        <w:ind w:left="2745" w:hanging="428"/>
      </w:pPr>
    </w:lvl>
    <w:lvl w:ilvl="6" w:tentative="0">
      <w:start w:val="0"/>
      <w:numFmt w:val="bullet"/>
      <w:lvlText w:val="•"/>
      <w:lvlJc w:val="left"/>
      <w:pPr>
        <w:ind w:left="3186" w:hanging="428"/>
      </w:pPr>
    </w:lvl>
    <w:lvl w:ilvl="7" w:tentative="0">
      <w:start w:val="0"/>
      <w:numFmt w:val="bullet"/>
      <w:lvlText w:val="•"/>
      <w:lvlJc w:val="left"/>
      <w:pPr>
        <w:ind w:left="3627" w:hanging="428"/>
      </w:pPr>
    </w:lvl>
    <w:lvl w:ilvl="8" w:tentative="0">
      <w:start w:val="0"/>
      <w:numFmt w:val="bullet"/>
      <w:lvlText w:val="•"/>
      <w:lvlJc w:val="left"/>
      <w:pPr>
        <w:ind w:left="4068" w:hanging="428"/>
      </w:pPr>
    </w:lvl>
  </w:abstractNum>
  <w:abstractNum w:abstractNumId="18">
    <w:nsid w:val="00000415"/>
    <w:multiLevelType w:val="multilevel"/>
    <w:tmpl w:val="00000415"/>
    <w:lvl w:ilvl="0" w:tentative="0">
      <w:start w:val="1"/>
      <w:numFmt w:val="decimal"/>
      <w:lvlText w:val="%1）"/>
      <w:lvlJc w:val="left"/>
      <w:pPr>
        <w:ind w:left="105" w:hanging="283"/>
      </w:pPr>
      <w:rPr>
        <w:rFonts w:ascii="Calibri" w:hAnsi="Calibri" w:cs="Calibri"/>
        <w:b w:val="0"/>
        <w:bCs w:val="0"/>
        <w:spacing w:val="3"/>
        <w:w w:val="101"/>
        <w:sz w:val="16"/>
        <w:szCs w:val="16"/>
      </w:rPr>
    </w:lvl>
    <w:lvl w:ilvl="1" w:tentative="0">
      <w:start w:val="0"/>
      <w:numFmt w:val="bullet"/>
      <w:lvlText w:val="•"/>
      <w:lvlJc w:val="left"/>
      <w:pPr>
        <w:ind w:left="585" w:hanging="283"/>
      </w:pPr>
    </w:lvl>
    <w:lvl w:ilvl="2" w:tentative="0">
      <w:start w:val="0"/>
      <w:numFmt w:val="bullet"/>
      <w:lvlText w:val="•"/>
      <w:lvlJc w:val="left"/>
      <w:pPr>
        <w:ind w:left="1070" w:hanging="283"/>
      </w:pPr>
    </w:lvl>
    <w:lvl w:ilvl="3" w:tentative="0">
      <w:start w:val="0"/>
      <w:numFmt w:val="bullet"/>
      <w:lvlText w:val="•"/>
      <w:lvlJc w:val="left"/>
      <w:pPr>
        <w:ind w:left="1555" w:hanging="283"/>
      </w:pPr>
    </w:lvl>
    <w:lvl w:ilvl="4" w:tentative="0">
      <w:start w:val="0"/>
      <w:numFmt w:val="bullet"/>
      <w:lvlText w:val="•"/>
      <w:lvlJc w:val="left"/>
      <w:pPr>
        <w:ind w:left="2040" w:hanging="283"/>
      </w:pPr>
    </w:lvl>
    <w:lvl w:ilvl="5" w:tentative="0">
      <w:start w:val="0"/>
      <w:numFmt w:val="bullet"/>
      <w:lvlText w:val="•"/>
      <w:lvlJc w:val="left"/>
      <w:pPr>
        <w:ind w:left="2525" w:hanging="283"/>
      </w:pPr>
    </w:lvl>
    <w:lvl w:ilvl="6" w:tentative="0">
      <w:start w:val="0"/>
      <w:numFmt w:val="bullet"/>
      <w:lvlText w:val="•"/>
      <w:lvlJc w:val="left"/>
      <w:pPr>
        <w:ind w:left="3010" w:hanging="283"/>
      </w:pPr>
    </w:lvl>
    <w:lvl w:ilvl="7" w:tentative="0">
      <w:start w:val="0"/>
      <w:numFmt w:val="bullet"/>
      <w:lvlText w:val="•"/>
      <w:lvlJc w:val="left"/>
      <w:pPr>
        <w:ind w:left="3495" w:hanging="283"/>
      </w:pPr>
    </w:lvl>
    <w:lvl w:ilvl="8" w:tentative="0">
      <w:start w:val="0"/>
      <w:numFmt w:val="bullet"/>
      <w:lvlText w:val="•"/>
      <w:lvlJc w:val="left"/>
      <w:pPr>
        <w:ind w:left="3980" w:hanging="283"/>
      </w:pPr>
    </w:lvl>
  </w:abstractNum>
  <w:abstractNum w:abstractNumId="19">
    <w:nsid w:val="00000416"/>
    <w:multiLevelType w:val="multilevel"/>
    <w:tmpl w:val="00000416"/>
    <w:lvl w:ilvl="0" w:tentative="0">
      <w:start w:val="3"/>
      <w:numFmt w:val="decimal"/>
      <w:lvlText w:val="%1）"/>
      <w:lvlJc w:val="left"/>
      <w:pPr>
        <w:ind w:left="380" w:hanging="275"/>
      </w:pPr>
      <w:rPr>
        <w:rFonts w:ascii="Calibri" w:hAnsi="Calibri" w:cs="Calibri"/>
        <w:b w:val="0"/>
        <w:bCs w:val="0"/>
        <w:spacing w:val="-2"/>
        <w:w w:val="101"/>
        <w:sz w:val="16"/>
        <w:szCs w:val="16"/>
      </w:rPr>
    </w:lvl>
    <w:lvl w:ilvl="1" w:tentative="0">
      <w:start w:val="0"/>
      <w:numFmt w:val="bullet"/>
      <w:lvlText w:val="•"/>
      <w:lvlJc w:val="left"/>
      <w:pPr>
        <w:ind w:left="851" w:hanging="275"/>
      </w:pPr>
    </w:lvl>
    <w:lvl w:ilvl="2" w:tentative="0">
      <w:start w:val="0"/>
      <w:numFmt w:val="bullet"/>
      <w:lvlText w:val="•"/>
      <w:lvlJc w:val="left"/>
      <w:pPr>
        <w:ind w:left="1322" w:hanging="275"/>
      </w:pPr>
    </w:lvl>
    <w:lvl w:ilvl="3" w:tentative="0">
      <w:start w:val="0"/>
      <w:numFmt w:val="bullet"/>
      <w:lvlText w:val="•"/>
      <w:lvlJc w:val="left"/>
      <w:pPr>
        <w:ind w:left="1794" w:hanging="275"/>
      </w:pPr>
    </w:lvl>
    <w:lvl w:ilvl="4" w:tentative="0">
      <w:start w:val="0"/>
      <w:numFmt w:val="bullet"/>
      <w:lvlText w:val="•"/>
      <w:lvlJc w:val="left"/>
      <w:pPr>
        <w:ind w:left="2265" w:hanging="275"/>
      </w:pPr>
    </w:lvl>
    <w:lvl w:ilvl="5" w:tentative="0">
      <w:start w:val="0"/>
      <w:numFmt w:val="bullet"/>
      <w:lvlText w:val="•"/>
      <w:lvlJc w:val="left"/>
      <w:pPr>
        <w:ind w:left="2737" w:hanging="275"/>
      </w:pPr>
    </w:lvl>
    <w:lvl w:ilvl="6" w:tentative="0">
      <w:start w:val="0"/>
      <w:numFmt w:val="bullet"/>
      <w:lvlText w:val="•"/>
      <w:lvlJc w:val="left"/>
      <w:pPr>
        <w:ind w:left="3208" w:hanging="275"/>
      </w:pPr>
    </w:lvl>
    <w:lvl w:ilvl="7" w:tentative="0">
      <w:start w:val="0"/>
      <w:numFmt w:val="bullet"/>
      <w:lvlText w:val="•"/>
      <w:lvlJc w:val="left"/>
      <w:pPr>
        <w:ind w:left="3679" w:hanging="275"/>
      </w:pPr>
    </w:lvl>
    <w:lvl w:ilvl="8" w:tentative="0">
      <w:start w:val="0"/>
      <w:numFmt w:val="bullet"/>
      <w:lvlText w:val="•"/>
      <w:lvlJc w:val="left"/>
      <w:pPr>
        <w:ind w:left="4151" w:hanging="275"/>
      </w:pPr>
    </w:lvl>
  </w:abstractNum>
  <w:abstractNum w:abstractNumId="20">
    <w:nsid w:val="00000417"/>
    <w:multiLevelType w:val="multilevel"/>
    <w:tmpl w:val="00000417"/>
    <w:lvl w:ilvl="0" w:tentative="0">
      <w:start w:val="1"/>
      <w:numFmt w:val="decimal"/>
      <w:lvlText w:val="%1）"/>
      <w:lvlJc w:val="left"/>
      <w:pPr>
        <w:ind w:left="465" w:hanging="360"/>
      </w:pPr>
      <w:rPr>
        <w:rFonts w:ascii="Calibri" w:hAnsi="Calibri" w:cs="Calibri"/>
        <w:b w:val="0"/>
        <w:bCs w:val="0"/>
        <w:spacing w:val="-2"/>
        <w:w w:val="101"/>
        <w:sz w:val="18"/>
        <w:szCs w:val="18"/>
      </w:rPr>
    </w:lvl>
    <w:lvl w:ilvl="1" w:tentative="0">
      <w:start w:val="0"/>
      <w:numFmt w:val="bullet"/>
      <w:lvlText w:val="•"/>
      <w:lvlJc w:val="left"/>
      <w:pPr>
        <w:ind w:left="923" w:hanging="360"/>
      </w:pPr>
    </w:lvl>
    <w:lvl w:ilvl="2" w:tentative="0">
      <w:start w:val="0"/>
      <w:numFmt w:val="bullet"/>
      <w:lvlText w:val="•"/>
      <w:lvlJc w:val="left"/>
      <w:pPr>
        <w:ind w:left="1386" w:hanging="360"/>
      </w:pPr>
    </w:lvl>
    <w:lvl w:ilvl="3" w:tentative="0">
      <w:start w:val="0"/>
      <w:numFmt w:val="bullet"/>
      <w:lvlText w:val="•"/>
      <w:lvlJc w:val="left"/>
      <w:pPr>
        <w:ind w:left="1850" w:hanging="360"/>
      </w:pPr>
    </w:lvl>
    <w:lvl w:ilvl="4" w:tentative="0">
      <w:start w:val="0"/>
      <w:numFmt w:val="bullet"/>
      <w:lvlText w:val="•"/>
      <w:lvlJc w:val="left"/>
      <w:pPr>
        <w:ind w:left="2313" w:hanging="360"/>
      </w:pPr>
    </w:lvl>
    <w:lvl w:ilvl="5" w:tentative="0">
      <w:start w:val="0"/>
      <w:numFmt w:val="bullet"/>
      <w:lvlText w:val="•"/>
      <w:lvlJc w:val="left"/>
      <w:pPr>
        <w:ind w:left="2777" w:hanging="360"/>
      </w:pPr>
    </w:lvl>
    <w:lvl w:ilvl="6" w:tentative="0">
      <w:start w:val="0"/>
      <w:numFmt w:val="bullet"/>
      <w:lvlText w:val="•"/>
      <w:lvlJc w:val="left"/>
      <w:pPr>
        <w:ind w:left="3240" w:hanging="360"/>
      </w:pPr>
    </w:lvl>
    <w:lvl w:ilvl="7" w:tentative="0">
      <w:start w:val="0"/>
      <w:numFmt w:val="bullet"/>
      <w:lvlText w:val="•"/>
      <w:lvlJc w:val="left"/>
      <w:pPr>
        <w:ind w:left="3703" w:hanging="360"/>
      </w:pPr>
    </w:lvl>
    <w:lvl w:ilvl="8" w:tentative="0">
      <w:start w:val="0"/>
      <w:numFmt w:val="bullet"/>
      <w:lvlText w:val="•"/>
      <w:lvlJc w:val="left"/>
      <w:pPr>
        <w:ind w:left="4167" w:hanging="360"/>
      </w:pPr>
    </w:lvl>
  </w:abstractNum>
  <w:abstractNum w:abstractNumId="21">
    <w:nsid w:val="00000418"/>
    <w:multiLevelType w:val="multilevel"/>
    <w:tmpl w:val="00000418"/>
    <w:lvl w:ilvl="0" w:tentative="0">
      <w:start w:val="1"/>
      <w:numFmt w:val="decimal"/>
      <w:lvlText w:val="%1）"/>
      <w:lvlJc w:val="left"/>
      <w:pPr>
        <w:ind w:left="-2011" w:hanging="283"/>
      </w:pPr>
      <w:rPr>
        <w:rFonts w:ascii="Calibri" w:hAnsi="Calibri" w:cs="Calibri"/>
        <w:b w:val="0"/>
        <w:bCs w:val="0"/>
        <w:spacing w:val="3"/>
        <w:w w:val="101"/>
        <w:sz w:val="16"/>
        <w:szCs w:val="16"/>
      </w:rPr>
    </w:lvl>
    <w:lvl w:ilvl="1" w:tentative="0">
      <w:start w:val="0"/>
      <w:numFmt w:val="bullet"/>
      <w:lvlText w:val="•"/>
      <w:lvlJc w:val="left"/>
      <w:pPr>
        <w:ind w:left="-1517" w:hanging="283"/>
      </w:pPr>
    </w:lvl>
    <w:lvl w:ilvl="2" w:tentative="0">
      <w:start w:val="0"/>
      <w:numFmt w:val="bullet"/>
      <w:lvlText w:val="•"/>
      <w:lvlJc w:val="left"/>
      <w:pPr>
        <w:ind w:left="-1018" w:hanging="283"/>
      </w:pPr>
    </w:lvl>
    <w:lvl w:ilvl="3" w:tentative="0">
      <w:start w:val="0"/>
      <w:numFmt w:val="bullet"/>
      <w:lvlText w:val="•"/>
      <w:lvlJc w:val="left"/>
      <w:pPr>
        <w:ind w:left="-518" w:hanging="283"/>
      </w:pPr>
    </w:lvl>
    <w:lvl w:ilvl="4" w:tentative="0">
      <w:start w:val="0"/>
      <w:numFmt w:val="bullet"/>
      <w:lvlText w:val="•"/>
      <w:lvlJc w:val="left"/>
      <w:pPr>
        <w:ind w:left="-19" w:hanging="283"/>
      </w:pPr>
    </w:lvl>
    <w:lvl w:ilvl="5" w:tentative="0">
      <w:start w:val="0"/>
      <w:numFmt w:val="bullet"/>
      <w:lvlText w:val="•"/>
      <w:lvlJc w:val="left"/>
      <w:pPr>
        <w:ind w:left="481" w:hanging="283"/>
      </w:pPr>
    </w:lvl>
    <w:lvl w:ilvl="6" w:tentative="0">
      <w:start w:val="0"/>
      <w:numFmt w:val="bullet"/>
      <w:lvlText w:val="•"/>
      <w:lvlJc w:val="left"/>
      <w:pPr>
        <w:ind w:left="980" w:hanging="283"/>
      </w:pPr>
    </w:lvl>
    <w:lvl w:ilvl="7" w:tentative="0">
      <w:start w:val="0"/>
      <w:numFmt w:val="bullet"/>
      <w:lvlText w:val="•"/>
      <w:lvlJc w:val="left"/>
      <w:pPr>
        <w:ind w:left="1479" w:hanging="283"/>
      </w:pPr>
    </w:lvl>
    <w:lvl w:ilvl="8" w:tentative="0">
      <w:start w:val="0"/>
      <w:numFmt w:val="bullet"/>
      <w:lvlText w:val="•"/>
      <w:lvlJc w:val="left"/>
      <w:pPr>
        <w:ind w:left="1979" w:hanging="283"/>
      </w:pPr>
    </w:lvl>
  </w:abstractNum>
  <w:abstractNum w:abstractNumId="22">
    <w:nsid w:val="00000419"/>
    <w:multiLevelType w:val="multilevel"/>
    <w:tmpl w:val="00000419"/>
    <w:lvl w:ilvl="0" w:tentative="0">
      <w:start w:val="3"/>
      <w:numFmt w:val="decimal"/>
      <w:lvlText w:val="%1）"/>
      <w:lvlJc w:val="left"/>
      <w:pPr>
        <w:ind w:left="374" w:hanging="275"/>
      </w:pPr>
      <w:rPr>
        <w:rFonts w:ascii="Calibri" w:hAnsi="Calibri" w:cs="Calibri"/>
        <w:b w:val="0"/>
        <w:bCs w:val="0"/>
        <w:spacing w:val="-6"/>
        <w:w w:val="100"/>
        <w:sz w:val="16"/>
        <w:szCs w:val="16"/>
      </w:rPr>
    </w:lvl>
    <w:lvl w:ilvl="1" w:tentative="0">
      <w:start w:val="0"/>
      <w:numFmt w:val="bullet"/>
      <w:lvlText w:val="•"/>
      <w:lvlJc w:val="left"/>
      <w:pPr>
        <w:ind w:left="851" w:hanging="275"/>
      </w:pPr>
    </w:lvl>
    <w:lvl w:ilvl="2" w:tentative="0">
      <w:start w:val="0"/>
      <w:numFmt w:val="bullet"/>
      <w:lvlText w:val="•"/>
      <w:lvlJc w:val="left"/>
      <w:pPr>
        <w:ind w:left="1322" w:hanging="275"/>
      </w:pPr>
    </w:lvl>
    <w:lvl w:ilvl="3" w:tentative="0">
      <w:start w:val="0"/>
      <w:numFmt w:val="bullet"/>
      <w:lvlText w:val="•"/>
      <w:lvlJc w:val="left"/>
      <w:pPr>
        <w:ind w:left="1794" w:hanging="275"/>
      </w:pPr>
    </w:lvl>
    <w:lvl w:ilvl="4" w:tentative="0">
      <w:start w:val="0"/>
      <w:numFmt w:val="bullet"/>
      <w:lvlText w:val="•"/>
      <w:lvlJc w:val="left"/>
      <w:pPr>
        <w:ind w:left="2265" w:hanging="275"/>
      </w:pPr>
    </w:lvl>
    <w:lvl w:ilvl="5" w:tentative="0">
      <w:start w:val="0"/>
      <w:numFmt w:val="bullet"/>
      <w:lvlText w:val="•"/>
      <w:lvlJc w:val="left"/>
      <w:pPr>
        <w:ind w:left="2737" w:hanging="275"/>
      </w:pPr>
    </w:lvl>
    <w:lvl w:ilvl="6" w:tentative="0">
      <w:start w:val="0"/>
      <w:numFmt w:val="bullet"/>
      <w:lvlText w:val="•"/>
      <w:lvlJc w:val="left"/>
      <w:pPr>
        <w:ind w:left="3208" w:hanging="275"/>
      </w:pPr>
    </w:lvl>
    <w:lvl w:ilvl="7" w:tentative="0">
      <w:start w:val="0"/>
      <w:numFmt w:val="bullet"/>
      <w:lvlText w:val="•"/>
      <w:lvlJc w:val="left"/>
      <w:pPr>
        <w:ind w:left="3679" w:hanging="275"/>
      </w:pPr>
    </w:lvl>
    <w:lvl w:ilvl="8" w:tentative="0">
      <w:start w:val="0"/>
      <w:numFmt w:val="bullet"/>
      <w:lvlText w:val="•"/>
      <w:lvlJc w:val="left"/>
      <w:pPr>
        <w:ind w:left="4151" w:hanging="275"/>
      </w:pPr>
    </w:lvl>
  </w:abstractNum>
  <w:abstractNum w:abstractNumId="23">
    <w:nsid w:val="0000041B"/>
    <w:multiLevelType w:val="multilevel"/>
    <w:tmpl w:val="0000041B"/>
    <w:lvl w:ilvl="0" w:tentative="0">
      <w:start w:val="1"/>
      <w:numFmt w:val="upperLetter"/>
      <w:lvlText w:val="(%1)"/>
      <w:lvlJc w:val="left"/>
      <w:pPr>
        <w:ind w:left="532" w:hanging="423"/>
      </w:pPr>
      <w:rPr>
        <w:rFonts w:ascii="Calibri" w:hAnsi="Calibri" w:cs="Calibri"/>
        <w:b w:val="0"/>
        <w:bCs w:val="0"/>
        <w:spacing w:val="-5"/>
        <w:w w:val="101"/>
        <w:sz w:val="18"/>
        <w:szCs w:val="18"/>
      </w:rPr>
    </w:lvl>
    <w:lvl w:ilvl="1" w:tentative="0">
      <w:start w:val="0"/>
      <w:numFmt w:val="bullet"/>
      <w:lvlText w:val="•"/>
      <w:lvlJc w:val="left"/>
      <w:pPr>
        <w:ind w:left="1222" w:hanging="423"/>
      </w:pPr>
    </w:lvl>
    <w:lvl w:ilvl="2" w:tentative="0">
      <w:start w:val="0"/>
      <w:numFmt w:val="bullet"/>
      <w:lvlText w:val="•"/>
      <w:lvlJc w:val="left"/>
      <w:pPr>
        <w:ind w:left="1905" w:hanging="423"/>
      </w:pPr>
    </w:lvl>
    <w:lvl w:ilvl="3" w:tentative="0">
      <w:start w:val="0"/>
      <w:numFmt w:val="bullet"/>
      <w:lvlText w:val="•"/>
      <w:lvlJc w:val="left"/>
      <w:pPr>
        <w:ind w:left="2587" w:hanging="423"/>
      </w:pPr>
    </w:lvl>
    <w:lvl w:ilvl="4" w:tentative="0">
      <w:start w:val="0"/>
      <w:numFmt w:val="bullet"/>
      <w:lvlText w:val="•"/>
      <w:lvlJc w:val="left"/>
      <w:pPr>
        <w:ind w:left="3270" w:hanging="423"/>
      </w:pPr>
    </w:lvl>
    <w:lvl w:ilvl="5" w:tentative="0">
      <w:start w:val="0"/>
      <w:numFmt w:val="bullet"/>
      <w:lvlText w:val="•"/>
      <w:lvlJc w:val="left"/>
      <w:pPr>
        <w:ind w:left="3952" w:hanging="423"/>
      </w:pPr>
    </w:lvl>
    <w:lvl w:ilvl="6" w:tentative="0">
      <w:start w:val="0"/>
      <w:numFmt w:val="bullet"/>
      <w:lvlText w:val="•"/>
      <w:lvlJc w:val="left"/>
      <w:pPr>
        <w:ind w:left="4635" w:hanging="423"/>
      </w:pPr>
    </w:lvl>
    <w:lvl w:ilvl="7" w:tentative="0">
      <w:start w:val="0"/>
      <w:numFmt w:val="bullet"/>
      <w:lvlText w:val="•"/>
      <w:lvlJc w:val="left"/>
      <w:pPr>
        <w:ind w:left="5317" w:hanging="423"/>
      </w:pPr>
    </w:lvl>
    <w:lvl w:ilvl="8" w:tentative="0">
      <w:start w:val="0"/>
      <w:numFmt w:val="bullet"/>
      <w:lvlText w:val="•"/>
      <w:lvlJc w:val="left"/>
      <w:pPr>
        <w:ind w:left="6000" w:hanging="423"/>
      </w:pPr>
    </w:lvl>
  </w:abstractNum>
  <w:abstractNum w:abstractNumId="24">
    <w:nsid w:val="00242683"/>
    <w:multiLevelType w:val="multilevel"/>
    <w:tmpl w:val="00242683"/>
    <w:lvl w:ilvl="0" w:tentative="0">
      <w:start w:val="1"/>
      <w:numFmt w:val="lowerLetter"/>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5">
    <w:nsid w:val="01FB3726"/>
    <w:multiLevelType w:val="multilevel"/>
    <w:tmpl w:val="01FB3726"/>
    <w:lvl w:ilvl="0" w:tentative="0">
      <w:start w:val="1"/>
      <w:numFmt w:val="lowerLetter"/>
      <w:lvlText w:val="%1)"/>
      <w:lvlJc w:val="left"/>
      <w:pPr>
        <w:ind w:left="845" w:hanging="420"/>
      </w:pPr>
      <w:rPr>
        <w:rFonts w:hint="eastAsia"/>
      </w:rPr>
    </w:lvl>
    <w:lvl w:ilvl="1" w:tentative="0">
      <w:start w:val="4"/>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2895E93"/>
    <w:multiLevelType w:val="multilevel"/>
    <w:tmpl w:val="02895E93"/>
    <w:lvl w:ilvl="0" w:tentative="0">
      <w:start w:val="1"/>
      <w:numFmt w:val="bullet"/>
      <w:lvlText w:val=""/>
      <w:lvlJc w:val="left"/>
      <w:pPr>
        <w:ind w:left="845" w:hanging="420"/>
      </w:pPr>
      <w:rPr>
        <w:rFonts w:hint="default" w:ascii="Wingdings" w:hAnsi="Wingdings"/>
        <w:b w:val="0"/>
        <w:i w:val="0"/>
        <w:sz w:val="24"/>
        <w:szCs w:val="24"/>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27">
    <w:nsid w:val="02982815"/>
    <w:multiLevelType w:val="multilevel"/>
    <w:tmpl w:val="0298281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03370ED6"/>
    <w:multiLevelType w:val="multilevel"/>
    <w:tmpl w:val="03370ED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0357440F"/>
    <w:multiLevelType w:val="multilevel"/>
    <w:tmpl w:val="0357440F"/>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050B1E2D"/>
    <w:multiLevelType w:val="multilevel"/>
    <w:tmpl w:val="050B1E2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979"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05250DC7"/>
    <w:multiLevelType w:val="multilevel"/>
    <w:tmpl w:val="05250DC7"/>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32">
    <w:nsid w:val="07876D49"/>
    <w:multiLevelType w:val="multilevel"/>
    <w:tmpl w:val="07876D49"/>
    <w:lvl w:ilvl="0" w:tentative="0">
      <w:start w:val="1"/>
      <w:numFmt w:val="bullet"/>
      <w:lvlText w:val=""/>
      <w:lvlJc w:val="left"/>
      <w:pPr>
        <w:ind w:left="1412" w:hanging="420"/>
      </w:pPr>
      <w:rPr>
        <w:rFonts w:hint="default" w:ascii="Wingdings" w:hAnsi="Wingdings"/>
      </w:rPr>
    </w:lvl>
    <w:lvl w:ilvl="1" w:tentative="0">
      <w:start w:val="1"/>
      <w:numFmt w:val="bullet"/>
      <w:lvlText w:val=""/>
      <w:lvlJc w:val="left"/>
      <w:pPr>
        <w:ind w:left="1832" w:hanging="420"/>
      </w:pPr>
      <w:rPr>
        <w:rFonts w:hint="default" w:ascii="Wingdings" w:hAnsi="Wingdings"/>
      </w:rPr>
    </w:lvl>
    <w:lvl w:ilvl="2" w:tentative="0">
      <w:start w:val="1"/>
      <w:numFmt w:val="bullet"/>
      <w:lvlText w:val=""/>
      <w:lvlJc w:val="left"/>
      <w:pPr>
        <w:ind w:left="2252" w:hanging="420"/>
      </w:pPr>
      <w:rPr>
        <w:rFonts w:hint="default" w:ascii="Wingdings" w:hAnsi="Wingdings"/>
      </w:rPr>
    </w:lvl>
    <w:lvl w:ilvl="3" w:tentative="0">
      <w:start w:val="1"/>
      <w:numFmt w:val="bullet"/>
      <w:lvlText w:val=""/>
      <w:lvlJc w:val="left"/>
      <w:pPr>
        <w:ind w:left="2672" w:hanging="420"/>
      </w:pPr>
      <w:rPr>
        <w:rFonts w:hint="default" w:ascii="Wingdings" w:hAnsi="Wingdings"/>
      </w:rPr>
    </w:lvl>
    <w:lvl w:ilvl="4" w:tentative="0">
      <w:start w:val="1"/>
      <w:numFmt w:val="bullet"/>
      <w:lvlText w:val=""/>
      <w:lvlJc w:val="left"/>
      <w:pPr>
        <w:ind w:left="3092" w:hanging="420"/>
      </w:pPr>
      <w:rPr>
        <w:rFonts w:hint="default" w:ascii="Wingdings" w:hAnsi="Wingdings"/>
      </w:rPr>
    </w:lvl>
    <w:lvl w:ilvl="5" w:tentative="0">
      <w:start w:val="1"/>
      <w:numFmt w:val="bullet"/>
      <w:lvlText w:val=""/>
      <w:lvlJc w:val="left"/>
      <w:pPr>
        <w:ind w:left="3512" w:hanging="420"/>
      </w:pPr>
      <w:rPr>
        <w:rFonts w:hint="default" w:ascii="Wingdings" w:hAnsi="Wingdings"/>
      </w:rPr>
    </w:lvl>
    <w:lvl w:ilvl="6" w:tentative="0">
      <w:start w:val="1"/>
      <w:numFmt w:val="bullet"/>
      <w:lvlText w:val=""/>
      <w:lvlJc w:val="left"/>
      <w:pPr>
        <w:ind w:left="3932" w:hanging="420"/>
      </w:pPr>
      <w:rPr>
        <w:rFonts w:hint="default" w:ascii="Wingdings" w:hAnsi="Wingdings"/>
      </w:rPr>
    </w:lvl>
    <w:lvl w:ilvl="7" w:tentative="0">
      <w:start w:val="1"/>
      <w:numFmt w:val="bullet"/>
      <w:lvlText w:val=""/>
      <w:lvlJc w:val="left"/>
      <w:pPr>
        <w:ind w:left="4352" w:hanging="420"/>
      </w:pPr>
      <w:rPr>
        <w:rFonts w:hint="default" w:ascii="Wingdings" w:hAnsi="Wingdings"/>
      </w:rPr>
    </w:lvl>
    <w:lvl w:ilvl="8" w:tentative="0">
      <w:start w:val="1"/>
      <w:numFmt w:val="bullet"/>
      <w:lvlText w:val=""/>
      <w:lvlJc w:val="left"/>
      <w:pPr>
        <w:ind w:left="4772" w:hanging="420"/>
      </w:pPr>
      <w:rPr>
        <w:rFonts w:hint="default" w:ascii="Wingdings" w:hAnsi="Wingdings"/>
      </w:rPr>
    </w:lvl>
  </w:abstractNum>
  <w:abstractNum w:abstractNumId="33">
    <w:nsid w:val="089454BF"/>
    <w:multiLevelType w:val="multilevel"/>
    <w:tmpl w:val="089454BF"/>
    <w:lvl w:ilvl="0" w:tentative="0">
      <w:start w:val="1"/>
      <w:numFmt w:val="lowerLetter"/>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34">
    <w:nsid w:val="09996E05"/>
    <w:multiLevelType w:val="multilevel"/>
    <w:tmpl w:val="09996E05"/>
    <w:lvl w:ilvl="0" w:tentative="0">
      <w:start w:val="1"/>
      <w:numFmt w:val="bullet"/>
      <w:lvlText w:val=""/>
      <w:lvlJc w:val="left"/>
      <w:pPr>
        <w:ind w:left="845" w:hanging="420"/>
      </w:pPr>
      <w:rPr>
        <w:rFonts w:hint="default" w:ascii="Wingdings" w:hAnsi="Wingdings"/>
        <w:b w:val="0"/>
        <w:i w:val="0"/>
        <w:sz w:val="24"/>
        <w:szCs w:val="24"/>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35">
    <w:nsid w:val="0A0C2C35"/>
    <w:multiLevelType w:val="multilevel"/>
    <w:tmpl w:val="0A0C2C35"/>
    <w:lvl w:ilvl="0" w:tentative="0">
      <w:start w:val="1"/>
      <w:numFmt w:val="bullet"/>
      <w:lvlText w:val=""/>
      <w:lvlJc w:val="left"/>
      <w:pPr>
        <w:ind w:left="1979" w:hanging="420"/>
      </w:pPr>
      <w:rPr>
        <w:rFonts w:hint="default" w:ascii="Wingdings" w:hAnsi="Wingdings"/>
      </w:rPr>
    </w:lvl>
    <w:lvl w:ilvl="1" w:tentative="0">
      <w:start w:val="1"/>
      <w:numFmt w:val="bullet"/>
      <w:lvlText w:val=""/>
      <w:lvlJc w:val="left"/>
      <w:pPr>
        <w:ind w:left="2399" w:hanging="420"/>
      </w:pPr>
      <w:rPr>
        <w:rFonts w:hint="default" w:ascii="Wingdings" w:hAnsi="Wingdings"/>
      </w:rPr>
    </w:lvl>
    <w:lvl w:ilvl="2" w:tentative="0">
      <w:start w:val="1"/>
      <w:numFmt w:val="bullet"/>
      <w:lvlText w:val=""/>
      <w:lvlJc w:val="left"/>
      <w:pPr>
        <w:ind w:left="2819" w:hanging="420"/>
      </w:pPr>
      <w:rPr>
        <w:rFonts w:hint="default" w:ascii="Wingdings" w:hAnsi="Wingdings"/>
      </w:rPr>
    </w:lvl>
    <w:lvl w:ilvl="3" w:tentative="0">
      <w:start w:val="1"/>
      <w:numFmt w:val="bullet"/>
      <w:lvlText w:val=""/>
      <w:lvlJc w:val="left"/>
      <w:pPr>
        <w:ind w:left="3239" w:hanging="420"/>
      </w:pPr>
      <w:rPr>
        <w:rFonts w:hint="default" w:ascii="Wingdings" w:hAnsi="Wingdings"/>
      </w:rPr>
    </w:lvl>
    <w:lvl w:ilvl="4" w:tentative="0">
      <w:start w:val="1"/>
      <w:numFmt w:val="bullet"/>
      <w:lvlText w:val=""/>
      <w:lvlJc w:val="left"/>
      <w:pPr>
        <w:ind w:left="3659" w:hanging="420"/>
      </w:pPr>
      <w:rPr>
        <w:rFonts w:hint="default" w:ascii="Wingdings" w:hAnsi="Wingdings"/>
      </w:rPr>
    </w:lvl>
    <w:lvl w:ilvl="5" w:tentative="0">
      <w:start w:val="1"/>
      <w:numFmt w:val="bullet"/>
      <w:lvlText w:val=""/>
      <w:lvlJc w:val="left"/>
      <w:pPr>
        <w:ind w:left="4079" w:hanging="420"/>
      </w:pPr>
      <w:rPr>
        <w:rFonts w:hint="default" w:ascii="Wingdings" w:hAnsi="Wingdings"/>
      </w:rPr>
    </w:lvl>
    <w:lvl w:ilvl="6" w:tentative="0">
      <w:start w:val="1"/>
      <w:numFmt w:val="bullet"/>
      <w:lvlText w:val=""/>
      <w:lvlJc w:val="left"/>
      <w:pPr>
        <w:ind w:left="4499" w:hanging="420"/>
      </w:pPr>
      <w:rPr>
        <w:rFonts w:hint="default" w:ascii="Wingdings" w:hAnsi="Wingdings"/>
      </w:rPr>
    </w:lvl>
    <w:lvl w:ilvl="7" w:tentative="0">
      <w:start w:val="1"/>
      <w:numFmt w:val="bullet"/>
      <w:lvlText w:val=""/>
      <w:lvlJc w:val="left"/>
      <w:pPr>
        <w:ind w:left="4919" w:hanging="420"/>
      </w:pPr>
      <w:rPr>
        <w:rFonts w:hint="default" w:ascii="Wingdings" w:hAnsi="Wingdings"/>
      </w:rPr>
    </w:lvl>
    <w:lvl w:ilvl="8" w:tentative="0">
      <w:start w:val="1"/>
      <w:numFmt w:val="bullet"/>
      <w:lvlText w:val=""/>
      <w:lvlJc w:val="left"/>
      <w:pPr>
        <w:ind w:left="5339" w:hanging="420"/>
      </w:pPr>
      <w:rPr>
        <w:rFonts w:hint="default" w:ascii="Wingdings" w:hAnsi="Wingdings"/>
      </w:rPr>
    </w:lvl>
  </w:abstractNum>
  <w:abstractNum w:abstractNumId="36">
    <w:nsid w:val="0B307196"/>
    <w:multiLevelType w:val="multilevel"/>
    <w:tmpl w:val="0B307196"/>
    <w:lvl w:ilvl="0" w:tentative="0">
      <w:start w:val="1"/>
      <w:numFmt w:val="low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37">
    <w:nsid w:val="0C2A480E"/>
    <w:multiLevelType w:val="multilevel"/>
    <w:tmpl w:val="0C2A480E"/>
    <w:lvl w:ilvl="0" w:tentative="0">
      <w:start w:val="1"/>
      <w:numFmt w:val="decimal"/>
      <w:pStyle w:val="2"/>
      <w:lvlText w:val="第%1篇"/>
      <w:lvlJc w:val="left"/>
      <w:pPr>
        <w:ind w:left="1984" w:hanging="425"/>
      </w:pPr>
      <w:rPr>
        <w:rFonts w:hint="eastAsia"/>
      </w:rPr>
    </w:lvl>
    <w:lvl w:ilvl="1" w:tentative="0">
      <w:start w:val="1"/>
      <w:numFmt w:val="decimal"/>
      <w:pStyle w:val="3"/>
      <w:lvlText w:val="%1.%2"/>
      <w:lvlJc w:val="left"/>
      <w:pPr>
        <w:ind w:left="1843" w:hanging="567"/>
      </w:pPr>
      <w:rPr>
        <w:rFonts w:hint="eastAsia"/>
        <w:b/>
      </w:rPr>
    </w:lvl>
    <w:lvl w:ilvl="2" w:tentative="0">
      <w:start w:val="1"/>
      <w:numFmt w:val="decimal"/>
      <w:pStyle w:val="97"/>
      <w:lvlText w:val="%1.%2.%3"/>
      <w:lvlJc w:val="left"/>
      <w:pPr>
        <w:ind w:left="141" w:firstLine="709"/>
      </w:pPr>
      <w:rPr>
        <w:rFonts w:hint="eastAsia"/>
        <w:b/>
        <w:color w:val="auto"/>
        <w:sz w:val="18"/>
        <w:szCs w:val="18"/>
      </w:rPr>
    </w:lvl>
    <w:lvl w:ilvl="3" w:tentative="0">
      <w:start w:val="1"/>
      <w:numFmt w:val="bullet"/>
      <w:pStyle w:val="111"/>
      <w:lvlText w:val=""/>
      <w:lvlJc w:val="left"/>
      <w:pPr>
        <w:ind w:left="1926" w:hanging="651"/>
      </w:pPr>
      <w:rPr>
        <w:rFonts w:hint="default" w:ascii="Wingdings" w:hAnsi="Wingdings"/>
      </w:rPr>
    </w:lvl>
    <w:lvl w:ilvl="4" w:tentative="0">
      <w:start w:val="1"/>
      <w:numFmt w:val="decimal"/>
      <w:pStyle w:val="113"/>
      <w:lvlText w:val="%5)"/>
      <w:lvlJc w:val="left"/>
      <w:pPr>
        <w:ind w:left="2551" w:hanging="850"/>
      </w:pPr>
      <w:rPr>
        <w:rFonts w:hint="eastAsia"/>
      </w:rPr>
    </w:lvl>
    <w:lvl w:ilvl="5" w:tentative="0">
      <w:start w:val="1"/>
      <w:numFmt w:val="lowerLetter"/>
      <w:pStyle w:val="115"/>
      <w:lvlText w:val="%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8">
    <w:nsid w:val="0C75222D"/>
    <w:multiLevelType w:val="multilevel"/>
    <w:tmpl w:val="0C75222D"/>
    <w:lvl w:ilvl="0" w:tentative="0">
      <w:start w:val="1"/>
      <w:numFmt w:val="lowerLetter"/>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39">
    <w:nsid w:val="0C887524"/>
    <w:multiLevelType w:val="multilevel"/>
    <w:tmpl w:val="0C88752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0CAE2FFE"/>
    <w:multiLevelType w:val="multilevel"/>
    <w:tmpl w:val="0CAE2FFE"/>
    <w:lvl w:ilvl="0" w:tentative="0">
      <w:start w:val="1"/>
      <w:numFmt w:val="decimal"/>
      <w:lvlText w:val="%1."/>
      <w:lvlJc w:val="left"/>
      <w:pPr>
        <w:ind w:left="425" w:hanging="425"/>
      </w:pPr>
      <w:rPr>
        <w:b/>
        <w:sz w:val="18"/>
        <w:szCs w:val="18"/>
      </w:rPr>
    </w:lvl>
    <w:lvl w:ilvl="1" w:tentative="0">
      <w:start w:val="1"/>
      <w:numFmt w:val="decimal"/>
      <w:lvlText w:val="%2)"/>
      <w:lvlJc w:val="left"/>
      <w:pPr>
        <w:ind w:left="1701" w:hanging="567"/>
      </w:pPr>
      <w:rPr>
        <w:rFonts w:hint="default"/>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1">
    <w:nsid w:val="0D65209C"/>
    <w:multiLevelType w:val="multilevel"/>
    <w:tmpl w:val="0D65209C"/>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42">
    <w:nsid w:val="0E1A2014"/>
    <w:multiLevelType w:val="multilevel"/>
    <w:tmpl w:val="0E1A2014"/>
    <w:lvl w:ilvl="0" w:tentative="0">
      <w:start w:val="1"/>
      <w:numFmt w:val="bullet"/>
      <w:lvlText w:val=""/>
      <w:lvlJc w:val="left"/>
      <w:pPr>
        <w:ind w:left="1979" w:hanging="420"/>
      </w:pPr>
      <w:rPr>
        <w:rFonts w:hint="default" w:ascii="Wingdings" w:hAnsi="Wingdings"/>
      </w:rPr>
    </w:lvl>
    <w:lvl w:ilvl="1" w:tentative="0">
      <w:start w:val="1"/>
      <w:numFmt w:val="bullet"/>
      <w:lvlText w:val=""/>
      <w:lvlJc w:val="left"/>
      <w:pPr>
        <w:ind w:left="2399" w:hanging="420"/>
      </w:pPr>
      <w:rPr>
        <w:rFonts w:hint="default" w:ascii="Wingdings" w:hAnsi="Wingdings"/>
      </w:rPr>
    </w:lvl>
    <w:lvl w:ilvl="2" w:tentative="0">
      <w:start w:val="1"/>
      <w:numFmt w:val="bullet"/>
      <w:lvlText w:val=""/>
      <w:lvlJc w:val="left"/>
      <w:pPr>
        <w:ind w:left="2819" w:hanging="420"/>
      </w:pPr>
      <w:rPr>
        <w:rFonts w:hint="default" w:ascii="Wingdings" w:hAnsi="Wingdings"/>
      </w:rPr>
    </w:lvl>
    <w:lvl w:ilvl="3" w:tentative="0">
      <w:start w:val="1"/>
      <w:numFmt w:val="bullet"/>
      <w:lvlText w:val=""/>
      <w:lvlJc w:val="left"/>
      <w:pPr>
        <w:ind w:left="3239" w:hanging="420"/>
      </w:pPr>
      <w:rPr>
        <w:rFonts w:hint="default" w:ascii="Wingdings" w:hAnsi="Wingdings"/>
      </w:rPr>
    </w:lvl>
    <w:lvl w:ilvl="4" w:tentative="0">
      <w:start w:val="1"/>
      <w:numFmt w:val="bullet"/>
      <w:lvlText w:val=""/>
      <w:lvlJc w:val="left"/>
      <w:pPr>
        <w:ind w:left="3659" w:hanging="420"/>
      </w:pPr>
      <w:rPr>
        <w:rFonts w:hint="default" w:ascii="Wingdings" w:hAnsi="Wingdings"/>
      </w:rPr>
    </w:lvl>
    <w:lvl w:ilvl="5" w:tentative="0">
      <w:start w:val="1"/>
      <w:numFmt w:val="bullet"/>
      <w:lvlText w:val=""/>
      <w:lvlJc w:val="left"/>
      <w:pPr>
        <w:ind w:left="4079" w:hanging="420"/>
      </w:pPr>
      <w:rPr>
        <w:rFonts w:hint="default" w:ascii="Wingdings" w:hAnsi="Wingdings"/>
      </w:rPr>
    </w:lvl>
    <w:lvl w:ilvl="6" w:tentative="0">
      <w:start w:val="1"/>
      <w:numFmt w:val="bullet"/>
      <w:lvlText w:val=""/>
      <w:lvlJc w:val="left"/>
      <w:pPr>
        <w:ind w:left="4499" w:hanging="420"/>
      </w:pPr>
      <w:rPr>
        <w:rFonts w:hint="default" w:ascii="Wingdings" w:hAnsi="Wingdings"/>
      </w:rPr>
    </w:lvl>
    <w:lvl w:ilvl="7" w:tentative="0">
      <w:start w:val="1"/>
      <w:numFmt w:val="bullet"/>
      <w:lvlText w:val=""/>
      <w:lvlJc w:val="left"/>
      <w:pPr>
        <w:ind w:left="4919" w:hanging="420"/>
      </w:pPr>
      <w:rPr>
        <w:rFonts w:hint="default" w:ascii="Wingdings" w:hAnsi="Wingdings"/>
      </w:rPr>
    </w:lvl>
    <w:lvl w:ilvl="8" w:tentative="0">
      <w:start w:val="1"/>
      <w:numFmt w:val="bullet"/>
      <w:lvlText w:val=""/>
      <w:lvlJc w:val="left"/>
      <w:pPr>
        <w:ind w:left="5339" w:hanging="420"/>
      </w:pPr>
      <w:rPr>
        <w:rFonts w:hint="default" w:ascii="Wingdings" w:hAnsi="Wingdings"/>
      </w:rPr>
    </w:lvl>
  </w:abstractNum>
  <w:abstractNum w:abstractNumId="43">
    <w:nsid w:val="0E4479A5"/>
    <w:multiLevelType w:val="multilevel"/>
    <w:tmpl w:val="0E4479A5"/>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44">
    <w:nsid w:val="0EDD74BD"/>
    <w:multiLevelType w:val="multilevel"/>
    <w:tmpl w:val="0EDD74BD"/>
    <w:lvl w:ilvl="0" w:tentative="0">
      <w:start w:val="1"/>
      <w:numFmt w:val="decimal"/>
      <w:lvlText w:val="%1)"/>
      <w:lvlJc w:val="left"/>
      <w:pPr>
        <w:ind w:left="1068" w:hanging="360"/>
      </w:pPr>
    </w:lvl>
    <w:lvl w:ilvl="1" w:tentative="0">
      <w:start w:val="1"/>
      <w:numFmt w:val="decimal"/>
      <w:isLgl/>
      <w:lvlText w:val="%1.%2"/>
      <w:lvlJc w:val="left"/>
      <w:pPr>
        <w:ind w:left="1308" w:hanging="600"/>
      </w:pPr>
      <w:rPr>
        <w:rFonts w:hint="default" w:ascii="宋体" w:hAnsi="宋体" w:eastAsia="宋体"/>
      </w:rPr>
    </w:lvl>
    <w:lvl w:ilvl="2" w:tentative="0">
      <w:start w:val="3"/>
      <w:numFmt w:val="decimal"/>
      <w:isLgl/>
      <w:lvlText w:val="%1.%2.%3"/>
      <w:lvlJc w:val="left"/>
      <w:pPr>
        <w:ind w:left="1428" w:hanging="720"/>
      </w:pPr>
      <w:rPr>
        <w:rFonts w:hint="default" w:ascii="宋体" w:hAnsi="宋体" w:eastAsia="宋体"/>
      </w:rPr>
    </w:lvl>
    <w:lvl w:ilvl="3" w:tentative="0">
      <w:start w:val="1"/>
      <w:numFmt w:val="decimal"/>
      <w:isLgl/>
      <w:lvlText w:val="%1.%2.%3.%4"/>
      <w:lvlJc w:val="left"/>
      <w:pPr>
        <w:ind w:left="1788" w:hanging="1080"/>
      </w:pPr>
      <w:rPr>
        <w:rFonts w:hint="default" w:ascii="宋体" w:hAnsi="宋体" w:eastAsia="宋体"/>
      </w:rPr>
    </w:lvl>
    <w:lvl w:ilvl="4" w:tentative="0">
      <w:start w:val="1"/>
      <w:numFmt w:val="decimal"/>
      <w:isLgl/>
      <w:lvlText w:val="%1.%2.%3.%4.%5"/>
      <w:lvlJc w:val="left"/>
      <w:pPr>
        <w:ind w:left="1788" w:hanging="1080"/>
      </w:pPr>
      <w:rPr>
        <w:rFonts w:hint="default" w:ascii="宋体" w:hAnsi="宋体" w:eastAsia="宋体"/>
      </w:rPr>
    </w:lvl>
    <w:lvl w:ilvl="5" w:tentative="0">
      <w:start w:val="1"/>
      <w:numFmt w:val="decimal"/>
      <w:isLgl/>
      <w:lvlText w:val="%1.%2.%3.%4.%5.%6"/>
      <w:lvlJc w:val="left"/>
      <w:pPr>
        <w:ind w:left="2148" w:hanging="1440"/>
      </w:pPr>
      <w:rPr>
        <w:rFonts w:hint="default" w:ascii="宋体" w:hAnsi="宋体" w:eastAsia="宋体"/>
      </w:rPr>
    </w:lvl>
    <w:lvl w:ilvl="6" w:tentative="0">
      <w:start w:val="1"/>
      <w:numFmt w:val="decimal"/>
      <w:isLgl/>
      <w:lvlText w:val="%1.%2.%3.%4.%5.%6.%7"/>
      <w:lvlJc w:val="left"/>
      <w:pPr>
        <w:ind w:left="2148" w:hanging="1440"/>
      </w:pPr>
      <w:rPr>
        <w:rFonts w:hint="default" w:ascii="宋体" w:hAnsi="宋体" w:eastAsia="宋体"/>
      </w:rPr>
    </w:lvl>
    <w:lvl w:ilvl="7" w:tentative="0">
      <w:start w:val="1"/>
      <w:numFmt w:val="decimal"/>
      <w:isLgl/>
      <w:lvlText w:val="%1.%2.%3.%4.%5.%6.%7.%8"/>
      <w:lvlJc w:val="left"/>
      <w:pPr>
        <w:ind w:left="2508" w:hanging="1800"/>
      </w:pPr>
      <w:rPr>
        <w:rFonts w:hint="default" w:ascii="宋体" w:hAnsi="宋体" w:eastAsia="宋体"/>
      </w:rPr>
    </w:lvl>
    <w:lvl w:ilvl="8" w:tentative="0">
      <w:start w:val="1"/>
      <w:numFmt w:val="decimal"/>
      <w:isLgl/>
      <w:lvlText w:val="%1.%2.%3.%4.%5.%6.%7.%8.%9"/>
      <w:lvlJc w:val="left"/>
      <w:pPr>
        <w:ind w:left="2508" w:hanging="1800"/>
      </w:pPr>
      <w:rPr>
        <w:rFonts w:hint="default" w:ascii="宋体" w:hAnsi="宋体" w:eastAsia="宋体"/>
      </w:rPr>
    </w:lvl>
  </w:abstractNum>
  <w:abstractNum w:abstractNumId="45">
    <w:nsid w:val="10A23B11"/>
    <w:multiLevelType w:val="multilevel"/>
    <w:tmpl w:val="10A23B1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6">
    <w:nsid w:val="11A631D9"/>
    <w:multiLevelType w:val="multilevel"/>
    <w:tmpl w:val="11A631D9"/>
    <w:lvl w:ilvl="0" w:tentative="0">
      <w:start w:val="1"/>
      <w:numFmt w:val="decimal"/>
      <w:lvlText w:val="%1"/>
      <w:lvlJc w:val="left"/>
      <w:pPr>
        <w:ind w:left="3480" w:hanging="360"/>
      </w:pPr>
      <w:rPr>
        <w:rFonts w:hint="default"/>
      </w:rPr>
    </w:lvl>
    <w:lvl w:ilvl="1" w:tentative="0">
      <w:start w:val="1"/>
      <w:numFmt w:val="decimal"/>
      <w:lvlText w:val="%1.%2"/>
      <w:lvlJc w:val="left"/>
      <w:pPr>
        <w:ind w:left="3339" w:hanging="360"/>
      </w:pPr>
      <w:rPr>
        <w:rFonts w:hint="default"/>
      </w:rPr>
    </w:lvl>
    <w:lvl w:ilvl="2" w:tentative="0">
      <w:start w:val="1"/>
      <w:numFmt w:val="decimal"/>
      <w:lvlText w:val="%1.%2.%3"/>
      <w:lvlJc w:val="left"/>
      <w:pPr>
        <w:ind w:left="5824" w:hanging="720"/>
      </w:pPr>
      <w:rPr>
        <w:rFonts w:hint="default"/>
      </w:rPr>
    </w:lvl>
    <w:lvl w:ilvl="3" w:tentative="0">
      <w:start w:val="1"/>
      <w:numFmt w:val="decimal"/>
      <w:lvlText w:val="%1.%2.%3.%4"/>
      <w:lvlJc w:val="left"/>
      <w:pPr>
        <w:ind w:left="6326" w:hanging="1080"/>
      </w:pPr>
      <w:rPr>
        <w:rFonts w:hint="default"/>
      </w:rPr>
    </w:lvl>
    <w:lvl w:ilvl="4" w:tentative="0">
      <w:start w:val="1"/>
      <w:numFmt w:val="decimal"/>
      <w:lvlText w:val="%1.%2.%3.%4.%5"/>
      <w:lvlJc w:val="left"/>
      <w:pPr>
        <w:ind w:left="4057" w:hanging="1080"/>
      </w:pPr>
      <w:rPr>
        <w:rFonts w:hint="default"/>
      </w:rPr>
    </w:lvl>
    <w:lvl w:ilvl="5" w:tentative="0">
      <w:start w:val="1"/>
      <w:numFmt w:val="decimal"/>
      <w:lvlText w:val="%1.%2.%3.%4.%5.%6"/>
      <w:lvlJc w:val="left"/>
      <w:pPr>
        <w:ind w:left="2925" w:hanging="1440"/>
      </w:pPr>
      <w:rPr>
        <w:rFonts w:hint="default"/>
      </w:rPr>
    </w:lvl>
    <w:lvl w:ilvl="6" w:tentative="0">
      <w:start w:val="1"/>
      <w:numFmt w:val="decimal"/>
      <w:lvlText w:val="%1.%2.%3.%4.%5.%6.%7"/>
      <w:lvlJc w:val="left"/>
      <w:pPr>
        <w:ind w:left="3270" w:hanging="1800"/>
      </w:pPr>
      <w:rPr>
        <w:rFonts w:hint="default"/>
      </w:rPr>
    </w:lvl>
    <w:lvl w:ilvl="7" w:tentative="0">
      <w:start w:val="1"/>
      <w:numFmt w:val="decimal"/>
      <w:lvlText w:val="%1.%2.%3.%4.%5.%6.%7.%8"/>
      <w:lvlJc w:val="left"/>
      <w:pPr>
        <w:ind w:left="3255" w:hanging="1800"/>
      </w:pPr>
      <w:rPr>
        <w:rFonts w:hint="default"/>
      </w:rPr>
    </w:lvl>
    <w:lvl w:ilvl="8" w:tentative="0">
      <w:start w:val="1"/>
      <w:numFmt w:val="decimal"/>
      <w:lvlText w:val="%1.%2.%3.%4.%5.%6.%7.%8.%9"/>
      <w:lvlJc w:val="left"/>
      <w:pPr>
        <w:ind w:left="3600" w:hanging="2160"/>
      </w:pPr>
      <w:rPr>
        <w:rFonts w:hint="default"/>
      </w:rPr>
    </w:lvl>
  </w:abstractNum>
  <w:abstractNum w:abstractNumId="47">
    <w:nsid w:val="11A94256"/>
    <w:multiLevelType w:val="multilevel"/>
    <w:tmpl w:val="11A94256"/>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8">
    <w:nsid w:val="11BF0394"/>
    <w:multiLevelType w:val="multilevel"/>
    <w:tmpl w:val="11BF0394"/>
    <w:lvl w:ilvl="0" w:tentative="0">
      <w:start w:val="1"/>
      <w:numFmt w:val="decimal"/>
      <w:lvlText w:val="%1)"/>
      <w:lvlJc w:val="left"/>
      <w:pPr>
        <w:ind w:left="1837" w:hanging="420"/>
      </w:pPr>
    </w:lvl>
    <w:lvl w:ilvl="1" w:tentative="0">
      <w:start w:val="1"/>
      <w:numFmt w:val="decimal"/>
      <w:lvlText w:val="（%2）"/>
      <w:lvlJc w:val="left"/>
      <w:pPr>
        <w:ind w:left="2557" w:hanging="720"/>
      </w:pPr>
      <w:rPr>
        <w:rFonts w:hint="default"/>
      </w:r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49">
    <w:nsid w:val="127431E4"/>
    <w:multiLevelType w:val="multilevel"/>
    <w:tmpl w:val="127431E4"/>
    <w:lvl w:ilvl="0" w:tentative="0">
      <w:start w:val="1"/>
      <w:numFmt w:val="decimal"/>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50">
    <w:nsid w:val="134B60F7"/>
    <w:multiLevelType w:val="multilevel"/>
    <w:tmpl w:val="134B60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837"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1356094F"/>
    <w:multiLevelType w:val="multilevel"/>
    <w:tmpl w:val="1356094F"/>
    <w:lvl w:ilvl="0" w:tentative="0">
      <w:start w:val="1"/>
      <w:numFmt w:val="decimal"/>
      <w:lvlText w:val="%1."/>
      <w:lvlJc w:val="left"/>
      <w:pPr>
        <w:ind w:left="1270" w:hanging="420"/>
      </w:p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52">
    <w:nsid w:val="140A70F0"/>
    <w:multiLevelType w:val="multilevel"/>
    <w:tmpl w:val="140A70F0"/>
    <w:lvl w:ilvl="0" w:tentative="0">
      <w:start w:val="1"/>
      <w:numFmt w:val="bullet"/>
      <w:lvlText w:val=""/>
      <w:lvlJc w:val="left"/>
      <w:pPr>
        <w:ind w:left="1270" w:hanging="420"/>
      </w:pPr>
      <w:rPr>
        <w:rFonts w:hint="default" w:ascii="Wingdings" w:hAnsi="Wingdings"/>
      </w:rPr>
    </w:lvl>
    <w:lvl w:ilvl="1" w:tentative="0">
      <w:start w:val="1"/>
      <w:numFmt w:val="bullet"/>
      <w:lvlText w:val=""/>
      <w:lvlJc w:val="left"/>
      <w:pPr>
        <w:ind w:left="1690" w:hanging="420"/>
      </w:pPr>
      <w:rPr>
        <w:rFonts w:hint="default" w:ascii="Wingdings" w:hAnsi="Wingdings"/>
      </w:rPr>
    </w:lvl>
    <w:lvl w:ilvl="2" w:tentative="0">
      <w:start w:val="1"/>
      <w:numFmt w:val="bullet"/>
      <w:lvlText w:val=""/>
      <w:lvlJc w:val="left"/>
      <w:pPr>
        <w:ind w:left="2110" w:hanging="420"/>
      </w:pPr>
      <w:rPr>
        <w:rFonts w:hint="default" w:ascii="Wingdings" w:hAnsi="Wingdings"/>
      </w:rPr>
    </w:lvl>
    <w:lvl w:ilvl="3" w:tentative="0">
      <w:start w:val="1"/>
      <w:numFmt w:val="bullet"/>
      <w:lvlText w:val=""/>
      <w:lvlJc w:val="left"/>
      <w:pPr>
        <w:ind w:left="2530" w:hanging="420"/>
      </w:pPr>
      <w:rPr>
        <w:rFonts w:hint="default" w:ascii="Wingdings" w:hAnsi="Wingdings"/>
      </w:rPr>
    </w:lvl>
    <w:lvl w:ilvl="4" w:tentative="0">
      <w:start w:val="1"/>
      <w:numFmt w:val="bullet"/>
      <w:lvlText w:val=""/>
      <w:lvlJc w:val="left"/>
      <w:pPr>
        <w:ind w:left="2950" w:hanging="420"/>
      </w:pPr>
      <w:rPr>
        <w:rFonts w:hint="default" w:ascii="Wingdings" w:hAnsi="Wingdings"/>
      </w:rPr>
    </w:lvl>
    <w:lvl w:ilvl="5" w:tentative="0">
      <w:start w:val="1"/>
      <w:numFmt w:val="bullet"/>
      <w:lvlText w:val=""/>
      <w:lvlJc w:val="left"/>
      <w:pPr>
        <w:ind w:left="3370" w:hanging="420"/>
      </w:pPr>
      <w:rPr>
        <w:rFonts w:hint="default" w:ascii="Wingdings" w:hAnsi="Wingdings"/>
      </w:rPr>
    </w:lvl>
    <w:lvl w:ilvl="6" w:tentative="0">
      <w:start w:val="1"/>
      <w:numFmt w:val="bullet"/>
      <w:lvlText w:val=""/>
      <w:lvlJc w:val="left"/>
      <w:pPr>
        <w:ind w:left="3790" w:hanging="420"/>
      </w:pPr>
      <w:rPr>
        <w:rFonts w:hint="default" w:ascii="Wingdings" w:hAnsi="Wingdings"/>
      </w:rPr>
    </w:lvl>
    <w:lvl w:ilvl="7" w:tentative="0">
      <w:start w:val="1"/>
      <w:numFmt w:val="bullet"/>
      <w:lvlText w:val=""/>
      <w:lvlJc w:val="left"/>
      <w:pPr>
        <w:ind w:left="4210" w:hanging="420"/>
      </w:pPr>
      <w:rPr>
        <w:rFonts w:hint="default" w:ascii="Wingdings" w:hAnsi="Wingdings"/>
      </w:rPr>
    </w:lvl>
    <w:lvl w:ilvl="8" w:tentative="0">
      <w:start w:val="1"/>
      <w:numFmt w:val="bullet"/>
      <w:lvlText w:val=""/>
      <w:lvlJc w:val="left"/>
      <w:pPr>
        <w:ind w:left="4630" w:hanging="420"/>
      </w:pPr>
      <w:rPr>
        <w:rFonts w:hint="default" w:ascii="Wingdings" w:hAnsi="Wingdings"/>
      </w:rPr>
    </w:lvl>
  </w:abstractNum>
  <w:abstractNum w:abstractNumId="53">
    <w:nsid w:val="159235B5"/>
    <w:multiLevelType w:val="multilevel"/>
    <w:tmpl w:val="159235B5"/>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4">
    <w:nsid w:val="15934A37"/>
    <w:multiLevelType w:val="multilevel"/>
    <w:tmpl w:val="15934A37"/>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55">
    <w:nsid w:val="162F3EA3"/>
    <w:multiLevelType w:val="multilevel"/>
    <w:tmpl w:val="162F3EA3"/>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56">
    <w:nsid w:val="163E7A35"/>
    <w:multiLevelType w:val="multilevel"/>
    <w:tmpl w:val="163E7A35"/>
    <w:lvl w:ilvl="0" w:tentative="0">
      <w:start w:val="1"/>
      <w:numFmt w:val="lowerLetter"/>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57">
    <w:nsid w:val="17CE674C"/>
    <w:multiLevelType w:val="multilevel"/>
    <w:tmpl w:val="17CE674C"/>
    <w:lvl w:ilvl="0" w:tentative="0">
      <w:start w:val="1"/>
      <w:numFmt w:val="lowerLetter"/>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58">
    <w:nsid w:val="18F522E0"/>
    <w:multiLevelType w:val="multilevel"/>
    <w:tmpl w:val="18F522E0"/>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59">
    <w:nsid w:val="19B15F60"/>
    <w:multiLevelType w:val="multilevel"/>
    <w:tmpl w:val="19B15F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1A4A4C90"/>
    <w:multiLevelType w:val="multilevel"/>
    <w:tmpl w:val="1A4A4C9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1A5D2A04"/>
    <w:multiLevelType w:val="multilevel"/>
    <w:tmpl w:val="1A5D2A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1A5F6C5F"/>
    <w:multiLevelType w:val="multilevel"/>
    <w:tmpl w:val="1A5F6C5F"/>
    <w:lvl w:ilvl="0" w:tentative="0">
      <w:start w:val="1"/>
      <w:numFmt w:val="decimal"/>
      <w:lvlText w:val="%1."/>
      <w:lvlJc w:val="left"/>
      <w:pPr>
        <w:ind w:left="425" w:hanging="425"/>
      </w:pPr>
      <w:rPr>
        <w:b/>
        <w:sz w:val="18"/>
        <w:szCs w:val="18"/>
      </w:rPr>
    </w:lvl>
    <w:lvl w:ilvl="1" w:tentative="0">
      <w:start w:val="1"/>
      <w:numFmt w:val="decimal"/>
      <w:lvlText w:val="%2"/>
      <w:lvlJc w:val="left"/>
      <w:pPr>
        <w:ind w:left="567" w:hanging="567"/>
      </w:pPr>
      <w:rPr>
        <w:rFonts w:hint="default" w:ascii="宋体" w:hAnsi="Times New Roman" w:cs="宋体"/>
        <w:b w:val="0"/>
        <w:sz w:val="18"/>
        <w:szCs w:val="18"/>
      </w:rPr>
    </w:lvl>
    <w:lvl w:ilvl="2" w:tentative="0">
      <w:start w:val="1"/>
      <w:numFmt w:val="decimal"/>
      <w:lvlText w:val="%3)"/>
      <w:lvlJc w:val="left"/>
      <w:pPr>
        <w:ind w:left="1418"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3">
    <w:nsid w:val="1B512C6C"/>
    <w:multiLevelType w:val="multilevel"/>
    <w:tmpl w:val="1B512C6C"/>
    <w:lvl w:ilvl="0" w:tentative="0">
      <w:start w:val="1"/>
      <w:numFmt w:val="decimal"/>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64">
    <w:nsid w:val="1B890DB8"/>
    <w:multiLevelType w:val="multilevel"/>
    <w:tmpl w:val="1B890DB8"/>
    <w:lvl w:ilvl="0" w:tentative="0">
      <w:start w:val="1"/>
      <w:numFmt w:val="bullet"/>
      <w:lvlText w:val=""/>
      <w:lvlJc w:val="left"/>
      <w:pPr>
        <w:ind w:left="1979" w:hanging="420"/>
      </w:pPr>
      <w:rPr>
        <w:rFonts w:hint="default" w:ascii="Wingdings" w:hAnsi="Wingdings"/>
      </w:rPr>
    </w:lvl>
    <w:lvl w:ilvl="1" w:tentative="0">
      <w:start w:val="1"/>
      <w:numFmt w:val="bullet"/>
      <w:lvlText w:val=""/>
      <w:lvlJc w:val="left"/>
      <w:pPr>
        <w:ind w:left="2399" w:hanging="420"/>
      </w:pPr>
      <w:rPr>
        <w:rFonts w:hint="default" w:ascii="Wingdings" w:hAnsi="Wingdings"/>
      </w:rPr>
    </w:lvl>
    <w:lvl w:ilvl="2" w:tentative="0">
      <w:start w:val="1"/>
      <w:numFmt w:val="bullet"/>
      <w:lvlText w:val=""/>
      <w:lvlJc w:val="left"/>
      <w:pPr>
        <w:ind w:left="2819" w:hanging="420"/>
      </w:pPr>
      <w:rPr>
        <w:rFonts w:hint="default" w:ascii="Wingdings" w:hAnsi="Wingdings"/>
      </w:rPr>
    </w:lvl>
    <w:lvl w:ilvl="3" w:tentative="0">
      <w:start w:val="1"/>
      <w:numFmt w:val="bullet"/>
      <w:lvlText w:val=""/>
      <w:lvlJc w:val="left"/>
      <w:pPr>
        <w:ind w:left="3239" w:hanging="420"/>
      </w:pPr>
      <w:rPr>
        <w:rFonts w:hint="default" w:ascii="Wingdings" w:hAnsi="Wingdings"/>
      </w:rPr>
    </w:lvl>
    <w:lvl w:ilvl="4" w:tentative="0">
      <w:start w:val="1"/>
      <w:numFmt w:val="bullet"/>
      <w:lvlText w:val=""/>
      <w:lvlJc w:val="left"/>
      <w:pPr>
        <w:ind w:left="3659" w:hanging="420"/>
      </w:pPr>
      <w:rPr>
        <w:rFonts w:hint="default" w:ascii="Wingdings" w:hAnsi="Wingdings"/>
      </w:rPr>
    </w:lvl>
    <w:lvl w:ilvl="5" w:tentative="0">
      <w:start w:val="1"/>
      <w:numFmt w:val="bullet"/>
      <w:lvlText w:val=""/>
      <w:lvlJc w:val="left"/>
      <w:pPr>
        <w:ind w:left="4079" w:hanging="420"/>
      </w:pPr>
      <w:rPr>
        <w:rFonts w:hint="default" w:ascii="Wingdings" w:hAnsi="Wingdings"/>
      </w:rPr>
    </w:lvl>
    <w:lvl w:ilvl="6" w:tentative="0">
      <w:start w:val="1"/>
      <w:numFmt w:val="bullet"/>
      <w:lvlText w:val=""/>
      <w:lvlJc w:val="left"/>
      <w:pPr>
        <w:ind w:left="4499" w:hanging="420"/>
      </w:pPr>
      <w:rPr>
        <w:rFonts w:hint="default" w:ascii="Wingdings" w:hAnsi="Wingdings"/>
      </w:rPr>
    </w:lvl>
    <w:lvl w:ilvl="7" w:tentative="0">
      <w:start w:val="1"/>
      <w:numFmt w:val="bullet"/>
      <w:lvlText w:val=""/>
      <w:lvlJc w:val="left"/>
      <w:pPr>
        <w:ind w:left="4919" w:hanging="420"/>
      </w:pPr>
      <w:rPr>
        <w:rFonts w:hint="default" w:ascii="Wingdings" w:hAnsi="Wingdings"/>
      </w:rPr>
    </w:lvl>
    <w:lvl w:ilvl="8" w:tentative="0">
      <w:start w:val="1"/>
      <w:numFmt w:val="bullet"/>
      <w:lvlText w:val=""/>
      <w:lvlJc w:val="left"/>
      <w:pPr>
        <w:ind w:left="5339" w:hanging="420"/>
      </w:pPr>
      <w:rPr>
        <w:rFonts w:hint="default" w:ascii="Wingdings" w:hAnsi="Wingdings"/>
      </w:rPr>
    </w:lvl>
  </w:abstractNum>
  <w:abstractNum w:abstractNumId="65">
    <w:nsid w:val="1D295F92"/>
    <w:multiLevelType w:val="multilevel"/>
    <w:tmpl w:val="1D295F92"/>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66">
    <w:nsid w:val="1D48796C"/>
    <w:multiLevelType w:val="multilevel"/>
    <w:tmpl w:val="1D48796C"/>
    <w:lvl w:ilvl="0" w:tentative="0">
      <w:start w:val="2"/>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200358ED"/>
    <w:multiLevelType w:val="multilevel"/>
    <w:tmpl w:val="200358ED"/>
    <w:lvl w:ilvl="0" w:tentative="0">
      <w:start w:val="1"/>
      <w:numFmt w:val="bullet"/>
      <w:lvlText w:val=""/>
      <w:lvlJc w:val="left"/>
      <w:pPr>
        <w:ind w:left="845" w:hanging="420"/>
      </w:pPr>
      <w:rPr>
        <w:rFonts w:hint="default" w:ascii="Wingdings" w:hAnsi="Wingdings"/>
        <w:b w:val="0"/>
        <w:i w:val="0"/>
        <w:sz w:val="24"/>
        <w:szCs w:val="24"/>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68">
    <w:nsid w:val="218E010C"/>
    <w:multiLevelType w:val="multilevel"/>
    <w:tmpl w:val="218E010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228A4FC1"/>
    <w:multiLevelType w:val="multilevel"/>
    <w:tmpl w:val="228A4FC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0">
    <w:nsid w:val="22CA5B01"/>
    <w:multiLevelType w:val="multilevel"/>
    <w:tmpl w:val="22CA5B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1">
    <w:nsid w:val="231A54DD"/>
    <w:multiLevelType w:val="multilevel"/>
    <w:tmpl w:val="231A54DD"/>
    <w:lvl w:ilvl="0" w:tentative="0">
      <w:start w:val="1"/>
      <w:numFmt w:val="lowerLetter"/>
      <w:lvlText w:val="%1)"/>
      <w:lvlJc w:val="left"/>
      <w:pPr>
        <w:ind w:left="1129" w:hanging="420"/>
      </w:pPr>
      <w:rPr>
        <w:rFonts w:hint="eastAsia"/>
      </w:rPr>
    </w:lvl>
    <w:lvl w:ilvl="1" w:tentative="0">
      <w:start w:val="1"/>
      <w:numFmt w:val="lowerLetter"/>
      <w:lvlText w:val="%2)"/>
      <w:lvlJc w:val="left"/>
      <w:pPr>
        <w:ind w:left="1189" w:hanging="420"/>
      </w:pPr>
    </w:lvl>
    <w:lvl w:ilvl="2" w:tentative="0">
      <w:start w:val="1"/>
      <w:numFmt w:val="lowerRoman"/>
      <w:lvlText w:val="%3."/>
      <w:lvlJc w:val="right"/>
      <w:pPr>
        <w:ind w:left="1609" w:hanging="420"/>
      </w:pPr>
    </w:lvl>
    <w:lvl w:ilvl="3" w:tentative="0">
      <w:start w:val="1"/>
      <w:numFmt w:val="decimal"/>
      <w:lvlText w:val="%4."/>
      <w:lvlJc w:val="left"/>
      <w:pPr>
        <w:ind w:left="2029" w:hanging="420"/>
      </w:pPr>
    </w:lvl>
    <w:lvl w:ilvl="4" w:tentative="0">
      <w:start w:val="1"/>
      <w:numFmt w:val="lowerLetter"/>
      <w:lvlText w:val="%5)"/>
      <w:lvlJc w:val="left"/>
      <w:pPr>
        <w:ind w:left="2449" w:hanging="420"/>
      </w:pPr>
    </w:lvl>
    <w:lvl w:ilvl="5" w:tentative="0">
      <w:start w:val="1"/>
      <w:numFmt w:val="lowerRoman"/>
      <w:lvlText w:val="%6."/>
      <w:lvlJc w:val="right"/>
      <w:pPr>
        <w:ind w:left="2869" w:hanging="420"/>
      </w:pPr>
    </w:lvl>
    <w:lvl w:ilvl="6" w:tentative="0">
      <w:start w:val="1"/>
      <w:numFmt w:val="decimal"/>
      <w:lvlText w:val="%7."/>
      <w:lvlJc w:val="left"/>
      <w:pPr>
        <w:ind w:left="3289" w:hanging="420"/>
      </w:pPr>
    </w:lvl>
    <w:lvl w:ilvl="7" w:tentative="0">
      <w:start w:val="1"/>
      <w:numFmt w:val="lowerLetter"/>
      <w:lvlText w:val="%8)"/>
      <w:lvlJc w:val="left"/>
      <w:pPr>
        <w:ind w:left="3709" w:hanging="420"/>
      </w:pPr>
    </w:lvl>
    <w:lvl w:ilvl="8" w:tentative="0">
      <w:start w:val="1"/>
      <w:numFmt w:val="lowerRoman"/>
      <w:lvlText w:val="%9."/>
      <w:lvlJc w:val="right"/>
      <w:pPr>
        <w:ind w:left="4129" w:hanging="420"/>
      </w:pPr>
    </w:lvl>
  </w:abstractNum>
  <w:abstractNum w:abstractNumId="72">
    <w:nsid w:val="23995084"/>
    <w:multiLevelType w:val="multilevel"/>
    <w:tmpl w:val="23995084"/>
    <w:lvl w:ilvl="0" w:tentative="0">
      <w:start w:val="1"/>
      <w:numFmt w:val="decimal"/>
      <w:lvlText w:val="%1、"/>
      <w:lvlJc w:val="left"/>
      <w:pPr>
        <w:ind w:left="1635" w:hanging="360"/>
      </w:pPr>
      <w:rPr>
        <w:rFonts w:hint="default"/>
      </w:rPr>
    </w:lvl>
    <w:lvl w:ilvl="1" w:tentative="0">
      <w:start w:val="1"/>
      <w:numFmt w:val="lowerLetter"/>
      <w:lvlText w:val="%2."/>
      <w:lvlJc w:val="left"/>
      <w:pPr>
        <w:ind w:left="2355" w:hanging="360"/>
      </w:pPr>
    </w:lvl>
    <w:lvl w:ilvl="2" w:tentative="0">
      <w:start w:val="1"/>
      <w:numFmt w:val="lowerRoman"/>
      <w:lvlText w:val="%3."/>
      <w:lvlJc w:val="right"/>
      <w:pPr>
        <w:ind w:left="3075" w:hanging="180"/>
      </w:pPr>
    </w:lvl>
    <w:lvl w:ilvl="3" w:tentative="0">
      <w:start w:val="1"/>
      <w:numFmt w:val="decimal"/>
      <w:lvlText w:val="%4."/>
      <w:lvlJc w:val="left"/>
      <w:pPr>
        <w:ind w:left="3795" w:hanging="360"/>
      </w:pPr>
    </w:lvl>
    <w:lvl w:ilvl="4" w:tentative="0">
      <w:start w:val="1"/>
      <w:numFmt w:val="lowerLetter"/>
      <w:lvlText w:val="%5."/>
      <w:lvlJc w:val="left"/>
      <w:pPr>
        <w:ind w:left="4515" w:hanging="360"/>
      </w:pPr>
    </w:lvl>
    <w:lvl w:ilvl="5" w:tentative="0">
      <w:start w:val="1"/>
      <w:numFmt w:val="lowerRoman"/>
      <w:lvlText w:val="%6."/>
      <w:lvlJc w:val="right"/>
      <w:pPr>
        <w:ind w:left="5235" w:hanging="180"/>
      </w:pPr>
    </w:lvl>
    <w:lvl w:ilvl="6" w:tentative="0">
      <w:start w:val="1"/>
      <w:numFmt w:val="decimal"/>
      <w:lvlText w:val="%7."/>
      <w:lvlJc w:val="left"/>
      <w:pPr>
        <w:ind w:left="5955" w:hanging="360"/>
      </w:pPr>
    </w:lvl>
    <w:lvl w:ilvl="7" w:tentative="0">
      <w:start w:val="1"/>
      <w:numFmt w:val="lowerLetter"/>
      <w:lvlText w:val="%8."/>
      <w:lvlJc w:val="left"/>
      <w:pPr>
        <w:ind w:left="6675" w:hanging="360"/>
      </w:pPr>
    </w:lvl>
    <w:lvl w:ilvl="8" w:tentative="0">
      <w:start w:val="1"/>
      <w:numFmt w:val="lowerRoman"/>
      <w:lvlText w:val="%9."/>
      <w:lvlJc w:val="right"/>
      <w:pPr>
        <w:ind w:left="7395" w:hanging="180"/>
      </w:pPr>
    </w:lvl>
  </w:abstractNum>
  <w:abstractNum w:abstractNumId="73">
    <w:nsid w:val="23B879A4"/>
    <w:multiLevelType w:val="multilevel"/>
    <w:tmpl w:val="23B879A4"/>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74">
    <w:nsid w:val="247E3FDC"/>
    <w:multiLevelType w:val="multilevel"/>
    <w:tmpl w:val="247E3FDC"/>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5">
    <w:nsid w:val="282B24D5"/>
    <w:multiLevelType w:val="multilevel"/>
    <w:tmpl w:val="282B24D5"/>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76">
    <w:nsid w:val="28405745"/>
    <w:multiLevelType w:val="multilevel"/>
    <w:tmpl w:val="28405745"/>
    <w:lvl w:ilvl="0" w:tentative="0">
      <w:start w:val="1"/>
      <w:numFmt w:val="bullet"/>
      <w:lvlText w:val=""/>
      <w:lvlJc w:val="left"/>
      <w:pPr>
        <w:ind w:left="1696"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7">
    <w:nsid w:val="285E503F"/>
    <w:multiLevelType w:val="multilevel"/>
    <w:tmpl w:val="285E503F"/>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78">
    <w:nsid w:val="28BA1586"/>
    <w:multiLevelType w:val="multilevel"/>
    <w:tmpl w:val="28BA1586"/>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79">
    <w:nsid w:val="29E01F08"/>
    <w:multiLevelType w:val="multilevel"/>
    <w:tmpl w:val="29E01F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2AA94E77"/>
    <w:multiLevelType w:val="multilevel"/>
    <w:tmpl w:val="2AA94E77"/>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1">
    <w:nsid w:val="2C586B2F"/>
    <w:multiLevelType w:val="multilevel"/>
    <w:tmpl w:val="2C586B2F"/>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82">
    <w:nsid w:val="2C8C1FE5"/>
    <w:multiLevelType w:val="multilevel"/>
    <w:tmpl w:val="2C8C1FE5"/>
    <w:lvl w:ilvl="0" w:tentative="0">
      <w:start w:val="1"/>
      <w:numFmt w:val="decimal"/>
      <w:lvlText w:val="%1."/>
      <w:lvlJc w:val="left"/>
      <w:pPr>
        <w:ind w:left="425" w:hanging="425"/>
      </w:pPr>
      <w:rPr>
        <w:b/>
        <w:sz w:val="18"/>
        <w:szCs w:val="18"/>
      </w:rPr>
    </w:lvl>
    <w:lvl w:ilvl="1" w:tentative="0">
      <w:start w:val="1"/>
      <w:numFmt w:val="decimal"/>
      <w:lvlText w:val="%1.%2."/>
      <w:lvlJc w:val="left"/>
      <w:pPr>
        <w:ind w:left="567" w:hanging="567"/>
      </w:pPr>
      <w:rPr>
        <w:b w:val="0"/>
        <w:sz w:val="18"/>
        <w:szCs w:val="18"/>
      </w:rPr>
    </w:lvl>
    <w:lvl w:ilvl="2" w:tentative="0">
      <w:start w:val="1"/>
      <w:numFmt w:val="decimal"/>
      <w:lvlText w:val="%3)"/>
      <w:lvlJc w:val="left"/>
      <w:pPr>
        <w:ind w:left="2551"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3">
    <w:nsid w:val="2C987EE5"/>
    <w:multiLevelType w:val="multilevel"/>
    <w:tmpl w:val="2C987EE5"/>
    <w:lvl w:ilvl="0" w:tentative="0">
      <w:start w:val="1"/>
      <w:numFmt w:val="decimal"/>
      <w:lvlText w:val="%1)"/>
      <w:lvlJc w:val="left"/>
      <w:pPr>
        <w:ind w:left="1837" w:hanging="420"/>
      </w:pPr>
    </w:lvl>
    <w:lvl w:ilvl="1" w:tentative="0">
      <w:start w:val="1"/>
      <w:numFmt w:val="lowerLetter"/>
      <w:lvlText w:val="%2)"/>
      <w:lvlJc w:val="left"/>
      <w:pPr>
        <w:ind w:left="1762" w:hanging="420"/>
      </w:pPr>
    </w:lvl>
    <w:lvl w:ilvl="2" w:tentative="0">
      <w:start w:val="1"/>
      <w:numFmt w:val="lowerRoman"/>
      <w:lvlText w:val="%3."/>
      <w:lvlJc w:val="right"/>
      <w:pPr>
        <w:ind w:left="2182" w:hanging="420"/>
      </w:pPr>
    </w:lvl>
    <w:lvl w:ilvl="3" w:tentative="0">
      <w:start w:val="1"/>
      <w:numFmt w:val="decimal"/>
      <w:lvlText w:val="%4."/>
      <w:lvlJc w:val="left"/>
      <w:pPr>
        <w:ind w:left="2602" w:hanging="420"/>
      </w:pPr>
    </w:lvl>
    <w:lvl w:ilvl="4" w:tentative="0">
      <w:start w:val="1"/>
      <w:numFmt w:val="lowerLetter"/>
      <w:lvlText w:val="%5)"/>
      <w:lvlJc w:val="left"/>
      <w:pPr>
        <w:ind w:left="3022" w:hanging="420"/>
      </w:pPr>
    </w:lvl>
    <w:lvl w:ilvl="5" w:tentative="0">
      <w:start w:val="1"/>
      <w:numFmt w:val="lowerRoman"/>
      <w:lvlText w:val="%6."/>
      <w:lvlJc w:val="right"/>
      <w:pPr>
        <w:ind w:left="3442" w:hanging="420"/>
      </w:pPr>
    </w:lvl>
    <w:lvl w:ilvl="6" w:tentative="0">
      <w:start w:val="1"/>
      <w:numFmt w:val="decimal"/>
      <w:lvlText w:val="%7."/>
      <w:lvlJc w:val="left"/>
      <w:pPr>
        <w:ind w:left="3862" w:hanging="420"/>
      </w:pPr>
    </w:lvl>
    <w:lvl w:ilvl="7" w:tentative="0">
      <w:start w:val="1"/>
      <w:numFmt w:val="lowerLetter"/>
      <w:lvlText w:val="%8)"/>
      <w:lvlJc w:val="left"/>
      <w:pPr>
        <w:ind w:left="4282" w:hanging="420"/>
      </w:pPr>
    </w:lvl>
    <w:lvl w:ilvl="8" w:tentative="0">
      <w:start w:val="1"/>
      <w:numFmt w:val="lowerRoman"/>
      <w:lvlText w:val="%9."/>
      <w:lvlJc w:val="right"/>
      <w:pPr>
        <w:ind w:left="4702" w:hanging="420"/>
      </w:pPr>
    </w:lvl>
  </w:abstractNum>
  <w:abstractNum w:abstractNumId="84">
    <w:nsid w:val="2DB24F9A"/>
    <w:multiLevelType w:val="multilevel"/>
    <w:tmpl w:val="2DB24F9A"/>
    <w:lvl w:ilvl="0" w:tentative="0">
      <w:start w:val="1"/>
      <w:numFmt w:val="decimal"/>
      <w:lvlText w:val="%1、"/>
      <w:lvlJc w:val="left"/>
      <w:pPr>
        <w:ind w:left="1635" w:hanging="360"/>
      </w:pPr>
      <w:rPr>
        <w:rFonts w:hint="default"/>
      </w:rPr>
    </w:lvl>
    <w:lvl w:ilvl="1" w:tentative="0">
      <w:start w:val="1"/>
      <w:numFmt w:val="lowerLetter"/>
      <w:lvlText w:val="%2."/>
      <w:lvlJc w:val="left"/>
      <w:pPr>
        <w:ind w:left="2355" w:hanging="360"/>
      </w:pPr>
    </w:lvl>
    <w:lvl w:ilvl="2" w:tentative="0">
      <w:start w:val="1"/>
      <w:numFmt w:val="lowerRoman"/>
      <w:lvlText w:val="%3."/>
      <w:lvlJc w:val="right"/>
      <w:pPr>
        <w:ind w:left="3075" w:hanging="180"/>
      </w:pPr>
    </w:lvl>
    <w:lvl w:ilvl="3" w:tentative="0">
      <w:start w:val="1"/>
      <w:numFmt w:val="decimal"/>
      <w:lvlText w:val="%4."/>
      <w:lvlJc w:val="left"/>
      <w:pPr>
        <w:ind w:left="3795" w:hanging="360"/>
      </w:pPr>
    </w:lvl>
    <w:lvl w:ilvl="4" w:tentative="0">
      <w:start w:val="1"/>
      <w:numFmt w:val="lowerLetter"/>
      <w:lvlText w:val="%5."/>
      <w:lvlJc w:val="left"/>
      <w:pPr>
        <w:ind w:left="4515" w:hanging="360"/>
      </w:pPr>
    </w:lvl>
    <w:lvl w:ilvl="5" w:tentative="0">
      <w:start w:val="1"/>
      <w:numFmt w:val="lowerRoman"/>
      <w:lvlText w:val="%6."/>
      <w:lvlJc w:val="right"/>
      <w:pPr>
        <w:ind w:left="5235" w:hanging="180"/>
      </w:pPr>
    </w:lvl>
    <w:lvl w:ilvl="6" w:tentative="0">
      <w:start w:val="1"/>
      <w:numFmt w:val="decimal"/>
      <w:lvlText w:val="%7."/>
      <w:lvlJc w:val="left"/>
      <w:pPr>
        <w:ind w:left="5955" w:hanging="360"/>
      </w:pPr>
    </w:lvl>
    <w:lvl w:ilvl="7" w:tentative="0">
      <w:start w:val="1"/>
      <w:numFmt w:val="lowerLetter"/>
      <w:lvlText w:val="%8."/>
      <w:lvlJc w:val="left"/>
      <w:pPr>
        <w:ind w:left="6675" w:hanging="360"/>
      </w:pPr>
    </w:lvl>
    <w:lvl w:ilvl="8" w:tentative="0">
      <w:start w:val="1"/>
      <w:numFmt w:val="lowerRoman"/>
      <w:lvlText w:val="%9."/>
      <w:lvlJc w:val="right"/>
      <w:pPr>
        <w:ind w:left="7395" w:hanging="180"/>
      </w:pPr>
    </w:lvl>
  </w:abstractNum>
  <w:abstractNum w:abstractNumId="85">
    <w:nsid w:val="2DB41383"/>
    <w:multiLevelType w:val="multilevel"/>
    <w:tmpl w:val="2DB41383"/>
    <w:lvl w:ilvl="0" w:tentative="0">
      <w:start w:val="1"/>
      <w:numFmt w:val="decimal"/>
      <w:lvlText w:val="%1."/>
      <w:lvlJc w:val="left"/>
      <w:pPr>
        <w:ind w:left="425" w:hanging="425"/>
      </w:pPr>
      <w:rPr>
        <w:b/>
        <w:sz w:val="18"/>
        <w:szCs w:val="18"/>
      </w:rPr>
    </w:lvl>
    <w:lvl w:ilvl="1" w:tentative="0">
      <w:start w:val="1"/>
      <w:numFmt w:val="decimal"/>
      <w:lvlText w:val="%1.%2."/>
      <w:lvlJc w:val="left"/>
      <w:pPr>
        <w:ind w:left="567" w:hanging="567"/>
      </w:pPr>
      <w:rPr>
        <w:b w:val="0"/>
        <w:sz w:val="18"/>
        <w:szCs w:val="18"/>
      </w:rPr>
    </w:lvl>
    <w:lvl w:ilvl="2" w:tentative="0">
      <w:start w:val="1"/>
      <w:numFmt w:val="decimal"/>
      <w:lvlText w:val="%3)"/>
      <w:lvlJc w:val="left"/>
      <w:pPr>
        <w:ind w:left="2551"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6">
    <w:nsid w:val="2E74481F"/>
    <w:multiLevelType w:val="multilevel"/>
    <w:tmpl w:val="2E74481F"/>
    <w:lvl w:ilvl="0" w:tentative="0">
      <w:start w:val="1"/>
      <w:numFmt w:val="decimal"/>
      <w:lvlText w:val="%1."/>
      <w:lvlJc w:val="left"/>
      <w:pPr>
        <w:ind w:left="425" w:hanging="425"/>
      </w:pPr>
      <w:rPr>
        <w:b/>
        <w:sz w:val="18"/>
        <w:szCs w:val="18"/>
      </w:rPr>
    </w:lvl>
    <w:lvl w:ilvl="1" w:tentative="0">
      <w:start w:val="1"/>
      <w:numFmt w:val="decimal"/>
      <w:lvlText w:val="%1.%2."/>
      <w:lvlJc w:val="left"/>
      <w:pPr>
        <w:ind w:left="567" w:hanging="567"/>
      </w:pPr>
      <w:rPr>
        <w:b w:val="0"/>
        <w:sz w:val="18"/>
        <w:szCs w:val="18"/>
      </w:rPr>
    </w:lvl>
    <w:lvl w:ilvl="2" w:tentative="0">
      <w:start w:val="1"/>
      <w:numFmt w:val="decimal"/>
      <w:lvlText w:val="%3)"/>
      <w:lvlJc w:val="left"/>
      <w:pPr>
        <w:ind w:left="2551"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7">
    <w:nsid w:val="2EED7C56"/>
    <w:multiLevelType w:val="multilevel"/>
    <w:tmpl w:val="2EED7C5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2F1B6B2A"/>
    <w:multiLevelType w:val="multilevel"/>
    <w:tmpl w:val="2F1B6B2A"/>
    <w:lvl w:ilvl="0" w:tentative="0">
      <w:start w:val="1"/>
      <w:numFmt w:val="decimal"/>
      <w:lvlText w:val="%1."/>
      <w:lvlJc w:val="left"/>
      <w:pPr>
        <w:ind w:left="425" w:hanging="425"/>
      </w:pPr>
      <w:rPr>
        <w:b/>
        <w:sz w:val="18"/>
        <w:szCs w:val="18"/>
      </w:rPr>
    </w:lvl>
    <w:lvl w:ilvl="1" w:tentative="0">
      <w:start w:val="1"/>
      <w:numFmt w:val="decimal"/>
      <w:lvlText w:val="%2)"/>
      <w:lvlJc w:val="left"/>
      <w:pPr>
        <w:ind w:left="1701" w:hanging="567"/>
      </w:pPr>
      <w:rPr>
        <w:rFonts w:hint="default"/>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9">
    <w:nsid w:val="2FCF5DC0"/>
    <w:multiLevelType w:val="multilevel"/>
    <w:tmpl w:val="2FCF5DC0"/>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90">
    <w:nsid w:val="2FF330D9"/>
    <w:multiLevelType w:val="multilevel"/>
    <w:tmpl w:val="2FF330D9"/>
    <w:lvl w:ilvl="0" w:tentative="0">
      <w:start w:val="1"/>
      <w:numFmt w:val="decimal"/>
      <w:lvlText w:val="%1)"/>
      <w:lvlJc w:val="left"/>
      <w:pPr>
        <w:ind w:left="1979" w:hanging="420"/>
      </w:pPr>
    </w:lvl>
    <w:lvl w:ilvl="1" w:tentative="0">
      <w:start w:val="1"/>
      <w:numFmt w:val="lowerLetter"/>
      <w:lvlText w:val="%2)"/>
      <w:lvlJc w:val="left"/>
      <w:pPr>
        <w:ind w:left="2399" w:hanging="420"/>
      </w:pPr>
    </w:lvl>
    <w:lvl w:ilvl="2" w:tentative="0">
      <w:start w:val="1"/>
      <w:numFmt w:val="lowerRoman"/>
      <w:lvlText w:val="%3."/>
      <w:lvlJc w:val="right"/>
      <w:pPr>
        <w:ind w:left="2819" w:hanging="420"/>
      </w:pPr>
    </w:lvl>
    <w:lvl w:ilvl="3" w:tentative="0">
      <w:start w:val="1"/>
      <w:numFmt w:val="decimal"/>
      <w:lvlText w:val="%4."/>
      <w:lvlJc w:val="left"/>
      <w:pPr>
        <w:ind w:left="3239" w:hanging="420"/>
      </w:pPr>
    </w:lvl>
    <w:lvl w:ilvl="4" w:tentative="0">
      <w:start w:val="1"/>
      <w:numFmt w:val="lowerLetter"/>
      <w:lvlText w:val="%5)"/>
      <w:lvlJc w:val="left"/>
      <w:pPr>
        <w:ind w:left="3659" w:hanging="420"/>
      </w:pPr>
    </w:lvl>
    <w:lvl w:ilvl="5" w:tentative="0">
      <w:start w:val="1"/>
      <w:numFmt w:val="lowerRoman"/>
      <w:lvlText w:val="%6."/>
      <w:lvlJc w:val="right"/>
      <w:pPr>
        <w:ind w:left="4079" w:hanging="420"/>
      </w:pPr>
    </w:lvl>
    <w:lvl w:ilvl="6" w:tentative="0">
      <w:start w:val="1"/>
      <w:numFmt w:val="decimal"/>
      <w:lvlText w:val="%7."/>
      <w:lvlJc w:val="left"/>
      <w:pPr>
        <w:ind w:left="4499" w:hanging="420"/>
      </w:pPr>
    </w:lvl>
    <w:lvl w:ilvl="7" w:tentative="0">
      <w:start w:val="1"/>
      <w:numFmt w:val="lowerLetter"/>
      <w:lvlText w:val="%8)"/>
      <w:lvlJc w:val="left"/>
      <w:pPr>
        <w:ind w:left="4919" w:hanging="420"/>
      </w:pPr>
    </w:lvl>
    <w:lvl w:ilvl="8" w:tentative="0">
      <w:start w:val="1"/>
      <w:numFmt w:val="lowerRoman"/>
      <w:lvlText w:val="%9."/>
      <w:lvlJc w:val="right"/>
      <w:pPr>
        <w:ind w:left="5339" w:hanging="420"/>
      </w:pPr>
    </w:lvl>
  </w:abstractNum>
  <w:abstractNum w:abstractNumId="91">
    <w:nsid w:val="30AE4366"/>
    <w:multiLevelType w:val="multilevel"/>
    <w:tmpl w:val="30AE4366"/>
    <w:lvl w:ilvl="0" w:tentative="0">
      <w:start w:val="1"/>
      <w:numFmt w:val="bullet"/>
      <w:lvlText w:val=""/>
      <w:lvlJc w:val="left"/>
      <w:pPr>
        <w:ind w:left="2061" w:hanging="360"/>
      </w:pPr>
      <w:rPr>
        <w:rFonts w:hint="default" w:ascii="Wingdings" w:hAnsi="Wingdings"/>
      </w:rPr>
    </w:lvl>
    <w:lvl w:ilvl="1" w:tentative="0">
      <w:start w:val="1"/>
      <w:numFmt w:val="bullet"/>
      <w:lvlText w:val="o"/>
      <w:lvlJc w:val="left"/>
      <w:pPr>
        <w:ind w:left="2781" w:hanging="360"/>
      </w:pPr>
      <w:rPr>
        <w:rFonts w:hint="default" w:ascii="Courier New" w:hAnsi="Courier New" w:cs="Courier New"/>
      </w:rPr>
    </w:lvl>
    <w:lvl w:ilvl="2" w:tentative="0">
      <w:start w:val="1"/>
      <w:numFmt w:val="bullet"/>
      <w:lvlText w:val=""/>
      <w:lvlJc w:val="left"/>
      <w:pPr>
        <w:ind w:left="3501" w:hanging="360"/>
      </w:pPr>
      <w:rPr>
        <w:rFonts w:hint="default" w:ascii="Wingdings" w:hAnsi="Wingdings"/>
      </w:rPr>
    </w:lvl>
    <w:lvl w:ilvl="3" w:tentative="0">
      <w:start w:val="1"/>
      <w:numFmt w:val="bullet"/>
      <w:lvlText w:val=""/>
      <w:lvlJc w:val="left"/>
      <w:pPr>
        <w:ind w:left="4221" w:hanging="360"/>
      </w:pPr>
      <w:rPr>
        <w:rFonts w:hint="default" w:ascii="Symbol" w:hAnsi="Symbol"/>
      </w:rPr>
    </w:lvl>
    <w:lvl w:ilvl="4" w:tentative="0">
      <w:start w:val="1"/>
      <w:numFmt w:val="bullet"/>
      <w:lvlText w:val="o"/>
      <w:lvlJc w:val="left"/>
      <w:pPr>
        <w:ind w:left="4941" w:hanging="360"/>
      </w:pPr>
      <w:rPr>
        <w:rFonts w:hint="default" w:ascii="Courier New" w:hAnsi="Courier New" w:cs="Courier New"/>
      </w:rPr>
    </w:lvl>
    <w:lvl w:ilvl="5" w:tentative="0">
      <w:start w:val="1"/>
      <w:numFmt w:val="bullet"/>
      <w:lvlText w:val=""/>
      <w:lvlJc w:val="left"/>
      <w:pPr>
        <w:ind w:left="5661" w:hanging="360"/>
      </w:pPr>
      <w:rPr>
        <w:rFonts w:hint="default" w:ascii="Wingdings" w:hAnsi="Wingdings"/>
      </w:rPr>
    </w:lvl>
    <w:lvl w:ilvl="6" w:tentative="0">
      <w:start w:val="1"/>
      <w:numFmt w:val="bullet"/>
      <w:lvlText w:val=""/>
      <w:lvlJc w:val="left"/>
      <w:pPr>
        <w:ind w:left="6381" w:hanging="360"/>
      </w:pPr>
      <w:rPr>
        <w:rFonts w:hint="default" w:ascii="Symbol" w:hAnsi="Symbol"/>
      </w:rPr>
    </w:lvl>
    <w:lvl w:ilvl="7" w:tentative="0">
      <w:start w:val="1"/>
      <w:numFmt w:val="bullet"/>
      <w:lvlText w:val="o"/>
      <w:lvlJc w:val="left"/>
      <w:pPr>
        <w:ind w:left="7101" w:hanging="360"/>
      </w:pPr>
      <w:rPr>
        <w:rFonts w:hint="default" w:ascii="Courier New" w:hAnsi="Courier New" w:cs="Courier New"/>
      </w:rPr>
    </w:lvl>
    <w:lvl w:ilvl="8" w:tentative="0">
      <w:start w:val="1"/>
      <w:numFmt w:val="bullet"/>
      <w:lvlText w:val=""/>
      <w:lvlJc w:val="left"/>
      <w:pPr>
        <w:ind w:left="7821" w:hanging="360"/>
      </w:pPr>
      <w:rPr>
        <w:rFonts w:hint="default" w:ascii="Wingdings" w:hAnsi="Wingdings"/>
      </w:rPr>
    </w:lvl>
  </w:abstractNum>
  <w:abstractNum w:abstractNumId="92">
    <w:nsid w:val="31D61632"/>
    <w:multiLevelType w:val="multilevel"/>
    <w:tmpl w:val="31D61632"/>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93">
    <w:nsid w:val="31DB634E"/>
    <w:multiLevelType w:val="multilevel"/>
    <w:tmpl w:val="31DB634E"/>
    <w:lvl w:ilvl="0" w:tentative="0">
      <w:start w:val="1"/>
      <w:numFmt w:val="decimal"/>
      <w:lvlText w:val="%1)"/>
      <w:lvlJc w:val="left"/>
      <w:pPr>
        <w:ind w:left="1626" w:hanging="420"/>
      </w:pPr>
    </w:lvl>
    <w:lvl w:ilvl="1" w:tentative="0">
      <w:start w:val="1"/>
      <w:numFmt w:val="decimal"/>
      <w:lvlText w:val="%2）"/>
      <w:lvlJc w:val="left"/>
      <w:pPr>
        <w:ind w:left="1986" w:hanging="360"/>
      </w:pPr>
      <w:rPr>
        <w:rFonts w:hint="default"/>
      </w:rPr>
    </w:lvl>
    <w:lvl w:ilvl="2" w:tentative="0">
      <w:start w:val="1"/>
      <w:numFmt w:val="lowerRoman"/>
      <w:lvlText w:val="%3."/>
      <w:lvlJc w:val="right"/>
      <w:pPr>
        <w:ind w:left="2466" w:hanging="420"/>
      </w:pPr>
    </w:lvl>
    <w:lvl w:ilvl="3" w:tentative="0">
      <w:start w:val="1"/>
      <w:numFmt w:val="decimal"/>
      <w:lvlText w:val="%4."/>
      <w:lvlJc w:val="left"/>
      <w:pPr>
        <w:ind w:left="2886" w:hanging="420"/>
      </w:pPr>
    </w:lvl>
    <w:lvl w:ilvl="4" w:tentative="0">
      <w:start w:val="1"/>
      <w:numFmt w:val="lowerLetter"/>
      <w:lvlText w:val="%5)"/>
      <w:lvlJc w:val="left"/>
      <w:pPr>
        <w:ind w:left="2121" w:hanging="420"/>
      </w:pPr>
    </w:lvl>
    <w:lvl w:ilvl="5" w:tentative="0">
      <w:start w:val="1"/>
      <w:numFmt w:val="lowerRoman"/>
      <w:lvlText w:val="%6."/>
      <w:lvlJc w:val="right"/>
      <w:pPr>
        <w:ind w:left="3726" w:hanging="420"/>
      </w:pPr>
    </w:lvl>
    <w:lvl w:ilvl="6" w:tentative="0">
      <w:start w:val="1"/>
      <w:numFmt w:val="decimal"/>
      <w:lvlText w:val="%7."/>
      <w:lvlJc w:val="left"/>
      <w:pPr>
        <w:ind w:left="4146" w:hanging="420"/>
      </w:pPr>
    </w:lvl>
    <w:lvl w:ilvl="7" w:tentative="0">
      <w:start w:val="1"/>
      <w:numFmt w:val="lowerLetter"/>
      <w:lvlText w:val="%8)"/>
      <w:lvlJc w:val="left"/>
      <w:pPr>
        <w:ind w:left="4566" w:hanging="420"/>
      </w:pPr>
    </w:lvl>
    <w:lvl w:ilvl="8" w:tentative="0">
      <w:start w:val="1"/>
      <w:numFmt w:val="lowerRoman"/>
      <w:lvlText w:val="%9."/>
      <w:lvlJc w:val="right"/>
      <w:pPr>
        <w:ind w:left="4986" w:hanging="420"/>
      </w:pPr>
    </w:lvl>
  </w:abstractNum>
  <w:abstractNum w:abstractNumId="94">
    <w:nsid w:val="32495D4F"/>
    <w:multiLevelType w:val="multilevel"/>
    <w:tmpl w:val="32495D4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332B234C"/>
    <w:multiLevelType w:val="multilevel"/>
    <w:tmpl w:val="332B234C"/>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96">
    <w:nsid w:val="336A2628"/>
    <w:multiLevelType w:val="multilevel"/>
    <w:tmpl w:val="336A2628"/>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97">
    <w:nsid w:val="34654020"/>
    <w:multiLevelType w:val="multilevel"/>
    <w:tmpl w:val="346540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8">
    <w:nsid w:val="34F304AF"/>
    <w:multiLevelType w:val="multilevel"/>
    <w:tmpl w:val="34F304A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99">
    <w:nsid w:val="36B86B53"/>
    <w:multiLevelType w:val="multilevel"/>
    <w:tmpl w:val="36B86B53"/>
    <w:lvl w:ilvl="0" w:tentative="0">
      <w:start w:val="1"/>
      <w:numFmt w:val="decimal"/>
      <w:lvlText w:val="%1."/>
      <w:lvlJc w:val="left"/>
      <w:pPr>
        <w:ind w:left="425" w:hanging="425"/>
      </w:pPr>
      <w:rPr>
        <w:rFonts w:hint="eastAsia"/>
      </w:rPr>
    </w:lvl>
    <w:lvl w:ilvl="1" w:tentative="0">
      <w:start w:val="1"/>
      <w:numFmt w:val="decimal"/>
      <w:lvlText w:val="%1.%2."/>
      <w:lvlJc w:val="left"/>
      <w:pPr>
        <w:ind w:left="567" w:firstLine="425"/>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0">
    <w:nsid w:val="36F230BD"/>
    <w:multiLevelType w:val="multilevel"/>
    <w:tmpl w:val="36F230BD"/>
    <w:lvl w:ilvl="0" w:tentative="0">
      <w:start w:val="1"/>
      <w:numFmt w:val="bullet"/>
      <w:lvlText w:val=""/>
      <w:lvlJc w:val="left"/>
      <w:pPr>
        <w:ind w:left="845" w:hanging="420"/>
      </w:pPr>
      <w:rPr>
        <w:rFonts w:hint="default" w:ascii="Wingdings" w:hAnsi="Wingdings"/>
        <w:b w:val="0"/>
        <w:i w:val="0"/>
        <w:sz w:val="24"/>
        <w:szCs w:val="24"/>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01">
    <w:nsid w:val="375A3D7C"/>
    <w:multiLevelType w:val="multilevel"/>
    <w:tmpl w:val="375A3D7C"/>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102">
    <w:nsid w:val="3A38273B"/>
    <w:multiLevelType w:val="multilevel"/>
    <w:tmpl w:val="3A38273B"/>
    <w:lvl w:ilvl="0" w:tentative="0">
      <w:start w:val="1"/>
      <w:numFmt w:val="decimal"/>
      <w:lvlText w:val="%1."/>
      <w:lvlJc w:val="left"/>
      <w:pPr>
        <w:ind w:left="425" w:hanging="425"/>
      </w:pPr>
      <w:rPr>
        <w:b/>
        <w:sz w:val="18"/>
        <w:szCs w:val="18"/>
      </w:rPr>
    </w:lvl>
    <w:lvl w:ilvl="1" w:tentative="0">
      <w:start w:val="1"/>
      <w:numFmt w:val="decimal"/>
      <w:lvlText w:val="%2"/>
      <w:lvlJc w:val="left"/>
      <w:pPr>
        <w:ind w:left="1276" w:hanging="567"/>
      </w:pPr>
      <w:rPr>
        <w:rFonts w:hint="default" w:ascii="宋体" w:hAnsi="Times New Roman" w:cs="宋体"/>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3">
    <w:nsid w:val="3AA75A49"/>
    <w:multiLevelType w:val="multilevel"/>
    <w:tmpl w:val="3AA75A49"/>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04">
    <w:nsid w:val="3BCC53DC"/>
    <w:multiLevelType w:val="multilevel"/>
    <w:tmpl w:val="3BCC53DC"/>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105">
    <w:nsid w:val="3C4305A5"/>
    <w:multiLevelType w:val="multilevel"/>
    <w:tmpl w:val="3C4305A5"/>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lowerLetter"/>
      <w:lvlText w:val="%7)"/>
      <w:lvlJc w:val="left"/>
      <w:pPr>
        <w:ind w:left="2262"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3D023836"/>
    <w:multiLevelType w:val="multilevel"/>
    <w:tmpl w:val="3D023836"/>
    <w:lvl w:ilvl="0" w:tentative="0">
      <w:start w:val="2"/>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07">
    <w:nsid w:val="3D534940"/>
    <w:multiLevelType w:val="multilevel"/>
    <w:tmpl w:val="3D534940"/>
    <w:lvl w:ilvl="0" w:tentative="0">
      <w:start w:val="1"/>
      <w:numFmt w:val="decimal"/>
      <w:lvlText w:val="%1."/>
      <w:lvlJc w:val="left"/>
      <w:pPr>
        <w:ind w:left="1412" w:hanging="420"/>
      </w:pPr>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108">
    <w:nsid w:val="3D7862B0"/>
    <w:multiLevelType w:val="multilevel"/>
    <w:tmpl w:val="3D7862B0"/>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109">
    <w:nsid w:val="3D9F2E50"/>
    <w:multiLevelType w:val="multilevel"/>
    <w:tmpl w:val="3D9F2E5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3DFB77C0"/>
    <w:multiLevelType w:val="multilevel"/>
    <w:tmpl w:val="3DFB77C0"/>
    <w:lvl w:ilvl="0" w:tentative="0">
      <w:start w:val="1"/>
      <w:numFmt w:val="decimal"/>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11">
    <w:nsid w:val="3F3171A0"/>
    <w:multiLevelType w:val="multilevel"/>
    <w:tmpl w:val="3F3171A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837"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3F333809"/>
    <w:multiLevelType w:val="multilevel"/>
    <w:tmpl w:val="3F333809"/>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113">
    <w:nsid w:val="3F375B55"/>
    <w:multiLevelType w:val="multilevel"/>
    <w:tmpl w:val="3F375B55"/>
    <w:lvl w:ilvl="0" w:tentative="0">
      <w:start w:val="1"/>
      <w:numFmt w:val="lowerLetter"/>
      <w:lvlText w:val="%1)"/>
      <w:lvlJc w:val="left"/>
      <w:pPr>
        <w:ind w:left="704" w:hanging="420"/>
      </w:p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14">
    <w:nsid w:val="3FCF2401"/>
    <w:multiLevelType w:val="multilevel"/>
    <w:tmpl w:val="3FCF2401"/>
    <w:lvl w:ilvl="0" w:tentative="0">
      <w:start w:val="1"/>
      <w:numFmt w:val="bullet"/>
      <w:lvlText w:val=""/>
      <w:lvlJc w:val="left"/>
      <w:pPr>
        <w:ind w:left="845" w:hanging="420"/>
      </w:pPr>
      <w:rPr>
        <w:rFonts w:hint="default" w:ascii="Wingdings" w:hAnsi="Wingdings"/>
        <w:b w:val="0"/>
        <w:i w:val="0"/>
        <w:sz w:val="24"/>
        <w:szCs w:val="24"/>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15">
    <w:nsid w:val="402173CC"/>
    <w:multiLevelType w:val="multilevel"/>
    <w:tmpl w:val="402173CC"/>
    <w:lvl w:ilvl="0" w:tentative="0">
      <w:start w:val="1"/>
      <w:numFmt w:val="decimal"/>
      <w:lvlText w:val="%1."/>
      <w:lvlJc w:val="left"/>
      <w:pPr>
        <w:ind w:left="425" w:hanging="425"/>
      </w:pPr>
      <w:rPr>
        <w:b/>
        <w:sz w:val="18"/>
        <w:szCs w:val="18"/>
      </w:rPr>
    </w:lvl>
    <w:lvl w:ilvl="1" w:tentative="0">
      <w:start w:val="1"/>
      <w:numFmt w:val="decimal"/>
      <w:lvlText w:val="%2"/>
      <w:lvlJc w:val="left"/>
      <w:pPr>
        <w:ind w:left="1275" w:hanging="567"/>
      </w:pPr>
      <w:rPr>
        <w:rFonts w:hint="default" w:ascii="宋体" w:hAnsi="Times New Roman" w:cs="宋体"/>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6">
    <w:nsid w:val="408450E2"/>
    <w:multiLevelType w:val="multilevel"/>
    <w:tmpl w:val="408450E2"/>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117">
    <w:nsid w:val="40F5380B"/>
    <w:multiLevelType w:val="multilevel"/>
    <w:tmpl w:val="40F5380B"/>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118">
    <w:nsid w:val="41826817"/>
    <w:multiLevelType w:val="multilevel"/>
    <w:tmpl w:val="4182681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41D24658"/>
    <w:multiLevelType w:val="multilevel"/>
    <w:tmpl w:val="41D24658"/>
    <w:lvl w:ilvl="0" w:tentative="0">
      <w:start w:val="1"/>
      <w:numFmt w:val="upperLetter"/>
      <w:lvlText w:val="%1、"/>
      <w:lvlJc w:val="left"/>
      <w:pPr>
        <w:ind w:left="808" w:hanging="360"/>
      </w:pPr>
      <w:rPr>
        <w:rFonts w:hint="default"/>
      </w:rPr>
    </w:lvl>
    <w:lvl w:ilvl="1" w:tentative="0">
      <w:start w:val="1"/>
      <w:numFmt w:val="lowerLetter"/>
      <w:lvlText w:val="%2)"/>
      <w:lvlJc w:val="left"/>
      <w:pPr>
        <w:ind w:left="1288" w:hanging="420"/>
      </w:pPr>
    </w:lvl>
    <w:lvl w:ilvl="2" w:tentative="0">
      <w:start w:val="1"/>
      <w:numFmt w:val="lowerRoman"/>
      <w:lvlText w:val="%3."/>
      <w:lvlJc w:val="right"/>
      <w:pPr>
        <w:ind w:left="1708" w:hanging="420"/>
      </w:pPr>
    </w:lvl>
    <w:lvl w:ilvl="3" w:tentative="0">
      <w:start w:val="1"/>
      <w:numFmt w:val="decimal"/>
      <w:lvlText w:val="%4."/>
      <w:lvlJc w:val="left"/>
      <w:pPr>
        <w:ind w:left="2128" w:hanging="420"/>
      </w:pPr>
    </w:lvl>
    <w:lvl w:ilvl="4" w:tentative="0">
      <w:start w:val="1"/>
      <w:numFmt w:val="lowerLetter"/>
      <w:lvlText w:val="%5)"/>
      <w:lvlJc w:val="left"/>
      <w:pPr>
        <w:ind w:left="2548" w:hanging="420"/>
      </w:pPr>
    </w:lvl>
    <w:lvl w:ilvl="5" w:tentative="0">
      <w:start w:val="1"/>
      <w:numFmt w:val="lowerRoman"/>
      <w:lvlText w:val="%6."/>
      <w:lvlJc w:val="right"/>
      <w:pPr>
        <w:ind w:left="2968" w:hanging="420"/>
      </w:pPr>
    </w:lvl>
    <w:lvl w:ilvl="6" w:tentative="0">
      <w:start w:val="1"/>
      <w:numFmt w:val="decimal"/>
      <w:lvlText w:val="%7."/>
      <w:lvlJc w:val="left"/>
      <w:pPr>
        <w:ind w:left="3388" w:hanging="420"/>
      </w:pPr>
    </w:lvl>
    <w:lvl w:ilvl="7" w:tentative="0">
      <w:start w:val="1"/>
      <w:numFmt w:val="lowerLetter"/>
      <w:lvlText w:val="%8)"/>
      <w:lvlJc w:val="left"/>
      <w:pPr>
        <w:ind w:left="3808" w:hanging="420"/>
      </w:pPr>
    </w:lvl>
    <w:lvl w:ilvl="8" w:tentative="0">
      <w:start w:val="1"/>
      <w:numFmt w:val="lowerRoman"/>
      <w:lvlText w:val="%9."/>
      <w:lvlJc w:val="right"/>
      <w:pPr>
        <w:ind w:left="4228" w:hanging="420"/>
      </w:pPr>
    </w:lvl>
  </w:abstractNum>
  <w:abstractNum w:abstractNumId="120">
    <w:nsid w:val="42044AE3"/>
    <w:multiLevelType w:val="multilevel"/>
    <w:tmpl w:val="42044AE3"/>
    <w:lvl w:ilvl="0" w:tentative="0">
      <w:start w:val="1"/>
      <w:numFmt w:val="bullet"/>
      <w:lvlText w:val=""/>
      <w:lvlJc w:val="left"/>
      <w:pPr>
        <w:ind w:left="1648" w:hanging="420"/>
      </w:pPr>
      <w:rPr>
        <w:rFonts w:hint="default" w:ascii="Wingdings" w:hAnsi="Wingdings"/>
      </w:rPr>
    </w:lvl>
    <w:lvl w:ilvl="1" w:tentative="0">
      <w:start w:val="1"/>
      <w:numFmt w:val="bullet"/>
      <w:lvlText w:val=""/>
      <w:lvlJc w:val="left"/>
      <w:pPr>
        <w:ind w:left="2068" w:hanging="420"/>
      </w:pPr>
      <w:rPr>
        <w:rFonts w:hint="default" w:ascii="Wingdings" w:hAnsi="Wingdings"/>
      </w:rPr>
    </w:lvl>
    <w:lvl w:ilvl="2" w:tentative="0">
      <w:start w:val="1"/>
      <w:numFmt w:val="bullet"/>
      <w:lvlText w:val=""/>
      <w:lvlJc w:val="left"/>
      <w:pPr>
        <w:ind w:left="2488" w:hanging="420"/>
      </w:pPr>
      <w:rPr>
        <w:rFonts w:hint="default" w:ascii="Wingdings" w:hAnsi="Wingdings"/>
      </w:rPr>
    </w:lvl>
    <w:lvl w:ilvl="3" w:tentative="0">
      <w:start w:val="1"/>
      <w:numFmt w:val="bullet"/>
      <w:lvlText w:val=""/>
      <w:lvlJc w:val="left"/>
      <w:pPr>
        <w:ind w:left="2908" w:hanging="420"/>
      </w:pPr>
      <w:rPr>
        <w:rFonts w:hint="default" w:ascii="Wingdings" w:hAnsi="Wingdings"/>
      </w:rPr>
    </w:lvl>
    <w:lvl w:ilvl="4" w:tentative="0">
      <w:start w:val="1"/>
      <w:numFmt w:val="bullet"/>
      <w:lvlText w:val=""/>
      <w:lvlJc w:val="left"/>
      <w:pPr>
        <w:ind w:left="3328" w:hanging="420"/>
      </w:pPr>
      <w:rPr>
        <w:rFonts w:hint="default" w:ascii="Wingdings" w:hAnsi="Wingdings"/>
      </w:rPr>
    </w:lvl>
    <w:lvl w:ilvl="5" w:tentative="0">
      <w:start w:val="1"/>
      <w:numFmt w:val="bullet"/>
      <w:lvlText w:val=""/>
      <w:lvlJc w:val="left"/>
      <w:pPr>
        <w:ind w:left="3748" w:hanging="420"/>
      </w:pPr>
      <w:rPr>
        <w:rFonts w:hint="default" w:ascii="Wingdings" w:hAnsi="Wingdings"/>
      </w:rPr>
    </w:lvl>
    <w:lvl w:ilvl="6" w:tentative="0">
      <w:start w:val="1"/>
      <w:numFmt w:val="bullet"/>
      <w:lvlText w:val=""/>
      <w:lvlJc w:val="left"/>
      <w:pPr>
        <w:ind w:left="4168" w:hanging="420"/>
      </w:pPr>
      <w:rPr>
        <w:rFonts w:hint="default" w:ascii="Wingdings" w:hAnsi="Wingdings"/>
      </w:rPr>
    </w:lvl>
    <w:lvl w:ilvl="7" w:tentative="0">
      <w:start w:val="1"/>
      <w:numFmt w:val="bullet"/>
      <w:lvlText w:val=""/>
      <w:lvlJc w:val="left"/>
      <w:pPr>
        <w:ind w:left="4588" w:hanging="420"/>
      </w:pPr>
      <w:rPr>
        <w:rFonts w:hint="default" w:ascii="Wingdings" w:hAnsi="Wingdings"/>
      </w:rPr>
    </w:lvl>
    <w:lvl w:ilvl="8" w:tentative="0">
      <w:start w:val="1"/>
      <w:numFmt w:val="bullet"/>
      <w:lvlText w:val=""/>
      <w:lvlJc w:val="left"/>
      <w:pPr>
        <w:ind w:left="5008" w:hanging="420"/>
      </w:pPr>
      <w:rPr>
        <w:rFonts w:hint="default" w:ascii="Wingdings" w:hAnsi="Wingdings"/>
      </w:rPr>
    </w:lvl>
  </w:abstractNum>
  <w:abstractNum w:abstractNumId="121">
    <w:nsid w:val="42352C30"/>
    <w:multiLevelType w:val="multilevel"/>
    <w:tmpl w:val="42352C3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2">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73"/>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72"/>
      <w:suff w:val="space"/>
      <w:lvlText w:val="表%9"/>
      <w:lvlJc w:val="center"/>
      <w:pPr>
        <w:ind w:left="0" w:firstLine="0"/>
      </w:pPr>
      <w:rPr>
        <w:rFonts w:hint="default" w:ascii="Arial" w:hAnsi="Arial" w:eastAsia="黑体"/>
        <w:b w:val="0"/>
        <w:i w:val="0"/>
        <w:sz w:val="18"/>
        <w:szCs w:val="18"/>
      </w:rPr>
    </w:lvl>
  </w:abstractNum>
  <w:abstractNum w:abstractNumId="123">
    <w:nsid w:val="4358439B"/>
    <w:multiLevelType w:val="multilevel"/>
    <w:tmpl w:val="4358439B"/>
    <w:lvl w:ilvl="0" w:tentative="0">
      <w:start w:val="1"/>
      <w:numFmt w:val="decimal"/>
      <w:lvlText w:val="%1."/>
      <w:lvlJc w:val="left"/>
      <w:pPr>
        <w:ind w:left="1412" w:hanging="420"/>
      </w:pPr>
    </w:lvl>
    <w:lvl w:ilvl="1" w:tentative="0">
      <w:start w:val="1"/>
      <w:numFmt w:val="lowerLetter"/>
      <w:lvlText w:val="%2)"/>
      <w:lvlJc w:val="left"/>
      <w:pPr>
        <w:ind w:left="1832" w:hanging="420"/>
      </w:pPr>
    </w:lvl>
    <w:lvl w:ilvl="2" w:tentative="0">
      <w:start w:val="1"/>
      <w:numFmt w:val="lowerRoman"/>
      <w:lvlText w:val="%3."/>
      <w:lvlJc w:val="right"/>
      <w:pPr>
        <w:ind w:left="2252" w:hanging="420"/>
      </w:pPr>
    </w:lvl>
    <w:lvl w:ilvl="3" w:tentative="0">
      <w:start w:val="1"/>
      <w:numFmt w:val="decimal"/>
      <w:lvlText w:val="%4."/>
      <w:lvlJc w:val="left"/>
      <w:pPr>
        <w:ind w:left="2672" w:hanging="420"/>
      </w:pPr>
    </w:lvl>
    <w:lvl w:ilvl="4" w:tentative="0">
      <w:start w:val="1"/>
      <w:numFmt w:val="lowerLetter"/>
      <w:lvlText w:val="%5)"/>
      <w:lvlJc w:val="left"/>
      <w:pPr>
        <w:ind w:left="3092" w:hanging="420"/>
      </w:pPr>
    </w:lvl>
    <w:lvl w:ilvl="5" w:tentative="0">
      <w:start w:val="1"/>
      <w:numFmt w:val="lowerRoman"/>
      <w:lvlText w:val="%6."/>
      <w:lvlJc w:val="right"/>
      <w:pPr>
        <w:ind w:left="3512" w:hanging="420"/>
      </w:pPr>
    </w:lvl>
    <w:lvl w:ilvl="6" w:tentative="0">
      <w:start w:val="1"/>
      <w:numFmt w:val="decimal"/>
      <w:lvlText w:val="%7."/>
      <w:lvlJc w:val="left"/>
      <w:pPr>
        <w:ind w:left="3932" w:hanging="420"/>
      </w:pPr>
    </w:lvl>
    <w:lvl w:ilvl="7" w:tentative="0">
      <w:start w:val="1"/>
      <w:numFmt w:val="lowerLetter"/>
      <w:lvlText w:val="%8)"/>
      <w:lvlJc w:val="left"/>
      <w:pPr>
        <w:ind w:left="4352" w:hanging="420"/>
      </w:pPr>
    </w:lvl>
    <w:lvl w:ilvl="8" w:tentative="0">
      <w:start w:val="1"/>
      <w:numFmt w:val="lowerRoman"/>
      <w:lvlText w:val="%9."/>
      <w:lvlJc w:val="right"/>
      <w:pPr>
        <w:ind w:left="4772" w:hanging="420"/>
      </w:pPr>
    </w:lvl>
  </w:abstractNum>
  <w:abstractNum w:abstractNumId="124">
    <w:nsid w:val="436073D4"/>
    <w:multiLevelType w:val="multilevel"/>
    <w:tmpl w:val="436073D4"/>
    <w:lvl w:ilvl="0" w:tentative="0">
      <w:start w:val="1"/>
      <w:numFmt w:val="lowerLetter"/>
      <w:lvlText w:val="%1)"/>
      <w:lvlJc w:val="left"/>
      <w:pPr>
        <w:ind w:left="703" w:hanging="420"/>
      </w:p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125">
    <w:nsid w:val="43A71689"/>
    <w:multiLevelType w:val="multilevel"/>
    <w:tmpl w:val="43A716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6">
    <w:nsid w:val="43B41CAA"/>
    <w:multiLevelType w:val="multilevel"/>
    <w:tmpl w:val="43B41CAA"/>
    <w:lvl w:ilvl="0" w:tentative="0">
      <w:start w:val="1"/>
      <w:numFmt w:val="decimal"/>
      <w:lvlText w:val="%1、"/>
      <w:lvlJc w:val="left"/>
      <w:pPr>
        <w:ind w:left="360" w:hanging="360"/>
      </w:pPr>
      <w:rPr>
        <w:rFonts w:hint="default"/>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7">
    <w:nsid w:val="442E5721"/>
    <w:multiLevelType w:val="multilevel"/>
    <w:tmpl w:val="442E572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44A93A34"/>
    <w:multiLevelType w:val="multilevel"/>
    <w:tmpl w:val="44A93A34"/>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129">
    <w:nsid w:val="44FB21F8"/>
    <w:multiLevelType w:val="multilevel"/>
    <w:tmpl w:val="44FB21F8"/>
    <w:lvl w:ilvl="0" w:tentative="0">
      <w:start w:val="1"/>
      <w:numFmt w:val="decimal"/>
      <w:lvlText w:val="%1."/>
      <w:lvlJc w:val="left"/>
      <w:pPr>
        <w:ind w:left="425" w:hanging="425"/>
      </w:pPr>
      <w:rPr>
        <w:b/>
        <w:sz w:val="18"/>
        <w:szCs w:val="18"/>
      </w:rPr>
    </w:lvl>
    <w:lvl w:ilvl="1" w:tentative="0">
      <w:start w:val="1"/>
      <w:numFmt w:val="decimal"/>
      <w:lvlText w:val="%2"/>
      <w:lvlJc w:val="left"/>
      <w:pPr>
        <w:ind w:left="1275" w:hanging="567"/>
      </w:pPr>
      <w:rPr>
        <w:rFonts w:hint="default" w:ascii="宋体" w:hAnsi="Times New Roman" w:cs="宋体"/>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0">
    <w:nsid w:val="460210D3"/>
    <w:multiLevelType w:val="multilevel"/>
    <w:tmpl w:val="460210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1">
    <w:nsid w:val="46F0164F"/>
    <w:multiLevelType w:val="multilevel"/>
    <w:tmpl w:val="46F0164F"/>
    <w:lvl w:ilvl="0" w:tentative="0">
      <w:start w:val="1"/>
      <w:numFmt w:val="lowerLetter"/>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132">
    <w:nsid w:val="47583078"/>
    <w:multiLevelType w:val="multilevel"/>
    <w:tmpl w:val="47583078"/>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133">
    <w:nsid w:val="47B70215"/>
    <w:multiLevelType w:val="multilevel"/>
    <w:tmpl w:val="47B70215"/>
    <w:lvl w:ilvl="0" w:tentative="0">
      <w:start w:val="1"/>
      <w:numFmt w:val="decimal"/>
      <w:lvlText w:val="%1、"/>
      <w:lvlJc w:val="left"/>
      <w:pPr>
        <w:ind w:left="1777" w:hanging="360"/>
      </w:pPr>
      <w:rPr>
        <w:rFonts w:hint="default"/>
      </w:rPr>
    </w:lvl>
    <w:lvl w:ilvl="1" w:tentative="0">
      <w:start w:val="1"/>
      <w:numFmt w:val="lowerLetter"/>
      <w:lvlText w:val="%2."/>
      <w:lvlJc w:val="left"/>
      <w:pPr>
        <w:ind w:left="2497" w:hanging="360"/>
      </w:pPr>
    </w:lvl>
    <w:lvl w:ilvl="2" w:tentative="0">
      <w:start w:val="1"/>
      <w:numFmt w:val="lowerRoman"/>
      <w:lvlText w:val="%3."/>
      <w:lvlJc w:val="right"/>
      <w:pPr>
        <w:ind w:left="3217" w:hanging="180"/>
      </w:pPr>
    </w:lvl>
    <w:lvl w:ilvl="3" w:tentative="0">
      <w:start w:val="1"/>
      <w:numFmt w:val="decimal"/>
      <w:lvlText w:val="%4."/>
      <w:lvlJc w:val="left"/>
      <w:pPr>
        <w:ind w:left="3937" w:hanging="360"/>
      </w:pPr>
    </w:lvl>
    <w:lvl w:ilvl="4" w:tentative="0">
      <w:start w:val="1"/>
      <w:numFmt w:val="lowerLetter"/>
      <w:lvlText w:val="%5."/>
      <w:lvlJc w:val="left"/>
      <w:pPr>
        <w:ind w:left="4657" w:hanging="360"/>
      </w:pPr>
    </w:lvl>
    <w:lvl w:ilvl="5" w:tentative="0">
      <w:start w:val="1"/>
      <w:numFmt w:val="lowerRoman"/>
      <w:lvlText w:val="%6."/>
      <w:lvlJc w:val="right"/>
      <w:pPr>
        <w:ind w:left="5377" w:hanging="180"/>
      </w:pPr>
    </w:lvl>
    <w:lvl w:ilvl="6" w:tentative="0">
      <w:start w:val="1"/>
      <w:numFmt w:val="decimal"/>
      <w:lvlText w:val="%7."/>
      <w:lvlJc w:val="left"/>
      <w:pPr>
        <w:ind w:left="6097" w:hanging="360"/>
      </w:pPr>
    </w:lvl>
    <w:lvl w:ilvl="7" w:tentative="0">
      <w:start w:val="1"/>
      <w:numFmt w:val="lowerLetter"/>
      <w:lvlText w:val="%8."/>
      <w:lvlJc w:val="left"/>
      <w:pPr>
        <w:ind w:left="6817" w:hanging="360"/>
      </w:pPr>
    </w:lvl>
    <w:lvl w:ilvl="8" w:tentative="0">
      <w:start w:val="1"/>
      <w:numFmt w:val="lowerRoman"/>
      <w:lvlText w:val="%9."/>
      <w:lvlJc w:val="right"/>
      <w:pPr>
        <w:ind w:left="7537" w:hanging="180"/>
      </w:pPr>
    </w:lvl>
  </w:abstractNum>
  <w:abstractNum w:abstractNumId="134">
    <w:nsid w:val="487A3D4C"/>
    <w:multiLevelType w:val="multilevel"/>
    <w:tmpl w:val="487A3D4C"/>
    <w:lvl w:ilvl="0" w:tentative="0">
      <w:start w:val="1"/>
      <w:numFmt w:val="decimal"/>
      <w:pStyle w:val="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4948066F"/>
    <w:multiLevelType w:val="multilevel"/>
    <w:tmpl w:val="4948066F"/>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136">
    <w:nsid w:val="498E0DA0"/>
    <w:multiLevelType w:val="multilevel"/>
    <w:tmpl w:val="498E0DA0"/>
    <w:lvl w:ilvl="0" w:tentative="0">
      <w:start w:val="1"/>
      <w:numFmt w:val="decimal"/>
      <w:lvlText w:val="%1."/>
      <w:lvlJc w:val="left"/>
      <w:pPr>
        <w:ind w:left="425" w:hanging="425"/>
      </w:pPr>
      <w:rPr>
        <w:b/>
        <w:sz w:val="18"/>
        <w:szCs w:val="18"/>
      </w:rPr>
    </w:lvl>
    <w:lvl w:ilvl="1" w:tentative="0">
      <w:start w:val="1"/>
      <w:numFmt w:val="decimal"/>
      <w:lvlText w:val="%2)"/>
      <w:lvlJc w:val="left"/>
      <w:pPr>
        <w:ind w:left="1701" w:hanging="567"/>
      </w:pPr>
      <w:rPr>
        <w:rFonts w:hint="default"/>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7">
    <w:nsid w:val="4AB8280B"/>
    <w:multiLevelType w:val="multilevel"/>
    <w:tmpl w:val="4AB8280B"/>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138">
    <w:nsid w:val="4B5B245E"/>
    <w:multiLevelType w:val="multilevel"/>
    <w:tmpl w:val="4B5B24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9">
    <w:nsid w:val="4C11647A"/>
    <w:multiLevelType w:val="multilevel"/>
    <w:tmpl w:val="4C11647A"/>
    <w:lvl w:ilvl="0" w:tentative="0">
      <w:start w:val="1"/>
      <w:numFmt w:val="decimal"/>
      <w:lvlText w:val="%1."/>
      <w:lvlJc w:val="left"/>
      <w:pPr>
        <w:ind w:left="425" w:hanging="425"/>
      </w:pPr>
      <w:rPr>
        <w:b/>
        <w:sz w:val="18"/>
        <w:szCs w:val="18"/>
      </w:rPr>
    </w:lvl>
    <w:lvl w:ilvl="1" w:tentative="0">
      <w:start w:val="1"/>
      <w:numFmt w:val="decimal"/>
      <w:lvlText w:val="%2)"/>
      <w:lvlJc w:val="left"/>
      <w:pPr>
        <w:ind w:left="1701" w:hanging="567"/>
      </w:pPr>
      <w:rPr>
        <w:rFonts w:hint="default"/>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0">
    <w:nsid w:val="4CDF55F1"/>
    <w:multiLevelType w:val="multilevel"/>
    <w:tmpl w:val="4CDF55F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1">
    <w:nsid w:val="4CF35A24"/>
    <w:multiLevelType w:val="multilevel"/>
    <w:tmpl w:val="4CF35A24"/>
    <w:lvl w:ilvl="0" w:tentative="0">
      <w:start w:val="1"/>
      <w:numFmt w:val="decimal"/>
      <w:lvlText w:val="(%1)"/>
      <w:lvlJc w:val="left"/>
      <w:pPr>
        <w:ind w:left="1270" w:hanging="420"/>
      </w:pPr>
      <w:rPr>
        <w:rFonts w:hint="default" w:ascii="Arial" w:hAnsi="Arial" w:eastAsia="宋体" w:cs="Arial"/>
      </w:r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142">
    <w:nsid w:val="4D70769E"/>
    <w:multiLevelType w:val="multilevel"/>
    <w:tmpl w:val="4D70769E"/>
    <w:lvl w:ilvl="0" w:tentative="0">
      <w:start w:val="1"/>
      <w:numFmt w:val="bullet"/>
      <w:lvlText w:val=""/>
      <w:lvlJc w:val="left"/>
      <w:pPr>
        <w:ind w:left="2971" w:hanging="420"/>
      </w:pPr>
      <w:rPr>
        <w:rFonts w:hint="default" w:ascii="Wingdings" w:hAnsi="Wingdings"/>
        <w:b w:val="0"/>
        <w:i w:val="0"/>
        <w:sz w:val="24"/>
        <w:szCs w:val="24"/>
      </w:rPr>
    </w:lvl>
    <w:lvl w:ilvl="1" w:tentative="0">
      <w:start w:val="1"/>
      <w:numFmt w:val="bullet"/>
      <w:lvlText w:val=""/>
      <w:lvlJc w:val="left"/>
      <w:pPr>
        <w:ind w:left="3391" w:hanging="420"/>
      </w:pPr>
      <w:rPr>
        <w:rFonts w:hint="default" w:ascii="Wingdings" w:hAnsi="Wingdings"/>
      </w:rPr>
    </w:lvl>
    <w:lvl w:ilvl="2" w:tentative="0">
      <w:start w:val="1"/>
      <w:numFmt w:val="bullet"/>
      <w:lvlText w:val=""/>
      <w:lvlJc w:val="left"/>
      <w:pPr>
        <w:ind w:left="3811" w:hanging="420"/>
      </w:pPr>
      <w:rPr>
        <w:rFonts w:hint="default" w:ascii="Wingdings" w:hAnsi="Wingdings"/>
      </w:rPr>
    </w:lvl>
    <w:lvl w:ilvl="3" w:tentative="0">
      <w:start w:val="1"/>
      <w:numFmt w:val="bullet"/>
      <w:lvlText w:val=""/>
      <w:lvlJc w:val="left"/>
      <w:pPr>
        <w:ind w:left="4231" w:hanging="420"/>
      </w:pPr>
      <w:rPr>
        <w:rFonts w:hint="default" w:ascii="Wingdings" w:hAnsi="Wingdings"/>
      </w:rPr>
    </w:lvl>
    <w:lvl w:ilvl="4" w:tentative="0">
      <w:start w:val="1"/>
      <w:numFmt w:val="bullet"/>
      <w:lvlText w:val=""/>
      <w:lvlJc w:val="left"/>
      <w:pPr>
        <w:ind w:left="4651" w:hanging="420"/>
      </w:pPr>
      <w:rPr>
        <w:rFonts w:hint="default" w:ascii="Wingdings" w:hAnsi="Wingdings"/>
      </w:rPr>
    </w:lvl>
    <w:lvl w:ilvl="5" w:tentative="0">
      <w:start w:val="1"/>
      <w:numFmt w:val="bullet"/>
      <w:lvlText w:val=""/>
      <w:lvlJc w:val="left"/>
      <w:pPr>
        <w:ind w:left="5071" w:hanging="420"/>
      </w:pPr>
      <w:rPr>
        <w:rFonts w:hint="default" w:ascii="Wingdings" w:hAnsi="Wingdings"/>
      </w:rPr>
    </w:lvl>
    <w:lvl w:ilvl="6" w:tentative="0">
      <w:start w:val="1"/>
      <w:numFmt w:val="bullet"/>
      <w:lvlText w:val=""/>
      <w:lvlJc w:val="left"/>
      <w:pPr>
        <w:ind w:left="5491" w:hanging="420"/>
      </w:pPr>
      <w:rPr>
        <w:rFonts w:hint="default" w:ascii="Wingdings" w:hAnsi="Wingdings"/>
      </w:rPr>
    </w:lvl>
    <w:lvl w:ilvl="7" w:tentative="0">
      <w:start w:val="1"/>
      <w:numFmt w:val="bullet"/>
      <w:lvlText w:val=""/>
      <w:lvlJc w:val="left"/>
      <w:pPr>
        <w:ind w:left="5911" w:hanging="420"/>
      </w:pPr>
      <w:rPr>
        <w:rFonts w:hint="default" w:ascii="Wingdings" w:hAnsi="Wingdings"/>
      </w:rPr>
    </w:lvl>
    <w:lvl w:ilvl="8" w:tentative="0">
      <w:start w:val="1"/>
      <w:numFmt w:val="bullet"/>
      <w:lvlText w:val=""/>
      <w:lvlJc w:val="left"/>
      <w:pPr>
        <w:ind w:left="6331" w:hanging="420"/>
      </w:pPr>
      <w:rPr>
        <w:rFonts w:hint="default" w:ascii="Wingdings" w:hAnsi="Wingdings"/>
      </w:rPr>
    </w:lvl>
  </w:abstractNum>
  <w:abstractNum w:abstractNumId="143">
    <w:nsid w:val="511E20CE"/>
    <w:multiLevelType w:val="multilevel"/>
    <w:tmpl w:val="511E20CE"/>
    <w:lvl w:ilvl="0" w:tentative="0">
      <w:start w:val="1"/>
      <w:numFmt w:val="decimal"/>
      <w:lvlText w:val="%1."/>
      <w:lvlJc w:val="left"/>
      <w:pPr>
        <w:ind w:left="1270" w:hanging="420"/>
      </w:pPr>
    </w:lvl>
    <w:lvl w:ilvl="1" w:tentative="0">
      <w:start w:val="1"/>
      <w:numFmt w:val="lowerLetter"/>
      <w:lvlText w:val="%2)"/>
      <w:lvlJc w:val="left"/>
      <w:pPr>
        <w:ind w:left="1690" w:hanging="420"/>
      </w:pPr>
    </w:lvl>
    <w:lvl w:ilvl="2" w:tentative="0">
      <w:start w:val="1"/>
      <w:numFmt w:val="lowerRoman"/>
      <w:lvlText w:val="%3."/>
      <w:lvlJc w:val="right"/>
      <w:pPr>
        <w:ind w:left="211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144">
    <w:nsid w:val="525C5F17"/>
    <w:multiLevelType w:val="multilevel"/>
    <w:tmpl w:val="525C5F17"/>
    <w:lvl w:ilvl="0" w:tentative="0">
      <w:start w:val="1"/>
      <w:numFmt w:val="decimal"/>
      <w:lvlText w:val="%1."/>
      <w:lvlJc w:val="left"/>
      <w:pPr>
        <w:tabs>
          <w:tab w:val="left" w:pos="425"/>
        </w:tabs>
        <w:ind w:left="425" w:hanging="425"/>
      </w:pPr>
      <w:rPr>
        <w:rFonts w:hint="eastAsia"/>
      </w:rPr>
    </w:lvl>
    <w:lvl w:ilvl="1" w:tentative="0">
      <w:start w:val="3"/>
      <w:numFmt w:val="decimal"/>
      <w:lvlText w:val="%1.%2.1"/>
      <w:lvlJc w:val="left"/>
      <w:pPr>
        <w:tabs>
          <w:tab w:val="left" w:pos="1559"/>
        </w:tabs>
        <w:ind w:left="1559" w:hanging="567"/>
      </w:pPr>
      <w:rPr>
        <w:rFonts w:hint="eastAsia"/>
      </w:rPr>
    </w:lvl>
    <w:lvl w:ilvl="2" w:tentative="0">
      <w:start w:val="1"/>
      <w:numFmt w:val="decimal"/>
      <w:lvlText w:val="%1.3.%3."/>
      <w:lvlJc w:val="left"/>
      <w:pPr>
        <w:tabs>
          <w:tab w:val="left" w:pos="1559"/>
        </w:tabs>
        <w:ind w:left="155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5">
    <w:nsid w:val="53D43790"/>
    <w:multiLevelType w:val="multilevel"/>
    <w:tmpl w:val="53D4379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46">
    <w:nsid w:val="56D918EC"/>
    <w:multiLevelType w:val="multilevel"/>
    <w:tmpl w:val="56D918EC"/>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147">
    <w:nsid w:val="5799466C"/>
    <w:multiLevelType w:val="multilevel"/>
    <w:tmpl w:val="5799466C"/>
    <w:lvl w:ilvl="0" w:tentative="0">
      <w:start w:val="1"/>
      <w:numFmt w:val="bullet"/>
      <w:lvlText w:val=""/>
      <w:lvlJc w:val="left"/>
      <w:pPr>
        <w:ind w:left="1020" w:hanging="420"/>
      </w:pPr>
      <w:rPr>
        <w:rFonts w:hint="default" w:ascii="Wingdings" w:hAnsi="Wingdings"/>
      </w:rPr>
    </w:lvl>
    <w:lvl w:ilvl="1" w:tentative="0">
      <w:start w:val="1"/>
      <w:numFmt w:val="bullet"/>
      <w:lvlText w:val=""/>
      <w:lvlJc w:val="left"/>
      <w:pPr>
        <w:ind w:left="1440" w:hanging="420"/>
      </w:pPr>
      <w:rPr>
        <w:rFonts w:hint="default" w:ascii="Wingdings" w:hAnsi="Wingdings"/>
      </w:rPr>
    </w:lvl>
    <w:lvl w:ilvl="2" w:tentative="0">
      <w:start w:val="1"/>
      <w:numFmt w:val="bullet"/>
      <w:lvlText w:val=""/>
      <w:lvlJc w:val="left"/>
      <w:pPr>
        <w:ind w:left="1860" w:hanging="420"/>
      </w:pPr>
      <w:rPr>
        <w:rFonts w:hint="default" w:ascii="Wingdings" w:hAnsi="Wingdings"/>
      </w:rPr>
    </w:lvl>
    <w:lvl w:ilvl="3" w:tentative="0">
      <w:start w:val="1"/>
      <w:numFmt w:val="bullet"/>
      <w:lvlText w:val=""/>
      <w:lvlJc w:val="left"/>
      <w:pPr>
        <w:ind w:left="2280" w:hanging="420"/>
      </w:pPr>
      <w:rPr>
        <w:rFonts w:hint="default" w:ascii="Wingdings" w:hAnsi="Wingdings"/>
      </w:rPr>
    </w:lvl>
    <w:lvl w:ilvl="4" w:tentative="0">
      <w:start w:val="1"/>
      <w:numFmt w:val="bullet"/>
      <w:lvlText w:val=""/>
      <w:lvlJc w:val="left"/>
      <w:pPr>
        <w:ind w:left="2700" w:hanging="420"/>
      </w:pPr>
      <w:rPr>
        <w:rFonts w:hint="default" w:ascii="Wingdings" w:hAnsi="Wingdings"/>
      </w:rPr>
    </w:lvl>
    <w:lvl w:ilvl="5" w:tentative="0">
      <w:start w:val="1"/>
      <w:numFmt w:val="bullet"/>
      <w:lvlText w:val=""/>
      <w:lvlJc w:val="left"/>
      <w:pPr>
        <w:ind w:left="3120" w:hanging="420"/>
      </w:pPr>
      <w:rPr>
        <w:rFonts w:hint="default" w:ascii="Wingdings" w:hAnsi="Wingdings"/>
      </w:rPr>
    </w:lvl>
    <w:lvl w:ilvl="6" w:tentative="0">
      <w:start w:val="1"/>
      <w:numFmt w:val="bullet"/>
      <w:lvlText w:val=""/>
      <w:lvlJc w:val="left"/>
      <w:pPr>
        <w:ind w:left="3540" w:hanging="420"/>
      </w:pPr>
      <w:rPr>
        <w:rFonts w:hint="default" w:ascii="Wingdings" w:hAnsi="Wingdings"/>
      </w:rPr>
    </w:lvl>
    <w:lvl w:ilvl="7" w:tentative="0">
      <w:start w:val="1"/>
      <w:numFmt w:val="bullet"/>
      <w:lvlText w:val=""/>
      <w:lvlJc w:val="left"/>
      <w:pPr>
        <w:ind w:left="3960" w:hanging="420"/>
      </w:pPr>
      <w:rPr>
        <w:rFonts w:hint="default" w:ascii="Wingdings" w:hAnsi="Wingdings"/>
      </w:rPr>
    </w:lvl>
    <w:lvl w:ilvl="8" w:tentative="0">
      <w:start w:val="1"/>
      <w:numFmt w:val="bullet"/>
      <w:lvlText w:val=""/>
      <w:lvlJc w:val="left"/>
      <w:pPr>
        <w:ind w:left="4380" w:hanging="420"/>
      </w:pPr>
      <w:rPr>
        <w:rFonts w:hint="default" w:ascii="Wingdings" w:hAnsi="Wingdings"/>
      </w:rPr>
    </w:lvl>
  </w:abstractNum>
  <w:abstractNum w:abstractNumId="148">
    <w:nsid w:val="57D253EE"/>
    <w:multiLevelType w:val="multilevel"/>
    <w:tmpl w:val="57D253EE"/>
    <w:lvl w:ilvl="0" w:tentative="0">
      <w:start w:val="1"/>
      <w:numFmt w:val="decimal"/>
      <w:lvlText w:val="%1)"/>
      <w:lvlJc w:val="left"/>
      <w:pPr>
        <w:ind w:left="1979" w:hanging="420"/>
      </w:pPr>
    </w:lvl>
    <w:lvl w:ilvl="1" w:tentative="0">
      <w:start w:val="1"/>
      <w:numFmt w:val="lowerLetter"/>
      <w:lvlText w:val="%2)"/>
      <w:lvlJc w:val="left"/>
      <w:pPr>
        <w:ind w:left="2399" w:hanging="420"/>
      </w:pPr>
    </w:lvl>
    <w:lvl w:ilvl="2" w:tentative="0">
      <w:start w:val="1"/>
      <w:numFmt w:val="lowerRoman"/>
      <w:lvlText w:val="%3."/>
      <w:lvlJc w:val="right"/>
      <w:pPr>
        <w:ind w:left="2819" w:hanging="420"/>
      </w:pPr>
    </w:lvl>
    <w:lvl w:ilvl="3" w:tentative="0">
      <w:start w:val="1"/>
      <w:numFmt w:val="decimal"/>
      <w:lvlText w:val="%4."/>
      <w:lvlJc w:val="left"/>
      <w:pPr>
        <w:ind w:left="3239" w:hanging="420"/>
      </w:pPr>
    </w:lvl>
    <w:lvl w:ilvl="4" w:tentative="0">
      <w:start w:val="1"/>
      <w:numFmt w:val="lowerLetter"/>
      <w:lvlText w:val="%5)"/>
      <w:lvlJc w:val="left"/>
      <w:pPr>
        <w:ind w:left="3659" w:hanging="420"/>
      </w:pPr>
    </w:lvl>
    <w:lvl w:ilvl="5" w:tentative="0">
      <w:start w:val="1"/>
      <w:numFmt w:val="lowerRoman"/>
      <w:lvlText w:val="%6."/>
      <w:lvlJc w:val="right"/>
      <w:pPr>
        <w:ind w:left="4079" w:hanging="420"/>
      </w:pPr>
    </w:lvl>
    <w:lvl w:ilvl="6" w:tentative="0">
      <w:start w:val="1"/>
      <w:numFmt w:val="decimal"/>
      <w:lvlText w:val="%7."/>
      <w:lvlJc w:val="left"/>
      <w:pPr>
        <w:ind w:left="4499" w:hanging="420"/>
      </w:pPr>
    </w:lvl>
    <w:lvl w:ilvl="7" w:tentative="0">
      <w:start w:val="1"/>
      <w:numFmt w:val="lowerLetter"/>
      <w:lvlText w:val="%8)"/>
      <w:lvlJc w:val="left"/>
      <w:pPr>
        <w:ind w:left="4919" w:hanging="420"/>
      </w:pPr>
    </w:lvl>
    <w:lvl w:ilvl="8" w:tentative="0">
      <w:start w:val="1"/>
      <w:numFmt w:val="lowerRoman"/>
      <w:lvlText w:val="%9."/>
      <w:lvlJc w:val="right"/>
      <w:pPr>
        <w:ind w:left="5339" w:hanging="420"/>
      </w:pPr>
    </w:lvl>
  </w:abstractNum>
  <w:abstractNum w:abstractNumId="149">
    <w:nsid w:val="5A9E18BB"/>
    <w:multiLevelType w:val="multilevel"/>
    <w:tmpl w:val="5A9E18BB"/>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50">
    <w:nsid w:val="5B5767FA"/>
    <w:multiLevelType w:val="multilevel"/>
    <w:tmpl w:val="5B5767F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1">
    <w:nsid w:val="5EF1033A"/>
    <w:multiLevelType w:val="multilevel"/>
    <w:tmpl w:val="5EF1033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2">
    <w:nsid w:val="5F1ABB0E"/>
    <w:multiLevelType w:val="multilevel"/>
    <w:tmpl w:val="5F1ABB0E"/>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5)"/>
      <w:lvlJc w:val="left"/>
      <w:pPr>
        <w:ind w:left="2551" w:hanging="850"/>
      </w:pPr>
      <w:rPr>
        <w:rFonts w:hint="eastAsia"/>
      </w:rPr>
    </w:lvl>
    <w:lvl w:ilvl="5" w:tentative="0">
      <w:start w:val="1"/>
      <w:numFmt w:val="lowerLetter"/>
      <w:lvlText w:val="%6)"/>
      <w:lvlJc w:val="left"/>
      <w:pPr>
        <w:ind w:left="2693" w:hanging="1134"/>
      </w:pPr>
      <w:rPr>
        <w:rFonts w:hint="eastAsia" w:ascii="黑体" w:eastAsia="黑体"/>
        <w:b w:val="0"/>
        <w:color w:val="auto"/>
        <w:sz w:val="18"/>
        <w:szCs w:val="18"/>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3">
    <w:nsid w:val="5F1AC242"/>
    <w:multiLevelType w:val="singleLevel"/>
    <w:tmpl w:val="5F1AC242"/>
    <w:lvl w:ilvl="0" w:tentative="0">
      <w:start w:val="1"/>
      <w:numFmt w:val="decimal"/>
      <w:suff w:val="space"/>
      <w:lvlText w:val="%1."/>
      <w:lvlJc w:val="left"/>
    </w:lvl>
  </w:abstractNum>
  <w:abstractNum w:abstractNumId="154">
    <w:nsid w:val="5F494A7C"/>
    <w:multiLevelType w:val="multilevel"/>
    <w:tmpl w:val="5F494A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1129"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5">
    <w:nsid w:val="5F656A58"/>
    <w:multiLevelType w:val="multilevel"/>
    <w:tmpl w:val="5F656A58"/>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156">
    <w:nsid w:val="61221E49"/>
    <w:multiLevelType w:val="multilevel"/>
    <w:tmpl w:val="61221E4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7">
    <w:nsid w:val="6162269C"/>
    <w:multiLevelType w:val="multilevel"/>
    <w:tmpl w:val="6162269C"/>
    <w:lvl w:ilvl="0" w:tentative="0">
      <w:start w:val="1"/>
      <w:numFmt w:val="bullet"/>
      <w:lvlText w:val=""/>
      <w:lvlJc w:val="left"/>
      <w:pPr>
        <w:ind w:left="1979" w:hanging="420"/>
      </w:pPr>
      <w:rPr>
        <w:rFonts w:hint="default" w:ascii="Wingdings" w:hAnsi="Wingdings"/>
      </w:rPr>
    </w:lvl>
    <w:lvl w:ilvl="1" w:tentative="0">
      <w:start w:val="1"/>
      <w:numFmt w:val="bullet"/>
      <w:lvlText w:val=""/>
      <w:lvlJc w:val="left"/>
      <w:pPr>
        <w:ind w:left="2399" w:hanging="420"/>
      </w:pPr>
      <w:rPr>
        <w:rFonts w:hint="default" w:ascii="Wingdings" w:hAnsi="Wingdings"/>
      </w:rPr>
    </w:lvl>
    <w:lvl w:ilvl="2" w:tentative="0">
      <w:start w:val="1"/>
      <w:numFmt w:val="bullet"/>
      <w:lvlText w:val=""/>
      <w:lvlJc w:val="left"/>
      <w:pPr>
        <w:ind w:left="2819" w:hanging="420"/>
      </w:pPr>
      <w:rPr>
        <w:rFonts w:hint="default" w:ascii="Wingdings" w:hAnsi="Wingdings"/>
      </w:rPr>
    </w:lvl>
    <w:lvl w:ilvl="3" w:tentative="0">
      <w:start w:val="1"/>
      <w:numFmt w:val="bullet"/>
      <w:lvlText w:val=""/>
      <w:lvlJc w:val="left"/>
      <w:pPr>
        <w:ind w:left="3239" w:hanging="420"/>
      </w:pPr>
      <w:rPr>
        <w:rFonts w:hint="default" w:ascii="Wingdings" w:hAnsi="Wingdings"/>
      </w:rPr>
    </w:lvl>
    <w:lvl w:ilvl="4" w:tentative="0">
      <w:start w:val="1"/>
      <w:numFmt w:val="bullet"/>
      <w:lvlText w:val=""/>
      <w:lvlJc w:val="left"/>
      <w:pPr>
        <w:ind w:left="3659" w:hanging="420"/>
      </w:pPr>
      <w:rPr>
        <w:rFonts w:hint="default" w:ascii="Wingdings" w:hAnsi="Wingdings"/>
      </w:rPr>
    </w:lvl>
    <w:lvl w:ilvl="5" w:tentative="0">
      <w:start w:val="1"/>
      <w:numFmt w:val="bullet"/>
      <w:lvlText w:val=""/>
      <w:lvlJc w:val="left"/>
      <w:pPr>
        <w:ind w:left="4079" w:hanging="420"/>
      </w:pPr>
      <w:rPr>
        <w:rFonts w:hint="default" w:ascii="Wingdings" w:hAnsi="Wingdings"/>
      </w:rPr>
    </w:lvl>
    <w:lvl w:ilvl="6" w:tentative="0">
      <w:start w:val="1"/>
      <w:numFmt w:val="bullet"/>
      <w:lvlText w:val=""/>
      <w:lvlJc w:val="left"/>
      <w:pPr>
        <w:ind w:left="4499" w:hanging="420"/>
      </w:pPr>
      <w:rPr>
        <w:rFonts w:hint="default" w:ascii="Wingdings" w:hAnsi="Wingdings"/>
      </w:rPr>
    </w:lvl>
    <w:lvl w:ilvl="7" w:tentative="0">
      <w:start w:val="1"/>
      <w:numFmt w:val="bullet"/>
      <w:lvlText w:val=""/>
      <w:lvlJc w:val="left"/>
      <w:pPr>
        <w:ind w:left="4919" w:hanging="420"/>
      </w:pPr>
      <w:rPr>
        <w:rFonts w:hint="default" w:ascii="Wingdings" w:hAnsi="Wingdings"/>
      </w:rPr>
    </w:lvl>
    <w:lvl w:ilvl="8" w:tentative="0">
      <w:start w:val="1"/>
      <w:numFmt w:val="bullet"/>
      <w:lvlText w:val=""/>
      <w:lvlJc w:val="left"/>
      <w:pPr>
        <w:ind w:left="5339" w:hanging="420"/>
      </w:pPr>
      <w:rPr>
        <w:rFonts w:hint="default" w:ascii="Wingdings" w:hAnsi="Wingdings"/>
      </w:rPr>
    </w:lvl>
  </w:abstractNum>
  <w:abstractNum w:abstractNumId="158">
    <w:nsid w:val="61B36E70"/>
    <w:multiLevelType w:val="multilevel"/>
    <w:tmpl w:val="61B36E70"/>
    <w:lvl w:ilvl="0" w:tentative="0">
      <w:start w:val="1"/>
      <w:numFmt w:val="lowerLetter"/>
      <w:lvlText w:val="%1)"/>
      <w:lvlJc w:val="left"/>
      <w:pPr>
        <w:ind w:left="703" w:hanging="420"/>
      </w:p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159">
    <w:nsid w:val="61FA7FC2"/>
    <w:multiLevelType w:val="multilevel"/>
    <w:tmpl w:val="61FA7FC2"/>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60">
    <w:nsid w:val="643E7403"/>
    <w:multiLevelType w:val="multilevel"/>
    <w:tmpl w:val="643E740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845"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1">
    <w:nsid w:val="64E861A4"/>
    <w:multiLevelType w:val="multilevel"/>
    <w:tmpl w:val="64E861A4"/>
    <w:lvl w:ilvl="0" w:tentative="0">
      <w:start w:val="1"/>
      <w:numFmt w:val="decimal"/>
      <w:lvlText w:val="%1."/>
      <w:lvlJc w:val="left"/>
      <w:pPr>
        <w:ind w:left="425" w:hanging="425"/>
      </w:pPr>
      <w:rPr>
        <w:b/>
        <w:sz w:val="18"/>
        <w:szCs w:val="18"/>
      </w:rPr>
    </w:lvl>
    <w:lvl w:ilvl="1" w:tentative="0">
      <w:start w:val="1"/>
      <w:numFmt w:val="decimal"/>
      <w:lvlText w:val="%2)"/>
      <w:lvlJc w:val="left"/>
      <w:pPr>
        <w:ind w:left="1701" w:hanging="567"/>
      </w:pPr>
      <w:rPr>
        <w:rFonts w:hint="default"/>
        <w:b w:val="0"/>
        <w:sz w:val="18"/>
        <w:szCs w:val="18"/>
      </w:rPr>
    </w:lvl>
    <w:lvl w:ilvl="2" w:tentative="0">
      <w:start w:val="1"/>
      <w:numFmt w:val="decimal"/>
      <w:lvlText w:val="%3)"/>
      <w:lvlJc w:val="left"/>
      <w:pPr>
        <w:ind w:left="2410"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62">
    <w:nsid w:val="652D4E39"/>
    <w:multiLevelType w:val="multilevel"/>
    <w:tmpl w:val="652D4E39"/>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163">
    <w:nsid w:val="6546703E"/>
    <w:multiLevelType w:val="multilevel"/>
    <w:tmpl w:val="6546703E"/>
    <w:lvl w:ilvl="0" w:tentative="0">
      <w:start w:val="1"/>
      <w:numFmt w:val="decimal"/>
      <w:lvlText w:val="%1)"/>
      <w:lvlJc w:val="left"/>
      <w:pPr>
        <w:ind w:left="1979" w:hanging="420"/>
      </w:pPr>
    </w:lvl>
    <w:lvl w:ilvl="1" w:tentative="0">
      <w:start w:val="1"/>
      <w:numFmt w:val="lowerLetter"/>
      <w:lvlText w:val="%2)"/>
      <w:lvlJc w:val="left"/>
      <w:pPr>
        <w:ind w:left="2399" w:hanging="420"/>
      </w:pPr>
    </w:lvl>
    <w:lvl w:ilvl="2" w:tentative="0">
      <w:start w:val="1"/>
      <w:numFmt w:val="lowerRoman"/>
      <w:lvlText w:val="%3."/>
      <w:lvlJc w:val="right"/>
      <w:pPr>
        <w:ind w:left="2819" w:hanging="420"/>
      </w:pPr>
    </w:lvl>
    <w:lvl w:ilvl="3" w:tentative="0">
      <w:start w:val="1"/>
      <w:numFmt w:val="decimal"/>
      <w:lvlText w:val="%4."/>
      <w:lvlJc w:val="left"/>
      <w:pPr>
        <w:ind w:left="3239" w:hanging="420"/>
      </w:pPr>
    </w:lvl>
    <w:lvl w:ilvl="4" w:tentative="0">
      <w:start w:val="1"/>
      <w:numFmt w:val="lowerLetter"/>
      <w:lvlText w:val="%5)"/>
      <w:lvlJc w:val="left"/>
      <w:pPr>
        <w:ind w:left="3659" w:hanging="420"/>
      </w:pPr>
    </w:lvl>
    <w:lvl w:ilvl="5" w:tentative="0">
      <w:start w:val="1"/>
      <w:numFmt w:val="lowerRoman"/>
      <w:lvlText w:val="%6."/>
      <w:lvlJc w:val="right"/>
      <w:pPr>
        <w:ind w:left="4079" w:hanging="420"/>
      </w:pPr>
    </w:lvl>
    <w:lvl w:ilvl="6" w:tentative="0">
      <w:start w:val="1"/>
      <w:numFmt w:val="decimal"/>
      <w:lvlText w:val="%7."/>
      <w:lvlJc w:val="left"/>
      <w:pPr>
        <w:ind w:left="4499" w:hanging="420"/>
      </w:pPr>
    </w:lvl>
    <w:lvl w:ilvl="7" w:tentative="0">
      <w:start w:val="1"/>
      <w:numFmt w:val="lowerLetter"/>
      <w:lvlText w:val="%8)"/>
      <w:lvlJc w:val="left"/>
      <w:pPr>
        <w:ind w:left="4919" w:hanging="420"/>
      </w:pPr>
    </w:lvl>
    <w:lvl w:ilvl="8" w:tentative="0">
      <w:start w:val="1"/>
      <w:numFmt w:val="lowerRoman"/>
      <w:lvlText w:val="%9."/>
      <w:lvlJc w:val="right"/>
      <w:pPr>
        <w:ind w:left="5339" w:hanging="420"/>
      </w:pPr>
    </w:lvl>
  </w:abstractNum>
  <w:abstractNum w:abstractNumId="164">
    <w:nsid w:val="65907EED"/>
    <w:multiLevelType w:val="multilevel"/>
    <w:tmpl w:val="65907EED"/>
    <w:lvl w:ilvl="0" w:tentative="0">
      <w:start w:val="1"/>
      <w:numFmt w:val="decimal"/>
      <w:lvlText w:val="%1)"/>
      <w:lvlJc w:val="left"/>
      <w:pPr>
        <w:ind w:left="1837" w:hanging="420"/>
      </w:pPr>
    </w:lvl>
    <w:lvl w:ilvl="1" w:tentative="0">
      <w:start w:val="1"/>
      <w:numFmt w:val="lowerLetter"/>
      <w:lvlText w:val="%2)"/>
      <w:lvlJc w:val="left"/>
      <w:pPr>
        <w:ind w:left="1762" w:hanging="420"/>
      </w:pPr>
    </w:lvl>
    <w:lvl w:ilvl="2" w:tentative="0">
      <w:start w:val="1"/>
      <w:numFmt w:val="lowerRoman"/>
      <w:lvlText w:val="%3."/>
      <w:lvlJc w:val="right"/>
      <w:pPr>
        <w:ind w:left="2182" w:hanging="420"/>
      </w:pPr>
    </w:lvl>
    <w:lvl w:ilvl="3" w:tentative="0">
      <w:start w:val="1"/>
      <w:numFmt w:val="decimal"/>
      <w:lvlText w:val="%4."/>
      <w:lvlJc w:val="left"/>
      <w:pPr>
        <w:ind w:left="2602" w:hanging="420"/>
      </w:pPr>
    </w:lvl>
    <w:lvl w:ilvl="4" w:tentative="0">
      <w:start w:val="1"/>
      <w:numFmt w:val="lowerLetter"/>
      <w:lvlText w:val="%5)"/>
      <w:lvlJc w:val="left"/>
      <w:pPr>
        <w:ind w:left="3022" w:hanging="420"/>
      </w:pPr>
    </w:lvl>
    <w:lvl w:ilvl="5" w:tentative="0">
      <w:start w:val="1"/>
      <w:numFmt w:val="lowerRoman"/>
      <w:lvlText w:val="%6."/>
      <w:lvlJc w:val="right"/>
      <w:pPr>
        <w:ind w:left="3442" w:hanging="420"/>
      </w:pPr>
    </w:lvl>
    <w:lvl w:ilvl="6" w:tentative="0">
      <w:start w:val="1"/>
      <w:numFmt w:val="decimal"/>
      <w:lvlText w:val="%7."/>
      <w:lvlJc w:val="left"/>
      <w:pPr>
        <w:ind w:left="3862" w:hanging="420"/>
      </w:pPr>
    </w:lvl>
    <w:lvl w:ilvl="7" w:tentative="0">
      <w:start w:val="1"/>
      <w:numFmt w:val="lowerLetter"/>
      <w:lvlText w:val="%8)"/>
      <w:lvlJc w:val="left"/>
      <w:pPr>
        <w:ind w:left="4282" w:hanging="420"/>
      </w:pPr>
    </w:lvl>
    <w:lvl w:ilvl="8" w:tentative="0">
      <w:start w:val="1"/>
      <w:numFmt w:val="lowerRoman"/>
      <w:lvlText w:val="%9."/>
      <w:lvlJc w:val="right"/>
      <w:pPr>
        <w:ind w:left="4702" w:hanging="420"/>
      </w:pPr>
    </w:lvl>
  </w:abstractNum>
  <w:abstractNum w:abstractNumId="165">
    <w:nsid w:val="665D4538"/>
    <w:multiLevelType w:val="multilevel"/>
    <w:tmpl w:val="665D4538"/>
    <w:lvl w:ilvl="0" w:tentative="0">
      <w:start w:val="1"/>
      <w:numFmt w:val="decimal"/>
      <w:lvlText w:val="%1"/>
      <w:lvlJc w:val="left"/>
      <w:pPr>
        <w:ind w:left="927" w:hanging="360"/>
      </w:pPr>
      <w:rPr>
        <w:rFonts w:hint="default" w:ascii="宋体" w:hAnsi="Times New Roman" w:cs="宋体"/>
      </w:rPr>
    </w:lvl>
    <w:lvl w:ilvl="1" w:tentative="0">
      <w:start w:val="1"/>
      <w:numFmt w:val="lowerLetter"/>
      <w:lvlText w:val="%2)"/>
      <w:lvlJc w:val="left"/>
      <w:pPr>
        <w:ind w:left="1407" w:hanging="420"/>
      </w:pPr>
    </w:lvl>
    <w:lvl w:ilvl="2" w:tentative="0">
      <w:start w:val="1"/>
      <w:numFmt w:val="decimal"/>
      <w:lvlText w:val="%3)"/>
      <w:lvlJc w:val="lef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66">
    <w:nsid w:val="66772098"/>
    <w:multiLevelType w:val="multilevel"/>
    <w:tmpl w:val="6677209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7">
    <w:nsid w:val="67254ED0"/>
    <w:multiLevelType w:val="multilevel"/>
    <w:tmpl w:val="67254ED0"/>
    <w:lvl w:ilvl="0" w:tentative="0">
      <w:start w:val="1"/>
      <w:numFmt w:val="decimal"/>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168">
    <w:nsid w:val="67AE4751"/>
    <w:multiLevelType w:val="multilevel"/>
    <w:tmpl w:val="67AE475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9">
    <w:nsid w:val="6B6547A9"/>
    <w:multiLevelType w:val="multilevel"/>
    <w:tmpl w:val="6B6547A9"/>
    <w:lvl w:ilvl="0" w:tentative="0">
      <w:start w:val="1"/>
      <w:numFmt w:val="japaneseCounting"/>
      <w:pStyle w:val="53"/>
      <w:lvlText w:val="%1、"/>
      <w:lvlJc w:val="left"/>
      <w:pPr>
        <w:tabs>
          <w:tab w:val="left" w:pos="480"/>
        </w:tabs>
        <w:ind w:left="480" w:hanging="480"/>
      </w:pPr>
      <w:rPr>
        <w:rFonts w:hint="default"/>
      </w:rPr>
    </w:lvl>
    <w:lvl w:ilvl="1" w:tentative="0">
      <w:start w:val="1"/>
      <w:numFmt w:val="decimal"/>
      <w:lvlText w:val="%2．"/>
      <w:lvlJc w:val="left"/>
      <w:pPr>
        <w:tabs>
          <w:tab w:val="left" w:pos="1089"/>
        </w:tabs>
        <w:ind w:left="591" w:hanging="171"/>
      </w:pPr>
      <w:rPr>
        <w:rFonts w:hint="default" w:ascii="Arial" w:hAnsi="Arial" w:eastAsia="宋体" w:cs="Arial"/>
        <w:sz w:val="24"/>
        <w:szCs w:val="24"/>
      </w:rPr>
    </w:lvl>
    <w:lvl w:ilvl="2" w:tentative="0">
      <w:start w:val="2"/>
      <w:numFmt w:val="decimal"/>
      <w:lvlText w:val="%3、"/>
      <w:lvlJc w:val="left"/>
      <w:pPr>
        <w:tabs>
          <w:tab w:val="left" w:pos="1200"/>
        </w:tabs>
        <w:ind w:left="1200" w:hanging="360"/>
      </w:pPr>
      <w:rPr>
        <w:rFonts w:hint="default"/>
        <w:b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0">
    <w:nsid w:val="6C247138"/>
    <w:multiLevelType w:val="multilevel"/>
    <w:tmpl w:val="6C247138"/>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155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171">
    <w:nsid w:val="6CE4470D"/>
    <w:multiLevelType w:val="multilevel"/>
    <w:tmpl w:val="6CE4470D"/>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172">
    <w:nsid w:val="6FFA29F5"/>
    <w:multiLevelType w:val="multilevel"/>
    <w:tmpl w:val="6FFA29F5"/>
    <w:lvl w:ilvl="0" w:tentative="0">
      <w:start w:val="1"/>
      <w:numFmt w:val="decimal"/>
      <w:lvlText w:val="%1."/>
      <w:lvlJc w:val="left"/>
      <w:pPr>
        <w:ind w:left="425" w:hanging="425"/>
      </w:pPr>
      <w:rPr>
        <w:b/>
        <w:sz w:val="18"/>
        <w:szCs w:val="18"/>
      </w:rPr>
    </w:lvl>
    <w:lvl w:ilvl="1" w:tentative="0">
      <w:start w:val="1"/>
      <w:numFmt w:val="decimal"/>
      <w:lvlText w:val="%2"/>
      <w:lvlJc w:val="left"/>
      <w:pPr>
        <w:ind w:left="1276" w:hanging="567"/>
      </w:pPr>
      <w:rPr>
        <w:rFonts w:hint="default" w:ascii="宋体" w:hAnsi="Times New Roman" w:cs="宋体"/>
        <w:b w:val="0"/>
        <w:sz w:val="18"/>
        <w:szCs w:val="18"/>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3">
    <w:nsid w:val="703735EE"/>
    <w:multiLevelType w:val="multilevel"/>
    <w:tmpl w:val="703735EE"/>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174">
    <w:nsid w:val="71A21AD7"/>
    <w:multiLevelType w:val="multilevel"/>
    <w:tmpl w:val="71A21AD7"/>
    <w:lvl w:ilvl="0" w:tentative="0">
      <w:start w:val="1"/>
      <w:numFmt w:val="bullet"/>
      <w:lvlText w:val=""/>
      <w:lvlJc w:val="left"/>
      <w:pPr>
        <w:ind w:left="2262" w:hanging="420"/>
      </w:pPr>
      <w:rPr>
        <w:rFonts w:hint="default" w:ascii="Wingdings" w:hAnsi="Wingdings"/>
      </w:rPr>
    </w:lvl>
    <w:lvl w:ilvl="1" w:tentative="0">
      <w:start w:val="1"/>
      <w:numFmt w:val="bullet"/>
      <w:lvlText w:val=""/>
      <w:lvlJc w:val="left"/>
      <w:pPr>
        <w:ind w:left="2682" w:hanging="420"/>
      </w:pPr>
      <w:rPr>
        <w:rFonts w:hint="default" w:ascii="Wingdings" w:hAnsi="Wingdings"/>
      </w:rPr>
    </w:lvl>
    <w:lvl w:ilvl="2" w:tentative="0">
      <w:start w:val="1"/>
      <w:numFmt w:val="bullet"/>
      <w:lvlText w:val=""/>
      <w:lvlJc w:val="left"/>
      <w:pPr>
        <w:ind w:left="3102" w:hanging="420"/>
      </w:pPr>
      <w:rPr>
        <w:rFonts w:hint="default" w:ascii="Wingdings" w:hAnsi="Wingdings"/>
      </w:rPr>
    </w:lvl>
    <w:lvl w:ilvl="3" w:tentative="0">
      <w:start w:val="1"/>
      <w:numFmt w:val="bullet"/>
      <w:lvlText w:val=""/>
      <w:lvlJc w:val="left"/>
      <w:pPr>
        <w:ind w:left="3522" w:hanging="420"/>
      </w:pPr>
      <w:rPr>
        <w:rFonts w:hint="default" w:ascii="Wingdings" w:hAnsi="Wingdings"/>
      </w:rPr>
    </w:lvl>
    <w:lvl w:ilvl="4" w:tentative="0">
      <w:start w:val="1"/>
      <w:numFmt w:val="bullet"/>
      <w:lvlText w:val=""/>
      <w:lvlJc w:val="left"/>
      <w:pPr>
        <w:ind w:left="3942" w:hanging="420"/>
      </w:pPr>
      <w:rPr>
        <w:rFonts w:hint="default" w:ascii="Wingdings" w:hAnsi="Wingdings"/>
      </w:rPr>
    </w:lvl>
    <w:lvl w:ilvl="5" w:tentative="0">
      <w:start w:val="1"/>
      <w:numFmt w:val="bullet"/>
      <w:lvlText w:val=""/>
      <w:lvlJc w:val="left"/>
      <w:pPr>
        <w:ind w:left="4362" w:hanging="420"/>
      </w:pPr>
      <w:rPr>
        <w:rFonts w:hint="default" w:ascii="Wingdings" w:hAnsi="Wingdings"/>
      </w:rPr>
    </w:lvl>
    <w:lvl w:ilvl="6" w:tentative="0">
      <w:start w:val="1"/>
      <w:numFmt w:val="bullet"/>
      <w:lvlText w:val=""/>
      <w:lvlJc w:val="left"/>
      <w:pPr>
        <w:ind w:left="4782" w:hanging="420"/>
      </w:pPr>
      <w:rPr>
        <w:rFonts w:hint="default" w:ascii="Wingdings" w:hAnsi="Wingdings"/>
      </w:rPr>
    </w:lvl>
    <w:lvl w:ilvl="7" w:tentative="0">
      <w:start w:val="1"/>
      <w:numFmt w:val="bullet"/>
      <w:lvlText w:val=""/>
      <w:lvlJc w:val="left"/>
      <w:pPr>
        <w:ind w:left="5202" w:hanging="420"/>
      </w:pPr>
      <w:rPr>
        <w:rFonts w:hint="default" w:ascii="Wingdings" w:hAnsi="Wingdings"/>
      </w:rPr>
    </w:lvl>
    <w:lvl w:ilvl="8" w:tentative="0">
      <w:start w:val="1"/>
      <w:numFmt w:val="bullet"/>
      <w:lvlText w:val=""/>
      <w:lvlJc w:val="left"/>
      <w:pPr>
        <w:ind w:left="5622" w:hanging="420"/>
      </w:pPr>
      <w:rPr>
        <w:rFonts w:hint="default" w:ascii="Wingdings" w:hAnsi="Wingdings"/>
      </w:rPr>
    </w:lvl>
  </w:abstractNum>
  <w:abstractNum w:abstractNumId="175">
    <w:nsid w:val="72AA474E"/>
    <w:multiLevelType w:val="multilevel"/>
    <w:tmpl w:val="72AA474E"/>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6">
    <w:nsid w:val="72F45A5F"/>
    <w:multiLevelType w:val="multilevel"/>
    <w:tmpl w:val="72F45A5F"/>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177">
    <w:nsid w:val="730F5354"/>
    <w:multiLevelType w:val="multilevel"/>
    <w:tmpl w:val="730F535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8">
    <w:nsid w:val="745400E5"/>
    <w:multiLevelType w:val="multilevel"/>
    <w:tmpl w:val="745400E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lvlText w:val="%3."/>
      <w:lvlJc w:val="left"/>
      <w:pPr>
        <w:ind w:left="1554"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9">
    <w:nsid w:val="745659A5"/>
    <w:multiLevelType w:val="multilevel"/>
    <w:tmpl w:val="745659A5"/>
    <w:lvl w:ilvl="0" w:tentative="0">
      <w:start w:val="1"/>
      <w:numFmt w:val="decimal"/>
      <w:lvlText w:val="%1)"/>
      <w:lvlJc w:val="left"/>
      <w:pPr>
        <w:ind w:left="2121" w:hanging="420"/>
      </w:pPr>
    </w:lvl>
    <w:lvl w:ilvl="1" w:tentative="0">
      <w:start w:val="1"/>
      <w:numFmt w:val="lowerLetter"/>
      <w:lvlText w:val="%2)"/>
      <w:lvlJc w:val="left"/>
      <w:pPr>
        <w:ind w:left="2541" w:hanging="420"/>
      </w:pPr>
    </w:lvl>
    <w:lvl w:ilvl="2" w:tentative="0">
      <w:start w:val="1"/>
      <w:numFmt w:val="lowerRoman"/>
      <w:lvlText w:val="%3."/>
      <w:lvlJc w:val="right"/>
      <w:pPr>
        <w:ind w:left="2961" w:hanging="420"/>
      </w:pPr>
    </w:lvl>
    <w:lvl w:ilvl="3" w:tentative="0">
      <w:start w:val="1"/>
      <w:numFmt w:val="decimal"/>
      <w:lvlText w:val="%4."/>
      <w:lvlJc w:val="left"/>
      <w:pPr>
        <w:ind w:left="3381" w:hanging="420"/>
      </w:pPr>
    </w:lvl>
    <w:lvl w:ilvl="4" w:tentative="0">
      <w:start w:val="1"/>
      <w:numFmt w:val="lowerLetter"/>
      <w:lvlText w:val="%5)"/>
      <w:lvlJc w:val="left"/>
      <w:pPr>
        <w:ind w:left="3801" w:hanging="420"/>
      </w:pPr>
    </w:lvl>
    <w:lvl w:ilvl="5" w:tentative="0">
      <w:start w:val="1"/>
      <w:numFmt w:val="lowerRoman"/>
      <w:lvlText w:val="%6."/>
      <w:lvlJc w:val="right"/>
      <w:pPr>
        <w:ind w:left="4221" w:hanging="420"/>
      </w:pPr>
    </w:lvl>
    <w:lvl w:ilvl="6" w:tentative="0">
      <w:start w:val="1"/>
      <w:numFmt w:val="decimal"/>
      <w:lvlText w:val="%7."/>
      <w:lvlJc w:val="left"/>
      <w:pPr>
        <w:ind w:left="4641" w:hanging="420"/>
      </w:pPr>
    </w:lvl>
    <w:lvl w:ilvl="7" w:tentative="0">
      <w:start w:val="1"/>
      <w:numFmt w:val="lowerLetter"/>
      <w:lvlText w:val="%8)"/>
      <w:lvlJc w:val="left"/>
      <w:pPr>
        <w:ind w:left="5061" w:hanging="420"/>
      </w:pPr>
    </w:lvl>
    <w:lvl w:ilvl="8" w:tentative="0">
      <w:start w:val="1"/>
      <w:numFmt w:val="lowerRoman"/>
      <w:lvlText w:val="%9."/>
      <w:lvlJc w:val="right"/>
      <w:pPr>
        <w:ind w:left="5481" w:hanging="420"/>
      </w:pPr>
    </w:lvl>
  </w:abstractNum>
  <w:abstractNum w:abstractNumId="180">
    <w:nsid w:val="746C1A9A"/>
    <w:multiLevelType w:val="multilevel"/>
    <w:tmpl w:val="746C1A9A"/>
    <w:lvl w:ilvl="0" w:tentative="0">
      <w:start w:val="1"/>
      <w:numFmt w:val="decimal"/>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81">
    <w:nsid w:val="74814112"/>
    <w:multiLevelType w:val="multilevel"/>
    <w:tmpl w:val="74814112"/>
    <w:lvl w:ilvl="0" w:tentative="0">
      <w:start w:val="1"/>
      <w:numFmt w:val="decimal"/>
      <w:lvlText w:val="%1)"/>
      <w:lvlJc w:val="left"/>
      <w:pPr>
        <w:ind w:left="785" w:hanging="360"/>
      </w:pPr>
    </w:lvl>
    <w:lvl w:ilvl="1" w:tentative="0">
      <w:start w:val="1"/>
      <w:numFmt w:val="decimal"/>
      <w:isLgl/>
      <w:lvlText w:val="%1.%2"/>
      <w:lvlJc w:val="left"/>
      <w:pPr>
        <w:ind w:left="1025" w:hanging="600"/>
      </w:pPr>
      <w:rPr>
        <w:rFonts w:hint="default" w:ascii="宋体" w:hAnsi="宋体" w:eastAsia="宋体"/>
      </w:rPr>
    </w:lvl>
    <w:lvl w:ilvl="2" w:tentative="0">
      <w:start w:val="3"/>
      <w:numFmt w:val="decimal"/>
      <w:isLgl/>
      <w:lvlText w:val="%1.%2.%3"/>
      <w:lvlJc w:val="left"/>
      <w:pPr>
        <w:ind w:left="1145" w:hanging="720"/>
      </w:pPr>
      <w:rPr>
        <w:rFonts w:hint="default" w:ascii="宋体" w:hAnsi="宋体" w:eastAsia="宋体"/>
      </w:rPr>
    </w:lvl>
    <w:lvl w:ilvl="3" w:tentative="0">
      <w:start w:val="1"/>
      <w:numFmt w:val="decimal"/>
      <w:isLgl/>
      <w:lvlText w:val="%1.%2.%3.%4"/>
      <w:lvlJc w:val="left"/>
      <w:pPr>
        <w:ind w:left="1505" w:hanging="1080"/>
      </w:pPr>
      <w:rPr>
        <w:rFonts w:hint="default" w:ascii="宋体" w:hAnsi="宋体" w:eastAsia="宋体"/>
      </w:rPr>
    </w:lvl>
    <w:lvl w:ilvl="4" w:tentative="0">
      <w:start w:val="1"/>
      <w:numFmt w:val="decimal"/>
      <w:isLgl/>
      <w:lvlText w:val="%1.%2.%3.%4.%5"/>
      <w:lvlJc w:val="left"/>
      <w:pPr>
        <w:ind w:left="1505" w:hanging="1080"/>
      </w:pPr>
      <w:rPr>
        <w:rFonts w:hint="default" w:ascii="宋体" w:hAnsi="宋体" w:eastAsia="宋体"/>
      </w:rPr>
    </w:lvl>
    <w:lvl w:ilvl="5" w:tentative="0">
      <w:start w:val="1"/>
      <w:numFmt w:val="decimal"/>
      <w:isLgl/>
      <w:lvlText w:val="%1.%2.%3.%4.%5.%6"/>
      <w:lvlJc w:val="left"/>
      <w:pPr>
        <w:ind w:left="1865" w:hanging="1440"/>
      </w:pPr>
      <w:rPr>
        <w:rFonts w:hint="default" w:ascii="宋体" w:hAnsi="宋体" w:eastAsia="宋体"/>
      </w:rPr>
    </w:lvl>
    <w:lvl w:ilvl="6" w:tentative="0">
      <w:start w:val="1"/>
      <w:numFmt w:val="decimal"/>
      <w:isLgl/>
      <w:lvlText w:val="%1.%2.%3.%4.%5.%6.%7"/>
      <w:lvlJc w:val="left"/>
      <w:pPr>
        <w:ind w:left="1865" w:hanging="1440"/>
      </w:pPr>
      <w:rPr>
        <w:rFonts w:hint="default" w:ascii="宋体" w:hAnsi="宋体" w:eastAsia="宋体"/>
      </w:rPr>
    </w:lvl>
    <w:lvl w:ilvl="7" w:tentative="0">
      <w:start w:val="1"/>
      <w:numFmt w:val="decimal"/>
      <w:isLgl/>
      <w:lvlText w:val="%1.%2.%3.%4.%5.%6.%7.%8"/>
      <w:lvlJc w:val="left"/>
      <w:pPr>
        <w:ind w:left="2225" w:hanging="1800"/>
      </w:pPr>
      <w:rPr>
        <w:rFonts w:hint="default" w:ascii="宋体" w:hAnsi="宋体" w:eastAsia="宋体"/>
      </w:rPr>
    </w:lvl>
    <w:lvl w:ilvl="8" w:tentative="0">
      <w:start w:val="1"/>
      <w:numFmt w:val="decimal"/>
      <w:isLgl/>
      <w:lvlText w:val="%1.%2.%3.%4.%5.%6.%7.%8.%9"/>
      <w:lvlJc w:val="left"/>
      <w:pPr>
        <w:ind w:left="2225" w:hanging="1800"/>
      </w:pPr>
      <w:rPr>
        <w:rFonts w:hint="default" w:ascii="宋体" w:hAnsi="宋体" w:eastAsia="宋体"/>
      </w:rPr>
    </w:lvl>
  </w:abstractNum>
  <w:abstractNum w:abstractNumId="182">
    <w:nsid w:val="76DA5A80"/>
    <w:multiLevelType w:val="multilevel"/>
    <w:tmpl w:val="76DA5A80"/>
    <w:lvl w:ilvl="0" w:tentative="0">
      <w:start w:val="1"/>
      <w:numFmt w:val="decimal"/>
      <w:lvlText w:val="(%1)"/>
      <w:lvlJc w:val="left"/>
      <w:pPr>
        <w:ind w:left="1129" w:hanging="420"/>
      </w:pPr>
      <w:rPr>
        <w:rFonts w:hint="default" w:ascii="Arial" w:hAnsi="Arial" w:eastAsia="宋体" w:cs="Arial"/>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83">
    <w:nsid w:val="77222348"/>
    <w:multiLevelType w:val="multilevel"/>
    <w:tmpl w:val="7722234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4">
    <w:nsid w:val="79404D62"/>
    <w:multiLevelType w:val="multilevel"/>
    <w:tmpl w:val="79404D62"/>
    <w:lvl w:ilvl="0" w:tentative="0">
      <w:start w:val="1"/>
      <w:numFmt w:val="decimal"/>
      <w:lvlText w:val="%1)"/>
      <w:lvlJc w:val="left"/>
      <w:pPr>
        <w:ind w:left="1837" w:hanging="420"/>
      </w:pPr>
    </w:lvl>
    <w:lvl w:ilvl="1" w:tentative="0">
      <w:start w:val="1"/>
      <w:numFmt w:val="lowerLetter"/>
      <w:lvlText w:val="%2)"/>
      <w:lvlJc w:val="left"/>
      <w:pPr>
        <w:ind w:left="2257" w:hanging="420"/>
      </w:pPr>
    </w:lvl>
    <w:lvl w:ilvl="2" w:tentative="0">
      <w:start w:val="1"/>
      <w:numFmt w:val="lowerRoman"/>
      <w:lvlText w:val="%3."/>
      <w:lvlJc w:val="right"/>
      <w:pPr>
        <w:ind w:left="2677" w:hanging="420"/>
      </w:pPr>
    </w:lvl>
    <w:lvl w:ilvl="3" w:tentative="0">
      <w:start w:val="1"/>
      <w:numFmt w:val="decimal"/>
      <w:lvlText w:val="%4."/>
      <w:lvlJc w:val="left"/>
      <w:pPr>
        <w:ind w:left="3097" w:hanging="420"/>
      </w:pPr>
    </w:lvl>
    <w:lvl w:ilvl="4" w:tentative="0">
      <w:start w:val="1"/>
      <w:numFmt w:val="lowerLetter"/>
      <w:lvlText w:val="%5)"/>
      <w:lvlJc w:val="left"/>
      <w:pPr>
        <w:ind w:left="3517" w:hanging="420"/>
      </w:pPr>
    </w:lvl>
    <w:lvl w:ilvl="5" w:tentative="0">
      <w:start w:val="1"/>
      <w:numFmt w:val="lowerRoman"/>
      <w:lvlText w:val="%6."/>
      <w:lvlJc w:val="right"/>
      <w:pPr>
        <w:ind w:left="3937" w:hanging="420"/>
      </w:pPr>
    </w:lvl>
    <w:lvl w:ilvl="6" w:tentative="0">
      <w:start w:val="1"/>
      <w:numFmt w:val="decimal"/>
      <w:lvlText w:val="%7."/>
      <w:lvlJc w:val="left"/>
      <w:pPr>
        <w:ind w:left="4357" w:hanging="420"/>
      </w:pPr>
    </w:lvl>
    <w:lvl w:ilvl="7" w:tentative="0">
      <w:start w:val="1"/>
      <w:numFmt w:val="lowerLetter"/>
      <w:lvlText w:val="%8)"/>
      <w:lvlJc w:val="left"/>
      <w:pPr>
        <w:ind w:left="4777" w:hanging="420"/>
      </w:pPr>
    </w:lvl>
    <w:lvl w:ilvl="8" w:tentative="0">
      <w:start w:val="1"/>
      <w:numFmt w:val="lowerRoman"/>
      <w:lvlText w:val="%9."/>
      <w:lvlJc w:val="right"/>
      <w:pPr>
        <w:ind w:left="5197" w:hanging="420"/>
      </w:pPr>
    </w:lvl>
  </w:abstractNum>
  <w:abstractNum w:abstractNumId="185">
    <w:nsid w:val="79865468"/>
    <w:multiLevelType w:val="multilevel"/>
    <w:tmpl w:val="79865468"/>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6">
    <w:nsid w:val="79B57A1B"/>
    <w:multiLevelType w:val="multilevel"/>
    <w:tmpl w:val="79B57A1B"/>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187">
    <w:nsid w:val="7A3D4AEF"/>
    <w:multiLevelType w:val="multilevel"/>
    <w:tmpl w:val="7A3D4AEF"/>
    <w:lvl w:ilvl="0" w:tentative="0">
      <w:start w:val="1"/>
      <w:numFmt w:val="bullet"/>
      <w:lvlText w:val=""/>
      <w:lvlJc w:val="left"/>
      <w:pPr>
        <w:ind w:left="1554" w:hanging="420"/>
      </w:pPr>
      <w:rPr>
        <w:rFonts w:hint="default" w:ascii="Wingdings" w:hAnsi="Wingdings"/>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188">
    <w:nsid w:val="7A5D08C4"/>
    <w:multiLevelType w:val="multilevel"/>
    <w:tmpl w:val="7A5D08C4"/>
    <w:lvl w:ilvl="0" w:tentative="0">
      <w:start w:val="1"/>
      <w:numFmt w:val="bullet"/>
      <w:lvlText w:val=""/>
      <w:lvlJc w:val="left"/>
      <w:pPr>
        <w:ind w:left="1837" w:hanging="420"/>
      </w:pPr>
      <w:rPr>
        <w:rFonts w:hint="default" w:ascii="Wingdings" w:hAnsi="Wingdings"/>
      </w:rPr>
    </w:lvl>
    <w:lvl w:ilvl="1" w:tentative="0">
      <w:start w:val="1"/>
      <w:numFmt w:val="bullet"/>
      <w:lvlText w:val=""/>
      <w:lvlJc w:val="left"/>
      <w:pPr>
        <w:ind w:left="2257" w:hanging="420"/>
      </w:pPr>
      <w:rPr>
        <w:rFonts w:hint="default" w:ascii="Wingdings" w:hAnsi="Wingdings"/>
      </w:rPr>
    </w:lvl>
    <w:lvl w:ilvl="2" w:tentative="0">
      <w:start w:val="1"/>
      <w:numFmt w:val="bullet"/>
      <w:lvlText w:val=""/>
      <w:lvlJc w:val="left"/>
      <w:pPr>
        <w:ind w:left="2677" w:hanging="420"/>
      </w:pPr>
      <w:rPr>
        <w:rFonts w:hint="default" w:ascii="Wingdings" w:hAnsi="Wingdings"/>
      </w:rPr>
    </w:lvl>
    <w:lvl w:ilvl="3" w:tentative="0">
      <w:start w:val="1"/>
      <w:numFmt w:val="bullet"/>
      <w:lvlText w:val=""/>
      <w:lvlJc w:val="left"/>
      <w:pPr>
        <w:ind w:left="3097" w:hanging="420"/>
      </w:pPr>
      <w:rPr>
        <w:rFonts w:hint="default" w:ascii="Wingdings" w:hAnsi="Wingdings"/>
      </w:rPr>
    </w:lvl>
    <w:lvl w:ilvl="4" w:tentative="0">
      <w:start w:val="1"/>
      <w:numFmt w:val="bullet"/>
      <w:lvlText w:val=""/>
      <w:lvlJc w:val="left"/>
      <w:pPr>
        <w:ind w:left="3517" w:hanging="420"/>
      </w:pPr>
      <w:rPr>
        <w:rFonts w:hint="default" w:ascii="Wingdings" w:hAnsi="Wingdings"/>
      </w:rPr>
    </w:lvl>
    <w:lvl w:ilvl="5" w:tentative="0">
      <w:start w:val="1"/>
      <w:numFmt w:val="bullet"/>
      <w:lvlText w:val=""/>
      <w:lvlJc w:val="left"/>
      <w:pPr>
        <w:ind w:left="3937" w:hanging="420"/>
      </w:pPr>
      <w:rPr>
        <w:rFonts w:hint="default" w:ascii="Wingdings" w:hAnsi="Wingdings"/>
      </w:rPr>
    </w:lvl>
    <w:lvl w:ilvl="6" w:tentative="0">
      <w:start w:val="1"/>
      <w:numFmt w:val="bullet"/>
      <w:lvlText w:val=""/>
      <w:lvlJc w:val="left"/>
      <w:pPr>
        <w:ind w:left="4357" w:hanging="420"/>
      </w:pPr>
      <w:rPr>
        <w:rFonts w:hint="default" w:ascii="Wingdings" w:hAnsi="Wingdings"/>
      </w:rPr>
    </w:lvl>
    <w:lvl w:ilvl="7" w:tentative="0">
      <w:start w:val="1"/>
      <w:numFmt w:val="bullet"/>
      <w:lvlText w:val=""/>
      <w:lvlJc w:val="left"/>
      <w:pPr>
        <w:ind w:left="4777" w:hanging="420"/>
      </w:pPr>
      <w:rPr>
        <w:rFonts w:hint="default" w:ascii="Wingdings" w:hAnsi="Wingdings"/>
      </w:rPr>
    </w:lvl>
    <w:lvl w:ilvl="8" w:tentative="0">
      <w:start w:val="1"/>
      <w:numFmt w:val="bullet"/>
      <w:lvlText w:val=""/>
      <w:lvlJc w:val="left"/>
      <w:pPr>
        <w:ind w:left="5197" w:hanging="420"/>
      </w:pPr>
      <w:rPr>
        <w:rFonts w:hint="default" w:ascii="Wingdings" w:hAnsi="Wingdings"/>
      </w:rPr>
    </w:lvl>
  </w:abstractNum>
  <w:abstractNum w:abstractNumId="189">
    <w:nsid w:val="7B4E310A"/>
    <w:multiLevelType w:val="multilevel"/>
    <w:tmpl w:val="7B4E310A"/>
    <w:lvl w:ilvl="0" w:tentative="0">
      <w:start w:val="1"/>
      <w:numFmt w:val="decimal"/>
      <w:lvlText w:val="%1、"/>
      <w:lvlJc w:val="left"/>
      <w:pPr>
        <w:ind w:left="1777" w:hanging="360"/>
      </w:pPr>
      <w:rPr>
        <w:rFonts w:hint="default"/>
      </w:rPr>
    </w:lvl>
    <w:lvl w:ilvl="1" w:tentative="0">
      <w:start w:val="1"/>
      <w:numFmt w:val="lowerLetter"/>
      <w:lvlText w:val="%2."/>
      <w:lvlJc w:val="left"/>
      <w:pPr>
        <w:ind w:left="2497" w:hanging="360"/>
      </w:pPr>
    </w:lvl>
    <w:lvl w:ilvl="2" w:tentative="0">
      <w:start w:val="1"/>
      <w:numFmt w:val="lowerRoman"/>
      <w:lvlText w:val="%3."/>
      <w:lvlJc w:val="right"/>
      <w:pPr>
        <w:ind w:left="3217" w:hanging="180"/>
      </w:pPr>
    </w:lvl>
    <w:lvl w:ilvl="3" w:tentative="0">
      <w:start w:val="1"/>
      <w:numFmt w:val="decimal"/>
      <w:lvlText w:val="%4."/>
      <w:lvlJc w:val="left"/>
      <w:pPr>
        <w:ind w:left="3937" w:hanging="360"/>
      </w:pPr>
    </w:lvl>
    <w:lvl w:ilvl="4" w:tentative="0">
      <w:start w:val="1"/>
      <w:numFmt w:val="lowerLetter"/>
      <w:lvlText w:val="%5."/>
      <w:lvlJc w:val="left"/>
      <w:pPr>
        <w:ind w:left="4657" w:hanging="360"/>
      </w:pPr>
    </w:lvl>
    <w:lvl w:ilvl="5" w:tentative="0">
      <w:start w:val="1"/>
      <w:numFmt w:val="lowerRoman"/>
      <w:lvlText w:val="%6."/>
      <w:lvlJc w:val="right"/>
      <w:pPr>
        <w:ind w:left="5377" w:hanging="180"/>
      </w:pPr>
    </w:lvl>
    <w:lvl w:ilvl="6" w:tentative="0">
      <w:start w:val="1"/>
      <w:numFmt w:val="decimal"/>
      <w:lvlText w:val="%7."/>
      <w:lvlJc w:val="left"/>
      <w:pPr>
        <w:ind w:left="6097" w:hanging="360"/>
      </w:pPr>
    </w:lvl>
    <w:lvl w:ilvl="7" w:tentative="0">
      <w:start w:val="1"/>
      <w:numFmt w:val="lowerLetter"/>
      <w:lvlText w:val="%8."/>
      <w:lvlJc w:val="left"/>
      <w:pPr>
        <w:ind w:left="6817" w:hanging="360"/>
      </w:pPr>
    </w:lvl>
    <w:lvl w:ilvl="8" w:tentative="0">
      <w:start w:val="1"/>
      <w:numFmt w:val="lowerRoman"/>
      <w:lvlText w:val="%9."/>
      <w:lvlJc w:val="right"/>
      <w:pPr>
        <w:ind w:left="7537" w:hanging="180"/>
      </w:pPr>
    </w:lvl>
  </w:abstractNum>
  <w:abstractNum w:abstractNumId="190">
    <w:nsid w:val="7B5668E6"/>
    <w:multiLevelType w:val="multilevel"/>
    <w:tmpl w:val="7B5668E6"/>
    <w:lvl w:ilvl="0" w:tentative="0">
      <w:start w:val="1"/>
      <w:numFmt w:val="decimal"/>
      <w:lvlText w:val="%1、"/>
      <w:lvlJc w:val="left"/>
      <w:pPr>
        <w:ind w:left="1777" w:hanging="360"/>
      </w:pPr>
      <w:rPr>
        <w:rFonts w:hint="default"/>
      </w:rPr>
    </w:lvl>
    <w:lvl w:ilvl="1" w:tentative="0">
      <w:start w:val="1"/>
      <w:numFmt w:val="lowerLetter"/>
      <w:lvlText w:val="%2."/>
      <w:lvlJc w:val="left"/>
      <w:pPr>
        <w:ind w:left="2497" w:hanging="360"/>
      </w:pPr>
    </w:lvl>
    <w:lvl w:ilvl="2" w:tentative="0">
      <w:start w:val="1"/>
      <w:numFmt w:val="lowerRoman"/>
      <w:lvlText w:val="%3."/>
      <w:lvlJc w:val="right"/>
      <w:pPr>
        <w:ind w:left="3217" w:hanging="180"/>
      </w:pPr>
    </w:lvl>
    <w:lvl w:ilvl="3" w:tentative="0">
      <w:start w:val="1"/>
      <w:numFmt w:val="decimal"/>
      <w:lvlText w:val="%4."/>
      <w:lvlJc w:val="left"/>
      <w:pPr>
        <w:ind w:left="3937" w:hanging="360"/>
      </w:pPr>
    </w:lvl>
    <w:lvl w:ilvl="4" w:tentative="0">
      <w:start w:val="1"/>
      <w:numFmt w:val="lowerLetter"/>
      <w:lvlText w:val="%5."/>
      <w:lvlJc w:val="left"/>
      <w:pPr>
        <w:ind w:left="4657" w:hanging="360"/>
      </w:pPr>
    </w:lvl>
    <w:lvl w:ilvl="5" w:tentative="0">
      <w:start w:val="1"/>
      <w:numFmt w:val="lowerRoman"/>
      <w:lvlText w:val="%6."/>
      <w:lvlJc w:val="right"/>
      <w:pPr>
        <w:ind w:left="5377" w:hanging="180"/>
      </w:pPr>
    </w:lvl>
    <w:lvl w:ilvl="6" w:tentative="0">
      <w:start w:val="1"/>
      <w:numFmt w:val="decimal"/>
      <w:lvlText w:val="%7."/>
      <w:lvlJc w:val="left"/>
      <w:pPr>
        <w:ind w:left="6097" w:hanging="360"/>
      </w:pPr>
    </w:lvl>
    <w:lvl w:ilvl="7" w:tentative="0">
      <w:start w:val="1"/>
      <w:numFmt w:val="lowerLetter"/>
      <w:lvlText w:val="%8."/>
      <w:lvlJc w:val="left"/>
      <w:pPr>
        <w:ind w:left="6817" w:hanging="360"/>
      </w:pPr>
    </w:lvl>
    <w:lvl w:ilvl="8" w:tentative="0">
      <w:start w:val="1"/>
      <w:numFmt w:val="lowerRoman"/>
      <w:lvlText w:val="%9."/>
      <w:lvlJc w:val="right"/>
      <w:pPr>
        <w:ind w:left="7537" w:hanging="180"/>
      </w:pPr>
    </w:lvl>
  </w:abstractNum>
  <w:abstractNum w:abstractNumId="191">
    <w:nsid w:val="7BC91E04"/>
    <w:multiLevelType w:val="multilevel"/>
    <w:tmpl w:val="7BC91E04"/>
    <w:lvl w:ilvl="0" w:tentative="0">
      <w:start w:val="1"/>
      <w:numFmt w:val="decimal"/>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92">
    <w:nsid w:val="7D184E08"/>
    <w:multiLevelType w:val="multilevel"/>
    <w:tmpl w:val="7D184E08"/>
    <w:lvl w:ilvl="0" w:tentative="0">
      <w:start w:val="1"/>
      <w:numFmt w:val="bullet"/>
      <w:lvlText w:val=""/>
      <w:lvlJc w:val="left"/>
      <w:pPr>
        <w:ind w:left="1554" w:hanging="420"/>
      </w:pPr>
      <w:rPr>
        <w:rFonts w:hint="default" w:ascii="Wingdings" w:hAnsi="Wingdings"/>
        <w:b w:val="0"/>
        <w:i w:val="0"/>
        <w:sz w:val="24"/>
        <w:szCs w:val="24"/>
      </w:rPr>
    </w:lvl>
    <w:lvl w:ilvl="1" w:tentative="0">
      <w:start w:val="1"/>
      <w:numFmt w:val="lowerLetter"/>
      <w:lvlText w:val="%2)"/>
      <w:lvlJc w:val="left"/>
      <w:pPr>
        <w:ind w:left="2968" w:hanging="420"/>
      </w:pPr>
    </w:lvl>
    <w:lvl w:ilvl="2" w:tentative="0">
      <w:start w:val="1"/>
      <w:numFmt w:val="lowerRoman"/>
      <w:lvlText w:val="%3."/>
      <w:lvlJc w:val="right"/>
      <w:pPr>
        <w:ind w:left="3388" w:hanging="420"/>
      </w:pPr>
    </w:lvl>
    <w:lvl w:ilvl="3" w:tentative="0">
      <w:start w:val="1"/>
      <w:numFmt w:val="decimal"/>
      <w:lvlText w:val="%4."/>
      <w:lvlJc w:val="left"/>
      <w:pPr>
        <w:ind w:left="3808" w:hanging="420"/>
      </w:pPr>
    </w:lvl>
    <w:lvl w:ilvl="4" w:tentative="0">
      <w:start w:val="1"/>
      <w:numFmt w:val="lowerLetter"/>
      <w:lvlText w:val="%5)"/>
      <w:lvlJc w:val="left"/>
      <w:pPr>
        <w:ind w:left="4228" w:hanging="420"/>
      </w:pPr>
    </w:lvl>
    <w:lvl w:ilvl="5" w:tentative="0">
      <w:start w:val="1"/>
      <w:numFmt w:val="lowerRoman"/>
      <w:lvlText w:val="%6."/>
      <w:lvlJc w:val="right"/>
      <w:pPr>
        <w:ind w:left="4648" w:hanging="420"/>
      </w:pPr>
    </w:lvl>
    <w:lvl w:ilvl="6" w:tentative="0">
      <w:start w:val="1"/>
      <w:numFmt w:val="decimal"/>
      <w:lvlText w:val="%7."/>
      <w:lvlJc w:val="left"/>
      <w:pPr>
        <w:ind w:left="5068" w:hanging="420"/>
      </w:pPr>
    </w:lvl>
    <w:lvl w:ilvl="7" w:tentative="0">
      <w:start w:val="1"/>
      <w:numFmt w:val="lowerLetter"/>
      <w:lvlText w:val="%8)"/>
      <w:lvlJc w:val="left"/>
      <w:pPr>
        <w:ind w:left="5488" w:hanging="420"/>
      </w:pPr>
    </w:lvl>
    <w:lvl w:ilvl="8" w:tentative="0">
      <w:start w:val="1"/>
      <w:numFmt w:val="lowerRoman"/>
      <w:lvlText w:val="%9."/>
      <w:lvlJc w:val="right"/>
      <w:pPr>
        <w:ind w:left="5908" w:hanging="420"/>
      </w:pPr>
    </w:lvl>
  </w:abstractNum>
  <w:abstractNum w:abstractNumId="193">
    <w:nsid w:val="7ED039FC"/>
    <w:multiLevelType w:val="multilevel"/>
    <w:tmpl w:val="7ED039FC"/>
    <w:lvl w:ilvl="0" w:tentative="0">
      <w:start w:val="1"/>
      <w:numFmt w:val="bullet"/>
      <w:lvlText w:val=""/>
      <w:lvlJc w:val="left"/>
      <w:pPr>
        <w:ind w:left="1412" w:hanging="420"/>
      </w:pPr>
      <w:rPr>
        <w:rFonts w:hint="default" w:ascii="Wingdings" w:hAnsi="Wingdings"/>
      </w:rPr>
    </w:lvl>
    <w:lvl w:ilvl="1" w:tentative="0">
      <w:start w:val="1"/>
      <w:numFmt w:val="bullet"/>
      <w:lvlText w:val=""/>
      <w:lvlJc w:val="left"/>
      <w:pPr>
        <w:ind w:left="1832" w:hanging="420"/>
      </w:pPr>
      <w:rPr>
        <w:rFonts w:hint="default" w:ascii="Wingdings" w:hAnsi="Wingdings"/>
      </w:rPr>
    </w:lvl>
    <w:lvl w:ilvl="2" w:tentative="0">
      <w:start w:val="1"/>
      <w:numFmt w:val="bullet"/>
      <w:lvlText w:val=""/>
      <w:lvlJc w:val="left"/>
      <w:pPr>
        <w:ind w:left="2252" w:hanging="420"/>
      </w:pPr>
      <w:rPr>
        <w:rFonts w:hint="default" w:ascii="Wingdings" w:hAnsi="Wingdings"/>
      </w:rPr>
    </w:lvl>
    <w:lvl w:ilvl="3" w:tentative="0">
      <w:start w:val="1"/>
      <w:numFmt w:val="bullet"/>
      <w:lvlText w:val=""/>
      <w:lvlJc w:val="left"/>
      <w:pPr>
        <w:ind w:left="2672" w:hanging="420"/>
      </w:pPr>
      <w:rPr>
        <w:rFonts w:hint="default" w:ascii="Wingdings" w:hAnsi="Wingdings"/>
      </w:rPr>
    </w:lvl>
    <w:lvl w:ilvl="4" w:tentative="0">
      <w:start w:val="1"/>
      <w:numFmt w:val="bullet"/>
      <w:lvlText w:val=""/>
      <w:lvlJc w:val="left"/>
      <w:pPr>
        <w:ind w:left="3092" w:hanging="420"/>
      </w:pPr>
      <w:rPr>
        <w:rFonts w:hint="default" w:ascii="Wingdings" w:hAnsi="Wingdings"/>
      </w:rPr>
    </w:lvl>
    <w:lvl w:ilvl="5" w:tentative="0">
      <w:start w:val="1"/>
      <w:numFmt w:val="bullet"/>
      <w:lvlText w:val=""/>
      <w:lvlJc w:val="left"/>
      <w:pPr>
        <w:ind w:left="3512" w:hanging="420"/>
      </w:pPr>
      <w:rPr>
        <w:rFonts w:hint="default" w:ascii="Wingdings" w:hAnsi="Wingdings"/>
      </w:rPr>
    </w:lvl>
    <w:lvl w:ilvl="6" w:tentative="0">
      <w:start w:val="1"/>
      <w:numFmt w:val="bullet"/>
      <w:lvlText w:val=""/>
      <w:lvlJc w:val="left"/>
      <w:pPr>
        <w:ind w:left="3932" w:hanging="420"/>
      </w:pPr>
      <w:rPr>
        <w:rFonts w:hint="default" w:ascii="Wingdings" w:hAnsi="Wingdings"/>
      </w:rPr>
    </w:lvl>
    <w:lvl w:ilvl="7" w:tentative="0">
      <w:start w:val="1"/>
      <w:numFmt w:val="bullet"/>
      <w:lvlText w:val=""/>
      <w:lvlJc w:val="left"/>
      <w:pPr>
        <w:ind w:left="4352" w:hanging="420"/>
      </w:pPr>
      <w:rPr>
        <w:rFonts w:hint="default" w:ascii="Wingdings" w:hAnsi="Wingdings"/>
      </w:rPr>
    </w:lvl>
    <w:lvl w:ilvl="8" w:tentative="0">
      <w:start w:val="1"/>
      <w:numFmt w:val="bullet"/>
      <w:lvlText w:val=""/>
      <w:lvlJc w:val="left"/>
      <w:pPr>
        <w:ind w:left="4772" w:hanging="420"/>
      </w:pPr>
      <w:rPr>
        <w:rFonts w:hint="default" w:ascii="Wingdings" w:hAnsi="Wingdings"/>
      </w:rPr>
    </w:lvl>
  </w:abstractNum>
  <w:abstractNum w:abstractNumId="194">
    <w:nsid w:val="7EE5F821"/>
    <w:multiLevelType w:val="singleLevel"/>
    <w:tmpl w:val="7EE5F821"/>
    <w:lvl w:ilvl="0" w:tentative="0">
      <w:start w:val="1"/>
      <w:numFmt w:val="decimal"/>
      <w:lvlText w:val="%1."/>
      <w:lvlJc w:val="left"/>
      <w:pPr>
        <w:ind w:left="425" w:hanging="425"/>
      </w:pPr>
      <w:rPr>
        <w:rFonts w:hint="default"/>
      </w:rPr>
    </w:lvl>
  </w:abstractNum>
  <w:num w:numId="1">
    <w:abstractNumId w:val="37"/>
  </w:num>
  <w:num w:numId="2">
    <w:abstractNumId w:val="134"/>
  </w:num>
  <w:num w:numId="3">
    <w:abstractNumId w:val="169"/>
  </w:num>
  <w:num w:numId="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4"/>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3"/>
  </w:num>
  <w:num w:numId="8">
    <w:abstractNumId w:val="174"/>
  </w:num>
  <w:num w:numId="9">
    <w:abstractNumId w:val="107"/>
  </w:num>
  <w:num w:numId="10">
    <w:abstractNumId w:val="0"/>
  </w:num>
  <w:num w:numId="11">
    <w:abstractNumId w:val="106"/>
  </w:num>
  <w:num w:numId="12">
    <w:abstractNumId w:val="158"/>
  </w:num>
  <w:num w:numId="13">
    <w:abstractNumId w:val="25"/>
  </w:num>
  <w:num w:numId="14">
    <w:abstractNumId w:val="71"/>
  </w:num>
  <w:num w:numId="15">
    <w:abstractNumId w:val="124"/>
  </w:num>
  <w:num w:numId="16">
    <w:abstractNumId w:val="171"/>
  </w:num>
  <w:num w:numId="17">
    <w:abstractNumId w:val="186"/>
  </w:num>
  <w:num w:numId="18">
    <w:abstractNumId w:val="183"/>
  </w:num>
  <w:num w:numId="19">
    <w:abstractNumId w:val="109"/>
  </w:num>
  <w:num w:numId="20">
    <w:abstractNumId w:val="118"/>
  </w:num>
  <w:num w:numId="21">
    <w:abstractNumId w:val="147"/>
  </w:num>
  <w:num w:numId="22">
    <w:abstractNumId w:val="27"/>
  </w:num>
  <w:num w:numId="23">
    <w:abstractNumId w:val="74"/>
  </w:num>
  <w:num w:numId="24">
    <w:abstractNumId w:val="98"/>
  </w:num>
  <w:num w:numId="25">
    <w:abstractNumId w:val="168"/>
  </w:num>
  <w:num w:numId="26">
    <w:abstractNumId w:val="28"/>
  </w:num>
  <w:num w:numId="27">
    <w:abstractNumId w:val="56"/>
  </w:num>
  <w:num w:numId="28">
    <w:abstractNumId w:val="113"/>
  </w:num>
  <w:num w:numId="29">
    <w:abstractNumId w:val="36"/>
  </w:num>
  <w:num w:numId="30">
    <w:abstractNumId w:val="38"/>
  </w:num>
  <w:num w:numId="31">
    <w:abstractNumId w:val="24"/>
  </w:num>
  <w:num w:numId="32">
    <w:abstractNumId w:val="37"/>
    <w:lvlOverride w:ilvl="0">
      <w:lvl w:ilvl="0" w:tentative="1">
        <w:start w:val="1"/>
        <w:numFmt w:val="decimal"/>
        <w:lvlText w:val="第%1篇"/>
        <w:lvlJc w:val="left"/>
        <w:pPr>
          <w:ind w:left="425" w:hanging="425"/>
        </w:pPr>
        <w:rPr>
          <w:rFonts w:hint="eastAsia"/>
        </w:rPr>
      </w:lvl>
    </w:lvlOverride>
    <w:lvlOverride w:ilvl="1">
      <w:lvl w:ilvl="1" w:tentative="1">
        <w:start w:val="1"/>
        <w:numFmt w:val="decimal"/>
        <w:lvlText w:val="%1.%2"/>
        <w:lvlJc w:val="left"/>
        <w:pPr>
          <w:ind w:left="992" w:hanging="567"/>
        </w:pPr>
        <w:rPr>
          <w:rFonts w:hint="eastAsia"/>
        </w:rPr>
      </w:lvl>
    </w:lvlOverride>
    <w:lvlOverride w:ilvl="2">
      <w:lvl w:ilvl="2" w:tentative="1">
        <w:start w:val="1"/>
        <w:numFmt w:val="decimal"/>
        <w:lvlText w:val="%1.%2.%3"/>
        <w:lvlJc w:val="left"/>
        <w:pPr>
          <w:ind w:left="1418" w:hanging="567"/>
        </w:pPr>
        <w:rPr>
          <w:rFonts w:hint="eastAsia"/>
        </w:rPr>
      </w:lvl>
    </w:lvlOverride>
    <w:lvlOverride w:ilvl="3">
      <w:lvl w:ilvl="3" w:tentative="1">
        <w:start w:val="1"/>
        <w:numFmt w:val="decimal"/>
        <w:lvlText w:val="%4"/>
        <w:lvlJc w:val="left"/>
        <w:pPr>
          <w:ind w:left="1275" w:hanging="708"/>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3">
    <w:abstractNumId w:val="97"/>
  </w:num>
  <w:num w:numId="34">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5">
    <w:abstractNumId w:val="42"/>
  </w:num>
  <w:num w:numId="36">
    <w:abstractNumId w:val="157"/>
  </w:num>
  <w:num w:numId="37">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8">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39">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40">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41">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42">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43">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0" w:firstLine="709"/>
        </w:pPr>
        <w:rPr>
          <w:rFonts w:hint="eastAsia"/>
          <w:b/>
          <w:color w:val="auto"/>
          <w:sz w:val="18"/>
          <w:szCs w:val="18"/>
        </w:rPr>
      </w:lvl>
    </w:lvlOverride>
    <w:lvlOverride w:ilvl="3">
      <w:lvl w:ilvl="3" w:tentative="1">
        <w:start w:val="1"/>
        <w:numFmt w:val="decimal"/>
        <w:lvlText w:val="%1.%2.%3.%4"/>
        <w:lvlJc w:val="left"/>
        <w:pPr>
          <w:ind w:left="1842" w:hanging="850"/>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44">
    <w:abstractNumId w:val="132"/>
  </w:num>
  <w:num w:numId="45">
    <w:abstractNumId w:val="173"/>
  </w:num>
  <w:num w:numId="46">
    <w:abstractNumId w:val="31"/>
  </w:num>
  <w:num w:numId="47">
    <w:abstractNumId w:val="159"/>
  </w:num>
  <w:num w:numId="48">
    <w:abstractNumId w:val="55"/>
  </w:num>
  <w:num w:numId="49">
    <w:abstractNumId w:val="165"/>
  </w:num>
  <w:num w:numId="50">
    <w:abstractNumId w:val="155"/>
  </w:num>
  <w:num w:numId="51">
    <w:abstractNumId w:val="78"/>
  </w:num>
  <w:num w:numId="52">
    <w:abstractNumId w:val="188"/>
  </w:num>
  <w:num w:numId="53">
    <w:abstractNumId w:val="65"/>
  </w:num>
  <w:num w:numId="54">
    <w:abstractNumId w:val="146"/>
  </w:num>
  <w:num w:numId="55">
    <w:abstractNumId w:val="84"/>
  </w:num>
  <w:num w:numId="56">
    <w:abstractNumId w:val="72"/>
  </w:num>
  <w:num w:numId="57">
    <w:abstractNumId w:val="91"/>
  </w:num>
  <w:num w:numId="58">
    <w:abstractNumId w:val="133"/>
  </w:num>
  <w:num w:numId="59">
    <w:abstractNumId w:val="189"/>
  </w:num>
  <w:num w:numId="60">
    <w:abstractNumId w:val="190"/>
  </w:num>
  <w:num w:numId="61">
    <w:abstractNumId w:val="117"/>
  </w:num>
  <w:num w:numId="62">
    <w:abstractNumId w:val="75"/>
  </w:num>
  <w:num w:numId="63">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283" w:firstLine="709"/>
        </w:pPr>
        <w:rPr>
          <w:rFonts w:hint="eastAsia"/>
          <w:b/>
          <w:color w:val="auto"/>
          <w:sz w:val="18"/>
          <w:szCs w:val="18"/>
        </w:rPr>
      </w:lvl>
    </w:lvlOverride>
    <w:lvlOverride w:ilvl="3">
      <w:lvl w:ilvl="3" w:tentative="1">
        <w:start w:val="1"/>
        <w:numFmt w:val="decimal"/>
        <w:lvlText w:val="%1.%2.%3.%4"/>
        <w:lvlJc w:val="left"/>
        <w:pPr>
          <w:ind w:left="1842" w:hanging="651"/>
        </w:pPr>
        <w:rPr>
          <w:rFonts w:hint="eastAsia"/>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64">
    <w:abstractNumId w:val="163"/>
  </w:num>
  <w:num w:numId="65">
    <w:abstractNumId w:val="90"/>
  </w:num>
  <w:num w:numId="66">
    <w:abstractNumId w:val="148"/>
  </w:num>
  <w:num w:numId="67">
    <w:abstractNumId w:val="30"/>
  </w:num>
  <w:num w:numId="68">
    <w:abstractNumId w:val="93"/>
  </w:num>
  <w:num w:numId="69">
    <w:abstractNumId w:val="33"/>
  </w:num>
  <w:num w:numId="70">
    <w:abstractNumId w:val="131"/>
  </w:num>
  <w:num w:numId="71">
    <w:abstractNumId w:val="179"/>
  </w:num>
  <w:num w:numId="72">
    <w:abstractNumId w:val="63"/>
  </w:num>
  <w:num w:numId="73">
    <w:abstractNumId w:val="167"/>
  </w:num>
  <w:num w:numId="74">
    <w:abstractNumId w:val="54"/>
  </w:num>
  <w:num w:numId="75">
    <w:abstractNumId w:val="111"/>
  </w:num>
  <w:num w:numId="76">
    <w:abstractNumId w:val="48"/>
  </w:num>
  <w:num w:numId="77">
    <w:abstractNumId w:val="105"/>
  </w:num>
  <w:num w:numId="78">
    <w:abstractNumId w:val="43"/>
  </w:num>
  <w:num w:numId="79">
    <w:abstractNumId w:val="83"/>
  </w:num>
  <w:num w:numId="80">
    <w:abstractNumId w:val="50"/>
  </w:num>
  <w:num w:numId="81">
    <w:abstractNumId w:val="101"/>
  </w:num>
  <w:num w:numId="82">
    <w:abstractNumId w:val="164"/>
  </w:num>
  <w:num w:numId="83">
    <w:abstractNumId w:val="108"/>
  </w:num>
  <w:num w:numId="84">
    <w:abstractNumId w:val="184"/>
  </w:num>
  <w:num w:numId="85">
    <w:abstractNumId w:val="92"/>
  </w:num>
  <w:num w:numId="86">
    <w:abstractNumId w:val="77"/>
  </w:num>
  <w:num w:numId="87">
    <w:abstractNumId w:val="96"/>
  </w:num>
  <w:num w:numId="88">
    <w:abstractNumId w:val="116"/>
  </w:num>
  <w:num w:numId="89">
    <w:abstractNumId w:val="162"/>
  </w:num>
  <w:num w:numId="90">
    <w:abstractNumId w:val="187"/>
  </w:num>
  <w:num w:numId="91">
    <w:abstractNumId w:val="110"/>
  </w:num>
  <w:num w:numId="92">
    <w:abstractNumId w:val="49"/>
  </w:num>
  <w:num w:numId="93">
    <w:abstractNumId w:val="126"/>
  </w:num>
  <w:num w:numId="94">
    <w:abstractNumId w:val="178"/>
  </w:num>
  <w:num w:numId="95">
    <w:abstractNumId w:val="112"/>
  </w:num>
  <w:num w:numId="96">
    <w:abstractNumId w:val="129"/>
  </w:num>
  <w:num w:numId="97">
    <w:abstractNumId w:val="115"/>
  </w:num>
  <w:num w:numId="98">
    <w:abstractNumId w:val="180"/>
  </w:num>
  <w:num w:numId="99">
    <w:abstractNumId w:val="57"/>
  </w:num>
  <w:num w:numId="100">
    <w:abstractNumId w:val="88"/>
  </w:num>
  <w:num w:numId="101">
    <w:abstractNumId w:val="40"/>
  </w:num>
  <w:num w:numId="102">
    <w:abstractNumId w:val="136"/>
  </w:num>
  <w:num w:numId="103">
    <w:abstractNumId w:val="139"/>
  </w:num>
  <w:num w:numId="104">
    <w:abstractNumId w:val="161"/>
  </w:num>
  <w:num w:numId="105">
    <w:abstractNumId w:val="192"/>
  </w:num>
  <w:num w:numId="106">
    <w:abstractNumId w:val="135"/>
  </w:num>
  <w:num w:numId="107">
    <w:abstractNumId w:val="170"/>
  </w:num>
  <w:num w:numId="10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5"/>
  </w:num>
  <w:num w:numId="110">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1" w:firstLine="709"/>
        </w:pPr>
        <w:rPr>
          <w:rFonts w:hint="eastAsia"/>
          <w:b/>
          <w:color w:val="auto"/>
          <w:sz w:val="18"/>
          <w:szCs w:val="18"/>
        </w:rPr>
      </w:lvl>
    </w:lvlOverride>
    <w:lvlOverride w:ilvl="3">
      <w:lvl w:ilvl="3" w:tentative="1">
        <w:start w:val="1"/>
        <w:numFmt w:val="bullet"/>
        <w:lvlText w:val=""/>
        <w:lvlJc w:val="left"/>
        <w:pPr>
          <w:ind w:left="1785" w:hanging="651"/>
        </w:pPr>
        <w:rPr>
          <w:rFonts w:hint="default" w:ascii="Wingdings" w:hAnsi="Wingdings"/>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11">
    <w:abstractNumId w:val="37"/>
    <w:lvlOverride w:ilvl="0">
      <w:lvl w:ilvl="0" w:tentative="1">
        <w:start w:val="1"/>
        <w:numFmt w:val="decimal"/>
        <w:lvlText w:val="第%1篇"/>
        <w:lvlJc w:val="left"/>
        <w:pPr>
          <w:ind w:left="4537" w:hanging="425"/>
        </w:pPr>
        <w:rPr>
          <w:rFonts w:hint="eastAsia"/>
        </w:rPr>
      </w:lvl>
    </w:lvlOverride>
    <w:lvlOverride w:ilvl="1">
      <w:lvl w:ilvl="1" w:tentative="1">
        <w:start w:val="1"/>
        <w:numFmt w:val="decimal"/>
        <w:lvlText w:val="%1.%2"/>
        <w:lvlJc w:val="left"/>
        <w:pPr>
          <w:ind w:left="992" w:hanging="567"/>
        </w:pPr>
        <w:rPr>
          <w:rFonts w:hint="eastAsia"/>
          <w:b/>
        </w:rPr>
      </w:lvl>
    </w:lvlOverride>
    <w:lvlOverride w:ilvl="2">
      <w:lvl w:ilvl="2" w:tentative="1">
        <w:start w:val="1"/>
        <w:numFmt w:val="decimal"/>
        <w:lvlText w:val="%1.%2.%3"/>
        <w:lvlJc w:val="left"/>
        <w:pPr>
          <w:ind w:left="-1" w:firstLine="709"/>
        </w:pPr>
        <w:rPr>
          <w:rFonts w:hint="eastAsia"/>
          <w:b/>
          <w:color w:val="auto"/>
          <w:sz w:val="18"/>
          <w:szCs w:val="18"/>
        </w:rPr>
      </w:lvl>
    </w:lvlOverride>
    <w:lvlOverride w:ilvl="3">
      <w:lvl w:ilvl="3" w:tentative="1">
        <w:start w:val="1"/>
        <w:numFmt w:val="bullet"/>
        <w:lvlText w:val=""/>
        <w:lvlJc w:val="left"/>
        <w:pPr>
          <w:ind w:left="1785" w:hanging="651"/>
        </w:pPr>
        <w:rPr>
          <w:rFonts w:hint="default" w:ascii="Wingdings" w:hAnsi="Wingdings"/>
        </w:rPr>
      </w:lvl>
    </w:lvlOverride>
    <w:lvlOverride w:ilvl="4">
      <w:lvl w:ilvl="4" w:tentative="1">
        <w:start w:val="1"/>
        <w:numFmt w:val="decimal"/>
        <w:lvlText w:val="%5)"/>
        <w:lvlJc w:val="left"/>
        <w:pPr>
          <w:ind w:left="2551" w:hanging="850"/>
        </w:pPr>
        <w:rPr>
          <w:rFonts w:hint="eastAsia"/>
        </w:rPr>
      </w:lvl>
    </w:lvlOverride>
    <w:lvlOverride w:ilvl="5">
      <w:lvl w:ilvl="5" w:tentative="1">
        <w:start w:val="1"/>
        <w:numFmt w:val="lowerLetter"/>
        <w:lvlText w:val="%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12">
    <w:abstractNumId w:val="86"/>
  </w:num>
  <w:num w:numId="113">
    <w:abstractNumId w:val="85"/>
  </w:num>
  <w:num w:numId="114">
    <w:abstractNumId w:val="142"/>
  </w:num>
  <w:num w:numId="115">
    <w:abstractNumId w:val="82"/>
  </w:num>
  <w:num w:numId="116">
    <w:abstractNumId w:val="29"/>
  </w:num>
  <w:num w:numId="117">
    <w:abstractNumId w:val="177"/>
  </w:num>
  <w:num w:numId="118">
    <w:abstractNumId w:val="151"/>
  </w:num>
  <w:num w:numId="119">
    <w:abstractNumId w:val="1"/>
  </w:num>
  <w:num w:numId="120">
    <w:abstractNumId w:val="2"/>
  </w:num>
  <w:num w:numId="121">
    <w:abstractNumId w:val="3"/>
  </w:num>
  <w:num w:numId="122">
    <w:abstractNumId w:val="4"/>
  </w:num>
  <w:num w:numId="123">
    <w:abstractNumId w:val="5"/>
  </w:num>
  <w:num w:numId="124">
    <w:abstractNumId w:val="6"/>
  </w:num>
  <w:num w:numId="125">
    <w:abstractNumId w:val="7"/>
  </w:num>
  <w:num w:numId="126">
    <w:abstractNumId w:val="8"/>
  </w:num>
  <w:num w:numId="127">
    <w:abstractNumId w:val="9"/>
  </w:num>
  <w:num w:numId="128">
    <w:abstractNumId w:val="10"/>
  </w:num>
  <w:num w:numId="129">
    <w:abstractNumId w:val="11"/>
  </w:num>
  <w:num w:numId="130">
    <w:abstractNumId w:val="12"/>
  </w:num>
  <w:num w:numId="131">
    <w:abstractNumId w:val="13"/>
  </w:num>
  <w:num w:numId="132">
    <w:abstractNumId w:val="14"/>
  </w:num>
  <w:num w:numId="133">
    <w:abstractNumId w:val="15"/>
  </w:num>
  <w:num w:numId="134">
    <w:abstractNumId w:val="16"/>
  </w:num>
  <w:num w:numId="135">
    <w:abstractNumId w:val="17"/>
  </w:num>
  <w:num w:numId="136">
    <w:abstractNumId w:val="18"/>
  </w:num>
  <w:num w:numId="137">
    <w:abstractNumId w:val="19"/>
  </w:num>
  <w:num w:numId="138">
    <w:abstractNumId w:val="20"/>
  </w:num>
  <w:num w:numId="139">
    <w:abstractNumId w:val="21"/>
  </w:num>
  <w:num w:numId="140">
    <w:abstractNumId w:val="22"/>
  </w:num>
  <w:num w:numId="141">
    <w:abstractNumId w:val="23"/>
  </w:num>
  <w:num w:numId="142">
    <w:abstractNumId w:val="45"/>
  </w:num>
  <w:num w:numId="143">
    <w:abstractNumId w:val="39"/>
  </w:num>
  <w:num w:numId="144">
    <w:abstractNumId w:val="76"/>
  </w:num>
  <w:num w:numId="145">
    <w:abstractNumId w:val="58"/>
  </w:num>
  <w:num w:numId="146">
    <w:abstractNumId w:val="35"/>
  </w:num>
  <w:num w:numId="147">
    <w:abstractNumId w:val="64"/>
  </w:num>
  <w:num w:numId="148">
    <w:abstractNumId w:val="193"/>
  </w:num>
  <w:num w:numId="149">
    <w:abstractNumId w:val="32"/>
  </w:num>
  <w:num w:numId="150">
    <w:abstractNumId w:val="154"/>
  </w:num>
  <w:num w:numId="151">
    <w:abstractNumId w:val="119"/>
  </w:num>
  <w:num w:numId="152">
    <w:abstractNumId w:val="143"/>
  </w:num>
  <w:num w:numId="153">
    <w:abstractNumId w:val="120"/>
  </w:num>
  <w:num w:numId="154">
    <w:abstractNumId w:val="51"/>
  </w:num>
  <w:num w:numId="155">
    <w:abstractNumId w:val="176"/>
  </w:num>
  <w:num w:numId="156">
    <w:abstractNumId w:val="41"/>
  </w:num>
  <w:num w:numId="157">
    <w:abstractNumId w:val="52"/>
  </w:num>
  <w:num w:numId="158">
    <w:abstractNumId w:val="140"/>
  </w:num>
  <w:num w:numId="159">
    <w:abstractNumId w:val="172"/>
  </w:num>
  <w:num w:numId="160">
    <w:abstractNumId w:val="102"/>
  </w:num>
  <w:num w:numId="161">
    <w:abstractNumId w:val="62"/>
  </w:num>
  <w:num w:numId="162">
    <w:abstractNumId w:val="152"/>
  </w:num>
  <w:num w:numId="163">
    <w:abstractNumId w:val="153"/>
  </w:num>
  <w:num w:numId="164">
    <w:abstractNumId w:val="121"/>
  </w:num>
  <w:num w:numId="1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6"/>
  </w:num>
  <w:num w:numId="167">
    <w:abstractNumId w:val="70"/>
  </w:num>
  <w:num w:numId="168">
    <w:abstractNumId w:val="138"/>
  </w:num>
  <w:num w:numId="169">
    <w:abstractNumId w:val="130"/>
  </w:num>
  <w:num w:numId="170">
    <w:abstractNumId w:val="69"/>
  </w:num>
  <w:num w:numId="171">
    <w:abstractNumId w:val="94"/>
  </w:num>
  <w:num w:numId="172">
    <w:abstractNumId w:val="150"/>
  </w:num>
  <w:num w:numId="173">
    <w:abstractNumId w:val="145"/>
  </w:num>
  <w:num w:numId="174">
    <w:abstractNumId w:val="99"/>
  </w:num>
  <w:num w:numId="175">
    <w:abstractNumId w:val="73"/>
  </w:num>
  <w:num w:numId="176">
    <w:abstractNumId w:val="141"/>
  </w:num>
  <w:num w:numId="177">
    <w:abstractNumId w:val="81"/>
  </w:num>
  <w:num w:numId="178">
    <w:abstractNumId w:val="182"/>
  </w:num>
  <w:num w:numId="179">
    <w:abstractNumId w:val="137"/>
  </w:num>
  <w:num w:numId="180">
    <w:abstractNumId w:val="95"/>
  </w:num>
  <w:num w:numId="181">
    <w:abstractNumId w:val="89"/>
  </w:num>
  <w:num w:numId="182">
    <w:abstractNumId w:val="128"/>
  </w:num>
  <w:num w:numId="183">
    <w:abstractNumId w:val="104"/>
  </w:num>
  <w:num w:numId="184">
    <w:abstractNumId w:val="194"/>
  </w:num>
  <w:num w:numId="185">
    <w:abstractNumId w:val="46"/>
  </w:num>
  <w:num w:numId="186">
    <w:abstractNumId w:val="66"/>
  </w:num>
  <w:num w:numId="187">
    <w:abstractNumId w:val="181"/>
  </w:num>
  <w:num w:numId="188">
    <w:abstractNumId w:val="44"/>
  </w:num>
  <w:num w:numId="189">
    <w:abstractNumId w:val="175"/>
  </w:num>
  <w:num w:numId="190">
    <w:abstractNumId w:val="68"/>
  </w:num>
  <w:num w:numId="191">
    <w:abstractNumId w:val="60"/>
  </w:num>
  <w:num w:numId="192">
    <w:abstractNumId w:val="87"/>
  </w:num>
  <w:num w:numId="193">
    <w:abstractNumId w:val="160"/>
  </w:num>
  <w:num w:numId="194">
    <w:abstractNumId w:val="61"/>
  </w:num>
  <w:num w:numId="195">
    <w:abstractNumId w:val="59"/>
  </w:num>
  <w:num w:numId="196">
    <w:abstractNumId w:val="127"/>
  </w:num>
  <w:num w:numId="197">
    <w:abstractNumId w:val="79"/>
  </w:num>
  <w:num w:numId="198">
    <w:abstractNumId w:val="149"/>
  </w:num>
  <w:num w:numId="199">
    <w:abstractNumId w:val="103"/>
  </w:num>
  <w:num w:numId="200">
    <w:abstractNumId w:val="34"/>
  </w:num>
  <w:num w:numId="201">
    <w:abstractNumId w:val="67"/>
  </w:num>
  <w:num w:numId="202">
    <w:abstractNumId w:val="26"/>
  </w:num>
  <w:num w:numId="203">
    <w:abstractNumId w:val="100"/>
  </w:num>
  <w:num w:numId="204">
    <w:abstractNumId w:val="114"/>
  </w:num>
  <w:num w:numId="205">
    <w:abstractNumId w:val="185"/>
  </w:num>
  <w:num w:numId="206">
    <w:abstractNumId w:val="47"/>
  </w:num>
  <w:num w:numId="207">
    <w:abstractNumId w:val="166"/>
  </w:num>
  <w:num w:numId="208">
    <w:abstractNumId w:val="80"/>
  </w:num>
  <w:num w:numId="209">
    <w:abstractNumId w:val="191"/>
  </w:num>
  <w:num w:numId="210">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NotDisplayPageBoundaries w:val="1"/>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342"/>
    <w:rsid w:val="000029CD"/>
    <w:rsid w:val="00010742"/>
    <w:rsid w:val="00012143"/>
    <w:rsid w:val="0001219B"/>
    <w:rsid w:val="00012902"/>
    <w:rsid w:val="00015E1A"/>
    <w:rsid w:val="00020D6D"/>
    <w:rsid w:val="00021982"/>
    <w:rsid w:val="00025C31"/>
    <w:rsid w:val="000309A8"/>
    <w:rsid w:val="0003442D"/>
    <w:rsid w:val="00035B81"/>
    <w:rsid w:val="0003662A"/>
    <w:rsid w:val="000373C8"/>
    <w:rsid w:val="00040717"/>
    <w:rsid w:val="00041D91"/>
    <w:rsid w:val="00043650"/>
    <w:rsid w:val="00046788"/>
    <w:rsid w:val="000570EE"/>
    <w:rsid w:val="00062900"/>
    <w:rsid w:val="000654BC"/>
    <w:rsid w:val="000658E4"/>
    <w:rsid w:val="0006648D"/>
    <w:rsid w:val="000710FF"/>
    <w:rsid w:val="00071CCD"/>
    <w:rsid w:val="00071D55"/>
    <w:rsid w:val="0007332B"/>
    <w:rsid w:val="00075C60"/>
    <w:rsid w:val="000766F0"/>
    <w:rsid w:val="00077620"/>
    <w:rsid w:val="00077F91"/>
    <w:rsid w:val="00080703"/>
    <w:rsid w:val="000819F3"/>
    <w:rsid w:val="00081CE3"/>
    <w:rsid w:val="00085680"/>
    <w:rsid w:val="00087955"/>
    <w:rsid w:val="0009025C"/>
    <w:rsid w:val="00091740"/>
    <w:rsid w:val="00091F4E"/>
    <w:rsid w:val="00094D86"/>
    <w:rsid w:val="00097218"/>
    <w:rsid w:val="000A0DB6"/>
    <w:rsid w:val="000A1BDA"/>
    <w:rsid w:val="000A5E4B"/>
    <w:rsid w:val="000A677D"/>
    <w:rsid w:val="000B5493"/>
    <w:rsid w:val="000B5BD4"/>
    <w:rsid w:val="000C0A04"/>
    <w:rsid w:val="000C1E60"/>
    <w:rsid w:val="000C37DD"/>
    <w:rsid w:val="000C4508"/>
    <w:rsid w:val="000D1894"/>
    <w:rsid w:val="000D20B8"/>
    <w:rsid w:val="000D2C5C"/>
    <w:rsid w:val="000D6AB8"/>
    <w:rsid w:val="000D6AFA"/>
    <w:rsid w:val="000E01A7"/>
    <w:rsid w:val="000E2257"/>
    <w:rsid w:val="000E2493"/>
    <w:rsid w:val="000E36EF"/>
    <w:rsid w:val="000E3EBA"/>
    <w:rsid w:val="000E5B6F"/>
    <w:rsid w:val="000E7E02"/>
    <w:rsid w:val="000F1B23"/>
    <w:rsid w:val="000F24F9"/>
    <w:rsid w:val="000F2ACD"/>
    <w:rsid w:val="000F4088"/>
    <w:rsid w:val="000F4FF8"/>
    <w:rsid w:val="000F620C"/>
    <w:rsid w:val="000F6BE8"/>
    <w:rsid w:val="000F6F22"/>
    <w:rsid w:val="000F71F9"/>
    <w:rsid w:val="000F72FF"/>
    <w:rsid w:val="00101286"/>
    <w:rsid w:val="00101B50"/>
    <w:rsid w:val="0011038C"/>
    <w:rsid w:val="00112AB4"/>
    <w:rsid w:val="00112CD3"/>
    <w:rsid w:val="00112FBD"/>
    <w:rsid w:val="001138AE"/>
    <w:rsid w:val="00113928"/>
    <w:rsid w:val="00113EC7"/>
    <w:rsid w:val="00117463"/>
    <w:rsid w:val="001202A4"/>
    <w:rsid w:val="0012146E"/>
    <w:rsid w:val="00123C5B"/>
    <w:rsid w:val="00124649"/>
    <w:rsid w:val="0012464E"/>
    <w:rsid w:val="001247C9"/>
    <w:rsid w:val="00126980"/>
    <w:rsid w:val="001331CA"/>
    <w:rsid w:val="0013454F"/>
    <w:rsid w:val="0013471F"/>
    <w:rsid w:val="00137C4B"/>
    <w:rsid w:val="001407F7"/>
    <w:rsid w:val="0014131F"/>
    <w:rsid w:val="00142A80"/>
    <w:rsid w:val="00143C3E"/>
    <w:rsid w:val="0014629C"/>
    <w:rsid w:val="001524F7"/>
    <w:rsid w:val="00154BFA"/>
    <w:rsid w:val="0015522A"/>
    <w:rsid w:val="0015558F"/>
    <w:rsid w:val="001558F8"/>
    <w:rsid w:val="00156DB5"/>
    <w:rsid w:val="00156FB6"/>
    <w:rsid w:val="0015721A"/>
    <w:rsid w:val="00157AC5"/>
    <w:rsid w:val="00160E56"/>
    <w:rsid w:val="00161D76"/>
    <w:rsid w:val="0016251B"/>
    <w:rsid w:val="00164FDA"/>
    <w:rsid w:val="00165316"/>
    <w:rsid w:val="001678E1"/>
    <w:rsid w:val="0017030E"/>
    <w:rsid w:val="0017239D"/>
    <w:rsid w:val="00172A37"/>
    <w:rsid w:val="00172C95"/>
    <w:rsid w:val="0017474A"/>
    <w:rsid w:val="001759AC"/>
    <w:rsid w:val="001764E8"/>
    <w:rsid w:val="00177259"/>
    <w:rsid w:val="00181A05"/>
    <w:rsid w:val="00181C2C"/>
    <w:rsid w:val="00182A5D"/>
    <w:rsid w:val="00186281"/>
    <w:rsid w:val="00186D1A"/>
    <w:rsid w:val="001871FD"/>
    <w:rsid w:val="00193859"/>
    <w:rsid w:val="00195818"/>
    <w:rsid w:val="00195A3E"/>
    <w:rsid w:val="00196D69"/>
    <w:rsid w:val="001A0781"/>
    <w:rsid w:val="001A217C"/>
    <w:rsid w:val="001A2502"/>
    <w:rsid w:val="001A57E2"/>
    <w:rsid w:val="001A5A0E"/>
    <w:rsid w:val="001A5DCA"/>
    <w:rsid w:val="001A7CB4"/>
    <w:rsid w:val="001B1651"/>
    <w:rsid w:val="001B1E19"/>
    <w:rsid w:val="001B2C52"/>
    <w:rsid w:val="001B461C"/>
    <w:rsid w:val="001B5F1B"/>
    <w:rsid w:val="001B6CF1"/>
    <w:rsid w:val="001C06BC"/>
    <w:rsid w:val="001C0B31"/>
    <w:rsid w:val="001C0DBE"/>
    <w:rsid w:val="001C27C8"/>
    <w:rsid w:val="001C7727"/>
    <w:rsid w:val="001C7AAA"/>
    <w:rsid w:val="001D05C0"/>
    <w:rsid w:val="001D50F7"/>
    <w:rsid w:val="001D51F2"/>
    <w:rsid w:val="001D6D8C"/>
    <w:rsid w:val="001D704F"/>
    <w:rsid w:val="001E02AD"/>
    <w:rsid w:val="001E2FB8"/>
    <w:rsid w:val="001F467B"/>
    <w:rsid w:val="001F609C"/>
    <w:rsid w:val="0020650C"/>
    <w:rsid w:val="00210B5A"/>
    <w:rsid w:val="00211907"/>
    <w:rsid w:val="00211F19"/>
    <w:rsid w:val="00213107"/>
    <w:rsid w:val="002146B5"/>
    <w:rsid w:val="00214E0F"/>
    <w:rsid w:val="00217D32"/>
    <w:rsid w:val="00220640"/>
    <w:rsid w:val="00230534"/>
    <w:rsid w:val="0023125F"/>
    <w:rsid w:val="00231906"/>
    <w:rsid w:val="00231AC7"/>
    <w:rsid w:val="00232533"/>
    <w:rsid w:val="002328DD"/>
    <w:rsid w:val="00233DB6"/>
    <w:rsid w:val="00241559"/>
    <w:rsid w:val="00242E4F"/>
    <w:rsid w:val="00243DCB"/>
    <w:rsid w:val="0024468B"/>
    <w:rsid w:val="0024619C"/>
    <w:rsid w:val="00254457"/>
    <w:rsid w:val="00256099"/>
    <w:rsid w:val="00261145"/>
    <w:rsid w:val="00261FDC"/>
    <w:rsid w:val="00262C2C"/>
    <w:rsid w:val="002634CD"/>
    <w:rsid w:val="00263967"/>
    <w:rsid w:val="00264060"/>
    <w:rsid w:val="00267470"/>
    <w:rsid w:val="00267A9C"/>
    <w:rsid w:val="0027228A"/>
    <w:rsid w:val="0027458F"/>
    <w:rsid w:val="00274CD7"/>
    <w:rsid w:val="00274D03"/>
    <w:rsid w:val="00276EA2"/>
    <w:rsid w:val="00280338"/>
    <w:rsid w:val="00281D12"/>
    <w:rsid w:val="00283892"/>
    <w:rsid w:val="002848F0"/>
    <w:rsid w:val="00292E96"/>
    <w:rsid w:val="002952B3"/>
    <w:rsid w:val="002967E3"/>
    <w:rsid w:val="00297AD6"/>
    <w:rsid w:val="002A0593"/>
    <w:rsid w:val="002A0DE5"/>
    <w:rsid w:val="002A5C25"/>
    <w:rsid w:val="002B13AF"/>
    <w:rsid w:val="002B2B1B"/>
    <w:rsid w:val="002B31CC"/>
    <w:rsid w:val="002B39F7"/>
    <w:rsid w:val="002B5934"/>
    <w:rsid w:val="002C31C4"/>
    <w:rsid w:val="002C69E8"/>
    <w:rsid w:val="002D078F"/>
    <w:rsid w:val="002D10CA"/>
    <w:rsid w:val="002D295F"/>
    <w:rsid w:val="002D5182"/>
    <w:rsid w:val="002D6C98"/>
    <w:rsid w:val="002E2E9B"/>
    <w:rsid w:val="002E665A"/>
    <w:rsid w:val="002F0952"/>
    <w:rsid w:val="002F1CE7"/>
    <w:rsid w:val="002F30EF"/>
    <w:rsid w:val="002F3331"/>
    <w:rsid w:val="002F450E"/>
    <w:rsid w:val="002F4802"/>
    <w:rsid w:val="002F74A1"/>
    <w:rsid w:val="002F789E"/>
    <w:rsid w:val="0030641C"/>
    <w:rsid w:val="00306885"/>
    <w:rsid w:val="0031093D"/>
    <w:rsid w:val="00310E8E"/>
    <w:rsid w:val="0031129E"/>
    <w:rsid w:val="00315273"/>
    <w:rsid w:val="00317F7A"/>
    <w:rsid w:val="00321855"/>
    <w:rsid w:val="00323DEC"/>
    <w:rsid w:val="0032664D"/>
    <w:rsid w:val="00335E98"/>
    <w:rsid w:val="00336628"/>
    <w:rsid w:val="00336826"/>
    <w:rsid w:val="00341035"/>
    <w:rsid w:val="00341BEC"/>
    <w:rsid w:val="00341FC4"/>
    <w:rsid w:val="00343AD5"/>
    <w:rsid w:val="00343E3E"/>
    <w:rsid w:val="0034550A"/>
    <w:rsid w:val="0034568F"/>
    <w:rsid w:val="00346B33"/>
    <w:rsid w:val="00351CD2"/>
    <w:rsid w:val="00353296"/>
    <w:rsid w:val="00353714"/>
    <w:rsid w:val="00354F8F"/>
    <w:rsid w:val="003554D8"/>
    <w:rsid w:val="00355DF6"/>
    <w:rsid w:val="00357C70"/>
    <w:rsid w:val="0036011A"/>
    <w:rsid w:val="00370A54"/>
    <w:rsid w:val="0037329D"/>
    <w:rsid w:val="0037390E"/>
    <w:rsid w:val="00380E13"/>
    <w:rsid w:val="00380FE7"/>
    <w:rsid w:val="00381B2D"/>
    <w:rsid w:val="00384DA6"/>
    <w:rsid w:val="003858B8"/>
    <w:rsid w:val="00386412"/>
    <w:rsid w:val="00387772"/>
    <w:rsid w:val="003877A7"/>
    <w:rsid w:val="00390A1F"/>
    <w:rsid w:val="00392B69"/>
    <w:rsid w:val="00395430"/>
    <w:rsid w:val="003A25E7"/>
    <w:rsid w:val="003A2957"/>
    <w:rsid w:val="003A2B71"/>
    <w:rsid w:val="003A41C3"/>
    <w:rsid w:val="003A704B"/>
    <w:rsid w:val="003B0078"/>
    <w:rsid w:val="003B142F"/>
    <w:rsid w:val="003B1EF8"/>
    <w:rsid w:val="003B4F20"/>
    <w:rsid w:val="003B64BD"/>
    <w:rsid w:val="003B6CCF"/>
    <w:rsid w:val="003C2959"/>
    <w:rsid w:val="003C715A"/>
    <w:rsid w:val="003D0ED8"/>
    <w:rsid w:val="003D2179"/>
    <w:rsid w:val="003D66DE"/>
    <w:rsid w:val="003D6C55"/>
    <w:rsid w:val="003E1DEB"/>
    <w:rsid w:val="003E3799"/>
    <w:rsid w:val="003E3889"/>
    <w:rsid w:val="003E4278"/>
    <w:rsid w:val="003E4EB5"/>
    <w:rsid w:val="003E6185"/>
    <w:rsid w:val="003E6DCC"/>
    <w:rsid w:val="003E7157"/>
    <w:rsid w:val="003F10DD"/>
    <w:rsid w:val="003F3370"/>
    <w:rsid w:val="003F4A12"/>
    <w:rsid w:val="003F56FE"/>
    <w:rsid w:val="003F6BAE"/>
    <w:rsid w:val="003F6D91"/>
    <w:rsid w:val="003F7B32"/>
    <w:rsid w:val="003F7F1F"/>
    <w:rsid w:val="004025CA"/>
    <w:rsid w:val="00405A34"/>
    <w:rsid w:val="0041194C"/>
    <w:rsid w:val="004120B1"/>
    <w:rsid w:val="00412920"/>
    <w:rsid w:val="004137CE"/>
    <w:rsid w:val="00413991"/>
    <w:rsid w:val="00413B9B"/>
    <w:rsid w:val="00414FE3"/>
    <w:rsid w:val="00416BD4"/>
    <w:rsid w:val="004202F0"/>
    <w:rsid w:val="0042131B"/>
    <w:rsid w:val="00430FA3"/>
    <w:rsid w:val="00432E5E"/>
    <w:rsid w:val="00433534"/>
    <w:rsid w:val="00436AD2"/>
    <w:rsid w:val="00440943"/>
    <w:rsid w:val="0044122F"/>
    <w:rsid w:val="00443A6A"/>
    <w:rsid w:val="00444ABA"/>
    <w:rsid w:val="0044570C"/>
    <w:rsid w:val="00453A9E"/>
    <w:rsid w:val="004550E1"/>
    <w:rsid w:val="00460888"/>
    <w:rsid w:val="00461AE3"/>
    <w:rsid w:val="00461D63"/>
    <w:rsid w:val="00462ED9"/>
    <w:rsid w:val="004645B0"/>
    <w:rsid w:val="0046536A"/>
    <w:rsid w:val="0047219D"/>
    <w:rsid w:val="0047669E"/>
    <w:rsid w:val="00476CC4"/>
    <w:rsid w:val="00484476"/>
    <w:rsid w:val="00484C91"/>
    <w:rsid w:val="00485192"/>
    <w:rsid w:val="004861C3"/>
    <w:rsid w:val="004863C9"/>
    <w:rsid w:val="00490158"/>
    <w:rsid w:val="0049039B"/>
    <w:rsid w:val="004908DE"/>
    <w:rsid w:val="004930AA"/>
    <w:rsid w:val="00493AA9"/>
    <w:rsid w:val="004960A1"/>
    <w:rsid w:val="004A0BE3"/>
    <w:rsid w:val="004B02F3"/>
    <w:rsid w:val="004B096D"/>
    <w:rsid w:val="004B11BF"/>
    <w:rsid w:val="004B2BC6"/>
    <w:rsid w:val="004B58B9"/>
    <w:rsid w:val="004B5E49"/>
    <w:rsid w:val="004B6CBB"/>
    <w:rsid w:val="004B719A"/>
    <w:rsid w:val="004B74FF"/>
    <w:rsid w:val="004B7B34"/>
    <w:rsid w:val="004C2967"/>
    <w:rsid w:val="004C3573"/>
    <w:rsid w:val="004C3FE7"/>
    <w:rsid w:val="004C42D1"/>
    <w:rsid w:val="004C59A9"/>
    <w:rsid w:val="004C6A00"/>
    <w:rsid w:val="004D34A9"/>
    <w:rsid w:val="004D42C0"/>
    <w:rsid w:val="004D43CB"/>
    <w:rsid w:val="004D7D2C"/>
    <w:rsid w:val="004E3944"/>
    <w:rsid w:val="004E4B47"/>
    <w:rsid w:val="004E6023"/>
    <w:rsid w:val="004F0963"/>
    <w:rsid w:val="004F173A"/>
    <w:rsid w:val="004F352B"/>
    <w:rsid w:val="004F3BB8"/>
    <w:rsid w:val="004F458B"/>
    <w:rsid w:val="004F61E3"/>
    <w:rsid w:val="00503DFB"/>
    <w:rsid w:val="00504C68"/>
    <w:rsid w:val="0050576A"/>
    <w:rsid w:val="0050646B"/>
    <w:rsid w:val="005077A5"/>
    <w:rsid w:val="0051429E"/>
    <w:rsid w:val="00514AF6"/>
    <w:rsid w:val="0052025C"/>
    <w:rsid w:val="00525262"/>
    <w:rsid w:val="00525CD1"/>
    <w:rsid w:val="00525E9F"/>
    <w:rsid w:val="0052760C"/>
    <w:rsid w:val="00530C33"/>
    <w:rsid w:val="005319B3"/>
    <w:rsid w:val="00533A3C"/>
    <w:rsid w:val="00540E42"/>
    <w:rsid w:val="0054171F"/>
    <w:rsid w:val="00543EF5"/>
    <w:rsid w:val="0054517A"/>
    <w:rsid w:val="005478AA"/>
    <w:rsid w:val="00550572"/>
    <w:rsid w:val="00550CD7"/>
    <w:rsid w:val="0055285E"/>
    <w:rsid w:val="00552F52"/>
    <w:rsid w:val="005575A6"/>
    <w:rsid w:val="005605C3"/>
    <w:rsid w:val="005616BF"/>
    <w:rsid w:val="00562884"/>
    <w:rsid w:val="00564F7E"/>
    <w:rsid w:val="005656E3"/>
    <w:rsid w:val="00577746"/>
    <w:rsid w:val="00577E02"/>
    <w:rsid w:val="00581FB8"/>
    <w:rsid w:val="00583FC8"/>
    <w:rsid w:val="00587EBB"/>
    <w:rsid w:val="005914CC"/>
    <w:rsid w:val="00597E32"/>
    <w:rsid w:val="005A15A0"/>
    <w:rsid w:val="005A2325"/>
    <w:rsid w:val="005A2450"/>
    <w:rsid w:val="005A25E6"/>
    <w:rsid w:val="005A2606"/>
    <w:rsid w:val="005A50E5"/>
    <w:rsid w:val="005B0D62"/>
    <w:rsid w:val="005B7525"/>
    <w:rsid w:val="005C1FF8"/>
    <w:rsid w:val="005D0F32"/>
    <w:rsid w:val="005D133B"/>
    <w:rsid w:val="005D1F26"/>
    <w:rsid w:val="005D6C38"/>
    <w:rsid w:val="005E38BE"/>
    <w:rsid w:val="005E5E03"/>
    <w:rsid w:val="005E5E82"/>
    <w:rsid w:val="005E6658"/>
    <w:rsid w:val="005F52F4"/>
    <w:rsid w:val="005F6870"/>
    <w:rsid w:val="00602E48"/>
    <w:rsid w:val="0061175D"/>
    <w:rsid w:val="00613265"/>
    <w:rsid w:val="00613E82"/>
    <w:rsid w:val="00613F1E"/>
    <w:rsid w:val="00617ACB"/>
    <w:rsid w:val="00620202"/>
    <w:rsid w:val="0062129F"/>
    <w:rsid w:val="00624DC3"/>
    <w:rsid w:val="00627582"/>
    <w:rsid w:val="0063125D"/>
    <w:rsid w:val="0063267E"/>
    <w:rsid w:val="00634667"/>
    <w:rsid w:val="00635770"/>
    <w:rsid w:val="006360A0"/>
    <w:rsid w:val="0063730E"/>
    <w:rsid w:val="00637451"/>
    <w:rsid w:val="00643F71"/>
    <w:rsid w:val="00643FED"/>
    <w:rsid w:val="00644EAA"/>
    <w:rsid w:val="006506AB"/>
    <w:rsid w:val="0065266D"/>
    <w:rsid w:val="00653505"/>
    <w:rsid w:val="006559A5"/>
    <w:rsid w:val="006574F6"/>
    <w:rsid w:val="006672B2"/>
    <w:rsid w:val="00671820"/>
    <w:rsid w:val="00677175"/>
    <w:rsid w:val="0067771E"/>
    <w:rsid w:val="00682922"/>
    <w:rsid w:val="00682A32"/>
    <w:rsid w:val="00683D19"/>
    <w:rsid w:val="006845DB"/>
    <w:rsid w:val="00686695"/>
    <w:rsid w:val="00686C6B"/>
    <w:rsid w:val="00687157"/>
    <w:rsid w:val="0069094D"/>
    <w:rsid w:val="00691819"/>
    <w:rsid w:val="006930B6"/>
    <w:rsid w:val="00693FA0"/>
    <w:rsid w:val="00694E67"/>
    <w:rsid w:val="006969DE"/>
    <w:rsid w:val="00696E05"/>
    <w:rsid w:val="00697A34"/>
    <w:rsid w:val="006A4BE6"/>
    <w:rsid w:val="006A6B59"/>
    <w:rsid w:val="006A7A23"/>
    <w:rsid w:val="006B0243"/>
    <w:rsid w:val="006B28E1"/>
    <w:rsid w:val="006B6111"/>
    <w:rsid w:val="006C306D"/>
    <w:rsid w:val="006C32DF"/>
    <w:rsid w:val="006D1B42"/>
    <w:rsid w:val="006D3637"/>
    <w:rsid w:val="006D3CE8"/>
    <w:rsid w:val="006D7930"/>
    <w:rsid w:val="006E2704"/>
    <w:rsid w:val="006E2E3F"/>
    <w:rsid w:val="006E3A55"/>
    <w:rsid w:val="006E6E0F"/>
    <w:rsid w:val="006E6F4B"/>
    <w:rsid w:val="006E78B0"/>
    <w:rsid w:val="007004F7"/>
    <w:rsid w:val="007008F0"/>
    <w:rsid w:val="007009F9"/>
    <w:rsid w:val="00700A60"/>
    <w:rsid w:val="00701A9C"/>
    <w:rsid w:val="0070324B"/>
    <w:rsid w:val="00707C7A"/>
    <w:rsid w:val="007101D0"/>
    <w:rsid w:val="00712C8E"/>
    <w:rsid w:val="007175E1"/>
    <w:rsid w:val="00720024"/>
    <w:rsid w:val="00722E06"/>
    <w:rsid w:val="007261BD"/>
    <w:rsid w:val="0073067D"/>
    <w:rsid w:val="007318FC"/>
    <w:rsid w:val="00732376"/>
    <w:rsid w:val="0073752B"/>
    <w:rsid w:val="00741150"/>
    <w:rsid w:val="00743D70"/>
    <w:rsid w:val="00744DDC"/>
    <w:rsid w:val="00744E71"/>
    <w:rsid w:val="0075206E"/>
    <w:rsid w:val="00755166"/>
    <w:rsid w:val="00756FC0"/>
    <w:rsid w:val="007606EC"/>
    <w:rsid w:val="00760F46"/>
    <w:rsid w:val="00767064"/>
    <w:rsid w:val="00767BF8"/>
    <w:rsid w:val="007710B1"/>
    <w:rsid w:val="0077368D"/>
    <w:rsid w:val="007736FE"/>
    <w:rsid w:val="00775DD7"/>
    <w:rsid w:val="0077635B"/>
    <w:rsid w:val="00777504"/>
    <w:rsid w:val="00785BAC"/>
    <w:rsid w:val="00790D45"/>
    <w:rsid w:val="00792933"/>
    <w:rsid w:val="0079300F"/>
    <w:rsid w:val="007938BE"/>
    <w:rsid w:val="007A15F7"/>
    <w:rsid w:val="007A1CCC"/>
    <w:rsid w:val="007A2091"/>
    <w:rsid w:val="007A73BE"/>
    <w:rsid w:val="007B1B94"/>
    <w:rsid w:val="007B2C61"/>
    <w:rsid w:val="007B2CEB"/>
    <w:rsid w:val="007B3E17"/>
    <w:rsid w:val="007B5C55"/>
    <w:rsid w:val="007B7DCB"/>
    <w:rsid w:val="007C0518"/>
    <w:rsid w:val="007C419F"/>
    <w:rsid w:val="007C6828"/>
    <w:rsid w:val="007D226D"/>
    <w:rsid w:val="007D5047"/>
    <w:rsid w:val="007D5F32"/>
    <w:rsid w:val="007D61A9"/>
    <w:rsid w:val="007D7479"/>
    <w:rsid w:val="007E2AAB"/>
    <w:rsid w:val="007E3034"/>
    <w:rsid w:val="007E6B15"/>
    <w:rsid w:val="007E7455"/>
    <w:rsid w:val="007F02B0"/>
    <w:rsid w:val="007F4034"/>
    <w:rsid w:val="007F60BB"/>
    <w:rsid w:val="007F65CF"/>
    <w:rsid w:val="007F6755"/>
    <w:rsid w:val="007F6E55"/>
    <w:rsid w:val="008011FB"/>
    <w:rsid w:val="008024D3"/>
    <w:rsid w:val="00804D05"/>
    <w:rsid w:val="008076DC"/>
    <w:rsid w:val="00811B1F"/>
    <w:rsid w:val="00814996"/>
    <w:rsid w:val="008153F8"/>
    <w:rsid w:val="008206DA"/>
    <w:rsid w:val="008207A4"/>
    <w:rsid w:val="00820B29"/>
    <w:rsid w:val="00822E35"/>
    <w:rsid w:val="008239AA"/>
    <w:rsid w:val="00823FCA"/>
    <w:rsid w:val="00824F3B"/>
    <w:rsid w:val="00831020"/>
    <w:rsid w:val="008324E2"/>
    <w:rsid w:val="00833EEB"/>
    <w:rsid w:val="00840CD8"/>
    <w:rsid w:val="00840EF7"/>
    <w:rsid w:val="00843609"/>
    <w:rsid w:val="00846576"/>
    <w:rsid w:val="00847ECC"/>
    <w:rsid w:val="00851B60"/>
    <w:rsid w:val="00851DC7"/>
    <w:rsid w:val="00851E1B"/>
    <w:rsid w:val="008541A1"/>
    <w:rsid w:val="00855708"/>
    <w:rsid w:val="0085698B"/>
    <w:rsid w:val="00856B21"/>
    <w:rsid w:val="008615C4"/>
    <w:rsid w:val="00862948"/>
    <w:rsid w:val="00863498"/>
    <w:rsid w:val="00863527"/>
    <w:rsid w:val="00863C58"/>
    <w:rsid w:val="0086444A"/>
    <w:rsid w:val="00864DA1"/>
    <w:rsid w:val="00866411"/>
    <w:rsid w:val="00871088"/>
    <w:rsid w:val="00871BEC"/>
    <w:rsid w:val="00873111"/>
    <w:rsid w:val="008733B0"/>
    <w:rsid w:val="00875564"/>
    <w:rsid w:val="00875948"/>
    <w:rsid w:val="0087634D"/>
    <w:rsid w:val="00877471"/>
    <w:rsid w:val="0088039B"/>
    <w:rsid w:val="00880834"/>
    <w:rsid w:val="008808D2"/>
    <w:rsid w:val="00880BAE"/>
    <w:rsid w:val="00881780"/>
    <w:rsid w:val="008846FE"/>
    <w:rsid w:val="008852AF"/>
    <w:rsid w:val="00887EB3"/>
    <w:rsid w:val="00890E9E"/>
    <w:rsid w:val="00891E27"/>
    <w:rsid w:val="00895504"/>
    <w:rsid w:val="008974F5"/>
    <w:rsid w:val="008A2397"/>
    <w:rsid w:val="008A580F"/>
    <w:rsid w:val="008B07C5"/>
    <w:rsid w:val="008B0A94"/>
    <w:rsid w:val="008B0AFD"/>
    <w:rsid w:val="008B1440"/>
    <w:rsid w:val="008C49B8"/>
    <w:rsid w:val="008C53AC"/>
    <w:rsid w:val="008C5DAD"/>
    <w:rsid w:val="008C7D6C"/>
    <w:rsid w:val="008D113D"/>
    <w:rsid w:val="008D1547"/>
    <w:rsid w:val="008D2EC8"/>
    <w:rsid w:val="008D4B5E"/>
    <w:rsid w:val="008E12B5"/>
    <w:rsid w:val="008E4AB5"/>
    <w:rsid w:val="008E60DA"/>
    <w:rsid w:val="008F235E"/>
    <w:rsid w:val="008F283E"/>
    <w:rsid w:val="008F3AC3"/>
    <w:rsid w:val="008F498C"/>
    <w:rsid w:val="008F7A28"/>
    <w:rsid w:val="00904F64"/>
    <w:rsid w:val="00905874"/>
    <w:rsid w:val="00907546"/>
    <w:rsid w:val="00916F2F"/>
    <w:rsid w:val="00924C28"/>
    <w:rsid w:val="00925389"/>
    <w:rsid w:val="009253A0"/>
    <w:rsid w:val="009357DE"/>
    <w:rsid w:val="009370D3"/>
    <w:rsid w:val="00940B73"/>
    <w:rsid w:val="00941684"/>
    <w:rsid w:val="00942D29"/>
    <w:rsid w:val="00955230"/>
    <w:rsid w:val="009611FB"/>
    <w:rsid w:val="00961C9C"/>
    <w:rsid w:val="0096492A"/>
    <w:rsid w:val="009659B7"/>
    <w:rsid w:val="00965AA5"/>
    <w:rsid w:val="00966611"/>
    <w:rsid w:val="009675A5"/>
    <w:rsid w:val="00971E5E"/>
    <w:rsid w:val="00972BA0"/>
    <w:rsid w:val="009730DD"/>
    <w:rsid w:val="00975B9C"/>
    <w:rsid w:val="00980592"/>
    <w:rsid w:val="00981167"/>
    <w:rsid w:val="0098125A"/>
    <w:rsid w:val="00981505"/>
    <w:rsid w:val="00985262"/>
    <w:rsid w:val="00993A2A"/>
    <w:rsid w:val="00995CB6"/>
    <w:rsid w:val="00996B28"/>
    <w:rsid w:val="009A1746"/>
    <w:rsid w:val="009A2935"/>
    <w:rsid w:val="009A39E0"/>
    <w:rsid w:val="009A4ED0"/>
    <w:rsid w:val="009A54BE"/>
    <w:rsid w:val="009A7684"/>
    <w:rsid w:val="009B11D8"/>
    <w:rsid w:val="009B32A7"/>
    <w:rsid w:val="009B56BB"/>
    <w:rsid w:val="009B6B8D"/>
    <w:rsid w:val="009C2956"/>
    <w:rsid w:val="009C43DE"/>
    <w:rsid w:val="009C4CB0"/>
    <w:rsid w:val="009C5D2A"/>
    <w:rsid w:val="009D095D"/>
    <w:rsid w:val="009E0EBF"/>
    <w:rsid w:val="009E2A59"/>
    <w:rsid w:val="009E34AB"/>
    <w:rsid w:val="009E56CB"/>
    <w:rsid w:val="009E67B8"/>
    <w:rsid w:val="009F16E0"/>
    <w:rsid w:val="009F1C4E"/>
    <w:rsid w:val="009F293A"/>
    <w:rsid w:val="009F6119"/>
    <w:rsid w:val="009F7896"/>
    <w:rsid w:val="00A06E61"/>
    <w:rsid w:val="00A07E8A"/>
    <w:rsid w:val="00A10C75"/>
    <w:rsid w:val="00A1465C"/>
    <w:rsid w:val="00A14C7F"/>
    <w:rsid w:val="00A211A1"/>
    <w:rsid w:val="00A2425B"/>
    <w:rsid w:val="00A304FB"/>
    <w:rsid w:val="00A30FCA"/>
    <w:rsid w:val="00A31EEB"/>
    <w:rsid w:val="00A34E25"/>
    <w:rsid w:val="00A36451"/>
    <w:rsid w:val="00A36485"/>
    <w:rsid w:val="00A37342"/>
    <w:rsid w:val="00A44192"/>
    <w:rsid w:val="00A44D04"/>
    <w:rsid w:val="00A4632D"/>
    <w:rsid w:val="00A4637E"/>
    <w:rsid w:val="00A53028"/>
    <w:rsid w:val="00A53AB4"/>
    <w:rsid w:val="00A650C8"/>
    <w:rsid w:val="00A75272"/>
    <w:rsid w:val="00A80B2F"/>
    <w:rsid w:val="00A8115D"/>
    <w:rsid w:val="00A8127D"/>
    <w:rsid w:val="00A8258C"/>
    <w:rsid w:val="00A825B3"/>
    <w:rsid w:val="00A8421F"/>
    <w:rsid w:val="00A84F2A"/>
    <w:rsid w:val="00A8553A"/>
    <w:rsid w:val="00A90228"/>
    <w:rsid w:val="00A94CE0"/>
    <w:rsid w:val="00A96696"/>
    <w:rsid w:val="00A96848"/>
    <w:rsid w:val="00A97062"/>
    <w:rsid w:val="00A97F41"/>
    <w:rsid w:val="00AA2AD0"/>
    <w:rsid w:val="00AA3577"/>
    <w:rsid w:val="00AA44A1"/>
    <w:rsid w:val="00AA5469"/>
    <w:rsid w:val="00AA7B9F"/>
    <w:rsid w:val="00AB2647"/>
    <w:rsid w:val="00AB65F7"/>
    <w:rsid w:val="00AC03B9"/>
    <w:rsid w:val="00AC0F40"/>
    <w:rsid w:val="00AC6C23"/>
    <w:rsid w:val="00AD3E2C"/>
    <w:rsid w:val="00AE16F6"/>
    <w:rsid w:val="00AE2280"/>
    <w:rsid w:val="00AE35A6"/>
    <w:rsid w:val="00AE6782"/>
    <w:rsid w:val="00AF09F3"/>
    <w:rsid w:val="00AF2154"/>
    <w:rsid w:val="00AF5F9E"/>
    <w:rsid w:val="00AF646D"/>
    <w:rsid w:val="00B048B8"/>
    <w:rsid w:val="00B04E76"/>
    <w:rsid w:val="00B13B4E"/>
    <w:rsid w:val="00B14C49"/>
    <w:rsid w:val="00B154AD"/>
    <w:rsid w:val="00B16592"/>
    <w:rsid w:val="00B207FB"/>
    <w:rsid w:val="00B2195A"/>
    <w:rsid w:val="00B21B1A"/>
    <w:rsid w:val="00B26297"/>
    <w:rsid w:val="00B32167"/>
    <w:rsid w:val="00B32FEF"/>
    <w:rsid w:val="00B35435"/>
    <w:rsid w:val="00B42AAB"/>
    <w:rsid w:val="00B433AA"/>
    <w:rsid w:val="00B44AE0"/>
    <w:rsid w:val="00B44D77"/>
    <w:rsid w:val="00B5176F"/>
    <w:rsid w:val="00B561D6"/>
    <w:rsid w:val="00B60ADE"/>
    <w:rsid w:val="00B6180E"/>
    <w:rsid w:val="00B62E19"/>
    <w:rsid w:val="00B652BA"/>
    <w:rsid w:val="00B71F32"/>
    <w:rsid w:val="00B73875"/>
    <w:rsid w:val="00B80C56"/>
    <w:rsid w:val="00B8268E"/>
    <w:rsid w:val="00B86E28"/>
    <w:rsid w:val="00B87AB5"/>
    <w:rsid w:val="00B906BD"/>
    <w:rsid w:val="00BA0B3C"/>
    <w:rsid w:val="00BA0B9E"/>
    <w:rsid w:val="00BA2553"/>
    <w:rsid w:val="00BB1986"/>
    <w:rsid w:val="00BB272B"/>
    <w:rsid w:val="00BB3791"/>
    <w:rsid w:val="00BB3D55"/>
    <w:rsid w:val="00BB3DE7"/>
    <w:rsid w:val="00BB61A9"/>
    <w:rsid w:val="00BB6EAC"/>
    <w:rsid w:val="00BB773A"/>
    <w:rsid w:val="00BC2660"/>
    <w:rsid w:val="00BC3733"/>
    <w:rsid w:val="00BC54DB"/>
    <w:rsid w:val="00BC692D"/>
    <w:rsid w:val="00BD1E0C"/>
    <w:rsid w:val="00BD2029"/>
    <w:rsid w:val="00BD2EE8"/>
    <w:rsid w:val="00BD3E91"/>
    <w:rsid w:val="00BE01BF"/>
    <w:rsid w:val="00BE0D4F"/>
    <w:rsid w:val="00BE23E1"/>
    <w:rsid w:val="00BE31C5"/>
    <w:rsid w:val="00BE3AB5"/>
    <w:rsid w:val="00BE4315"/>
    <w:rsid w:val="00BF0F88"/>
    <w:rsid w:val="00BF550E"/>
    <w:rsid w:val="00C02515"/>
    <w:rsid w:val="00C02621"/>
    <w:rsid w:val="00C02928"/>
    <w:rsid w:val="00C05C53"/>
    <w:rsid w:val="00C07051"/>
    <w:rsid w:val="00C07A04"/>
    <w:rsid w:val="00C1060E"/>
    <w:rsid w:val="00C10BBD"/>
    <w:rsid w:val="00C1252E"/>
    <w:rsid w:val="00C1325F"/>
    <w:rsid w:val="00C14CBA"/>
    <w:rsid w:val="00C21CBC"/>
    <w:rsid w:val="00C2213A"/>
    <w:rsid w:val="00C22AB7"/>
    <w:rsid w:val="00C24B5B"/>
    <w:rsid w:val="00C26B3A"/>
    <w:rsid w:val="00C30391"/>
    <w:rsid w:val="00C31F78"/>
    <w:rsid w:val="00C32303"/>
    <w:rsid w:val="00C3614B"/>
    <w:rsid w:val="00C36278"/>
    <w:rsid w:val="00C37F0A"/>
    <w:rsid w:val="00C4179F"/>
    <w:rsid w:val="00C46D6A"/>
    <w:rsid w:val="00C5162E"/>
    <w:rsid w:val="00C563D6"/>
    <w:rsid w:val="00C56631"/>
    <w:rsid w:val="00C602CD"/>
    <w:rsid w:val="00C61004"/>
    <w:rsid w:val="00C62675"/>
    <w:rsid w:val="00C62F33"/>
    <w:rsid w:val="00C64693"/>
    <w:rsid w:val="00C67D5A"/>
    <w:rsid w:val="00C713D8"/>
    <w:rsid w:val="00C72A2A"/>
    <w:rsid w:val="00C73006"/>
    <w:rsid w:val="00C743EB"/>
    <w:rsid w:val="00C76AB6"/>
    <w:rsid w:val="00C81445"/>
    <w:rsid w:val="00C81652"/>
    <w:rsid w:val="00C824A7"/>
    <w:rsid w:val="00C851E9"/>
    <w:rsid w:val="00C915D1"/>
    <w:rsid w:val="00C92FD2"/>
    <w:rsid w:val="00C94A24"/>
    <w:rsid w:val="00CA4217"/>
    <w:rsid w:val="00CA4B46"/>
    <w:rsid w:val="00CA6BAB"/>
    <w:rsid w:val="00CB0380"/>
    <w:rsid w:val="00CB61A9"/>
    <w:rsid w:val="00CC1E47"/>
    <w:rsid w:val="00CC30F6"/>
    <w:rsid w:val="00CC59DA"/>
    <w:rsid w:val="00CC7F47"/>
    <w:rsid w:val="00CD11AA"/>
    <w:rsid w:val="00CD293B"/>
    <w:rsid w:val="00CD32BD"/>
    <w:rsid w:val="00CD661C"/>
    <w:rsid w:val="00CD7764"/>
    <w:rsid w:val="00CD7A13"/>
    <w:rsid w:val="00CD7D55"/>
    <w:rsid w:val="00CE0E49"/>
    <w:rsid w:val="00CE3613"/>
    <w:rsid w:val="00CE5711"/>
    <w:rsid w:val="00CE5892"/>
    <w:rsid w:val="00CE5970"/>
    <w:rsid w:val="00CE69C7"/>
    <w:rsid w:val="00CE7C79"/>
    <w:rsid w:val="00CF29AE"/>
    <w:rsid w:val="00CF300D"/>
    <w:rsid w:val="00CF353E"/>
    <w:rsid w:val="00CF6DAD"/>
    <w:rsid w:val="00CF77B2"/>
    <w:rsid w:val="00D01643"/>
    <w:rsid w:val="00D02A9C"/>
    <w:rsid w:val="00D04142"/>
    <w:rsid w:val="00D046E3"/>
    <w:rsid w:val="00D056A6"/>
    <w:rsid w:val="00D05E3D"/>
    <w:rsid w:val="00D062DE"/>
    <w:rsid w:val="00D1057E"/>
    <w:rsid w:val="00D123BC"/>
    <w:rsid w:val="00D16447"/>
    <w:rsid w:val="00D16A89"/>
    <w:rsid w:val="00D17C46"/>
    <w:rsid w:val="00D21ED8"/>
    <w:rsid w:val="00D26A59"/>
    <w:rsid w:val="00D2708A"/>
    <w:rsid w:val="00D31D16"/>
    <w:rsid w:val="00D340C6"/>
    <w:rsid w:val="00D3761D"/>
    <w:rsid w:val="00D37AF6"/>
    <w:rsid w:val="00D40D02"/>
    <w:rsid w:val="00D42C6D"/>
    <w:rsid w:val="00D46B87"/>
    <w:rsid w:val="00D54EBE"/>
    <w:rsid w:val="00D55C68"/>
    <w:rsid w:val="00D61F8E"/>
    <w:rsid w:val="00D65DC1"/>
    <w:rsid w:val="00D66423"/>
    <w:rsid w:val="00D70622"/>
    <w:rsid w:val="00D71A4E"/>
    <w:rsid w:val="00D74B53"/>
    <w:rsid w:val="00D7507D"/>
    <w:rsid w:val="00D7737F"/>
    <w:rsid w:val="00D77C6C"/>
    <w:rsid w:val="00D806E5"/>
    <w:rsid w:val="00D81415"/>
    <w:rsid w:val="00D81F82"/>
    <w:rsid w:val="00D83E44"/>
    <w:rsid w:val="00D929D2"/>
    <w:rsid w:val="00D93D0D"/>
    <w:rsid w:val="00D9460B"/>
    <w:rsid w:val="00D94D59"/>
    <w:rsid w:val="00DA143D"/>
    <w:rsid w:val="00DA1F35"/>
    <w:rsid w:val="00DA4C48"/>
    <w:rsid w:val="00DA5B85"/>
    <w:rsid w:val="00DB13D6"/>
    <w:rsid w:val="00DB2156"/>
    <w:rsid w:val="00DB2824"/>
    <w:rsid w:val="00DB7790"/>
    <w:rsid w:val="00DC0533"/>
    <w:rsid w:val="00DC3718"/>
    <w:rsid w:val="00DC6A10"/>
    <w:rsid w:val="00DC7266"/>
    <w:rsid w:val="00DD0889"/>
    <w:rsid w:val="00DD1773"/>
    <w:rsid w:val="00DD2207"/>
    <w:rsid w:val="00DD4197"/>
    <w:rsid w:val="00DD5AAA"/>
    <w:rsid w:val="00DD6AA6"/>
    <w:rsid w:val="00DE505A"/>
    <w:rsid w:val="00DE58BE"/>
    <w:rsid w:val="00DE729F"/>
    <w:rsid w:val="00DE7CF0"/>
    <w:rsid w:val="00DF087E"/>
    <w:rsid w:val="00DF0E76"/>
    <w:rsid w:val="00DF21F6"/>
    <w:rsid w:val="00DF44A4"/>
    <w:rsid w:val="00E01F7E"/>
    <w:rsid w:val="00E021C7"/>
    <w:rsid w:val="00E02533"/>
    <w:rsid w:val="00E040B0"/>
    <w:rsid w:val="00E05A55"/>
    <w:rsid w:val="00E10178"/>
    <w:rsid w:val="00E10B6A"/>
    <w:rsid w:val="00E14641"/>
    <w:rsid w:val="00E15041"/>
    <w:rsid w:val="00E20CA1"/>
    <w:rsid w:val="00E22A56"/>
    <w:rsid w:val="00E23057"/>
    <w:rsid w:val="00E23271"/>
    <w:rsid w:val="00E3123D"/>
    <w:rsid w:val="00E31613"/>
    <w:rsid w:val="00E32AF2"/>
    <w:rsid w:val="00E3441B"/>
    <w:rsid w:val="00E3718F"/>
    <w:rsid w:val="00E422B0"/>
    <w:rsid w:val="00E435A0"/>
    <w:rsid w:val="00E44026"/>
    <w:rsid w:val="00E46D77"/>
    <w:rsid w:val="00E47DFC"/>
    <w:rsid w:val="00E52AC4"/>
    <w:rsid w:val="00E53DC1"/>
    <w:rsid w:val="00E55E35"/>
    <w:rsid w:val="00E572A7"/>
    <w:rsid w:val="00E57BB5"/>
    <w:rsid w:val="00E60563"/>
    <w:rsid w:val="00E60EE0"/>
    <w:rsid w:val="00E64509"/>
    <w:rsid w:val="00E66DAC"/>
    <w:rsid w:val="00E700E3"/>
    <w:rsid w:val="00E70E0C"/>
    <w:rsid w:val="00E73337"/>
    <w:rsid w:val="00E7387C"/>
    <w:rsid w:val="00E74F45"/>
    <w:rsid w:val="00E80DB5"/>
    <w:rsid w:val="00E81968"/>
    <w:rsid w:val="00E81FBA"/>
    <w:rsid w:val="00E838B9"/>
    <w:rsid w:val="00E85196"/>
    <w:rsid w:val="00E86158"/>
    <w:rsid w:val="00E91196"/>
    <w:rsid w:val="00E9328D"/>
    <w:rsid w:val="00E93369"/>
    <w:rsid w:val="00E94F5A"/>
    <w:rsid w:val="00E9511B"/>
    <w:rsid w:val="00E967CA"/>
    <w:rsid w:val="00E97B98"/>
    <w:rsid w:val="00EA1D1C"/>
    <w:rsid w:val="00EA2E10"/>
    <w:rsid w:val="00EA47FA"/>
    <w:rsid w:val="00EA574A"/>
    <w:rsid w:val="00EA7156"/>
    <w:rsid w:val="00EA71B3"/>
    <w:rsid w:val="00EB18C1"/>
    <w:rsid w:val="00EB19CF"/>
    <w:rsid w:val="00EB25F1"/>
    <w:rsid w:val="00EB3280"/>
    <w:rsid w:val="00EC0307"/>
    <w:rsid w:val="00EC187A"/>
    <w:rsid w:val="00EC2F0F"/>
    <w:rsid w:val="00EC5637"/>
    <w:rsid w:val="00EC6E6A"/>
    <w:rsid w:val="00EC73A2"/>
    <w:rsid w:val="00ED3AF2"/>
    <w:rsid w:val="00ED5379"/>
    <w:rsid w:val="00ED6F3E"/>
    <w:rsid w:val="00ED79A0"/>
    <w:rsid w:val="00EE1575"/>
    <w:rsid w:val="00EE351D"/>
    <w:rsid w:val="00EE5888"/>
    <w:rsid w:val="00EF25AC"/>
    <w:rsid w:val="00F003F8"/>
    <w:rsid w:val="00F00D46"/>
    <w:rsid w:val="00F03CDD"/>
    <w:rsid w:val="00F05B01"/>
    <w:rsid w:val="00F05C66"/>
    <w:rsid w:val="00F06229"/>
    <w:rsid w:val="00F06967"/>
    <w:rsid w:val="00F069E1"/>
    <w:rsid w:val="00F07106"/>
    <w:rsid w:val="00F07B2F"/>
    <w:rsid w:val="00F113C2"/>
    <w:rsid w:val="00F1477F"/>
    <w:rsid w:val="00F15423"/>
    <w:rsid w:val="00F15A21"/>
    <w:rsid w:val="00F20AE1"/>
    <w:rsid w:val="00F219F4"/>
    <w:rsid w:val="00F21D88"/>
    <w:rsid w:val="00F22408"/>
    <w:rsid w:val="00F248C0"/>
    <w:rsid w:val="00F25A19"/>
    <w:rsid w:val="00F32F34"/>
    <w:rsid w:val="00F3390C"/>
    <w:rsid w:val="00F347C7"/>
    <w:rsid w:val="00F36BD2"/>
    <w:rsid w:val="00F407ED"/>
    <w:rsid w:val="00F42670"/>
    <w:rsid w:val="00F43476"/>
    <w:rsid w:val="00F458BB"/>
    <w:rsid w:val="00F45A97"/>
    <w:rsid w:val="00F4751A"/>
    <w:rsid w:val="00F52010"/>
    <w:rsid w:val="00F535D6"/>
    <w:rsid w:val="00F5671F"/>
    <w:rsid w:val="00F577BB"/>
    <w:rsid w:val="00F619F2"/>
    <w:rsid w:val="00F622FE"/>
    <w:rsid w:val="00F6230A"/>
    <w:rsid w:val="00F62CC3"/>
    <w:rsid w:val="00F6426C"/>
    <w:rsid w:val="00F646AB"/>
    <w:rsid w:val="00F6669C"/>
    <w:rsid w:val="00F66C1E"/>
    <w:rsid w:val="00F7135E"/>
    <w:rsid w:val="00F71C80"/>
    <w:rsid w:val="00F72654"/>
    <w:rsid w:val="00F75F55"/>
    <w:rsid w:val="00F7775B"/>
    <w:rsid w:val="00F77ECF"/>
    <w:rsid w:val="00F823C2"/>
    <w:rsid w:val="00F83193"/>
    <w:rsid w:val="00F83ACA"/>
    <w:rsid w:val="00F84532"/>
    <w:rsid w:val="00F84CCB"/>
    <w:rsid w:val="00F90711"/>
    <w:rsid w:val="00F93F7D"/>
    <w:rsid w:val="00F960EE"/>
    <w:rsid w:val="00F963E8"/>
    <w:rsid w:val="00F97C6C"/>
    <w:rsid w:val="00FA22AD"/>
    <w:rsid w:val="00FA43FA"/>
    <w:rsid w:val="00FA4B1C"/>
    <w:rsid w:val="00FA6334"/>
    <w:rsid w:val="00FB5668"/>
    <w:rsid w:val="00FC17EF"/>
    <w:rsid w:val="00FC1DDC"/>
    <w:rsid w:val="00FC2496"/>
    <w:rsid w:val="00FC4B41"/>
    <w:rsid w:val="00FD0165"/>
    <w:rsid w:val="00FD6E39"/>
    <w:rsid w:val="00FE00C0"/>
    <w:rsid w:val="00FE1924"/>
    <w:rsid w:val="00FE1A65"/>
    <w:rsid w:val="00FE1E5A"/>
    <w:rsid w:val="00FE26BE"/>
    <w:rsid w:val="00FF054A"/>
    <w:rsid w:val="00FF25EC"/>
    <w:rsid w:val="00FF2801"/>
    <w:rsid w:val="00FF2BBA"/>
    <w:rsid w:val="00FF42AF"/>
    <w:rsid w:val="05124DB6"/>
    <w:rsid w:val="089B7BF1"/>
    <w:rsid w:val="0E5140C7"/>
    <w:rsid w:val="14D72CBF"/>
    <w:rsid w:val="153B3D9C"/>
    <w:rsid w:val="2CC93248"/>
    <w:rsid w:val="2DB34373"/>
    <w:rsid w:val="39A0637B"/>
    <w:rsid w:val="52D15FBB"/>
    <w:rsid w:val="52D9161F"/>
    <w:rsid w:val="53EA02D9"/>
    <w:rsid w:val="5A157D4F"/>
    <w:rsid w:val="62656C74"/>
    <w:rsid w:val="63F2506C"/>
    <w:rsid w:val="75B45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黑体" w:cs="Times New Roman"/>
      <w:kern w:val="2"/>
      <w:sz w:val="18"/>
      <w:szCs w:val="24"/>
      <w:lang w:val="en-US" w:eastAsia="zh-CN" w:bidi="ar-SA"/>
    </w:rPr>
  </w:style>
  <w:style w:type="paragraph" w:styleId="2">
    <w:name w:val="heading 1"/>
    <w:basedOn w:val="1"/>
    <w:next w:val="3"/>
    <w:link w:val="46"/>
    <w:qFormat/>
    <w:uiPriority w:val="9"/>
    <w:pPr>
      <w:keepNext/>
      <w:widowControl/>
      <w:numPr>
        <w:ilvl w:val="0"/>
        <w:numId w:val="1"/>
      </w:numPr>
      <w:spacing w:before="400" w:after="400"/>
      <w:ind w:left="4537"/>
      <w:jc w:val="center"/>
      <w:outlineLvl w:val="0"/>
    </w:pPr>
    <w:rPr>
      <w:rFonts w:ascii="黑体" w:hAnsi="黑体"/>
      <w:b/>
      <w:kern w:val="0"/>
      <w:szCs w:val="21"/>
    </w:rPr>
  </w:style>
  <w:style w:type="paragraph" w:styleId="3">
    <w:name w:val="heading 2"/>
    <w:basedOn w:val="1"/>
    <w:next w:val="1"/>
    <w:link w:val="48"/>
    <w:unhideWhenUsed/>
    <w:qFormat/>
    <w:uiPriority w:val="9"/>
    <w:pPr>
      <w:keepNext/>
      <w:keepLines/>
      <w:numPr>
        <w:ilvl w:val="1"/>
        <w:numId w:val="1"/>
      </w:numPr>
      <w:spacing w:line="360" w:lineRule="auto"/>
      <w:outlineLvl w:val="1"/>
    </w:pPr>
    <w:rPr>
      <w:rFonts w:ascii="黑体" w:hAnsi="黑体"/>
      <w:b/>
      <w:bCs/>
      <w:szCs w:val="18"/>
    </w:rPr>
  </w:style>
  <w:style w:type="paragraph" w:styleId="4">
    <w:name w:val="heading 3"/>
    <w:basedOn w:val="1"/>
    <w:next w:val="1"/>
    <w:link w:val="47"/>
    <w:qFormat/>
    <w:uiPriority w:val="9"/>
    <w:pPr>
      <w:keepNext/>
      <w:keepLines/>
      <w:spacing w:before="260" w:after="260" w:line="416" w:lineRule="auto"/>
      <w:outlineLvl w:val="2"/>
    </w:pPr>
    <w:rPr>
      <w:b/>
      <w:bCs/>
      <w:szCs w:val="32"/>
    </w:rPr>
  </w:style>
  <w:style w:type="paragraph" w:styleId="5">
    <w:name w:val="heading 4"/>
    <w:basedOn w:val="1"/>
    <w:next w:val="1"/>
    <w:link w:val="56"/>
    <w:unhideWhenUsed/>
    <w:qFormat/>
    <w:uiPriority w:val="9"/>
    <w:pPr>
      <w:numPr>
        <w:ilvl w:val="0"/>
        <w:numId w:val="2"/>
      </w:numPr>
      <w:spacing w:line="400" w:lineRule="exact"/>
      <w:outlineLvl w:val="3"/>
    </w:pPr>
    <w:rPr>
      <w:rFonts w:asciiTheme="minorEastAsia" w:hAnsiTheme="minorEastAsia" w:eastAsiaTheme="minorEastAsia"/>
      <w:b/>
      <w:color w:val="000000" w:themeColor="text1"/>
      <w:szCs w:val="18"/>
      <w14:textFill>
        <w14:solidFill>
          <w14:schemeClr w14:val="tx1"/>
        </w14:solidFill>
      </w14:textFill>
    </w:rPr>
  </w:style>
  <w:style w:type="paragraph" w:styleId="6">
    <w:name w:val="heading 5"/>
    <w:basedOn w:val="1"/>
    <w:next w:val="1"/>
    <w:link w:val="57"/>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58"/>
    <w:unhideWhenUsed/>
    <w:qFormat/>
    <w:uiPriority w:val="9"/>
    <w:pPr>
      <w:keepNext/>
      <w:keepLines/>
      <w:spacing w:before="240" w:after="64" w:line="320" w:lineRule="auto"/>
      <w:outlineLvl w:val="5"/>
    </w:pPr>
    <w:rPr>
      <w:rFonts w:ascii="Cambria" w:hAnsi="Cambria"/>
      <w:b/>
      <w:bCs/>
      <w:sz w:val="24"/>
    </w:rPr>
  </w:style>
  <w:style w:type="paragraph" w:styleId="8">
    <w:name w:val="heading 7"/>
    <w:basedOn w:val="1"/>
    <w:next w:val="1"/>
    <w:link w:val="59"/>
    <w:unhideWhenUsed/>
    <w:qFormat/>
    <w:uiPriority w:val="9"/>
    <w:pPr>
      <w:keepNext/>
      <w:keepLines/>
      <w:spacing w:before="240" w:after="64" w:line="320" w:lineRule="auto"/>
      <w:outlineLvl w:val="6"/>
    </w:pPr>
    <w:rPr>
      <w:b/>
      <w:bCs/>
      <w:sz w:val="24"/>
    </w:rPr>
  </w:style>
  <w:style w:type="paragraph" w:styleId="9">
    <w:name w:val="heading 8"/>
    <w:basedOn w:val="1"/>
    <w:next w:val="1"/>
    <w:link w:val="60"/>
    <w:unhideWhenUsed/>
    <w:qFormat/>
    <w:uiPriority w:val="9"/>
    <w:pPr>
      <w:keepNext/>
      <w:keepLines/>
      <w:spacing w:before="240" w:after="64" w:line="320" w:lineRule="auto"/>
      <w:outlineLvl w:val="7"/>
    </w:pPr>
    <w:rPr>
      <w:rFonts w:ascii="Cambria" w:hAnsi="Cambria"/>
      <w:sz w:val="24"/>
    </w:rPr>
  </w:style>
  <w:style w:type="paragraph" w:styleId="10">
    <w:name w:val="heading 9"/>
    <w:basedOn w:val="1"/>
    <w:next w:val="1"/>
    <w:link w:val="61"/>
    <w:unhideWhenUsed/>
    <w:qFormat/>
    <w:uiPriority w:val="9"/>
    <w:pPr>
      <w:keepNext/>
      <w:keepLines/>
      <w:spacing w:before="240" w:after="64" w:line="320" w:lineRule="auto"/>
      <w:outlineLvl w:val="8"/>
    </w:pPr>
    <w:rPr>
      <w:rFonts w:ascii="Cambria" w:hAnsi="Cambria"/>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cstheme="minorBidi"/>
      <w:sz w:val="21"/>
      <w:szCs w:val="22"/>
    </w:rPr>
  </w:style>
  <w:style w:type="paragraph" w:styleId="12">
    <w:name w:val="caption"/>
    <w:basedOn w:val="1"/>
    <w:next w:val="1"/>
    <w:qFormat/>
    <w:uiPriority w:val="0"/>
    <w:rPr>
      <w:rFonts w:ascii="Arial" w:hAnsi="Arial"/>
      <w:sz w:val="20"/>
      <w:szCs w:val="20"/>
    </w:rPr>
  </w:style>
  <w:style w:type="paragraph" w:styleId="13">
    <w:name w:val="annotation text"/>
    <w:basedOn w:val="1"/>
    <w:link w:val="104"/>
    <w:unhideWhenUsed/>
    <w:qFormat/>
    <w:uiPriority w:val="99"/>
    <w:pPr>
      <w:jc w:val="left"/>
    </w:pPr>
  </w:style>
  <w:style w:type="paragraph" w:styleId="14">
    <w:name w:val="Body Text"/>
    <w:basedOn w:val="1"/>
    <w:link w:val="66"/>
    <w:unhideWhenUsed/>
    <w:qFormat/>
    <w:uiPriority w:val="1"/>
    <w:pPr>
      <w:spacing w:after="120"/>
    </w:pPr>
  </w:style>
  <w:style w:type="paragraph" w:styleId="15">
    <w:name w:val="Body Text Indent"/>
    <w:basedOn w:val="1"/>
    <w:link w:val="76"/>
    <w:unhideWhenUsed/>
    <w:qFormat/>
    <w:uiPriority w:val="0"/>
    <w:pPr>
      <w:spacing w:after="120"/>
      <w:ind w:left="420" w:leftChars="200"/>
    </w:pPr>
  </w:style>
  <w:style w:type="paragraph" w:styleId="16">
    <w:name w:val="toc 5"/>
    <w:basedOn w:val="1"/>
    <w:next w:val="1"/>
    <w:unhideWhenUsed/>
    <w:qFormat/>
    <w:uiPriority w:val="39"/>
    <w:pPr>
      <w:ind w:left="1680" w:leftChars="800"/>
    </w:pPr>
    <w:rPr>
      <w:rFonts w:asciiTheme="minorHAnsi" w:hAnsiTheme="minorHAnsi" w:eastAsiaTheme="minorEastAsia" w:cstheme="minorBidi"/>
      <w:sz w:val="21"/>
      <w:szCs w:val="22"/>
    </w:rPr>
  </w:style>
  <w:style w:type="paragraph" w:styleId="17">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8">
    <w:name w:val="Plain Text"/>
    <w:basedOn w:val="1"/>
    <w:link w:val="100"/>
    <w:qFormat/>
    <w:uiPriority w:val="0"/>
    <w:pPr>
      <w:autoSpaceDE w:val="0"/>
      <w:autoSpaceDN w:val="0"/>
      <w:adjustRightInd w:val="0"/>
    </w:pPr>
    <w:rPr>
      <w:rFonts w:ascii="宋体"/>
      <w:kern w:val="0"/>
      <w:szCs w:val="20"/>
    </w:rPr>
  </w:style>
  <w:style w:type="paragraph" w:styleId="19">
    <w:name w:val="toc 8"/>
    <w:basedOn w:val="1"/>
    <w:next w:val="1"/>
    <w:unhideWhenUsed/>
    <w:qFormat/>
    <w:uiPriority w:val="39"/>
    <w:pPr>
      <w:ind w:left="2940" w:leftChars="1400"/>
    </w:pPr>
    <w:rPr>
      <w:rFonts w:asciiTheme="minorHAnsi" w:hAnsiTheme="minorHAnsi" w:eastAsiaTheme="minorEastAsia" w:cstheme="minorBidi"/>
      <w:sz w:val="21"/>
      <w:szCs w:val="22"/>
    </w:rPr>
  </w:style>
  <w:style w:type="paragraph" w:styleId="20">
    <w:name w:val="Date"/>
    <w:basedOn w:val="1"/>
    <w:next w:val="1"/>
    <w:link w:val="50"/>
    <w:unhideWhenUsed/>
    <w:qFormat/>
    <w:uiPriority w:val="99"/>
    <w:pPr>
      <w:ind w:left="100" w:leftChars="2500"/>
    </w:pPr>
  </w:style>
  <w:style w:type="paragraph" w:styleId="21">
    <w:name w:val="Body Text Indent 2"/>
    <w:basedOn w:val="1"/>
    <w:link w:val="126"/>
    <w:qFormat/>
    <w:uiPriority w:val="0"/>
    <w:pPr>
      <w:ind w:firstLine="560" w:firstLineChars="200"/>
    </w:pPr>
    <w:rPr>
      <w:rFonts w:ascii="宋体" w:hAnsi="宋体"/>
      <w:sz w:val="28"/>
    </w:rPr>
  </w:style>
  <w:style w:type="paragraph" w:styleId="22">
    <w:name w:val="Balloon Text"/>
    <w:basedOn w:val="1"/>
    <w:link w:val="45"/>
    <w:unhideWhenUsed/>
    <w:qFormat/>
    <w:uiPriority w:val="99"/>
    <w:rPr>
      <w:szCs w:val="18"/>
    </w:rPr>
  </w:style>
  <w:style w:type="paragraph" w:styleId="23">
    <w:name w:val="footer"/>
    <w:basedOn w:val="1"/>
    <w:link w:val="44"/>
    <w:unhideWhenUsed/>
    <w:qFormat/>
    <w:uiPriority w:val="99"/>
    <w:pPr>
      <w:tabs>
        <w:tab w:val="center" w:pos="4153"/>
        <w:tab w:val="right" w:pos="8306"/>
      </w:tabs>
      <w:snapToGrid w:val="0"/>
      <w:jc w:val="left"/>
    </w:pPr>
    <w:rPr>
      <w:szCs w:val="18"/>
    </w:rPr>
  </w:style>
  <w:style w:type="paragraph" w:styleId="24">
    <w:name w:val="header"/>
    <w:basedOn w:val="1"/>
    <w:link w:val="43"/>
    <w:unhideWhenUsed/>
    <w:uiPriority w:val="99"/>
    <w:pPr>
      <w:tabs>
        <w:tab w:val="center" w:pos="4153"/>
        <w:tab w:val="right" w:pos="8306"/>
      </w:tabs>
      <w:snapToGrid w:val="0"/>
      <w:jc w:val="center"/>
    </w:pPr>
    <w:rPr>
      <w:szCs w:val="18"/>
    </w:rPr>
  </w:style>
  <w:style w:type="paragraph" w:styleId="25">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26">
    <w:name w:val="toc 4"/>
    <w:basedOn w:val="1"/>
    <w:next w:val="1"/>
    <w:unhideWhenUsed/>
    <w:qFormat/>
    <w:uiPriority w:val="39"/>
    <w:pPr>
      <w:ind w:left="1260" w:leftChars="600"/>
    </w:pPr>
    <w:rPr>
      <w:rFonts w:asciiTheme="minorHAnsi" w:hAnsiTheme="minorHAnsi" w:eastAsiaTheme="minorEastAsia" w:cstheme="minorBidi"/>
      <w:sz w:val="21"/>
      <w:szCs w:val="22"/>
    </w:rPr>
  </w:style>
  <w:style w:type="paragraph" w:styleId="27">
    <w:name w:val="toc 6"/>
    <w:basedOn w:val="1"/>
    <w:next w:val="1"/>
    <w:unhideWhenUsed/>
    <w:qFormat/>
    <w:uiPriority w:val="39"/>
    <w:pPr>
      <w:ind w:left="2100" w:leftChars="1000"/>
    </w:pPr>
    <w:rPr>
      <w:rFonts w:asciiTheme="minorHAnsi" w:hAnsiTheme="minorHAnsi" w:eastAsiaTheme="minorEastAsia" w:cstheme="minorBidi"/>
      <w:sz w:val="21"/>
      <w:szCs w:val="22"/>
    </w:rPr>
  </w:style>
  <w:style w:type="paragraph" w:styleId="28">
    <w:name w:val="Body Text Indent 3"/>
    <w:basedOn w:val="1"/>
    <w:link w:val="103"/>
    <w:semiHidden/>
    <w:unhideWhenUsed/>
    <w:qFormat/>
    <w:uiPriority w:val="99"/>
    <w:pPr>
      <w:spacing w:after="120"/>
      <w:ind w:left="420" w:leftChars="200"/>
    </w:pPr>
    <w:rPr>
      <w:sz w:val="16"/>
      <w:szCs w:val="16"/>
    </w:rPr>
  </w:style>
  <w:style w:type="paragraph" w:styleId="29">
    <w:name w:val="toc 2"/>
    <w:basedOn w:val="1"/>
    <w:next w:val="1"/>
    <w:unhideWhenUsed/>
    <w:qFormat/>
    <w:uiPriority w:val="39"/>
    <w:pPr>
      <w:widowControl/>
      <w:tabs>
        <w:tab w:val="left" w:pos="1260"/>
        <w:tab w:val="right" w:leader="dot" w:pos="9628"/>
      </w:tabs>
      <w:spacing w:after="100" w:line="276" w:lineRule="auto"/>
      <w:ind w:left="220"/>
      <w:jc w:val="left"/>
    </w:pPr>
    <w:rPr>
      <w:rFonts w:ascii="黑体" w:hAnsi="黑体"/>
      <w:b/>
      <w:bCs/>
      <w:kern w:val="0"/>
      <w:sz w:val="22"/>
      <w:szCs w:val="22"/>
    </w:rPr>
  </w:style>
  <w:style w:type="paragraph" w:styleId="30">
    <w:name w:val="toc 9"/>
    <w:basedOn w:val="1"/>
    <w:next w:val="1"/>
    <w:unhideWhenUsed/>
    <w:qFormat/>
    <w:uiPriority w:val="39"/>
    <w:pPr>
      <w:ind w:left="3360" w:leftChars="1600"/>
    </w:pPr>
    <w:rPr>
      <w:rFonts w:asciiTheme="minorHAnsi" w:hAnsiTheme="minorHAnsi" w:eastAsiaTheme="minorEastAsia" w:cstheme="minorBidi"/>
      <w:sz w:val="21"/>
      <w:szCs w:val="22"/>
    </w:rPr>
  </w:style>
  <w:style w:type="paragraph" w:styleId="31">
    <w:name w:val="Normal (Web)"/>
    <w:basedOn w:val="1"/>
    <w:unhideWhenUsed/>
    <w:qFormat/>
    <w:uiPriority w:val="99"/>
    <w:pPr>
      <w:spacing w:before="100" w:beforeAutospacing="1" w:after="100" w:afterAutospacing="1"/>
      <w:jc w:val="left"/>
    </w:pPr>
    <w:rPr>
      <w:kern w:val="0"/>
      <w:sz w:val="24"/>
      <w:szCs w:val="20"/>
    </w:rPr>
  </w:style>
  <w:style w:type="paragraph" w:styleId="32">
    <w:name w:val="Title"/>
    <w:basedOn w:val="1"/>
    <w:next w:val="1"/>
    <w:link w:val="62"/>
    <w:qFormat/>
    <w:uiPriority w:val="0"/>
    <w:pPr>
      <w:spacing w:before="240" w:after="60"/>
      <w:jc w:val="center"/>
      <w:outlineLvl w:val="0"/>
    </w:pPr>
    <w:rPr>
      <w:rFonts w:ascii="Cambria" w:hAnsi="Cambria"/>
      <w:b/>
      <w:bCs/>
      <w:sz w:val="32"/>
      <w:szCs w:val="32"/>
    </w:rPr>
  </w:style>
  <w:style w:type="paragraph" w:styleId="33">
    <w:name w:val="annotation subject"/>
    <w:basedOn w:val="13"/>
    <w:next w:val="13"/>
    <w:link w:val="105"/>
    <w:unhideWhenUsed/>
    <w:qFormat/>
    <w:uiPriority w:val="99"/>
    <w:rPr>
      <w:b/>
      <w:bCs/>
    </w:rPr>
  </w:style>
  <w:style w:type="paragraph" w:styleId="34">
    <w:name w:val="Body Text First Indent"/>
    <w:basedOn w:val="14"/>
    <w:link w:val="71"/>
    <w:qFormat/>
    <w:uiPriority w:val="0"/>
    <w:pPr>
      <w:autoSpaceDE w:val="0"/>
      <w:autoSpaceDN w:val="0"/>
      <w:adjustRightInd w:val="0"/>
      <w:spacing w:line="360" w:lineRule="auto"/>
      <w:ind w:firstLine="420" w:firstLineChars="100"/>
      <w:jc w:val="left"/>
    </w:pPr>
    <w:rPr>
      <w:kern w:val="0"/>
      <w:sz w:val="20"/>
      <w:szCs w:val="20"/>
    </w:rPr>
  </w:style>
  <w:style w:type="paragraph" w:styleId="35">
    <w:name w:val="Body Text First Indent 2"/>
    <w:basedOn w:val="15"/>
    <w:link w:val="77"/>
    <w:unhideWhenUsed/>
    <w:qFormat/>
    <w:uiPriority w:val="0"/>
    <w:pPr>
      <w:ind w:firstLine="420" w:firstLineChars="200"/>
    </w:p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uiPriority w:val="22"/>
    <w:rPr>
      <w:b/>
      <w:bCs/>
    </w:rPr>
  </w:style>
  <w:style w:type="character" w:styleId="40">
    <w:name w:val="FollowedHyperlink"/>
    <w:basedOn w:val="38"/>
    <w:semiHidden/>
    <w:unhideWhenUsed/>
    <w:qFormat/>
    <w:uiPriority w:val="99"/>
    <w:rPr>
      <w:color w:val="800080" w:themeColor="followedHyperlink"/>
      <w:u w:val="single"/>
      <w14:textFill>
        <w14:solidFill>
          <w14:schemeClr w14:val="folHlink"/>
        </w14:solidFill>
      </w14:textFill>
    </w:rPr>
  </w:style>
  <w:style w:type="character" w:styleId="41">
    <w:name w:val="Hyperlink"/>
    <w:basedOn w:val="38"/>
    <w:unhideWhenUsed/>
    <w:qFormat/>
    <w:uiPriority w:val="99"/>
    <w:rPr>
      <w:color w:val="0000FF"/>
      <w:u w:val="single"/>
    </w:rPr>
  </w:style>
  <w:style w:type="character" w:styleId="42">
    <w:name w:val="annotation reference"/>
    <w:basedOn w:val="38"/>
    <w:unhideWhenUsed/>
    <w:qFormat/>
    <w:uiPriority w:val="99"/>
    <w:rPr>
      <w:sz w:val="21"/>
      <w:szCs w:val="21"/>
    </w:rPr>
  </w:style>
  <w:style w:type="character" w:customStyle="1" w:styleId="43">
    <w:name w:val="页眉 字符"/>
    <w:basedOn w:val="38"/>
    <w:link w:val="24"/>
    <w:qFormat/>
    <w:uiPriority w:val="99"/>
    <w:rPr>
      <w:sz w:val="18"/>
      <w:szCs w:val="18"/>
    </w:rPr>
  </w:style>
  <w:style w:type="character" w:customStyle="1" w:styleId="44">
    <w:name w:val="页脚 字符"/>
    <w:basedOn w:val="38"/>
    <w:link w:val="23"/>
    <w:qFormat/>
    <w:uiPriority w:val="99"/>
    <w:rPr>
      <w:sz w:val="18"/>
      <w:szCs w:val="18"/>
    </w:rPr>
  </w:style>
  <w:style w:type="character" w:customStyle="1" w:styleId="45">
    <w:name w:val="批注框文本 字符"/>
    <w:basedOn w:val="38"/>
    <w:link w:val="22"/>
    <w:qFormat/>
    <w:uiPriority w:val="99"/>
    <w:rPr>
      <w:sz w:val="18"/>
      <w:szCs w:val="18"/>
    </w:rPr>
  </w:style>
  <w:style w:type="character" w:customStyle="1" w:styleId="46">
    <w:name w:val="标题 1 字符"/>
    <w:basedOn w:val="38"/>
    <w:link w:val="2"/>
    <w:qFormat/>
    <w:uiPriority w:val="9"/>
    <w:rPr>
      <w:rFonts w:ascii="黑体" w:hAnsi="黑体" w:eastAsia="黑体"/>
      <w:b/>
      <w:sz w:val="18"/>
      <w:szCs w:val="21"/>
    </w:rPr>
  </w:style>
  <w:style w:type="character" w:customStyle="1" w:styleId="47">
    <w:name w:val="标题 3 字符"/>
    <w:basedOn w:val="38"/>
    <w:link w:val="4"/>
    <w:qFormat/>
    <w:uiPriority w:val="0"/>
    <w:rPr>
      <w:rFonts w:ascii="Times New Roman" w:hAnsi="Times New Roman" w:eastAsia="黑体"/>
      <w:b/>
      <w:bCs/>
      <w:kern w:val="2"/>
      <w:sz w:val="21"/>
      <w:szCs w:val="32"/>
    </w:rPr>
  </w:style>
  <w:style w:type="character" w:customStyle="1" w:styleId="48">
    <w:name w:val="标题 2 字符"/>
    <w:basedOn w:val="38"/>
    <w:link w:val="3"/>
    <w:qFormat/>
    <w:uiPriority w:val="0"/>
    <w:rPr>
      <w:rFonts w:ascii="黑体" w:hAnsi="黑体" w:eastAsia="黑体"/>
      <w:b/>
      <w:bCs/>
      <w:kern w:val="2"/>
      <w:sz w:val="18"/>
      <w:szCs w:val="18"/>
    </w:rPr>
  </w:style>
  <w:style w:type="paragraph" w:styleId="49">
    <w:name w:val="List Paragraph"/>
    <w:basedOn w:val="1"/>
    <w:qFormat/>
    <w:uiPriority w:val="34"/>
    <w:pPr>
      <w:ind w:firstLine="420" w:firstLineChars="200"/>
    </w:pPr>
  </w:style>
  <w:style w:type="character" w:customStyle="1" w:styleId="50">
    <w:name w:val="日期 字符"/>
    <w:basedOn w:val="38"/>
    <w:link w:val="20"/>
    <w:semiHidden/>
    <w:qFormat/>
    <w:uiPriority w:val="99"/>
    <w:rPr>
      <w:rFonts w:ascii="Times New Roman" w:hAnsi="Times New Roman" w:eastAsia="宋体" w:cs="Times New Roman"/>
      <w:szCs w:val="24"/>
    </w:rPr>
  </w:style>
  <w:style w:type="paragraph" w:customStyle="1" w:styleId="51">
    <w:name w:val="缺省文本"/>
    <w:basedOn w:val="1"/>
    <w:link w:val="78"/>
    <w:qFormat/>
    <w:uiPriority w:val="0"/>
    <w:pPr>
      <w:autoSpaceDE w:val="0"/>
      <w:autoSpaceDN w:val="0"/>
      <w:adjustRightInd w:val="0"/>
      <w:jc w:val="left"/>
    </w:pPr>
    <w:rPr>
      <w:kern w:val="0"/>
      <w:sz w:val="24"/>
    </w:rPr>
  </w:style>
  <w:style w:type="paragraph" w:customStyle="1" w:styleId="52">
    <w:name w:val="TOC Heading"/>
    <w:basedOn w:val="2"/>
    <w:next w:val="1"/>
    <w:unhideWhenUsed/>
    <w:qFormat/>
    <w:uiPriority w:val="39"/>
    <w:pPr>
      <w:keepLines/>
      <w:spacing w:before="480" w:after="0" w:line="276" w:lineRule="auto"/>
      <w:jc w:val="left"/>
      <w:outlineLvl w:val="9"/>
    </w:pPr>
    <w:rPr>
      <w:rFonts w:ascii="Cambria" w:hAnsi="Cambria" w:eastAsia="宋体"/>
      <w:bCs/>
      <w:color w:val="365F91"/>
      <w:sz w:val="28"/>
      <w:szCs w:val="28"/>
    </w:rPr>
  </w:style>
  <w:style w:type="paragraph" w:customStyle="1" w:styleId="53">
    <w:name w:val="一级标题"/>
    <w:basedOn w:val="51"/>
    <w:link w:val="108"/>
    <w:qFormat/>
    <w:uiPriority w:val="0"/>
    <w:pPr>
      <w:widowControl/>
      <w:numPr>
        <w:ilvl w:val="0"/>
        <w:numId w:val="3"/>
      </w:numPr>
      <w:spacing w:line="360" w:lineRule="auto"/>
      <w:jc w:val="both"/>
    </w:pPr>
    <w:rPr>
      <w:b/>
    </w:rPr>
  </w:style>
  <w:style w:type="paragraph" w:customStyle="1" w:styleId="54">
    <w:name w:val="文件(二级标题)"/>
    <w:basedOn w:val="2"/>
    <w:qFormat/>
    <w:uiPriority w:val="0"/>
    <w:pPr>
      <w:keepNext w:val="0"/>
      <w:widowControl w:val="0"/>
      <w:autoSpaceDE w:val="0"/>
      <w:autoSpaceDN w:val="0"/>
      <w:adjustRightInd w:val="0"/>
      <w:spacing w:before="280" w:after="0" w:line="360" w:lineRule="auto"/>
      <w:jc w:val="left"/>
    </w:pPr>
    <w:rPr>
      <w:rFonts w:eastAsia="宋体" w:cs="Arial Black"/>
      <w:b w:val="0"/>
      <w:sz w:val="24"/>
      <w:szCs w:val="24"/>
    </w:rPr>
  </w:style>
  <w:style w:type="paragraph" w:styleId="55">
    <w:name w:val="No Spacing"/>
    <w:link w:val="130"/>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标题 4 字符"/>
    <w:basedOn w:val="38"/>
    <w:link w:val="5"/>
    <w:qFormat/>
    <w:uiPriority w:val="9"/>
    <w:rPr>
      <w:rFonts w:asciiTheme="minorEastAsia" w:hAnsiTheme="minorEastAsia" w:eastAsiaTheme="minorEastAsia"/>
      <w:b/>
      <w:color w:val="000000" w:themeColor="text1"/>
      <w:kern w:val="2"/>
      <w:sz w:val="18"/>
      <w:szCs w:val="18"/>
      <w14:textFill>
        <w14:solidFill>
          <w14:schemeClr w14:val="tx1"/>
        </w14:solidFill>
      </w14:textFill>
    </w:rPr>
  </w:style>
  <w:style w:type="character" w:customStyle="1" w:styleId="57">
    <w:name w:val="标题 5 字符"/>
    <w:basedOn w:val="38"/>
    <w:link w:val="6"/>
    <w:qFormat/>
    <w:uiPriority w:val="9"/>
    <w:rPr>
      <w:rFonts w:ascii="Times New Roman" w:hAnsi="Times New Roman" w:eastAsia="宋体" w:cs="Times New Roman"/>
      <w:b/>
      <w:bCs/>
      <w:sz w:val="28"/>
      <w:szCs w:val="28"/>
    </w:rPr>
  </w:style>
  <w:style w:type="character" w:customStyle="1" w:styleId="58">
    <w:name w:val="标题 6 字符"/>
    <w:basedOn w:val="38"/>
    <w:link w:val="7"/>
    <w:qFormat/>
    <w:uiPriority w:val="9"/>
    <w:rPr>
      <w:rFonts w:ascii="Cambria" w:hAnsi="Cambria" w:eastAsia="宋体" w:cs="Times New Roman"/>
      <w:b/>
      <w:bCs/>
      <w:sz w:val="24"/>
      <w:szCs w:val="24"/>
    </w:rPr>
  </w:style>
  <w:style w:type="character" w:customStyle="1" w:styleId="59">
    <w:name w:val="标题 7 字符"/>
    <w:basedOn w:val="38"/>
    <w:link w:val="8"/>
    <w:qFormat/>
    <w:uiPriority w:val="9"/>
    <w:rPr>
      <w:rFonts w:ascii="Times New Roman" w:hAnsi="Times New Roman" w:eastAsia="宋体" w:cs="Times New Roman"/>
      <w:b/>
      <w:bCs/>
      <w:sz w:val="24"/>
      <w:szCs w:val="24"/>
    </w:rPr>
  </w:style>
  <w:style w:type="character" w:customStyle="1" w:styleId="60">
    <w:name w:val="标题 8 字符"/>
    <w:basedOn w:val="38"/>
    <w:link w:val="9"/>
    <w:qFormat/>
    <w:uiPriority w:val="9"/>
    <w:rPr>
      <w:rFonts w:ascii="Cambria" w:hAnsi="Cambria" w:eastAsia="宋体" w:cs="Times New Roman"/>
      <w:sz w:val="24"/>
      <w:szCs w:val="24"/>
    </w:rPr>
  </w:style>
  <w:style w:type="character" w:customStyle="1" w:styleId="61">
    <w:name w:val="标题 9 字符"/>
    <w:basedOn w:val="38"/>
    <w:link w:val="10"/>
    <w:qFormat/>
    <w:uiPriority w:val="9"/>
    <w:rPr>
      <w:rFonts w:ascii="Cambria" w:hAnsi="Cambria" w:eastAsia="宋体" w:cs="Times New Roman"/>
      <w:szCs w:val="21"/>
    </w:rPr>
  </w:style>
  <w:style w:type="character" w:customStyle="1" w:styleId="62">
    <w:name w:val="标题 字符"/>
    <w:basedOn w:val="38"/>
    <w:link w:val="32"/>
    <w:qFormat/>
    <w:uiPriority w:val="0"/>
    <w:rPr>
      <w:rFonts w:ascii="Cambria" w:hAnsi="Cambria" w:eastAsia="宋体" w:cs="Times New Roman"/>
      <w:b/>
      <w:bCs/>
      <w:sz w:val="32"/>
      <w:szCs w:val="32"/>
    </w:rPr>
  </w:style>
  <w:style w:type="paragraph" w:customStyle="1" w:styleId="63">
    <w:name w:val="默认段落字体 Para Char Char Char Char"/>
    <w:basedOn w:val="1"/>
    <w:qFormat/>
    <w:uiPriority w:val="0"/>
  </w:style>
  <w:style w:type="paragraph" w:customStyle="1" w:styleId="64">
    <w:name w:val="样式 正文文本 + 居中"/>
    <w:basedOn w:val="14"/>
    <w:qFormat/>
    <w:uiPriority w:val="0"/>
    <w:pPr>
      <w:autoSpaceDE w:val="0"/>
      <w:autoSpaceDN w:val="0"/>
      <w:adjustRightInd w:val="0"/>
      <w:spacing w:after="0"/>
      <w:jc w:val="center"/>
    </w:pPr>
    <w:rPr>
      <w:rFonts w:ascii="宋体" w:cs="宋体"/>
      <w:b/>
      <w:bCs/>
      <w:kern w:val="0"/>
      <w:szCs w:val="20"/>
    </w:rPr>
  </w:style>
  <w:style w:type="paragraph" w:customStyle="1" w:styleId="65">
    <w:name w:val="表格内容"/>
    <w:basedOn w:val="14"/>
    <w:qFormat/>
    <w:uiPriority w:val="0"/>
    <w:pPr>
      <w:autoSpaceDE w:val="0"/>
      <w:autoSpaceDN w:val="0"/>
      <w:adjustRightInd w:val="0"/>
      <w:spacing w:after="0"/>
      <w:jc w:val="left"/>
    </w:pPr>
    <w:rPr>
      <w:rFonts w:ascii="宋体" w:hAnsi="宋体" w:cs="宋体"/>
      <w:bCs/>
      <w:kern w:val="0"/>
      <w:szCs w:val="18"/>
    </w:rPr>
  </w:style>
  <w:style w:type="character" w:customStyle="1" w:styleId="66">
    <w:name w:val="正文文本 字符"/>
    <w:basedOn w:val="38"/>
    <w:link w:val="14"/>
    <w:qFormat/>
    <w:uiPriority w:val="1"/>
    <w:rPr>
      <w:rFonts w:ascii="Times New Roman" w:hAnsi="Times New Roman" w:eastAsia="宋体" w:cs="Times New Roman"/>
      <w:szCs w:val="24"/>
    </w:rPr>
  </w:style>
  <w:style w:type="paragraph" w:customStyle="1" w:styleId="67">
    <w:name w:val="Default Text"/>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6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69">
    <w:name w:val="填写内容说明"/>
    <w:basedOn w:val="38"/>
    <w:qFormat/>
    <w:uiPriority w:val="0"/>
    <w:rPr>
      <w:i/>
      <w:iCs/>
      <w:color w:val="0000FF"/>
    </w:rPr>
  </w:style>
  <w:style w:type="paragraph" w:customStyle="1" w:styleId="70">
    <w:name w:val="Char Char Char Char"/>
    <w:basedOn w:val="1"/>
    <w:qFormat/>
    <w:uiPriority w:val="0"/>
  </w:style>
  <w:style w:type="character" w:customStyle="1" w:styleId="71">
    <w:name w:val="正文文本首行缩进 字符"/>
    <w:basedOn w:val="66"/>
    <w:link w:val="34"/>
    <w:qFormat/>
    <w:uiPriority w:val="0"/>
    <w:rPr>
      <w:rFonts w:ascii="Times New Roman" w:hAnsi="Times New Roman" w:eastAsia="宋体" w:cs="Times New Roman"/>
      <w:szCs w:val="24"/>
    </w:rPr>
  </w:style>
  <w:style w:type="paragraph" w:customStyle="1" w:styleId="72">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73">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74">
    <w:name w:val="图号"/>
    <w:basedOn w:val="1"/>
    <w:link w:val="75"/>
    <w:qFormat/>
    <w:uiPriority w:val="0"/>
    <w:pPr>
      <w:autoSpaceDE w:val="0"/>
      <w:autoSpaceDN w:val="0"/>
      <w:adjustRightInd w:val="0"/>
      <w:spacing w:before="105" w:line="360" w:lineRule="auto"/>
      <w:jc w:val="center"/>
    </w:pPr>
    <w:rPr>
      <w:rFonts w:ascii="Arial" w:hAnsi="Arial"/>
      <w:kern w:val="0"/>
      <w:szCs w:val="18"/>
    </w:rPr>
  </w:style>
  <w:style w:type="character" w:customStyle="1" w:styleId="75">
    <w:name w:val="图号 Char"/>
    <w:basedOn w:val="38"/>
    <w:link w:val="74"/>
    <w:qFormat/>
    <w:uiPriority w:val="0"/>
    <w:rPr>
      <w:rFonts w:ascii="Arial" w:hAnsi="Arial"/>
      <w:sz w:val="18"/>
      <w:szCs w:val="18"/>
    </w:rPr>
  </w:style>
  <w:style w:type="character" w:customStyle="1" w:styleId="76">
    <w:name w:val="正文文本缩进 字符"/>
    <w:basedOn w:val="38"/>
    <w:link w:val="15"/>
    <w:semiHidden/>
    <w:qFormat/>
    <w:uiPriority w:val="99"/>
    <w:rPr>
      <w:rFonts w:ascii="Times New Roman" w:hAnsi="Times New Roman"/>
      <w:kern w:val="2"/>
      <w:sz w:val="21"/>
      <w:szCs w:val="24"/>
    </w:rPr>
  </w:style>
  <w:style w:type="character" w:customStyle="1" w:styleId="77">
    <w:name w:val="正文文本首行缩进 2 字符"/>
    <w:basedOn w:val="76"/>
    <w:link w:val="35"/>
    <w:semiHidden/>
    <w:qFormat/>
    <w:uiPriority w:val="99"/>
    <w:rPr>
      <w:rFonts w:ascii="Times New Roman" w:hAnsi="Times New Roman"/>
      <w:kern w:val="2"/>
      <w:sz w:val="21"/>
      <w:szCs w:val="24"/>
    </w:rPr>
  </w:style>
  <w:style w:type="character" w:customStyle="1" w:styleId="78">
    <w:name w:val="缺省文本 Char"/>
    <w:basedOn w:val="38"/>
    <w:link w:val="51"/>
    <w:qFormat/>
    <w:uiPriority w:val="0"/>
    <w:rPr>
      <w:rFonts w:ascii="Times New Roman" w:hAnsi="Times New Roman"/>
      <w:sz w:val="24"/>
      <w:szCs w:val="24"/>
    </w:rPr>
  </w:style>
  <w:style w:type="paragraph" w:customStyle="1" w:styleId="79">
    <w:name w:val="缺省文本:1"/>
    <w:basedOn w:val="1"/>
    <w:qFormat/>
    <w:uiPriority w:val="0"/>
    <w:pPr>
      <w:autoSpaceDE w:val="0"/>
      <w:autoSpaceDN w:val="0"/>
      <w:adjustRightInd w:val="0"/>
      <w:jc w:val="left"/>
    </w:pPr>
    <w:rPr>
      <w:kern w:val="0"/>
      <w:sz w:val="24"/>
    </w:rPr>
  </w:style>
  <w:style w:type="paragraph" w:customStyle="1" w:styleId="80">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81">
    <w:name w:val="表头文本"/>
    <w:qFormat/>
    <w:uiPriority w:val="0"/>
    <w:pPr>
      <w:jc w:val="center"/>
    </w:pPr>
    <w:rPr>
      <w:rFonts w:ascii="Arial" w:hAnsi="Arial" w:eastAsia="宋体" w:cs="Times New Roman"/>
      <w:b/>
      <w:sz w:val="21"/>
      <w:szCs w:val="21"/>
      <w:lang w:val="en-US" w:eastAsia="zh-CN" w:bidi="ar-SA"/>
    </w:rPr>
  </w:style>
  <w:style w:type="table" w:customStyle="1" w:styleId="82">
    <w:name w:val="表样式"/>
    <w:basedOn w:val="36"/>
    <w:qFormat/>
    <w:uiPriority w:val="0"/>
    <w:pPr>
      <w:jc w:val="both"/>
    </w:pPr>
    <w:rPr>
      <w:rFonts w:ascii="Times New Roman" w:hAnsi="Times New Roman"/>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83">
    <w:name w:val="图样式"/>
    <w:basedOn w:val="1"/>
    <w:qFormat/>
    <w:uiPriority w:val="0"/>
    <w:pPr>
      <w:keepNext/>
      <w:widowControl/>
      <w:autoSpaceDE w:val="0"/>
      <w:autoSpaceDN w:val="0"/>
      <w:adjustRightInd w:val="0"/>
      <w:spacing w:before="80" w:after="80"/>
      <w:jc w:val="center"/>
    </w:pPr>
    <w:rPr>
      <w:kern w:val="0"/>
      <w:sz w:val="20"/>
      <w:szCs w:val="20"/>
    </w:rPr>
  </w:style>
  <w:style w:type="paragraph" w:customStyle="1" w:styleId="84">
    <w:name w:val="文档标题"/>
    <w:basedOn w:val="1"/>
    <w:qFormat/>
    <w:uiPriority w:val="0"/>
    <w:pPr>
      <w:tabs>
        <w:tab w:val="left" w:pos="0"/>
      </w:tabs>
      <w:autoSpaceDE w:val="0"/>
      <w:autoSpaceDN w:val="0"/>
      <w:adjustRightInd w:val="0"/>
      <w:spacing w:before="300" w:after="300"/>
      <w:jc w:val="center"/>
    </w:pPr>
    <w:rPr>
      <w:rFonts w:ascii="Arial" w:hAnsi="Arial"/>
      <w:kern w:val="0"/>
      <w:sz w:val="36"/>
      <w:szCs w:val="36"/>
    </w:rPr>
  </w:style>
  <w:style w:type="paragraph" w:customStyle="1" w:styleId="85">
    <w:name w:val="正文（首行不缩进）"/>
    <w:basedOn w:val="1"/>
    <w:qFormat/>
    <w:uiPriority w:val="0"/>
    <w:pPr>
      <w:autoSpaceDE w:val="0"/>
      <w:autoSpaceDN w:val="0"/>
      <w:adjustRightInd w:val="0"/>
      <w:jc w:val="left"/>
    </w:pPr>
    <w:rPr>
      <w:kern w:val="0"/>
      <w:sz w:val="20"/>
      <w:szCs w:val="20"/>
    </w:rPr>
  </w:style>
  <w:style w:type="paragraph" w:customStyle="1" w:styleId="86">
    <w:name w:val="注示头"/>
    <w:basedOn w:val="1"/>
    <w:qFormat/>
    <w:uiPriority w:val="0"/>
    <w:pPr>
      <w:pBdr>
        <w:top w:val="single" w:color="000000" w:sz="4" w:space="1"/>
      </w:pBdr>
      <w:autoSpaceDE w:val="0"/>
      <w:autoSpaceDN w:val="0"/>
      <w:adjustRightInd w:val="0"/>
    </w:pPr>
    <w:rPr>
      <w:rFonts w:ascii="Arial" w:hAnsi="Arial"/>
      <w:kern w:val="0"/>
      <w:szCs w:val="21"/>
    </w:rPr>
  </w:style>
  <w:style w:type="paragraph" w:customStyle="1" w:styleId="87">
    <w:name w:val="注示文本"/>
    <w:basedOn w:val="1"/>
    <w:qFormat/>
    <w:uiPriority w:val="0"/>
    <w:pPr>
      <w:pBdr>
        <w:bottom w:val="single" w:color="000000" w:sz="4" w:space="1"/>
      </w:pBdr>
      <w:autoSpaceDE w:val="0"/>
      <w:autoSpaceDN w:val="0"/>
      <w:adjustRightInd w:val="0"/>
      <w:ind w:firstLine="360"/>
    </w:pPr>
    <w:rPr>
      <w:rFonts w:ascii="Arial" w:hAnsi="Arial" w:eastAsia="楷体_GB2312"/>
      <w:kern w:val="0"/>
      <w:szCs w:val="18"/>
    </w:rPr>
  </w:style>
  <w:style w:type="paragraph" w:customStyle="1" w:styleId="88">
    <w:name w:val="编写建议"/>
    <w:basedOn w:val="1"/>
    <w:qFormat/>
    <w:uiPriority w:val="0"/>
    <w:pPr>
      <w:autoSpaceDE w:val="0"/>
      <w:autoSpaceDN w:val="0"/>
      <w:adjustRightInd w:val="0"/>
      <w:ind w:firstLine="420"/>
      <w:jc w:val="left"/>
    </w:pPr>
    <w:rPr>
      <w:rFonts w:ascii="Arial" w:hAnsi="Arial" w:cs="Arial"/>
      <w:i/>
      <w:color w:val="0000FF"/>
      <w:kern w:val="0"/>
      <w:sz w:val="20"/>
      <w:szCs w:val="21"/>
    </w:rPr>
  </w:style>
  <w:style w:type="character" w:customStyle="1" w:styleId="89">
    <w:name w:val="样式一"/>
    <w:basedOn w:val="38"/>
    <w:qFormat/>
    <w:uiPriority w:val="0"/>
    <w:rPr>
      <w:rFonts w:ascii="宋体" w:hAnsi="宋体"/>
      <w:b/>
      <w:bCs/>
      <w:color w:val="000000"/>
      <w:sz w:val="36"/>
    </w:rPr>
  </w:style>
  <w:style w:type="character" w:customStyle="1" w:styleId="90">
    <w:name w:val="样式二"/>
    <w:basedOn w:val="89"/>
    <w:qFormat/>
    <w:uiPriority w:val="0"/>
    <w:rPr>
      <w:rFonts w:ascii="宋体" w:hAnsi="宋体"/>
      <w:color w:val="000000"/>
      <w:sz w:val="36"/>
    </w:rPr>
  </w:style>
  <w:style w:type="paragraph" w:customStyle="1" w:styleId="91">
    <w:name w:val="Char Char Char Char1"/>
    <w:basedOn w:val="1"/>
    <w:qFormat/>
    <w:uiPriority w:val="0"/>
  </w:style>
  <w:style w:type="paragraph" w:customStyle="1" w:styleId="92">
    <w:name w:val="Char Char"/>
    <w:basedOn w:val="1"/>
    <w:qFormat/>
    <w:uiPriority w:val="0"/>
  </w:style>
  <w:style w:type="paragraph" w:customStyle="1" w:styleId="93">
    <w:name w:val="Char"/>
    <w:basedOn w:val="1"/>
    <w:qFormat/>
    <w:uiPriority w:val="0"/>
  </w:style>
  <w:style w:type="paragraph" w:customStyle="1" w:styleId="94">
    <w:name w:val="标题2"/>
    <w:basedOn w:val="2"/>
    <w:qFormat/>
    <w:uiPriority w:val="0"/>
    <w:pPr>
      <w:widowControl w:val="0"/>
      <w:spacing w:after="120"/>
      <w:ind w:left="567" w:hanging="567"/>
    </w:pPr>
    <w:rPr>
      <w:rFonts w:ascii="Times New Roman" w:hAnsi="Times New Roman" w:eastAsia="宋体" w:cs="Arial"/>
      <w:b w:val="0"/>
      <w:bCs/>
      <w:kern w:val="44"/>
      <w:sz w:val="24"/>
      <w:szCs w:val="44"/>
    </w:rPr>
  </w:style>
  <w:style w:type="paragraph" w:customStyle="1" w:styleId="95">
    <w:name w:val="标题3"/>
    <w:basedOn w:val="96"/>
    <w:link w:val="98"/>
    <w:qFormat/>
    <w:uiPriority w:val="0"/>
    <w:pPr>
      <w:tabs>
        <w:tab w:val="left" w:pos="480"/>
      </w:tabs>
      <w:ind w:left="846" w:hanging="846" w:hangingChars="470"/>
    </w:pPr>
    <w:rPr>
      <w:b w:val="0"/>
      <w:sz w:val="18"/>
    </w:rPr>
  </w:style>
  <w:style w:type="paragraph" w:customStyle="1" w:styleId="96">
    <w:name w:val="3层"/>
    <w:basedOn w:val="97"/>
    <w:link w:val="122"/>
    <w:qFormat/>
    <w:uiPriority w:val="0"/>
    <w:pPr>
      <w:numPr>
        <w:ilvl w:val="0"/>
        <w:numId w:val="0"/>
      </w:numPr>
      <w:tabs>
        <w:tab w:val="left" w:pos="480"/>
      </w:tabs>
      <w:ind w:left="-1" w:firstLine="709"/>
    </w:pPr>
    <w:rPr>
      <w:b/>
      <w:sz w:val="21"/>
    </w:rPr>
  </w:style>
  <w:style w:type="paragraph" w:customStyle="1" w:styleId="97">
    <w:name w:val="三层"/>
    <w:basedOn w:val="53"/>
    <w:link w:val="112"/>
    <w:qFormat/>
    <w:uiPriority w:val="0"/>
    <w:pPr>
      <w:numPr>
        <w:ilvl w:val="2"/>
        <w:numId w:val="1"/>
      </w:numPr>
    </w:pPr>
    <w:rPr>
      <w:rFonts w:ascii="黑体" w:hAnsi="黑体"/>
      <w:b w:val="0"/>
      <w:sz w:val="18"/>
      <w:szCs w:val="18"/>
    </w:rPr>
  </w:style>
  <w:style w:type="character" w:customStyle="1" w:styleId="98">
    <w:name w:val="标题3 Char"/>
    <w:basedOn w:val="38"/>
    <w:link w:val="95"/>
    <w:qFormat/>
    <w:uiPriority w:val="0"/>
    <w:rPr>
      <w:rFonts w:ascii="黑体" w:hAnsi="黑体" w:eastAsia="黑体"/>
      <w:sz w:val="18"/>
      <w:szCs w:val="18"/>
    </w:rPr>
  </w:style>
  <w:style w:type="paragraph" w:customStyle="1" w:styleId="99">
    <w:name w:val="缺省文本:2"/>
    <w:basedOn w:val="1"/>
    <w:qFormat/>
    <w:uiPriority w:val="0"/>
    <w:pPr>
      <w:autoSpaceDE w:val="0"/>
      <w:autoSpaceDN w:val="0"/>
      <w:adjustRightInd w:val="0"/>
      <w:jc w:val="left"/>
    </w:pPr>
    <w:rPr>
      <w:kern w:val="0"/>
      <w:sz w:val="24"/>
    </w:rPr>
  </w:style>
  <w:style w:type="character" w:customStyle="1" w:styleId="100">
    <w:name w:val="纯文本 字符"/>
    <w:basedOn w:val="38"/>
    <w:link w:val="18"/>
    <w:qFormat/>
    <w:uiPriority w:val="0"/>
    <w:rPr>
      <w:rFonts w:ascii="宋体" w:hAnsi="Times New Roman"/>
      <w:sz w:val="21"/>
    </w:rPr>
  </w:style>
  <w:style w:type="paragraph" w:customStyle="1" w:styleId="101">
    <w:name w:val="Char Char Char"/>
    <w:basedOn w:val="1"/>
    <w:qFormat/>
    <w:uiPriority w:val="0"/>
  </w:style>
  <w:style w:type="paragraph" w:customStyle="1" w:styleId="102">
    <w:name w:val="reader-word-layer"/>
    <w:basedOn w:val="1"/>
    <w:qFormat/>
    <w:uiPriority w:val="0"/>
    <w:pPr>
      <w:widowControl/>
      <w:spacing w:before="100" w:beforeAutospacing="1" w:after="100" w:afterAutospacing="1" w:line="240" w:lineRule="exact"/>
      <w:jc w:val="left"/>
    </w:pPr>
    <w:rPr>
      <w:rFonts w:ascii="宋体" w:hAnsi="宋体" w:cs="宋体"/>
      <w:kern w:val="0"/>
      <w:sz w:val="24"/>
    </w:rPr>
  </w:style>
  <w:style w:type="character" w:customStyle="1" w:styleId="103">
    <w:name w:val="正文文本缩进 3 字符"/>
    <w:basedOn w:val="38"/>
    <w:link w:val="28"/>
    <w:semiHidden/>
    <w:qFormat/>
    <w:uiPriority w:val="99"/>
    <w:rPr>
      <w:rFonts w:ascii="Times New Roman" w:hAnsi="Times New Roman"/>
      <w:kern w:val="2"/>
      <w:sz w:val="16"/>
      <w:szCs w:val="16"/>
    </w:rPr>
  </w:style>
  <w:style w:type="character" w:customStyle="1" w:styleId="104">
    <w:name w:val="批注文字 字符"/>
    <w:basedOn w:val="38"/>
    <w:link w:val="13"/>
    <w:semiHidden/>
    <w:qFormat/>
    <w:uiPriority w:val="99"/>
    <w:rPr>
      <w:rFonts w:ascii="Times New Roman" w:hAnsi="Times New Roman"/>
      <w:kern w:val="2"/>
      <w:sz w:val="21"/>
      <w:szCs w:val="24"/>
    </w:rPr>
  </w:style>
  <w:style w:type="character" w:customStyle="1" w:styleId="105">
    <w:name w:val="批注主题 字符"/>
    <w:basedOn w:val="104"/>
    <w:link w:val="33"/>
    <w:semiHidden/>
    <w:qFormat/>
    <w:uiPriority w:val="99"/>
    <w:rPr>
      <w:rFonts w:ascii="Times New Roman" w:hAnsi="Times New Roman"/>
      <w:b/>
      <w:bCs/>
      <w:kern w:val="2"/>
      <w:sz w:val="21"/>
      <w:szCs w:val="24"/>
    </w:rPr>
  </w:style>
  <w:style w:type="paragraph" w:customStyle="1" w:styleId="106">
    <w:name w:val="一层"/>
    <w:basedOn w:val="2"/>
    <w:link w:val="109"/>
    <w:qFormat/>
    <w:uiPriority w:val="0"/>
  </w:style>
  <w:style w:type="paragraph" w:customStyle="1" w:styleId="107">
    <w:name w:val="二层"/>
    <w:basedOn w:val="3"/>
    <w:link w:val="110"/>
    <w:qFormat/>
    <w:uiPriority w:val="0"/>
    <w:rPr>
      <w:sz w:val="21"/>
      <w:szCs w:val="21"/>
    </w:rPr>
  </w:style>
  <w:style w:type="character" w:customStyle="1" w:styleId="108">
    <w:name w:val="一级标题 Char"/>
    <w:basedOn w:val="78"/>
    <w:link w:val="53"/>
    <w:qFormat/>
    <w:uiPriority w:val="0"/>
    <w:rPr>
      <w:rFonts w:ascii="Times New Roman" w:hAnsi="Times New Roman" w:eastAsia="黑体"/>
      <w:b/>
      <w:sz w:val="24"/>
      <w:szCs w:val="24"/>
    </w:rPr>
  </w:style>
  <w:style w:type="character" w:customStyle="1" w:styleId="109">
    <w:name w:val="一层 Char"/>
    <w:basedOn w:val="108"/>
    <w:link w:val="106"/>
    <w:qFormat/>
    <w:uiPriority w:val="0"/>
    <w:rPr>
      <w:rFonts w:ascii="黑体" w:hAnsi="黑体" w:eastAsia="黑体"/>
      <w:sz w:val="18"/>
      <w:szCs w:val="21"/>
    </w:rPr>
  </w:style>
  <w:style w:type="character" w:customStyle="1" w:styleId="110">
    <w:name w:val="二层 Char"/>
    <w:basedOn w:val="108"/>
    <w:link w:val="107"/>
    <w:qFormat/>
    <w:uiPriority w:val="0"/>
    <w:rPr>
      <w:rFonts w:ascii="黑体" w:hAnsi="黑体" w:eastAsia="黑体"/>
      <w:bCs/>
      <w:kern w:val="2"/>
      <w:sz w:val="21"/>
      <w:szCs w:val="21"/>
    </w:rPr>
  </w:style>
  <w:style w:type="paragraph" w:customStyle="1" w:styleId="111">
    <w:name w:val="四层"/>
    <w:basedOn w:val="53"/>
    <w:link w:val="114"/>
    <w:qFormat/>
    <w:uiPriority w:val="0"/>
    <w:pPr>
      <w:numPr>
        <w:ilvl w:val="3"/>
        <w:numId w:val="1"/>
      </w:numPr>
      <w:ind w:left="1785"/>
    </w:pPr>
    <w:rPr>
      <w:rFonts w:ascii="黑体" w:hAnsi="黑体"/>
      <w:b w:val="0"/>
      <w:sz w:val="18"/>
      <w:szCs w:val="18"/>
    </w:rPr>
  </w:style>
  <w:style w:type="character" w:customStyle="1" w:styleId="112">
    <w:name w:val="三层 Char"/>
    <w:basedOn w:val="108"/>
    <w:link w:val="97"/>
    <w:qFormat/>
    <w:uiPriority w:val="0"/>
    <w:rPr>
      <w:rFonts w:ascii="黑体" w:hAnsi="黑体" w:eastAsia="黑体"/>
      <w:b w:val="0"/>
      <w:sz w:val="18"/>
      <w:szCs w:val="18"/>
    </w:rPr>
  </w:style>
  <w:style w:type="paragraph" w:customStyle="1" w:styleId="113">
    <w:name w:val="五层"/>
    <w:basedOn w:val="53"/>
    <w:link w:val="116"/>
    <w:qFormat/>
    <w:uiPriority w:val="0"/>
    <w:pPr>
      <w:numPr>
        <w:ilvl w:val="4"/>
        <w:numId w:val="1"/>
      </w:numPr>
    </w:pPr>
    <w:rPr>
      <w:rFonts w:ascii="黑体" w:hAnsi="黑体"/>
      <w:b w:val="0"/>
      <w:sz w:val="18"/>
      <w:szCs w:val="18"/>
    </w:rPr>
  </w:style>
  <w:style w:type="character" w:customStyle="1" w:styleId="114">
    <w:name w:val="四层 Char"/>
    <w:basedOn w:val="108"/>
    <w:link w:val="111"/>
    <w:qFormat/>
    <w:uiPriority w:val="0"/>
    <w:rPr>
      <w:rFonts w:ascii="黑体" w:hAnsi="黑体" w:eastAsia="黑体"/>
      <w:b w:val="0"/>
      <w:sz w:val="18"/>
      <w:szCs w:val="18"/>
    </w:rPr>
  </w:style>
  <w:style w:type="paragraph" w:customStyle="1" w:styleId="115">
    <w:name w:val="六层"/>
    <w:basedOn w:val="53"/>
    <w:link w:val="117"/>
    <w:qFormat/>
    <w:uiPriority w:val="0"/>
    <w:pPr>
      <w:numPr>
        <w:ilvl w:val="5"/>
        <w:numId w:val="1"/>
      </w:numPr>
    </w:pPr>
    <w:rPr>
      <w:rFonts w:ascii="黑体" w:hAnsi="黑体"/>
      <w:b w:val="0"/>
      <w:sz w:val="18"/>
      <w:szCs w:val="18"/>
    </w:rPr>
  </w:style>
  <w:style w:type="character" w:customStyle="1" w:styleId="116">
    <w:name w:val="五层 Char"/>
    <w:basedOn w:val="108"/>
    <w:link w:val="113"/>
    <w:qFormat/>
    <w:uiPriority w:val="0"/>
    <w:rPr>
      <w:rFonts w:ascii="黑体" w:hAnsi="黑体" w:eastAsia="黑体"/>
      <w:b w:val="0"/>
      <w:sz w:val="18"/>
      <w:szCs w:val="18"/>
    </w:rPr>
  </w:style>
  <w:style w:type="character" w:customStyle="1" w:styleId="117">
    <w:name w:val="六层 Char"/>
    <w:basedOn w:val="108"/>
    <w:link w:val="115"/>
    <w:qFormat/>
    <w:uiPriority w:val="0"/>
    <w:rPr>
      <w:rFonts w:ascii="黑体" w:hAnsi="黑体" w:eastAsia="黑体"/>
      <w:b w:val="0"/>
      <w:sz w:val="18"/>
      <w:szCs w:val="18"/>
    </w:rPr>
  </w:style>
  <w:style w:type="paragraph" w:customStyle="1" w:styleId="118">
    <w:name w:val="2层"/>
    <w:basedOn w:val="107"/>
    <w:link w:val="120"/>
    <w:qFormat/>
    <w:uiPriority w:val="0"/>
  </w:style>
  <w:style w:type="paragraph" w:customStyle="1" w:styleId="119">
    <w:name w:val="1层"/>
    <w:basedOn w:val="106"/>
    <w:link w:val="121"/>
    <w:qFormat/>
    <w:uiPriority w:val="0"/>
  </w:style>
  <w:style w:type="character" w:customStyle="1" w:styleId="120">
    <w:name w:val="2层 Char"/>
    <w:basedOn w:val="109"/>
    <w:link w:val="118"/>
    <w:qFormat/>
    <w:uiPriority w:val="0"/>
    <w:rPr>
      <w:rFonts w:ascii="黑体" w:hAnsi="黑体" w:eastAsia="黑体"/>
      <w:bCs/>
      <w:kern w:val="2"/>
      <w:sz w:val="21"/>
      <w:szCs w:val="21"/>
    </w:rPr>
  </w:style>
  <w:style w:type="character" w:customStyle="1" w:styleId="121">
    <w:name w:val="1层 Char"/>
    <w:basedOn w:val="109"/>
    <w:link w:val="119"/>
    <w:qFormat/>
    <w:uiPriority w:val="0"/>
    <w:rPr>
      <w:rFonts w:ascii="黑体" w:hAnsi="黑体" w:eastAsia="黑体"/>
      <w:sz w:val="18"/>
      <w:szCs w:val="21"/>
    </w:rPr>
  </w:style>
  <w:style w:type="character" w:customStyle="1" w:styleId="122">
    <w:name w:val="3层 Char"/>
    <w:basedOn w:val="110"/>
    <w:link w:val="96"/>
    <w:qFormat/>
    <w:uiPriority w:val="0"/>
    <w:rPr>
      <w:rFonts w:ascii="黑体" w:hAnsi="黑体" w:eastAsia="黑体"/>
      <w:bCs w:val="0"/>
      <w:kern w:val="2"/>
      <w:sz w:val="21"/>
      <w:szCs w:val="18"/>
    </w:rPr>
  </w:style>
  <w:style w:type="character" w:customStyle="1" w:styleId="123">
    <w:name w:val="lefter2"/>
    <w:qFormat/>
    <w:uiPriority w:val="0"/>
  </w:style>
  <w:style w:type="paragraph" w:customStyle="1" w:styleId="124">
    <w:name w:val="Char Char1"/>
    <w:basedOn w:val="1"/>
    <w:uiPriority w:val="0"/>
    <w:pPr>
      <w:widowControl/>
      <w:spacing w:after="160" w:line="240" w:lineRule="exact"/>
      <w:jc w:val="left"/>
    </w:pPr>
    <w:rPr>
      <w:rFonts w:ascii="Verdana" w:hAnsi="Verdana"/>
      <w:kern w:val="0"/>
      <w:sz w:val="20"/>
      <w:szCs w:val="20"/>
      <w:lang w:eastAsia="en-US"/>
    </w:rPr>
  </w:style>
  <w:style w:type="paragraph" w:customStyle="1" w:styleId="125">
    <w:name w:val="Char Char2"/>
    <w:basedOn w:val="1"/>
    <w:qFormat/>
    <w:uiPriority w:val="0"/>
    <w:pPr>
      <w:widowControl/>
      <w:spacing w:after="160" w:line="240" w:lineRule="exact"/>
      <w:jc w:val="left"/>
    </w:pPr>
    <w:rPr>
      <w:rFonts w:ascii="Verdana" w:hAnsi="Verdana"/>
      <w:kern w:val="0"/>
      <w:sz w:val="20"/>
      <w:szCs w:val="20"/>
      <w:lang w:eastAsia="en-US"/>
    </w:rPr>
  </w:style>
  <w:style w:type="character" w:customStyle="1" w:styleId="126">
    <w:name w:val="正文文本缩进 2 字符"/>
    <w:basedOn w:val="38"/>
    <w:link w:val="21"/>
    <w:qFormat/>
    <w:uiPriority w:val="0"/>
    <w:rPr>
      <w:rFonts w:ascii="宋体" w:hAnsi="宋体"/>
      <w:kern w:val="2"/>
      <w:sz w:val="28"/>
      <w:szCs w:val="24"/>
    </w:rPr>
  </w:style>
  <w:style w:type="character" w:customStyle="1" w:styleId="127">
    <w:name w:val="lemmatitleh11"/>
    <w:basedOn w:val="38"/>
    <w:qFormat/>
    <w:uiPriority w:val="0"/>
  </w:style>
  <w:style w:type="character" w:customStyle="1" w:styleId="128">
    <w:name w:val="bluetxt1"/>
    <w:qFormat/>
    <w:uiPriority w:val="0"/>
  </w:style>
  <w:style w:type="character" w:customStyle="1" w:styleId="129">
    <w:name w:val="topic"/>
    <w:qFormat/>
    <w:uiPriority w:val="0"/>
  </w:style>
  <w:style w:type="character" w:customStyle="1" w:styleId="130">
    <w:name w:val="无间隔 字符"/>
    <w:basedOn w:val="38"/>
    <w:link w:val="55"/>
    <w:qFormat/>
    <w:uiPriority w:val="1"/>
    <w:rPr>
      <w:rFonts w:ascii="Times New Roman" w:hAnsi="Times New Roman"/>
      <w:kern w:val="2"/>
      <w:sz w:val="21"/>
      <w:szCs w:val="24"/>
    </w:rPr>
  </w:style>
  <w:style w:type="table" w:customStyle="1" w:styleId="131">
    <w:name w:val="网格型1"/>
    <w:basedOn w:val="36"/>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2">
    <w:name w:val="Table Paragraph"/>
    <w:basedOn w:val="1"/>
    <w:qFormat/>
    <w:uiPriority w:val="1"/>
    <w:pPr>
      <w:autoSpaceDE w:val="0"/>
      <w:autoSpaceDN w:val="0"/>
      <w:adjustRightInd w:val="0"/>
      <w:jc w:val="left"/>
    </w:pPr>
    <w:rPr>
      <w:rFonts w:ascii="宋体" w:eastAsia="宋体" w:cs="宋体"/>
      <w:kern w:val="0"/>
      <w:sz w:val="24"/>
    </w:rPr>
  </w:style>
  <w:style w:type="table" w:customStyle="1" w:styleId="133">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34">
    <w:name w:val="_Style 126"/>
    <w:basedOn w:val="1"/>
    <w:next w:val="49"/>
    <w:qFormat/>
    <w:uiPriority w:val="34"/>
    <w:pPr>
      <w:autoSpaceDE w:val="0"/>
      <w:autoSpaceDN w:val="0"/>
      <w:adjustRightInd w:val="0"/>
      <w:ind w:firstLine="420" w:firstLineChars="200"/>
      <w:jc w:val="left"/>
    </w:pPr>
    <w:rPr>
      <w:rFonts w:ascii="Dutch801 Rm BT" w:hAnsi="Dutch801 Rm BT" w:eastAsia="等线"/>
      <w:kern w:val="0"/>
      <w:sz w:val="20"/>
      <w:lang w:eastAsia="zh-TW"/>
    </w:rPr>
  </w:style>
  <w:style w:type="paragraph" w:customStyle="1" w:styleId="135">
    <w:name w:val="条"/>
    <w:basedOn w:val="1"/>
    <w:qFormat/>
    <w:uiPriority w:val="0"/>
    <w:pPr>
      <w:spacing w:line="360" w:lineRule="auto"/>
    </w:pPr>
    <w:rPr>
      <w:rFonts w:eastAsia="宋体"/>
      <w:bCs/>
      <w:sz w:val="24"/>
    </w:rPr>
  </w:style>
  <w:style w:type="paragraph" w:customStyle="1" w:styleId="136">
    <w:name w:val="条缩进"/>
    <w:basedOn w:val="1"/>
    <w:qFormat/>
    <w:uiPriority w:val="0"/>
    <w:pPr>
      <w:spacing w:line="360" w:lineRule="auto"/>
      <w:ind w:firstLine="480" w:firstLineChars="200"/>
    </w:pPr>
    <w:rPr>
      <w:rFonts w:eastAsia="宋体"/>
      <w:sz w:val="24"/>
    </w:rPr>
  </w:style>
  <w:style w:type="paragraph" w:customStyle="1" w:styleId="137">
    <w:name w:val="节"/>
    <w:basedOn w:val="1"/>
    <w:qFormat/>
    <w:uiPriority w:val="0"/>
    <w:pPr>
      <w:spacing w:before="156" w:beforeLines="50" w:after="156" w:afterLines="50"/>
      <w:jc w:val="center"/>
      <w:outlineLvl w:val="1"/>
    </w:pPr>
    <w:rPr>
      <w:rFonts w:eastAsia="宋体"/>
      <w:b/>
      <w:bCs/>
      <w:sz w:val="24"/>
    </w:rPr>
  </w:style>
  <w:style w:type="paragraph" w:customStyle="1" w:styleId="138">
    <w:name w:val="款"/>
    <w:basedOn w:val="1"/>
    <w:qFormat/>
    <w:uiPriority w:val="0"/>
    <w:pPr>
      <w:spacing w:line="360" w:lineRule="auto"/>
      <w:ind w:firstLine="480" w:firstLineChars="200"/>
    </w:pPr>
    <w:rPr>
      <w:rFonts w:eastAsia="宋体"/>
      <w:sz w:val="24"/>
    </w:rPr>
  </w:style>
  <w:style w:type="paragraph" w:customStyle="1" w:styleId="139">
    <w:name w:val="项"/>
    <w:basedOn w:val="1"/>
    <w:qFormat/>
    <w:uiPriority w:val="0"/>
    <w:pPr>
      <w:spacing w:line="360" w:lineRule="auto"/>
      <w:ind w:left="990" w:leftChars="300" w:hanging="360" w:hangingChars="150"/>
    </w:pPr>
    <w:rPr>
      <w:rFonts w:eastAsia="宋体"/>
      <w:sz w:val="24"/>
    </w:rPr>
  </w:style>
  <w:style w:type="paragraph" w:customStyle="1" w:styleId="140">
    <w:name w:val="章"/>
    <w:basedOn w:val="1"/>
    <w:qFormat/>
    <w:uiPriority w:val="0"/>
    <w:pPr>
      <w:spacing w:before="624" w:beforeLines="200" w:after="624" w:afterLines="200"/>
      <w:jc w:val="center"/>
      <w:outlineLvl w:val="0"/>
    </w:pPr>
    <w:rPr>
      <w:rFonts w:eastAsia="宋体"/>
      <w:b/>
      <w:bCs/>
      <w:sz w:val="28"/>
      <w:szCs w:val="28"/>
    </w:rPr>
  </w:style>
  <w:style w:type="character" w:customStyle="1" w:styleId="141">
    <w:name w:val="Unresolved Mention"/>
    <w:basedOn w:val="38"/>
    <w:semiHidden/>
    <w:unhideWhenUsed/>
    <w:qFormat/>
    <w:uiPriority w:val="99"/>
    <w:rPr>
      <w:color w:val="605E5C"/>
      <w:shd w:val="clear" w:color="auto" w:fill="E1DFDD"/>
    </w:rPr>
  </w:style>
  <w:style w:type="character" w:customStyle="1" w:styleId="142">
    <w:name w:val="fw2"/>
    <w:basedOn w:val="3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0" Type="http://schemas.openxmlformats.org/officeDocument/2006/relationships/fontTable" Target="fontTable.xml"/><Relationship Id="rId7" Type="http://schemas.openxmlformats.org/officeDocument/2006/relationships/footer" Target="footer5.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49.png"/><Relationship Id="rId65" Type="http://schemas.openxmlformats.org/officeDocument/2006/relationships/image" Target="media/image48.pn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file:///C:\Users\L00656468\AppData\Roaming\eSpace_Desktop\UserData\l00656468\imagefiles\originalImgfiles\4D99AA53-4740-4452-9DC3-C6A0F6FA9617.png" TargetMode="External"/><Relationship Id="rId60" Type="http://schemas.openxmlformats.org/officeDocument/2006/relationships/image" Target="media/image44.png"/><Relationship Id="rId6" Type="http://schemas.openxmlformats.org/officeDocument/2006/relationships/footer" Target="footer4.xml"/><Relationship Id="rId59" Type="http://schemas.openxmlformats.org/officeDocument/2006/relationships/image" Target="media/image43.png"/><Relationship Id="rId58" Type="http://schemas.openxmlformats.org/officeDocument/2006/relationships/image" Target="media/image42.jpe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3.xml"/><Relationship Id="rId49" Type="http://schemas.openxmlformats.org/officeDocument/2006/relationships/image" Target="media/image33.png"/><Relationship Id="rId48" Type="http://schemas.openxmlformats.org/officeDocument/2006/relationships/image" Target="media/image32.jpe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jpe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http://www.gzaac.com/images2/1-4.jpg" TargetMode="External"/><Relationship Id="rId18" Type="http://schemas.openxmlformats.org/officeDocument/2006/relationships/image" Target="media/image3.jpeg"/><Relationship Id="rId17" Type="http://schemas.openxmlformats.org/officeDocument/2006/relationships/image" Target="http://www.gzaac.com/images2/1-3.jpg" TargetMode="External"/><Relationship Id="rId16" Type="http://schemas.openxmlformats.org/officeDocument/2006/relationships/image" Target="media/image2.jpeg"/><Relationship Id="rId15" Type="http://schemas.openxmlformats.org/officeDocument/2006/relationships/image" Target="http://www.gzaac.com/images2/1-2.jpg" TargetMode="Externa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F30C78-1A21-4E36-B30D-18BDAA7EC791}">
  <ds:schemaRefs/>
</ds:datastoreItem>
</file>

<file path=docProps/app.xml><?xml version="1.0" encoding="utf-8"?>
<Properties xmlns="http://schemas.openxmlformats.org/officeDocument/2006/extended-properties" xmlns:vt="http://schemas.openxmlformats.org/officeDocument/2006/docPropsVTypes">
  <Template>Normal.dotm</Template>
  <Pages>167</Pages>
  <Words>2581</Words>
  <Characters>3019</Characters>
  <Lines>1026</Lines>
  <Paragraphs>288</Paragraphs>
  <TotalTime>17</TotalTime>
  <ScaleCrop>false</ScaleCrop>
  <LinksUpToDate>false</LinksUpToDate>
  <CharactersWithSpaces>3496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2024-08-28T10:00:00Z</dcterms:created>
  <dc:creator>nikko</dc:creator>
  <cp:lastModifiedBy>张圣邦</cp:lastModifiedBy>
  <cp:lastPrinted>2017-11-15T08:22:00Z</cp:lastPrinted>
  <dcterms:modified xsi:type="dcterms:W3CDTF">2025-10-24T07:00:20Z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(3)iK4sjFKmC0Blugo6Q5EUlNNOUBKIie0zNfmiFvwiuwNHuwR5eiTAhmjZZg7Qv3YIKOGiLwhz
qhZ8mFvBkv7YhRj8EOagYnLRYoIRQ4oFiiTsdWUhK4ZsoZzYAy8hH/2465LargiOhgDEdcPI
FDS3p11W74AS4wZk70I0gvn8X0uJbafqygwrRDe7v9X3v+mKghhw/+u5y5EGhyShsF+BCRfq
GBsGrPRUV24Wke6qaI</vt:lpwstr>
  </property>
  <property fmtid="{D5CDD505-2E9C-101B-9397-08002B2CF9AE}" pid="3" name="_new_ms_pID_725431">
    <vt:lpwstr>SrqiWuUy9aNH3lhdpHpyy1oX7jLyDMh0kVNbt9aiAmTBFxkXNWPM9t
h3BM39iC1zIYTOrslhBhA9Z53U9aqa7uF02HIJIzEa3ONK9B0mT4QGASnOsZlZa9gFJQFUwt
X7CORkE0SXa422uFu50HwjrwhwdPvlP3Fztjh1nvlUk2AUuLfwkrKpifWqjI3XtRUa1cL7AO
/1fU2kAcm8wE4ip6SK8PJvNNPTqd7pJlsqNd</vt:lpwstr>
  </property>
  <property fmtid="{D5CDD505-2E9C-101B-9397-08002B2CF9AE}" pid="4" name="_new_ms_pID_725432">
    <vt:lpwstr>WOyC/mpYfLfvkzHcL1w8xHAgy2kD+J06sNfq
3ttMDaQAcyuWcWi40mZfm72tqus00mywWQDlFBIYw9GAqJeUSnxPbZDfauWRB2D3ymSxBL7f
D4mZ3WPiXFeXRFAMDCnM4LyDGJ5FN32ZOyIMkG4T5ug=</vt:lpwstr>
  </property>
  <property fmtid="{D5CDD505-2E9C-101B-9397-08002B2CF9AE}" pid="5" name="_2015_ms_pID_725343">
    <vt:lpwstr>(3)SDz9OtbrLVG8Fzr0fOdiiAgYppnyaLugyLwAQmDfmEiPWiuzVL1ZL/Fia4h3XYbo7IL/nRx+
p1QNdlBScxr09UGK2BRVXaG7MW3MbChYswmzo3b4xcOrdctliGhO922NpBDHboZqX5oBQiMO
TOBZ6fLkanvf6XE/0PmbHEq3soce580R1rq/eQPfwZcsvFIBm9FWdL4JvBhg+nYjeNQXpPds
b5J05f8rRmxC3QPUcz</vt:lpwstr>
  </property>
  <property fmtid="{D5CDD505-2E9C-101B-9397-08002B2CF9AE}" pid="6" name="_2015_ms_pID_7253431">
    <vt:lpwstr>WFCgM7g4xr6Bm1VfRKr+FBz1Ii7aqFCesSCW2GtiKGJ35EpGXkA0qP
lWzYIwGD2avdhLcVR4Xve+J04FU+H3XLr2/IpA4q1IK0K8V4kbe5xUb5yy3I+1lt4V6RDe7I
gMfbago94iTvnePhknxk0SGJhXKjIkJI6GNRJo6IgYB+rR4mfkNxmQd5PTex21z+MD5vu2yb
tx9moI1R91COLWjzvdcgX67WLiSCiiYHNAYY</vt:lpwstr>
  </property>
  <property fmtid="{D5CDD505-2E9C-101B-9397-08002B2CF9AE}" pid="7" name="_2015_ms_pID_7253432">
    <vt:lpwstr>7A==</vt:lpwstr>
  </property>
  <property fmtid="{D5CDD505-2E9C-101B-9397-08002B2CF9AE}" pid="8" name="KSOProductBuildVer">
    <vt:lpwstr>2052-12.1.0.23125</vt:lpwstr>
  </property>
  <property fmtid="{D5CDD505-2E9C-101B-9397-08002B2CF9AE}" pid="9" name="ICV">
    <vt:lpwstr>56DD3106EF174CB9AFBF97162CC2C3F4_13</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1761265162</vt:lpwstr>
  </property>
  <property fmtid="{D5CDD505-2E9C-101B-9397-08002B2CF9AE}" pid="14" name="KSOTemplateDocerSaveRecord">
    <vt:lpwstr>eyJoZGlkIjoiMTNjMTEyMzQ5ODU3M2FiODNlYTgyNGEzNTk0MzA1MGYiLCJ1c2VySWQiOiIyOTA1NjYzNTcifQ==</vt:lpwstr>
  </property>
</Properties>
</file>