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88430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 w:bidi="ar-SA"/>
        </w:rPr>
        <w:t>以下内容禁止转载或擅自修改编辑后发布，否则将依法追究侵权人侵犯著作权法律责任。</w:t>
      </w:r>
    </w:p>
    <w:p w14:paraId="00DBF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highlight w:val="none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highlight w:val="none"/>
          <w:lang w:val="en-US" w:eastAsia="zh-CN"/>
        </w:rPr>
        <w:t>国网福建电力莆田供电公司2025年原集体企业第一次物资授权公开竞争性谈判采购</w:t>
      </w:r>
      <w:bookmarkEnd w:id="0"/>
    </w:p>
    <w:p w14:paraId="113363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360" w:lineRule="auto"/>
        <w:jc w:val="center"/>
        <w:textAlignment w:val="auto"/>
        <w:outlineLvl w:val="0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highlight w:val="none"/>
          <w:lang w:val="en-US" w:eastAsia="zh-CN"/>
        </w:rPr>
        <w:t>采购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highlight w:val="none"/>
        </w:rPr>
        <w:t>推荐的成交候选人公示</w:t>
      </w:r>
    </w:p>
    <w:p w14:paraId="34134C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highlight w:val="none"/>
          <w:lang w:val="en-US" w:eastAsia="zh-CN"/>
        </w:rPr>
        <w:t>（采购项目编号：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highlight w:val="none"/>
          <w:lang w:val="en-US" w:eastAsia="zh-CN"/>
        </w:rPr>
        <w:t>CY1325S2101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highlight w:val="none"/>
          <w:lang w:val="en-US" w:eastAsia="zh-CN"/>
        </w:rPr>
        <w:t>）</w:t>
      </w:r>
    </w:p>
    <w:p w14:paraId="40330F52">
      <w:pPr>
        <w:keepNext w:val="0"/>
        <w:keepLines w:val="0"/>
        <w:pageBreakBefore w:val="0"/>
        <w:kinsoku/>
        <w:wordWrap/>
        <w:topLinePunct w:val="0"/>
        <w:bidi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各相关应答人：</w:t>
      </w:r>
    </w:p>
    <w:p w14:paraId="19A5E2C4">
      <w:pPr>
        <w:keepNext w:val="0"/>
        <w:keepLines w:val="0"/>
        <w:pageBreakBefore w:val="0"/>
        <w:kinsoku/>
        <w:wordWrap/>
        <w:topLinePunct w:val="0"/>
        <w:bidi w:val="0"/>
        <w:snapToGrid w:val="0"/>
        <w:spacing w:line="360" w:lineRule="auto"/>
        <w:ind w:left="0" w:leftChars="0" w:firstLine="367" w:firstLineChars="175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国网福建电力莆田供电公司2025年原集体企业第一次物资授权公开竞争性谈判采购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评审工作已经结束，现将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评审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推荐的成交候选人予以公示，公示期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。应答人或者其他利害关系人若对评审结果有异议的，请在成交候选人公示期间以书面形式提出。</w:t>
      </w:r>
    </w:p>
    <w:tbl>
      <w:tblPr>
        <w:tblStyle w:val="6"/>
        <w:tblW w:w="5305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"/>
        <w:gridCol w:w="776"/>
        <w:gridCol w:w="513"/>
        <w:gridCol w:w="2637"/>
        <w:gridCol w:w="950"/>
        <w:gridCol w:w="700"/>
        <w:gridCol w:w="1096"/>
        <w:gridCol w:w="762"/>
        <w:gridCol w:w="841"/>
        <w:gridCol w:w="790"/>
        <w:gridCol w:w="877"/>
      </w:tblGrid>
      <w:tr w14:paraId="481656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CA8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105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分标编号</w:t>
            </w:r>
          </w:p>
        </w:tc>
        <w:tc>
          <w:tcPr>
            <w:tcW w:w="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7FF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包号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023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包项目名称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968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推荐的成交候选人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D64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推荐排序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5E9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  <w:t>应答报价</w:t>
            </w:r>
          </w:p>
          <w:p w14:paraId="52C253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  <w:t>（万元）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5D3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  <w:t>质量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971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交货期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185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资格能力条件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2A1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评审情况</w:t>
            </w:r>
          </w:p>
        </w:tc>
      </w:tr>
      <w:tr w14:paraId="5F757F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A30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128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CY1325S2101-1701020-3099</w:t>
            </w: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6B8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包1</w:t>
            </w:r>
          </w:p>
        </w:tc>
        <w:tc>
          <w:tcPr>
            <w:tcW w:w="2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2A8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莆田市电力工程有限公司福建莆田东进~栖枫双回路工程等6个工程用混凝土材料采购项目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A2D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福建市建混凝土有限公司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198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061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1536.8896（折扣率99.7%）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DF3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满足采购文件要求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EAA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满足采购文件要求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1FB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满足采购文件要求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451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综合排序第一名</w:t>
            </w:r>
          </w:p>
        </w:tc>
      </w:tr>
      <w:tr w14:paraId="6CA199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BDC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17F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CY1325S2101-1602008-3099</w:t>
            </w: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6D5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包1</w:t>
            </w:r>
          </w:p>
        </w:tc>
        <w:tc>
          <w:tcPr>
            <w:tcW w:w="2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6FA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莆田市电力工程有限公司海水提取氯化钾项目供配电外线工程等13个工程用圆钢、螺纹钢材料采购项目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875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山东素月金属结构有限公司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465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144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538.156123（折扣率94%）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897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满足采购文件要求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43C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满足采购文件要求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0D5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满足采购文件要求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533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综合排序第一名</w:t>
            </w:r>
          </w:p>
        </w:tc>
      </w:tr>
      <w:tr w14:paraId="2A7FCD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D12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D8C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CY1325S2101-1701001-3099</w:t>
            </w: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64D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包1</w:t>
            </w:r>
          </w:p>
        </w:tc>
        <w:tc>
          <w:tcPr>
            <w:tcW w:w="2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8DC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海水提取氯化钾项目供配电外线工程等7个工程用水泥材料采购项目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439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福州市高达丰贸易有限公司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831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4D6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28.069716（折扣率94%）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58C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满足采购文件要求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AD2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满足采购文件要求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9DC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满足采购文件要求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CD9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综合排序第一名</w:t>
            </w:r>
          </w:p>
        </w:tc>
      </w:tr>
    </w:tbl>
    <w:p w14:paraId="6194C86C"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/>
        <w:snapToGrid w:val="0"/>
        <w:spacing w:line="360" w:lineRule="auto"/>
        <w:ind w:left="0" w:leftChars="0" w:firstLine="367" w:firstLineChars="175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应答人对以上结果如有异议，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可以在成交候选人公示期间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，向采购人提出。</w:t>
      </w:r>
    </w:p>
    <w:p w14:paraId="5AE7F640"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/>
        <w:snapToGrid w:val="0"/>
        <w:spacing w:line="360" w:lineRule="auto"/>
        <w:ind w:left="0" w:leftChars="0" w:firstLine="367" w:firstLineChars="175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根据招标投标法及相关法规规定，应答人和直接参与并且与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活动有着直接利害关系的当事人有异议的，有权依法进行异议，提出异议时应注意以下事项：</w:t>
      </w:r>
    </w:p>
    <w:p w14:paraId="6A6D75FE"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/>
        <w:snapToGrid w:val="0"/>
        <w:spacing w:line="360" w:lineRule="auto"/>
        <w:ind w:left="0" w:leftChars="0" w:firstLine="367" w:firstLineChars="175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异议必须在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成交候选人公示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结束前以书面形式提出。 </w:t>
      </w:r>
    </w:p>
    <w:p w14:paraId="20778AD6"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/>
        <w:snapToGrid w:val="0"/>
        <w:spacing w:line="360" w:lineRule="auto"/>
        <w:ind w:left="0" w:leftChars="0" w:firstLine="367" w:firstLineChars="175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应当提交异议书，并包括下列内容： </w:t>
      </w:r>
    </w:p>
    <w:p w14:paraId="0F3E2D73"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/>
        <w:snapToGrid w:val="0"/>
        <w:spacing w:line="360" w:lineRule="auto"/>
        <w:ind w:left="0" w:leftChars="0" w:firstLine="367" w:firstLineChars="175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（1）异议人的名称、地址、联系人及有效联系方式；</w:t>
      </w:r>
    </w:p>
    <w:p w14:paraId="4FB4CDE2"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/>
        <w:snapToGrid w:val="0"/>
        <w:spacing w:line="360" w:lineRule="auto"/>
        <w:ind w:left="0" w:leftChars="0" w:firstLine="367" w:firstLineChars="175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（2）被异议人的名称； </w:t>
      </w:r>
    </w:p>
    <w:p w14:paraId="7FEFD38E"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/>
        <w:snapToGrid w:val="0"/>
        <w:spacing w:line="360" w:lineRule="auto"/>
        <w:ind w:left="0" w:leftChars="0" w:firstLine="367" w:firstLineChars="175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（3）异议事项的基本事实； </w:t>
      </w:r>
    </w:p>
    <w:p w14:paraId="54CAC995"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/>
        <w:snapToGrid w:val="0"/>
        <w:spacing w:line="360" w:lineRule="auto"/>
        <w:ind w:left="0" w:leftChars="0" w:firstLine="367" w:firstLineChars="175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（4）有效线索和相关证明材料。</w:t>
      </w:r>
    </w:p>
    <w:p w14:paraId="03995638"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/>
        <w:snapToGrid w:val="0"/>
        <w:spacing w:line="360" w:lineRule="auto"/>
        <w:ind w:left="0" w:leftChars="0" w:firstLine="367" w:firstLineChars="175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3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异议人为法人的，异议书必须由其法定代表人或者授权代表签字并加盖公章，同时还需提交授权委托书；异议人为个人的，异议书必须由异议人本人签字，并附有效身份证明，由本人提交。 </w:t>
      </w:r>
    </w:p>
    <w:p w14:paraId="0E3BF944"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/>
        <w:snapToGrid w:val="0"/>
        <w:spacing w:line="360" w:lineRule="auto"/>
        <w:ind w:left="0" w:leftChars="0" w:firstLine="367" w:firstLineChars="175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4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下列异议将不予接收：</w:t>
      </w:r>
    </w:p>
    <w:p w14:paraId="3791D575"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/>
        <w:snapToGrid w:val="0"/>
        <w:spacing w:line="360" w:lineRule="auto"/>
        <w:ind w:left="0" w:leftChars="0" w:firstLine="367" w:firstLineChars="175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（1）在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成交候选人公示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结束后提出的；</w:t>
      </w:r>
    </w:p>
    <w:p w14:paraId="6893219F"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/>
        <w:snapToGrid w:val="0"/>
        <w:spacing w:line="360" w:lineRule="auto"/>
        <w:ind w:left="0" w:leftChars="0" w:firstLine="367" w:firstLineChars="175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（2）异议人不能证明是所异议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活动的应答人和直接参与并且与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活动有着直接利害关系的当事人；</w:t>
      </w:r>
    </w:p>
    <w:p w14:paraId="7B41CCE0"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/>
        <w:snapToGrid w:val="0"/>
        <w:spacing w:line="360" w:lineRule="auto"/>
        <w:ind w:left="0" w:leftChars="0" w:firstLine="367" w:firstLineChars="175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（3）异议事项不具体，且未提供有效线索，难以查证的；</w:t>
      </w:r>
    </w:p>
    <w:p w14:paraId="0067EF11"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/>
        <w:snapToGrid w:val="0"/>
        <w:spacing w:line="360" w:lineRule="auto"/>
        <w:ind w:left="0" w:leftChars="0" w:firstLine="367" w:firstLineChars="175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（4）对异议事项已经答复，且异议人没有提出新的证据的。</w:t>
      </w:r>
    </w:p>
    <w:p w14:paraId="6F7274A1"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/>
        <w:snapToGrid w:val="0"/>
        <w:spacing w:line="360" w:lineRule="auto"/>
        <w:ind w:left="0" w:leftChars="0" w:firstLine="367" w:firstLineChars="175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5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异议人不得以异议为名排挤竞争对手，进行虚假、恶意异议，阻碍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活动的正常进行。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 xml:space="preserve"> </w:t>
      </w:r>
    </w:p>
    <w:p w14:paraId="12066C8F"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/>
        <w:snapToGrid w:val="0"/>
        <w:spacing w:line="360" w:lineRule="auto"/>
        <w:ind w:left="0" w:leftChars="0" w:firstLine="367" w:firstLineChars="175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  <w:lang w:val="en-US" w:eastAsia="zh-CN"/>
        </w:rPr>
        <w:t>6、联系方式</w:t>
      </w:r>
    </w:p>
    <w:p w14:paraId="11111A1D"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/>
        <w:snapToGrid w:val="0"/>
        <w:spacing w:line="360" w:lineRule="auto"/>
        <w:ind w:left="0" w:leftChars="0" w:firstLine="367" w:firstLineChars="175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highlight w:val="none"/>
        </w:rPr>
        <w:t>福建榕卫招标有限公司</w:t>
      </w:r>
    </w:p>
    <w:p w14:paraId="5AABE71B"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/>
        <w:snapToGrid w:val="0"/>
        <w:spacing w:line="360" w:lineRule="auto"/>
        <w:ind w:left="0" w:leftChars="0" w:firstLine="367" w:firstLineChars="175"/>
        <w:rPr>
          <w:rFonts w:hint="default" w:ascii="宋体" w:hAnsi="宋体" w:eastAsia="宋体" w:cs="宋体"/>
          <w:b w:val="0"/>
          <w:bCs w:val="0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highlight w:val="none"/>
          <w:lang w:val="en-US" w:eastAsia="zh-CN"/>
        </w:rPr>
        <w:t>联系电话：吴工13305002989</w:t>
      </w:r>
    </w:p>
    <w:p w14:paraId="3BCD37AB"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/>
        <w:snapToGrid w:val="0"/>
        <w:spacing w:line="360" w:lineRule="auto"/>
        <w:ind w:left="0" w:leftChars="0" w:firstLine="367" w:firstLineChars="175"/>
        <w:rPr>
          <w:rFonts w:hint="default" w:ascii="宋体" w:hAnsi="宋体" w:eastAsia="宋体" w:cs="宋体"/>
          <w:b w:val="0"/>
          <w:bCs w:val="0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highlight w:val="none"/>
          <w:lang w:val="en-US" w:eastAsia="zh-CN"/>
        </w:rPr>
        <w:t>联系邮箱：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highlight w:val="none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highlight w:val="none"/>
          <w:lang w:val="en-US" w:eastAsia="zh-CN"/>
        </w:rPr>
        <w:instrText xml:space="preserve"> HYPERLINK "mailto:rwzb315@163.com" </w:instrTex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highlight w:val="none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highlight w:val="none"/>
          <w:lang w:val="en-US" w:eastAsia="zh-CN"/>
        </w:rPr>
        <w:t>rwzb905@163.com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highlight w:val="none"/>
          <w:lang w:val="en-US" w:eastAsia="zh-CN"/>
        </w:rPr>
        <w:fldChar w:fldCharType="end"/>
      </w:r>
    </w:p>
    <w:p w14:paraId="7BFDD051">
      <w:pPr>
        <w:pStyle w:val="2"/>
        <w:keepNext w:val="0"/>
        <w:keepLines w:val="0"/>
        <w:pageBreakBefore w:val="0"/>
        <w:widowControl w:val="0"/>
        <w:kinsoku/>
        <w:wordWrap/>
        <w:topLinePunct w:val="0"/>
        <w:bidi w:val="0"/>
        <w:adjustRightInd/>
        <w:snapToGrid w:val="0"/>
        <w:spacing w:line="360" w:lineRule="auto"/>
        <w:ind w:left="0" w:leftChars="0" w:firstLine="4042" w:firstLineChars="1925"/>
        <w:jc w:val="right"/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highlight w:val="none"/>
          <w:lang w:val="en-US" w:eastAsia="zh-CN"/>
        </w:rPr>
        <w:t>2025年7月7日</w:t>
      </w:r>
    </w:p>
    <w:p w14:paraId="4062D6F6">
      <w:pPr>
        <w:rPr>
          <w:rFonts w:hint="default" w:asciiTheme="minorEastAsia" w:hAnsiTheme="minorEastAsia" w:eastAsiaTheme="minorEastAsia" w:cstheme="minorEastAsia"/>
          <w:b/>
          <w:bCs/>
          <w:sz w:val="21"/>
          <w:szCs w:val="21"/>
          <w:highlight w:val="none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/>
          <w:bCs/>
          <w:sz w:val="21"/>
          <w:szCs w:val="21"/>
          <w:highlight w:val="none"/>
          <w:lang w:val="en-US" w:eastAsia="zh-CN"/>
        </w:rPr>
        <w:br w:type="page"/>
      </w:r>
    </w:p>
    <w:p w14:paraId="6B2352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highlight w:val="none"/>
          <w:lang w:val="en-US" w:eastAsia="zh-CN"/>
        </w:rPr>
        <w:t>国网福建电力莆田供电公司2025年原集体企业第一次物资授权公开竞争性谈判采购</w:t>
      </w:r>
    </w:p>
    <w:p w14:paraId="4FA45DEC">
      <w:pPr>
        <w:tabs>
          <w:tab w:val="left" w:pos="3990"/>
        </w:tabs>
        <w:spacing w:line="360" w:lineRule="auto"/>
        <w:jc w:val="center"/>
        <w:outlineLvl w:val="0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highlight w:val="none"/>
          <w:lang w:eastAsia="zh-CN"/>
        </w:rPr>
        <w:t>否决原因公示</w:t>
      </w:r>
    </w:p>
    <w:p w14:paraId="199A97F8"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highlight w:val="none"/>
        </w:rPr>
        <w:t>各相关应答人：</w:t>
      </w:r>
    </w:p>
    <w:p w14:paraId="025ED75F">
      <w:pPr>
        <w:spacing w:line="360" w:lineRule="auto"/>
        <w:ind w:left="0" w:leftChars="0" w:firstLine="367" w:firstLineChars="175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国网福建电力莆田供电公司2025年原集体企业第一次物资授权公开竞争性谈判采购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评审工作已经结束，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现将评审有关主要否决原因公示如下。</w:t>
      </w:r>
    </w:p>
    <w:tbl>
      <w:tblPr>
        <w:tblStyle w:val="6"/>
        <w:tblW w:w="1015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1070"/>
        <w:gridCol w:w="810"/>
        <w:gridCol w:w="5526"/>
        <w:gridCol w:w="1076"/>
        <w:gridCol w:w="1085"/>
      </w:tblGrid>
      <w:tr w14:paraId="5B8C62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DF1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2B8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分标编号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4FE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包号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564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包项目名称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43C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Calibri" w:hAnsi="Calibri" w:eastAsia="宋体" w:cs="Calibri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Calibri" w:hAnsi="Calibri" w:eastAsia="宋体" w:cs="Calibri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未进入详评原因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C063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未实质响应的应答人数量</w:t>
            </w:r>
          </w:p>
        </w:tc>
      </w:tr>
      <w:tr w14:paraId="11971B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C40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8E9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CY1325S2101-1602008-3099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0AF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包1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8DF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莆田市电力工程有限公司海水提取氯化钾项目供配电外线工程等13个工程用圆钢、螺纹钢材料采购项目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4A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失信惩戒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170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</w:tr>
      <w:tr w14:paraId="7CC2C2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8CB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C23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CY1325S2101-1602008-3099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9E7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包1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7B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莆田市电力工程有限公司海水提取氯化钾项目供配电外线工程等13个工程用圆钢、螺纹钢材料采购项目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49D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资格不符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0D2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</w:tr>
    </w:tbl>
    <w:p w14:paraId="123F3A7F">
      <w:pPr>
        <w:pStyle w:val="2"/>
        <w:keepNext w:val="0"/>
        <w:keepLines w:val="0"/>
        <w:pageBreakBefore w:val="0"/>
        <w:widowControl w:val="0"/>
        <w:kinsoku/>
        <w:wordWrap/>
        <w:topLinePunct w:val="0"/>
        <w:bidi w:val="0"/>
        <w:adjustRightInd/>
        <w:snapToGrid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highlight w:val="none"/>
          <w:lang w:val="en-US" w:eastAsia="zh-CN"/>
        </w:rPr>
      </w:pPr>
    </w:p>
    <w:p w14:paraId="43E4761F">
      <w:pPr>
        <w:pStyle w:val="2"/>
        <w:keepNext w:val="0"/>
        <w:keepLines w:val="0"/>
        <w:pageBreakBefore w:val="0"/>
        <w:widowControl w:val="0"/>
        <w:kinsoku/>
        <w:wordWrap/>
        <w:topLinePunct w:val="0"/>
        <w:bidi w:val="0"/>
        <w:adjustRightInd/>
        <w:snapToGrid w:val="0"/>
        <w:spacing w:line="360" w:lineRule="auto"/>
        <w:jc w:val="both"/>
        <w:rPr>
          <w:rFonts w:hint="default" w:asciiTheme="minorEastAsia" w:hAnsiTheme="minorEastAsia" w:eastAsiaTheme="minorEastAsia" w:cstheme="minorEastAsia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highlight w:val="none"/>
          <w:lang w:val="en-US" w:eastAsia="zh-CN"/>
        </w:rPr>
        <w:t>特此公示。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5YjBjMmEzMWY0ZDlmY2JiM2YwMzQzNmFhZDRmYTMifQ=="/>
  </w:docVars>
  <w:rsids>
    <w:rsidRoot w:val="40473DB9"/>
    <w:rsid w:val="01BB275D"/>
    <w:rsid w:val="02106018"/>
    <w:rsid w:val="03846D5B"/>
    <w:rsid w:val="03BC4968"/>
    <w:rsid w:val="06502684"/>
    <w:rsid w:val="07865E8C"/>
    <w:rsid w:val="083E5E44"/>
    <w:rsid w:val="0A8B5034"/>
    <w:rsid w:val="0B5138F2"/>
    <w:rsid w:val="0BDF4458"/>
    <w:rsid w:val="0C8C5156"/>
    <w:rsid w:val="0ED308B1"/>
    <w:rsid w:val="0EEA79A9"/>
    <w:rsid w:val="109B2E09"/>
    <w:rsid w:val="10E27493"/>
    <w:rsid w:val="12F139EB"/>
    <w:rsid w:val="12FA35F9"/>
    <w:rsid w:val="133E6640"/>
    <w:rsid w:val="13E90704"/>
    <w:rsid w:val="140D0762"/>
    <w:rsid w:val="157C263E"/>
    <w:rsid w:val="1C143474"/>
    <w:rsid w:val="1CA371D3"/>
    <w:rsid w:val="1D5F3620"/>
    <w:rsid w:val="1DFB4965"/>
    <w:rsid w:val="20006617"/>
    <w:rsid w:val="21372335"/>
    <w:rsid w:val="22151C48"/>
    <w:rsid w:val="25643447"/>
    <w:rsid w:val="25692719"/>
    <w:rsid w:val="27D8088F"/>
    <w:rsid w:val="295A0B0B"/>
    <w:rsid w:val="299702EB"/>
    <w:rsid w:val="2E863F08"/>
    <w:rsid w:val="2F496471"/>
    <w:rsid w:val="307A144E"/>
    <w:rsid w:val="34C077CD"/>
    <w:rsid w:val="351C4908"/>
    <w:rsid w:val="395714A0"/>
    <w:rsid w:val="3A745DB9"/>
    <w:rsid w:val="3A762C0D"/>
    <w:rsid w:val="3E895A82"/>
    <w:rsid w:val="3EF80B34"/>
    <w:rsid w:val="40473DB9"/>
    <w:rsid w:val="43BE750B"/>
    <w:rsid w:val="440C342B"/>
    <w:rsid w:val="442D14C5"/>
    <w:rsid w:val="454F2A58"/>
    <w:rsid w:val="4AD3675D"/>
    <w:rsid w:val="4AFA5BF6"/>
    <w:rsid w:val="4EA774EC"/>
    <w:rsid w:val="539030B7"/>
    <w:rsid w:val="5B487621"/>
    <w:rsid w:val="5BEE7611"/>
    <w:rsid w:val="5CC74332"/>
    <w:rsid w:val="5DBA348B"/>
    <w:rsid w:val="648B6E33"/>
    <w:rsid w:val="656A6B08"/>
    <w:rsid w:val="659323A9"/>
    <w:rsid w:val="6B4426DB"/>
    <w:rsid w:val="6CF331DB"/>
    <w:rsid w:val="6FC2054A"/>
    <w:rsid w:val="71DC5974"/>
    <w:rsid w:val="725A4607"/>
    <w:rsid w:val="72C06B3D"/>
    <w:rsid w:val="736E2E54"/>
    <w:rsid w:val="74C0586C"/>
    <w:rsid w:val="75347933"/>
    <w:rsid w:val="760A4811"/>
    <w:rsid w:val="77CB19B9"/>
    <w:rsid w:val="7BE2684A"/>
    <w:rsid w:val="7CB72927"/>
    <w:rsid w:val="7DB3688B"/>
    <w:rsid w:val="7E0B7481"/>
    <w:rsid w:val="7FD9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tabs>
        <w:tab w:val="left" w:pos="345"/>
      </w:tabs>
      <w:spacing w:line="400" w:lineRule="exact"/>
      <w:ind w:left="345" w:hanging="345"/>
      <w:jc w:val="center"/>
      <w:outlineLvl w:val="0"/>
    </w:pPr>
    <w:rPr>
      <w:rFonts w:ascii="宋体" w:hAnsi="宋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Fließtext"/>
    <w:basedOn w:val="1"/>
    <w:qFormat/>
    <w:uiPriority w:val="99"/>
    <w:pPr>
      <w:overflowPunct w:val="0"/>
      <w:autoSpaceDE w:val="0"/>
      <w:autoSpaceDN w:val="0"/>
      <w:textAlignment w:val="baseline"/>
    </w:pPr>
    <w:rPr>
      <w:kern w:val="28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character" w:customStyle="1" w:styleId="8">
    <w:name w:val="font2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1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">
    <w:name w:val="标题 1 Char"/>
    <w:link w:val="3"/>
    <w:qFormat/>
    <w:uiPriority w:val="0"/>
    <w:rPr>
      <w:rFonts w:ascii="宋体" w:hAnsi="宋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1296</Words>
  <Characters>1496</Characters>
  <Lines>0</Lines>
  <Paragraphs>0</Paragraphs>
  <TotalTime>0</TotalTime>
  <ScaleCrop>false</ScaleCrop>
  <LinksUpToDate>false</LinksUpToDate>
  <CharactersWithSpaces>1502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2022-05-06T02:50:00Z</dcterms:created>
  <dc:creator>Administrator</dc:creator>
  <cp:lastModifiedBy>yuan</cp:lastModifiedBy>
  <dcterms:modified xsi:type="dcterms:W3CDTF">2025-07-07T03:52:12Z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6ED252F310B44AFBADC487CF644DF239_13</vt:lpwstr>
  </property>
  <property fmtid="{D5CDD505-2E9C-101B-9397-08002B2CF9AE}" pid="4" name="KSOTemplateDocerSaveRecord">
    <vt:lpwstr>eyJoZGlkIjoiMDQxYWMzZDYxNDQ2M2Y5OWEwYzc3NWYwMjRkZmFkOWYiLCJ1c2VySWQiOiIyMTA2NTMxOCJ9</vt:lpwstr>
  </property>
</Properties>
</file>