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b/>
          <w:bCs/>
          <w:sz w:val="52"/>
          <w:szCs w:val="52"/>
        </w:rPr>
      </w:pPr>
      <w:r>
        <w:rPr>
          <w:rFonts w:hint="eastAsia"/>
          <w:b/>
          <w:bCs/>
          <w:sz w:val="52"/>
          <w:szCs w:val="52"/>
        </w:rPr>
        <w:t>本溪钢铁（集团）设备工程有限公司</w:t>
      </w:r>
    </w:p>
    <w:p>
      <w:pPr>
        <w:jc w:val="center"/>
        <w:outlineLvl w:val="0"/>
        <w:rPr>
          <w:rFonts w:hint="eastAsia" w:ascii="仿宋" w:hAnsi="仿宋" w:eastAsia="仿宋" w:cs="仿宋"/>
          <w:bCs/>
          <w:sz w:val="44"/>
          <w:szCs w:val="44"/>
          <w:lang w:val="en-US" w:eastAsia="zh-CN"/>
        </w:rPr>
      </w:pPr>
      <w:r>
        <w:rPr>
          <w:rFonts w:hint="eastAsia" w:ascii="仿宋" w:hAnsi="仿宋" w:eastAsia="仿宋" w:cs="仿宋"/>
          <w:bCs/>
          <w:sz w:val="44"/>
          <w:szCs w:val="44"/>
          <w:lang w:val="en-US" w:eastAsia="zh-CN"/>
        </w:rPr>
        <w:t>北营炼铁总厂360、400m2烧结机除尘系统改造项目</w:t>
      </w:r>
    </w:p>
    <w:p>
      <w:pPr>
        <w:jc w:val="center"/>
        <w:outlineLvl w:val="0"/>
        <w:rPr>
          <w:rFonts w:eastAsia="仿宋"/>
          <w:b/>
          <w:sz w:val="44"/>
          <w:szCs w:val="44"/>
        </w:rPr>
      </w:pPr>
      <w:r>
        <w:rPr>
          <w:rFonts w:hint="eastAsia" w:ascii="仿宋" w:hAnsi="仿宋" w:eastAsia="仿宋" w:cs="仿宋"/>
          <w:bCs/>
          <w:sz w:val="44"/>
          <w:szCs w:val="44"/>
          <w:lang w:val="en-US" w:eastAsia="zh-CN"/>
        </w:rPr>
        <w:t>备件</w:t>
      </w:r>
      <w:r>
        <w:rPr>
          <w:rFonts w:hint="eastAsia" w:ascii="仿宋" w:hAnsi="仿宋" w:eastAsia="仿宋" w:cs="仿宋"/>
          <w:bCs/>
          <w:sz w:val="44"/>
          <w:szCs w:val="44"/>
        </w:rPr>
        <w:t>招标采购</w:t>
      </w:r>
    </w:p>
    <w:p>
      <w:pPr>
        <w:jc w:val="center"/>
        <w:outlineLvl w:val="0"/>
        <w:rPr>
          <w:rFonts w:ascii="仿宋" w:hAnsi="仿宋" w:eastAsia="仿宋" w:cs="仿宋"/>
          <w:b/>
          <w:sz w:val="96"/>
          <w:szCs w:val="44"/>
        </w:rPr>
      </w:pPr>
    </w:p>
    <w:p>
      <w:pPr>
        <w:jc w:val="center"/>
        <w:outlineLvl w:val="0"/>
        <w:rPr>
          <w:rFonts w:ascii="仿宋" w:hAnsi="仿宋" w:eastAsia="仿宋" w:cs="仿宋"/>
          <w:b/>
          <w:sz w:val="96"/>
          <w:szCs w:val="44"/>
        </w:rPr>
      </w:pPr>
      <w:r>
        <w:rPr>
          <w:rFonts w:hint="eastAsia" w:ascii="仿宋" w:hAnsi="仿宋" w:eastAsia="仿宋" w:cs="仿宋"/>
          <w:b/>
          <w:sz w:val="96"/>
          <w:szCs w:val="44"/>
        </w:rPr>
        <w:t>技</w:t>
      </w:r>
    </w:p>
    <w:p>
      <w:pPr>
        <w:jc w:val="center"/>
        <w:outlineLvl w:val="0"/>
        <w:rPr>
          <w:rFonts w:ascii="仿宋" w:hAnsi="仿宋" w:eastAsia="仿宋" w:cs="仿宋"/>
          <w:b/>
          <w:sz w:val="96"/>
          <w:szCs w:val="44"/>
        </w:rPr>
      </w:pPr>
      <w:r>
        <w:rPr>
          <w:rFonts w:hint="eastAsia" w:ascii="仿宋" w:hAnsi="仿宋" w:eastAsia="仿宋" w:cs="仿宋"/>
          <w:b/>
          <w:sz w:val="96"/>
          <w:szCs w:val="44"/>
        </w:rPr>
        <w:t>术</w:t>
      </w:r>
    </w:p>
    <w:p>
      <w:pPr>
        <w:jc w:val="center"/>
        <w:outlineLvl w:val="0"/>
        <w:rPr>
          <w:rFonts w:ascii="仿宋" w:hAnsi="仿宋" w:eastAsia="仿宋" w:cs="仿宋"/>
          <w:b/>
          <w:sz w:val="96"/>
          <w:szCs w:val="44"/>
        </w:rPr>
      </w:pPr>
      <w:r>
        <w:rPr>
          <w:rFonts w:hint="eastAsia" w:ascii="仿宋" w:hAnsi="仿宋" w:eastAsia="仿宋" w:cs="仿宋"/>
          <w:b/>
          <w:sz w:val="96"/>
          <w:szCs w:val="44"/>
        </w:rPr>
        <w:t>协</w:t>
      </w:r>
    </w:p>
    <w:p>
      <w:pPr>
        <w:jc w:val="center"/>
        <w:outlineLvl w:val="0"/>
        <w:rPr>
          <w:rFonts w:ascii="仿宋" w:hAnsi="仿宋" w:eastAsia="仿宋" w:cs="仿宋"/>
          <w:b/>
          <w:sz w:val="96"/>
          <w:szCs w:val="44"/>
        </w:rPr>
      </w:pPr>
      <w:r>
        <w:rPr>
          <w:rFonts w:hint="eastAsia" w:ascii="仿宋" w:hAnsi="仿宋" w:eastAsia="仿宋" w:cs="仿宋"/>
          <w:b/>
          <w:sz w:val="96"/>
          <w:szCs w:val="44"/>
        </w:rPr>
        <w:t>议</w:t>
      </w:r>
    </w:p>
    <w:p>
      <w:pPr>
        <w:jc w:val="center"/>
        <w:rPr>
          <w:rFonts w:ascii="宋体" w:cs="宋体"/>
          <w:b/>
          <w:sz w:val="32"/>
          <w:szCs w:val="32"/>
        </w:rPr>
      </w:pPr>
    </w:p>
    <w:p>
      <w:pPr>
        <w:spacing w:line="440" w:lineRule="exact"/>
        <w:rPr>
          <w:sz w:val="28"/>
        </w:rPr>
      </w:pPr>
    </w:p>
    <w:p>
      <w:pPr>
        <w:spacing w:line="440" w:lineRule="exact"/>
        <w:rPr>
          <w:sz w:val="28"/>
        </w:rPr>
      </w:pPr>
    </w:p>
    <w:p>
      <w:pPr>
        <w:spacing w:line="440" w:lineRule="exact"/>
        <w:rPr>
          <w:sz w:val="28"/>
        </w:rPr>
      </w:pPr>
    </w:p>
    <w:p>
      <w:pPr>
        <w:spacing w:line="440" w:lineRule="exact"/>
        <w:rPr>
          <w:sz w:val="28"/>
        </w:rPr>
      </w:pPr>
    </w:p>
    <w:p>
      <w:pPr>
        <w:spacing w:line="440" w:lineRule="exact"/>
        <w:jc w:val="center"/>
        <w:rPr>
          <w:rFonts w:ascii="宋体" w:cs="宋体"/>
          <w:b/>
          <w:sz w:val="36"/>
          <w:szCs w:val="36"/>
        </w:rPr>
      </w:pPr>
      <w:r>
        <w:rPr>
          <w:rFonts w:hint="eastAsia" w:ascii="宋体" w:hAnsi="宋体" w:cs="宋体"/>
          <w:b/>
          <w:sz w:val="36"/>
          <w:szCs w:val="36"/>
        </w:rPr>
        <w:t>二〇二</w:t>
      </w:r>
      <w:r>
        <w:rPr>
          <w:rFonts w:hint="eastAsia" w:ascii="宋体" w:hAnsi="宋体" w:cs="宋体"/>
          <w:b/>
          <w:sz w:val="36"/>
          <w:szCs w:val="36"/>
          <w:lang w:eastAsia="zh-CN"/>
        </w:rPr>
        <w:t>四</w:t>
      </w:r>
      <w:r>
        <w:rPr>
          <w:rFonts w:hint="eastAsia" w:ascii="宋体" w:hAnsi="宋体" w:cs="宋体"/>
          <w:b/>
          <w:sz w:val="36"/>
          <w:szCs w:val="36"/>
        </w:rPr>
        <w:t>年</w:t>
      </w:r>
      <w:r>
        <w:rPr>
          <w:rFonts w:hint="eastAsia" w:ascii="宋体" w:hAnsi="宋体" w:cs="宋体"/>
          <w:b/>
          <w:sz w:val="36"/>
          <w:szCs w:val="36"/>
          <w:lang w:val="en-US" w:eastAsia="zh-CN"/>
        </w:rPr>
        <w:t>七</w:t>
      </w:r>
      <w:r>
        <w:rPr>
          <w:rFonts w:hint="eastAsia" w:ascii="宋体" w:hAnsi="宋体" w:cs="宋体"/>
          <w:b/>
          <w:sz w:val="36"/>
          <w:szCs w:val="36"/>
        </w:rPr>
        <w:t>月</w:t>
      </w:r>
    </w:p>
    <w:p>
      <w:pPr>
        <w:spacing w:line="440" w:lineRule="exact"/>
        <w:jc w:val="center"/>
        <w:rPr>
          <w:rFonts w:ascii="宋体" w:cs="宋体"/>
          <w:b/>
          <w:sz w:val="36"/>
          <w:szCs w:val="36"/>
        </w:rPr>
      </w:pPr>
    </w:p>
    <w:p>
      <w:pPr>
        <w:spacing w:line="440" w:lineRule="exact"/>
        <w:jc w:val="center"/>
        <w:rPr>
          <w:rFonts w:ascii="宋体" w:cs="宋体"/>
          <w:b/>
          <w:sz w:val="36"/>
          <w:szCs w:val="36"/>
        </w:rPr>
      </w:pPr>
    </w:p>
    <w:p>
      <w:pPr>
        <w:spacing w:line="360" w:lineRule="auto"/>
        <w:jc w:val="center"/>
        <w:outlineLvl w:val="0"/>
        <w:rPr>
          <w:rFonts w:ascii="仿宋" w:hAnsi="仿宋" w:eastAsia="仿宋" w:cs="仿宋"/>
          <w:b/>
          <w:sz w:val="32"/>
          <w:szCs w:val="32"/>
        </w:rPr>
      </w:pPr>
    </w:p>
    <w:p>
      <w:pPr>
        <w:spacing w:line="360" w:lineRule="auto"/>
        <w:jc w:val="center"/>
        <w:outlineLvl w:val="0"/>
        <w:rPr>
          <w:rFonts w:hint="eastAsia" w:ascii="仿宋" w:hAnsi="仿宋" w:eastAsia="仿宋" w:cs="仿宋"/>
          <w:b/>
          <w:sz w:val="36"/>
          <w:szCs w:val="36"/>
          <w:lang w:val="en-US" w:eastAsia="zh-CN"/>
        </w:rPr>
      </w:pPr>
      <w:r>
        <w:rPr>
          <w:rFonts w:hint="eastAsia" w:ascii="仿宋" w:hAnsi="仿宋" w:eastAsia="仿宋" w:cs="仿宋"/>
          <w:b/>
          <w:sz w:val="36"/>
          <w:szCs w:val="36"/>
          <w:lang w:val="en-US" w:eastAsia="zh-CN"/>
        </w:rPr>
        <w:t>北营炼铁总厂360、400m2烧结机除尘系统改造项目</w:t>
      </w:r>
    </w:p>
    <w:p>
      <w:pPr>
        <w:spacing w:line="360" w:lineRule="auto"/>
        <w:jc w:val="center"/>
        <w:outlineLvl w:val="0"/>
        <w:rPr>
          <w:rFonts w:hint="eastAsia" w:ascii="仿宋" w:hAnsi="仿宋" w:eastAsia="仿宋" w:cs="仿宋"/>
          <w:b/>
          <w:sz w:val="36"/>
          <w:szCs w:val="36"/>
        </w:rPr>
      </w:pPr>
      <w:r>
        <w:rPr>
          <w:rFonts w:hint="eastAsia" w:ascii="仿宋" w:hAnsi="仿宋" w:eastAsia="仿宋" w:cs="仿宋"/>
          <w:b/>
          <w:sz w:val="36"/>
          <w:szCs w:val="36"/>
          <w:lang w:val="en-US" w:eastAsia="zh-CN"/>
        </w:rPr>
        <w:t>备件</w:t>
      </w:r>
      <w:r>
        <w:rPr>
          <w:rFonts w:hint="eastAsia" w:ascii="仿宋" w:hAnsi="仿宋" w:eastAsia="仿宋" w:cs="仿宋"/>
          <w:b/>
          <w:sz w:val="36"/>
          <w:szCs w:val="36"/>
        </w:rPr>
        <w:t>招标采购技术协议</w:t>
      </w:r>
    </w:p>
    <w:p>
      <w:pPr>
        <w:keepNext w:val="0"/>
        <w:keepLines w:val="0"/>
        <w:pageBreakBefore w:val="0"/>
        <w:widowControl w:val="0"/>
        <w:numPr>
          <w:ilvl w:val="0"/>
          <w:numId w:val="1"/>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总则</w:t>
      </w:r>
      <w:r>
        <w:rPr>
          <w:rFonts w:hint="eastAsia" w:ascii="仿宋" w:hAnsi="仿宋" w:eastAsia="仿宋" w:cs="仿宋"/>
          <w:sz w:val="32"/>
          <w:szCs w:val="32"/>
        </w:rPr>
        <w:t>：</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1、本技术协议仅指设备的主要要求，不应作为完整的详细要求及标准进行设计制造。</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2、所有设计制造保证符合本协议中的有关要求和国家有关规范、规定的要求。若图纸、国家有关规范、规定同技术协议中要求冲突，则应按严格的要求执行。</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3、承揽方对所提供的技术和设备质量负责，包括协作和合作制造部分。</w:t>
      </w:r>
    </w:p>
    <w:p>
      <w:pPr>
        <w:keepNext w:val="0"/>
        <w:keepLines w:val="0"/>
        <w:pageBreakBefore w:val="0"/>
        <w:widowControl w:val="0"/>
        <w:kinsoku/>
        <w:wordWrap/>
        <w:overflowPunct/>
        <w:topLinePunct w:val="0"/>
        <w:autoSpaceDE/>
        <w:autoSpaceDN/>
        <w:bidi w:val="0"/>
        <w:adjustRightInd/>
        <w:spacing w:line="460" w:lineRule="exact"/>
        <w:ind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4、承揽方具备生产相同或相似产品的历史，同时对产品正常运行情况、售后服务情况提供书面说明及用户清单。</w:t>
      </w:r>
    </w:p>
    <w:p>
      <w:pPr>
        <w:keepNext w:val="0"/>
        <w:keepLines w:val="0"/>
        <w:pageBreakBefore w:val="0"/>
        <w:widowControl w:val="0"/>
        <w:kinsoku/>
        <w:wordWrap/>
        <w:overflowPunct/>
        <w:topLinePunct w:val="0"/>
        <w:autoSpaceDE/>
        <w:autoSpaceDN/>
        <w:bidi w:val="0"/>
        <w:adjustRightInd/>
        <w:spacing w:line="460" w:lineRule="exact"/>
        <w:ind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5、严禁使用含有石棉等有毒有害物质的产品和材料。</w:t>
      </w:r>
    </w:p>
    <w:p>
      <w:pPr>
        <w:keepNext w:val="0"/>
        <w:keepLines w:val="0"/>
        <w:pageBreakBefore w:val="0"/>
        <w:widowControl w:val="0"/>
        <w:kinsoku/>
        <w:wordWrap/>
        <w:overflowPunct/>
        <w:topLinePunct w:val="0"/>
        <w:autoSpaceDE/>
        <w:autoSpaceDN/>
        <w:bidi w:val="0"/>
        <w:adjustRightInd/>
        <w:spacing w:line="460" w:lineRule="exact"/>
        <w:ind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6、经供需双方友好协商，对2024年北营炼铁总厂360、400m2烧结机除尘系统改造项目备件采购，对采购质量、服务及其他要求，达成本协议。</w:t>
      </w:r>
    </w:p>
    <w:p>
      <w:pPr>
        <w:keepNext w:val="0"/>
        <w:keepLines w:val="0"/>
        <w:pageBreakBefore w:val="0"/>
        <w:widowControl w:val="0"/>
        <w:numPr>
          <w:ilvl w:val="0"/>
          <w:numId w:val="1"/>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工况条件：</w:t>
      </w:r>
    </w:p>
    <w:p>
      <w:pPr>
        <w:keepNext w:val="0"/>
        <w:keepLines w:val="0"/>
        <w:pageBreakBefore w:val="0"/>
        <w:widowControl w:val="0"/>
        <w:kinsoku/>
        <w:wordWrap/>
        <w:overflowPunct/>
        <w:topLinePunct w:val="0"/>
        <w:autoSpaceDE/>
        <w:autoSpaceDN/>
        <w:bidi w:val="0"/>
        <w:adjustRightInd/>
        <w:spacing w:line="460" w:lineRule="exact"/>
        <w:ind w:firstLine="64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设备作业环境：露天、多尘；</w:t>
      </w:r>
    </w:p>
    <w:p>
      <w:pPr>
        <w:keepNext w:val="0"/>
        <w:keepLines w:val="0"/>
        <w:pageBreakBefore w:val="0"/>
        <w:widowControl w:val="0"/>
        <w:numPr>
          <w:ilvl w:val="0"/>
          <w:numId w:val="1"/>
        </w:numPr>
        <w:kinsoku/>
        <w:wordWrap/>
        <w:overflowPunct/>
        <w:topLinePunct w:val="0"/>
        <w:autoSpaceDE/>
        <w:autoSpaceDN/>
        <w:bidi w:val="0"/>
        <w:adjustRightInd/>
        <w:spacing w:line="4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寿命要求：</w:t>
      </w: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质量保修期为6年。</w:t>
      </w:r>
    </w:p>
    <w:p>
      <w:pPr>
        <w:keepNext w:val="0"/>
        <w:keepLines w:val="0"/>
        <w:pageBreakBefore w:val="0"/>
        <w:widowControl w:val="0"/>
        <w:numPr>
          <w:ilvl w:val="0"/>
          <w:numId w:val="1"/>
        </w:numPr>
        <w:kinsoku/>
        <w:wordWrap/>
        <w:overflowPunct/>
        <w:topLinePunct w:val="0"/>
        <w:autoSpaceDE/>
        <w:autoSpaceDN/>
        <w:bidi w:val="0"/>
        <w:adjustRightInd/>
        <w:spacing w:line="4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供货范围及明细：</w:t>
      </w: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供货范围</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泄爆阀本体及安装支架和紧固件。</w:t>
      </w: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承揽方对所提供设备的质量、使用性能、供货的完整性负责。</w:t>
      </w: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承揽方应随主机提供设备施工安装和调试运行中所需的调试易损件。</w:t>
      </w: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color w:val="FF0000"/>
          <w:sz w:val="32"/>
          <w:szCs w:val="32"/>
          <w:lang w:val="en-US" w:eastAsia="zh-CN"/>
        </w:rPr>
      </w:pPr>
      <w:r>
        <w:rPr>
          <w:rFonts w:hint="eastAsia" w:ascii="仿宋" w:hAnsi="仿宋" w:eastAsia="仿宋" w:cs="仿宋"/>
          <w:sz w:val="32"/>
          <w:szCs w:val="32"/>
          <w:lang w:val="en-US" w:eastAsia="zh-CN"/>
        </w:rPr>
        <w:t>承揽方在设备的安装、调试阶段应提供现场指导人员的服务。</w:t>
      </w:r>
      <w:r>
        <w:rPr>
          <w:rFonts w:hint="eastAsia" w:ascii="仿宋" w:hAnsi="仿宋" w:eastAsia="仿宋" w:cs="仿宋"/>
          <w:color w:val="FF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pacing w:line="460" w:lineRule="exact"/>
        <w:jc w:val="both"/>
        <w:textAlignment w:val="auto"/>
        <w:outlineLvl w:val="1"/>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设备供货表：</w:t>
      </w:r>
    </w:p>
    <w:tbl>
      <w:tblPr>
        <w:tblStyle w:val="13"/>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4"/>
        <w:gridCol w:w="2661"/>
        <w:gridCol w:w="1170"/>
        <w:gridCol w:w="3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序号</w:t>
            </w:r>
          </w:p>
        </w:tc>
        <w:tc>
          <w:tcPr>
            <w:tcW w:w="26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名称</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数量</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bookmarkStart w:id="0" w:name="_Hlk145323992"/>
            <w:r>
              <w:rPr>
                <w:rFonts w:hint="eastAsia" w:ascii="仿宋" w:hAnsi="仿宋" w:eastAsia="仿宋" w:cs="仿宋"/>
                <w:kern w:val="28"/>
                <w:sz w:val="28"/>
                <w:szCs w:val="28"/>
              </w:rPr>
              <w:t>1</w:t>
            </w:r>
          </w:p>
        </w:tc>
        <w:tc>
          <w:tcPr>
            <w:tcW w:w="26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lang w:eastAsia="zh-CN"/>
              </w:rPr>
              <w:t>泄爆阀（</w:t>
            </w:r>
            <w:r>
              <w:rPr>
                <w:rFonts w:hint="eastAsia" w:ascii="仿宋" w:hAnsi="仿宋" w:eastAsia="仿宋" w:cs="仿宋"/>
                <w:bCs/>
                <w:sz w:val="28"/>
                <w:szCs w:val="28"/>
              </w:rPr>
              <w:t>Φ300</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 xml:space="preserve"> </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lang w:eastAsia="zh-CN"/>
              </w:rPr>
            </w:pPr>
            <w:r>
              <w:rPr>
                <w:rFonts w:hint="eastAsia" w:ascii="仿宋" w:hAnsi="仿宋" w:eastAsia="仿宋" w:cs="仿宋"/>
                <w:kern w:val="28"/>
                <w:sz w:val="28"/>
                <w:szCs w:val="28"/>
                <w:lang w:val="en-US" w:eastAsia="zh-CN"/>
              </w:rPr>
              <w:t>1</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安装于钢制储灰仓仓顶上</w:t>
            </w:r>
          </w:p>
        </w:tc>
      </w:tr>
      <w:bookmarkEnd w:id="0"/>
    </w:tbl>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4.1基本技术、结构参数</w:t>
      </w:r>
    </w:p>
    <w:tbl>
      <w:tblPr>
        <w:tblStyle w:val="13"/>
        <w:tblW w:w="7722" w:type="dxa"/>
        <w:tblInd w:w="12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0"/>
        <w:gridCol w:w="5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0"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规格尺寸</w:t>
            </w:r>
          </w:p>
        </w:tc>
        <w:tc>
          <w:tcPr>
            <w:tcW w:w="5262"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Φ300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0"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卸压面积</w:t>
            </w:r>
          </w:p>
        </w:tc>
        <w:tc>
          <w:tcPr>
            <w:tcW w:w="5262"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≥0.07m2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0"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结构形式</w:t>
            </w:r>
          </w:p>
        </w:tc>
        <w:tc>
          <w:tcPr>
            <w:tcW w:w="5262"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膜片式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0"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储灰仓几何容积</w:t>
            </w:r>
          </w:p>
        </w:tc>
        <w:tc>
          <w:tcPr>
            <w:tcW w:w="5262"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22m3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0"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粉尘性质</w:t>
            </w:r>
          </w:p>
        </w:tc>
        <w:tc>
          <w:tcPr>
            <w:tcW w:w="5262"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燃料(0.8</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1.2g/cm3)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0"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数量(台)</w:t>
            </w:r>
          </w:p>
        </w:tc>
        <w:tc>
          <w:tcPr>
            <w:tcW w:w="5262"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0"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备注</w:t>
            </w:r>
          </w:p>
        </w:tc>
        <w:tc>
          <w:tcPr>
            <w:tcW w:w="5262" w:type="dxa"/>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安装于钢制储灰仓仓顶上</w:t>
            </w:r>
          </w:p>
        </w:tc>
      </w:tr>
    </w:tbl>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4.2技术要求</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4.2.1泄爆阀安装于钢制储灰仓仓顶上，泄爆阀的排气需引至室外安全处，泄爆阀配带与储灰仓的连接管及排气管。</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4.2.2泄爆阀的开启压力为10kpa。</w:t>
      </w:r>
    </w:p>
    <w:p>
      <w:pPr>
        <w:keepNext w:val="0"/>
        <w:keepLines w:val="0"/>
        <w:pageBreakBefore w:val="0"/>
        <w:widowControl w:val="0"/>
        <w:numPr>
          <w:ilvl w:val="0"/>
          <w:numId w:val="0"/>
        </w:numPr>
        <w:kinsoku/>
        <w:wordWrap/>
        <w:overflowPunct/>
        <w:topLinePunct w:val="0"/>
        <w:autoSpaceDE/>
        <w:autoSpaceDN/>
        <w:bidi w:val="0"/>
        <w:adjustRightInd/>
        <w:spacing w:line="460" w:lineRule="exac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 xml:space="preserve">    4.2.3要求提供详细的设备安装图。</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4.2.4设备制作及采用技术符合国家标准要求。</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4.2.5 满足制造及检验条件。</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4.2.6交货产品及所附技术文件符合国家相关标准和要求。</w:t>
      </w:r>
    </w:p>
    <w:p>
      <w:pPr>
        <w:keepNext w:val="0"/>
        <w:keepLines w:val="0"/>
        <w:pageBreakBefore w:val="0"/>
        <w:widowControl w:val="0"/>
        <w:numPr>
          <w:ilvl w:val="0"/>
          <w:numId w:val="2"/>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相关标准：</w:t>
      </w:r>
    </w:p>
    <w:tbl>
      <w:tblPr>
        <w:tblStyle w:val="13"/>
        <w:tblW w:w="50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6461"/>
        <w:gridCol w:w="2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blHeader/>
          <w:jc w:val="center"/>
        </w:trPr>
        <w:tc>
          <w:tcPr>
            <w:tcW w:w="545"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序号</w:t>
            </w:r>
          </w:p>
        </w:tc>
        <w:tc>
          <w:tcPr>
            <w:tcW w:w="322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标 准 名 称</w:t>
            </w:r>
          </w:p>
        </w:tc>
        <w:tc>
          <w:tcPr>
            <w:tcW w:w="122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840" w:firstLineChars="3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标准号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545"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1</w:t>
            </w:r>
          </w:p>
        </w:tc>
        <w:tc>
          <w:tcPr>
            <w:tcW w:w="322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重型机械通用技术条件</w:t>
            </w:r>
          </w:p>
        </w:tc>
        <w:tc>
          <w:tcPr>
            <w:tcW w:w="122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JB/T5000-2007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45"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2</w:t>
            </w:r>
          </w:p>
        </w:tc>
        <w:tc>
          <w:tcPr>
            <w:tcW w:w="322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机械设备安装工程施工及验收通用规范</w:t>
            </w:r>
          </w:p>
        </w:tc>
        <w:tc>
          <w:tcPr>
            <w:tcW w:w="122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GB/T50231-2009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45"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3</w:t>
            </w:r>
          </w:p>
        </w:tc>
        <w:tc>
          <w:tcPr>
            <w:tcW w:w="322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焊缝质量评定标准</w:t>
            </w:r>
          </w:p>
        </w:tc>
        <w:tc>
          <w:tcPr>
            <w:tcW w:w="122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GB/T12469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545"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4</w:t>
            </w:r>
          </w:p>
        </w:tc>
        <w:tc>
          <w:tcPr>
            <w:tcW w:w="322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滚动轴承与轴和外壳的配合</w:t>
            </w:r>
          </w:p>
        </w:tc>
        <w:tc>
          <w:tcPr>
            <w:tcW w:w="122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GB/T275-93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545"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5</w:t>
            </w:r>
          </w:p>
        </w:tc>
        <w:tc>
          <w:tcPr>
            <w:tcW w:w="322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重型机械通用技术条件</w:t>
            </w:r>
          </w:p>
        </w:tc>
        <w:tc>
          <w:tcPr>
            <w:tcW w:w="122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JB/T5000-2007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545"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6</w:t>
            </w:r>
          </w:p>
        </w:tc>
        <w:tc>
          <w:tcPr>
            <w:tcW w:w="322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焊缝射线探伤通用技术条件</w:t>
            </w:r>
          </w:p>
        </w:tc>
        <w:tc>
          <w:tcPr>
            <w:tcW w:w="122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GB/3323-89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45"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7</w:t>
            </w:r>
          </w:p>
        </w:tc>
        <w:tc>
          <w:tcPr>
            <w:tcW w:w="322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一般工程用铸造碳钢件</w:t>
            </w:r>
          </w:p>
        </w:tc>
        <w:tc>
          <w:tcPr>
            <w:tcW w:w="122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GB/T11352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545"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8</w:t>
            </w:r>
          </w:p>
        </w:tc>
        <w:tc>
          <w:tcPr>
            <w:tcW w:w="322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无损检测渗透检测</w:t>
            </w:r>
          </w:p>
        </w:tc>
        <w:tc>
          <w:tcPr>
            <w:tcW w:w="122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JB/T 9218</w:t>
            </w:r>
          </w:p>
        </w:tc>
      </w:tr>
    </w:tbl>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color w:val="000000"/>
          <w:sz w:val="32"/>
          <w:szCs w:val="32"/>
        </w:rPr>
      </w:pP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color w:val="000000"/>
          <w:sz w:val="32"/>
          <w:szCs w:val="32"/>
        </w:rPr>
      </w:pPr>
    </w:p>
    <w:p>
      <w:pPr>
        <w:keepNext w:val="0"/>
        <w:keepLines w:val="0"/>
        <w:pageBreakBefore w:val="0"/>
        <w:widowControl w:val="0"/>
        <w:numPr>
          <w:ilvl w:val="0"/>
          <w:numId w:val="2"/>
        </w:numPr>
        <w:kinsoku/>
        <w:wordWrap/>
        <w:overflowPunct/>
        <w:topLinePunct w:val="0"/>
        <w:autoSpaceDE/>
        <w:autoSpaceDN/>
        <w:bidi w:val="0"/>
        <w:adjustRightInd/>
        <w:spacing w:line="460" w:lineRule="exact"/>
        <w:ind w:left="0" w:leftChars="0" w:firstLine="640" w:firstLineChars="200"/>
        <w:textAlignment w:val="auto"/>
        <w:rPr>
          <w:rFonts w:hint="eastAsia" w:ascii="仿宋" w:hAnsi="仿宋" w:eastAsia="仿宋" w:cs="仿宋"/>
          <w:bCs/>
          <w:color w:val="000000"/>
          <w:sz w:val="32"/>
          <w:szCs w:val="32"/>
          <w:lang w:val="en-US" w:eastAsia="zh-CN"/>
        </w:rPr>
      </w:pPr>
      <w:r>
        <w:rPr>
          <w:rFonts w:hint="eastAsia" w:ascii="仿宋" w:hAnsi="仿宋" w:eastAsia="仿宋" w:cs="仿宋"/>
          <w:bCs/>
          <w:color w:val="000000"/>
          <w:sz w:val="32"/>
          <w:szCs w:val="32"/>
          <w:lang w:val="en-US" w:eastAsia="zh-CN"/>
        </w:rPr>
        <w:t>主要设备设计院推荐供货商清单：</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97"/>
        <w:gridCol w:w="4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restart"/>
            <w:vAlign w:val="center"/>
          </w:tcPr>
          <w:p>
            <w:pPr>
              <w:keepNext w:val="0"/>
              <w:keepLines w:val="0"/>
              <w:pageBreakBefore w:val="0"/>
              <w:widowControl w:val="0"/>
              <w:tabs>
                <w:tab w:val="left" w:pos="2951"/>
              </w:tabs>
              <w:kinsoku/>
              <w:wordWrap/>
              <w:overflowPunct/>
              <w:topLinePunct w:val="0"/>
              <w:autoSpaceDE/>
              <w:autoSpaceDN/>
              <w:bidi w:val="0"/>
              <w:adjustRightInd/>
              <w:snapToGrid/>
              <w:spacing w:line="360" w:lineRule="exact"/>
              <w:jc w:val="center"/>
              <w:textAlignment w:val="auto"/>
              <w:rPr>
                <w:rFonts w:hint="default"/>
                <w:lang w:val="en-US" w:eastAsia="zh-CN"/>
              </w:rPr>
            </w:pPr>
            <w:bookmarkStart w:id="1" w:name="_GoBack"/>
            <w:r>
              <w:rPr>
                <w:rFonts w:hint="eastAsia" w:ascii="仿宋" w:hAnsi="仿宋" w:eastAsia="仿宋" w:cs="仿宋"/>
                <w:i w:val="0"/>
                <w:iCs w:val="0"/>
                <w:color w:val="auto"/>
                <w:sz w:val="32"/>
                <w:szCs w:val="32"/>
                <w:u w:val="none"/>
                <w:lang w:val="en-US" w:eastAsia="zh-CN"/>
              </w:rPr>
              <w:t>阀门品牌</w:t>
            </w: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江苏神通阀门股份有限公司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大众阀门集团能源股份有限公司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上海双高阀门（集团）有限公司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上海特一阀门制造有限公司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金峰流体科技集团有限公司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石家庄先楚核能装备股份有限公司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restart"/>
            <w:vAlign w:val="center"/>
          </w:tcPr>
          <w:p>
            <w:pPr>
              <w:keepNext w:val="0"/>
              <w:keepLines w:val="0"/>
              <w:pageBreakBefore w:val="0"/>
              <w:widowControl w:val="0"/>
              <w:tabs>
                <w:tab w:val="left" w:pos="3611"/>
              </w:tabs>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kern w:val="2"/>
                <w:sz w:val="21"/>
                <w:lang w:val="en-US" w:eastAsia="zh-CN" w:bidi="ar-SA"/>
              </w:rPr>
            </w:pPr>
            <w:r>
              <w:rPr>
                <w:rFonts w:hint="eastAsia" w:ascii="仿宋" w:hAnsi="仿宋" w:eastAsia="仿宋" w:cs="仿宋"/>
                <w:i w:val="0"/>
                <w:iCs w:val="0"/>
                <w:color w:val="auto"/>
                <w:kern w:val="0"/>
                <w:sz w:val="32"/>
                <w:szCs w:val="32"/>
                <w:u w:val="none"/>
                <w:lang w:val="en-US" w:eastAsia="zh-CN" w:bidi="ar"/>
              </w:rPr>
              <w:t>执行器品牌</w:t>
            </w: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上海澳托克数字仪器有限公司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鞍山拜尔自控有限公司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重庆川仪自动化股份有限公司</w:t>
            </w:r>
          </w:p>
        </w:tc>
      </w:tr>
      <w:bookmarkEnd w:id="1"/>
    </w:tbl>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color w:val="000000"/>
          <w:sz w:val="32"/>
          <w:szCs w:val="32"/>
        </w:rPr>
      </w:pPr>
      <w:r>
        <w:rPr>
          <w:rFonts w:hint="eastAsia" w:ascii="仿宋" w:hAnsi="仿宋" w:eastAsia="仿宋" w:cs="仿宋"/>
          <w:bCs/>
          <w:color w:val="000000"/>
          <w:sz w:val="32"/>
          <w:szCs w:val="32"/>
          <w:lang w:eastAsia="zh-CN"/>
        </w:rPr>
        <w:t>七</w:t>
      </w:r>
      <w:r>
        <w:rPr>
          <w:rFonts w:hint="eastAsia" w:ascii="仿宋" w:hAnsi="仿宋" w:eastAsia="仿宋" w:cs="仿宋"/>
          <w:bCs/>
          <w:color w:val="000000"/>
          <w:sz w:val="32"/>
          <w:szCs w:val="32"/>
        </w:rPr>
        <w:t>、 资料交付：</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1、承揽方提供给定作方的设计文件、技术资料、技术支持内容：设备订货清单及规格书（WORD），非标设备外形图（CAD2004）等。</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2、其他资料（可编辑版电子文件）：文本、设备表、操作说明、三电功能规格书电子版。</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3、相关图纸及设备资料等：合同生效后3周内全部返回。</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4、承揽方应按照本项目《供应商数字化交付规定》要求，提供对应的模型、图纸和文档等相关资料。</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lang w:eastAsia="zh-CN"/>
        </w:rPr>
        <w:t>八</w:t>
      </w:r>
      <w:r>
        <w:rPr>
          <w:rFonts w:hint="eastAsia" w:ascii="仿宋" w:hAnsi="仿宋" w:eastAsia="仿宋" w:cs="仿宋"/>
          <w:bCs/>
          <w:sz w:val="32"/>
          <w:szCs w:val="32"/>
        </w:rPr>
        <w:t>、设备监制、检验、验收：</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1）设备到达甲方现场后由甲方人员组织设备验货、乙方所供设备除电气部分外，全部进行现场称重，如超大件，乙方提前告知甲方，按照甲方对超大件称重的方案进行称重。</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lang w:val="en-US" w:eastAsia="zh-CN"/>
        </w:rPr>
        <w:t>2）所有外购设备，必须保证持有原厂铭牌，如发现乙方顶替或替换铭牌，甲方有权进行拒收，并对其进行按照合同处罚。</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lang w:eastAsia="zh-CN"/>
        </w:rPr>
        <w:t>九</w:t>
      </w:r>
      <w:r>
        <w:rPr>
          <w:rFonts w:hint="eastAsia" w:ascii="仿宋" w:hAnsi="仿宋" w:eastAsia="仿宋" w:cs="仿宋"/>
          <w:bCs/>
          <w:sz w:val="32"/>
          <w:szCs w:val="32"/>
        </w:rPr>
        <w:t>、涂漆、包装、运输：</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rPr>
        <w:t>涂漆</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承揽方应根据定作方提供的工厂设计统一技术规定中关于涂装的统一规定制订相关设备涂装工艺并据此进行施工，设备颜色按有关统一技术规定执行。</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1）涂料的选择，应根据大气腐蚀性等级、使用条件、使用部位的重要性、施工的可操作性，结合涂料的耐腐蚀性能、涂料的供应状况等综合确定。</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2）每批产品提供具有各主检项目的出厂合格证。</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3）所有的涂料喷涂完成后，由乙方提供第三方漆膜厚度检测报告。</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4）设备的包装应能满足长途运输、多次搬运及存储的需要。包装要坚固、牢靠、防腐、防潮、防盗。裸露件应有铁牌标签。</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5）安装、调试用的易损件、特殊吊具、专用工具等，应单独装箱，并在箱体上注明主机名称和安装调试易损件字样。</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6）由于包装不善或标记不清所造成的设备丢失、缺损、发霉、锈蚀、受潮和错发等问题，乙方负责修理、补充或更换。</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7）每个包装箱内及箱外均应附装箱清单，附产品合格证一份，定期交付甲方。</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8）各设备的组装件和零部件应在其明显处做出醒目的编号和标志。</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9）设备的标牌内容包括：制造厂家、设计单位、产品名称、产品型号或主要技术参数、制造日期等。</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lang w:eastAsia="zh-CN"/>
        </w:rPr>
        <w:t>十</w:t>
      </w:r>
      <w:r>
        <w:rPr>
          <w:rFonts w:hint="eastAsia" w:ascii="仿宋" w:hAnsi="仿宋" w:eastAsia="仿宋" w:cs="仿宋"/>
          <w:bCs/>
          <w:sz w:val="32"/>
          <w:szCs w:val="32"/>
        </w:rPr>
        <w:t>、售后服务：</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免费的技术服务和支持。</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1）承揽方对系统带负荷试运行过程跟踪管理，操作由定作方人员进行，承揽方免费为用户培训设备管理、运行及维护人员。</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2）在系统运行过程中，如出现问题，承揽方承诺在接到定作方通知后在8小时给予答复，在接到定作方书面通知后，相关人员在24小时内提出解决方案。</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3）设备在使用期间，承揽方须及时提供业主所提出的技术服务要求。在定作方将设备移交给业主方投入运行后，业主方与定作方拥有同等权力，承揽方有义务为业主提供免费的技术服务和支持。</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lang w:val="en-US" w:eastAsia="zh-CN"/>
        </w:rPr>
        <w:t>4）设备调试验收合格后（系统功能及技术指标均达到技术协议及现场使用要求）计算，质保期6年。在质保期内，承揽方对由于工艺设计、制造及材料缺陷而发生的任何不足或故障，负责设备更换或维修所发生的一切费用由承揽方承担。同时相应地延长质保期的时间。因定作方使用原因造成的费用由定作方承担。</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十</w:t>
      </w:r>
      <w:r>
        <w:rPr>
          <w:rFonts w:hint="eastAsia" w:ascii="仿宋" w:hAnsi="仿宋" w:eastAsia="仿宋" w:cs="仿宋"/>
          <w:bCs/>
          <w:sz w:val="32"/>
          <w:szCs w:val="32"/>
          <w:lang w:eastAsia="zh-CN"/>
        </w:rPr>
        <w:t>一</w:t>
      </w:r>
      <w:r>
        <w:rPr>
          <w:rFonts w:hint="eastAsia" w:ascii="仿宋" w:hAnsi="仿宋" w:eastAsia="仿宋" w:cs="仿宋"/>
          <w:bCs/>
          <w:sz w:val="32"/>
          <w:szCs w:val="32"/>
        </w:rPr>
        <w:t>、质量异议：</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设备制造过程中，定作方可派员在制造厂对设备的制造过程进行监督，并可参与承揽方的检验工作。承揽方应解答参检人员提出的疑问，满足参检人员提出的核查有关质量标准规范、相关技术文件、图纸技术条件及有关中间加工工艺流程记录单等要求，应认真对待业主和定作方提出的意见，并迅速采取措施，解决存在的质量问题；问题解决后，方可进行下道制造工序。如业主和买卖双方有异议且不能达成共识，应请业主和买卖双方认可的第三方仲裁。</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承揽方应按照确认后的设计图纸进行生产，保证满足本协议的技术要求，工序间的检验和最终检验相结合，自检和联合检验相结合，确保设备质量。</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焊缝质量控制除执行国家相关标准规定之外，还需执行本工程相关统一规定。</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十</w:t>
      </w:r>
      <w:r>
        <w:rPr>
          <w:rFonts w:hint="eastAsia" w:ascii="仿宋" w:hAnsi="仿宋" w:eastAsia="仿宋" w:cs="仿宋"/>
          <w:bCs/>
          <w:sz w:val="32"/>
          <w:szCs w:val="32"/>
          <w:lang w:eastAsia="zh-CN"/>
        </w:rPr>
        <w:t>二</w:t>
      </w:r>
      <w:r>
        <w:rPr>
          <w:rFonts w:hint="eastAsia" w:ascii="仿宋" w:hAnsi="仿宋" w:eastAsia="仿宋" w:cs="仿宋"/>
          <w:bCs/>
          <w:sz w:val="32"/>
          <w:szCs w:val="32"/>
        </w:rPr>
        <w:t>、</w:t>
      </w:r>
      <w:r>
        <w:rPr>
          <w:rFonts w:hint="eastAsia" w:ascii="仿宋" w:hAnsi="仿宋" w:eastAsia="仿宋" w:cs="仿宋"/>
          <w:bCs/>
          <w:sz w:val="32"/>
          <w:szCs w:val="32"/>
          <w:lang w:eastAsia="zh-CN"/>
        </w:rPr>
        <w:t>其他</w:t>
      </w:r>
      <w:r>
        <w:rPr>
          <w:rFonts w:hint="eastAsia" w:ascii="仿宋" w:hAnsi="仿宋" w:eastAsia="仿宋" w:cs="仿宋"/>
          <w:bCs/>
          <w:sz w:val="32"/>
          <w:szCs w:val="32"/>
        </w:rPr>
        <w:t>说明：</w:t>
      </w:r>
    </w:p>
    <w:p>
      <w:pPr>
        <w:keepNext w:val="0"/>
        <w:keepLines w:val="0"/>
        <w:pageBreakBefore w:val="0"/>
        <w:widowControl w:val="0"/>
        <w:kinsoku/>
        <w:wordWrap/>
        <w:overflowPunct/>
        <w:topLinePunct w:val="0"/>
        <w:autoSpaceDE/>
        <w:autoSpaceDN/>
        <w:bidi w:val="0"/>
        <w:adjustRightInd/>
        <w:spacing w:line="460" w:lineRule="exact"/>
        <w:ind w:firstLine="800" w:firstLineChars="250"/>
        <w:textAlignment w:val="auto"/>
        <w:rPr>
          <w:rFonts w:hint="eastAsia" w:ascii="仿宋" w:hAnsi="仿宋" w:eastAsia="仿宋" w:cs="仿宋"/>
          <w:bCs/>
          <w:sz w:val="32"/>
          <w:szCs w:val="32"/>
        </w:rPr>
      </w:pPr>
      <w:r>
        <w:rPr>
          <w:rFonts w:hint="eastAsia" w:ascii="仿宋" w:hAnsi="仿宋" w:eastAsia="仿宋" w:cs="仿宋"/>
          <w:bCs/>
          <w:sz w:val="32"/>
          <w:szCs w:val="32"/>
        </w:rPr>
        <w:t>1、本协议为合同的附件，与合同具有同等的法律效力。</w:t>
      </w:r>
    </w:p>
    <w:p>
      <w:pPr>
        <w:keepNext w:val="0"/>
        <w:keepLines w:val="0"/>
        <w:pageBreakBefore w:val="0"/>
        <w:widowControl w:val="0"/>
        <w:kinsoku/>
        <w:wordWrap/>
        <w:overflowPunct/>
        <w:topLinePunct w:val="0"/>
        <w:autoSpaceDE/>
        <w:autoSpaceDN/>
        <w:bidi w:val="0"/>
        <w:adjustRightInd/>
        <w:spacing w:line="460" w:lineRule="exact"/>
        <w:ind w:firstLine="800" w:firstLineChars="250"/>
        <w:textAlignment w:val="auto"/>
        <w:rPr>
          <w:rFonts w:hint="eastAsia" w:ascii="仿宋" w:hAnsi="仿宋" w:eastAsia="仿宋" w:cs="仿宋"/>
          <w:bCs/>
          <w:sz w:val="32"/>
          <w:szCs w:val="32"/>
        </w:rPr>
      </w:pPr>
      <w:r>
        <w:rPr>
          <w:rFonts w:hint="eastAsia" w:ascii="仿宋" w:hAnsi="仿宋" w:eastAsia="仿宋" w:cs="仿宋"/>
          <w:bCs/>
          <w:sz w:val="32"/>
          <w:szCs w:val="32"/>
        </w:rPr>
        <w:t>2、如有未尽事宜，由双方协商解决。</w:t>
      </w:r>
    </w:p>
    <w:p>
      <w:pPr>
        <w:keepNext w:val="0"/>
        <w:keepLines w:val="0"/>
        <w:pageBreakBefore w:val="0"/>
        <w:widowControl w:val="0"/>
        <w:kinsoku/>
        <w:wordWrap/>
        <w:overflowPunct/>
        <w:topLinePunct w:val="0"/>
        <w:autoSpaceDE/>
        <w:autoSpaceDN/>
        <w:bidi w:val="0"/>
        <w:adjustRightInd/>
        <w:spacing w:line="460" w:lineRule="exact"/>
        <w:ind w:firstLine="800" w:firstLineChars="250"/>
        <w:textAlignment w:val="auto"/>
        <w:rPr>
          <w:rFonts w:hint="eastAsia" w:ascii="仿宋" w:hAnsi="仿宋" w:eastAsia="仿宋" w:cs="仿宋"/>
          <w:bCs/>
          <w:sz w:val="32"/>
          <w:szCs w:val="32"/>
        </w:rPr>
      </w:pPr>
      <w:r>
        <w:rPr>
          <w:rFonts w:hint="eastAsia" w:ascii="仿宋" w:hAnsi="仿宋" w:eastAsia="仿宋" w:cs="仿宋"/>
          <w:bCs/>
          <w:sz w:val="32"/>
          <w:szCs w:val="32"/>
        </w:rPr>
        <w:t>3、本协议一式两份，经签字盖章生效。</w:t>
      </w:r>
    </w:p>
    <w:tbl>
      <w:tblPr>
        <w:tblStyle w:val="14"/>
        <w:tblpPr w:leftFromText="180" w:rightFromText="180" w:vertAnchor="text" w:horzAnchor="page" w:tblpX="1414" w:tblpY="23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9"/>
        <w:gridCol w:w="4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9" w:hRule="atLeast"/>
        </w:trPr>
        <w:tc>
          <w:tcPr>
            <w:tcW w:w="4669" w:type="dxa"/>
          </w:tcPr>
          <w:p>
            <w:pPr>
              <w:spacing w:line="440" w:lineRule="exact"/>
              <w:jc w:val="center"/>
              <w:rPr>
                <w:rFonts w:ascii="宋体" w:hAnsi="宋体" w:cs="宋体"/>
                <w:b/>
                <w:bCs/>
                <w:sz w:val="28"/>
                <w:szCs w:val="28"/>
              </w:rPr>
            </w:pPr>
            <w:r>
              <w:rPr>
                <w:rFonts w:hint="eastAsia" w:ascii="宋体" w:hAnsi="宋体" w:cs="宋体"/>
                <w:b/>
                <w:bCs/>
                <w:sz w:val="28"/>
                <w:szCs w:val="28"/>
              </w:rPr>
              <w:t>需方全称（公章）</w:t>
            </w:r>
          </w:p>
          <w:p>
            <w:pPr>
              <w:spacing w:line="440" w:lineRule="exact"/>
              <w:jc w:val="center"/>
              <w:rPr>
                <w:rFonts w:ascii="宋体" w:hAnsi="宋体" w:cs="宋体"/>
                <w:b/>
                <w:bCs/>
                <w:sz w:val="28"/>
                <w:szCs w:val="28"/>
              </w:rPr>
            </w:pPr>
          </w:p>
          <w:p>
            <w:pPr>
              <w:jc w:val="center"/>
              <w:outlineLvl w:val="0"/>
              <w:rPr>
                <w:b/>
                <w:bCs/>
                <w:szCs w:val="22"/>
              </w:rPr>
            </w:pPr>
            <w:r>
              <w:rPr>
                <w:rFonts w:hint="eastAsia"/>
                <w:b/>
                <w:bCs/>
                <w:szCs w:val="22"/>
              </w:rPr>
              <w:t>本溪钢铁（集团）设备工程有限公司</w:t>
            </w: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r>
              <w:rPr>
                <w:rFonts w:hint="eastAsia" w:ascii="宋体" w:hAnsi="宋体" w:cs="宋体"/>
                <w:sz w:val="28"/>
                <w:szCs w:val="28"/>
              </w:rPr>
              <w:t>负责人：</w:t>
            </w:r>
          </w:p>
          <w:p>
            <w:pPr>
              <w:rPr>
                <w:rFonts w:ascii="宋体" w:hAnsi="宋体" w:cs="宋体"/>
                <w:sz w:val="28"/>
                <w:szCs w:val="28"/>
              </w:rPr>
            </w:pPr>
          </w:p>
          <w:p>
            <w:pPr>
              <w:ind w:firstLine="1120" w:firstLineChars="400"/>
              <w:jc w:val="center"/>
              <w:rPr>
                <w:rFonts w:ascii="宋体" w:hAnsi="宋体" w:cs="宋体"/>
                <w:sz w:val="28"/>
                <w:szCs w:val="28"/>
              </w:rPr>
            </w:pPr>
            <w:r>
              <w:rPr>
                <w:rFonts w:ascii="宋体" w:hAnsi="宋体" w:cs="宋体"/>
                <w:sz w:val="28"/>
                <w:szCs w:val="28"/>
              </w:rPr>
              <w:t>202</w:t>
            </w:r>
            <w:r>
              <w:rPr>
                <w:rFonts w:hint="eastAsia" w:ascii="宋体" w:hAnsi="宋体" w:cs="宋体"/>
                <w:sz w:val="28"/>
                <w:szCs w:val="28"/>
                <w:lang w:val="en-US" w:eastAsia="zh-CN"/>
              </w:rPr>
              <w:t>4</w:t>
            </w:r>
            <w:r>
              <w:rPr>
                <w:rFonts w:hint="eastAsia" w:ascii="宋体" w:hAnsi="宋体" w:cs="宋体"/>
                <w:sz w:val="28"/>
                <w:szCs w:val="28"/>
              </w:rPr>
              <w:t>年</w:t>
            </w:r>
            <w:r>
              <w:rPr>
                <w:rFonts w:ascii="宋体" w:hAnsi="宋体" w:cs="宋体"/>
                <w:sz w:val="28"/>
                <w:szCs w:val="28"/>
              </w:rPr>
              <w:t>__</w:t>
            </w:r>
            <w:r>
              <w:rPr>
                <w:rFonts w:hint="eastAsia" w:ascii="宋体" w:hAnsi="宋体" w:cs="宋体"/>
                <w:sz w:val="28"/>
                <w:szCs w:val="28"/>
              </w:rPr>
              <w:t>月</w:t>
            </w:r>
            <w:r>
              <w:rPr>
                <w:rFonts w:ascii="宋体" w:hAnsi="宋体" w:cs="宋体"/>
                <w:sz w:val="28"/>
                <w:szCs w:val="28"/>
              </w:rPr>
              <w:t>__</w:t>
            </w:r>
            <w:r>
              <w:rPr>
                <w:rFonts w:hint="eastAsia" w:ascii="宋体" w:hAnsi="宋体" w:cs="宋体"/>
                <w:sz w:val="28"/>
                <w:szCs w:val="28"/>
              </w:rPr>
              <w:t>日</w:t>
            </w:r>
          </w:p>
        </w:tc>
        <w:tc>
          <w:tcPr>
            <w:tcW w:w="4670" w:type="dxa"/>
          </w:tcPr>
          <w:p>
            <w:pPr>
              <w:spacing w:line="440" w:lineRule="exact"/>
              <w:jc w:val="center"/>
              <w:rPr>
                <w:rFonts w:ascii="宋体" w:hAnsi="宋体" w:cs="宋体"/>
                <w:b/>
                <w:bCs/>
                <w:sz w:val="28"/>
                <w:szCs w:val="28"/>
              </w:rPr>
            </w:pPr>
            <w:r>
              <w:rPr>
                <w:rFonts w:hint="eastAsia" w:ascii="宋体" w:hAnsi="宋体" w:cs="宋体"/>
                <w:b/>
                <w:bCs/>
                <w:sz w:val="28"/>
                <w:szCs w:val="28"/>
              </w:rPr>
              <w:t>供方全称（手写加盖公章）</w:t>
            </w:r>
          </w:p>
          <w:p>
            <w:pPr>
              <w:rPr>
                <w:rFonts w:ascii="宋体" w:hAnsi="宋体" w:cs="宋体"/>
                <w:bCs/>
                <w:sz w:val="28"/>
                <w:szCs w:val="28"/>
              </w:rPr>
            </w:pPr>
          </w:p>
          <w:p>
            <w:pPr>
              <w:rPr>
                <w:rFonts w:ascii="宋体" w:hAnsi="宋体" w:cs="宋体"/>
                <w:bCs/>
                <w:sz w:val="28"/>
                <w:szCs w:val="28"/>
                <w:u w:val="single"/>
              </w:rPr>
            </w:pPr>
            <w:r>
              <w:rPr>
                <w:rFonts w:hint="eastAsia" w:ascii="宋体" w:hAnsi="宋体" w:cs="宋体"/>
                <w:bCs/>
                <w:sz w:val="28"/>
                <w:szCs w:val="28"/>
              </w:rPr>
              <w:t xml:space="preserve">    </w:t>
            </w:r>
            <w:r>
              <w:rPr>
                <w:rFonts w:hint="eastAsia" w:ascii="宋体" w:hAnsi="宋体" w:cs="宋体"/>
                <w:bCs/>
                <w:sz w:val="28"/>
                <w:szCs w:val="28"/>
                <w:u w:val="single"/>
              </w:rPr>
              <w:t xml:space="preserve">                         </w:t>
            </w:r>
          </w:p>
          <w:p>
            <w:pPr>
              <w:rPr>
                <w:rFonts w:ascii="宋体" w:hAnsi="宋体" w:cs="宋体"/>
                <w:bCs/>
                <w:sz w:val="28"/>
                <w:szCs w:val="28"/>
                <w:u w:val="single"/>
              </w:rPr>
            </w:pPr>
          </w:p>
          <w:p>
            <w:pPr>
              <w:rPr>
                <w:rFonts w:ascii="宋体" w:hAnsi="宋体" w:cs="宋体"/>
                <w:bCs/>
                <w:sz w:val="28"/>
                <w:szCs w:val="28"/>
                <w:u w:val="single"/>
              </w:rPr>
            </w:pPr>
            <w:r>
              <w:rPr>
                <w:rFonts w:hint="eastAsia" w:ascii="宋体" w:hAnsi="宋体" w:cs="宋体"/>
                <w:bCs/>
                <w:sz w:val="28"/>
                <w:szCs w:val="28"/>
              </w:rPr>
              <w:t xml:space="preserve">    </w:t>
            </w:r>
            <w:r>
              <w:rPr>
                <w:rFonts w:hint="eastAsia" w:ascii="宋体" w:hAnsi="宋体" w:cs="宋体"/>
                <w:bCs/>
                <w:sz w:val="28"/>
                <w:szCs w:val="28"/>
                <w:u w:val="single"/>
              </w:rPr>
              <w:t xml:space="preserve">                         </w:t>
            </w:r>
          </w:p>
          <w:p>
            <w:pPr>
              <w:rPr>
                <w:rFonts w:ascii="宋体" w:hAnsi="宋体" w:cs="宋体"/>
                <w:bCs/>
                <w:sz w:val="28"/>
                <w:szCs w:val="28"/>
                <w:u w:val="single"/>
              </w:rPr>
            </w:pPr>
          </w:p>
          <w:p>
            <w:pPr>
              <w:rPr>
                <w:rFonts w:ascii="宋体" w:hAnsi="宋体" w:cs="宋体"/>
                <w:bCs/>
                <w:sz w:val="28"/>
                <w:szCs w:val="28"/>
              </w:rPr>
            </w:pPr>
            <w:r>
              <w:rPr>
                <w:rFonts w:hint="eastAsia" w:ascii="宋体" w:hAnsi="宋体" w:cs="宋体"/>
                <w:bCs/>
                <w:sz w:val="28"/>
                <w:szCs w:val="28"/>
              </w:rPr>
              <w:t>负责人：</w:t>
            </w:r>
          </w:p>
          <w:p>
            <w:pPr>
              <w:rPr>
                <w:rFonts w:ascii="宋体" w:hAnsi="宋体" w:cs="宋体"/>
                <w:bCs/>
                <w:sz w:val="28"/>
                <w:szCs w:val="28"/>
              </w:rPr>
            </w:pPr>
          </w:p>
          <w:p>
            <w:pPr>
              <w:ind w:firstLine="1400" w:firstLineChars="500"/>
              <w:jc w:val="center"/>
              <w:rPr>
                <w:rFonts w:ascii="宋体" w:hAnsi="宋体" w:cs="宋体"/>
                <w:bCs/>
                <w:sz w:val="28"/>
                <w:szCs w:val="28"/>
              </w:rPr>
            </w:pPr>
            <w:r>
              <w:rPr>
                <w:rFonts w:ascii="宋体" w:hAnsi="宋体" w:cs="宋体"/>
                <w:sz w:val="28"/>
                <w:szCs w:val="28"/>
              </w:rPr>
              <w:t>202</w:t>
            </w:r>
            <w:r>
              <w:rPr>
                <w:rFonts w:hint="eastAsia" w:ascii="宋体" w:hAnsi="宋体" w:cs="宋体"/>
                <w:sz w:val="28"/>
                <w:szCs w:val="28"/>
                <w:lang w:val="en-US" w:eastAsia="zh-CN"/>
              </w:rPr>
              <w:t>4</w:t>
            </w:r>
            <w:r>
              <w:rPr>
                <w:rFonts w:hint="eastAsia" w:ascii="宋体" w:hAnsi="宋体" w:cs="宋体"/>
                <w:sz w:val="28"/>
                <w:szCs w:val="28"/>
              </w:rPr>
              <w:t>年</w:t>
            </w:r>
            <w:r>
              <w:rPr>
                <w:rFonts w:ascii="宋体" w:hAnsi="宋体" w:cs="宋体"/>
                <w:sz w:val="28"/>
                <w:szCs w:val="28"/>
              </w:rPr>
              <w:t>__</w:t>
            </w:r>
            <w:r>
              <w:rPr>
                <w:rFonts w:hint="eastAsia" w:ascii="宋体" w:hAnsi="宋体" w:cs="宋体"/>
                <w:sz w:val="28"/>
                <w:szCs w:val="28"/>
              </w:rPr>
              <w:t>月</w:t>
            </w:r>
            <w:r>
              <w:rPr>
                <w:rFonts w:ascii="宋体" w:hAnsi="宋体" w:cs="宋体"/>
                <w:sz w:val="28"/>
                <w:szCs w:val="28"/>
              </w:rPr>
              <w:t>__</w:t>
            </w:r>
            <w:r>
              <w:rPr>
                <w:rFonts w:hint="eastAsia" w:ascii="宋体" w:hAnsi="宋体" w:cs="宋体"/>
                <w:sz w:val="28"/>
                <w:szCs w:val="28"/>
              </w:rPr>
              <w:t>日</w:t>
            </w:r>
          </w:p>
        </w:tc>
      </w:tr>
    </w:tbl>
    <w:p>
      <w:pPr>
        <w:spacing w:line="440" w:lineRule="exact"/>
        <w:rPr>
          <w:rFonts w:ascii="宋体" w:cs="宋体"/>
          <w:color w:val="000000"/>
          <w:sz w:val="28"/>
          <w:szCs w:val="28"/>
        </w:rPr>
      </w:pPr>
    </w:p>
    <w:sectPr>
      <w:headerReference r:id="rId3" w:type="default"/>
      <w:footerReference r:id="rId4" w:type="default"/>
      <w:pgSz w:w="11907" w:h="15876"/>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mc:AlternateContent>
        <mc:Choice Requires="wps">
          <w:drawing>
            <wp:anchor distT="0" distB="0" distL="114300" distR="114300" simplePos="0" relativeHeight="251660288" behindDoc="0" locked="0" layoutInCell="1" allowOverlap="1">
              <wp:simplePos x="0" y="0"/>
              <wp:positionH relativeFrom="column">
                <wp:posOffset>12700</wp:posOffset>
              </wp:positionH>
              <wp:positionV relativeFrom="paragraph">
                <wp:posOffset>-84455</wp:posOffset>
              </wp:positionV>
              <wp:extent cx="6198235" cy="635"/>
              <wp:effectExtent l="0" t="13970" r="12065" b="23495"/>
              <wp:wrapNone/>
              <wp:docPr id="2" name="直线 1027"/>
              <wp:cNvGraphicFramePr/>
              <a:graphic xmlns:a="http://schemas.openxmlformats.org/drawingml/2006/main">
                <a:graphicData uri="http://schemas.microsoft.com/office/word/2010/wordprocessingShape">
                  <wps:wsp>
                    <wps:cNvCnPr/>
                    <wps:spPr>
                      <a:xfrm>
                        <a:off x="0" y="0"/>
                        <a:ext cx="6198235" cy="635"/>
                      </a:xfrm>
                      <a:prstGeom prst="line">
                        <a:avLst/>
                      </a:prstGeom>
                      <a:ln w="28575" cap="flat" cmpd="dbl">
                        <a:solidFill>
                          <a:srgbClr val="000000"/>
                        </a:solidFill>
                        <a:prstDash val="solid"/>
                        <a:headEnd type="none" w="med" len="med"/>
                        <a:tailEnd type="none" w="med" len="med"/>
                      </a:ln>
                    </wps:spPr>
                    <wps:bodyPr/>
                  </wps:wsp>
                </a:graphicData>
              </a:graphic>
            </wp:anchor>
          </w:drawing>
        </mc:Choice>
        <mc:Fallback>
          <w:pict>
            <v:line id="直线 1027" o:spid="_x0000_s1026" o:spt="20" style="position:absolute;left:0pt;margin-left:1pt;margin-top:-6.65pt;height:0.05pt;width:488.05pt;z-index:251660288;mso-width-relative:page;mso-height-relative:page;" filled="f" stroked="t" coordsize="21600,21600" o:gfxdata="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nNBOr2AAAAAkB&#10;AAAPAAAAAAAAAAEAIAAAACIAAABkcnMvZG93bnJldi54bWxQSwECFAAUAAAACACHTuJA3yoJreIB&#10;AADVAwAADgAAAAAAAAABACAAAAAnAQAAZHJzL2Uyb0RvYy54bWxQSwUGAAAAAAYABgBZAQAAewUA&#10;AAAA&#10;">
              <v:fill on="f" focussize="0,0"/>
              <v:stroke weight="2.25pt" color="#000000" linestyle="thinThin" joinstyle="round"/>
              <v:imagedata o:title=""/>
              <o:lock v:ext="edit" aspectratio="f"/>
            </v:line>
          </w:pict>
        </mc:Fallback>
      </mc:AlternateContent>
    </w:r>
    <w:r>
      <w:rPr>
        <w:rFonts w:hint="eastAsia"/>
        <w:kern w:val="0"/>
      </w:rPr>
      <w:t>第</w:t>
    </w:r>
    <w:r>
      <w:rPr>
        <w:kern w:val="0"/>
      </w:rPr>
      <w:fldChar w:fldCharType="begin"/>
    </w:r>
    <w:r>
      <w:rPr>
        <w:kern w:val="0"/>
      </w:rPr>
      <w:instrText xml:space="preserve"> PAGE </w:instrText>
    </w:r>
    <w:r>
      <w:rPr>
        <w:kern w:val="0"/>
      </w:rPr>
      <w:fldChar w:fldCharType="separate"/>
    </w:r>
    <w:r>
      <w:rPr>
        <w:kern w:val="0"/>
      </w:rPr>
      <w:t>2</w:t>
    </w:r>
    <w:r>
      <w:rPr>
        <w:kern w:val="0"/>
      </w:rPr>
      <w:fldChar w:fldCharType="end"/>
    </w:r>
    <w:r>
      <w:rPr>
        <w:rFonts w:hint="eastAsia"/>
        <w:kern w:val="0"/>
      </w:rPr>
      <w:t>页共</w:t>
    </w:r>
    <w:r>
      <w:rPr>
        <w:kern w:val="0"/>
      </w:rPr>
      <w:fldChar w:fldCharType="begin"/>
    </w:r>
    <w:r>
      <w:rPr>
        <w:kern w:val="0"/>
      </w:rPr>
      <w:instrText xml:space="preserve"> NUMPAGES </w:instrText>
    </w:r>
    <w:r>
      <w:rPr>
        <w:kern w:val="0"/>
      </w:rPr>
      <w:fldChar w:fldCharType="separate"/>
    </w:r>
    <w:r>
      <w:rPr>
        <w:kern w:val="0"/>
      </w:rPr>
      <w:t>7</w:t>
    </w:r>
    <w:r>
      <w:rPr>
        <w:kern w:val="0"/>
      </w:rPr>
      <w:fldChar w:fldCharType="end"/>
    </w:r>
    <w:r>
      <w:rPr>
        <w:rFonts w:hint="eastAsia"/>
        <w:kern w:val="0"/>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outlineLvl w:val="0"/>
      <w:rPr>
        <w:b/>
        <w:sz w:val="18"/>
        <w:szCs w:val="18"/>
      </w:rPr>
    </w:pPr>
    <w:r>
      <w:rPr>
        <w:sz w:val="18"/>
        <w:szCs w:val="1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364490</wp:posOffset>
              </wp:positionV>
              <wp:extent cx="6198235" cy="635"/>
              <wp:effectExtent l="0" t="13970" r="12065" b="23495"/>
              <wp:wrapNone/>
              <wp:docPr id="1" name="直线 1026"/>
              <wp:cNvGraphicFramePr/>
              <a:graphic xmlns:a="http://schemas.openxmlformats.org/drawingml/2006/main">
                <a:graphicData uri="http://schemas.microsoft.com/office/word/2010/wordprocessingShape">
                  <wps:wsp>
                    <wps:cNvCnPr/>
                    <wps:spPr>
                      <a:xfrm>
                        <a:off x="0" y="0"/>
                        <a:ext cx="6198235" cy="635"/>
                      </a:xfrm>
                      <a:prstGeom prst="line">
                        <a:avLst/>
                      </a:prstGeom>
                      <a:ln w="28575" cap="flat" cmpd="dbl">
                        <a:solidFill>
                          <a:srgbClr val="000000"/>
                        </a:solidFill>
                        <a:prstDash val="solid"/>
                        <a:headEnd type="none" w="med" len="med"/>
                        <a:tailEnd type="none" w="med" len="med"/>
                      </a:ln>
                    </wps:spPr>
                    <wps:bodyPr/>
                  </wps:wsp>
                </a:graphicData>
              </a:graphic>
            </wp:anchor>
          </w:drawing>
        </mc:Choice>
        <mc:Fallback>
          <w:pict>
            <v:line id="直线 1026" o:spid="_x0000_s1026" o:spt="20" style="position:absolute;left:0pt;margin-left:0pt;margin-top:28.7pt;height:0.05pt;width:488.05pt;z-index:251659264;mso-width-relative:page;mso-height-relative:page;" filled="f" stroked="t" coordsize="21600,21600" o:gfxdata="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fxuqQ9YAAAAGAQAA&#10;DwAAAAAAAAABACAAAAAiAAAAZHJzL2Rvd25yZXYueG1sUEsBAhQAFAAAAAgAh07iQH8DFffiAQAA&#10;1QMAAA4AAAAAAAAAAQAgAAAAJQEAAGRycy9lMm9Eb2MueG1sUEsFBgAAAAAGAAYAWQEAAHkFAAAA&#10;AA==&#10;">
              <v:fill on="f" focussize="0,0"/>
              <v:stroke weight="2.25pt" color="#000000" linestyle="thinThin" joinstyle="round"/>
              <v:imagedata o:title=""/>
              <o:lock v:ext="edit" aspectratio="f"/>
            </v:line>
          </w:pict>
        </mc:Fallback>
      </mc:AlternateContent>
    </w:r>
    <w:r>
      <w:rPr>
        <w:rFonts w:hint="eastAsia"/>
        <w:b/>
        <w:bCs/>
        <w:sz w:val="18"/>
        <w:szCs w:val="18"/>
      </w:rPr>
      <w:t>本溪钢铁（集团）设备工程有限公司北营炼铁总厂360、400m2烧结机除尘系统改造项</w:t>
    </w:r>
    <w:r>
      <w:rPr>
        <w:rFonts w:hint="eastAsia"/>
        <w:b/>
        <w:bCs/>
        <w:sz w:val="18"/>
        <w:szCs w:val="18"/>
        <w:lang w:eastAsia="zh-CN"/>
      </w:rPr>
      <w:t>目</w:t>
    </w:r>
    <w:r>
      <w:rPr>
        <w:rFonts w:hint="eastAsia"/>
        <w:b/>
        <w:sz w:val="18"/>
        <w:szCs w:val="18"/>
        <w:lang w:val="en-US" w:eastAsia="zh-CN"/>
      </w:rPr>
      <w:t>备件</w:t>
    </w:r>
    <w:r>
      <w:rPr>
        <w:rFonts w:hint="eastAsia"/>
        <w:b/>
        <w:sz w:val="18"/>
        <w:szCs w:val="18"/>
      </w:rPr>
      <w:t>招标采购技术规格书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57AFE6"/>
    <w:multiLevelType w:val="singleLevel"/>
    <w:tmpl w:val="4257AFE6"/>
    <w:lvl w:ilvl="0" w:tentative="0">
      <w:start w:val="5"/>
      <w:numFmt w:val="chineseCounting"/>
      <w:suff w:val="nothing"/>
      <w:lvlText w:val="%1、"/>
      <w:lvlJc w:val="left"/>
      <w:rPr>
        <w:rFonts w:hint="eastAsia"/>
      </w:rPr>
    </w:lvl>
  </w:abstractNum>
  <w:abstractNum w:abstractNumId="1">
    <w:nsid w:val="44D6FFF8"/>
    <w:multiLevelType w:val="singleLevel"/>
    <w:tmpl w:val="44D6FFF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5"/>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yMDQzY2QyMGZiOGM0YWVkZTJiNzU0ODU2NzZhNjcifQ=="/>
  </w:docVars>
  <w:rsids>
    <w:rsidRoot w:val="00172A27"/>
    <w:rsid w:val="00001EB2"/>
    <w:rsid w:val="000047D7"/>
    <w:rsid w:val="00011DD4"/>
    <w:rsid w:val="00014808"/>
    <w:rsid w:val="00016F9F"/>
    <w:rsid w:val="00023350"/>
    <w:rsid w:val="0003785E"/>
    <w:rsid w:val="00053A9F"/>
    <w:rsid w:val="00062457"/>
    <w:rsid w:val="00071338"/>
    <w:rsid w:val="000758ED"/>
    <w:rsid w:val="000C42AE"/>
    <w:rsid w:val="001031B0"/>
    <w:rsid w:val="001056AB"/>
    <w:rsid w:val="00114991"/>
    <w:rsid w:val="00120AE0"/>
    <w:rsid w:val="00121C8A"/>
    <w:rsid w:val="00125764"/>
    <w:rsid w:val="0012615C"/>
    <w:rsid w:val="0013228B"/>
    <w:rsid w:val="001471A8"/>
    <w:rsid w:val="00153AF9"/>
    <w:rsid w:val="00172A27"/>
    <w:rsid w:val="00174A13"/>
    <w:rsid w:val="00180B32"/>
    <w:rsid w:val="00184539"/>
    <w:rsid w:val="00184E0A"/>
    <w:rsid w:val="001A3687"/>
    <w:rsid w:val="001A6DD2"/>
    <w:rsid w:val="001B1A65"/>
    <w:rsid w:val="001B3C20"/>
    <w:rsid w:val="001F4DD4"/>
    <w:rsid w:val="002070EE"/>
    <w:rsid w:val="002275EF"/>
    <w:rsid w:val="00227E6D"/>
    <w:rsid w:val="002306ED"/>
    <w:rsid w:val="002419B1"/>
    <w:rsid w:val="002434C5"/>
    <w:rsid w:val="00257378"/>
    <w:rsid w:val="0026492B"/>
    <w:rsid w:val="0027667F"/>
    <w:rsid w:val="00277372"/>
    <w:rsid w:val="00285280"/>
    <w:rsid w:val="00295A33"/>
    <w:rsid w:val="002963A4"/>
    <w:rsid w:val="002A7AFD"/>
    <w:rsid w:val="002B1FC1"/>
    <w:rsid w:val="002B5424"/>
    <w:rsid w:val="002C55A9"/>
    <w:rsid w:val="002D392E"/>
    <w:rsid w:val="002E1D95"/>
    <w:rsid w:val="002E53DB"/>
    <w:rsid w:val="002E7AEC"/>
    <w:rsid w:val="002F3E8B"/>
    <w:rsid w:val="002F44DA"/>
    <w:rsid w:val="002F5B7F"/>
    <w:rsid w:val="00313797"/>
    <w:rsid w:val="003167EE"/>
    <w:rsid w:val="003213FF"/>
    <w:rsid w:val="003334C1"/>
    <w:rsid w:val="00342513"/>
    <w:rsid w:val="00361447"/>
    <w:rsid w:val="00364D68"/>
    <w:rsid w:val="00376290"/>
    <w:rsid w:val="003B3C52"/>
    <w:rsid w:val="003D55D7"/>
    <w:rsid w:val="003E0117"/>
    <w:rsid w:val="00402B10"/>
    <w:rsid w:val="004038A3"/>
    <w:rsid w:val="004173EB"/>
    <w:rsid w:val="0043423F"/>
    <w:rsid w:val="004356FF"/>
    <w:rsid w:val="00442D30"/>
    <w:rsid w:val="00443048"/>
    <w:rsid w:val="00444A25"/>
    <w:rsid w:val="004532B3"/>
    <w:rsid w:val="0045491F"/>
    <w:rsid w:val="00464732"/>
    <w:rsid w:val="00466BDD"/>
    <w:rsid w:val="00477FF5"/>
    <w:rsid w:val="004A2B64"/>
    <w:rsid w:val="004B0EC2"/>
    <w:rsid w:val="004B3B36"/>
    <w:rsid w:val="004C40A0"/>
    <w:rsid w:val="004D6B54"/>
    <w:rsid w:val="004E2437"/>
    <w:rsid w:val="004E3485"/>
    <w:rsid w:val="004E601A"/>
    <w:rsid w:val="004F312D"/>
    <w:rsid w:val="004F53D1"/>
    <w:rsid w:val="00500335"/>
    <w:rsid w:val="005140B0"/>
    <w:rsid w:val="00514A83"/>
    <w:rsid w:val="00515A0D"/>
    <w:rsid w:val="0054021B"/>
    <w:rsid w:val="00547BAE"/>
    <w:rsid w:val="00567E31"/>
    <w:rsid w:val="00570343"/>
    <w:rsid w:val="00587CEC"/>
    <w:rsid w:val="00596435"/>
    <w:rsid w:val="005A7615"/>
    <w:rsid w:val="005B12D9"/>
    <w:rsid w:val="005B7043"/>
    <w:rsid w:val="005C1062"/>
    <w:rsid w:val="005C7097"/>
    <w:rsid w:val="005D033C"/>
    <w:rsid w:val="005D1033"/>
    <w:rsid w:val="005E14D3"/>
    <w:rsid w:val="005E5641"/>
    <w:rsid w:val="005E6ACC"/>
    <w:rsid w:val="006125B1"/>
    <w:rsid w:val="00613CC8"/>
    <w:rsid w:val="006140A3"/>
    <w:rsid w:val="00623421"/>
    <w:rsid w:val="00632699"/>
    <w:rsid w:val="00637025"/>
    <w:rsid w:val="0064733B"/>
    <w:rsid w:val="0065071F"/>
    <w:rsid w:val="006551C4"/>
    <w:rsid w:val="00655B5E"/>
    <w:rsid w:val="00662556"/>
    <w:rsid w:val="00692350"/>
    <w:rsid w:val="006A53BC"/>
    <w:rsid w:val="006C604F"/>
    <w:rsid w:val="006F0E94"/>
    <w:rsid w:val="006F6D81"/>
    <w:rsid w:val="007005AA"/>
    <w:rsid w:val="00707249"/>
    <w:rsid w:val="00732C0B"/>
    <w:rsid w:val="007357E3"/>
    <w:rsid w:val="007412C3"/>
    <w:rsid w:val="00747896"/>
    <w:rsid w:val="00752BCD"/>
    <w:rsid w:val="00757A8C"/>
    <w:rsid w:val="00760F4B"/>
    <w:rsid w:val="00761FDF"/>
    <w:rsid w:val="00784FB2"/>
    <w:rsid w:val="00790991"/>
    <w:rsid w:val="00796326"/>
    <w:rsid w:val="007B3182"/>
    <w:rsid w:val="007B7D2C"/>
    <w:rsid w:val="007C449F"/>
    <w:rsid w:val="007D14CA"/>
    <w:rsid w:val="007D152E"/>
    <w:rsid w:val="007D67CD"/>
    <w:rsid w:val="007D7422"/>
    <w:rsid w:val="007E1213"/>
    <w:rsid w:val="007F1AC4"/>
    <w:rsid w:val="0080344F"/>
    <w:rsid w:val="00810AE3"/>
    <w:rsid w:val="00825A2C"/>
    <w:rsid w:val="00825A4E"/>
    <w:rsid w:val="008349E2"/>
    <w:rsid w:val="00834A80"/>
    <w:rsid w:val="00870F9B"/>
    <w:rsid w:val="00875B3F"/>
    <w:rsid w:val="0088373B"/>
    <w:rsid w:val="00891A75"/>
    <w:rsid w:val="00892197"/>
    <w:rsid w:val="008A3D06"/>
    <w:rsid w:val="008B42C9"/>
    <w:rsid w:val="008D6DF9"/>
    <w:rsid w:val="008D76CE"/>
    <w:rsid w:val="008E21D7"/>
    <w:rsid w:val="00915A7B"/>
    <w:rsid w:val="0091757B"/>
    <w:rsid w:val="00917A79"/>
    <w:rsid w:val="00924E5D"/>
    <w:rsid w:val="00930086"/>
    <w:rsid w:val="0093076E"/>
    <w:rsid w:val="009603E2"/>
    <w:rsid w:val="00977CF3"/>
    <w:rsid w:val="009843B8"/>
    <w:rsid w:val="00992B58"/>
    <w:rsid w:val="009C0A51"/>
    <w:rsid w:val="009D1301"/>
    <w:rsid w:val="009D4462"/>
    <w:rsid w:val="009D7CF9"/>
    <w:rsid w:val="009F6FEB"/>
    <w:rsid w:val="00A015CF"/>
    <w:rsid w:val="00A175EC"/>
    <w:rsid w:val="00A25A09"/>
    <w:rsid w:val="00A30715"/>
    <w:rsid w:val="00A37ED2"/>
    <w:rsid w:val="00A71AE3"/>
    <w:rsid w:val="00A77960"/>
    <w:rsid w:val="00A835C2"/>
    <w:rsid w:val="00A84439"/>
    <w:rsid w:val="00A90799"/>
    <w:rsid w:val="00A92005"/>
    <w:rsid w:val="00A92F03"/>
    <w:rsid w:val="00A94961"/>
    <w:rsid w:val="00AA687B"/>
    <w:rsid w:val="00AB2DEB"/>
    <w:rsid w:val="00AB5401"/>
    <w:rsid w:val="00AE0517"/>
    <w:rsid w:val="00AF1D2C"/>
    <w:rsid w:val="00AF2D26"/>
    <w:rsid w:val="00B11F7A"/>
    <w:rsid w:val="00B13AEF"/>
    <w:rsid w:val="00B21040"/>
    <w:rsid w:val="00B4398B"/>
    <w:rsid w:val="00B504D3"/>
    <w:rsid w:val="00B75BAA"/>
    <w:rsid w:val="00BA0C79"/>
    <w:rsid w:val="00BA753C"/>
    <w:rsid w:val="00BE2C27"/>
    <w:rsid w:val="00BE58B4"/>
    <w:rsid w:val="00BF12E1"/>
    <w:rsid w:val="00C2408B"/>
    <w:rsid w:val="00C46D78"/>
    <w:rsid w:val="00C54769"/>
    <w:rsid w:val="00C640F3"/>
    <w:rsid w:val="00C7403E"/>
    <w:rsid w:val="00C774A2"/>
    <w:rsid w:val="00C900C7"/>
    <w:rsid w:val="00CA3D59"/>
    <w:rsid w:val="00CA3E98"/>
    <w:rsid w:val="00CB69F3"/>
    <w:rsid w:val="00CC252E"/>
    <w:rsid w:val="00CD18DF"/>
    <w:rsid w:val="00CD3725"/>
    <w:rsid w:val="00CE6BD8"/>
    <w:rsid w:val="00CF08A8"/>
    <w:rsid w:val="00CF094C"/>
    <w:rsid w:val="00CF627B"/>
    <w:rsid w:val="00D20E60"/>
    <w:rsid w:val="00D27857"/>
    <w:rsid w:val="00D44AF8"/>
    <w:rsid w:val="00D56805"/>
    <w:rsid w:val="00D63C25"/>
    <w:rsid w:val="00D66C15"/>
    <w:rsid w:val="00D72DEF"/>
    <w:rsid w:val="00D760A4"/>
    <w:rsid w:val="00DB00DD"/>
    <w:rsid w:val="00DB4D20"/>
    <w:rsid w:val="00DC0F13"/>
    <w:rsid w:val="00DC14E7"/>
    <w:rsid w:val="00DE1491"/>
    <w:rsid w:val="00DE3DE9"/>
    <w:rsid w:val="00DE5CF3"/>
    <w:rsid w:val="00DE6282"/>
    <w:rsid w:val="00DE6C88"/>
    <w:rsid w:val="00E0269D"/>
    <w:rsid w:val="00E07CC8"/>
    <w:rsid w:val="00E33992"/>
    <w:rsid w:val="00E42A71"/>
    <w:rsid w:val="00E468F7"/>
    <w:rsid w:val="00E5114D"/>
    <w:rsid w:val="00E53C42"/>
    <w:rsid w:val="00E60BF6"/>
    <w:rsid w:val="00E705CE"/>
    <w:rsid w:val="00E7554B"/>
    <w:rsid w:val="00E8510F"/>
    <w:rsid w:val="00E948D6"/>
    <w:rsid w:val="00EA1794"/>
    <w:rsid w:val="00EC7402"/>
    <w:rsid w:val="00ED35C9"/>
    <w:rsid w:val="00EE02CE"/>
    <w:rsid w:val="00EE6FE8"/>
    <w:rsid w:val="00EF4763"/>
    <w:rsid w:val="00F02A44"/>
    <w:rsid w:val="00F10FC6"/>
    <w:rsid w:val="00F41022"/>
    <w:rsid w:val="00F47514"/>
    <w:rsid w:val="00F5621D"/>
    <w:rsid w:val="00F609E8"/>
    <w:rsid w:val="00F718C8"/>
    <w:rsid w:val="00F969BA"/>
    <w:rsid w:val="00FC1CF5"/>
    <w:rsid w:val="00FD49BA"/>
    <w:rsid w:val="00FD7A3D"/>
    <w:rsid w:val="01261906"/>
    <w:rsid w:val="0148601E"/>
    <w:rsid w:val="01913A92"/>
    <w:rsid w:val="024D48C4"/>
    <w:rsid w:val="051B22E1"/>
    <w:rsid w:val="065957CF"/>
    <w:rsid w:val="06C929F2"/>
    <w:rsid w:val="06E321E9"/>
    <w:rsid w:val="070C2980"/>
    <w:rsid w:val="08700967"/>
    <w:rsid w:val="092332BA"/>
    <w:rsid w:val="0ACE04B9"/>
    <w:rsid w:val="0BFF62CB"/>
    <w:rsid w:val="0C2422CC"/>
    <w:rsid w:val="0D7724A2"/>
    <w:rsid w:val="0E363F1B"/>
    <w:rsid w:val="0F17529E"/>
    <w:rsid w:val="11E935E7"/>
    <w:rsid w:val="13045D71"/>
    <w:rsid w:val="13643BFB"/>
    <w:rsid w:val="142735BC"/>
    <w:rsid w:val="16A67F22"/>
    <w:rsid w:val="17884AD8"/>
    <w:rsid w:val="180C0990"/>
    <w:rsid w:val="18870DA6"/>
    <w:rsid w:val="18915F0A"/>
    <w:rsid w:val="195C56C2"/>
    <w:rsid w:val="19F267AD"/>
    <w:rsid w:val="1A9E3960"/>
    <w:rsid w:val="1AF613B7"/>
    <w:rsid w:val="1C517D11"/>
    <w:rsid w:val="1D0E3E0F"/>
    <w:rsid w:val="1F8F0078"/>
    <w:rsid w:val="20753BC5"/>
    <w:rsid w:val="21F46A7B"/>
    <w:rsid w:val="22266AF2"/>
    <w:rsid w:val="22E74C46"/>
    <w:rsid w:val="233D1A22"/>
    <w:rsid w:val="23AF10B8"/>
    <w:rsid w:val="24222D53"/>
    <w:rsid w:val="244771A0"/>
    <w:rsid w:val="24764216"/>
    <w:rsid w:val="256C6703"/>
    <w:rsid w:val="25E2106C"/>
    <w:rsid w:val="25F21827"/>
    <w:rsid w:val="267455C5"/>
    <w:rsid w:val="27326B6A"/>
    <w:rsid w:val="273B7477"/>
    <w:rsid w:val="284C5E8F"/>
    <w:rsid w:val="29F2408E"/>
    <w:rsid w:val="2A794DB3"/>
    <w:rsid w:val="2B5113A1"/>
    <w:rsid w:val="2CA1657B"/>
    <w:rsid w:val="2CEE6791"/>
    <w:rsid w:val="2D1A7B15"/>
    <w:rsid w:val="2DB206F1"/>
    <w:rsid w:val="2E0D4B1C"/>
    <w:rsid w:val="2F51409E"/>
    <w:rsid w:val="2F5F0488"/>
    <w:rsid w:val="2F6E7EF6"/>
    <w:rsid w:val="30D933D9"/>
    <w:rsid w:val="316038BB"/>
    <w:rsid w:val="31660624"/>
    <w:rsid w:val="32CF3C8A"/>
    <w:rsid w:val="32E043F7"/>
    <w:rsid w:val="331F66A6"/>
    <w:rsid w:val="33FC28C4"/>
    <w:rsid w:val="355F1393"/>
    <w:rsid w:val="36AE6DEC"/>
    <w:rsid w:val="36EE683F"/>
    <w:rsid w:val="37FA16D0"/>
    <w:rsid w:val="38D102DC"/>
    <w:rsid w:val="38D7229A"/>
    <w:rsid w:val="391638A8"/>
    <w:rsid w:val="39A92798"/>
    <w:rsid w:val="39FB19AF"/>
    <w:rsid w:val="3A92771D"/>
    <w:rsid w:val="3CC06686"/>
    <w:rsid w:val="3DB14232"/>
    <w:rsid w:val="3EA85757"/>
    <w:rsid w:val="3F2B0B43"/>
    <w:rsid w:val="3FBF1820"/>
    <w:rsid w:val="412330A7"/>
    <w:rsid w:val="41397F2C"/>
    <w:rsid w:val="41405083"/>
    <w:rsid w:val="41D266FA"/>
    <w:rsid w:val="42B005E6"/>
    <w:rsid w:val="4389695C"/>
    <w:rsid w:val="45567EB9"/>
    <w:rsid w:val="45A46466"/>
    <w:rsid w:val="45E1072A"/>
    <w:rsid w:val="46A01050"/>
    <w:rsid w:val="48C270D2"/>
    <w:rsid w:val="491F37AB"/>
    <w:rsid w:val="4A1F59E3"/>
    <w:rsid w:val="4A32753C"/>
    <w:rsid w:val="4A351591"/>
    <w:rsid w:val="4A7752FB"/>
    <w:rsid w:val="4A834233"/>
    <w:rsid w:val="4B93198F"/>
    <w:rsid w:val="4BE522F5"/>
    <w:rsid w:val="4BEE2622"/>
    <w:rsid w:val="4C65248C"/>
    <w:rsid w:val="4D017F28"/>
    <w:rsid w:val="4D401171"/>
    <w:rsid w:val="4DCC5938"/>
    <w:rsid w:val="4E4E163B"/>
    <w:rsid w:val="4EDF36A4"/>
    <w:rsid w:val="4F616B58"/>
    <w:rsid w:val="5187285A"/>
    <w:rsid w:val="51E71C90"/>
    <w:rsid w:val="546C0F4B"/>
    <w:rsid w:val="54714E2C"/>
    <w:rsid w:val="54EF48F8"/>
    <w:rsid w:val="554345F1"/>
    <w:rsid w:val="57C117A6"/>
    <w:rsid w:val="58022C3B"/>
    <w:rsid w:val="58AF298D"/>
    <w:rsid w:val="594D4AA8"/>
    <w:rsid w:val="59822CDE"/>
    <w:rsid w:val="5A932473"/>
    <w:rsid w:val="5D286394"/>
    <w:rsid w:val="60460585"/>
    <w:rsid w:val="608A71FD"/>
    <w:rsid w:val="60B103B2"/>
    <w:rsid w:val="62A33EED"/>
    <w:rsid w:val="636A7455"/>
    <w:rsid w:val="649A4A6D"/>
    <w:rsid w:val="65494790"/>
    <w:rsid w:val="66644D88"/>
    <w:rsid w:val="68CC2B47"/>
    <w:rsid w:val="6AB210F1"/>
    <w:rsid w:val="6B2902D7"/>
    <w:rsid w:val="6BA7029D"/>
    <w:rsid w:val="6C024327"/>
    <w:rsid w:val="6D663A57"/>
    <w:rsid w:val="6E9021E5"/>
    <w:rsid w:val="6EDD2B6C"/>
    <w:rsid w:val="6F0C6839"/>
    <w:rsid w:val="6F8101B1"/>
    <w:rsid w:val="702F0E56"/>
    <w:rsid w:val="70531ED5"/>
    <w:rsid w:val="71024C41"/>
    <w:rsid w:val="71893027"/>
    <w:rsid w:val="72614B6B"/>
    <w:rsid w:val="726D7377"/>
    <w:rsid w:val="72E05C60"/>
    <w:rsid w:val="74197FD9"/>
    <w:rsid w:val="77532AFB"/>
    <w:rsid w:val="780776B4"/>
    <w:rsid w:val="78081DAA"/>
    <w:rsid w:val="788411A3"/>
    <w:rsid w:val="7A3D312E"/>
    <w:rsid w:val="7B305657"/>
    <w:rsid w:val="7C5A7913"/>
    <w:rsid w:val="7EB048EF"/>
    <w:rsid w:val="7EF43FBD"/>
    <w:rsid w:val="7F4038B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qFormat="1" w:unhideWhenUsed="0" w:uiPriority="99" w:semiHidden="0" w:name="Body Text Indent 2"/>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qFormat="1" w:unhideWhenUsed="0" w:uiPriority="99" w:name="Document Map"/>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7"/>
    <w:qFormat/>
    <w:uiPriority w:val="99"/>
    <w:pPr>
      <w:keepNext/>
      <w:keepLines/>
      <w:spacing w:before="340" w:after="330" w:line="578" w:lineRule="auto"/>
      <w:outlineLvl w:val="0"/>
    </w:pPr>
    <w:rPr>
      <w:b/>
      <w:kern w:val="44"/>
      <w:sz w:val="44"/>
    </w:rPr>
  </w:style>
  <w:style w:type="paragraph" w:styleId="3">
    <w:name w:val="heading 2"/>
    <w:basedOn w:val="1"/>
    <w:next w:val="4"/>
    <w:link w:val="18"/>
    <w:autoRedefine/>
    <w:qFormat/>
    <w:uiPriority w:val="99"/>
    <w:pPr>
      <w:keepNext/>
      <w:keepLines/>
      <w:spacing w:before="260" w:after="260" w:line="416" w:lineRule="auto"/>
      <w:outlineLvl w:val="1"/>
    </w:pPr>
    <w:rPr>
      <w:rFonts w:ascii="Arial" w:hAnsi="Arial" w:eastAsia="黑体"/>
      <w:b/>
      <w:sz w:val="32"/>
    </w:rPr>
  </w:style>
  <w:style w:type="paragraph" w:styleId="5">
    <w:name w:val="heading 3"/>
    <w:basedOn w:val="1"/>
    <w:next w:val="1"/>
    <w:link w:val="19"/>
    <w:qFormat/>
    <w:uiPriority w:val="99"/>
    <w:pPr>
      <w:keepNext/>
      <w:keepLines/>
      <w:adjustRightInd w:val="0"/>
      <w:spacing w:before="260" w:after="260" w:line="416" w:lineRule="atLeast"/>
      <w:ind w:firstLine="3080"/>
      <w:jc w:val="left"/>
      <w:textAlignment w:val="baseline"/>
      <w:outlineLvl w:val="2"/>
    </w:pPr>
    <w:rPr>
      <w:b/>
      <w:kern w:val="0"/>
      <w:sz w:val="32"/>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99"/>
    <w:pPr>
      <w:ind w:firstLine="420"/>
    </w:pPr>
  </w:style>
  <w:style w:type="paragraph" w:styleId="6">
    <w:name w:val="Document Map"/>
    <w:basedOn w:val="1"/>
    <w:link w:val="20"/>
    <w:autoRedefine/>
    <w:semiHidden/>
    <w:qFormat/>
    <w:uiPriority w:val="99"/>
    <w:pPr>
      <w:shd w:val="clear" w:color="auto" w:fill="000080"/>
    </w:pPr>
  </w:style>
  <w:style w:type="paragraph" w:styleId="7">
    <w:name w:val="annotation text"/>
    <w:basedOn w:val="1"/>
    <w:link w:val="21"/>
    <w:semiHidden/>
    <w:qFormat/>
    <w:uiPriority w:val="99"/>
    <w:pPr>
      <w:adjustRightInd w:val="0"/>
      <w:spacing w:line="540" w:lineRule="atLeast"/>
      <w:jc w:val="left"/>
      <w:textAlignment w:val="baseline"/>
    </w:pPr>
    <w:rPr>
      <w:kern w:val="0"/>
      <w:sz w:val="28"/>
    </w:rPr>
  </w:style>
  <w:style w:type="paragraph" w:styleId="8">
    <w:name w:val="Body Text Indent"/>
    <w:basedOn w:val="1"/>
    <w:link w:val="22"/>
    <w:autoRedefine/>
    <w:qFormat/>
    <w:uiPriority w:val="99"/>
    <w:pPr>
      <w:ind w:left="525"/>
    </w:pPr>
    <w:rPr>
      <w:sz w:val="28"/>
    </w:rPr>
  </w:style>
  <w:style w:type="paragraph" w:styleId="9">
    <w:name w:val="Body Text Indent 2"/>
    <w:basedOn w:val="1"/>
    <w:link w:val="23"/>
    <w:autoRedefine/>
    <w:qFormat/>
    <w:uiPriority w:val="99"/>
    <w:pPr>
      <w:ind w:left="315"/>
    </w:pPr>
    <w:rPr>
      <w:sz w:val="28"/>
    </w:rPr>
  </w:style>
  <w:style w:type="paragraph" w:styleId="10">
    <w:name w:val="Balloon Text"/>
    <w:basedOn w:val="1"/>
    <w:link w:val="24"/>
    <w:autoRedefine/>
    <w:qFormat/>
    <w:uiPriority w:val="99"/>
    <w:rPr>
      <w:sz w:val="18"/>
      <w:szCs w:val="18"/>
    </w:rPr>
  </w:style>
  <w:style w:type="paragraph" w:styleId="11">
    <w:name w:val="footer"/>
    <w:basedOn w:val="1"/>
    <w:link w:val="25"/>
    <w:autoRedefine/>
    <w:qFormat/>
    <w:uiPriority w:val="99"/>
    <w:pPr>
      <w:tabs>
        <w:tab w:val="center" w:pos="4153"/>
        <w:tab w:val="right" w:pos="8306"/>
      </w:tabs>
      <w:snapToGrid w:val="0"/>
      <w:jc w:val="left"/>
    </w:pPr>
    <w:rPr>
      <w:sz w:val="18"/>
    </w:rPr>
  </w:style>
  <w:style w:type="paragraph" w:styleId="12">
    <w:name w:val="header"/>
    <w:basedOn w:val="1"/>
    <w:link w:val="26"/>
    <w:autoRedefine/>
    <w:qFormat/>
    <w:uiPriority w:val="99"/>
    <w:pPr>
      <w:pBdr>
        <w:bottom w:val="single" w:color="auto" w:sz="6" w:space="1"/>
      </w:pBdr>
      <w:tabs>
        <w:tab w:val="center" w:pos="4153"/>
        <w:tab w:val="right" w:pos="8306"/>
      </w:tabs>
      <w:snapToGrid w:val="0"/>
      <w:jc w:val="center"/>
    </w:pPr>
    <w:rPr>
      <w:sz w:val="18"/>
    </w:rPr>
  </w:style>
  <w:style w:type="table" w:styleId="14">
    <w:name w:val="Table Grid"/>
    <w:basedOn w:val="1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99"/>
    <w:rPr>
      <w:rFonts w:cs="Times New Roman"/>
    </w:rPr>
  </w:style>
  <w:style w:type="character" w:customStyle="1" w:styleId="17">
    <w:name w:val="标题 1 字符"/>
    <w:basedOn w:val="15"/>
    <w:link w:val="2"/>
    <w:autoRedefine/>
    <w:qFormat/>
    <w:locked/>
    <w:uiPriority w:val="99"/>
    <w:rPr>
      <w:rFonts w:eastAsia="宋体" w:cs="Times New Roman"/>
      <w:b/>
      <w:kern w:val="44"/>
      <w:sz w:val="44"/>
      <w:lang w:val="en-US" w:eastAsia="zh-CN" w:bidi="ar-SA"/>
    </w:rPr>
  </w:style>
  <w:style w:type="character" w:customStyle="1" w:styleId="18">
    <w:name w:val="标题 2 字符"/>
    <w:basedOn w:val="15"/>
    <w:link w:val="3"/>
    <w:autoRedefine/>
    <w:qFormat/>
    <w:locked/>
    <w:uiPriority w:val="99"/>
    <w:rPr>
      <w:rFonts w:ascii="Arial" w:hAnsi="Arial" w:eastAsia="黑体" w:cs="Times New Roman"/>
      <w:b/>
      <w:kern w:val="2"/>
      <w:sz w:val="32"/>
      <w:lang w:val="en-US" w:eastAsia="zh-CN" w:bidi="ar-SA"/>
    </w:rPr>
  </w:style>
  <w:style w:type="character" w:customStyle="1" w:styleId="19">
    <w:name w:val="标题 3 字符"/>
    <w:basedOn w:val="15"/>
    <w:link w:val="5"/>
    <w:autoRedefine/>
    <w:semiHidden/>
    <w:qFormat/>
    <w:locked/>
    <w:uiPriority w:val="99"/>
    <w:rPr>
      <w:rFonts w:cs="Times New Roman"/>
      <w:b/>
      <w:bCs/>
      <w:sz w:val="32"/>
      <w:szCs w:val="32"/>
    </w:rPr>
  </w:style>
  <w:style w:type="character" w:customStyle="1" w:styleId="20">
    <w:name w:val="文档结构图 字符"/>
    <w:basedOn w:val="15"/>
    <w:link w:val="6"/>
    <w:autoRedefine/>
    <w:semiHidden/>
    <w:qFormat/>
    <w:locked/>
    <w:uiPriority w:val="99"/>
    <w:rPr>
      <w:rFonts w:cs="Times New Roman"/>
      <w:sz w:val="2"/>
    </w:rPr>
  </w:style>
  <w:style w:type="character" w:customStyle="1" w:styleId="21">
    <w:name w:val="批注文字 字符"/>
    <w:basedOn w:val="15"/>
    <w:link w:val="7"/>
    <w:autoRedefine/>
    <w:semiHidden/>
    <w:qFormat/>
    <w:locked/>
    <w:uiPriority w:val="99"/>
    <w:rPr>
      <w:rFonts w:cs="Times New Roman"/>
      <w:sz w:val="20"/>
      <w:szCs w:val="20"/>
    </w:rPr>
  </w:style>
  <w:style w:type="character" w:customStyle="1" w:styleId="22">
    <w:name w:val="正文文本缩进 字符"/>
    <w:basedOn w:val="15"/>
    <w:link w:val="8"/>
    <w:autoRedefine/>
    <w:semiHidden/>
    <w:qFormat/>
    <w:locked/>
    <w:uiPriority w:val="99"/>
    <w:rPr>
      <w:rFonts w:cs="Times New Roman"/>
      <w:sz w:val="20"/>
      <w:szCs w:val="20"/>
    </w:rPr>
  </w:style>
  <w:style w:type="character" w:customStyle="1" w:styleId="23">
    <w:name w:val="正文文本缩进 2 字符"/>
    <w:basedOn w:val="15"/>
    <w:link w:val="9"/>
    <w:autoRedefine/>
    <w:semiHidden/>
    <w:qFormat/>
    <w:locked/>
    <w:uiPriority w:val="99"/>
    <w:rPr>
      <w:rFonts w:cs="Times New Roman"/>
      <w:sz w:val="20"/>
      <w:szCs w:val="20"/>
    </w:rPr>
  </w:style>
  <w:style w:type="character" w:customStyle="1" w:styleId="24">
    <w:name w:val="批注框文本 字符"/>
    <w:basedOn w:val="15"/>
    <w:link w:val="10"/>
    <w:autoRedefine/>
    <w:qFormat/>
    <w:locked/>
    <w:uiPriority w:val="99"/>
    <w:rPr>
      <w:rFonts w:cs="Times New Roman"/>
      <w:kern w:val="2"/>
      <w:sz w:val="18"/>
      <w:szCs w:val="18"/>
    </w:rPr>
  </w:style>
  <w:style w:type="character" w:customStyle="1" w:styleId="25">
    <w:name w:val="页脚 字符"/>
    <w:basedOn w:val="15"/>
    <w:link w:val="11"/>
    <w:autoRedefine/>
    <w:semiHidden/>
    <w:qFormat/>
    <w:locked/>
    <w:uiPriority w:val="99"/>
    <w:rPr>
      <w:rFonts w:cs="Times New Roman"/>
      <w:sz w:val="18"/>
      <w:szCs w:val="18"/>
    </w:rPr>
  </w:style>
  <w:style w:type="character" w:customStyle="1" w:styleId="26">
    <w:name w:val="页眉 字符"/>
    <w:basedOn w:val="15"/>
    <w:link w:val="12"/>
    <w:autoRedefine/>
    <w:semiHidden/>
    <w:qFormat/>
    <w:locked/>
    <w:uiPriority w:val="99"/>
    <w:rPr>
      <w:rFonts w:cs="Times New Roman"/>
      <w:sz w:val="18"/>
      <w:szCs w:val="18"/>
    </w:rPr>
  </w:style>
  <w:style w:type="paragraph" w:customStyle="1" w:styleId="27">
    <w:name w:val="封面标题"/>
    <w:basedOn w:val="1"/>
    <w:next w:val="1"/>
    <w:autoRedefine/>
    <w:qFormat/>
    <w:uiPriority w:val="99"/>
    <w:pPr>
      <w:tabs>
        <w:tab w:val="center" w:pos="6804"/>
        <w:tab w:val="right" w:pos="7371"/>
      </w:tabs>
      <w:overflowPunct w:val="0"/>
      <w:adjustRightInd w:val="0"/>
      <w:spacing w:line="360" w:lineRule="auto"/>
      <w:jc w:val="center"/>
      <w:textAlignment w:val="baseline"/>
    </w:pPr>
    <w:rPr>
      <w:rFonts w:ascii="Arial" w:eastAsia="黑体"/>
      <w:color w:val="FF0000"/>
      <w:spacing w:val="20"/>
      <w:kern w:val="52"/>
      <w:sz w:val="72"/>
    </w:rPr>
  </w:style>
  <w:style w:type="paragraph" w:customStyle="1" w:styleId="28">
    <w:name w:val="列出段落1"/>
    <w:basedOn w:val="1"/>
    <w:autoRedefine/>
    <w:qFormat/>
    <w:uiPriority w:val="99"/>
    <w:pPr>
      <w:ind w:firstLine="420" w:firstLineChars="200"/>
    </w:pPr>
  </w:style>
  <w:style w:type="paragraph" w:customStyle="1" w:styleId="29">
    <w:name w:val="BodyText"/>
    <w:basedOn w:val="1"/>
    <w:autoRedefine/>
    <w:qFormat/>
    <w:uiPriority w:val="0"/>
    <w:pPr>
      <w:widowControl/>
      <w:spacing w:after="120" w:line="240" w:lineRule="auto"/>
    </w:pPr>
    <w:rPr>
      <w:sz w:val="24"/>
      <w:szCs w:val="24"/>
      <w:lang w:eastAsia="zh-CN"/>
    </w:rPr>
  </w:style>
  <w:style w:type="paragraph" w:styleId="3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Pages>
  <Words>2575</Words>
  <Characters>2750</Characters>
  <Lines>9</Lines>
  <Paragraphs>2</Paragraphs>
  <TotalTime>7</TotalTime>
  <ScaleCrop>false</ScaleCrop>
  <LinksUpToDate>false</LinksUpToDate>
  <CharactersWithSpaces>2820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2023-04-17T09:33:00Z</dcterms:created>
  <dc:creator>a</dc:creator>
  <cp:lastModifiedBy>李楠</cp:lastModifiedBy>
  <cp:lastPrinted>2023-01-10T00:40:00Z</cp:lastPrinted>
  <dcterms:modified xsi:type="dcterms:W3CDTF">2024-07-16T12:32:33Z</dcterms:modified>
  <dc:title>项目编号：1 初冷器（E-1101）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B6636B0595104769A926C91F5515819E_13</vt:lpwstr>
  </property>
</Properties>
</file>