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40"/>
          <w:szCs w:val="40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40"/>
          <w:szCs w:val="40"/>
          <w:highlight w:val="none"/>
          <w:u w:val="none"/>
          <w:lang w:val="en-US" w:eastAsia="zh-CN"/>
        </w:rPr>
        <w:t>中交一公局厦门工程有限公司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40"/>
          <w:szCs w:val="40"/>
          <w:highlight w:val="none"/>
          <w:u w:val="none"/>
          <w:lang w:val="en-US" w:eastAsia="zh-CN"/>
        </w:rPr>
        <w:t>2025年7月海南G98八所互通项目钢筋单一来源采购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</w:p>
    <w:p>
      <w:pPr>
        <w:pStyle w:val="2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</w:p>
    <w:p>
      <w:pPr>
        <w:pStyle w:val="2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</w:pPr>
    </w:p>
    <w:p>
      <w:pPr>
        <w:autoSpaceDE w:val="0"/>
        <w:autoSpaceDN w:val="0"/>
        <w:adjustRightInd w:val="0"/>
        <w:spacing w:before="12" w:line="280" w:lineRule="exact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</w:pPr>
    </w:p>
    <w:p>
      <w:pPr>
        <w:pStyle w:val="5"/>
        <w:jc w:val="center"/>
        <w:outlineLvl w:val="9"/>
        <w:rPr>
          <w:rFonts w:hint="eastAsia" w:ascii="仿宋" w:hAnsi="仿宋" w:eastAsia="仿宋" w:cs="仿宋"/>
          <w:b/>
          <w:bCs/>
          <w:color w:val="auto"/>
          <w:spacing w:val="2"/>
          <w:w w:val="99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1906270</wp:posOffset>
            </wp:positionH>
            <wp:positionV relativeFrom="paragraph">
              <wp:posOffset>8255</wp:posOffset>
            </wp:positionV>
            <wp:extent cx="1764665" cy="1742440"/>
            <wp:effectExtent l="0" t="0" r="635" b="10160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4665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 xml:space="preserve">                                      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</w:pPr>
    </w:p>
    <w:p>
      <w:pPr>
        <w:pStyle w:val="2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</w:pPr>
    </w:p>
    <w:p>
      <w:pPr>
        <w:autoSpaceDE w:val="0"/>
        <w:autoSpaceDN w:val="0"/>
        <w:adjustRightInd w:val="0"/>
        <w:spacing w:before="11" w:line="280" w:lineRule="exact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</w:pPr>
    </w:p>
    <w:p>
      <w:pPr>
        <w:tabs>
          <w:tab w:val="left" w:pos="3600"/>
          <w:tab w:val="left" w:pos="4620"/>
          <w:tab w:val="left" w:pos="5640"/>
        </w:tabs>
        <w:autoSpaceDE w:val="0"/>
        <w:autoSpaceDN w:val="0"/>
        <w:adjustRightInd w:val="0"/>
        <w:spacing w:line="375" w:lineRule="exact"/>
        <w:ind w:right="-20"/>
        <w:jc w:val="center"/>
        <w:rPr>
          <w:rFonts w:hint="eastAsia" w:ascii="仿宋" w:hAnsi="仿宋" w:eastAsia="仿宋" w:cs="仿宋"/>
          <w:b w:val="0"/>
          <w:bCs/>
          <w:color w:val="auto"/>
          <w:kern w:val="0"/>
          <w:position w:val="-5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position w:val="-5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中交一公局厦门工程有限公司</w:t>
      </w:r>
    </w:p>
    <w:p>
      <w:pPr>
        <w:autoSpaceDE w:val="0"/>
        <w:autoSpaceDN w:val="0"/>
        <w:adjustRightInd w:val="0"/>
        <w:spacing w:before="6" w:line="14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</w:rPr>
      </w:pP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u w:val="none"/>
          <w:lang w:val="en-US" w:eastAsia="zh-CN"/>
        </w:rPr>
        <w:t>中交一公局厦门工程有限公司</w:t>
      </w:r>
    </w:p>
    <w:p>
      <w:pPr>
        <w:spacing w:line="360" w:lineRule="auto"/>
        <w:jc w:val="center"/>
        <w:rPr>
          <w:rFonts w:hint="default" w:ascii="仿宋" w:hAnsi="仿宋" w:eastAsia="仿宋" w:cs="仿宋"/>
          <w:b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u w:val="none"/>
          <w:lang w:val="en-US" w:eastAsia="zh-CN"/>
        </w:rPr>
        <w:t>2025年7月</w:t>
      </w:r>
      <w:r>
        <w:rPr>
          <w:rFonts w:hint="eastAsia" w:ascii="仿宋" w:hAnsi="仿宋" w:eastAsia="仿宋" w:cstheme="minorEastAsia"/>
          <w:b/>
          <w:color w:val="000000"/>
          <w:sz w:val="28"/>
          <w:szCs w:val="28"/>
          <w:lang w:val="en-US" w:eastAsia="zh-CN"/>
        </w:rPr>
        <w:t>海南G98八所互通工程项目钢筋</w:t>
      </w:r>
      <w:bookmarkStart w:id="0" w:name="_GoBack"/>
      <w:bookmarkEnd w:id="0"/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u w:val="none"/>
          <w:lang w:val="en-US" w:eastAsia="zh-CN"/>
        </w:rPr>
        <w:t>单一来源采购公告</w:t>
      </w:r>
    </w:p>
    <w:p>
      <w:pPr>
        <w:spacing w:line="360" w:lineRule="auto"/>
        <w:jc w:val="left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</w:rPr>
        <w:t>一、项目概况与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  <w:lang w:val="en-US" w:eastAsia="zh-CN"/>
        </w:rPr>
        <w:t>需求一览表</w:t>
      </w:r>
    </w:p>
    <w:p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1.1项目概况：</w:t>
      </w:r>
    </w:p>
    <w:p>
      <w:pPr>
        <w:pStyle w:val="35"/>
        <w:spacing w:line="360" w:lineRule="auto"/>
        <w:ind w:firstLine="56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theme="minorEastAsia"/>
          <w:b/>
          <w:color w:val="000000"/>
          <w:sz w:val="24"/>
          <w:szCs w:val="24"/>
          <w:lang w:val="en-US" w:eastAsia="zh-CN"/>
        </w:rPr>
        <w:t>海南G98八所互通工程</w:t>
      </w:r>
      <w:r>
        <w:rPr>
          <w:rFonts w:hint="eastAsia" w:ascii="仿宋" w:hAnsi="仿宋" w:eastAsia="仿宋" w:cstheme="minorEastAsia"/>
          <w:b/>
          <w:color w:val="000000"/>
          <w:sz w:val="24"/>
          <w:szCs w:val="24"/>
        </w:rPr>
        <w:t>项目：</w:t>
      </w:r>
      <w:r>
        <w:rPr>
          <w:rFonts w:hint="eastAsia" w:ascii="仿宋" w:hAnsi="仿宋" w:eastAsia="仿宋"/>
          <w:color w:val="000000"/>
          <w:sz w:val="24"/>
          <w:szCs w:val="24"/>
        </w:rPr>
        <w:t>项目位于G98环岛高速公路K402+287处，包括临时工程、路基工程、路面工程、桥梁涵洞工程、交叉工程、景观绿化环保工程、其他工程等的实施、完成及缺陷修复等。合同额1.276亿元，建设总工期730日历天。</w:t>
      </w:r>
    </w:p>
    <w:p>
      <w:pPr>
        <w:pStyle w:val="35"/>
        <w:spacing w:line="360" w:lineRule="auto"/>
        <w:ind w:firstLine="562"/>
        <w:rPr>
          <w:rFonts w:hint="eastAsia" w:ascii="仿宋" w:hAnsi="仿宋" w:eastAsia="仿宋" w:cs="仿宋"/>
          <w:b w:val="0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项目地址：海南省东方市八所镇</w:t>
      </w:r>
    </w:p>
    <w:p>
      <w:pPr>
        <w:pStyle w:val="35"/>
        <w:spacing w:line="360" w:lineRule="auto"/>
        <w:ind w:left="360" w:firstLine="0" w:firstLineChars="0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1.2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  <w:t>需求一览表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：</w:t>
      </w:r>
    </w:p>
    <w:tbl>
      <w:tblPr>
        <w:tblStyle w:val="18"/>
        <w:tblW w:w="8637" w:type="dxa"/>
        <w:tblInd w:w="2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376"/>
        <w:gridCol w:w="968"/>
        <w:gridCol w:w="616"/>
        <w:gridCol w:w="1216"/>
        <w:gridCol w:w="531"/>
        <w:gridCol w:w="1269"/>
        <w:gridCol w:w="1167"/>
        <w:gridCol w:w="7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项目简称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数量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交货地点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预计供货期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海南G98八所互通工程项目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线材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吨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HPB300 10mm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运至项目所在地指定地点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2025年7月-2025年12月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海南G98八所互通工程项目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盘螺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吨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HRB400E 10mm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运至项目所在地指定地点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2025年7月-2025年12月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海南G98八所互通工程项目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盘螺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吨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HRB400E 12mm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运至项目所在地指定地点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2025年7月-2025年12月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海南G98八所互通工程项目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螺纹钢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吨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HRB400E 12mm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运至项目所在地指定地点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2025年7月-2025年12月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海南G98八所互通工程项目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螺纹钢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吨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HRB400E 14mm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运至项目所在地指定地点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2025年7月-2025年12月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海南G98八所互通工程项目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螺纹钢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吨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HRB400E 16mm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运至项目所在地指定地点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2025年7月-2025年12月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海南G98八所互通工程项目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螺纹钢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吨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HRB400E 20mm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运至项目所在地指定地点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2025年7月-2025年12月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海南G98八所互通工程项目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螺纹钢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吨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HRB400E 22mm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运至项目所在地指定地点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2025年7月-2025年12月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海南G98八所互通工程项目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螺纹钢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吨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HRB400E 25mm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运至项目所在地指定地点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2025年7月-2025年12月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海南G98八所互通工程项目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螺纹钢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吨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HRB400E 28mm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运至项目所在地指定地点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2025年7月-2025年12月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小计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2810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二、定价方式</w:t>
      </w:r>
      <w:r>
        <w:rPr>
          <w:rFonts w:hint="eastAsia"/>
          <w:lang w:val="en-US" w:eastAsia="zh-CN"/>
        </w:rPr>
        <w:t xml:space="preserve">       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实际结算以出库当天“我的钢铁网”海口桂万钢对应型号为基准（盘螺HRP400EФ12mm除外）；盘螺HRP400EФ12mm以出库当天“我的钢铁网”海口桂万钢高线6的网价为基准，螺纹钢理计，其余磅计。若《我的钢铁网》当天遇节假日未公布市场价格，则按节假日前一天的信息价为准;若一日之内公布有多个信息价数据的，以最终公布的信息价数据为准;价格行情备注栏中出现的个别规格报价，参与计算。线材、盘螺在计价基准日的基价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eastAsia="zh-CN"/>
        </w:rPr>
        <w:t>±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元/吨，螺纹钢在计价基准日的基价上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eastAsia="zh-CN"/>
        </w:rPr>
        <w:t>±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元/吨。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三、结算及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支付方式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1.买卖双方以每月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u w:val="single"/>
          <w:lang w:val="en-US" w:eastAsia="zh-CN"/>
        </w:rPr>
        <w:t xml:space="preserve"> 11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日至次月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u w:val="single"/>
          <w:lang w:val="en-US" w:eastAsia="zh-CN"/>
        </w:rPr>
        <w:t xml:space="preserve"> 10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日为一个结算周期，在每个结算周期届满后 7 日内核对数量并办理结算。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2.买卖双方同意按照以下结算流程进行结算：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 每月结算量以双方确认后的数量为准。双方对结算周期内的数量进行签字确认，并加盖印章。卖方提供发票后，卖方应在当月结算完毕并入账。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买方在办理结算时，暂扣当期结算款项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u w:val="single"/>
          <w:lang w:val="en-US" w:eastAsia="zh-CN"/>
        </w:rPr>
        <w:t xml:space="preserve"> 3 %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作为质量保证金，质量保证期为每批次合同物资交货验收合格后 不超过3个月 。在无质量争议且质量保证期满后10日内返还给卖方。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四、中标价评审方法</w:t>
      </w:r>
    </w:p>
    <w:p>
      <w:pPr>
        <w:pStyle w:val="17"/>
        <w:spacing w:line="360" w:lineRule="auto"/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单一来源采购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设备型号、技术参数及其他要求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货物的质量、技术指标应符合以下标准：设计用普通钢筋为HPB300和HRB400钢筋，抗拉强度设计值分别为250、330MPa，其中钢筋直径≥12mm，采用 HRB400钢筋，直径&lt;12mm 一般采用HPB300钢筋，部分φ8、φ10钢筋采用 HRB400级钢筋。技术标准应符合国标《钢筋混凝土用钢第1部分：热轧光圆钢筋》（GB1499.1-2017）和《钢筋混凝土用钢第 2部分：热轧带肋钢筋》（GB1499.2-2018）的规定。在工程实施过程中，所引用的国家或行业标准或规范如果有修改或新颁，应由买方决定是否适用新标准或新规范，对此卖方应予理解并承担其风险。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六、其他条款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乙方提供的产品制造标准、安装标准及技术规范等必须符合国家相关标准或规范要求，相关产品通过国家强制性产品认证,卖方的产品选型、技术方案应能全面适应（或超出）采购要求,不得降低采购产品的技术标准和档次，且需列出详细技术参数偏离表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本项目由乙方负责所供应的设备、成品及半成品的采购、运输、保管、质量等问题。本项目所用的设备必须使用全新及没有缺陷的材料。</w:t>
      </w:r>
    </w:p>
    <w:p>
      <w:pPr>
        <w:spacing w:line="360" w:lineRule="auto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、联系方式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询 价 方：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中交一公局厦门工程有限公司</w:t>
      </w: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联 系 人：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邱锦玲</w:t>
      </w:r>
    </w:p>
    <w:p>
      <w:pPr>
        <w:spacing w:line="360" w:lineRule="auto"/>
        <w:rPr>
          <w:rFonts w:hint="default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电    话：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15605935377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联系地址：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厦门市集美区银江路139号  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项目联系人及电话：</w:t>
      </w:r>
    </w:p>
    <w:tbl>
      <w:tblPr>
        <w:tblStyle w:val="18"/>
        <w:tblW w:w="83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3"/>
        <w:gridCol w:w="1992"/>
        <w:gridCol w:w="1915"/>
      </w:tblGrid>
      <w:tr>
        <w:trPr>
          <w:trHeight w:val="336" w:hRule="atLeast"/>
          <w:tblHeader/>
          <w:jc w:val="center"/>
        </w:trPr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项目名称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联系人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海南G98八所互通项目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荣清洋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13082790958</w:t>
            </w:r>
          </w:p>
        </w:tc>
      </w:tr>
    </w:tbl>
    <w:p>
      <w:pPr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jc w:val="right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jc w:val="right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中交一公局厦门工程有限公司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866" w:firstLine="3600" w:firstLineChars="1500"/>
        <w:jc w:val="righ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u w:val="none"/>
          <w:lang w:val="en-US" w:eastAsia="zh-CN"/>
        </w:rPr>
        <w:t>2025年7月26日</w:t>
      </w:r>
    </w:p>
    <w:sectPr>
      <w:pgSz w:w="11906" w:h="16838"/>
      <w:pgMar w:top="1391" w:right="1264" w:bottom="1508" w:left="14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71BB91"/>
    <w:multiLevelType w:val="singleLevel"/>
    <w:tmpl w:val="5F71BB9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OTc1NzNjMTBlNDIyMmY0MjMxNjVmNGExYmUzODcifQ=="/>
  </w:docVars>
  <w:rsids>
    <w:rsidRoot w:val="00860ED3"/>
    <w:rsid w:val="001F1007"/>
    <w:rsid w:val="00280418"/>
    <w:rsid w:val="004E4D52"/>
    <w:rsid w:val="005E0F1C"/>
    <w:rsid w:val="007732BA"/>
    <w:rsid w:val="00860ED3"/>
    <w:rsid w:val="00A07E62"/>
    <w:rsid w:val="00AF4229"/>
    <w:rsid w:val="00B55A1D"/>
    <w:rsid w:val="00D376FD"/>
    <w:rsid w:val="00D44F3C"/>
    <w:rsid w:val="01663CBD"/>
    <w:rsid w:val="03695D93"/>
    <w:rsid w:val="03710AF1"/>
    <w:rsid w:val="041871BE"/>
    <w:rsid w:val="04293179"/>
    <w:rsid w:val="04383BD4"/>
    <w:rsid w:val="04956A61"/>
    <w:rsid w:val="05184F9C"/>
    <w:rsid w:val="057E12A3"/>
    <w:rsid w:val="05EE1C5A"/>
    <w:rsid w:val="05F415B1"/>
    <w:rsid w:val="0600615C"/>
    <w:rsid w:val="0641478C"/>
    <w:rsid w:val="06F21F49"/>
    <w:rsid w:val="071579E5"/>
    <w:rsid w:val="0757624F"/>
    <w:rsid w:val="09000221"/>
    <w:rsid w:val="098C626E"/>
    <w:rsid w:val="09D70CE1"/>
    <w:rsid w:val="09FD664F"/>
    <w:rsid w:val="0B9F6417"/>
    <w:rsid w:val="0C8C699B"/>
    <w:rsid w:val="0C9772B7"/>
    <w:rsid w:val="0CC55A09"/>
    <w:rsid w:val="0D164E44"/>
    <w:rsid w:val="0D1D2963"/>
    <w:rsid w:val="0D34433D"/>
    <w:rsid w:val="0E384A00"/>
    <w:rsid w:val="0E460DCC"/>
    <w:rsid w:val="0E87566C"/>
    <w:rsid w:val="0E8E33F6"/>
    <w:rsid w:val="0E920377"/>
    <w:rsid w:val="0ED86761"/>
    <w:rsid w:val="0F9553FA"/>
    <w:rsid w:val="10A854E4"/>
    <w:rsid w:val="11A50502"/>
    <w:rsid w:val="125910CE"/>
    <w:rsid w:val="12AE79D8"/>
    <w:rsid w:val="1315220B"/>
    <w:rsid w:val="13320224"/>
    <w:rsid w:val="14390386"/>
    <w:rsid w:val="145002AE"/>
    <w:rsid w:val="148576FA"/>
    <w:rsid w:val="154F67B8"/>
    <w:rsid w:val="16895CFA"/>
    <w:rsid w:val="16D83CCA"/>
    <w:rsid w:val="170D06D9"/>
    <w:rsid w:val="171C6B6E"/>
    <w:rsid w:val="17681DB3"/>
    <w:rsid w:val="17683267"/>
    <w:rsid w:val="179F1688"/>
    <w:rsid w:val="18221F62"/>
    <w:rsid w:val="18A64941"/>
    <w:rsid w:val="19241D0A"/>
    <w:rsid w:val="193006AE"/>
    <w:rsid w:val="1AC32967"/>
    <w:rsid w:val="1B66485B"/>
    <w:rsid w:val="1CBB2985"/>
    <w:rsid w:val="1CEF4282"/>
    <w:rsid w:val="1D905BC0"/>
    <w:rsid w:val="1EA638ED"/>
    <w:rsid w:val="1EE44415"/>
    <w:rsid w:val="1F0C6C30"/>
    <w:rsid w:val="1F262338"/>
    <w:rsid w:val="1F2F1112"/>
    <w:rsid w:val="1FF046D6"/>
    <w:rsid w:val="20564E9E"/>
    <w:rsid w:val="20821ACC"/>
    <w:rsid w:val="21017B0E"/>
    <w:rsid w:val="21273FB9"/>
    <w:rsid w:val="215A1BE8"/>
    <w:rsid w:val="225B49EE"/>
    <w:rsid w:val="22601425"/>
    <w:rsid w:val="22A51FE4"/>
    <w:rsid w:val="245E2574"/>
    <w:rsid w:val="266266E9"/>
    <w:rsid w:val="285048C9"/>
    <w:rsid w:val="286B34B1"/>
    <w:rsid w:val="2914206A"/>
    <w:rsid w:val="29565F0F"/>
    <w:rsid w:val="299A0E6A"/>
    <w:rsid w:val="29D3130E"/>
    <w:rsid w:val="2A2B2EF8"/>
    <w:rsid w:val="2AAF3B33"/>
    <w:rsid w:val="2B430715"/>
    <w:rsid w:val="2D074DFC"/>
    <w:rsid w:val="2D3841B3"/>
    <w:rsid w:val="2DA3549B"/>
    <w:rsid w:val="2DE97B3A"/>
    <w:rsid w:val="2E0A551A"/>
    <w:rsid w:val="2E2E740E"/>
    <w:rsid w:val="2EF22236"/>
    <w:rsid w:val="2FA63021"/>
    <w:rsid w:val="2FE07BDF"/>
    <w:rsid w:val="303C4701"/>
    <w:rsid w:val="304A7E50"/>
    <w:rsid w:val="30742D8C"/>
    <w:rsid w:val="30E14C68"/>
    <w:rsid w:val="316A4D30"/>
    <w:rsid w:val="31E62FE5"/>
    <w:rsid w:val="3220355E"/>
    <w:rsid w:val="329655CE"/>
    <w:rsid w:val="330F1E02"/>
    <w:rsid w:val="338F274A"/>
    <w:rsid w:val="33D20888"/>
    <w:rsid w:val="33F42DBE"/>
    <w:rsid w:val="34230087"/>
    <w:rsid w:val="34767465"/>
    <w:rsid w:val="355A5639"/>
    <w:rsid w:val="35901933"/>
    <w:rsid w:val="35AD2445"/>
    <w:rsid w:val="35D07CD5"/>
    <w:rsid w:val="35E84393"/>
    <w:rsid w:val="365E34D7"/>
    <w:rsid w:val="366854D4"/>
    <w:rsid w:val="367774C5"/>
    <w:rsid w:val="369319FE"/>
    <w:rsid w:val="370276D6"/>
    <w:rsid w:val="375E6223"/>
    <w:rsid w:val="37C329C2"/>
    <w:rsid w:val="37FA215C"/>
    <w:rsid w:val="382030E4"/>
    <w:rsid w:val="38877E93"/>
    <w:rsid w:val="38C34D2C"/>
    <w:rsid w:val="38C5096A"/>
    <w:rsid w:val="38D806EF"/>
    <w:rsid w:val="3A125E82"/>
    <w:rsid w:val="3AEA4709"/>
    <w:rsid w:val="3AEC222F"/>
    <w:rsid w:val="3B530501"/>
    <w:rsid w:val="3BC805C5"/>
    <w:rsid w:val="3BD44F09"/>
    <w:rsid w:val="3C8709C5"/>
    <w:rsid w:val="3C994B52"/>
    <w:rsid w:val="3CC875A4"/>
    <w:rsid w:val="3D6D5E6D"/>
    <w:rsid w:val="3E06436D"/>
    <w:rsid w:val="3E2D422A"/>
    <w:rsid w:val="3E3C527C"/>
    <w:rsid w:val="3F4F7231"/>
    <w:rsid w:val="3F676329"/>
    <w:rsid w:val="3F6E3B5B"/>
    <w:rsid w:val="3FBC27CB"/>
    <w:rsid w:val="3FCC6C50"/>
    <w:rsid w:val="405665FD"/>
    <w:rsid w:val="40664832"/>
    <w:rsid w:val="408E5B37"/>
    <w:rsid w:val="40D701C1"/>
    <w:rsid w:val="41DF489C"/>
    <w:rsid w:val="421502BE"/>
    <w:rsid w:val="42CB0305"/>
    <w:rsid w:val="433C5D1E"/>
    <w:rsid w:val="439C143A"/>
    <w:rsid w:val="43A01D77"/>
    <w:rsid w:val="44580936"/>
    <w:rsid w:val="44CD0208"/>
    <w:rsid w:val="45012D7B"/>
    <w:rsid w:val="4514575C"/>
    <w:rsid w:val="459F004E"/>
    <w:rsid w:val="465B295F"/>
    <w:rsid w:val="47AF59A2"/>
    <w:rsid w:val="48023336"/>
    <w:rsid w:val="48D662CD"/>
    <w:rsid w:val="49641B2B"/>
    <w:rsid w:val="4A167B9B"/>
    <w:rsid w:val="4A362C49"/>
    <w:rsid w:val="4A5A168C"/>
    <w:rsid w:val="4A7933B4"/>
    <w:rsid w:val="4A9F0AED"/>
    <w:rsid w:val="4BC36FDC"/>
    <w:rsid w:val="4BE551A5"/>
    <w:rsid w:val="4C132AA0"/>
    <w:rsid w:val="4CAD5597"/>
    <w:rsid w:val="4CE41265"/>
    <w:rsid w:val="4CFB27A6"/>
    <w:rsid w:val="4D44414D"/>
    <w:rsid w:val="4D573E80"/>
    <w:rsid w:val="4DE374C2"/>
    <w:rsid w:val="4E281379"/>
    <w:rsid w:val="4E6D36FD"/>
    <w:rsid w:val="4EA01857"/>
    <w:rsid w:val="4ECA7D3C"/>
    <w:rsid w:val="4F2A7EC8"/>
    <w:rsid w:val="4F4E3061"/>
    <w:rsid w:val="506A3ECB"/>
    <w:rsid w:val="50755410"/>
    <w:rsid w:val="50AB0024"/>
    <w:rsid w:val="50C64E79"/>
    <w:rsid w:val="51BD232E"/>
    <w:rsid w:val="51F6155F"/>
    <w:rsid w:val="520619D1"/>
    <w:rsid w:val="52650DED"/>
    <w:rsid w:val="529F4DD1"/>
    <w:rsid w:val="52E066C6"/>
    <w:rsid w:val="532D3D0C"/>
    <w:rsid w:val="537B019D"/>
    <w:rsid w:val="53883882"/>
    <w:rsid w:val="538E6122"/>
    <w:rsid w:val="53AB0A82"/>
    <w:rsid w:val="53E33DF5"/>
    <w:rsid w:val="53E43F94"/>
    <w:rsid w:val="53EB5322"/>
    <w:rsid w:val="547E6196"/>
    <w:rsid w:val="54D25C10"/>
    <w:rsid w:val="552B6DC0"/>
    <w:rsid w:val="55FF6E63"/>
    <w:rsid w:val="56A70915"/>
    <w:rsid w:val="571B7CCD"/>
    <w:rsid w:val="57FF75EE"/>
    <w:rsid w:val="587F072F"/>
    <w:rsid w:val="58F05189"/>
    <w:rsid w:val="5A3E54B0"/>
    <w:rsid w:val="5AB04BD0"/>
    <w:rsid w:val="5ABF3065"/>
    <w:rsid w:val="5B176393"/>
    <w:rsid w:val="5BA90E8F"/>
    <w:rsid w:val="5CBB785C"/>
    <w:rsid w:val="5CFA08F7"/>
    <w:rsid w:val="5CFF1E3E"/>
    <w:rsid w:val="5DAA3B58"/>
    <w:rsid w:val="5E386D27"/>
    <w:rsid w:val="5E513ED1"/>
    <w:rsid w:val="5E5F56F4"/>
    <w:rsid w:val="5EDD1D0C"/>
    <w:rsid w:val="5F0E45BB"/>
    <w:rsid w:val="5F5A335C"/>
    <w:rsid w:val="60487659"/>
    <w:rsid w:val="608508AD"/>
    <w:rsid w:val="609F5C5F"/>
    <w:rsid w:val="60B30F76"/>
    <w:rsid w:val="60C03693"/>
    <w:rsid w:val="60DD027C"/>
    <w:rsid w:val="615D788A"/>
    <w:rsid w:val="6183322E"/>
    <w:rsid w:val="622B0FE0"/>
    <w:rsid w:val="62414792"/>
    <w:rsid w:val="637E0895"/>
    <w:rsid w:val="649372F9"/>
    <w:rsid w:val="65711400"/>
    <w:rsid w:val="65C446E7"/>
    <w:rsid w:val="662C40AE"/>
    <w:rsid w:val="662F16DB"/>
    <w:rsid w:val="66A246FF"/>
    <w:rsid w:val="66CD6B09"/>
    <w:rsid w:val="67550FD9"/>
    <w:rsid w:val="67E771E2"/>
    <w:rsid w:val="68FF4E51"/>
    <w:rsid w:val="69905E1E"/>
    <w:rsid w:val="69B1626F"/>
    <w:rsid w:val="69BF0D2E"/>
    <w:rsid w:val="69F50851"/>
    <w:rsid w:val="6A021D6C"/>
    <w:rsid w:val="6A313E48"/>
    <w:rsid w:val="6A5C4FAA"/>
    <w:rsid w:val="6A7B361A"/>
    <w:rsid w:val="6AA87672"/>
    <w:rsid w:val="6AF15A10"/>
    <w:rsid w:val="6B9E2823"/>
    <w:rsid w:val="6BC8058B"/>
    <w:rsid w:val="6BE97F42"/>
    <w:rsid w:val="6C205DAD"/>
    <w:rsid w:val="6C49009E"/>
    <w:rsid w:val="6C7C2B64"/>
    <w:rsid w:val="6C9F4AA4"/>
    <w:rsid w:val="6D9D7236"/>
    <w:rsid w:val="6E66068B"/>
    <w:rsid w:val="6E801396"/>
    <w:rsid w:val="6EC56B99"/>
    <w:rsid w:val="6ECE22BD"/>
    <w:rsid w:val="6F231884"/>
    <w:rsid w:val="6F4A01B3"/>
    <w:rsid w:val="6F63000B"/>
    <w:rsid w:val="6F76572A"/>
    <w:rsid w:val="6FBB1BF5"/>
    <w:rsid w:val="6FEF1314"/>
    <w:rsid w:val="70263260"/>
    <w:rsid w:val="70506E9F"/>
    <w:rsid w:val="705B5186"/>
    <w:rsid w:val="70F21646"/>
    <w:rsid w:val="710F567F"/>
    <w:rsid w:val="71E851F9"/>
    <w:rsid w:val="729A01E8"/>
    <w:rsid w:val="734B3290"/>
    <w:rsid w:val="73D130F2"/>
    <w:rsid w:val="74A17A24"/>
    <w:rsid w:val="75CF717D"/>
    <w:rsid w:val="75D9727B"/>
    <w:rsid w:val="7621396C"/>
    <w:rsid w:val="762C4179"/>
    <w:rsid w:val="762F6E99"/>
    <w:rsid w:val="76466098"/>
    <w:rsid w:val="767F0357"/>
    <w:rsid w:val="77060312"/>
    <w:rsid w:val="775B2088"/>
    <w:rsid w:val="77C51824"/>
    <w:rsid w:val="77DE0B76"/>
    <w:rsid w:val="78D855C6"/>
    <w:rsid w:val="79673E7C"/>
    <w:rsid w:val="7AB45BBF"/>
    <w:rsid w:val="7B407452"/>
    <w:rsid w:val="7B933A26"/>
    <w:rsid w:val="7BC938EC"/>
    <w:rsid w:val="7BD227A0"/>
    <w:rsid w:val="7BD36518"/>
    <w:rsid w:val="7BFE390B"/>
    <w:rsid w:val="7C55517F"/>
    <w:rsid w:val="7CAF76F1"/>
    <w:rsid w:val="7D337993"/>
    <w:rsid w:val="7D823D52"/>
    <w:rsid w:val="7D983576"/>
    <w:rsid w:val="7DF369FE"/>
    <w:rsid w:val="7EA0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nhideWhenUsed="0" w:uiPriority="9" w:semiHidden="0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4"/>
    <w:next w:val="4"/>
    <w:link w:val="28"/>
    <w:qFormat/>
    <w:uiPriority w:val="99"/>
    <w:pPr>
      <w:jc w:val="left"/>
      <w:outlineLvl w:val="1"/>
    </w:pPr>
    <w:rPr>
      <w:b/>
      <w:bCs/>
    </w:rPr>
  </w:style>
  <w:style w:type="paragraph" w:styleId="5">
    <w:name w:val="heading 3"/>
    <w:basedOn w:val="1"/>
    <w:next w:val="1"/>
    <w:qFormat/>
    <w:uiPriority w:val="9"/>
    <w:pPr>
      <w:keepNext/>
      <w:keepLines/>
      <w:spacing w:before="260" w:after="260" w:line="413" w:lineRule="auto"/>
      <w:outlineLvl w:val="2"/>
    </w:pPr>
    <w:rPr>
      <w:rFonts w:ascii="Arial" w:hAnsi="Arial"/>
      <w:b/>
      <w:sz w:val="32"/>
      <w:szCs w:val="20"/>
    </w:rPr>
  </w:style>
  <w:style w:type="paragraph" w:styleId="6">
    <w:name w:val="heading 4"/>
    <w:basedOn w:val="1"/>
    <w:next w:val="1"/>
    <w:link w:val="29"/>
    <w:semiHidden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szCs w:val="20"/>
    </w:rPr>
  </w:style>
  <w:style w:type="paragraph" w:customStyle="1" w:styleId="4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7">
    <w:name w:val="index 5"/>
    <w:basedOn w:val="1"/>
    <w:next w:val="1"/>
    <w:qFormat/>
    <w:uiPriority w:val="0"/>
    <w:pPr>
      <w:ind w:left="1680"/>
    </w:pPr>
  </w:style>
  <w:style w:type="paragraph" w:styleId="8">
    <w:name w:val="annotation text"/>
    <w:basedOn w:val="1"/>
    <w:link w:val="32"/>
    <w:semiHidden/>
    <w:unhideWhenUsed/>
    <w:qFormat/>
    <w:uiPriority w:val="99"/>
    <w:pPr>
      <w:jc w:val="left"/>
    </w:pPr>
  </w:style>
  <w:style w:type="paragraph" w:styleId="9">
    <w:name w:val="Body Text"/>
    <w:basedOn w:val="1"/>
    <w:next w:val="1"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10">
    <w:name w:val="Body Text Indent"/>
    <w:basedOn w:val="1"/>
    <w:next w:val="1"/>
    <w:link w:val="26"/>
    <w:semiHidden/>
    <w:unhideWhenUsed/>
    <w:qFormat/>
    <w:uiPriority w:val="99"/>
    <w:pPr>
      <w:spacing w:after="120"/>
      <w:ind w:left="420" w:leftChars="200"/>
    </w:pPr>
  </w:style>
  <w:style w:type="paragraph" w:styleId="11">
    <w:name w:val="Balloon Text"/>
    <w:basedOn w:val="1"/>
    <w:link w:val="34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unhideWhenUsed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styleId="16">
    <w:name w:val="annotation subject"/>
    <w:basedOn w:val="8"/>
    <w:next w:val="8"/>
    <w:link w:val="33"/>
    <w:semiHidden/>
    <w:unhideWhenUsed/>
    <w:qFormat/>
    <w:uiPriority w:val="99"/>
    <w:rPr>
      <w:b/>
      <w:bCs/>
    </w:rPr>
  </w:style>
  <w:style w:type="paragraph" w:styleId="17">
    <w:name w:val="Body Text First Indent 2"/>
    <w:basedOn w:val="10"/>
    <w:next w:val="10"/>
    <w:link w:val="27"/>
    <w:unhideWhenUsed/>
    <w:qFormat/>
    <w:uiPriority w:val="99"/>
    <w:pPr>
      <w:ind w:firstLine="420" w:firstLineChars="200"/>
    </w:pPr>
  </w:style>
  <w:style w:type="table" w:styleId="19">
    <w:name w:val="Table Grid"/>
    <w:basedOn w:val="1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21">
    <w:name w:val="annotation reference"/>
    <w:basedOn w:val="20"/>
    <w:semiHidden/>
    <w:unhideWhenUsed/>
    <w:qFormat/>
    <w:uiPriority w:val="99"/>
    <w:rPr>
      <w:sz w:val="21"/>
      <w:szCs w:val="21"/>
    </w:rPr>
  </w:style>
  <w:style w:type="paragraph" w:customStyle="1" w:styleId="22">
    <w:name w:val="Default"/>
    <w:next w:val="7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23">
    <w:name w:val="正文表格"/>
    <w:basedOn w:val="1"/>
    <w:qFormat/>
    <w:uiPriority w:val="0"/>
    <w:pPr>
      <w:adjustRightInd w:val="0"/>
      <w:snapToGrid w:val="0"/>
      <w:ind w:firstLine="600" w:firstLineChars="200"/>
    </w:pPr>
    <w:rPr>
      <w:rFonts w:ascii="Times New Roman" w:hAnsi="Times New Roman" w:eastAsia="仿宋_GB2312"/>
      <w:kern w:val="24"/>
      <w:lang w:bidi="he-IL"/>
    </w:rPr>
  </w:style>
  <w:style w:type="character" w:customStyle="1" w:styleId="24">
    <w:name w:val="页眉 字符"/>
    <w:basedOn w:val="20"/>
    <w:link w:val="13"/>
    <w:semiHidden/>
    <w:qFormat/>
    <w:uiPriority w:val="99"/>
    <w:rPr>
      <w:sz w:val="18"/>
      <w:szCs w:val="18"/>
    </w:rPr>
  </w:style>
  <w:style w:type="character" w:customStyle="1" w:styleId="25">
    <w:name w:val="页脚 字符"/>
    <w:basedOn w:val="20"/>
    <w:link w:val="12"/>
    <w:semiHidden/>
    <w:qFormat/>
    <w:uiPriority w:val="99"/>
    <w:rPr>
      <w:sz w:val="18"/>
      <w:szCs w:val="18"/>
    </w:rPr>
  </w:style>
  <w:style w:type="character" w:customStyle="1" w:styleId="26">
    <w:name w:val="正文文本缩进 字符"/>
    <w:basedOn w:val="20"/>
    <w:link w:val="1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7">
    <w:name w:val="正文文本首行缩进 2 字符"/>
    <w:basedOn w:val="26"/>
    <w:link w:val="17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8">
    <w:name w:val="标题 2 字符"/>
    <w:basedOn w:val="20"/>
    <w:link w:val="3"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9">
    <w:name w:val="标题 4 字符"/>
    <w:basedOn w:val="20"/>
    <w:link w:val="6"/>
    <w:semiHidden/>
    <w:qFormat/>
    <w:uiPriority w:val="0"/>
    <w:rPr>
      <w:rFonts w:ascii="Arial" w:hAnsi="Arial" w:eastAsia="黑体" w:cs="Times New Roman"/>
      <w:b/>
      <w:sz w:val="28"/>
      <w:szCs w:val="24"/>
    </w:rPr>
  </w:style>
  <w:style w:type="paragraph" w:customStyle="1" w:styleId="30">
    <w:name w:val="样式 标题 2 + Times New Roman 四号 非加粗 段前: 5 磅 段后: 0 磅 行距: 固定值 20..."/>
    <w:basedOn w:val="3"/>
    <w:qFormat/>
    <w:uiPriority w:val="0"/>
    <w:pPr>
      <w:keepNext/>
      <w:keepLines/>
      <w:spacing w:before="100" w:line="400" w:lineRule="exact"/>
      <w:jc w:val="both"/>
    </w:pPr>
    <w:rPr>
      <w:rFonts w:eastAsia="黑体" w:cs="宋体"/>
      <w:b w:val="0"/>
      <w:bCs w:val="0"/>
      <w:kern w:val="0"/>
      <w:sz w:val="28"/>
      <w:szCs w:val="20"/>
    </w:rPr>
  </w:style>
  <w:style w:type="paragraph" w:customStyle="1" w:styleId="31">
    <w:name w:val="p0"/>
    <w:basedOn w:val="1"/>
    <w:qFormat/>
    <w:uiPriority w:val="0"/>
    <w:pPr>
      <w:widowControl/>
      <w:ind w:firstLine="420"/>
    </w:pPr>
    <w:rPr>
      <w:kern w:val="0"/>
    </w:rPr>
  </w:style>
  <w:style w:type="character" w:customStyle="1" w:styleId="32">
    <w:name w:val="批注文字 字符"/>
    <w:basedOn w:val="20"/>
    <w:link w:val="8"/>
    <w:semiHidden/>
    <w:qFormat/>
    <w:uiPriority w:val="99"/>
    <w:rPr>
      <w:kern w:val="2"/>
      <w:sz w:val="21"/>
      <w:szCs w:val="24"/>
    </w:rPr>
  </w:style>
  <w:style w:type="character" w:customStyle="1" w:styleId="33">
    <w:name w:val="批注主题 字符"/>
    <w:basedOn w:val="32"/>
    <w:link w:val="16"/>
    <w:semiHidden/>
    <w:qFormat/>
    <w:uiPriority w:val="99"/>
    <w:rPr>
      <w:b/>
      <w:bCs/>
      <w:kern w:val="2"/>
      <w:sz w:val="21"/>
      <w:szCs w:val="24"/>
    </w:rPr>
  </w:style>
  <w:style w:type="character" w:customStyle="1" w:styleId="34">
    <w:name w:val="批注框文本 字符"/>
    <w:basedOn w:val="20"/>
    <w:link w:val="11"/>
    <w:semiHidden/>
    <w:qFormat/>
    <w:uiPriority w:val="99"/>
    <w:rPr>
      <w:kern w:val="2"/>
      <w:sz w:val="18"/>
      <w:szCs w:val="18"/>
    </w:rPr>
  </w:style>
  <w:style w:type="paragraph" w:styleId="3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6">
    <w:name w:val="font41"/>
    <w:basedOn w:val="20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37">
    <w:name w:val="font31"/>
    <w:basedOn w:val="20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38">
    <w:name w:val="font01"/>
    <w:basedOn w:val="20"/>
    <w:qFormat/>
    <w:uiPriority w:val="0"/>
    <w:rPr>
      <w:rFonts w:hint="eastAsia" w:ascii="仿宋" w:hAnsi="仿宋" w:eastAsia="仿宋" w:cs="仿宋"/>
      <w:color w:val="FF0000"/>
      <w:sz w:val="21"/>
      <w:szCs w:val="21"/>
      <w:u w:val="none"/>
    </w:rPr>
  </w:style>
  <w:style w:type="character" w:customStyle="1" w:styleId="39">
    <w:name w:val="font21"/>
    <w:basedOn w:val="20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1656</Words>
  <Characters>1927</Characters>
  <Lines>7</Lines>
  <Paragraphs>1</Paragraphs>
  <TotalTime>1</TotalTime>
  <ScaleCrop>false</ScaleCrop>
  <LinksUpToDate>false</LinksUpToDate>
  <CharactersWithSpaces>1985</CharactersWithSpaces>
  <Application>WPS Office_11.8.0.16970_F1E327BC-269C-435d-A152-05C5408002CA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2020-03-17T04:05:00Z</dcterms:created>
  <dc:creator>admin</dc:creator>
  <cp:lastModifiedBy>Administrator</cp:lastModifiedBy>
  <dcterms:modified xsi:type="dcterms:W3CDTF">2025-07-25T17:36:54Z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2052-11.8.0.16970</vt:lpwstr>
  </property>
  <property fmtid="{D5CDD505-2E9C-101B-9397-08002B2CF9AE}" pid="3" name="ICV">
    <vt:lpwstr>EC677A7995B74E45AAA710E3D911AC21_13</vt:lpwstr>
  </property>
  <property fmtid="{D5CDD505-2E9C-101B-9397-08002B2CF9AE}" pid="4" name="KSOTemplateDocerSaveRecord">
    <vt:lpwstr>eyJoZGlkIjoiMzEwNTM5NzYwMDRjMzkwZTVkZjY2ODkwMGIxNGU0OTUiLCJ1c2VySWQiOiI1MTcyMDk1ODcifQ==</vt:lpwstr>
  </property>
</Properties>
</file>