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8A08A">
      <w:pPr>
        <w:spacing w:line="360" w:lineRule="auto"/>
        <w:ind w:right="-58" w:firstLine="600"/>
        <w:jc w:val="right"/>
        <w:rPr>
          <w:rFonts w:ascii="方正小标宋_GBK" w:eastAsia="方正小标宋_GBK"/>
          <w:color w:val="000000" w:themeColor="text1"/>
          <w:sz w:val="30"/>
          <w:szCs w:val="30"/>
          <w:highlight w:val="none"/>
          <w:lang w:eastAsia="zh-CN"/>
        </w:rPr>
      </w:pPr>
      <w:bookmarkStart w:id="13" w:name="_GoBack"/>
      <w:r>
        <w:rPr>
          <w:rFonts w:hint="eastAsia" w:ascii="方正小标宋_GBK" w:eastAsia="方正小标宋_GBK"/>
          <w:color w:val="000000" w:themeColor="text1"/>
          <w:sz w:val="30"/>
          <w:szCs w:val="30"/>
          <w:highlight w:val="none"/>
          <w:lang w:eastAsia="zh-CN"/>
        </w:rPr>
        <w:t>范本编号：SGCC-02-HWGK(20</w:t>
      </w:r>
      <w:r>
        <w:rPr>
          <w:rFonts w:hint="eastAsia" w:ascii="方正小标宋_GBK" w:eastAsia="方正小标宋_GBK"/>
          <w:sz w:val="30"/>
          <w:szCs w:val="30"/>
          <w:highlight w:val="none"/>
          <w:lang w:eastAsia="zh-CN"/>
        </w:rPr>
        <w:t>24</w:t>
      </w:r>
      <w:r>
        <w:rPr>
          <w:rFonts w:hint="eastAsia" w:ascii="方正小标宋_GBK" w:eastAsia="方正小标宋_GBK"/>
          <w:color w:val="000000" w:themeColor="text1"/>
          <w:sz w:val="30"/>
          <w:szCs w:val="30"/>
          <w:highlight w:val="none"/>
          <w:lang w:eastAsia="zh-CN"/>
        </w:rPr>
        <w:t>)</w:t>
      </w:r>
    </w:p>
    <w:p w14:paraId="4A839829">
      <w:pPr>
        <w:spacing w:line="360" w:lineRule="auto"/>
        <w:ind w:right="-58"/>
        <w:jc w:val="center"/>
        <w:rPr>
          <w:rFonts w:ascii="方正小标宋_GBK" w:eastAsia="方正小标宋_GBK"/>
          <w:color w:val="000000" w:themeColor="text1"/>
          <w:sz w:val="30"/>
          <w:szCs w:val="30"/>
          <w:highlight w:val="none"/>
          <w:lang w:eastAsia="zh-CN"/>
        </w:rPr>
      </w:pPr>
    </w:p>
    <w:p w14:paraId="3571486B">
      <w:pPr>
        <w:pStyle w:val="11"/>
        <w:rPr>
          <w:rFonts w:ascii="方正小标宋_GBK" w:eastAsia="方正小标宋_GBK"/>
          <w:color w:val="000000" w:themeColor="text1"/>
          <w:sz w:val="30"/>
          <w:szCs w:val="30"/>
          <w:highlight w:val="none"/>
          <w:lang w:eastAsia="zh-CN"/>
        </w:rPr>
      </w:pPr>
    </w:p>
    <w:p w14:paraId="55F3FD72">
      <w:pPr>
        <w:pStyle w:val="11"/>
        <w:rPr>
          <w:rFonts w:ascii="方正小标宋_GBK" w:eastAsia="方正小标宋_GBK"/>
          <w:color w:val="000000" w:themeColor="text1"/>
          <w:sz w:val="30"/>
          <w:szCs w:val="30"/>
          <w:highlight w:val="none"/>
          <w:lang w:eastAsia="zh-CN"/>
        </w:rPr>
      </w:pPr>
    </w:p>
    <w:p w14:paraId="0C4EF0AF">
      <w:pPr>
        <w:tabs>
          <w:tab w:val="left" w:pos="4795"/>
        </w:tabs>
        <w:spacing w:line="360" w:lineRule="auto"/>
        <w:ind w:right="-58"/>
        <w:rPr>
          <w:rFonts w:ascii="方正小标宋_GBK" w:eastAsia="方正小标宋_GBK"/>
          <w:color w:val="000000" w:themeColor="text1"/>
          <w:sz w:val="30"/>
          <w:szCs w:val="30"/>
          <w:highlight w:val="none"/>
          <w:lang w:eastAsia="zh-CN"/>
        </w:rPr>
      </w:pPr>
      <w:r>
        <w:rPr>
          <w:rFonts w:hint="eastAsia" w:ascii="方正小标宋_GBK" w:eastAsia="方正小标宋_GBK"/>
          <w:color w:val="000000" w:themeColor="text1"/>
          <w:sz w:val="30"/>
          <w:szCs w:val="30"/>
          <w:highlight w:val="none"/>
          <w:lang w:eastAsia="zh-CN"/>
        </w:rPr>
        <w:tab/>
      </w:r>
    </w:p>
    <w:p w14:paraId="4B741D20">
      <w:pPr>
        <w:tabs>
          <w:tab w:val="left" w:pos="5314"/>
        </w:tabs>
        <w:spacing w:line="360" w:lineRule="auto"/>
        <w:ind w:right="-58"/>
        <w:rPr>
          <w:rFonts w:ascii="方正小标宋_GBK" w:eastAsia="方正小标宋_GBK"/>
          <w:color w:val="000000" w:themeColor="text1"/>
          <w:sz w:val="30"/>
          <w:szCs w:val="30"/>
          <w:highlight w:val="none"/>
          <w:lang w:eastAsia="zh-CN"/>
        </w:rPr>
      </w:pPr>
      <w:r>
        <w:rPr>
          <w:rFonts w:hint="eastAsia" w:ascii="方正小标宋_GBK" w:eastAsia="方正小标宋_GBK"/>
          <w:color w:val="000000" w:themeColor="text1"/>
          <w:sz w:val="30"/>
          <w:szCs w:val="30"/>
          <w:highlight w:val="none"/>
          <w:lang w:eastAsia="zh-CN"/>
        </w:rPr>
        <w:tab/>
      </w:r>
    </w:p>
    <w:p w14:paraId="296B5EF9">
      <w:pPr>
        <w:snapToGrid w:val="0"/>
        <w:spacing w:line="800" w:lineRule="exact"/>
        <w:ind w:firstLine="883"/>
        <w:jc w:val="center"/>
        <w:rPr>
          <w:rFonts w:ascii="方正小标宋_GBK" w:eastAsia="方正小标宋_GBK"/>
          <w:b/>
          <w:color w:val="000000" w:themeColor="text1"/>
          <w:sz w:val="44"/>
          <w:szCs w:val="44"/>
          <w:highlight w:val="none"/>
          <w:lang w:eastAsia="zh-CN"/>
        </w:rPr>
      </w:pPr>
      <w:r>
        <w:rPr>
          <w:rFonts w:hint="eastAsia" w:ascii="方正小标宋_GBK" w:hAnsi="宋体" w:eastAsia="方正小标宋_GBK"/>
          <w:b/>
          <w:color w:val="000000"/>
          <w:sz w:val="44"/>
          <w:szCs w:val="44"/>
          <w:highlight w:val="none"/>
          <w:lang w:eastAsia="zh-CN"/>
        </w:rPr>
        <w:t>南京南瑞新能源科技有限公司</w:t>
      </w:r>
    </w:p>
    <w:p w14:paraId="1727450F">
      <w:pPr>
        <w:snapToGrid w:val="0"/>
        <w:spacing w:line="800" w:lineRule="exact"/>
        <w:jc w:val="center"/>
        <w:rPr>
          <w:rFonts w:ascii="方正小标宋_GBK" w:eastAsia="方正小标宋_GBK"/>
          <w:b/>
          <w:color w:val="000000" w:themeColor="text1"/>
          <w:sz w:val="44"/>
          <w:szCs w:val="44"/>
          <w:highlight w:val="none"/>
          <w:lang w:eastAsia="zh-CN"/>
        </w:rPr>
      </w:pPr>
      <w:r>
        <w:rPr>
          <w:rFonts w:hint="eastAsia" w:ascii="方正小标宋_GBK" w:eastAsia="方正小标宋_GBK"/>
          <w:b/>
          <w:color w:val="000000" w:themeColor="text1"/>
          <w:sz w:val="44"/>
          <w:szCs w:val="44"/>
          <w:highlight w:val="none"/>
          <w:lang w:eastAsia="zh-CN"/>
        </w:rPr>
        <w:t>采购公告</w:t>
      </w:r>
    </w:p>
    <w:p w14:paraId="589118AE">
      <w:pPr>
        <w:snapToGrid w:val="0"/>
        <w:spacing w:line="700" w:lineRule="exact"/>
        <w:jc w:val="center"/>
        <w:rPr>
          <w:rFonts w:ascii="方正小标宋_GBK" w:eastAsia="方正小标宋_GBK"/>
          <w:b/>
          <w:color w:val="000000" w:themeColor="text1"/>
          <w:sz w:val="44"/>
          <w:szCs w:val="44"/>
          <w:highlight w:val="none"/>
          <w:lang w:eastAsia="zh-CN"/>
        </w:rPr>
      </w:pPr>
    </w:p>
    <w:p w14:paraId="516CA8F2">
      <w:pPr>
        <w:snapToGrid w:val="0"/>
        <w:spacing w:line="700" w:lineRule="exact"/>
        <w:jc w:val="center"/>
        <w:rPr>
          <w:rFonts w:ascii="方正小标宋_GBK" w:eastAsia="方正小标宋_GBK"/>
          <w:b/>
          <w:color w:val="000000" w:themeColor="text1"/>
          <w:sz w:val="44"/>
          <w:szCs w:val="44"/>
          <w:highlight w:val="none"/>
          <w:lang w:eastAsia="zh-CN"/>
        </w:rPr>
      </w:pPr>
    </w:p>
    <w:p w14:paraId="509A2EAB">
      <w:pPr>
        <w:snapToGrid w:val="0"/>
        <w:spacing w:line="360" w:lineRule="auto"/>
        <w:ind w:left="1642"/>
        <w:rPr>
          <w:rFonts w:ascii="方正小标宋_GBK" w:eastAsia="方正小标宋_GBK"/>
          <w:b/>
          <w:color w:val="000000" w:themeColor="text1"/>
          <w:sz w:val="32"/>
          <w:szCs w:val="32"/>
          <w:highlight w:val="none"/>
          <w:lang w:eastAsia="zh-CN"/>
        </w:rPr>
      </w:pPr>
    </w:p>
    <w:p w14:paraId="45FD3F65">
      <w:pPr>
        <w:snapToGrid w:val="0"/>
        <w:spacing w:line="360" w:lineRule="auto"/>
        <w:ind w:left="1642"/>
        <w:rPr>
          <w:rFonts w:ascii="方正小标宋_GBK" w:eastAsia="方正小标宋_GBK"/>
          <w:b/>
          <w:color w:val="000000" w:themeColor="text1"/>
          <w:sz w:val="32"/>
          <w:szCs w:val="32"/>
          <w:highlight w:val="none"/>
          <w:lang w:eastAsia="zh-CN"/>
        </w:rPr>
      </w:pPr>
    </w:p>
    <w:p w14:paraId="1F75E766">
      <w:pPr>
        <w:snapToGrid w:val="0"/>
        <w:spacing w:line="360" w:lineRule="auto"/>
        <w:ind w:left="924"/>
        <w:rPr>
          <w:rFonts w:ascii="方正小标宋_GBK" w:eastAsia="方正小标宋_GBK"/>
          <w:b/>
          <w:color w:val="000000" w:themeColor="text1"/>
          <w:sz w:val="18"/>
          <w:szCs w:val="32"/>
          <w:highlight w:val="none"/>
          <w:lang w:eastAsia="zh-CN"/>
        </w:rPr>
      </w:pPr>
    </w:p>
    <w:p w14:paraId="093B0881">
      <w:pPr>
        <w:adjustRightInd w:val="0"/>
        <w:snapToGrid w:val="0"/>
        <w:spacing w:line="360" w:lineRule="auto"/>
        <w:ind w:firstLine="600"/>
        <w:jc w:val="center"/>
        <w:rPr>
          <w:rFonts w:ascii="黑体" w:eastAsia="黑体"/>
          <w:color w:val="000000" w:themeColor="text1"/>
          <w:sz w:val="30"/>
          <w:szCs w:val="32"/>
          <w:highlight w:val="none"/>
          <w:lang w:eastAsia="zh-CN"/>
        </w:rPr>
      </w:pPr>
      <w:r>
        <w:rPr>
          <w:rFonts w:hint="eastAsia" w:ascii="黑体" w:eastAsia="黑体"/>
          <w:color w:val="000000"/>
          <w:sz w:val="30"/>
          <w:szCs w:val="32"/>
          <w:highlight w:val="none"/>
          <w:lang w:eastAsia="zh-CN"/>
        </w:rPr>
        <w:t>南京南瑞新能源科技有限公司</w:t>
      </w:r>
    </w:p>
    <w:p w14:paraId="38C1E52D">
      <w:pPr>
        <w:ind w:firstLine="600"/>
        <w:jc w:val="center"/>
        <w:rPr>
          <w:color w:val="000000" w:themeColor="text1"/>
          <w:highlight w:val="none"/>
          <w:lang w:eastAsia="zh-CN"/>
        </w:rPr>
      </w:pPr>
      <w:r>
        <w:rPr>
          <w:rFonts w:hint="eastAsia" w:ascii="黑体" w:eastAsia="黑体"/>
          <w:color w:val="000000" w:themeColor="text1"/>
          <w:sz w:val="30"/>
          <w:szCs w:val="32"/>
          <w:highlight w:val="none"/>
          <w:lang w:eastAsia="zh-CN"/>
        </w:rPr>
        <w:t>二〇</w:t>
      </w:r>
      <w:r>
        <w:rPr>
          <w:rFonts w:hint="eastAsia" w:ascii="黑体" w:eastAsia="黑体"/>
          <w:sz w:val="30"/>
          <w:szCs w:val="32"/>
          <w:highlight w:val="none"/>
          <w:lang w:eastAsia="zh-CN"/>
        </w:rPr>
        <w:t>二五年</w:t>
      </w:r>
    </w:p>
    <w:p w14:paraId="0181BE8D">
      <w:pPr>
        <w:ind w:firstLine="640"/>
        <w:rPr>
          <w:rFonts w:eastAsia="黑体"/>
          <w:color w:val="000000" w:themeColor="text1"/>
          <w:sz w:val="32"/>
          <w:highlight w:val="none"/>
          <w:lang w:eastAsia="zh-CN"/>
        </w:rPr>
      </w:pPr>
    </w:p>
    <w:p w14:paraId="1B7ECD7D">
      <w:pPr>
        <w:adjustRightInd w:val="0"/>
        <w:snapToGrid w:val="0"/>
        <w:ind w:firstLine="562"/>
        <w:jc w:val="center"/>
        <w:outlineLvl w:val="0"/>
        <w:rPr>
          <w:rFonts w:ascii="黑体" w:eastAsia="黑体"/>
          <w:b/>
          <w:color w:val="000000" w:themeColor="text1"/>
          <w:sz w:val="28"/>
          <w:szCs w:val="28"/>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849" w:h="16781"/>
          <w:pgMar w:top="1134" w:right="1803" w:bottom="1134" w:left="1803" w:header="0" w:footer="839" w:gutter="0"/>
          <w:pgNumType w:start="0"/>
          <w:cols w:space="0" w:num="1"/>
          <w:titlePg/>
          <w:docGrid w:linePitch="286" w:charSpace="0"/>
        </w:sectPr>
      </w:pPr>
    </w:p>
    <w:p w14:paraId="36053717">
      <w:pPr>
        <w:adjustRightInd w:val="0"/>
        <w:snapToGrid w:val="0"/>
        <w:spacing w:line="240" w:lineRule="auto"/>
        <w:jc w:val="center"/>
        <w:outlineLvl w:val="0"/>
        <w:rPr>
          <w:rFonts w:ascii="黑体" w:eastAsia="黑体"/>
          <w:b/>
          <w:color w:val="000000" w:themeColor="text1"/>
          <w:sz w:val="36"/>
          <w:szCs w:val="36"/>
          <w:highlight w:val="none"/>
          <w:lang w:eastAsia="zh-CN"/>
        </w:rPr>
      </w:pPr>
      <w:bookmarkStart w:id="0" w:name="_Toc63094708"/>
      <w:r>
        <w:rPr>
          <w:rFonts w:hint="eastAsia" w:ascii="黑体" w:eastAsia="黑体"/>
          <w:b/>
          <w:color w:val="000000" w:themeColor="text1"/>
          <w:sz w:val="28"/>
          <w:szCs w:val="28"/>
          <w:highlight w:val="none"/>
          <w:lang w:eastAsia="zh-CN"/>
        </w:rPr>
        <w:t>第一章  采购公告</w:t>
      </w:r>
      <w:bookmarkEnd w:id="0"/>
    </w:p>
    <w:p w14:paraId="011F3837">
      <w:pPr>
        <w:adjustRightInd w:val="0"/>
        <w:snapToGrid w:val="0"/>
        <w:spacing w:after="0" w:line="240" w:lineRule="auto"/>
        <w:jc w:val="center"/>
        <w:rPr>
          <w:rFonts w:ascii="黑体" w:eastAsia="黑体"/>
          <w:color w:val="FF0000"/>
          <w:sz w:val="28"/>
          <w:szCs w:val="28"/>
          <w:highlight w:val="none"/>
          <w:lang w:eastAsia="zh-CN"/>
        </w:rPr>
      </w:pPr>
      <w:r>
        <w:rPr>
          <w:rFonts w:hint="eastAsia" w:ascii="黑体" w:eastAsia="黑体"/>
          <w:color w:val="000000"/>
          <w:sz w:val="28"/>
          <w:szCs w:val="28"/>
          <w:highlight w:val="none"/>
          <w:lang w:eastAsia="zh-CN"/>
        </w:rPr>
        <w:t>中电建达孜区50MW牧光互补复合型光伏发电项目储能设备功率变换交流侧系统采购</w:t>
      </w:r>
    </w:p>
    <w:p w14:paraId="25BC34B4">
      <w:pPr>
        <w:adjustRightInd w:val="0"/>
        <w:snapToGrid w:val="0"/>
        <w:spacing w:after="0" w:line="240" w:lineRule="auto"/>
        <w:jc w:val="center"/>
        <w:rPr>
          <w:rFonts w:ascii="黑体" w:eastAsia="黑体"/>
          <w:color w:val="000000" w:themeColor="text1"/>
          <w:sz w:val="28"/>
          <w:szCs w:val="28"/>
          <w:highlight w:val="none"/>
          <w:lang w:eastAsia="zh-CN"/>
        </w:rPr>
      </w:pPr>
      <w:bookmarkStart w:id="1" w:name="_Toc20475"/>
      <w:r>
        <w:rPr>
          <w:rFonts w:hint="eastAsia" w:ascii="黑体" w:eastAsia="黑体"/>
          <w:color w:val="000000" w:themeColor="text1"/>
          <w:sz w:val="28"/>
          <w:szCs w:val="28"/>
          <w:highlight w:val="none"/>
          <w:lang w:eastAsia="zh-CN"/>
        </w:rPr>
        <w:t>采购公告</w:t>
      </w:r>
      <w:bookmarkEnd w:id="1"/>
    </w:p>
    <w:p w14:paraId="403EA300">
      <w:pPr>
        <w:adjustRightInd w:val="0"/>
        <w:snapToGrid w:val="0"/>
        <w:spacing w:after="0" w:line="240" w:lineRule="auto"/>
        <w:jc w:val="center"/>
        <w:rPr>
          <w:rFonts w:ascii="宋体" w:hAnsi="宋体"/>
          <w:b/>
          <w:color w:val="000000" w:themeColor="text1"/>
          <w:highlight w:val="none"/>
          <w:lang w:eastAsia="zh-CN"/>
        </w:rPr>
      </w:pPr>
      <w:r>
        <w:rPr>
          <w:rFonts w:hint="eastAsia" w:ascii="黑体" w:hAnsi="黑体" w:eastAsia="黑体"/>
          <w:color w:val="000000" w:themeColor="text1"/>
          <w:sz w:val="28"/>
          <w:szCs w:val="28"/>
          <w:highlight w:val="none"/>
          <w:lang w:eastAsia="zh-CN"/>
        </w:rPr>
        <w:t>采购编号：</w:t>
      </w:r>
      <w:r>
        <w:rPr>
          <w:rFonts w:hint="eastAsia" w:ascii="黑体" w:eastAsia="黑体"/>
          <w:color w:val="000000"/>
          <w:sz w:val="28"/>
          <w:szCs w:val="28"/>
          <w:highlight w:val="none"/>
          <w:lang w:eastAsia="zh-CN"/>
        </w:rPr>
        <w:t>NARI-NRXNY-H63-20250201</w:t>
      </w:r>
    </w:p>
    <w:p w14:paraId="3E001286">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bookmarkStart w:id="2" w:name="_Toc63094709"/>
      <w:r>
        <w:rPr>
          <w:rFonts w:hint="eastAsia" w:ascii="黑体" w:eastAsia="黑体"/>
          <w:b/>
          <w:color w:val="000000" w:themeColor="text1"/>
          <w:sz w:val="24"/>
          <w:highlight w:val="none"/>
          <w:lang w:eastAsia="zh-CN"/>
        </w:rPr>
        <w:t>1.采购条件</w:t>
      </w:r>
      <w:bookmarkEnd w:id="2"/>
    </w:p>
    <w:p w14:paraId="23D386D5">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项目建设单位为</w:t>
      </w:r>
      <w:r>
        <w:rPr>
          <w:rFonts w:hint="eastAsia" w:ascii="宋体" w:hAnsi="宋体" w:eastAsia="宋体" w:cs="宋体"/>
          <w:color w:val="000000"/>
          <w:sz w:val="21"/>
          <w:szCs w:val="21"/>
          <w:highlight w:val="none"/>
          <w:lang w:eastAsia="zh-CN"/>
        </w:rPr>
        <w:t>南京南瑞新能源科技有限公司</w:t>
      </w:r>
      <w:r>
        <w:rPr>
          <w:rFonts w:hint="eastAsia" w:ascii="宋体" w:hAnsi="宋体" w:eastAsia="宋体" w:cs="宋体"/>
          <w:color w:val="000000" w:themeColor="text1"/>
          <w:sz w:val="21"/>
          <w:szCs w:val="21"/>
          <w:highlight w:val="none"/>
          <w:lang w:eastAsia="zh-CN"/>
        </w:rPr>
        <w:t>（以下简称“项目单位”），项目资金来自</w:t>
      </w:r>
      <w:r>
        <w:rPr>
          <w:rFonts w:hint="eastAsia" w:ascii="宋体" w:hAnsi="宋体" w:eastAsia="宋体" w:cs="宋体"/>
          <w:color w:val="000000" w:themeColor="text1"/>
          <w:sz w:val="21"/>
          <w:szCs w:val="21"/>
          <w:highlight w:val="none"/>
          <w:lang w:eastAsia="zh-CN"/>
        </w:rPr>
        <w:t>企业自有资金，出资比例为100%，资金来源已落实，采购人为</w:t>
      </w:r>
      <w:r>
        <w:rPr>
          <w:rFonts w:hint="eastAsia" w:ascii="宋体" w:hAnsi="宋体" w:eastAsia="宋体" w:cs="宋体"/>
          <w:color w:val="000000"/>
          <w:sz w:val="21"/>
          <w:szCs w:val="21"/>
          <w:highlight w:val="none"/>
          <w:lang w:eastAsia="zh-CN"/>
        </w:rPr>
        <w:t>南京南瑞新能源科技有限公司</w:t>
      </w:r>
      <w:r>
        <w:rPr>
          <w:rFonts w:hint="eastAsia" w:ascii="宋体" w:hAnsi="宋体" w:eastAsia="宋体" w:cs="宋体"/>
          <w:color w:val="000000" w:themeColor="text1"/>
          <w:sz w:val="21"/>
          <w:szCs w:val="21"/>
          <w:highlight w:val="none"/>
          <w:lang w:eastAsia="zh-CN"/>
        </w:rPr>
        <w:t>，并委托</w:t>
      </w:r>
      <w:r>
        <w:rPr>
          <w:rFonts w:hint="eastAsia" w:ascii="宋体" w:hAnsi="宋体" w:eastAsia="宋体" w:cs="宋体"/>
          <w:color w:val="000000"/>
          <w:sz w:val="21"/>
          <w:szCs w:val="21"/>
          <w:highlight w:val="none"/>
          <w:lang w:eastAsia="zh-CN"/>
        </w:rPr>
        <w:t>苏美达国际技术贸易有限公司</w:t>
      </w:r>
      <w:r>
        <w:rPr>
          <w:rFonts w:hint="eastAsia" w:ascii="宋体" w:hAnsi="宋体" w:eastAsia="宋体" w:cs="宋体"/>
          <w:color w:val="000000" w:themeColor="text1"/>
          <w:sz w:val="21"/>
          <w:szCs w:val="21"/>
          <w:highlight w:val="none"/>
          <w:lang w:eastAsia="zh-CN"/>
        </w:rPr>
        <w:t>为采购代理机构</w:t>
      </w:r>
      <w:r>
        <w:rPr>
          <w:rFonts w:hint="eastAsia" w:ascii="宋体" w:hAnsi="宋体" w:eastAsia="宋体" w:cs="宋体"/>
          <w:color w:val="000000" w:themeColor="text1"/>
          <w:sz w:val="21"/>
          <w:szCs w:val="21"/>
          <w:highlight w:val="none"/>
          <w:lang w:eastAsia="zh-CN"/>
        </w:rPr>
        <w:t>。项目已具备采购条件，现对该项目进行公开竞争性谈判采购。</w:t>
      </w:r>
    </w:p>
    <w:p w14:paraId="04E85F4A">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本项目积极响应《中共中央国务院关于开展质量提升行动的指导意见》，倡导潜在应答人用先进标准引领产品质量提升，有效治理质量突出问题，推动形成优质优价的采购机制。</w:t>
      </w:r>
    </w:p>
    <w:p w14:paraId="619C5F6A">
      <w:pPr>
        <w:numPr>
          <w:ilvl w:val="0"/>
          <w:numId w:val="1"/>
        </w:num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bookmarkStart w:id="3" w:name="_Toc63094710"/>
      <w:r>
        <w:rPr>
          <w:rFonts w:hint="eastAsia" w:ascii="黑体" w:eastAsia="黑体"/>
          <w:b/>
          <w:color w:val="000000" w:themeColor="text1"/>
          <w:sz w:val="24"/>
          <w:highlight w:val="none"/>
          <w:lang w:eastAsia="zh-CN"/>
        </w:rPr>
        <w:t>项目概况与采购范围</w:t>
      </w:r>
      <w:bookmarkEnd w:id="3"/>
      <w:bookmarkStart w:id="4" w:name="_Toc63094711"/>
    </w:p>
    <w:p w14:paraId="470554ED">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bookmarkStart w:id="5" w:name="_bookmark4"/>
      <w:bookmarkEnd w:id="5"/>
      <w:r>
        <w:rPr>
          <w:rFonts w:hint="eastAsia" w:ascii="宋体" w:hAnsi="宋体" w:eastAsia="宋体" w:cs="宋体"/>
          <w:color w:val="000000" w:themeColor="text1"/>
          <w:sz w:val="21"/>
          <w:szCs w:val="21"/>
          <w:highlight w:val="none"/>
          <w:lang w:eastAsia="zh-CN"/>
        </w:rPr>
        <w:t>详见采购公告附件。</w:t>
      </w:r>
    </w:p>
    <w:p w14:paraId="3297E5C2">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r>
        <w:rPr>
          <w:rFonts w:hint="eastAsia" w:ascii="黑体" w:eastAsia="黑体"/>
          <w:b/>
          <w:color w:val="000000" w:themeColor="text1"/>
          <w:sz w:val="24"/>
          <w:highlight w:val="none"/>
          <w:lang w:eastAsia="zh-CN"/>
        </w:rPr>
        <w:t>3.应答人资格要求</w:t>
      </w:r>
      <w:bookmarkEnd w:id="4"/>
    </w:p>
    <w:p w14:paraId="08561F44">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3.1 本次采购要求应答人须为中华人民共和国境内、外依法注册的法人</w:t>
      </w:r>
      <w:r>
        <w:rPr>
          <w:rFonts w:hint="eastAsia" w:ascii="宋体" w:hAnsi="宋体" w:eastAsia="宋体" w:cs="宋体"/>
          <w:sz w:val="21"/>
          <w:szCs w:val="21"/>
          <w:highlight w:val="none"/>
          <w:lang w:eastAsia="zh-CN"/>
        </w:rPr>
        <w:t>或其他组</w:t>
      </w:r>
      <w:r>
        <w:rPr>
          <w:rFonts w:hint="eastAsia" w:ascii="宋体" w:hAnsi="宋体" w:eastAsia="宋体" w:cs="宋体"/>
          <w:color w:val="000000" w:themeColor="text1"/>
          <w:sz w:val="21"/>
          <w:szCs w:val="21"/>
          <w:highlight w:val="none"/>
          <w:lang w:eastAsia="zh-CN"/>
        </w:rPr>
        <w:t>织，须具有与本采购项目相应的供货能力。</w:t>
      </w:r>
    </w:p>
    <w:p w14:paraId="6AFA3ABC">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3.2 本次采购不接受联合体应答。</w:t>
      </w:r>
    </w:p>
    <w:p w14:paraId="1CAC1FA2">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3.3本次采购是否接受代理商应答见3.6专用资格要求。如接受代理商应答的，代理产品不得属于《机电产品国际招标投标实施办法（试行）》（商务部令2014年第1号）规定必须进行国际招标的产品。</w:t>
      </w:r>
    </w:p>
    <w:p w14:paraId="12463B8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3.4 接受代理商或者外协外购产品应答时，其应答产品制造商须在境内具备相应货物的制造能力，并在人员、设备、资金等方面具有保障相应协作承制货物如期交货的能力。除特别注明外，这些资格、资质、业绩均系应答人本人或者其代理或外协产品制造商本人所拥有的权利权益。</w:t>
      </w:r>
    </w:p>
    <w:p w14:paraId="2B66944B">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3.5 应答人及其应答产品须满足如下通用资格要求：</w:t>
      </w:r>
    </w:p>
    <w:p w14:paraId="1953CA74">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（1）应答产品制造商必须具有生产应答产品所需的生产场地、生产设备、生产人员、产品及元器件检测能力。本采购活动不接受贴牌代工、分包（</w:t>
      </w:r>
      <w:r>
        <w:rPr>
          <w:rFonts w:hint="eastAsia" w:ascii="宋体" w:hAnsi="宋体" w:eastAsia="宋体" w:cs="宋体"/>
          <w:sz w:val="21"/>
          <w:szCs w:val="21"/>
          <w:highlight w:val="none"/>
          <w:lang w:eastAsia="zh-CN"/>
        </w:rPr>
        <w:t>采购文件</w:t>
      </w:r>
      <w:r>
        <w:rPr>
          <w:rFonts w:hint="eastAsia" w:ascii="宋体" w:hAnsi="宋体" w:eastAsia="宋体" w:cs="宋体"/>
          <w:color w:val="000000" w:themeColor="text1"/>
          <w:sz w:val="21"/>
          <w:szCs w:val="21"/>
          <w:highlight w:val="none"/>
          <w:lang w:eastAsia="zh-CN"/>
        </w:rPr>
        <w:t>中规定的允许外购外协的除外）、转包行为的应答。</w:t>
      </w:r>
    </w:p>
    <w:p w14:paraId="3E8A8960">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这些制造、检测能力应当分别相当于或者优于采购人招投标交易平台信息系统（https://ecp.sgcc.com.cn）中发布的“供应商资质能力信息核实规范”提出的相应条款要求（查看路径：招投标交易平台信息系统首页→供应商管理→资质能力核实→资质能力核实规范标准）。</w:t>
      </w:r>
    </w:p>
    <w:p w14:paraId="63C4FB6B">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2）在与规范相同或较规范更严格的条件下，应答产品的投运数量或供货数量及其成功运行时间满足采购文件的要求。如同一包内存在不同类别的产品，除外购外协的产品外，则应答人须分别满足包内各类别产品的资格要求；对于外购外协的产品，产品制造商应满足本公告资质相关业绩要求。</w:t>
      </w:r>
    </w:p>
    <w:p w14:paraId="16EE2605">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（3）取得国家法律、法规、部门规章规定的有效许可证。取得采购文件要求的国家强制认证证书。</w:t>
      </w:r>
    </w:p>
    <w:p w14:paraId="493541BE">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（4）法定代表人或单位负责人为同一人或者存在控股、管理关系的不同单位，不得参加同一标包应答或者未划分标包的同一采购项目应答。</w:t>
      </w:r>
    </w:p>
    <w:p w14:paraId="1B27EB25">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（5）应有良好的财务状况和商业信用。</w:t>
      </w:r>
    </w:p>
    <w:p w14:paraId="6574AB1A">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（6）</w:t>
      </w:r>
      <w:r>
        <w:rPr>
          <w:rFonts w:hint="eastAsia" w:ascii="宋体" w:hAnsi="宋体" w:eastAsia="宋体" w:cs="宋体"/>
          <w:sz w:val="21"/>
          <w:szCs w:val="21"/>
          <w:highlight w:val="none"/>
          <w:lang w:eastAsia="zh-CN"/>
        </w:rPr>
        <w:t>根据《国家电网有限公司供应商关系管理办法》的规定，若应答人为制造商，存在导致其被暂停成交资格或取消成交资格的不良行为且在处理有效期内的，应答人在应答截止之日至成交公告发布之前，任一日在不良行为处理期内的，均适用不良行为处理结果。或应答人存在触发《国家电网有限公司供应商关系管理办法》第六十三条重大问题“熔断机制”情形的，其应答将被否决。若应答人为代理商，应答人或其代理产品的制造商存在导致其被暂停成交资格或取消成交资格的不良行为且在处理有效期内的，应答人或其代理产品的制造商在应答截止之日至成交公告发布之前，任一日在不良行为处理期内的，均适用不良行为处理结果。或应答人存在触发《国家电网有限公司供应商关系管理办法》第六十三条重大问题“熔断机制”情形的，其应答将被否决。</w:t>
      </w:r>
    </w:p>
    <w:p w14:paraId="47D4FB4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（7）根据最高人民法院、国家发展改革委、国家铁路局等九部门联合印发的《关于在招标投标活动中对失信被执行人实施联合惩戒的通知》（法〔2016〕285号），应答人不得被人民法院列为失信被执行人。</w:t>
      </w:r>
      <w:r>
        <w:rPr>
          <w:rFonts w:hint="eastAsia" w:ascii="宋体" w:hAnsi="宋体" w:eastAsia="宋体" w:cs="宋体"/>
          <w:sz w:val="21"/>
          <w:szCs w:val="21"/>
          <w:highlight w:val="none"/>
          <w:lang w:eastAsia="zh-CN"/>
        </w:rPr>
        <w:t>应答</w:t>
      </w:r>
      <w:r>
        <w:rPr>
          <w:rFonts w:hint="eastAsia" w:ascii="宋体" w:hAnsi="宋体" w:eastAsia="宋体" w:cs="宋体"/>
          <w:color w:val="000000" w:themeColor="text1"/>
          <w:sz w:val="21"/>
          <w:szCs w:val="21"/>
          <w:highlight w:val="none"/>
          <w:lang w:eastAsia="zh-CN"/>
        </w:rPr>
        <w:t>人不得存在违法失信行为，不得被列入失信被执行人，不得被“信用中国”网站（www.creditchina.gov.cn）列入严重失信主体名单。</w:t>
      </w:r>
    </w:p>
    <w:p w14:paraId="50B8D624">
      <w:pPr>
        <w:numPr>
          <w:ilvl w:val="0"/>
          <w:numId w:val="2"/>
        </w:num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应答人不得被市场监督管理机关在国家企业信用信息公示系统中列入严重违法失信企业名单或列入经营异常名录信息。应答</w:t>
      </w:r>
      <w:r>
        <w:rPr>
          <w:rFonts w:ascii="宋体" w:hAnsi="宋体" w:eastAsia="宋体" w:cs="宋体"/>
          <w:color w:val="000000" w:themeColor="text1"/>
          <w:sz w:val="21"/>
          <w:szCs w:val="21"/>
          <w:highlight w:val="none"/>
          <w:lang w:eastAsia="zh-CN"/>
        </w:rPr>
        <w:t>人需同时在商务文件中提供在国家企业信用信息公示系统（www.gsxt.gov.cn）查询的，包含“营业执照信息”、“列入严重违法失信企业名单（黑名单）”、“列入经营异常名录信息”、“行政处罚信息”、“清算信息”的查询结果。如</w:t>
      </w:r>
      <w:r>
        <w:rPr>
          <w:rFonts w:hint="eastAsia" w:ascii="宋体" w:hAnsi="宋体" w:eastAsia="宋体" w:cs="宋体"/>
          <w:color w:val="000000" w:themeColor="text1"/>
          <w:sz w:val="21"/>
          <w:szCs w:val="21"/>
          <w:highlight w:val="none"/>
          <w:lang w:eastAsia="zh-CN"/>
        </w:rPr>
        <w:t>应答</w:t>
      </w:r>
      <w:r>
        <w:rPr>
          <w:rFonts w:ascii="宋体" w:hAnsi="宋体" w:eastAsia="宋体" w:cs="宋体"/>
          <w:color w:val="000000" w:themeColor="text1"/>
          <w:sz w:val="21"/>
          <w:szCs w:val="21"/>
          <w:highlight w:val="none"/>
          <w:lang w:eastAsia="zh-CN"/>
        </w:rPr>
        <w:t>人未提供企业信用信息公示报告，或提供的报告不符合</w:t>
      </w:r>
      <w:r>
        <w:rPr>
          <w:rFonts w:hint="eastAsia" w:ascii="宋体" w:hAnsi="宋体" w:eastAsia="宋体" w:cs="宋体"/>
          <w:color w:val="000000" w:themeColor="text1"/>
          <w:sz w:val="21"/>
          <w:szCs w:val="21"/>
          <w:highlight w:val="none"/>
          <w:lang w:eastAsia="zh-CN"/>
        </w:rPr>
        <w:t>采购</w:t>
      </w:r>
      <w:r>
        <w:rPr>
          <w:rFonts w:ascii="宋体" w:hAnsi="宋体" w:eastAsia="宋体" w:cs="宋体"/>
          <w:color w:val="000000" w:themeColor="text1"/>
          <w:sz w:val="21"/>
          <w:szCs w:val="21"/>
          <w:highlight w:val="none"/>
          <w:lang w:eastAsia="zh-CN"/>
        </w:rPr>
        <w:t>文件规定的格式与内容，或报告内容被评</w:t>
      </w:r>
      <w:r>
        <w:rPr>
          <w:rFonts w:hint="eastAsia" w:ascii="宋体" w:hAnsi="宋体" w:eastAsia="宋体" w:cs="宋体"/>
          <w:color w:val="000000" w:themeColor="text1"/>
          <w:sz w:val="21"/>
          <w:szCs w:val="21"/>
          <w:highlight w:val="none"/>
          <w:lang w:eastAsia="zh-CN"/>
        </w:rPr>
        <w:t>审委员会认定有异议的，应答人的“列入经营异常名录信息”和“列入严重违法失信企业名单（黑名单）信息”以评审委员会在国家企业信用信息公示系统（</w:t>
      </w:r>
      <w:r>
        <w:rPr>
          <w:rFonts w:ascii="宋体" w:hAnsi="宋体" w:eastAsia="宋体" w:cs="宋体"/>
          <w:color w:val="000000" w:themeColor="text1"/>
          <w:sz w:val="21"/>
          <w:szCs w:val="21"/>
          <w:highlight w:val="none"/>
          <w:lang w:eastAsia="zh-CN"/>
        </w:rPr>
        <w:t>www.gsxt.gov.cn）查询的结果为准。</w:t>
      </w:r>
      <w:r>
        <w:rPr>
          <w:rFonts w:hint="eastAsia" w:ascii="宋体" w:hAnsi="宋体" w:eastAsia="宋体" w:cs="宋体"/>
          <w:color w:val="000000" w:themeColor="text1"/>
          <w:sz w:val="21"/>
          <w:szCs w:val="21"/>
          <w:highlight w:val="none"/>
          <w:lang w:eastAsia="zh-CN"/>
        </w:rPr>
        <w:t>应答</w:t>
      </w:r>
      <w:r>
        <w:rPr>
          <w:rFonts w:ascii="宋体" w:hAnsi="宋体" w:eastAsia="宋体" w:cs="宋体"/>
          <w:color w:val="000000" w:themeColor="text1"/>
          <w:sz w:val="21"/>
          <w:szCs w:val="21"/>
          <w:highlight w:val="none"/>
          <w:lang w:eastAsia="zh-CN"/>
        </w:rPr>
        <w:t>人未提供或提供的企业信用信息公示报告不符合</w:t>
      </w:r>
      <w:r>
        <w:rPr>
          <w:rFonts w:hint="eastAsia" w:ascii="宋体" w:hAnsi="宋体" w:eastAsia="宋体" w:cs="宋体"/>
          <w:color w:val="000000" w:themeColor="text1"/>
          <w:sz w:val="21"/>
          <w:szCs w:val="21"/>
          <w:highlight w:val="none"/>
          <w:lang w:eastAsia="zh-CN"/>
        </w:rPr>
        <w:t>采购</w:t>
      </w:r>
      <w:r>
        <w:rPr>
          <w:rFonts w:ascii="宋体" w:hAnsi="宋体" w:eastAsia="宋体" w:cs="宋体"/>
          <w:color w:val="000000" w:themeColor="text1"/>
          <w:sz w:val="21"/>
          <w:szCs w:val="21"/>
          <w:highlight w:val="none"/>
          <w:lang w:eastAsia="zh-CN"/>
        </w:rPr>
        <w:t>文件规定的格式与内容的，评</w:t>
      </w:r>
      <w:r>
        <w:rPr>
          <w:rFonts w:hint="eastAsia" w:ascii="宋体" w:hAnsi="宋体" w:eastAsia="宋体" w:cs="宋体"/>
          <w:color w:val="000000" w:themeColor="text1"/>
          <w:sz w:val="21"/>
          <w:szCs w:val="21"/>
          <w:highlight w:val="none"/>
          <w:lang w:eastAsia="zh-CN"/>
        </w:rPr>
        <w:t>审</w:t>
      </w:r>
      <w:r>
        <w:rPr>
          <w:rFonts w:ascii="宋体" w:hAnsi="宋体" w:eastAsia="宋体" w:cs="宋体"/>
          <w:color w:val="000000" w:themeColor="text1"/>
          <w:sz w:val="21"/>
          <w:szCs w:val="21"/>
          <w:highlight w:val="none"/>
          <w:lang w:eastAsia="zh-CN"/>
        </w:rPr>
        <w:t>委员会将会对</w:t>
      </w:r>
      <w:r>
        <w:rPr>
          <w:rFonts w:hint="eastAsia" w:ascii="宋体" w:hAnsi="宋体" w:eastAsia="宋体" w:cs="宋体"/>
          <w:color w:val="000000" w:themeColor="text1"/>
          <w:sz w:val="21"/>
          <w:szCs w:val="21"/>
          <w:highlight w:val="none"/>
          <w:lang w:eastAsia="zh-CN"/>
        </w:rPr>
        <w:t>应答</w:t>
      </w:r>
      <w:r>
        <w:rPr>
          <w:rFonts w:ascii="宋体" w:hAnsi="宋体" w:eastAsia="宋体" w:cs="宋体"/>
          <w:color w:val="000000" w:themeColor="text1"/>
          <w:sz w:val="21"/>
          <w:szCs w:val="21"/>
          <w:highlight w:val="none"/>
          <w:lang w:eastAsia="zh-CN"/>
        </w:rPr>
        <w:t>人进行不利评价。</w:t>
      </w:r>
      <w:r>
        <w:rPr>
          <w:rFonts w:hint="eastAsia" w:ascii="宋体" w:hAnsi="宋体" w:eastAsia="宋体" w:cs="宋体"/>
          <w:color w:val="000000" w:themeColor="text1"/>
          <w:sz w:val="21"/>
          <w:szCs w:val="21"/>
          <w:highlight w:val="none"/>
          <w:lang w:eastAsia="zh-CN"/>
        </w:rPr>
        <w:t>应答</w:t>
      </w:r>
      <w:r>
        <w:rPr>
          <w:rFonts w:ascii="宋体" w:hAnsi="宋体" w:eastAsia="宋体" w:cs="宋体"/>
          <w:color w:val="000000" w:themeColor="text1"/>
          <w:sz w:val="21"/>
          <w:szCs w:val="21"/>
          <w:highlight w:val="none"/>
          <w:lang w:eastAsia="zh-CN"/>
        </w:rPr>
        <w:t>人提供虚假企业信用信息公示报告的，按照虚假</w:t>
      </w:r>
      <w:r>
        <w:rPr>
          <w:rFonts w:hint="eastAsia" w:ascii="宋体" w:hAnsi="宋体" w:eastAsia="宋体" w:cs="宋体"/>
          <w:color w:val="000000" w:themeColor="text1"/>
          <w:sz w:val="21"/>
          <w:szCs w:val="21"/>
          <w:highlight w:val="none"/>
          <w:lang w:eastAsia="zh-CN"/>
        </w:rPr>
        <w:t>应答</w:t>
      </w:r>
      <w:r>
        <w:rPr>
          <w:rFonts w:ascii="宋体" w:hAnsi="宋体" w:eastAsia="宋体" w:cs="宋体"/>
          <w:color w:val="000000" w:themeColor="text1"/>
          <w:sz w:val="21"/>
          <w:szCs w:val="21"/>
          <w:highlight w:val="none"/>
          <w:lang w:eastAsia="zh-CN"/>
        </w:rPr>
        <w:t>进行否决，并根据《</w:t>
      </w:r>
      <w:r>
        <w:rPr>
          <w:rFonts w:hint="eastAsia" w:ascii="宋体" w:hAnsi="宋体" w:eastAsia="宋体" w:cs="宋体"/>
          <w:color w:val="000000" w:themeColor="text1"/>
          <w:sz w:val="21"/>
          <w:szCs w:val="21"/>
          <w:highlight w:val="none"/>
          <w:lang w:eastAsia="zh-CN"/>
        </w:rPr>
        <w:t>国家电网有限公司供应商关系管理办法</w:t>
      </w:r>
      <w:r>
        <w:rPr>
          <w:rFonts w:ascii="宋体" w:hAnsi="宋体" w:eastAsia="宋体" w:cs="宋体"/>
          <w:color w:val="000000" w:themeColor="text1"/>
          <w:sz w:val="21"/>
          <w:szCs w:val="21"/>
          <w:highlight w:val="none"/>
          <w:lang w:eastAsia="zh-CN"/>
        </w:rPr>
        <w:t>》进行相应处理。</w:t>
      </w:r>
    </w:p>
    <w:p w14:paraId="5DFC0CE0">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（9）外购外协原材料、配套元件和外部委托加工及进口散装的部件应符合本采购技术规范要求。</w:t>
      </w:r>
      <w:r>
        <w:rPr>
          <w:rFonts w:hint="eastAsia" w:ascii="宋体" w:hAnsi="宋体" w:eastAsia="宋体" w:cs="宋体"/>
          <w:color w:val="000000" w:themeColor="text1"/>
          <w:sz w:val="21"/>
          <w:szCs w:val="21"/>
          <w:highlight w:val="none"/>
          <w:lang w:eastAsia="zh-CN"/>
        </w:rPr>
        <w:t>国家、行业已经发布相应产品标准的，应答人须取得国家授权的专业检测机构或者国际专业权威机构出具的型式试验报告；国家、行业尚未发布相应产品标准的，应答人须取得国家授权的专业检测机构或者国际专业权威机构依据国家电网有限公司企业标准出具的检验检测报告。</w:t>
      </w:r>
      <w:r>
        <w:rPr>
          <w:rFonts w:hint="eastAsia" w:ascii="宋体" w:hAnsi="宋体" w:eastAsia="宋体" w:cs="宋体"/>
          <w:color w:val="000000" w:themeColor="text1"/>
          <w:sz w:val="21"/>
          <w:szCs w:val="21"/>
          <w:highlight w:val="none"/>
          <w:lang w:eastAsia="zh-CN"/>
        </w:rPr>
        <w:t>应答人应具备对外购外协原材料、配套元件和外部委托加工及进口散装的部件进行进厂验收所需的检验制度、检测手段和能力，和由材料、元件和部件供应商提供的检测合格证明。原材料组部件管理应当具有可追溯性。</w:t>
      </w:r>
    </w:p>
    <w:p w14:paraId="2986D980">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（10）取得</w:t>
      </w:r>
      <w:r>
        <w:rPr>
          <w:rFonts w:hint="eastAsia" w:ascii="宋体" w:hAnsi="宋体" w:eastAsia="宋体" w:cs="宋体"/>
          <w:color w:val="000000" w:themeColor="text1"/>
          <w:sz w:val="21"/>
          <w:szCs w:val="21"/>
          <w:highlight w:val="none"/>
          <w:lang w:eastAsia="zh-CN"/>
        </w:rPr>
        <w:t>国家授权的专业检测机构或者国际专业权威机构</w:t>
      </w:r>
      <w:r>
        <w:rPr>
          <w:rFonts w:hint="eastAsia" w:ascii="宋体" w:hAnsi="宋体" w:eastAsia="宋体" w:cs="宋体"/>
          <w:sz w:val="21"/>
          <w:szCs w:val="21"/>
          <w:highlight w:val="none"/>
          <w:lang w:eastAsia="zh-CN"/>
        </w:rPr>
        <w:t>出具的产品有效试验报告，且报告结论数据满足本次采购技术规范要求。各类试验报告均系针对具体型式规格产品的试验报告。国家、行业已经发布相应产品标准的，应答人须取得</w:t>
      </w:r>
      <w:r>
        <w:rPr>
          <w:rFonts w:hint="eastAsia" w:ascii="宋体" w:hAnsi="宋体" w:eastAsia="宋体" w:cs="宋体"/>
          <w:color w:val="000000" w:themeColor="text1"/>
          <w:sz w:val="21"/>
          <w:szCs w:val="21"/>
          <w:highlight w:val="none"/>
          <w:lang w:eastAsia="zh-CN"/>
        </w:rPr>
        <w:t>国家授权的专业检测机构或者国际专业权威机构</w:t>
      </w:r>
      <w:r>
        <w:rPr>
          <w:rFonts w:hint="eastAsia" w:ascii="宋体" w:hAnsi="宋体" w:eastAsia="宋体" w:cs="宋体"/>
          <w:sz w:val="21"/>
          <w:szCs w:val="21"/>
          <w:highlight w:val="none"/>
          <w:lang w:eastAsia="zh-CN"/>
        </w:rPr>
        <w:t>出具的型式试验报告；国家、行业尚未发布相应产品标准的，应答人须取得</w:t>
      </w:r>
      <w:r>
        <w:rPr>
          <w:rFonts w:hint="eastAsia" w:ascii="宋体" w:hAnsi="宋体" w:eastAsia="宋体" w:cs="宋体"/>
          <w:color w:val="000000" w:themeColor="text1"/>
          <w:sz w:val="21"/>
          <w:szCs w:val="21"/>
          <w:highlight w:val="none"/>
          <w:lang w:eastAsia="zh-CN"/>
        </w:rPr>
        <w:t>国家授权的专业检测机构或者国际专业权威机构</w:t>
      </w:r>
      <w:r>
        <w:rPr>
          <w:rFonts w:hint="eastAsia" w:ascii="宋体" w:hAnsi="宋体" w:eastAsia="宋体" w:cs="宋体"/>
          <w:sz w:val="21"/>
          <w:szCs w:val="21"/>
          <w:highlight w:val="none"/>
          <w:lang w:eastAsia="zh-CN"/>
        </w:rPr>
        <w:t>依据国家电网有限公司企业标准出具的检验检测报告。</w:t>
      </w:r>
    </w:p>
    <w:p w14:paraId="3552BB19">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应答人不得选配国家电网有限公司《关于供应商不良行为处理情况的通报》中正接受暂停中标资格、取消中标资格的外购外协供应商或代理（集成服务）制造商的产品；不得选配涉嫌存在《招标投标法》第53条、《招标投标法实施条例》第51条所列违法行为，已被司法机关立案的外购外协供应商或代理（集成服务）制造商的产品。</w:t>
      </w:r>
    </w:p>
    <w:p w14:paraId="41E07F61">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color w:val="000000" w:themeColor="text1"/>
          <w:sz w:val="21"/>
          <w:szCs w:val="21"/>
          <w:highlight w:val="none"/>
          <w:lang w:eastAsia="zh-CN"/>
        </w:rPr>
        <w:t>应答产品制造商</w:t>
      </w:r>
      <w:r>
        <w:rPr>
          <w:rFonts w:hint="eastAsia" w:ascii="宋体" w:hAnsi="宋体" w:eastAsia="宋体" w:cs="宋体"/>
          <w:sz w:val="21"/>
          <w:szCs w:val="21"/>
          <w:highlight w:val="none"/>
          <w:lang w:eastAsia="zh-CN"/>
        </w:rPr>
        <w:t>必须具有生产应答产品所需工序的工艺文件、作业指导书，且能保证产品生产的需要。各个工序按工艺文件执行，并具有可追溯性。</w:t>
      </w:r>
    </w:p>
    <w:p w14:paraId="5C838926">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color w:val="000000" w:themeColor="text1"/>
          <w:sz w:val="21"/>
          <w:szCs w:val="21"/>
          <w:highlight w:val="none"/>
          <w:lang w:eastAsia="zh-CN"/>
        </w:rPr>
        <w:t>应答产品制造商</w:t>
      </w:r>
      <w:r>
        <w:rPr>
          <w:rFonts w:hint="eastAsia" w:ascii="宋体" w:hAnsi="宋体" w:eastAsia="宋体" w:cs="宋体"/>
          <w:sz w:val="21"/>
          <w:szCs w:val="21"/>
          <w:highlight w:val="none"/>
          <w:lang w:eastAsia="zh-CN"/>
        </w:rPr>
        <w:t>必须具有生产应答产品所需的出厂检测能力，包括试验场地、试验设备和试验人员。</w:t>
      </w:r>
    </w:p>
    <w:p w14:paraId="3D3159A3">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应答产品不得选配缺陷责任期（自设备投运之日起两年内）发生产品质量问题（包括但不限于接续、接触机械电气性能，支撑、封闭绝缘性能，以及电力电子性能下降、老化、毁损、丧失等）导致设备停运检修的组件材料制造商的产品。</w:t>
      </w:r>
    </w:p>
    <w:p w14:paraId="29488C19">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（15）应答人发生合并、分立、破产等重大变化的，应当及时书面告知采购人。应答人不再具备采购文件规定的资格条件或者其应答影响采购公正性的，其应答无效。</w:t>
      </w:r>
    </w:p>
    <w:p w14:paraId="5F33524D">
      <w:pPr>
        <w:adjustRightInd w:val="0"/>
        <w:snapToGrid w:val="0"/>
        <w:spacing w:after="120" w:line="400" w:lineRule="exact"/>
        <w:ind w:firstLine="420" w:firstLineChars="200"/>
        <w:rPr>
          <w:highlight w:val="none"/>
          <w:lang w:eastAsia="zh-CN"/>
        </w:rPr>
      </w:pPr>
      <w:r>
        <w:rPr>
          <w:rFonts w:hint="eastAsia" w:ascii="宋体" w:hAnsi="宋体" w:eastAsia="宋体" w:cs="宋体"/>
          <w:color w:val="000000" w:themeColor="text1"/>
          <w:sz w:val="21"/>
          <w:szCs w:val="21"/>
          <w:highlight w:val="none"/>
          <w:lang w:eastAsia="zh-CN"/>
        </w:rPr>
        <w:t>（16）应答人应自行响应采购文件，不得委托中介机构或者中间人编制应答文件或代行办理应答事宜，不得相互串通应答。</w:t>
      </w:r>
    </w:p>
    <w:p w14:paraId="4EE94F27">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r>
        <w:rPr>
          <w:rFonts w:hint="eastAsia" w:ascii="宋体" w:hAnsi="宋体" w:eastAsia="宋体" w:cs="宋体"/>
          <w:sz w:val="21"/>
          <w:szCs w:val="21"/>
          <w:highlight w:val="none"/>
          <w:lang w:eastAsia="zh-CN"/>
        </w:rPr>
        <w:t>应答人提供的货物（软、硬件)/服务是全新的（未使用过的），安全的、技术水平成熟的、质量优良的，未侵犯任何第三方的知识产权。</w:t>
      </w:r>
    </w:p>
    <w:p w14:paraId="678E7CAF">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3.6 应答人及其应答产品须满足相应采购货物的专用资格要求如下：</w:t>
      </w:r>
    </w:p>
    <w:p w14:paraId="6052268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详见采购公告附件。</w:t>
      </w:r>
    </w:p>
    <w:p w14:paraId="4A9D0AE5">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 xml:space="preserve">3.7 </w:t>
      </w:r>
      <w:r>
        <w:rPr>
          <w:rFonts w:hint="eastAsia" w:ascii="宋体" w:hAnsi="宋体" w:eastAsia="宋体" w:cs="宋体"/>
          <w:sz w:val="21"/>
          <w:szCs w:val="21"/>
          <w:highlight w:val="none"/>
          <w:lang w:eastAsia="zh-CN"/>
        </w:rPr>
        <w:t>本次采购不接受应答人委托中介机构或者中间人编制应答文件或代行办理应答事宜。</w:t>
      </w:r>
    </w:p>
    <w:p w14:paraId="05B7C4B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3.8 各应答人均可就本次采购的部分或全部标包应答。</w:t>
      </w:r>
    </w:p>
    <w:p w14:paraId="76026BEE">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bookmarkStart w:id="6" w:name="_Toc63094712"/>
      <w:r>
        <w:rPr>
          <w:rFonts w:hint="eastAsia" w:ascii="黑体" w:eastAsia="黑体"/>
          <w:b/>
          <w:color w:val="000000" w:themeColor="text1"/>
          <w:sz w:val="24"/>
          <w:highlight w:val="none"/>
          <w:lang w:eastAsia="zh-CN"/>
        </w:rPr>
        <w:t>4.采购文件的获取</w:t>
      </w:r>
      <w:bookmarkEnd w:id="6"/>
    </w:p>
    <w:p w14:paraId="55F3864A">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4.1采购文件（电子文件）免费获取。</w:t>
      </w:r>
    </w:p>
    <w:p w14:paraId="7A73B665">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4.2凡有意参加应答者，请于</w:t>
      </w:r>
      <w:r>
        <w:rPr>
          <w:rFonts w:hint="eastAsia" w:ascii="宋体" w:hAnsi="宋体" w:eastAsia="宋体"/>
          <w:color w:val="000000"/>
          <w:sz w:val="21"/>
          <w:szCs w:val="21"/>
          <w:highlight w:val="none"/>
          <w:lang w:eastAsia="zh-CN"/>
        </w:rPr>
        <w:t>2025年2月7日下午17时至2025年2月13日下午17时</w:t>
      </w:r>
      <w:r>
        <w:rPr>
          <w:rFonts w:hint="eastAsia" w:ascii="宋体" w:hAnsi="宋体" w:eastAsia="宋体" w:cs="宋体"/>
          <w:color w:val="000000" w:themeColor="text1"/>
          <w:sz w:val="21"/>
          <w:szCs w:val="21"/>
          <w:highlight w:val="none"/>
          <w:lang w:eastAsia="zh-CN"/>
        </w:rPr>
        <w:t>（北京时间，下同），登录采购人招投标交易平台信息系统</w:t>
      </w:r>
      <w:r>
        <w:rPr>
          <w:rFonts w:hint="eastAsia" w:ascii="宋体" w:hAnsi="宋体" w:eastAsia="宋体" w:cs="宋体"/>
          <w:b/>
          <w:color w:val="000000" w:themeColor="text1"/>
          <w:spacing w:val="7"/>
          <w:sz w:val="21"/>
          <w:szCs w:val="21"/>
          <w:highlight w:val="none"/>
        </w:rPr>
        <w:t>（国家电网有限公司电子商务平台</w:t>
      </w:r>
      <w:r>
        <w:rPr>
          <w:rFonts w:hint="eastAsia"/>
          <w:color w:val="000000" w:themeColor="text1"/>
          <w:sz w:val="21"/>
          <w:szCs w:val="21"/>
          <w:highlight w:val="none"/>
          <w:lang w:eastAsia="zh-CN"/>
        </w:rPr>
        <w:t>□</w:t>
      </w:r>
      <w:r>
        <w:rPr>
          <w:rFonts w:hint="eastAsia" w:ascii="宋体" w:hAnsi="宋体"/>
          <w:b/>
          <w:color w:val="000000" w:themeColor="text1"/>
          <w:highlight w:val="none"/>
        </w:rPr>
        <w:t>https://ecp.sgcc.com.cn</w:t>
      </w:r>
      <w:r>
        <w:rPr>
          <w:rFonts w:hint="eastAsia" w:ascii="宋体" w:hAnsi="宋体"/>
          <w:b/>
          <w:color w:val="000000" w:themeColor="text1"/>
          <w:highlight w:val="none"/>
          <w:lang w:eastAsia="zh-CN"/>
        </w:rPr>
        <w:t xml:space="preserve">  </w:t>
      </w:r>
      <w:r>
        <w:rPr>
          <w:color w:val="000000"/>
          <w:highlight w:val="none"/>
          <w:lang w:bidi="zh-CN"/>
        </w:rPr>
        <w:fldChar w:fldCharType="begin"/>
      </w:r>
      <w:r>
        <w:rPr>
          <w:color w:val="000000"/>
          <w:highlight w:val="none"/>
          <w:lang w:bidi="zh-CN"/>
        </w:rPr>
        <w:instrText xml:space="preserve"> </w:instrText>
      </w:r>
      <w:r>
        <w:rPr>
          <w:rFonts w:hint="eastAsia"/>
          <w:color w:val="000000"/>
          <w:highlight w:val="none"/>
          <w:lang w:bidi="zh-CN"/>
        </w:rPr>
        <w:instrText xml:space="preserve">eq \o\ac(□,√)</w:instrText>
      </w:r>
      <w:r>
        <w:rPr>
          <w:color w:val="000000"/>
          <w:highlight w:val="none"/>
          <w:lang w:bidi="zh-CN"/>
        </w:rPr>
        <w:fldChar w:fldCharType="end"/>
      </w:r>
      <w:r>
        <w:rPr>
          <w:rFonts w:hint="eastAsia" w:ascii="宋体" w:hAnsi="宋体"/>
          <w:b/>
          <w:color w:val="000000" w:themeColor="text1"/>
          <w:highlight w:val="none"/>
        </w:rPr>
        <w:t>https://sgccetp.com.cn</w:t>
      </w:r>
      <w:r>
        <w:rPr>
          <w:rFonts w:hint="eastAsia" w:ascii="宋体" w:hAnsi="宋体" w:eastAsia="宋体" w:cs="宋体"/>
          <w:b/>
          <w:color w:val="000000" w:themeColor="text1"/>
          <w:spacing w:val="7"/>
          <w:sz w:val="21"/>
          <w:szCs w:val="21"/>
          <w:highlight w:val="none"/>
        </w:rPr>
        <w:t>，以下简称电子商务平台）</w:t>
      </w:r>
      <w:r>
        <w:rPr>
          <w:rFonts w:hint="eastAsia" w:ascii="宋体" w:hAnsi="宋体" w:eastAsia="宋体" w:cs="宋体"/>
          <w:color w:val="000000" w:themeColor="text1"/>
          <w:sz w:val="21"/>
          <w:szCs w:val="21"/>
          <w:highlight w:val="none"/>
          <w:lang w:eastAsia="zh-CN"/>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14:paraId="44294803">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应答人应在采购人招投标交易平台信息系统注册并办理CA证书电子钥匙方可获取采购文件，电子钥匙的办理流程请登录采购人招投标交易平台信息系统首页“新手指引”→“电子钥匙办理须知及电子钥匙安装包”下载所有文件仔细阅读。电子钥匙的办理需要一定的时间，请潜在应答人高度重视。由于没有及时办理电子钥匙导致获取采购文件失败，由应答人自行承担相关责任。支持电话为：4009915500。</w:t>
      </w:r>
    </w:p>
    <w:p w14:paraId="7EBC76B9">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4.3未按上述时间和方式获取采购文件的，将无法进行后续的应答及报价。</w:t>
      </w:r>
    </w:p>
    <w:p w14:paraId="1F239D0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4.</w:t>
      </w:r>
      <w:r>
        <w:rPr>
          <w:rFonts w:hint="eastAsia" w:ascii="宋体" w:hAnsi="宋体" w:eastAsia="宋体" w:cs="宋体"/>
          <w:sz w:val="21"/>
          <w:szCs w:val="21"/>
          <w:highlight w:val="none"/>
          <w:lang w:eastAsia="zh-CN"/>
        </w:rPr>
        <w:t>4应答</w:t>
      </w:r>
      <w:r>
        <w:rPr>
          <w:rFonts w:hint="eastAsia" w:ascii="宋体" w:hAnsi="宋体" w:eastAsia="宋体" w:cs="宋体"/>
          <w:color w:val="000000" w:themeColor="text1"/>
          <w:sz w:val="21"/>
          <w:szCs w:val="21"/>
          <w:highlight w:val="none"/>
          <w:lang w:eastAsia="zh-CN"/>
        </w:rPr>
        <w:t>人需利用投标工具进行电子应答文件编制。投标工具下载方式：请各应答人在采购人招投标交易平台信息系统首页“下载专区→供应商投标工具”下载并安装。操作手册及注意事项见首页</w:t>
      </w:r>
      <w:r>
        <w:rPr>
          <w:rFonts w:hint="eastAsia" w:ascii="宋体" w:hAnsi="宋体" w:eastAsia="宋体" w:cs="宋体"/>
          <w:sz w:val="21"/>
          <w:szCs w:val="21"/>
          <w:highlight w:val="none"/>
          <w:lang w:eastAsia="zh-CN"/>
        </w:rPr>
        <w:t>“操作说明→ECP2.0招标采购流程供应商操作手册”或“演示视频→投标工具新U+操作指导视频”。</w:t>
      </w:r>
      <w:r>
        <w:rPr>
          <w:rFonts w:hint="eastAsia" w:ascii="宋体" w:hAnsi="宋体" w:eastAsia="宋体" w:cs="宋体"/>
          <w:color w:val="000000" w:themeColor="text1"/>
          <w:sz w:val="21"/>
          <w:szCs w:val="21"/>
          <w:highlight w:val="none"/>
          <w:lang w:eastAsia="zh-CN"/>
        </w:rPr>
        <w:t>投标工具操作问题联系采购人招投标交易平台信息系统支持服务电话：010-63411000-</w:t>
      </w:r>
      <w:r>
        <w:rPr>
          <w:rFonts w:ascii="宋体" w:hAnsi="宋体" w:eastAsia="宋体" w:cs="宋体"/>
          <w:color w:val="000000" w:themeColor="text1"/>
          <w:sz w:val="21"/>
          <w:szCs w:val="21"/>
          <w:highlight w:val="none"/>
          <w:lang w:eastAsia="zh-CN"/>
        </w:rPr>
        <w:t>2</w:t>
      </w:r>
      <w:r>
        <w:rPr>
          <w:rFonts w:hint="eastAsia" w:ascii="宋体" w:hAnsi="宋体" w:eastAsia="宋体" w:cs="宋体"/>
          <w:color w:val="000000" w:themeColor="text1"/>
          <w:sz w:val="21"/>
          <w:szCs w:val="21"/>
          <w:highlight w:val="none"/>
          <w:lang w:eastAsia="zh-CN"/>
        </w:rPr>
        <w:t>。使用投标工具电脑配置要求：内存大于8GB，64位操作系统。</w:t>
      </w:r>
    </w:p>
    <w:p w14:paraId="344BFF45">
      <w:pPr>
        <w:adjustRightInd w:val="0"/>
        <w:snapToGrid w:val="0"/>
        <w:spacing w:after="120" w:line="400" w:lineRule="exact"/>
        <w:ind w:firstLine="420" w:firstLineChars="200"/>
        <w:rPr>
          <w:rFonts w:ascii="宋体" w:hAnsi="宋体" w:eastAsia="宋体" w:cs="宋体"/>
          <w:color w:val="000000" w:themeColor="text1"/>
          <w:sz w:val="21"/>
          <w:szCs w:val="21"/>
          <w:highlight w:val="none"/>
          <w:lang w:eastAsia="zh-CN"/>
        </w:rPr>
      </w:pPr>
      <w:bookmarkStart w:id="7" w:name="_Toc63094713"/>
      <w:r>
        <w:rPr>
          <w:rFonts w:ascii="宋体" w:hAnsi="宋体" w:eastAsia="宋体" w:cs="宋体"/>
          <w:color w:val="000000" w:themeColor="text1"/>
          <w:sz w:val="21"/>
          <w:szCs w:val="21"/>
          <w:highlight w:val="none"/>
          <w:lang w:eastAsia="zh-CN"/>
        </w:rPr>
        <w:t>4.</w:t>
      </w:r>
      <w:r>
        <w:rPr>
          <w:rFonts w:hint="eastAsia" w:ascii="宋体" w:hAnsi="宋体" w:eastAsia="宋体" w:cs="宋体"/>
          <w:color w:val="000000" w:themeColor="text1"/>
          <w:sz w:val="21"/>
          <w:szCs w:val="21"/>
          <w:highlight w:val="none"/>
          <w:lang w:eastAsia="zh-CN"/>
        </w:rPr>
        <w:t>5</w:t>
      </w:r>
      <w:r>
        <w:rPr>
          <w:rFonts w:ascii="宋体" w:hAnsi="宋体" w:eastAsia="宋体" w:cs="宋体"/>
          <w:color w:val="000000" w:themeColor="text1"/>
          <w:sz w:val="21"/>
          <w:szCs w:val="21"/>
          <w:highlight w:val="none"/>
          <w:lang w:eastAsia="zh-CN"/>
        </w:rPr>
        <w:t>注意事项</w:t>
      </w:r>
    </w:p>
    <w:p w14:paraId="3C6AF8FE">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电工专区投标工具与国网电商平台投标工具不兼容，例如前期投过国网、网省公司项目，本次需卸载国网电商平台投标工具，方能安装电工专区投标工具或者换一台电脑下载电工专区投标工具。</w:t>
      </w:r>
    </w:p>
    <w:p w14:paraId="6EDF02A2">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投标制作工具软件技术支持服务热线：010-63411000转2</w:t>
      </w:r>
    </w:p>
    <w:p w14:paraId="7C75034C">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投标制作工具技术支持服务邮箱：kfzx-dgjy@sgcc.com.cn</w:t>
      </w:r>
    </w:p>
    <w:p w14:paraId="300C83F4">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投标签章软件服务电话：4009915500</w:t>
      </w:r>
    </w:p>
    <w:p w14:paraId="367A91CD">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sz w:val="21"/>
          <w:szCs w:val="21"/>
          <w:highlight w:val="none"/>
          <w:lang w:eastAsia="zh-CN"/>
        </w:rPr>
        <w:t>投标签章软件客服QQ：800093938</w:t>
      </w:r>
    </w:p>
    <w:p w14:paraId="628CB8DB">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r>
        <w:rPr>
          <w:rFonts w:hint="eastAsia" w:ascii="黑体" w:eastAsia="黑体"/>
          <w:b/>
          <w:color w:val="000000" w:themeColor="text1"/>
          <w:sz w:val="24"/>
          <w:highlight w:val="none"/>
          <w:lang w:eastAsia="zh-CN"/>
        </w:rPr>
        <w:t>5.首次应答文件的提交</w:t>
      </w:r>
      <w:bookmarkEnd w:id="7"/>
    </w:p>
    <w:p w14:paraId="4B9C8BA4">
      <w:pPr>
        <w:adjustRightInd w:val="0"/>
        <w:snapToGrid w:val="0"/>
        <w:spacing w:after="0" w:line="400" w:lineRule="exact"/>
        <w:ind w:firstLine="420" w:firstLineChars="200"/>
        <w:rPr>
          <w:rFonts w:ascii="宋体" w:hAnsi="宋体" w:eastAsia="宋体"/>
          <w:b/>
          <w:bCs/>
          <w:color w:val="FF0000"/>
          <w:spacing w:val="7"/>
          <w:sz w:val="21"/>
          <w:szCs w:val="21"/>
          <w:highlight w:val="none"/>
          <w:lang w:eastAsia="zh-CN"/>
        </w:rPr>
      </w:pPr>
      <w:r>
        <w:rPr>
          <w:rFonts w:ascii="宋体" w:hAnsi="宋体" w:eastAsia="宋体" w:cs="宋体"/>
          <w:bCs/>
          <w:color w:val="000000" w:themeColor="text1"/>
          <w:sz w:val="21"/>
          <w:szCs w:val="21"/>
          <w:highlight w:val="none"/>
          <w:lang w:eastAsia="zh-CN"/>
        </w:rPr>
        <w:t>5.1首次应答文件提交的截止时间（首次应答截止时间，下同）：</w:t>
      </w:r>
      <w:r>
        <w:rPr>
          <w:rFonts w:hint="eastAsia" w:ascii="宋体" w:hAnsi="宋体" w:eastAsia="宋体"/>
          <w:b/>
          <w:bCs/>
          <w:color w:val="000000"/>
          <w:spacing w:val="7"/>
          <w:sz w:val="21"/>
          <w:szCs w:val="21"/>
          <w:highlight w:val="none"/>
          <w:lang w:eastAsia="zh-CN"/>
        </w:rPr>
        <w:t>2025年2月17日上午09时30分</w:t>
      </w:r>
      <w:r>
        <w:rPr>
          <w:rFonts w:hint="eastAsia" w:ascii="宋体" w:hAnsi="宋体" w:eastAsia="宋体"/>
          <w:b/>
          <w:bCs/>
          <w:color w:val="FF0000"/>
          <w:spacing w:val="7"/>
          <w:sz w:val="21"/>
          <w:szCs w:val="21"/>
          <w:highlight w:val="none"/>
          <w:lang w:eastAsia="zh-CN"/>
        </w:rPr>
        <w:t>。</w:t>
      </w:r>
    </w:p>
    <w:p w14:paraId="4FA5E380">
      <w:pPr>
        <w:adjustRightInd w:val="0"/>
        <w:snapToGrid w:val="0"/>
        <w:spacing w:after="0" w:line="400" w:lineRule="exact"/>
        <w:ind w:firstLine="422" w:firstLineChars="200"/>
        <w:rPr>
          <w:rFonts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应答文件提交地点：</w:t>
      </w:r>
      <w:r>
        <w:rPr>
          <w:rFonts w:hint="eastAsia" w:ascii="宋体" w:hAnsi="宋体" w:eastAsia="宋体" w:cs="宋体"/>
          <w:bCs/>
          <w:sz w:val="21"/>
          <w:szCs w:val="21"/>
          <w:highlight w:val="none"/>
          <w:lang w:eastAsia="zh-CN"/>
        </w:rPr>
        <w:t>电子应答文件提交至</w:t>
      </w:r>
      <w:r>
        <w:rPr>
          <w:rFonts w:hint="eastAsia" w:ascii="宋体" w:hAnsi="宋体" w:eastAsia="宋体" w:cs="宋体"/>
          <w:sz w:val="21"/>
          <w:szCs w:val="21"/>
          <w:highlight w:val="none"/>
          <w:lang w:eastAsia="zh-CN"/>
        </w:rPr>
        <w:t>采购人招投标交易平台信息系统。</w:t>
      </w:r>
    </w:p>
    <w:p w14:paraId="2A1585EF">
      <w:pPr>
        <w:pStyle w:val="2"/>
        <w:spacing w:after="0" w:line="400" w:lineRule="exact"/>
        <w:ind w:firstLine="422" w:firstLineChars="200"/>
        <w:rPr>
          <w:rFonts w:ascii="宋体" w:hAnsi="宋体" w:eastAsia="宋体" w:cs="宋体"/>
          <w:b/>
          <w:bCs/>
          <w:sz w:val="21"/>
          <w:szCs w:val="22"/>
          <w:highlight w:val="none"/>
          <w:lang w:eastAsia="zh-CN"/>
        </w:rPr>
      </w:pPr>
      <w:r>
        <w:rPr>
          <w:rFonts w:ascii="宋体" w:hAnsi="宋体" w:eastAsia="宋体" w:cs="宋体"/>
          <w:b/>
          <w:bCs/>
          <w:sz w:val="21"/>
          <w:szCs w:val="22"/>
          <w:highlight w:val="none"/>
          <w:lang w:eastAsia="zh-CN"/>
        </w:rPr>
        <w:t>电子应答文件递交方式详见第五章应答文件格式。如要求全部文件上传电子商务平台，应答人仅可通过电子商务平台提交全部应答文件；对于受电子商务平台容量限制，要求通过网盘递交的文件，应答人需应用投标工具U+商务技术大文件功能加密提交网盘文件，在应答截止时间前完成上传提交。</w:t>
      </w:r>
    </w:p>
    <w:p w14:paraId="16BFF2E6">
      <w:pPr>
        <w:pStyle w:val="2"/>
        <w:adjustRightInd w:val="0"/>
        <w:snapToGrid w:val="0"/>
        <w:spacing w:after="0" w:line="400" w:lineRule="exact"/>
        <w:ind w:firstLineChars="200"/>
        <w:rPr>
          <w:rFonts w:ascii="宋体" w:hAnsi="宋体" w:eastAsia="宋体" w:cs="宋体"/>
          <w:sz w:val="21"/>
          <w:szCs w:val="22"/>
          <w:highlight w:val="none"/>
          <w:lang w:eastAsia="zh-CN"/>
        </w:rPr>
      </w:pPr>
      <w:r>
        <w:rPr>
          <w:rFonts w:ascii="宋体" w:hAnsi="宋体" w:eastAsia="宋体" w:cs="宋体"/>
          <w:sz w:val="21"/>
          <w:szCs w:val="22"/>
          <w:highlight w:val="none"/>
          <w:lang w:eastAsia="zh-CN"/>
        </w:rPr>
        <w:t>5.2首次应答截止时间之前未成功提交至采购人招投标交易平台信息系统的电子应答文件，采购人不予受理。不接受未按规定加密的应答文件及应答文件的修改文件。</w:t>
      </w:r>
      <w:r>
        <w:rPr>
          <w:rFonts w:hint="eastAsia" w:ascii="宋体" w:hAnsi="宋体" w:eastAsia="宋体" w:cs="宋体"/>
          <w:sz w:val="21"/>
          <w:szCs w:val="21"/>
          <w:highlight w:val="none"/>
          <w:lang w:eastAsia="zh-CN"/>
        </w:rPr>
        <w:t>首次应答截止时间之前未送达指定地点的应答文件（包括报价文件、商务文件、技术文件）电子版【光盘】，采购人不予受理，视为应答不成功</w:t>
      </w:r>
      <w:r>
        <w:rPr>
          <w:rFonts w:hint="eastAsia" w:ascii="宋体" w:hAnsi="宋体" w:eastAsia="宋体" w:cs="宋体"/>
          <w:sz w:val="21"/>
          <w:szCs w:val="22"/>
          <w:highlight w:val="none"/>
          <w:lang w:eastAsia="zh-CN"/>
        </w:rPr>
        <w:t>。</w:t>
      </w:r>
    </w:p>
    <w:p w14:paraId="094199D1">
      <w:pPr>
        <w:pStyle w:val="2"/>
        <w:adjustRightInd w:val="0"/>
        <w:snapToGrid w:val="0"/>
        <w:spacing w:after="0" w:line="400" w:lineRule="exact"/>
        <w:ind w:firstLine="440" w:firstLineChars="200"/>
        <w:rPr>
          <w:rFonts w:ascii="宋体" w:hAnsi="宋体" w:eastAsia="宋体" w:cs="宋体"/>
          <w:sz w:val="21"/>
          <w:szCs w:val="22"/>
          <w:highlight w:val="none"/>
          <w:lang w:eastAsia="zh-CN"/>
        </w:rPr>
      </w:pPr>
      <w:r>
        <w:rPr>
          <w:rFonts w:asciiTheme="minorEastAsia" w:hAnsiTheme="minorEastAsia" w:eastAsiaTheme="minorEastAsia" w:cstheme="minorEastAsia"/>
          <w:b/>
          <w:bCs/>
          <w:color w:val="000000"/>
          <w:highlight w:val="none"/>
          <w:lang w:eastAsia="zh-CN"/>
        </w:rPr>
        <w:t>电子</w:t>
      </w:r>
      <w:r>
        <w:rPr>
          <w:rFonts w:hint="eastAsia" w:asciiTheme="minorEastAsia" w:hAnsiTheme="minorEastAsia" w:eastAsiaTheme="minorEastAsia" w:cstheme="minorEastAsia"/>
          <w:b/>
          <w:bCs/>
          <w:color w:val="000000"/>
          <w:highlight w:val="none"/>
          <w:lang w:eastAsia="zh-CN"/>
        </w:rPr>
        <w:t>应答</w:t>
      </w:r>
      <w:r>
        <w:rPr>
          <w:rFonts w:asciiTheme="minorEastAsia" w:hAnsiTheme="minorEastAsia" w:eastAsiaTheme="minorEastAsia" w:cstheme="minorEastAsia"/>
          <w:b/>
          <w:bCs/>
          <w:color w:val="000000"/>
          <w:highlight w:val="none"/>
          <w:lang w:eastAsia="zh-CN"/>
        </w:rPr>
        <w:t>文件递交详见第</w:t>
      </w:r>
      <w:r>
        <w:rPr>
          <w:rFonts w:hint="eastAsia" w:asciiTheme="minorEastAsia" w:hAnsiTheme="minorEastAsia" w:eastAsiaTheme="minorEastAsia" w:cstheme="minorEastAsia"/>
          <w:b/>
          <w:bCs/>
          <w:color w:val="000000"/>
          <w:highlight w:val="none"/>
          <w:lang w:eastAsia="zh-CN"/>
        </w:rPr>
        <w:t>五</w:t>
      </w:r>
      <w:r>
        <w:rPr>
          <w:rFonts w:asciiTheme="minorEastAsia" w:hAnsiTheme="minorEastAsia" w:eastAsiaTheme="minorEastAsia" w:cstheme="minorEastAsia"/>
          <w:b/>
          <w:bCs/>
          <w:color w:val="000000"/>
          <w:highlight w:val="none"/>
          <w:lang w:eastAsia="zh-CN"/>
        </w:rPr>
        <w:t>章</w:t>
      </w:r>
      <w:r>
        <w:rPr>
          <w:rFonts w:hint="eastAsia" w:asciiTheme="minorEastAsia" w:hAnsiTheme="minorEastAsia" w:eastAsiaTheme="minorEastAsia" w:cstheme="minorEastAsia"/>
          <w:b/>
          <w:bCs/>
          <w:color w:val="000000"/>
          <w:highlight w:val="none"/>
          <w:lang w:eastAsia="zh-CN"/>
        </w:rPr>
        <w:t>应答</w:t>
      </w:r>
      <w:r>
        <w:rPr>
          <w:rFonts w:asciiTheme="minorEastAsia" w:hAnsiTheme="minorEastAsia" w:eastAsiaTheme="minorEastAsia" w:cstheme="minorEastAsia"/>
          <w:b/>
          <w:bCs/>
          <w:color w:val="000000"/>
          <w:highlight w:val="none"/>
          <w:lang w:eastAsia="zh-CN"/>
        </w:rPr>
        <w:t>文件格式。</w:t>
      </w:r>
    </w:p>
    <w:p w14:paraId="5CD6298F">
      <w:pPr>
        <w:pStyle w:val="2"/>
        <w:spacing w:after="0" w:line="400" w:lineRule="exact"/>
        <w:ind w:firstLineChars="200"/>
        <w:rPr>
          <w:rFonts w:ascii="宋体" w:hAnsi="宋体" w:eastAsia="宋体" w:cs="宋体"/>
          <w:color w:val="000000" w:themeColor="text1"/>
          <w:sz w:val="21"/>
          <w:szCs w:val="21"/>
          <w:highlight w:val="none"/>
          <w:lang w:eastAsia="zh-CN"/>
        </w:rPr>
      </w:pPr>
      <w:bookmarkStart w:id="8" w:name="_MON_1697628392"/>
      <w:bookmarkEnd w:id="8"/>
      <w:r>
        <w:rPr>
          <w:rFonts w:hint="eastAsia" w:ascii="宋体" w:hAnsi="宋体" w:eastAsia="宋体" w:cs="宋体"/>
          <w:color w:val="000000" w:themeColor="text1"/>
          <w:sz w:val="21"/>
          <w:szCs w:val="21"/>
          <w:highlight w:val="none"/>
          <w:lang w:eastAsia="zh-CN"/>
        </w:rPr>
        <w:t>5.3未按采购公告规定的时间和方式获取并下载采购文件的应答，采购人将不予受理。</w:t>
      </w:r>
    </w:p>
    <w:p w14:paraId="1F054225">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bookmarkStart w:id="9" w:name="_Toc63094714"/>
      <w:r>
        <w:rPr>
          <w:rFonts w:hint="eastAsia" w:ascii="黑体" w:eastAsia="黑体"/>
          <w:b/>
          <w:color w:val="000000" w:themeColor="text1"/>
          <w:sz w:val="24"/>
          <w:highlight w:val="none"/>
          <w:lang w:eastAsia="zh-CN"/>
        </w:rPr>
        <w:t>6.发布公告的媒介</w:t>
      </w:r>
      <w:bookmarkEnd w:id="9"/>
    </w:p>
    <w:p w14:paraId="27C74E33">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bookmarkStart w:id="10" w:name="_Toc63094715"/>
      <w:r>
        <w:rPr>
          <w:rFonts w:hint="eastAsia" w:ascii="宋体" w:hAnsi="宋体" w:eastAsia="宋体" w:cs="宋体"/>
          <w:color w:val="000000" w:themeColor="text1"/>
          <w:sz w:val="21"/>
          <w:szCs w:val="21"/>
          <w:highlight w:val="none"/>
        </w:rPr>
        <w:t>本次采购公告在</w:t>
      </w:r>
      <w:r>
        <w:rPr>
          <w:rFonts w:hint="eastAsia" w:ascii="宋体" w:hAnsi="宋体" w:eastAsia="宋体" w:cs="宋体"/>
          <w:color w:val="000000" w:themeColor="text1"/>
          <w:sz w:val="21"/>
          <w:szCs w:val="21"/>
          <w:highlight w:val="none"/>
          <w:lang w:eastAsia="zh-CN"/>
        </w:rPr>
        <w:t>采购</w:t>
      </w:r>
      <w:r>
        <w:rPr>
          <w:rFonts w:hint="eastAsia" w:ascii="宋体" w:hAnsi="宋体" w:eastAsia="宋体" w:cs="宋体"/>
          <w:color w:val="000000" w:themeColor="text1"/>
          <w:sz w:val="21"/>
          <w:szCs w:val="21"/>
          <w:highlight w:val="none"/>
        </w:rPr>
        <w:t>人招投标交易平台信息系统上发布。</w:t>
      </w:r>
    </w:p>
    <w:p w14:paraId="240FBC51">
      <w:pPr>
        <w:adjustRightInd w:val="0"/>
        <w:snapToGrid w:val="0"/>
        <w:spacing w:before="240" w:beforeLines="100" w:after="120" w:afterLines="50" w:line="400" w:lineRule="exact"/>
        <w:outlineLvl w:val="1"/>
        <w:rPr>
          <w:rFonts w:ascii="黑体" w:eastAsia="黑体"/>
          <w:b/>
          <w:color w:val="000000" w:themeColor="text1"/>
          <w:sz w:val="24"/>
          <w:highlight w:val="none"/>
          <w:lang w:eastAsia="zh-CN"/>
        </w:rPr>
      </w:pPr>
      <w:r>
        <w:rPr>
          <w:rFonts w:hint="eastAsia" w:ascii="黑体" w:eastAsia="黑体"/>
          <w:b/>
          <w:color w:val="000000" w:themeColor="text1"/>
          <w:sz w:val="24"/>
          <w:highlight w:val="none"/>
          <w:lang w:eastAsia="zh-CN"/>
        </w:rPr>
        <w:t>7.采购文件获取联系方式</w:t>
      </w:r>
      <w:bookmarkEnd w:id="10"/>
    </w:p>
    <w:p w14:paraId="0AB83556">
      <w:pPr>
        <w:adjustRightInd w:val="0"/>
        <w:snapToGrid w:val="0"/>
        <w:spacing w:after="0" w:line="400" w:lineRule="exact"/>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sz w:val="21"/>
          <w:szCs w:val="21"/>
          <w:highlight w:val="none"/>
          <w:lang w:eastAsia="zh-CN"/>
        </w:rPr>
        <w:t>采购人</w:t>
      </w:r>
      <w:r>
        <w:rPr>
          <w:rFonts w:ascii="宋体" w:hAnsi="宋体" w:eastAsia="宋体" w:cs="宋体"/>
          <w:sz w:val="21"/>
          <w:szCs w:val="21"/>
          <w:highlight w:val="none"/>
          <w:lang w:eastAsia="zh-CN"/>
        </w:rPr>
        <w:t>:</w:t>
      </w:r>
      <w:r>
        <w:rPr>
          <w:rFonts w:hint="eastAsia" w:ascii="宋体" w:hAnsi="宋体" w:eastAsia="宋体" w:cs="宋体"/>
          <w:sz w:val="21"/>
          <w:szCs w:val="21"/>
          <w:highlight w:val="none"/>
          <w:lang w:eastAsia="zh-CN"/>
        </w:rPr>
        <w:t xml:space="preserve"> </w:t>
      </w:r>
      <w:r>
        <w:rPr>
          <w:rFonts w:hint="eastAsia" w:ascii="宋体" w:hAnsi="宋体" w:eastAsia="宋体" w:cs="宋体"/>
          <w:color w:val="000000"/>
          <w:sz w:val="21"/>
          <w:szCs w:val="21"/>
          <w:highlight w:val="none"/>
          <w:lang w:eastAsia="zh-CN"/>
        </w:rPr>
        <w:t>南京南瑞新能源科技有限公司</w:t>
      </w:r>
    </w:p>
    <w:p w14:paraId="3DAF813B">
      <w:pPr>
        <w:pStyle w:val="2"/>
        <w:rPr>
          <w:lang w:eastAsia="zh-CN"/>
        </w:rPr>
      </w:pPr>
      <w:r>
        <w:rPr>
          <w:rFonts w:hint="eastAsia" w:ascii="宋体" w:hAnsi="宋体" w:eastAsia="宋体" w:cs="宋体"/>
          <w:color w:val="000000"/>
          <w:sz w:val="21"/>
          <w:szCs w:val="21"/>
          <w:highlight w:val="none"/>
          <w:lang w:eastAsia="zh-CN"/>
        </w:rPr>
        <w:t>联系人：/</w:t>
      </w:r>
    </w:p>
    <w:p w14:paraId="57E2E9C6">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w:t>
      </w:r>
      <w:r>
        <w:rPr>
          <w:rFonts w:ascii="宋体" w:hAnsi="宋体" w:eastAsia="宋体" w:cs="宋体"/>
          <w:sz w:val="21"/>
          <w:szCs w:val="21"/>
          <w:highlight w:val="none"/>
          <w:lang w:eastAsia="zh-CN"/>
        </w:rPr>
        <w:t>:</w:t>
      </w:r>
      <w:r>
        <w:rPr>
          <w:rFonts w:hint="eastAsia" w:ascii="宋体" w:hAnsi="宋体" w:eastAsia="宋体" w:cs="宋体"/>
          <w:color w:val="FF0000"/>
          <w:sz w:val="21"/>
          <w:szCs w:val="21"/>
          <w:highlight w:val="none"/>
          <w:lang w:eastAsia="zh-CN"/>
        </w:rPr>
        <w:t xml:space="preserve"> </w:t>
      </w:r>
      <w:r>
        <w:rPr>
          <w:rFonts w:hint="eastAsia" w:ascii="宋体" w:hAnsi="宋体" w:eastAsia="宋体" w:cs="宋体"/>
          <w:color w:val="000000"/>
          <w:sz w:val="21"/>
          <w:szCs w:val="21"/>
          <w:highlight w:val="none"/>
          <w:lang w:eastAsia="zh-CN"/>
        </w:rPr>
        <w:t>南京市江宁区诚信大道19号</w:t>
      </w:r>
    </w:p>
    <w:p w14:paraId="372F4059">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sz w:val="21"/>
          <w:szCs w:val="21"/>
          <w:highlight w:val="none"/>
          <w:lang w:eastAsia="zh-CN"/>
        </w:rPr>
        <w:t>邮编：</w:t>
      </w:r>
      <w:r>
        <w:rPr>
          <w:rFonts w:hint="eastAsia" w:ascii="宋体" w:hAnsi="宋体" w:eastAsia="宋体" w:cs="宋体"/>
          <w:color w:val="000000"/>
          <w:sz w:val="21"/>
          <w:szCs w:val="21"/>
          <w:highlight w:val="none"/>
          <w:lang w:eastAsia="zh-CN"/>
        </w:rPr>
        <w:t>211000</w:t>
      </w:r>
    </w:p>
    <w:p w14:paraId="2AC473FE">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color w:val="000000" w:themeColor="text1"/>
          <w:sz w:val="21"/>
          <w:szCs w:val="21"/>
          <w:highlight w:val="none"/>
          <w:lang w:eastAsia="zh-CN"/>
        </w:rPr>
        <w:t>采购代理机</w:t>
      </w:r>
      <w:r>
        <w:rPr>
          <w:rFonts w:hint="eastAsia" w:ascii="宋体" w:hAnsi="宋体" w:eastAsia="宋体" w:cs="宋体"/>
          <w:sz w:val="21"/>
          <w:szCs w:val="21"/>
          <w:highlight w:val="none"/>
          <w:lang w:eastAsia="zh-CN"/>
        </w:rPr>
        <w:t>构：</w:t>
      </w:r>
      <w:r>
        <w:rPr>
          <w:rFonts w:hint="eastAsia" w:ascii="宋体" w:hAnsi="宋体" w:eastAsia="宋体" w:cs="宋体"/>
          <w:color w:val="000000"/>
          <w:sz w:val="21"/>
          <w:szCs w:val="21"/>
          <w:highlight w:val="none"/>
          <w:lang w:eastAsia="zh-CN"/>
        </w:rPr>
        <w:t>苏美达国际技术贸易有限公司</w:t>
      </w:r>
    </w:p>
    <w:p w14:paraId="4DA2B30F">
      <w:pPr>
        <w:tabs>
          <w:tab w:val="left" w:pos="2357"/>
        </w:tabs>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w:t>
      </w:r>
      <w:r>
        <w:rPr>
          <w:rFonts w:hint="eastAsia" w:ascii="宋体" w:hAnsi="宋体" w:eastAsia="宋体" w:cs="宋体"/>
          <w:color w:val="000000"/>
          <w:sz w:val="21"/>
          <w:szCs w:val="21"/>
          <w:highlight w:val="none"/>
          <w:lang w:eastAsia="zh-CN"/>
        </w:rPr>
        <w:t>南京市长江路198号</w:t>
      </w:r>
    </w:p>
    <w:p w14:paraId="75BC33D7">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邮编：</w:t>
      </w:r>
      <w:r>
        <w:rPr>
          <w:rFonts w:hint="eastAsia" w:ascii="宋体" w:hAnsi="宋体" w:eastAsia="宋体" w:cs="宋体"/>
          <w:color w:val="000000"/>
          <w:sz w:val="21"/>
          <w:szCs w:val="21"/>
          <w:highlight w:val="none"/>
          <w:lang w:eastAsia="zh-CN"/>
        </w:rPr>
        <w:t>210018</w:t>
      </w:r>
    </w:p>
    <w:p w14:paraId="501DC6CD">
      <w:pPr>
        <w:tabs>
          <w:tab w:val="left" w:pos="2357"/>
        </w:tabs>
        <w:adjustRightInd w:val="0"/>
        <w:snapToGrid w:val="0"/>
        <w:spacing w:after="0" w:line="400" w:lineRule="exact"/>
        <w:ind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themeColor="text1"/>
          <w:sz w:val="21"/>
          <w:szCs w:val="21"/>
          <w:highlight w:val="none"/>
          <w:lang w:eastAsia="zh-CN"/>
        </w:rPr>
        <w:t>联系人电话：</w:t>
      </w:r>
      <w:r>
        <w:rPr>
          <w:rFonts w:hint="eastAsia" w:ascii="宋体" w:hAnsi="宋体" w:eastAsia="宋体" w:cs="宋体"/>
          <w:color w:val="000000"/>
          <w:sz w:val="21"/>
          <w:szCs w:val="21"/>
          <w:highlight w:val="none"/>
          <w:lang w:eastAsia="zh-CN"/>
        </w:rPr>
        <w:t>乔政建18244102651、马海艳18652999991</w:t>
      </w:r>
    </w:p>
    <w:p w14:paraId="5234E196">
      <w:pPr>
        <w:pStyle w:val="2"/>
        <w:rPr>
          <w:lang w:eastAsia="zh-CN"/>
        </w:rPr>
      </w:pPr>
      <w:r>
        <w:rPr>
          <w:rFonts w:hint="eastAsia" w:ascii="宋体" w:hAnsi="宋体" w:eastAsia="宋体" w:cs="宋体"/>
          <w:color w:val="000000"/>
          <w:sz w:val="21"/>
          <w:szCs w:val="21"/>
          <w:highlight w:val="none"/>
          <w:lang w:eastAsia="zh-CN"/>
        </w:rPr>
        <w:t>（保证金退款、发票开具联系电话：025-84532484）</w:t>
      </w:r>
    </w:p>
    <w:p w14:paraId="21607E84">
      <w:pPr>
        <w:tabs>
          <w:tab w:val="left" w:pos="2357"/>
        </w:tabs>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电子邮件：</w:t>
      </w:r>
      <w:r>
        <w:rPr>
          <w:rFonts w:hint="eastAsia" w:ascii="宋体" w:hAnsi="宋体" w:eastAsia="宋体" w:cs="宋体"/>
          <w:color w:val="000000"/>
          <w:sz w:val="21"/>
          <w:szCs w:val="21"/>
          <w:highlight w:val="none"/>
          <w:lang w:eastAsia="zh-CN"/>
        </w:rPr>
        <w:t>1105034707@qq.com</w:t>
      </w:r>
    </w:p>
    <w:p w14:paraId="0DE251D7">
      <w:pPr>
        <w:tabs>
          <w:tab w:val="left" w:pos="2998"/>
        </w:tabs>
        <w:adjustRightInd w:val="0"/>
        <w:snapToGrid w:val="0"/>
        <w:spacing w:before="120" w:beforeLines="50" w:after="120" w:afterLines="50" w:line="400" w:lineRule="atLeast"/>
        <w:outlineLvl w:val="1"/>
        <w:rPr>
          <w:rFonts w:ascii="黑体" w:eastAsia="黑体"/>
          <w:b/>
          <w:color w:val="000000" w:themeColor="text1"/>
          <w:sz w:val="24"/>
          <w:highlight w:val="none"/>
          <w:lang w:eastAsia="zh-CN"/>
        </w:rPr>
      </w:pPr>
      <w:bookmarkStart w:id="11" w:name="_Toc63094716"/>
      <w:r>
        <w:rPr>
          <w:rFonts w:hint="eastAsia" w:ascii="黑体" w:eastAsia="黑体"/>
          <w:b/>
          <w:color w:val="000000" w:themeColor="text1"/>
          <w:sz w:val="24"/>
          <w:highlight w:val="none"/>
          <w:lang w:eastAsia="zh-CN"/>
        </w:rPr>
        <w:t>8.合规声明</w:t>
      </w:r>
      <w:bookmarkEnd w:id="11"/>
      <w:r>
        <w:rPr>
          <w:rFonts w:hint="eastAsia" w:ascii="黑体" w:eastAsia="黑体"/>
          <w:b/>
          <w:color w:val="000000" w:themeColor="text1"/>
          <w:sz w:val="24"/>
          <w:highlight w:val="none"/>
          <w:lang w:eastAsia="zh-CN"/>
        </w:rPr>
        <w:tab/>
      </w:r>
    </w:p>
    <w:p w14:paraId="3E6A6E50">
      <w:pPr>
        <w:pStyle w:val="1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本采购文件（包括商务部分和技术部分）符合国家现行法律法规规定，若国家颁布新的法律法规或对现有法律法规进行修订，以新施行的法律法规规定为准，。</w:t>
      </w:r>
    </w:p>
    <w:p w14:paraId="1416B84D">
      <w:pPr>
        <w:adjustRightInd w:val="0"/>
        <w:snapToGrid w:val="0"/>
        <w:spacing w:before="120" w:beforeLines="50" w:after="120" w:afterLines="50" w:line="400" w:lineRule="atLeast"/>
        <w:outlineLvl w:val="1"/>
        <w:rPr>
          <w:rFonts w:ascii="黑体" w:eastAsia="黑体"/>
          <w:b/>
          <w:color w:val="000000" w:themeColor="text1"/>
          <w:sz w:val="24"/>
          <w:highlight w:val="none"/>
          <w:lang w:eastAsia="zh-CN"/>
        </w:rPr>
      </w:pPr>
      <w:r>
        <w:rPr>
          <w:rFonts w:hint="eastAsia" w:ascii="黑体" w:eastAsia="黑体"/>
          <w:b/>
          <w:color w:val="000000" w:themeColor="text1"/>
          <w:sz w:val="24"/>
          <w:highlight w:val="none"/>
          <w:lang w:eastAsia="zh-CN"/>
        </w:rPr>
        <w:t>9.权利声明</w:t>
      </w:r>
    </w:p>
    <w:p w14:paraId="46A90F28">
      <w:pPr>
        <w:pStyle w:val="10"/>
        <w:spacing w:after="0" w:line="400" w:lineRule="exact"/>
        <w:ind w:firstLine="420" w:firstLineChars="200"/>
        <w:rPr>
          <w:rFonts w:ascii="宋体" w:hAnsi="宋体" w:eastAsia="宋体" w:cs="宋体"/>
          <w:color w:val="000000" w:themeColor="text1"/>
          <w:sz w:val="21"/>
          <w:szCs w:val="21"/>
          <w:highlight w:val="none"/>
          <w:lang w:eastAsia="zh-CN"/>
        </w:rPr>
      </w:pPr>
      <w:r>
        <w:rPr>
          <w:rFonts w:hint="eastAsia" w:ascii="宋体" w:hAnsi="宋体" w:eastAsia="宋体" w:cs="宋体"/>
          <w:color w:val="000000" w:themeColor="text1"/>
          <w:sz w:val="21"/>
          <w:szCs w:val="21"/>
          <w:highlight w:val="none"/>
          <w:lang w:eastAsia="zh-CN"/>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w:t>
      </w:r>
      <w:bookmarkStart w:id="12" w:name="_Hlk97041604"/>
      <w:r>
        <w:rPr>
          <w:rFonts w:hint="eastAsia" w:ascii="宋体" w:hAnsi="宋体" w:eastAsia="宋体" w:cs="宋体"/>
          <w:color w:val="000000" w:themeColor="text1"/>
          <w:sz w:val="21"/>
          <w:szCs w:val="21"/>
          <w:highlight w:val="none"/>
          <w:lang w:eastAsia="zh-CN"/>
        </w:rPr>
        <w:t>或公示信息</w:t>
      </w:r>
      <w:bookmarkEnd w:id="12"/>
      <w:r>
        <w:rPr>
          <w:rFonts w:hint="eastAsia" w:ascii="宋体" w:hAnsi="宋体" w:eastAsia="宋体" w:cs="宋体"/>
          <w:color w:val="000000" w:themeColor="text1"/>
          <w:sz w:val="21"/>
          <w:szCs w:val="21"/>
          <w:highlight w:val="none"/>
          <w:lang w:eastAsia="zh-CN"/>
        </w:rPr>
        <w:t>的，采购人将依法追究法律责任。</w:t>
      </w:r>
    </w:p>
    <w:p w14:paraId="5EB73950">
      <w:pPr>
        <w:pStyle w:val="10"/>
        <w:spacing w:after="0" w:line="400" w:lineRule="exact"/>
        <w:ind w:firstLine="420" w:firstLineChars="200"/>
        <w:rPr>
          <w:rFonts w:ascii="宋体" w:hAnsi="宋体" w:eastAsia="宋体" w:cs="宋体"/>
          <w:color w:val="000000" w:themeColor="text1"/>
          <w:sz w:val="21"/>
          <w:szCs w:val="21"/>
          <w:highlight w:val="none"/>
          <w:lang w:eastAsia="zh-CN"/>
        </w:rPr>
      </w:pPr>
    </w:p>
    <w:p w14:paraId="1ACD13E4">
      <w:pPr>
        <w:wordWrap w:val="0"/>
        <w:spacing w:after="120" w:line="400" w:lineRule="exact"/>
        <w:ind w:firstLine="560" w:firstLineChars="200"/>
        <w:jc w:val="right"/>
        <w:rPr>
          <w:color w:val="FF0000"/>
          <w:highlight w:val="none"/>
          <w:lang w:eastAsia="zh-CN"/>
        </w:rPr>
        <w:sectPr>
          <w:footerReference r:id="rId11" w:type="default"/>
          <w:pgSz w:w="11849" w:h="16781"/>
          <w:pgMar w:top="1134" w:right="1803" w:bottom="1134" w:left="1803" w:header="0" w:footer="839" w:gutter="0"/>
          <w:cols w:space="0" w:num="1"/>
          <w:titlePg/>
          <w:docGrid w:linePitch="312" w:charSpace="0"/>
        </w:sectPr>
      </w:pPr>
      <w:r>
        <w:rPr>
          <w:rFonts w:hint="eastAsia" w:ascii="黑体" w:hAnsi="宋体" w:eastAsia="黑体"/>
          <w:color w:val="000000"/>
          <w:sz w:val="28"/>
          <w:szCs w:val="28"/>
          <w:highlight w:val="none"/>
          <w:lang w:eastAsia="zh-CN"/>
        </w:rPr>
        <w:t>2025年2月</w:t>
      </w:r>
    </w:p>
    <w:p w14:paraId="4CFB2DD0">
      <w:pPr>
        <w:pStyle w:val="33"/>
        <w:spacing w:line="400" w:lineRule="exact"/>
        <w:outlineLvl w:val="1"/>
        <w:rPr>
          <w:rFonts w:ascii="黑体" w:hAnsi="黑体" w:eastAsia="黑体" w:cs="黑体"/>
          <w:b/>
          <w:bCs/>
          <w:color w:val="000000" w:themeColor="text1"/>
          <w:kern w:val="2"/>
          <w:sz w:val="24"/>
          <w:szCs w:val="24"/>
          <w:highlight w:val="none"/>
          <w:lang w:val="en-US" w:eastAsia="zh-CN"/>
        </w:rPr>
      </w:pPr>
      <w:r>
        <w:rPr>
          <w:rFonts w:hint="eastAsia" w:ascii="黑体" w:hAnsi="黑体" w:eastAsia="黑体" w:cs="黑体"/>
          <w:b/>
          <w:bCs/>
          <w:color w:val="000000" w:themeColor="text1"/>
          <w:kern w:val="2"/>
          <w:sz w:val="24"/>
          <w:szCs w:val="24"/>
          <w:highlight w:val="none"/>
          <w:lang w:val="en-US" w:eastAsia="zh-CN"/>
        </w:rPr>
        <w:t>采购公告附件：</w:t>
      </w:r>
    </w:p>
    <w:p w14:paraId="6A08E779">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宋体" w:hAnsi="宋体" w:cs="宋体"/>
          <w:b/>
          <w:color w:val="000000"/>
          <w:szCs w:val="21"/>
        </w:rPr>
      </w:pPr>
      <w:r>
        <w:rPr>
          <w:rFonts w:hint="eastAsia" w:ascii="宋体" w:hAnsi="宋体" w:cs="宋体"/>
          <w:b/>
          <w:color w:val="000000"/>
          <w:szCs w:val="21"/>
        </w:rPr>
        <w:t>一、项目概况与采购范围</w:t>
      </w:r>
    </w:p>
    <w:p w14:paraId="716A2C12">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宋体" w:hAnsi="宋体" w:cs="宋体"/>
          <w:szCs w:val="21"/>
        </w:rPr>
      </w:pPr>
      <w:r>
        <w:rPr>
          <w:rFonts w:hint="eastAsia" w:ascii="宋体" w:hAnsi="宋体" w:cs="宋体"/>
          <w:szCs w:val="21"/>
        </w:rPr>
        <w:t>1、采购内容</w:t>
      </w:r>
    </w:p>
    <w:tbl>
      <w:tblPr>
        <w:tblStyle w:val="18"/>
        <w:tblW w:w="4579"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1421"/>
        <w:gridCol w:w="852"/>
        <w:gridCol w:w="1498"/>
        <w:gridCol w:w="3062"/>
        <w:gridCol w:w="720"/>
      </w:tblGrid>
      <w:tr w14:paraId="5A107FE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510" w:type="pct"/>
            <w:tcBorders>
              <w:tl2br w:val="nil"/>
              <w:tr2bl w:val="nil"/>
            </w:tcBorders>
            <w:vAlign w:val="center"/>
          </w:tcPr>
          <w:p w14:paraId="58E521D0">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b/>
                <w:szCs w:val="21"/>
              </w:rPr>
            </w:pPr>
            <w:r>
              <w:rPr>
                <w:rFonts w:hint="eastAsia" w:ascii="宋体" w:hAnsi="宋体" w:cs="宋体"/>
                <w:b/>
                <w:szCs w:val="21"/>
                <w:lang w:val="en-US" w:eastAsia="zh-CN"/>
              </w:rPr>
              <w:t>分标编号</w:t>
            </w:r>
          </w:p>
        </w:tc>
        <w:tc>
          <w:tcPr>
            <w:tcW w:w="844" w:type="pct"/>
            <w:tcBorders>
              <w:tl2br w:val="nil"/>
              <w:tr2bl w:val="nil"/>
            </w:tcBorders>
            <w:vAlign w:val="center"/>
          </w:tcPr>
          <w:p w14:paraId="0B3A5A71">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b/>
                <w:szCs w:val="21"/>
              </w:rPr>
            </w:pPr>
            <w:r>
              <w:rPr>
                <w:rFonts w:hint="eastAsia" w:ascii="宋体" w:hAnsi="宋体" w:cs="宋体"/>
                <w:b/>
                <w:szCs w:val="21"/>
                <w:lang w:val="en-US" w:eastAsia="zh-CN"/>
              </w:rPr>
              <w:t>分标名称</w:t>
            </w:r>
          </w:p>
        </w:tc>
        <w:tc>
          <w:tcPr>
            <w:tcW w:w="506" w:type="pct"/>
            <w:tcBorders>
              <w:tl2br w:val="nil"/>
              <w:tr2bl w:val="nil"/>
            </w:tcBorders>
            <w:vAlign w:val="center"/>
          </w:tcPr>
          <w:p w14:paraId="53543663">
            <w:pPr>
              <w:keepNext w:val="0"/>
              <w:keepLines w:val="0"/>
              <w:pageBreakBefore w:val="0"/>
              <w:widowControl w:val="0"/>
              <w:kinsoku/>
              <w:wordWrap/>
              <w:overflowPunct/>
              <w:topLinePunct w:val="0"/>
              <w:autoSpaceDE/>
              <w:autoSpaceDN/>
              <w:bidi w:val="0"/>
              <w:spacing w:line="360" w:lineRule="auto"/>
              <w:jc w:val="center"/>
              <w:textAlignment w:val="auto"/>
              <w:rPr>
                <w:rFonts w:hint="default" w:ascii="宋体" w:hAnsi="宋体" w:eastAsia="宋体" w:cs="宋体"/>
                <w:b/>
                <w:szCs w:val="21"/>
                <w:lang w:val="en-US" w:eastAsia="zh-CN"/>
              </w:rPr>
            </w:pPr>
            <w:r>
              <w:rPr>
                <w:rFonts w:hint="eastAsia" w:ascii="宋体" w:hAnsi="宋体" w:cs="宋体"/>
                <w:b/>
                <w:szCs w:val="21"/>
                <w:lang w:val="en-US" w:eastAsia="zh-CN"/>
              </w:rPr>
              <w:t>分包编号</w:t>
            </w:r>
          </w:p>
        </w:tc>
        <w:tc>
          <w:tcPr>
            <w:tcW w:w="890" w:type="pct"/>
            <w:tcBorders>
              <w:tl2br w:val="nil"/>
              <w:tr2bl w:val="nil"/>
            </w:tcBorders>
            <w:vAlign w:val="center"/>
          </w:tcPr>
          <w:p w14:paraId="16CF71A5">
            <w:pPr>
              <w:keepNext w:val="0"/>
              <w:keepLines w:val="0"/>
              <w:pageBreakBefore w:val="0"/>
              <w:widowControl w:val="0"/>
              <w:kinsoku/>
              <w:wordWrap/>
              <w:overflowPunct/>
              <w:topLinePunct w:val="0"/>
              <w:autoSpaceDE/>
              <w:autoSpaceDN/>
              <w:bidi w:val="0"/>
              <w:spacing w:line="360" w:lineRule="auto"/>
              <w:jc w:val="center"/>
              <w:textAlignment w:val="auto"/>
              <w:rPr>
                <w:rFonts w:hint="default" w:ascii="宋体" w:hAnsi="宋体" w:eastAsia="宋体" w:cs="宋体"/>
                <w:b/>
                <w:bCs/>
                <w:szCs w:val="21"/>
                <w:lang w:val="en-US" w:eastAsia="zh-CN"/>
              </w:rPr>
            </w:pPr>
            <w:r>
              <w:rPr>
                <w:rFonts w:hint="eastAsia" w:ascii="宋体" w:hAnsi="宋体" w:cs="宋体"/>
                <w:b/>
                <w:bCs/>
                <w:szCs w:val="21"/>
                <w:lang w:val="en-US" w:eastAsia="zh-CN"/>
              </w:rPr>
              <w:t>包名称</w:t>
            </w:r>
          </w:p>
        </w:tc>
        <w:tc>
          <w:tcPr>
            <w:tcW w:w="1819" w:type="pct"/>
            <w:tcBorders>
              <w:tl2br w:val="nil"/>
              <w:tr2bl w:val="nil"/>
            </w:tcBorders>
            <w:vAlign w:val="center"/>
          </w:tcPr>
          <w:p w14:paraId="4697267E">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cs="宋体"/>
                <w:b/>
                <w:bCs/>
                <w:szCs w:val="21"/>
                <w:lang w:val="en-US" w:eastAsia="zh-CN"/>
              </w:rPr>
            </w:pPr>
            <w:r>
              <w:rPr>
                <w:rFonts w:hint="eastAsia" w:ascii="宋体" w:hAnsi="宋体" w:cs="宋体"/>
                <w:b/>
                <w:bCs/>
                <w:szCs w:val="21"/>
                <w:lang w:val="en-US" w:eastAsia="zh-CN"/>
              </w:rPr>
              <w:t>工作量/数量</w:t>
            </w:r>
          </w:p>
        </w:tc>
        <w:tc>
          <w:tcPr>
            <w:tcW w:w="428" w:type="pct"/>
            <w:tcBorders>
              <w:tl2br w:val="nil"/>
              <w:tr2bl w:val="nil"/>
            </w:tcBorders>
            <w:vAlign w:val="center"/>
          </w:tcPr>
          <w:p w14:paraId="7BB72B7B">
            <w:pPr>
              <w:pStyle w:val="10"/>
              <w:keepNext w:val="0"/>
              <w:keepLines w:val="0"/>
              <w:pageBreakBefore w:val="0"/>
              <w:widowControl w:val="0"/>
              <w:kinsoku/>
              <w:wordWrap/>
              <w:overflowPunct/>
              <w:topLinePunct w:val="0"/>
              <w:autoSpaceDE/>
              <w:autoSpaceDN/>
              <w:bidi w:val="0"/>
              <w:adjustRightInd/>
              <w:snapToGrid w:val="0"/>
              <w:spacing w:after="0" w:line="240" w:lineRule="auto"/>
              <w:jc w:val="both"/>
              <w:textAlignment w:val="baseline"/>
              <w:rPr>
                <w:rFonts w:hint="default" w:ascii="宋体" w:hAnsi="宋体" w:eastAsia="宋体" w:cs="宋体"/>
                <w:b/>
                <w:bCs/>
                <w:kern w:val="2"/>
                <w:sz w:val="21"/>
                <w:szCs w:val="21"/>
                <w:lang w:val="en-US" w:eastAsia="zh-CN" w:bidi="ar-SA"/>
              </w:rPr>
            </w:pPr>
            <w:r>
              <w:rPr>
                <w:rFonts w:hint="eastAsia" w:ascii="宋体" w:hAnsi="宋体" w:cs="宋体"/>
                <w:b/>
                <w:bCs/>
                <w:kern w:val="2"/>
                <w:sz w:val="21"/>
                <w:szCs w:val="21"/>
                <w:lang w:val="en-US" w:eastAsia="zh-CN" w:bidi="ar-SA"/>
              </w:rPr>
              <w:t>备注</w:t>
            </w:r>
          </w:p>
        </w:tc>
      </w:tr>
      <w:tr w14:paraId="47D05C9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510" w:type="pct"/>
            <w:tcBorders>
              <w:tl2br w:val="nil"/>
              <w:tr2bl w:val="nil"/>
            </w:tcBorders>
            <w:vAlign w:val="center"/>
          </w:tcPr>
          <w:p w14:paraId="3A399EEA">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szCs w:val="21"/>
              </w:rPr>
            </w:pPr>
            <w:r>
              <w:rPr>
                <w:rFonts w:hint="eastAsia" w:ascii="宋体" w:hAnsi="宋体" w:cs="宋体"/>
                <w:szCs w:val="21"/>
              </w:rPr>
              <w:t>标1</w:t>
            </w:r>
          </w:p>
        </w:tc>
        <w:tc>
          <w:tcPr>
            <w:tcW w:w="844" w:type="pct"/>
            <w:tcBorders>
              <w:tl2br w:val="nil"/>
              <w:tr2bl w:val="nil"/>
            </w:tcBorders>
            <w:vAlign w:val="center"/>
          </w:tcPr>
          <w:p w14:paraId="7ED82FB9">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szCs w:val="21"/>
              </w:rPr>
            </w:pPr>
            <w:r>
              <w:rPr>
                <w:rFonts w:hint="eastAsia" w:ascii="宋体" w:hAnsi="宋体" w:cs="宋体"/>
                <w:szCs w:val="21"/>
              </w:rPr>
              <w:t>功率变换交流侧系统</w:t>
            </w:r>
          </w:p>
        </w:tc>
        <w:tc>
          <w:tcPr>
            <w:tcW w:w="506" w:type="pct"/>
            <w:tcBorders>
              <w:tl2br w:val="nil"/>
              <w:tr2bl w:val="nil"/>
            </w:tcBorders>
            <w:vAlign w:val="center"/>
          </w:tcPr>
          <w:p w14:paraId="43C0C81C">
            <w:pPr>
              <w:keepNext w:val="0"/>
              <w:keepLines w:val="0"/>
              <w:pageBreakBefore w:val="0"/>
              <w:widowControl w:val="0"/>
              <w:kinsoku/>
              <w:wordWrap/>
              <w:overflowPunct/>
              <w:topLinePunct w:val="0"/>
              <w:autoSpaceDE/>
              <w:autoSpaceDN/>
              <w:bidi w:val="0"/>
              <w:spacing w:line="360" w:lineRule="auto"/>
              <w:jc w:val="center"/>
              <w:textAlignment w:val="auto"/>
              <w:rPr>
                <w:rFonts w:hint="default" w:ascii="宋体" w:hAnsi="宋体" w:eastAsia="宋体" w:cs="宋体"/>
                <w:color w:val="000000"/>
                <w:szCs w:val="21"/>
                <w:lang w:val="en-US" w:eastAsia="zh-CN"/>
              </w:rPr>
            </w:pPr>
            <w:r>
              <w:rPr>
                <w:rFonts w:hint="eastAsia" w:ascii="宋体" w:hAnsi="宋体" w:cs="宋体"/>
                <w:szCs w:val="21"/>
                <w:lang w:val="en-US" w:eastAsia="zh-CN"/>
              </w:rPr>
              <w:t>包1</w:t>
            </w:r>
          </w:p>
        </w:tc>
        <w:tc>
          <w:tcPr>
            <w:tcW w:w="890" w:type="pct"/>
            <w:tcBorders>
              <w:tl2br w:val="nil"/>
              <w:tr2bl w:val="nil"/>
            </w:tcBorders>
            <w:vAlign w:val="center"/>
          </w:tcPr>
          <w:p w14:paraId="46FFB60D">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color w:val="000000"/>
                <w:szCs w:val="21"/>
              </w:rPr>
            </w:pPr>
            <w:r>
              <w:rPr>
                <w:rFonts w:hint="eastAsia" w:ascii="宋体" w:hAnsi="宋体" w:cs="宋体"/>
                <w:color w:val="000000"/>
                <w:szCs w:val="21"/>
              </w:rPr>
              <w:t>功率变换交流侧系统</w:t>
            </w:r>
          </w:p>
        </w:tc>
        <w:tc>
          <w:tcPr>
            <w:tcW w:w="1819" w:type="pct"/>
            <w:tcBorders>
              <w:tl2br w:val="nil"/>
              <w:tr2bl w:val="nil"/>
            </w:tcBorders>
            <w:vAlign w:val="center"/>
          </w:tcPr>
          <w:p w14:paraId="0A7BA04C">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cs="宋体"/>
                <w:szCs w:val="21"/>
                <w:lang w:val="en-US" w:eastAsia="zh-CN"/>
              </w:rPr>
            </w:pPr>
            <w:r>
              <w:rPr>
                <w:rFonts w:hint="eastAsia" w:ascii="宋体" w:hAnsi="宋体" w:cs="宋体"/>
                <w:szCs w:val="21"/>
                <w:lang w:val="en-US" w:eastAsia="zh-CN"/>
              </w:rPr>
              <w:t>37k-2750/690-S11;2750kVA;共计4套</w:t>
            </w:r>
          </w:p>
        </w:tc>
        <w:tc>
          <w:tcPr>
            <w:tcW w:w="428" w:type="pct"/>
            <w:tcBorders>
              <w:tl2br w:val="nil"/>
              <w:tr2bl w:val="nil"/>
            </w:tcBorders>
            <w:vAlign w:val="center"/>
          </w:tcPr>
          <w:p w14:paraId="0800D9C1">
            <w:pPr>
              <w:keepNext w:val="0"/>
              <w:keepLines w:val="0"/>
              <w:pageBreakBefore w:val="0"/>
              <w:widowControl w:val="0"/>
              <w:kinsoku/>
              <w:wordWrap/>
              <w:overflowPunct/>
              <w:topLinePunct w:val="0"/>
              <w:autoSpaceDE/>
              <w:autoSpaceDN/>
              <w:bidi w:val="0"/>
              <w:spacing w:line="360" w:lineRule="auto"/>
              <w:jc w:val="both"/>
              <w:textAlignment w:val="auto"/>
              <w:rPr>
                <w:rFonts w:hint="eastAsia" w:ascii="宋体" w:hAnsi="宋体" w:cs="宋体"/>
                <w:szCs w:val="21"/>
                <w:lang w:val="en-US" w:eastAsia="zh-CN"/>
              </w:rPr>
            </w:pPr>
          </w:p>
        </w:tc>
      </w:tr>
    </w:tbl>
    <w:p w14:paraId="5E2A4BD7">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宋体" w:hAnsi="宋体" w:cs="宋体"/>
          <w:szCs w:val="21"/>
        </w:rPr>
      </w:pPr>
    </w:p>
    <w:p w14:paraId="0F72CB3D">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rPr>
          <w:rFonts w:ascii="宋体" w:hAnsi="宋体" w:cs="宋体"/>
          <w:b/>
          <w:color w:val="000000"/>
          <w:szCs w:val="21"/>
        </w:rPr>
      </w:pPr>
      <w:r>
        <w:rPr>
          <w:rFonts w:hint="eastAsia" w:ascii="宋体" w:hAnsi="宋体" w:cs="宋体"/>
          <w:b/>
          <w:color w:val="000000"/>
          <w:szCs w:val="21"/>
        </w:rPr>
        <w:t>二、应答人及其应答产品须满足如下专用资格要求：</w:t>
      </w:r>
    </w:p>
    <w:tbl>
      <w:tblPr>
        <w:tblStyle w:val="1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1225"/>
        <w:gridCol w:w="6647"/>
      </w:tblGrid>
      <w:tr w14:paraId="5D6E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13" w:type="pct"/>
            <w:shd w:val="clear" w:color="auto" w:fill="auto"/>
            <w:vAlign w:val="center"/>
          </w:tcPr>
          <w:p w14:paraId="0F12F265">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b/>
                <w:bCs/>
                <w:color w:val="000000"/>
                <w:szCs w:val="21"/>
              </w:rPr>
            </w:pPr>
            <w:r>
              <w:rPr>
                <w:rFonts w:hint="eastAsia" w:ascii="宋体" w:hAnsi="宋体" w:cs="宋体"/>
                <w:b/>
                <w:bCs/>
                <w:color w:val="000000"/>
                <w:szCs w:val="21"/>
              </w:rPr>
              <w:t>分标编号</w:t>
            </w:r>
          </w:p>
        </w:tc>
        <w:tc>
          <w:tcPr>
            <w:tcW w:w="667" w:type="pct"/>
            <w:shd w:val="clear" w:color="auto" w:fill="auto"/>
            <w:vAlign w:val="center"/>
          </w:tcPr>
          <w:p w14:paraId="3EF7E96E">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b/>
                <w:bCs/>
                <w:color w:val="000000"/>
                <w:szCs w:val="21"/>
              </w:rPr>
            </w:pPr>
            <w:r>
              <w:rPr>
                <w:rFonts w:hint="eastAsia" w:ascii="宋体" w:hAnsi="宋体" w:cs="宋体"/>
                <w:b/>
                <w:bCs/>
                <w:color w:val="000000"/>
                <w:szCs w:val="21"/>
              </w:rPr>
              <w:t>分包编号</w:t>
            </w:r>
          </w:p>
        </w:tc>
        <w:tc>
          <w:tcPr>
            <w:tcW w:w="3619" w:type="pct"/>
            <w:shd w:val="clear" w:color="auto" w:fill="auto"/>
            <w:vAlign w:val="center"/>
          </w:tcPr>
          <w:p w14:paraId="040CDF33">
            <w:pPr>
              <w:keepNext w:val="0"/>
              <w:keepLines w:val="0"/>
              <w:pageBreakBefore w:val="0"/>
              <w:widowControl w:val="0"/>
              <w:kinsoku/>
              <w:wordWrap/>
              <w:overflowPunct/>
              <w:topLinePunct w:val="0"/>
              <w:autoSpaceDE/>
              <w:autoSpaceDN/>
              <w:bidi w:val="0"/>
              <w:spacing w:line="360" w:lineRule="auto"/>
              <w:jc w:val="center"/>
              <w:textAlignment w:val="auto"/>
              <w:rPr>
                <w:rFonts w:ascii="宋体" w:hAnsi="宋体" w:cs="宋体"/>
                <w:b/>
                <w:bCs/>
                <w:color w:val="000000"/>
                <w:szCs w:val="21"/>
              </w:rPr>
            </w:pPr>
            <w:r>
              <w:rPr>
                <w:rFonts w:hint="eastAsia" w:ascii="宋体" w:hAnsi="宋体" w:cs="宋体"/>
                <w:b/>
                <w:bCs/>
                <w:color w:val="000000"/>
                <w:szCs w:val="21"/>
              </w:rPr>
              <w:t>供应商资质要求</w:t>
            </w:r>
          </w:p>
        </w:tc>
      </w:tr>
      <w:tr w14:paraId="139C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0" w:hRule="exact"/>
          <w:jc w:val="center"/>
        </w:trPr>
        <w:tc>
          <w:tcPr>
            <w:tcW w:w="713" w:type="pct"/>
            <w:shd w:val="clear" w:color="auto" w:fill="auto"/>
            <w:vAlign w:val="center"/>
          </w:tcPr>
          <w:p w14:paraId="35B3A9B9">
            <w:pPr>
              <w:keepNext w:val="0"/>
              <w:keepLines w:val="0"/>
              <w:pageBreakBefore w:val="0"/>
              <w:widowControl w:val="0"/>
              <w:kinsoku/>
              <w:wordWrap/>
              <w:overflowPunct/>
              <w:topLinePunct w:val="0"/>
              <w:autoSpaceDE/>
              <w:autoSpaceDN/>
              <w:bidi w:val="0"/>
              <w:snapToGrid w:val="0"/>
              <w:spacing w:before="50" w:line="360" w:lineRule="auto"/>
              <w:jc w:val="center"/>
              <w:textAlignment w:val="auto"/>
              <w:rPr>
                <w:rFonts w:ascii="宋体" w:hAnsi="宋体" w:cs="宋体"/>
                <w:color w:val="000000"/>
                <w:szCs w:val="21"/>
              </w:rPr>
            </w:pPr>
            <w:r>
              <w:rPr>
                <w:rFonts w:hint="eastAsia" w:ascii="宋体" w:hAnsi="宋体" w:cs="宋体"/>
                <w:szCs w:val="21"/>
              </w:rPr>
              <w:t>标1</w:t>
            </w:r>
          </w:p>
        </w:tc>
        <w:tc>
          <w:tcPr>
            <w:tcW w:w="667" w:type="pct"/>
            <w:shd w:val="clear" w:color="auto" w:fill="auto"/>
            <w:vAlign w:val="center"/>
          </w:tcPr>
          <w:p w14:paraId="7F0377CE">
            <w:pPr>
              <w:keepNext w:val="0"/>
              <w:keepLines w:val="0"/>
              <w:pageBreakBefore w:val="0"/>
              <w:widowControl w:val="0"/>
              <w:kinsoku/>
              <w:wordWrap/>
              <w:overflowPunct/>
              <w:topLinePunct w:val="0"/>
              <w:autoSpaceDE/>
              <w:autoSpaceDN/>
              <w:bidi w:val="0"/>
              <w:adjustRightInd w:val="0"/>
              <w:spacing w:line="360" w:lineRule="auto"/>
              <w:jc w:val="center"/>
              <w:textAlignment w:val="auto"/>
              <w:rPr>
                <w:rFonts w:ascii="宋体" w:hAnsi="宋体" w:cs="宋体"/>
                <w:b/>
                <w:szCs w:val="21"/>
              </w:rPr>
            </w:pPr>
            <w:r>
              <w:rPr>
                <w:rFonts w:hint="eastAsia" w:ascii="宋体" w:hAnsi="宋体" w:cs="宋体"/>
                <w:szCs w:val="21"/>
                <w:lang w:val="en-US" w:eastAsia="zh-CN"/>
              </w:rPr>
              <w:t>包1</w:t>
            </w:r>
          </w:p>
        </w:tc>
        <w:tc>
          <w:tcPr>
            <w:tcW w:w="3619" w:type="pct"/>
            <w:shd w:val="clear" w:color="auto" w:fill="auto"/>
            <w:vAlign w:val="center"/>
          </w:tcPr>
          <w:p w14:paraId="3F8B00C6">
            <w:pPr>
              <w:keepNext w:val="0"/>
              <w:keepLines w:val="0"/>
              <w:pageBreakBefore w:val="0"/>
              <w:widowControl w:val="0"/>
              <w:kinsoku/>
              <w:wordWrap/>
              <w:overflowPunct/>
              <w:topLinePunct w:val="0"/>
              <w:autoSpaceDE/>
              <w:autoSpaceDN/>
              <w:bidi w:val="0"/>
              <w:adjustRightInd w:val="0"/>
              <w:spacing w:line="360" w:lineRule="auto"/>
              <w:jc w:val="both"/>
              <w:textAlignment w:val="auto"/>
              <w:rPr>
                <w:rFonts w:hint="eastAsia" w:ascii="宋体" w:hAnsi="宋体" w:cs="宋体"/>
                <w:b w:val="0"/>
                <w:bCs/>
                <w:szCs w:val="21"/>
              </w:rPr>
            </w:pPr>
            <w:r>
              <w:rPr>
                <w:rFonts w:hint="eastAsia" w:ascii="宋体" w:hAnsi="宋体" w:cs="宋体"/>
                <w:b w:val="0"/>
                <w:bCs/>
                <w:szCs w:val="21"/>
              </w:rPr>
              <w:t>1、2019年1月1日至投标/首次应答截止日器件，投标人/应答人累计具有同类产品销售业绩，须提供合同关键页。</w:t>
            </w:r>
          </w:p>
          <w:p w14:paraId="60CF849F">
            <w:pPr>
              <w:keepNext w:val="0"/>
              <w:keepLines w:val="0"/>
              <w:pageBreakBefore w:val="0"/>
              <w:widowControl w:val="0"/>
              <w:kinsoku/>
              <w:wordWrap/>
              <w:overflowPunct/>
              <w:topLinePunct w:val="0"/>
              <w:autoSpaceDE/>
              <w:autoSpaceDN/>
              <w:bidi w:val="0"/>
              <w:adjustRightInd w:val="0"/>
              <w:spacing w:line="360" w:lineRule="auto"/>
              <w:jc w:val="both"/>
              <w:textAlignment w:val="auto"/>
              <w:rPr>
                <w:rFonts w:ascii="宋体" w:hAnsi="宋体" w:cs="宋体"/>
                <w:b/>
                <w:szCs w:val="21"/>
              </w:rPr>
            </w:pPr>
            <w:r>
              <w:rPr>
                <w:rFonts w:hint="eastAsia" w:ascii="宋体" w:hAnsi="宋体" w:cs="宋体"/>
                <w:b w:val="0"/>
                <w:bCs/>
                <w:szCs w:val="21"/>
              </w:rPr>
              <w:t>2</w:t>
            </w:r>
            <w:r>
              <w:rPr>
                <w:rFonts w:hint="eastAsia" w:ascii="宋体" w:hAnsi="宋体" w:cs="宋体"/>
                <w:b w:val="0"/>
                <w:bCs/>
                <w:szCs w:val="21"/>
                <w:lang w:eastAsia="zh-CN"/>
              </w:rPr>
              <w:t>、</w:t>
            </w:r>
            <w:r>
              <w:rPr>
                <w:rFonts w:hint="eastAsia" w:ascii="宋体" w:hAnsi="宋体" w:cs="宋体"/>
                <w:b w:val="0"/>
                <w:bCs/>
                <w:szCs w:val="21"/>
              </w:rPr>
              <w:t>试验报告：具有国家认可第三方权威检验检测机构出具的</w:t>
            </w:r>
            <w:r>
              <w:rPr>
                <w:rFonts w:hint="eastAsia" w:ascii="宋体" w:hAnsi="宋体" w:cs="宋体"/>
                <w:b w:val="0"/>
                <w:bCs/>
                <w:szCs w:val="21"/>
                <w:lang w:val="en-US" w:eastAsia="zh-CN"/>
              </w:rPr>
              <w:t>同类型</w:t>
            </w:r>
            <w:r>
              <w:rPr>
                <w:rFonts w:hint="eastAsia" w:ascii="宋体" w:hAnsi="宋体" w:cs="宋体"/>
                <w:b w:val="0"/>
                <w:bCs/>
                <w:szCs w:val="21"/>
              </w:rPr>
              <w:t>变压器检验检测报告。</w:t>
            </w:r>
          </w:p>
        </w:tc>
      </w:tr>
    </w:tbl>
    <w:p w14:paraId="2AD1161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1"/>
      </w:pPr>
    </w:p>
    <w:p w14:paraId="5B196B96">
      <w:pPr>
        <w:pStyle w:val="33"/>
        <w:spacing w:line="400" w:lineRule="exact"/>
        <w:ind w:firstLine="420" w:firstLineChars="200"/>
        <w:rPr>
          <w:rFonts w:hint="eastAsia" w:cs="宋体"/>
          <w:color w:val="FF0000"/>
          <w:kern w:val="2"/>
          <w:sz w:val="21"/>
          <w:szCs w:val="21"/>
          <w:highlight w:val="none"/>
          <w:lang w:val="en-US" w:eastAsia="zh-CN"/>
        </w:rPr>
      </w:pPr>
      <w:r>
        <w:rPr>
          <w:rFonts w:hint="eastAsia" w:cs="宋体"/>
          <w:color w:val="000000"/>
          <w:kern w:val="2"/>
          <w:sz w:val="21"/>
          <w:szCs w:val="21"/>
          <w:highlight w:val="none"/>
          <w:lang w:val="en-US" w:eastAsia="zh-CN"/>
        </w:rPr>
        <w:t xml:space="preserve"> </w:t>
      </w:r>
    </w:p>
    <w:p w14:paraId="4F5173EB">
      <w:pPr>
        <w:pStyle w:val="33"/>
        <w:spacing w:line="400" w:lineRule="exact"/>
        <w:ind w:firstLine="420" w:firstLineChars="200"/>
        <w:rPr>
          <w:rFonts w:hint="eastAsia" w:cs="宋体"/>
          <w:color w:val="FF0000"/>
          <w:kern w:val="2"/>
          <w:sz w:val="21"/>
          <w:szCs w:val="21"/>
          <w:highlight w:val="none"/>
          <w:lang w:val="en-US" w:eastAsia="zh-CN"/>
        </w:rPr>
      </w:pPr>
    </w:p>
    <w:p w14:paraId="4BEC6599">
      <w:pPr>
        <w:pStyle w:val="33"/>
        <w:spacing w:line="400" w:lineRule="exact"/>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开标程序：</w:t>
      </w:r>
    </w:p>
    <w:p w14:paraId="470282E9">
      <w:pPr>
        <w:adjustRightInd w:val="0"/>
        <w:snapToGrid w:val="0"/>
        <w:spacing w:after="120" w:line="360" w:lineRule="auto"/>
        <w:rPr>
          <w:rFonts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按下列程序进行电子化开标：</w:t>
      </w:r>
    </w:p>
    <w:p w14:paraId="466506CD">
      <w:pPr>
        <w:adjustRightInd w:val="0"/>
        <w:snapToGrid w:val="0"/>
        <w:spacing w:after="12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各应答人授权代表应在递交应答文件截止时间前安装好腾讯会议客户端，并添加采购人指定的腾讯会议</w:t>
      </w:r>
      <w:r>
        <w:rPr>
          <w:rFonts w:hint="eastAsia" w:ascii="宋体" w:hAnsi="宋体" w:eastAsia="宋体" w:cs="宋体"/>
          <w:b/>
          <w:bCs/>
          <w:sz w:val="21"/>
          <w:szCs w:val="21"/>
          <w:highlight w:val="none"/>
          <w:lang w:eastAsia="zh-CN"/>
        </w:rPr>
        <w:t>（本项目腾讯会议号详见应答人须知前附表-其他，会议密码将在应答截止时间前1天以邮件形式通知各应答人</w:t>
      </w:r>
      <w:r>
        <w:rPr>
          <w:rFonts w:hint="eastAsia" w:ascii="宋体" w:hAnsi="宋体" w:eastAsia="宋体" w:cs="宋体"/>
          <w:sz w:val="21"/>
          <w:szCs w:val="21"/>
          <w:highlight w:val="none"/>
          <w:lang w:eastAsia="zh-CN"/>
        </w:rPr>
        <w:t>）；各应答人在评标期间保持手机、网络畅通。</w:t>
      </w:r>
    </w:p>
    <w:p w14:paraId="2CC2BE5D">
      <w:pPr>
        <w:adjustRightInd w:val="0"/>
        <w:snapToGrid w:val="0"/>
        <w:spacing w:after="12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为保障电子开标程序顺利进行，各应答人应确保在应答截止时间前30分钟进入本项目的腾讯会议，进入会议系统后点击“成员”→找到自己的ID并按照“应答人公司全称+授权代表姓名”的格式修改备注；同时将麦克风设置为静音状态。</w:t>
      </w:r>
    </w:p>
    <w:p w14:paraId="460DD219">
      <w:pPr>
        <w:adjustRightInd w:val="0"/>
        <w:snapToGrid w:val="0"/>
        <w:spacing w:after="120" w:line="360" w:lineRule="auto"/>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首次应答截止时间后，在采购单位监督人员的监督下，采购代理机构工作人员开始电子化开标仪式：</w:t>
      </w:r>
    </w:p>
    <w:p w14:paraId="1B41DA88">
      <w:pPr>
        <w:adjustRightInd w:val="0"/>
        <w:snapToGrid w:val="0"/>
        <w:spacing w:after="120" w:line="360" w:lineRule="auto"/>
        <w:ind w:firstLine="420"/>
        <w:rPr>
          <w:rFonts w:ascii="宋体" w:hAnsi="宋体" w:eastAsia="宋体" w:cs="宋体"/>
          <w:sz w:val="21"/>
          <w:szCs w:val="21"/>
          <w:highlight w:val="none"/>
          <w:lang w:eastAsia="zh-CN"/>
        </w:rPr>
      </w:pPr>
      <w:r>
        <w:rPr>
          <w:rFonts w:hint="eastAsia" w:eastAsia="宋体" w:cs="宋体"/>
          <w:sz w:val="21"/>
          <w:szCs w:val="21"/>
          <w:highlight w:val="none"/>
          <w:lang w:eastAsia="zh-CN"/>
        </w:rPr>
        <w:t>（1）</w:t>
      </w:r>
      <w:r>
        <w:rPr>
          <w:rFonts w:hint="eastAsia" w:ascii="宋体" w:hAnsi="宋体" w:eastAsia="宋体" w:cs="宋体"/>
          <w:sz w:val="21"/>
          <w:szCs w:val="21"/>
          <w:highlight w:val="none"/>
          <w:lang w:eastAsia="zh-CN"/>
        </w:rPr>
        <w:t>宣布开标纪律。</w:t>
      </w:r>
    </w:p>
    <w:p w14:paraId="79415053">
      <w:pPr>
        <w:ind w:firstLine="420"/>
        <w:rPr>
          <w:rFonts w:cs="宋体"/>
          <w:color w:val="FF0000"/>
          <w:kern w:val="2"/>
          <w:sz w:val="21"/>
          <w:szCs w:val="21"/>
          <w:highlight w:val="none"/>
          <w:lang w:eastAsia="zh-CN"/>
        </w:rPr>
      </w:pPr>
      <w:r>
        <w:rPr>
          <w:rFonts w:hint="eastAsia" w:eastAsia="宋体" w:cs="宋体"/>
          <w:sz w:val="21"/>
          <w:szCs w:val="21"/>
          <w:highlight w:val="none"/>
          <w:lang w:eastAsia="zh-CN"/>
        </w:rPr>
        <w:t>（2）由监督人员检查应答文件电子版【光盘】的密封性。</w:t>
      </w:r>
    </w:p>
    <w:p w14:paraId="59B38380">
      <w:pPr>
        <w:pStyle w:val="33"/>
        <w:spacing w:line="400" w:lineRule="exact"/>
        <w:ind w:firstLine="420" w:firstLineChars="200"/>
        <w:rPr>
          <w:rFonts w:cs="宋体"/>
          <w:color w:val="FF0000"/>
          <w:kern w:val="2"/>
          <w:sz w:val="21"/>
          <w:szCs w:val="21"/>
          <w:highlight w:val="none"/>
          <w:lang w:val="en-US" w:eastAsia="zh-CN"/>
        </w:rPr>
      </w:pPr>
    </w:p>
    <w:p w14:paraId="3F4F8172">
      <w:pPr>
        <w:spacing w:line="400" w:lineRule="exact"/>
        <w:ind w:firstLine="420" w:firstLineChars="200"/>
        <w:rPr>
          <w:highlight w:val="none"/>
          <w:lang w:eastAsia="zh-CN"/>
        </w:rPr>
        <w:sectPr>
          <w:pgSz w:w="11849" w:h="16781"/>
          <w:pgMar w:top="1800" w:right="1440" w:bottom="1800" w:left="1440" w:header="0" w:footer="839" w:gutter="0"/>
          <w:cols w:space="0" w:num="1"/>
          <w:titlePg/>
          <w:docGrid w:linePitch="319" w:charSpace="0"/>
        </w:sectPr>
      </w:pPr>
      <w:r>
        <w:rPr>
          <w:rFonts w:hint="eastAsia" w:cs="宋体"/>
          <w:color w:val="FF0000"/>
          <w:kern w:val="2"/>
          <w:sz w:val="21"/>
          <w:highlight w:val="none"/>
          <w:lang w:eastAsia="zh-CN"/>
        </w:rPr>
        <w:br w:type="page"/>
      </w:r>
    </w:p>
    <w:p w14:paraId="4EC1BE67">
      <w:pPr>
        <w:pStyle w:val="2"/>
        <w:ind w:firstLine="440"/>
        <w:rPr>
          <w:highlight w:val="none"/>
        </w:rPr>
      </w:pPr>
    </w:p>
    <w:bookmarkEnd w:id="13"/>
    <w:sectPr>
      <w:headerReference r:id="rId13" w:type="first"/>
      <w:footerReference r:id="rId15" w:type="first"/>
      <w:headerReference r:id="rId12" w:type="default"/>
      <w:footerReference r:id="rId14" w:type="default"/>
      <w:pgSz w:w="11849" w:h="16781"/>
      <w:pgMar w:top="1134" w:right="1803" w:bottom="1134" w:left="1803" w:header="0" w:footer="839" w:gutter="0"/>
      <w:cols w:space="0" w:num="1"/>
      <w:titlePg/>
      <w:docGrid w:linePitch="32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E0253">
    <w:pPr>
      <w:pStyle w:val="10"/>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D46F8">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E3D30">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A404">
    <w:pPr>
      <w:pStyle w:val="14"/>
      <w:jc w:val="center"/>
    </w:pPr>
    <w:r>
      <w:rPr>
        <w:lang w:eastAsia="zh-CN" w:bidi="ar-SA"/>
      </w:rPr>
      <w:pict>
        <v:shape id="_x0000_s1026" o:spid="_x0000_s1026" o:spt="202" type="#_x0000_t202" style="position:absolute;left:0pt;margin-top:0pt;height:22.65pt;width:4.6pt;mso-position-horizontal:center;mso-position-horizontal-relative:margin;mso-wrap-style:none;z-index:251659264;mso-width-relative:page;mso-height-relative:page;" filled="f" stroked="f" coordsize="21600,21600" o:gfxdata="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d+lsPRAAAAAgEAAA8AAAAAAAAAAQAg&#10;AAAAIgAAAGRycy9kb3ducmV2LnhtbFBLAQIUABQAAAAIAIdO4kASxu1U3AEAAK0DAAAOAAAAAAAA&#10;AAEAIAAAACABAABkcnMvZTJvRG9jLnhtbFBLBQYAAAAABgAGAFkBAABuBQAAAAA=&#10;">
          <v:path/>
          <v:fill on="f" focussize="0,0"/>
          <v:stroke on="f" joinstyle="miter"/>
          <v:imagedata o:title=""/>
          <o:lock v:ext="edit"/>
          <v:textbox inset="0mm,0mm,0mm,0mm" style="mso-fit-shape-to-text:t;">
            <w:txbxContent>
              <w:p w14:paraId="57161EBD">
                <w:pPr>
                  <w:pStyle w:val="14"/>
                  <w:jc w:val="center"/>
                </w:pPr>
                <w:r>
                  <w:fldChar w:fldCharType="begin"/>
                </w:r>
                <w:r>
                  <w:instrText xml:space="preserve"> PAGE   \* MERGEFORMAT </w:instrText>
                </w:r>
                <w:r>
                  <w:fldChar w:fldCharType="separate"/>
                </w:r>
                <w:r>
                  <w:rPr>
                    <w:lang w:val="zh-CN"/>
                  </w:rPr>
                  <w:t>5</w:t>
                </w:r>
                <w:r>
                  <w:rPr>
                    <w:lang w:val="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F9743">
    <w:r>
      <w:pict>
        <v:shape id="_x0000_s1028" o:spid="_x0000_s1028" o:spt="202" type="#_x0000_t202" style="position:absolute;left:0pt;margin-left:192.8pt;margin-top:-13.5pt;height:144pt;width:144pt;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">
          <v:path/>
          <v:fill on="f" focussize="0,0"/>
          <v:stroke on="f" joinstyle="miter"/>
          <v:imagedata o:title=""/>
          <o:lock v:ext="edit"/>
          <v:textbox inset="0mm,0mm,0mm,0mm" style="mso-fit-shape-to-text:t;">
            <w:txbxContent>
              <w:p w14:paraId="76B49BA1"/>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DA2C0">
    <w:pPr>
      <w:pStyle w:val="1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0916B">
    <w:pPr>
      <w:pStyle w:val="1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B0139">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00D94">
    <w:pPr>
      <w:pStyle w:val="15"/>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88DD0">
    <w:pPr>
      <w:pStyle w:val="15"/>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C6947">
    <w:pPr>
      <w:pStyle w:val="15"/>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D860E"/>
    <w:multiLevelType w:val="singleLevel"/>
    <w:tmpl w:val="96AD860E"/>
    <w:lvl w:ilvl="0" w:tentative="0">
      <w:start w:val="2"/>
      <w:numFmt w:val="decimal"/>
      <w:lvlText w:val="%1."/>
      <w:lvlJc w:val="left"/>
      <w:pPr>
        <w:tabs>
          <w:tab w:val="left" w:pos="312"/>
        </w:tabs>
      </w:pPr>
    </w:lvl>
  </w:abstractNum>
  <w:abstractNum w:abstractNumId="1">
    <w:nsid w:val="DAF8A95C"/>
    <w:multiLevelType w:val="singleLevel"/>
    <w:tmpl w:val="DAF8A95C"/>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comments" w:enforcement="1" w:cryptProviderType="rsaFull" w:cryptAlgorithmClass="hash" w:cryptAlgorithmType="typeAny" w:cryptAlgorithmSid="4" w:cryptSpinCount="0" w:hash="9yx5sbB/Xx5VwcISMA9lzjYmo6U=" w:salt="oNrB6rzvmRd8VtDyLwO9Hg=="/>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65D710620000E6B0" w:val=" "/>
    <w:docVar w:name="65D8125E0000A75E" w:val=" "/>
    <w:docVar w:name="65DBFDD90000FC39" w:val=" "/>
    <w:docVar w:name="65F8041500006502" w:val=" "/>
    <w:docVar w:name="65FCE83200007948" w:val=" "/>
    <w:docVar w:name="65FCF2B600008CC8" w:val=" "/>
    <w:docVar w:name="65FCF5010000820F" w:val=" "/>
    <w:docVar w:name="65FCFA9100003AE9" w:val=" "/>
    <w:docVar w:name="65FD232C0000E532" w:val=" "/>
    <w:docVar w:name="65FD26600000E6FB" w:val=" "/>
    <w:docVar w:name="65FD285900009B17" w:val=" "/>
    <w:docVar w:name="65FD28F30000F265" w:val=" "/>
    <w:docVar w:name="65FD2F800000893C" w:val=" "/>
    <w:docVar w:name="65FD304800009870" w:val=" "/>
    <w:docVar w:name="65FD304F0000B493" w:val=" "/>
    <w:docVar w:name="666A6A420000F452" w:val=" "/>
    <w:docVar w:name="666A9ED400004E25" w:val=" "/>
    <w:docVar w:name="666AA8CC00003E0A" w:val=" "/>
    <w:docVar w:name="666AACB600008952" w:val=" "/>
    <w:docVar w:name="666AB507000004B1" w:val=" "/>
    <w:docVar w:name="666AC25E00002144" w:val=" "/>
    <w:docVar w:name="666ACE960000DA30" w:val=" "/>
    <w:docVar w:name="666ACEFD00006ED9" w:val=" "/>
    <w:docVar w:name="666BBB540000A707" w:val=" "/>
    <w:docVar w:name="667B83CB0000429E" w:val=" "/>
    <w:docVar w:name="667B83F90000F6FA" w:val=" "/>
    <w:docVar w:name="667BBE480000BA69" w:val=" "/>
    <w:docVar w:name="667BBFE600000E2A" w:val=" "/>
    <w:docVar w:name="667BC25100007FC4" w:val=" "/>
    <w:docVar w:name="667BD4520000D3EA" w:val=" "/>
    <w:docVar w:name="6683B4810000DB72" w:val=" "/>
    <w:docVar w:name="668B5B69000050D7" w:val=" "/>
    <w:docVar w:name="66A2FD430000F961" w:val=" "/>
    <w:docVar w:name="66A3100A00005411" w:val=" "/>
    <w:docVar w:name="66A3588900008429" w:val=" "/>
    <w:docVar w:name="66A70E650000E7D7" w:val=" "/>
    <w:docVar w:name="66A8907B00000D6A" w:val=" "/>
    <w:docVar w:name="66A890AA0000C744" w:val=" "/>
    <w:docVar w:name="66A890B60000F559" w:val=" "/>
    <w:docVar w:name="66A8A15C0000FC32" w:val=" "/>
    <w:docVar w:name="66A8C7800000EB38" w:val=" "/>
    <w:docVar w:name="66A9999C0000AA9C" w:val=" "/>
    <w:docVar w:name="66A9AA3F0000BFFD" w:val=" "/>
    <w:docVar w:name="66AB3ED60000A493" w:val=" "/>
    <w:docVar w:name="66AB3F79000022D1" w:val=" "/>
    <w:docVar w:name="66AC91530000DBF0" w:val=" "/>
    <w:docVar w:name="66AC92CC00009D92" w:val=" "/>
    <w:docVar w:name="66BC13AF0000140C" w:val=" "/>
    <w:docVar w:name="66BC17690000A1A2" w:val=" "/>
    <w:docVar w:name="66BDC195000060AE" w:val=" "/>
    <w:docVar w:name="66BDC5020000BF59" w:val=" "/>
    <w:docVar w:name="66BDCC0C0000409C" w:val=" "/>
    <w:docVar w:name="66BDCC1500006412" w:val=" "/>
    <w:docVar w:name="66D118F90000BED1" w:val=" "/>
    <w:docVar w:name="66D11BBC000088D7" w:val=" "/>
    <w:docVar w:name="6772384A0000132A" w:val=" "/>
    <w:docVar w:name="6773404800004ADD" w:val=" "/>
    <w:docVar w:name="6773424600001109" w:val=" "/>
    <w:docVar w:name="6773841A00003587" w:val=" "/>
    <w:docVar w:name="677384D00000FC86" w:val=" "/>
    <w:docVar w:name="6776645000000AB9" w:val=" "/>
    <w:docVar w:name="677B355B00006A29" w:val=" "/>
    <w:docVar w:name="commondata" w:val="eyJoZGlkIjoiYmM5YTQ5ZDEyOWMyMGZiNWU5ZjFkNjMxM2FiMDhkOTUifQ=="/>
  </w:docVars>
  <w:rsids>
    <w:rsidRoot w:val="00D615C4"/>
    <w:rsid w:val="00003158"/>
    <w:rsid w:val="0002037F"/>
    <w:rsid w:val="00075CBF"/>
    <w:rsid w:val="000831D1"/>
    <w:rsid w:val="000870F3"/>
    <w:rsid w:val="001A659B"/>
    <w:rsid w:val="001C1AED"/>
    <w:rsid w:val="001C6554"/>
    <w:rsid w:val="001F4CF4"/>
    <w:rsid w:val="00230838"/>
    <w:rsid w:val="00243059"/>
    <w:rsid w:val="0026723E"/>
    <w:rsid w:val="002B575E"/>
    <w:rsid w:val="00385505"/>
    <w:rsid w:val="00385837"/>
    <w:rsid w:val="0039497F"/>
    <w:rsid w:val="003A590B"/>
    <w:rsid w:val="003C74DA"/>
    <w:rsid w:val="003F3D60"/>
    <w:rsid w:val="00400CE1"/>
    <w:rsid w:val="004017CF"/>
    <w:rsid w:val="00437124"/>
    <w:rsid w:val="00445301"/>
    <w:rsid w:val="004518DA"/>
    <w:rsid w:val="0045299A"/>
    <w:rsid w:val="004B0136"/>
    <w:rsid w:val="004D0659"/>
    <w:rsid w:val="004F3398"/>
    <w:rsid w:val="00517D22"/>
    <w:rsid w:val="00521CBC"/>
    <w:rsid w:val="00553919"/>
    <w:rsid w:val="005A7BDB"/>
    <w:rsid w:val="006160F8"/>
    <w:rsid w:val="00624E30"/>
    <w:rsid w:val="00642E9E"/>
    <w:rsid w:val="00690D3B"/>
    <w:rsid w:val="006C6D69"/>
    <w:rsid w:val="006F4FD4"/>
    <w:rsid w:val="00770B29"/>
    <w:rsid w:val="007B4B5B"/>
    <w:rsid w:val="007E1155"/>
    <w:rsid w:val="007E7BA3"/>
    <w:rsid w:val="00812730"/>
    <w:rsid w:val="00822148"/>
    <w:rsid w:val="00825064"/>
    <w:rsid w:val="0084747F"/>
    <w:rsid w:val="0088401A"/>
    <w:rsid w:val="008B4ABF"/>
    <w:rsid w:val="008E69FB"/>
    <w:rsid w:val="008F6BA9"/>
    <w:rsid w:val="00900DAC"/>
    <w:rsid w:val="0093747C"/>
    <w:rsid w:val="009D0F3C"/>
    <w:rsid w:val="009D744A"/>
    <w:rsid w:val="00A4736E"/>
    <w:rsid w:val="00A654F0"/>
    <w:rsid w:val="00A83834"/>
    <w:rsid w:val="00AF2AA6"/>
    <w:rsid w:val="00B24E35"/>
    <w:rsid w:val="00B42EA6"/>
    <w:rsid w:val="00B5542F"/>
    <w:rsid w:val="00B8255B"/>
    <w:rsid w:val="00B844A9"/>
    <w:rsid w:val="00B97A73"/>
    <w:rsid w:val="00BE19E8"/>
    <w:rsid w:val="00C13901"/>
    <w:rsid w:val="00C4561E"/>
    <w:rsid w:val="00C6538D"/>
    <w:rsid w:val="00C721F1"/>
    <w:rsid w:val="00C73398"/>
    <w:rsid w:val="00CF06C4"/>
    <w:rsid w:val="00D3042F"/>
    <w:rsid w:val="00D4567B"/>
    <w:rsid w:val="00D54BF6"/>
    <w:rsid w:val="00D615C4"/>
    <w:rsid w:val="00DE75EA"/>
    <w:rsid w:val="00DF2AB4"/>
    <w:rsid w:val="00E04064"/>
    <w:rsid w:val="00EE7723"/>
    <w:rsid w:val="00F01818"/>
    <w:rsid w:val="00F02CAD"/>
    <w:rsid w:val="00F042BC"/>
    <w:rsid w:val="00F048E5"/>
    <w:rsid w:val="00F14BA9"/>
    <w:rsid w:val="00F15739"/>
    <w:rsid w:val="00F51423"/>
    <w:rsid w:val="00F9438C"/>
    <w:rsid w:val="00FB1B14"/>
    <w:rsid w:val="00FB538B"/>
    <w:rsid w:val="00FD28C6"/>
    <w:rsid w:val="01292073"/>
    <w:rsid w:val="01B35128"/>
    <w:rsid w:val="01F82D9F"/>
    <w:rsid w:val="02035967"/>
    <w:rsid w:val="028F7CDD"/>
    <w:rsid w:val="03D352CC"/>
    <w:rsid w:val="05890496"/>
    <w:rsid w:val="0594037E"/>
    <w:rsid w:val="05AC663B"/>
    <w:rsid w:val="05E345C1"/>
    <w:rsid w:val="06072057"/>
    <w:rsid w:val="07937179"/>
    <w:rsid w:val="07A03680"/>
    <w:rsid w:val="08114ADC"/>
    <w:rsid w:val="081D4B90"/>
    <w:rsid w:val="081D78AC"/>
    <w:rsid w:val="08E1083A"/>
    <w:rsid w:val="09A16D3B"/>
    <w:rsid w:val="0A0213CF"/>
    <w:rsid w:val="0B4777AE"/>
    <w:rsid w:val="0B532ACC"/>
    <w:rsid w:val="0BB32F4F"/>
    <w:rsid w:val="0C3E5A8F"/>
    <w:rsid w:val="0C680D93"/>
    <w:rsid w:val="0C6A465A"/>
    <w:rsid w:val="0C7906E3"/>
    <w:rsid w:val="0D292DD6"/>
    <w:rsid w:val="0DA100AE"/>
    <w:rsid w:val="0DF42FF3"/>
    <w:rsid w:val="0E1B3D9D"/>
    <w:rsid w:val="0E530CFF"/>
    <w:rsid w:val="0E8E5B7C"/>
    <w:rsid w:val="0F760F72"/>
    <w:rsid w:val="0FC173CE"/>
    <w:rsid w:val="106008C2"/>
    <w:rsid w:val="10684682"/>
    <w:rsid w:val="10EA7163"/>
    <w:rsid w:val="11047B1E"/>
    <w:rsid w:val="114D7770"/>
    <w:rsid w:val="11E04F7F"/>
    <w:rsid w:val="11F76E9B"/>
    <w:rsid w:val="12103669"/>
    <w:rsid w:val="121B79D7"/>
    <w:rsid w:val="12561465"/>
    <w:rsid w:val="12905384"/>
    <w:rsid w:val="12AE32CC"/>
    <w:rsid w:val="12E12CD2"/>
    <w:rsid w:val="13324069"/>
    <w:rsid w:val="140407E5"/>
    <w:rsid w:val="14176797"/>
    <w:rsid w:val="14B2307F"/>
    <w:rsid w:val="14FE2972"/>
    <w:rsid w:val="150F3E39"/>
    <w:rsid w:val="151E2310"/>
    <w:rsid w:val="15250CBB"/>
    <w:rsid w:val="167949D0"/>
    <w:rsid w:val="16891E46"/>
    <w:rsid w:val="16B70B6C"/>
    <w:rsid w:val="16D430DC"/>
    <w:rsid w:val="16DC164E"/>
    <w:rsid w:val="175D5E14"/>
    <w:rsid w:val="17A36135"/>
    <w:rsid w:val="18884647"/>
    <w:rsid w:val="19221A4E"/>
    <w:rsid w:val="19402EB5"/>
    <w:rsid w:val="194F644B"/>
    <w:rsid w:val="195E182F"/>
    <w:rsid w:val="19862E6C"/>
    <w:rsid w:val="19D05E48"/>
    <w:rsid w:val="1AC9036F"/>
    <w:rsid w:val="1B894B1B"/>
    <w:rsid w:val="1B992C05"/>
    <w:rsid w:val="1BD40DCF"/>
    <w:rsid w:val="1BEE4179"/>
    <w:rsid w:val="1C505D06"/>
    <w:rsid w:val="1CEA708E"/>
    <w:rsid w:val="1D0519F1"/>
    <w:rsid w:val="1D77004A"/>
    <w:rsid w:val="1EDF403E"/>
    <w:rsid w:val="1F7665DA"/>
    <w:rsid w:val="1F7D0532"/>
    <w:rsid w:val="1F7D058E"/>
    <w:rsid w:val="2023758D"/>
    <w:rsid w:val="204D2067"/>
    <w:rsid w:val="206E58D3"/>
    <w:rsid w:val="207846EA"/>
    <w:rsid w:val="20E52609"/>
    <w:rsid w:val="22EF439F"/>
    <w:rsid w:val="23541FE2"/>
    <w:rsid w:val="239E4F5A"/>
    <w:rsid w:val="23B3333F"/>
    <w:rsid w:val="24CC7015"/>
    <w:rsid w:val="24FA1D16"/>
    <w:rsid w:val="261C6EAC"/>
    <w:rsid w:val="265F348A"/>
    <w:rsid w:val="269C3D4E"/>
    <w:rsid w:val="2738318D"/>
    <w:rsid w:val="27443074"/>
    <w:rsid w:val="274704AC"/>
    <w:rsid w:val="27681308"/>
    <w:rsid w:val="277C3697"/>
    <w:rsid w:val="27A81641"/>
    <w:rsid w:val="28BA15AF"/>
    <w:rsid w:val="28CF5E4C"/>
    <w:rsid w:val="28EB582E"/>
    <w:rsid w:val="296C79B4"/>
    <w:rsid w:val="29781BB9"/>
    <w:rsid w:val="2A8F3DAE"/>
    <w:rsid w:val="2B204DEE"/>
    <w:rsid w:val="2BA0237D"/>
    <w:rsid w:val="2C01391D"/>
    <w:rsid w:val="2C524C9D"/>
    <w:rsid w:val="2CA52968"/>
    <w:rsid w:val="2D565C89"/>
    <w:rsid w:val="2D6C3B29"/>
    <w:rsid w:val="2E2415DD"/>
    <w:rsid w:val="2E2C3A0B"/>
    <w:rsid w:val="2E4D1738"/>
    <w:rsid w:val="2EB70E24"/>
    <w:rsid w:val="2F275437"/>
    <w:rsid w:val="2FB003F3"/>
    <w:rsid w:val="30822FB3"/>
    <w:rsid w:val="30C74D94"/>
    <w:rsid w:val="30C967E0"/>
    <w:rsid w:val="31610C44"/>
    <w:rsid w:val="3163394E"/>
    <w:rsid w:val="31EF5A5A"/>
    <w:rsid w:val="321D4CCF"/>
    <w:rsid w:val="330E6365"/>
    <w:rsid w:val="33EE0941"/>
    <w:rsid w:val="33EF553B"/>
    <w:rsid w:val="34853BE9"/>
    <w:rsid w:val="348E527C"/>
    <w:rsid w:val="355979C1"/>
    <w:rsid w:val="35863AF9"/>
    <w:rsid w:val="36027CB8"/>
    <w:rsid w:val="362A32E0"/>
    <w:rsid w:val="364922D3"/>
    <w:rsid w:val="378376EB"/>
    <w:rsid w:val="38795734"/>
    <w:rsid w:val="39133448"/>
    <w:rsid w:val="39657C83"/>
    <w:rsid w:val="397064E1"/>
    <w:rsid w:val="3A376C59"/>
    <w:rsid w:val="3AC661DC"/>
    <w:rsid w:val="3B3A102D"/>
    <w:rsid w:val="3B3F27DC"/>
    <w:rsid w:val="3B4303F0"/>
    <w:rsid w:val="3C74452F"/>
    <w:rsid w:val="3C895FB1"/>
    <w:rsid w:val="3CAB4D29"/>
    <w:rsid w:val="3CC700E5"/>
    <w:rsid w:val="3DEB25A4"/>
    <w:rsid w:val="3E3B7526"/>
    <w:rsid w:val="3E5B25D5"/>
    <w:rsid w:val="3F21742D"/>
    <w:rsid w:val="3FA70C4F"/>
    <w:rsid w:val="3FA9670A"/>
    <w:rsid w:val="3FC46938"/>
    <w:rsid w:val="40406EFF"/>
    <w:rsid w:val="409432CC"/>
    <w:rsid w:val="40957B9D"/>
    <w:rsid w:val="411E0169"/>
    <w:rsid w:val="41352A79"/>
    <w:rsid w:val="41504E33"/>
    <w:rsid w:val="4176697B"/>
    <w:rsid w:val="42E778B6"/>
    <w:rsid w:val="43580A8C"/>
    <w:rsid w:val="436016E3"/>
    <w:rsid w:val="437C5973"/>
    <w:rsid w:val="43A97A8C"/>
    <w:rsid w:val="444D02D1"/>
    <w:rsid w:val="44A5293C"/>
    <w:rsid w:val="44EC34DB"/>
    <w:rsid w:val="45183949"/>
    <w:rsid w:val="45A94A14"/>
    <w:rsid w:val="45DD698D"/>
    <w:rsid w:val="46011A52"/>
    <w:rsid w:val="460463B4"/>
    <w:rsid w:val="46393A33"/>
    <w:rsid w:val="465C635D"/>
    <w:rsid w:val="469005DE"/>
    <w:rsid w:val="47300BB5"/>
    <w:rsid w:val="47912598"/>
    <w:rsid w:val="48101DB0"/>
    <w:rsid w:val="48112922"/>
    <w:rsid w:val="49F76AAF"/>
    <w:rsid w:val="4A9243FC"/>
    <w:rsid w:val="4BB11B3A"/>
    <w:rsid w:val="4BF053BE"/>
    <w:rsid w:val="4D0B63C1"/>
    <w:rsid w:val="4D5F4023"/>
    <w:rsid w:val="4D632DB2"/>
    <w:rsid w:val="4D8F7416"/>
    <w:rsid w:val="4DC10B26"/>
    <w:rsid w:val="4E080A56"/>
    <w:rsid w:val="4E1B530A"/>
    <w:rsid w:val="4E4B187C"/>
    <w:rsid w:val="4E84025E"/>
    <w:rsid w:val="4EAC0AC4"/>
    <w:rsid w:val="4F93565B"/>
    <w:rsid w:val="50AD196E"/>
    <w:rsid w:val="50E45E87"/>
    <w:rsid w:val="50FC28B4"/>
    <w:rsid w:val="5155007D"/>
    <w:rsid w:val="51F32DDC"/>
    <w:rsid w:val="51F660B2"/>
    <w:rsid w:val="521453AA"/>
    <w:rsid w:val="52176212"/>
    <w:rsid w:val="537D380B"/>
    <w:rsid w:val="53D63281"/>
    <w:rsid w:val="54AE3C3B"/>
    <w:rsid w:val="55E7156B"/>
    <w:rsid w:val="56A751E9"/>
    <w:rsid w:val="56DA72DD"/>
    <w:rsid w:val="56EA0274"/>
    <w:rsid w:val="573B54E6"/>
    <w:rsid w:val="57C14008"/>
    <w:rsid w:val="57CA2E94"/>
    <w:rsid w:val="583C1DF9"/>
    <w:rsid w:val="586B7EF7"/>
    <w:rsid w:val="58852259"/>
    <w:rsid w:val="58CF7C4F"/>
    <w:rsid w:val="59507B70"/>
    <w:rsid w:val="59571E76"/>
    <w:rsid w:val="59767560"/>
    <w:rsid w:val="59883487"/>
    <w:rsid w:val="5991059C"/>
    <w:rsid w:val="5A9E1B2E"/>
    <w:rsid w:val="5AF77E50"/>
    <w:rsid w:val="5B225DCD"/>
    <w:rsid w:val="5BAA117E"/>
    <w:rsid w:val="5C353F3C"/>
    <w:rsid w:val="5C3E5C62"/>
    <w:rsid w:val="5C533E08"/>
    <w:rsid w:val="5CB123DF"/>
    <w:rsid w:val="5CEE1155"/>
    <w:rsid w:val="5D7A1F17"/>
    <w:rsid w:val="5D9E47F9"/>
    <w:rsid w:val="5DB62166"/>
    <w:rsid w:val="5DE63F2D"/>
    <w:rsid w:val="5E07357C"/>
    <w:rsid w:val="5EAA3696"/>
    <w:rsid w:val="5F3F2252"/>
    <w:rsid w:val="5F923A4B"/>
    <w:rsid w:val="5F976163"/>
    <w:rsid w:val="606966FE"/>
    <w:rsid w:val="607427C1"/>
    <w:rsid w:val="60C90FAA"/>
    <w:rsid w:val="60F44D46"/>
    <w:rsid w:val="60F704E6"/>
    <w:rsid w:val="61211D69"/>
    <w:rsid w:val="615450BA"/>
    <w:rsid w:val="61FC48F1"/>
    <w:rsid w:val="62C27B96"/>
    <w:rsid w:val="62EE3886"/>
    <w:rsid w:val="637451BA"/>
    <w:rsid w:val="63A7308B"/>
    <w:rsid w:val="63A7765E"/>
    <w:rsid w:val="63E0599E"/>
    <w:rsid w:val="641C4140"/>
    <w:rsid w:val="64C949B5"/>
    <w:rsid w:val="652D1D3B"/>
    <w:rsid w:val="65407A4E"/>
    <w:rsid w:val="667D0131"/>
    <w:rsid w:val="67B0704B"/>
    <w:rsid w:val="68614BC4"/>
    <w:rsid w:val="69016903"/>
    <w:rsid w:val="690D140E"/>
    <w:rsid w:val="69854299"/>
    <w:rsid w:val="69D65388"/>
    <w:rsid w:val="6AAF2074"/>
    <w:rsid w:val="6ACC7E0A"/>
    <w:rsid w:val="6B632373"/>
    <w:rsid w:val="6BCA7A66"/>
    <w:rsid w:val="6C575B03"/>
    <w:rsid w:val="6CA5206E"/>
    <w:rsid w:val="6CCD3C0B"/>
    <w:rsid w:val="6D2507E9"/>
    <w:rsid w:val="6D2C2C0D"/>
    <w:rsid w:val="6D9D1AB5"/>
    <w:rsid w:val="6DFA3982"/>
    <w:rsid w:val="6E0349D0"/>
    <w:rsid w:val="6E360C61"/>
    <w:rsid w:val="6EFF3225"/>
    <w:rsid w:val="709B78ED"/>
    <w:rsid w:val="711461AF"/>
    <w:rsid w:val="712769A6"/>
    <w:rsid w:val="715343C8"/>
    <w:rsid w:val="71F67552"/>
    <w:rsid w:val="72BC0339"/>
    <w:rsid w:val="72CB3EBC"/>
    <w:rsid w:val="73583998"/>
    <w:rsid w:val="7367665B"/>
    <w:rsid w:val="75574211"/>
    <w:rsid w:val="76236C7E"/>
    <w:rsid w:val="7717096F"/>
    <w:rsid w:val="77EF6942"/>
    <w:rsid w:val="7819768D"/>
    <w:rsid w:val="78DB7BA9"/>
    <w:rsid w:val="78FA548B"/>
    <w:rsid w:val="791A1973"/>
    <w:rsid w:val="792E671E"/>
    <w:rsid w:val="794967BA"/>
    <w:rsid w:val="794D28D9"/>
    <w:rsid w:val="795A68C3"/>
    <w:rsid w:val="7963000E"/>
    <w:rsid w:val="79653A17"/>
    <w:rsid w:val="79695C77"/>
    <w:rsid w:val="7A01097A"/>
    <w:rsid w:val="7A235DDE"/>
    <w:rsid w:val="7AC141C7"/>
    <w:rsid w:val="7B0F61DC"/>
    <w:rsid w:val="7BFB09E9"/>
    <w:rsid w:val="7C2A71B9"/>
    <w:rsid w:val="7C346637"/>
    <w:rsid w:val="7CFB47E8"/>
    <w:rsid w:val="7DC120E2"/>
    <w:rsid w:val="7DE62B96"/>
    <w:rsid w:val="7E2132FC"/>
    <w:rsid w:val="7E21597E"/>
    <w:rsid w:val="7E3544FA"/>
    <w:rsid w:val="7FC565D8"/>
    <w:rsid w:val="7FCB1C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6">
    <w:name w:val="heading 2"/>
    <w:basedOn w:val="1"/>
    <w:next w:val="1"/>
    <w:link w:val="24"/>
    <w:autoRedefine/>
    <w:unhideWhenUsed/>
    <w:qFormat/>
    <w:uiPriority w:val="9"/>
    <w:pPr>
      <w:spacing w:before="200" w:after="0" w:line="271" w:lineRule="auto"/>
      <w:outlineLvl w:val="1"/>
    </w:pPr>
    <w:rPr>
      <w:smallCaps/>
      <w:sz w:val="28"/>
      <w:szCs w:val="28"/>
    </w:rPr>
  </w:style>
  <w:style w:type="paragraph" w:styleId="7">
    <w:name w:val="heading 3"/>
    <w:basedOn w:val="1"/>
    <w:next w:val="1"/>
    <w:link w:val="25"/>
    <w:autoRedefine/>
    <w:qFormat/>
    <w:uiPriority w:val="0"/>
    <w:pPr>
      <w:autoSpaceDE w:val="0"/>
      <w:autoSpaceDN w:val="0"/>
      <w:ind w:left="866" w:hanging="489"/>
      <w:outlineLvl w:val="2"/>
    </w:pPr>
    <w:rPr>
      <w:rFonts w:ascii="宋体" w:hAnsi="宋体"/>
      <w:sz w:val="28"/>
      <w:szCs w:val="28"/>
      <w:lang w:val="zh-CN"/>
    </w:rPr>
  </w:style>
  <w:style w:type="paragraph" w:styleId="8">
    <w:name w:val="heading 4"/>
    <w:basedOn w:val="1"/>
    <w:next w:val="1"/>
    <w:link w:val="26"/>
    <w:autoRedefine/>
    <w:unhideWhenUsed/>
    <w:qFormat/>
    <w:uiPriority w:val="9"/>
    <w:pPr>
      <w:spacing w:after="0" w:line="271" w:lineRule="auto"/>
      <w:outlineLvl w:val="3"/>
    </w:pPr>
    <w:rPr>
      <w:b/>
      <w:bCs/>
      <w:spacing w:val="5"/>
      <w:sz w:val="24"/>
      <w:szCs w:val="24"/>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4"/>
    <w:link w:val="32"/>
    <w:autoRedefine/>
    <w:qFormat/>
    <w:uiPriority w:val="0"/>
    <w:pPr>
      <w:ind w:left="0" w:leftChars="0" w:firstLine="420"/>
    </w:pPr>
    <w:rPr>
      <w:szCs w:val="24"/>
    </w:rPr>
  </w:style>
  <w:style w:type="paragraph" w:styleId="3">
    <w:name w:val="Body Text Indent"/>
    <w:basedOn w:val="1"/>
    <w:link w:val="29"/>
    <w:autoRedefine/>
    <w:unhideWhenUsed/>
    <w:qFormat/>
    <w:uiPriority w:val="0"/>
    <w:pPr>
      <w:spacing w:after="120"/>
      <w:ind w:left="420" w:leftChars="200"/>
    </w:pPr>
  </w:style>
  <w:style w:type="paragraph" w:customStyle="1" w:styleId="4">
    <w:name w:val="表格文字"/>
    <w:basedOn w:val="5"/>
    <w:next w:val="1"/>
    <w:autoRedefine/>
    <w:qFormat/>
    <w:uiPriority w:val="0"/>
    <w:pPr>
      <w:ind w:firstLine="0" w:firstLineChars="0"/>
      <w:jc w:val="center"/>
    </w:pPr>
    <w:rPr>
      <w:szCs w:val="20"/>
    </w:rPr>
  </w:style>
  <w:style w:type="paragraph" w:styleId="5">
    <w:name w:val="List"/>
    <w:basedOn w:val="1"/>
    <w:autoRedefine/>
    <w:qFormat/>
    <w:uiPriority w:val="0"/>
    <w:pPr>
      <w:ind w:left="200" w:hanging="200" w:hangingChars="200"/>
      <w:contextualSpacing/>
    </w:pPr>
  </w:style>
  <w:style w:type="paragraph" w:styleId="9">
    <w:name w:val="Normal Indent"/>
    <w:basedOn w:val="1"/>
    <w:next w:val="10"/>
    <w:autoRedefine/>
    <w:qFormat/>
    <w:uiPriority w:val="0"/>
    <w:pPr>
      <w:ind w:firstLine="420"/>
    </w:pPr>
    <w:rPr>
      <w:rFonts w:ascii="Times New Roman" w:hAnsi="Times New Roman"/>
      <w:szCs w:val="24"/>
    </w:rPr>
  </w:style>
  <w:style w:type="paragraph" w:styleId="10">
    <w:name w:val="Body Text"/>
    <w:basedOn w:val="1"/>
    <w:next w:val="1"/>
    <w:link w:val="28"/>
    <w:autoRedefine/>
    <w:qFormat/>
    <w:uiPriority w:val="0"/>
    <w:pPr>
      <w:spacing w:after="120"/>
    </w:pPr>
    <w:rPr>
      <w:szCs w:val="24"/>
    </w:rPr>
  </w:style>
  <w:style w:type="paragraph" w:styleId="11">
    <w:name w:val="Document Map"/>
    <w:basedOn w:val="1"/>
    <w:link w:val="27"/>
    <w:autoRedefine/>
    <w:qFormat/>
    <w:uiPriority w:val="0"/>
    <w:rPr>
      <w:rFonts w:ascii="Tahoma" w:hAnsi="Tahoma"/>
      <w:sz w:val="16"/>
      <w:szCs w:val="16"/>
    </w:rPr>
  </w:style>
  <w:style w:type="paragraph" w:styleId="12">
    <w:name w:val="Plain Text"/>
    <w:basedOn w:val="1"/>
    <w:link w:val="30"/>
    <w:autoRedefine/>
    <w:qFormat/>
    <w:uiPriority w:val="0"/>
    <w:rPr>
      <w:rFonts w:ascii="宋体" w:hAnsi="Courier New" w:cs="Courier New"/>
    </w:rPr>
  </w:style>
  <w:style w:type="paragraph" w:styleId="13">
    <w:name w:val="Balloon Text"/>
    <w:basedOn w:val="1"/>
    <w:link w:val="31"/>
    <w:autoRedefine/>
    <w:qFormat/>
    <w:uiPriority w:val="0"/>
    <w:pPr>
      <w:spacing w:after="0" w:line="240" w:lineRule="auto"/>
    </w:pPr>
    <w:rPr>
      <w:sz w:val="18"/>
      <w:szCs w:val="18"/>
    </w:rPr>
  </w:style>
  <w:style w:type="paragraph" w:styleId="14">
    <w:name w:val="footer"/>
    <w:basedOn w:val="1"/>
    <w:link w:val="23"/>
    <w:autoRedefine/>
    <w:unhideWhenUsed/>
    <w:qFormat/>
    <w:uiPriority w:val="0"/>
    <w:pPr>
      <w:tabs>
        <w:tab w:val="center" w:pos="4153"/>
        <w:tab w:val="right" w:pos="8306"/>
      </w:tabs>
      <w:snapToGrid w:val="0"/>
    </w:pPr>
    <w:rPr>
      <w:sz w:val="18"/>
      <w:szCs w:val="18"/>
    </w:rPr>
  </w:style>
  <w:style w:type="paragraph" w:styleId="15">
    <w:name w:val="header"/>
    <w:basedOn w:val="1"/>
    <w:link w:val="2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52"/>
    <w:semiHidden/>
    <w:unhideWhenUsed/>
    <w:qFormat/>
    <w:uiPriority w:val="99"/>
    <w:pPr>
      <w:widowControl w:val="0"/>
      <w:snapToGrid w:val="0"/>
      <w:spacing w:after="0" w:line="240" w:lineRule="auto"/>
    </w:pPr>
    <w:rPr>
      <w:rFonts w:ascii="宋体" w:hAnsi="宋体" w:eastAsia="宋体" w:cs="宋体"/>
      <w:kern w:val="2"/>
      <w:sz w:val="18"/>
      <w:szCs w:val="21"/>
      <w:lang w:eastAsia="zh-CN" w:bidi="ar-SA"/>
    </w:rPr>
  </w:style>
  <w:style w:type="paragraph" w:styleId="17">
    <w:name w:val="Normal (Web)"/>
    <w:basedOn w:val="1"/>
    <w:autoRedefine/>
    <w:qFormat/>
    <w:uiPriority w:val="0"/>
    <w:pPr>
      <w:spacing w:before="100" w:beforeAutospacing="1" w:after="100" w:afterAutospacing="1"/>
    </w:pPr>
    <w:rPr>
      <w:rFonts w:ascii="宋体" w:hAnsi="宋体" w:cs="宋体"/>
      <w:sz w:val="24"/>
      <w:szCs w:val="24"/>
    </w:rPr>
  </w:style>
  <w:style w:type="table" w:styleId="19">
    <w:name w:val="Table Grid"/>
    <w:basedOn w:val="1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autoRedefine/>
    <w:qFormat/>
    <w:uiPriority w:val="99"/>
    <w:rPr>
      <w:color w:val="0000FF"/>
      <w:u w:val="single"/>
    </w:rPr>
  </w:style>
  <w:style w:type="character" w:customStyle="1" w:styleId="22">
    <w:name w:val="页眉 字符"/>
    <w:basedOn w:val="20"/>
    <w:link w:val="15"/>
    <w:autoRedefine/>
    <w:qFormat/>
    <w:uiPriority w:val="0"/>
    <w:rPr>
      <w:sz w:val="18"/>
      <w:szCs w:val="18"/>
    </w:rPr>
  </w:style>
  <w:style w:type="character" w:customStyle="1" w:styleId="23">
    <w:name w:val="页脚 字符"/>
    <w:basedOn w:val="20"/>
    <w:link w:val="14"/>
    <w:autoRedefine/>
    <w:qFormat/>
    <w:uiPriority w:val="0"/>
    <w:rPr>
      <w:sz w:val="18"/>
      <w:szCs w:val="18"/>
    </w:rPr>
  </w:style>
  <w:style w:type="character" w:customStyle="1" w:styleId="24">
    <w:name w:val="标题 2 字符"/>
    <w:basedOn w:val="20"/>
    <w:link w:val="6"/>
    <w:autoRedefine/>
    <w:qFormat/>
    <w:uiPriority w:val="9"/>
    <w:rPr>
      <w:rFonts w:asciiTheme="majorHAnsi" w:hAnsiTheme="majorHAnsi" w:eastAsiaTheme="majorEastAsia" w:cstheme="majorBidi"/>
      <w:smallCaps/>
      <w:kern w:val="0"/>
      <w:sz w:val="28"/>
      <w:szCs w:val="28"/>
      <w:lang w:eastAsia="en-US" w:bidi="en-US"/>
    </w:rPr>
  </w:style>
  <w:style w:type="character" w:customStyle="1" w:styleId="25">
    <w:name w:val="标题 3 字符"/>
    <w:basedOn w:val="20"/>
    <w:link w:val="7"/>
    <w:autoRedefine/>
    <w:qFormat/>
    <w:uiPriority w:val="0"/>
    <w:rPr>
      <w:rFonts w:ascii="宋体" w:hAnsi="宋体" w:eastAsiaTheme="majorEastAsia" w:cstheme="majorBidi"/>
      <w:kern w:val="0"/>
      <w:sz w:val="28"/>
      <w:szCs w:val="28"/>
      <w:lang w:val="zh-CN" w:eastAsia="en-US" w:bidi="en-US"/>
    </w:rPr>
  </w:style>
  <w:style w:type="character" w:customStyle="1" w:styleId="26">
    <w:name w:val="标题 4 字符"/>
    <w:basedOn w:val="20"/>
    <w:link w:val="8"/>
    <w:autoRedefine/>
    <w:qFormat/>
    <w:uiPriority w:val="9"/>
    <w:rPr>
      <w:rFonts w:asciiTheme="majorHAnsi" w:hAnsiTheme="majorHAnsi" w:eastAsiaTheme="majorEastAsia" w:cstheme="majorBidi"/>
      <w:b/>
      <w:bCs/>
      <w:spacing w:val="5"/>
      <w:kern w:val="0"/>
      <w:sz w:val="24"/>
      <w:szCs w:val="24"/>
      <w:lang w:eastAsia="en-US" w:bidi="en-US"/>
    </w:rPr>
  </w:style>
  <w:style w:type="character" w:customStyle="1" w:styleId="27">
    <w:name w:val="文档结构图 字符"/>
    <w:basedOn w:val="20"/>
    <w:link w:val="11"/>
    <w:autoRedefine/>
    <w:qFormat/>
    <w:uiPriority w:val="0"/>
    <w:rPr>
      <w:rFonts w:ascii="Tahoma" w:hAnsi="Tahoma" w:eastAsiaTheme="majorEastAsia" w:cstheme="majorBidi"/>
      <w:kern w:val="0"/>
      <w:sz w:val="16"/>
      <w:szCs w:val="16"/>
      <w:lang w:eastAsia="en-US" w:bidi="en-US"/>
    </w:rPr>
  </w:style>
  <w:style w:type="character" w:customStyle="1" w:styleId="28">
    <w:name w:val="正文文本 字符"/>
    <w:basedOn w:val="20"/>
    <w:link w:val="10"/>
    <w:autoRedefine/>
    <w:qFormat/>
    <w:uiPriority w:val="0"/>
    <w:rPr>
      <w:rFonts w:asciiTheme="majorHAnsi" w:hAnsiTheme="majorHAnsi" w:eastAsiaTheme="majorEastAsia" w:cstheme="majorBidi"/>
      <w:kern w:val="0"/>
      <w:sz w:val="22"/>
      <w:szCs w:val="24"/>
      <w:lang w:eastAsia="en-US" w:bidi="en-US"/>
    </w:rPr>
  </w:style>
  <w:style w:type="character" w:customStyle="1" w:styleId="29">
    <w:name w:val="正文文本缩进 字符"/>
    <w:basedOn w:val="20"/>
    <w:link w:val="3"/>
    <w:autoRedefine/>
    <w:qFormat/>
    <w:uiPriority w:val="0"/>
    <w:rPr>
      <w:rFonts w:asciiTheme="majorHAnsi" w:hAnsiTheme="majorHAnsi" w:eastAsiaTheme="majorEastAsia" w:cstheme="majorBidi"/>
      <w:kern w:val="0"/>
      <w:sz w:val="22"/>
      <w:lang w:eastAsia="en-US" w:bidi="en-US"/>
    </w:rPr>
  </w:style>
  <w:style w:type="character" w:customStyle="1" w:styleId="30">
    <w:name w:val="纯文本 字符"/>
    <w:basedOn w:val="20"/>
    <w:link w:val="12"/>
    <w:autoRedefine/>
    <w:qFormat/>
    <w:uiPriority w:val="0"/>
    <w:rPr>
      <w:rFonts w:ascii="宋体" w:hAnsi="Courier New" w:cs="Courier New" w:eastAsiaTheme="majorEastAsia"/>
      <w:kern w:val="0"/>
      <w:sz w:val="22"/>
      <w:lang w:eastAsia="en-US" w:bidi="en-US"/>
    </w:rPr>
  </w:style>
  <w:style w:type="character" w:customStyle="1" w:styleId="31">
    <w:name w:val="批注框文本 字符"/>
    <w:basedOn w:val="20"/>
    <w:link w:val="13"/>
    <w:autoRedefine/>
    <w:qFormat/>
    <w:uiPriority w:val="0"/>
    <w:rPr>
      <w:rFonts w:asciiTheme="majorHAnsi" w:hAnsiTheme="majorHAnsi" w:eastAsiaTheme="majorEastAsia" w:cstheme="majorBidi"/>
      <w:kern w:val="0"/>
      <w:sz w:val="18"/>
      <w:szCs w:val="18"/>
      <w:lang w:eastAsia="en-US" w:bidi="en-US"/>
    </w:rPr>
  </w:style>
  <w:style w:type="character" w:customStyle="1" w:styleId="32">
    <w:name w:val="正文文本首行缩进 2 字符"/>
    <w:basedOn w:val="29"/>
    <w:link w:val="2"/>
    <w:autoRedefine/>
    <w:qFormat/>
    <w:uiPriority w:val="0"/>
    <w:rPr>
      <w:rFonts w:asciiTheme="majorHAnsi" w:hAnsiTheme="majorHAnsi" w:eastAsiaTheme="majorEastAsia" w:cstheme="majorBidi"/>
      <w:kern w:val="0"/>
      <w:sz w:val="22"/>
      <w:szCs w:val="24"/>
      <w:lang w:eastAsia="en-US" w:bidi="en-US"/>
    </w:rPr>
  </w:style>
  <w:style w:type="paragraph" w:customStyle="1" w:styleId="33">
    <w:name w:val="正文文本2"/>
    <w:basedOn w:val="1"/>
    <w:autoRedefine/>
    <w:qFormat/>
    <w:uiPriority w:val="99"/>
    <w:pPr>
      <w:autoSpaceDE w:val="0"/>
      <w:autoSpaceDN w:val="0"/>
    </w:pPr>
    <w:rPr>
      <w:rFonts w:cs="Times New Roman"/>
      <w:sz w:val="20"/>
      <w:lang w:val="zh-CN"/>
    </w:rPr>
  </w:style>
  <w:style w:type="paragraph" w:customStyle="1" w:styleId="34">
    <w:name w:val="正文文本4"/>
    <w:basedOn w:val="1"/>
    <w:autoRedefine/>
    <w:qFormat/>
    <w:uiPriority w:val="0"/>
    <w:pPr>
      <w:autoSpaceDE w:val="0"/>
      <w:autoSpaceDN w:val="0"/>
    </w:pPr>
    <w:rPr>
      <w:rFonts w:ascii="宋体" w:hAnsi="宋体"/>
      <w:sz w:val="20"/>
      <w:lang w:val="zh-CN"/>
    </w:rPr>
  </w:style>
  <w:style w:type="paragraph" w:customStyle="1" w:styleId="35">
    <w:name w:val="Table Paragraph"/>
    <w:basedOn w:val="1"/>
    <w:autoRedefine/>
    <w:qFormat/>
    <w:uiPriority w:val="1"/>
    <w:pPr>
      <w:autoSpaceDE w:val="0"/>
      <w:autoSpaceDN w:val="0"/>
    </w:pPr>
    <w:rPr>
      <w:rFonts w:ascii="宋体" w:hAnsi="宋体" w:cs="宋体"/>
      <w:lang w:val="zh-CN" w:bidi="zh-CN"/>
    </w:rPr>
  </w:style>
  <w:style w:type="paragraph" w:customStyle="1" w:styleId="36">
    <w:name w:val="正文3"/>
    <w:autoRedefine/>
    <w:qFormat/>
    <w:uiPriority w:val="0"/>
    <w:pPr>
      <w:spacing w:after="200" w:line="276" w:lineRule="auto"/>
      <w:jc w:val="both"/>
    </w:pPr>
    <w:rPr>
      <w:rFonts w:asciiTheme="majorHAnsi" w:hAnsiTheme="majorHAnsi" w:eastAsiaTheme="majorEastAsia" w:cstheme="majorBidi"/>
      <w:kern w:val="2"/>
      <w:sz w:val="21"/>
      <w:szCs w:val="21"/>
      <w:lang w:val="en-US" w:eastAsia="en-US" w:bidi="en-US"/>
    </w:rPr>
  </w:style>
  <w:style w:type="paragraph" w:customStyle="1" w:styleId="37">
    <w:name w:val="列出段落1"/>
    <w:basedOn w:val="1"/>
    <w:autoRedefine/>
    <w:qFormat/>
    <w:uiPriority w:val="99"/>
    <w:pPr>
      <w:ind w:firstLine="420" w:firstLineChars="200"/>
    </w:pPr>
    <w:rPr>
      <w:rFonts w:ascii="Calibri" w:hAnsi="Calibri"/>
      <w:szCs w:val="20"/>
    </w:rPr>
  </w:style>
  <w:style w:type="paragraph" w:customStyle="1" w:styleId="38">
    <w:name w:val="列表段落1"/>
    <w:basedOn w:val="1"/>
    <w:autoRedefine/>
    <w:qFormat/>
    <w:uiPriority w:val="99"/>
    <w:pPr>
      <w:ind w:firstLine="420" w:firstLineChars="200"/>
    </w:pPr>
    <w:rPr>
      <w:rFonts w:ascii="Calibri" w:hAnsi="Calibri"/>
    </w:rPr>
  </w:style>
  <w:style w:type="paragraph" w:customStyle="1" w:styleId="39">
    <w:name w:val="样式1"/>
    <w:basedOn w:val="1"/>
    <w:autoRedefine/>
    <w:qFormat/>
    <w:uiPriority w:val="0"/>
    <w:rPr>
      <w:sz w:val="28"/>
      <w:szCs w:val="24"/>
    </w:rPr>
  </w:style>
  <w:style w:type="paragraph" w:customStyle="1" w:styleId="40">
    <w:name w:val="bgg"/>
    <w:basedOn w:val="41"/>
    <w:autoRedefine/>
    <w:qFormat/>
    <w:uiPriority w:val="0"/>
    <w:pPr>
      <w:snapToGrid w:val="0"/>
      <w:ind w:left="52" w:leftChars="25" w:right="52" w:rightChars="25"/>
      <w:jc w:val="center"/>
    </w:pPr>
    <w:rPr>
      <w:rFonts w:ascii="Times New Roman" w:hAnsi="Times New Roman"/>
      <w:b w:val="0"/>
      <w:color w:val="auto"/>
      <w:sz w:val="18"/>
      <w:szCs w:val="18"/>
    </w:rPr>
  </w:style>
  <w:style w:type="paragraph" w:customStyle="1" w:styleId="41">
    <w:name w:val="默认段落字体 Para Char Char Char Char"/>
    <w:basedOn w:val="1"/>
    <w:autoRedefine/>
    <w:qFormat/>
    <w:uiPriority w:val="0"/>
    <w:rPr>
      <w:rFonts w:ascii="宋体" w:hAnsi="宋体"/>
      <w:b/>
      <w:color w:val="000000"/>
      <w:sz w:val="24"/>
      <w:szCs w:val="24"/>
    </w:rPr>
  </w:style>
  <w:style w:type="paragraph" w:customStyle="1" w:styleId="42">
    <w:name w:val="p0"/>
    <w:basedOn w:val="1"/>
    <w:autoRedefine/>
    <w:qFormat/>
    <w:uiPriority w:val="0"/>
  </w:style>
  <w:style w:type="paragraph" w:customStyle="1" w:styleId="43">
    <w:name w:val="纯文本2"/>
    <w:basedOn w:val="1"/>
    <w:autoRedefine/>
    <w:qFormat/>
    <w:uiPriority w:val="0"/>
    <w:pPr>
      <w:adjustRightInd w:val="0"/>
      <w:textAlignment w:val="baseline"/>
    </w:pPr>
    <w:rPr>
      <w:rFonts w:ascii="宋体" w:hAnsi="Courier New"/>
      <w:sz w:val="20"/>
      <w:szCs w:val="20"/>
    </w:rPr>
  </w:style>
  <w:style w:type="paragraph" w:customStyle="1" w:styleId="44">
    <w:name w:val="列出段落111"/>
    <w:basedOn w:val="1"/>
    <w:autoRedefine/>
    <w:qFormat/>
    <w:uiPriority w:val="0"/>
    <w:pPr>
      <w:autoSpaceDE w:val="0"/>
      <w:autoSpaceDN w:val="0"/>
      <w:ind w:firstLine="420" w:firstLineChars="200"/>
    </w:pPr>
    <w:rPr>
      <w:rFonts w:ascii="Calibri" w:hAnsi="Calibri"/>
      <w:szCs w:val="20"/>
    </w:rPr>
  </w:style>
  <w:style w:type="character" w:customStyle="1" w:styleId="45">
    <w:name w:val="标题 1.1 Char1"/>
    <w:autoRedefine/>
    <w:qFormat/>
    <w:uiPriority w:val="0"/>
    <w:rPr>
      <w:rFonts w:ascii="Arial" w:hAnsi="Arial" w:eastAsia="黑体"/>
      <w:b/>
      <w:bCs/>
      <w:kern w:val="2"/>
      <w:sz w:val="32"/>
      <w:szCs w:val="32"/>
    </w:rPr>
  </w:style>
  <w:style w:type="paragraph" w:customStyle="1" w:styleId="46">
    <w:name w:val="修订1"/>
    <w:autoRedefine/>
    <w:hidden/>
    <w:semiHidden/>
    <w:qFormat/>
    <w:uiPriority w:val="99"/>
    <w:rPr>
      <w:rFonts w:asciiTheme="majorHAnsi" w:hAnsiTheme="majorHAnsi" w:eastAsiaTheme="majorEastAsia" w:cstheme="majorBidi"/>
      <w:sz w:val="22"/>
      <w:szCs w:val="22"/>
      <w:lang w:val="en-US" w:eastAsia="en-US" w:bidi="en-US"/>
    </w:rPr>
  </w:style>
  <w:style w:type="paragraph" w:customStyle="1" w:styleId="47">
    <w:name w:val="列出段落7"/>
    <w:basedOn w:val="1"/>
    <w:autoRedefine/>
    <w:qFormat/>
    <w:uiPriority w:val="0"/>
    <w:pPr>
      <w:ind w:left="400" w:firstLine="420"/>
    </w:pPr>
    <w:rPr>
      <w:lang w:bidi="ar-SA"/>
    </w:rPr>
  </w:style>
  <w:style w:type="paragraph" w:customStyle="1" w:styleId="48">
    <w:name w:val="msolistparagraph"/>
    <w:basedOn w:val="1"/>
    <w:autoRedefine/>
    <w:qFormat/>
    <w:uiPriority w:val="0"/>
    <w:pPr>
      <w:ind w:firstLine="420" w:firstLineChars="200"/>
    </w:pPr>
    <w:rPr>
      <w:rFonts w:ascii="Times New Roman" w:hAnsi="Times New Roman"/>
      <w:szCs w:val="24"/>
    </w:rPr>
  </w:style>
  <w:style w:type="paragraph" w:customStyle="1" w:styleId="49">
    <w:name w:val="样式8"/>
    <w:basedOn w:val="50"/>
    <w:autoRedefine/>
    <w:qFormat/>
    <w:uiPriority w:val="1"/>
  </w:style>
  <w:style w:type="paragraph" w:customStyle="1" w:styleId="50">
    <w:name w:val="一级标题"/>
    <w:basedOn w:val="1"/>
    <w:autoRedefine/>
    <w:qFormat/>
    <w:uiPriority w:val="0"/>
    <w:pPr>
      <w:adjustRightInd w:val="0"/>
      <w:snapToGrid w:val="0"/>
      <w:jc w:val="center"/>
      <w:outlineLvl w:val="0"/>
    </w:pPr>
    <w:rPr>
      <w:rFonts w:ascii="黑体" w:eastAsia="黑体"/>
      <w:b/>
      <w:sz w:val="28"/>
      <w:szCs w:val="28"/>
    </w:rPr>
  </w:style>
  <w:style w:type="character" w:customStyle="1" w:styleId="51">
    <w:name w:val="15"/>
    <w:basedOn w:val="20"/>
    <w:qFormat/>
    <w:uiPriority w:val="0"/>
    <w:rPr>
      <w:rFonts w:hint="default" w:ascii="Arial" w:hAnsi="Arial" w:eastAsia="黑体" w:cs="Arial"/>
      <w:b/>
      <w:bCs/>
      <w:kern w:val="2"/>
      <w:sz w:val="32"/>
      <w:szCs w:val="32"/>
    </w:rPr>
  </w:style>
  <w:style w:type="character" w:customStyle="1" w:styleId="52">
    <w:name w:val="脚注文本 字符"/>
    <w:basedOn w:val="20"/>
    <w:link w:val="16"/>
    <w:semiHidden/>
    <w:uiPriority w:val="99"/>
    <w:rPr>
      <w:rFonts w:ascii="宋体" w:hAnsi="宋体" w:cs="宋体"/>
      <w:kern w:val="2"/>
      <w:sz w:val="18"/>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5172</Words>
  <Characters>5588</Characters>
  <Lines>312</Lines>
  <Paragraphs>87</Paragraphs>
  <TotalTime>0</TotalTime>
  <ScaleCrop>false</ScaleCrop>
  <LinksUpToDate>false</LinksUpToDate>
  <CharactersWithSpaces>5691</CharactersWithSpaces>
  <Application>WPS Office_12.1.0.19770_F1E327BC-269C-435d-A152-05C5408002CA</Application>
  <DocSecurity>13</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2025-01-06T01:43:00Z</dcterms:created>
  <dc:creator>Admin</dc:creator>
  <cp:keywords>BD@@2024@@4-2024年南瑞集团货物公开竞谈分册.docx</cp:keywords>
  <cp:lastModifiedBy>或许是傻</cp:lastModifiedBy>
  <dcterms:modified xsi:type="dcterms:W3CDTF">2025-02-07T06:28:00Z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EE210D43AF7B49779965735FD0AC9AA7_13</vt:lpwstr>
  </property>
  <property fmtid="{D5CDD505-2E9C-101B-9397-08002B2CF9AE}" pid="4" name="GWFBBS_NAME" linkTarget="0">
    <vt:lpwstr>ZBWJFBBS</vt:lpwstr>
  </property>
</Properties>
</file>