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outlineLvl w:val="0"/>
        <w:rPr>
          <w:rFonts w:ascii="黑体" w:eastAsia="黑体"/>
          <w:b/>
          <w:sz w:val="28"/>
          <w:szCs w:val="28"/>
        </w:rPr>
      </w:pPr>
      <w:r>
        <w:rPr>
          <w:rFonts w:hint="eastAsia" w:ascii="黑体" w:eastAsia="黑体"/>
          <w:b/>
          <w:sz w:val="28"/>
          <w:szCs w:val="28"/>
        </w:rPr>
        <w:t>招标公告</w:t>
      </w:r>
    </w:p>
    <w:p>
      <w:pPr>
        <w:adjustRightInd w:val="0"/>
        <w:snapToGrid w:val="0"/>
        <w:jc w:val="center"/>
        <w:rPr>
          <w:rFonts w:ascii="黑体" w:eastAsia="黑体"/>
          <w:b/>
          <w:sz w:val="28"/>
          <w:szCs w:val="28"/>
          <w:highlight w:val="none"/>
        </w:rPr>
      </w:pPr>
    </w:p>
    <w:p>
      <w:pPr>
        <w:jc w:val="center"/>
        <w:rPr>
          <w:rFonts w:hint="eastAsia" w:ascii="黑体" w:eastAsia="黑体"/>
          <w:sz w:val="28"/>
          <w:szCs w:val="28"/>
          <w:highlight w:val="none"/>
          <w:lang w:val="en-US" w:eastAsia="zh-CN"/>
        </w:rPr>
      </w:pPr>
      <w:bookmarkStart w:id="0" w:name="_Toc3331"/>
      <w:bookmarkStart w:id="1" w:name="_Toc1540"/>
      <w:bookmarkStart w:id="2" w:name="_Toc25789"/>
      <w:bookmarkStart w:id="3" w:name="_Toc7053"/>
      <w:bookmarkStart w:id="4" w:name="_Toc7870"/>
      <w:bookmarkStart w:id="5" w:name="_Toc1901"/>
      <w:bookmarkStart w:id="6" w:name="_Toc24661"/>
      <w:bookmarkStart w:id="7" w:name="_Toc21954"/>
      <w:bookmarkStart w:id="8" w:name="_Toc6743"/>
      <w:bookmarkStart w:id="9" w:name="_Toc7560"/>
      <w:bookmarkStart w:id="10" w:name="_Toc18179"/>
      <w:bookmarkStart w:id="11" w:name="_Toc6951"/>
      <w:bookmarkStart w:id="12" w:name="_Toc18789"/>
      <w:bookmarkStart w:id="13" w:name="_Toc24199"/>
      <w:bookmarkStart w:id="14" w:name="_Toc3173"/>
      <w:bookmarkStart w:id="15" w:name="_Toc7563"/>
      <w:bookmarkStart w:id="16" w:name="_Toc12970"/>
      <w:bookmarkStart w:id="17" w:name="_Toc12766"/>
      <w:bookmarkStart w:id="18" w:name="_Toc30735"/>
      <w:bookmarkStart w:id="19" w:name="_Toc8584"/>
      <w:bookmarkStart w:id="20" w:name="_Toc15566"/>
      <w:bookmarkStart w:id="21" w:name="_Toc13935"/>
      <w:bookmarkStart w:id="22" w:name="_Toc24035"/>
      <w:r>
        <w:rPr>
          <w:rFonts w:hint="eastAsia" w:ascii="黑体" w:eastAsia="黑体"/>
          <w:sz w:val="28"/>
          <w:szCs w:val="28"/>
          <w:highlight w:val="none"/>
          <w:lang w:val="en-US" w:eastAsia="zh-CN"/>
        </w:rPr>
        <w:tab/>
      </w:r>
      <w:r>
        <w:rPr>
          <w:rFonts w:hint="eastAsia" w:ascii="黑体" w:eastAsia="黑体"/>
          <w:sz w:val="28"/>
          <w:szCs w:val="28"/>
          <w:highlight w:val="none"/>
          <w:lang w:val="en-US" w:eastAsia="zh-CN"/>
        </w:rPr>
        <w:t>安徽皖电能源投资有限公司改革改制法律服务</w:t>
      </w:r>
    </w:p>
    <w:p>
      <w:pPr>
        <w:jc w:val="center"/>
        <w:rPr>
          <w:rFonts w:ascii="黑体" w:hAnsi="黑体" w:eastAsia="黑体"/>
          <w:bCs/>
          <w:sz w:val="28"/>
          <w:szCs w:val="28"/>
          <w:highlight w:val="none"/>
        </w:rPr>
      </w:pPr>
      <w:r>
        <w:rPr>
          <w:rFonts w:hint="eastAsia" w:ascii="黑体" w:hAnsi="黑体" w:eastAsia="黑体"/>
          <w:bCs/>
          <w:sz w:val="28"/>
          <w:szCs w:val="28"/>
          <w:highlight w:val="none"/>
        </w:rPr>
        <w:t>招标公告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pPr>
        <w:adjustRightInd w:val="0"/>
        <w:snapToGrid w:val="0"/>
        <w:jc w:val="center"/>
        <w:rPr>
          <w:rFonts w:hint="eastAsia" w:ascii="黑体" w:hAnsi="黑体" w:eastAsia="黑体"/>
          <w:bCs/>
          <w:sz w:val="28"/>
          <w:szCs w:val="28"/>
          <w:highlight w:val="none"/>
          <w:lang w:val="en-US" w:eastAsia="zh-CN"/>
        </w:rPr>
      </w:pPr>
      <w:r>
        <w:rPr>
          <w:rFonts w:hint="eastAsia" w:ascii="黑体" w:hAnsi="黑体" w:eastAsia="黑体"/>
          <w:bCs/>
          <w:sz w:val="28"/>
          <w:szCs w:val="28"/>
          <w:highlight w:val="none"/>
          <w:lang w:val="en-US" w:eastAsia="zh-CN"/>
        </w:rPr>
        <w:t>批次</w:t>
      </w:r>
      <w:r>
        <w:rPr>
          <w:rFonts w:hint="eastAsia" w:ascii="黑体" w:hAnsi="黑体" w:eastAsia="黑体"/>
          <w:bCs/>
          <w:sz w:val="28"/>
          <w:szCs w:val="28"/>
          <w:highlight w:val="none"/>
        </w:rPr>
        <w:t>编号：</w:t>
      </w:r>
      <w:bookmarkEnd w:id="20"/>
      <w:bookmarkEnd w:id="21"/>
      <w:bookmarkEnd w:id="22"/>
      <w:r>
        <w:rPr>
          <w:rFonts w:hint="eastAsia"/>
        </w:rPr>
        <w:t>FW20230901</w:t>
      </w:r>
    </w:p>
    <w:p>
      <w:pPr>
        <w:adjustRightInd w:val="0"/>
        <w:snapToGrid w:val="0"/>
        <w:spacing w:beforeLines="100" w:afterLines="50" w:line="400" w:lineRule="exact"/>
        <w:outlineLvl w:val="1"/>
        <w:rPr>
          <w:rFonts w:ascii="黑体" w:eastAsia="黑体"/>
          <w:b/>
          <w:sz w:val="24"/>
        </w:rPr>
      </w:pPr>
      <w:bookmarkStart w:id="23" w:name="_bookmark2"/>
      <w:bookmarkEnd w:id="23"/>
      <w:bookmarkStart w:id="24" w:name="_Toc26742"/>
      <w:bookmarkStart w:id="25" w:name="_Toc10816"/>
      <w:bookmarkStart w:id="26" w:name="_Toc62551529"/>
      <w:bookmarkStart w:id="27" w:name="_Toc12492"/>
      <w:r>
        <w:rPr>
          <w:rFonts w:hint="eastAsia" w:ascii="黑体" w:eastAsia="黑体"/>
          <w:b/>
          <w:sz w:val="24"/>
        </w:rPr>
        <w:t>1.</w:t>
      </w:r>
      <w:r>
        <w:rPr>
          <w:rFonts w:ascii="黑体" w:eastAsia="黑体"/>
          <w:b/>
          <w:sz w:val="24"/>
        </w:rPr>
        <w:t>招标条件</w:t>
      </w:r>
      <w:bookmarkEnd w:id="24"/>
      <w:bookmarkEnd w:id="25"/>
      <w:bookmarkEnd w:id="26"/>
      <w:bookmarkEnd w:id="27"/>
    </w:p>
    <w:p>
      <w:pPr>
        <w:pStyle w:val="12"/>
        <w:tabs>
          <w:tab w:val="left" w:pos="0"/>
        </w:tabs>
        <w:spacing w:line="400" w:lineRule="exact"/>
        <w:ind w:firstLine="420" w:firstLineChars="200"/>
        <w:jc w:val="both"/>
        <w:rPr>
          <w:rFonts w:hint="eastAsia" w:cs="Times New Roman"/>
          <w:kern w:val="2"/>
          <w:sz w:val="21"/>
        </w:rPr>
      </w:pPr>
      <w:r>
        <w:rPr>
          <w:rFonts w:hint="eastAsia" w:cs="Times New Roman"/>
          <w:kern w:val="2"/>
          <w:sz w:val="21"/>
        </w:rPr>
        <w:t>资金来自企业自有资金，出资比例为100%，资金来源已落实，招标人为安徽皖电能源投资有限公司</w:t>
      </w:r>
      <w:r>
        <w:rPr>
          <w:rFonts w:hint="eastAsia" w:cs="Times New Roman"/>
          <w:kern w:val="2"/>
          <w:sz w:val="21"/>
          <w:lang w:eastAsia="zh-CN"/>
        </w:rPr>
        <w:t>（以下简称“项目单位</w:t>
      </w:r>
      <w:r>
        <w:rPr>
          <w:rFonts w:hint="eastAsia" w:cs="Times New Roman"/>
          <w:kern w:val="2"/>
          <w:sz w:val="21"/>
          <w:highlight w:val="none"/>
          <w:lang w:eastAsia="zh-CN"/>
        </w:rPr>
        <w:t>”）</w:t>
      </w:r>
      <w:r>
        <w:rPr>
          <w:rFonts w:hint="eastAsia" w:cs="Times New Roman"/>
          <w:kern w:val="2"/>
          <w:sz w:val="21"/>
          <w:highlight w:val="none"/>
        </w:rPr>
        <w:t>，并委托宣城南天电力规划设计院有限公司为</w:t>
      </w:r>
      <w:r>
        <w:rPr>
          <w:rFonts w:hint="eastAsia" w:cs="Times New Roman"/>
          <w:kern w:val="2"/>
          <w:sz w:val="21"/>
        </w:rPr>
        <w:t>招标代理机构。项目已具备招标条件，现对该项目进行公开招标。</w:t>
      </w:r>
    </w:p>
    <w:p>
      <w:pPr>
        <w:pStyle w:val="12"/>
        <w:tabs>
          <w:tab w:val="left" w:pos="0"/>
        </w:tabs>
        <w:spacing w:line="400" w:lineRule="exact"/>
        <w:ind w:firstLine="420" w:firstLineChars="200"/>
        <w:jc w:val="both"/>
        <w:rPr>
          <w:kern w:val="2"/>
          <w:sz w:val="21"/>
        </w:rPr>
      </w:pPr>
      <w:r>
        <w:rPr>
          <w:rFonts w:hint="eastAsia"/>
          <w:kern w:val="2"/>
          <w:sz w:val="21"/>
        </w:rPr>
        <w:t>本项目积极响应《中共中央国务院关于开展质量提升行动的指导意见》，倡导潜在投标人用先进标准引领服务质量提升，有效治理质量突出问题，推动形成优质优价的</w:t>
      </w:r>
      <w:r>
        <w:rPr>
          <w:rFonts w:hint="eastAsia"/>
          <w:kern w:val="2"/>
          <w:sz w:val="21"/>
          <w:lang w:val="en-US" w:eastAsia="zh-CN"/>
        </w:rPr>
        <w:t>招标</w:t>
      </w:r>
      <w:r>
        <w:rPr>
          <w:rFonts w:hint="eastAsia"/>
          <w:kern w:val="2"/>
          <w:sz w:val="21"/>
        </w:rPr>
        <w:t>机制。</w:t>
      </w:r>
    </w:p>
    <w:p>
      <w:pPr>
        <w:numPr>
          <w:ilvl w:val="255"/>
          <w:numId w:val="0"/>
        </w:numPr>
        <w:adjustRightInd w:val="0"/>
        <w:snapToGrid w:val="0"/>
        <w:spacing w:beforeLines="100" w:afterLines="50" w:line="400" w:lineRule="exact"/>
        <w:outlineLvl w:val="1"/>
        <w:rPr>
          <w:rFonts w:ascii="黑体" w:eastAsia="黑体"/>
          <w:b/>
          <w:sz w:val="24"/>
        </w:rPr>
      </w:pPr>
      <w:bookmarkStart w:id="28" w:name="_bookmark3"/>
      <w:bookmarkEnd w:id="28"/>
      <w:bookmarkStart w:id="29" w:name="_Toc25148"/>
      <w:bookmarkStart w:id="30" w:name="_Toc21896"/>
      <w:bookmarkStart w:id="31" w:name="_Toc62551530"/>
      <w:bookmarkStart w:id="32" w:name="_Toc9444"/>
      <w:r>
        <w:rPr>
          <w:rFonts w:hint="eastAsia" w:ascii="黑体" w:eastAsia="黑体"/>
          <w:b/>
          <w:sz w:val="24"/>
        </w:rPr>
        <w:t>2.</w:t>
      </w:r>
      <w:r>
        <w:rPr>
          <w:rFonts w:ascii="黑体" w:eastAsia="黑体"/>
          <w:b/>
          <w:sz w:val="24"/>
        </w:rPr>
        <w:t>项目概况与招标范围</w:t>
      </w:r>
      <w:bookmarkEnd w:id="29"/>
      <w:bookmarkEnd w:id="30"/>
      <w:bookmarkEnd w:id="31"/>
      <w:bookmarkEnd w:id="32"/>
    </w:p>
    <w:p>
      <w:pPr>
        <w:pStyle w:val="5"/>
        <w:spacing w:after="0" w:line="400" w:lineRule="exact"/>
        <w:ind w:left="0" w:leftChars="0" w:firstLine="440" w:firstLineChars="200"/>
        <w:rPr>
          <w:highlight w:val="yellow"/>
        </w:rPr>
      </w:pPr>
      <w:r>
        <w:rPr>
          <w:rFonts w:hint="eastAsia"/>
          <w:highlight w:val="yellow"/>
        </w:rPr>
        <w:t>详见招标公告附件。</w:t>
      </w:r>
    </w:p>
    <w:p>
      <w:pPr>
        <w:spacing w:beforeLines="100" w:afterLines="50" w:line="400" w:lineRule="exact"/>
        <w:outlineLvl w:val="1"/>
        <w:rPr>
          <w:rFonts w:ascii="黑体" w:eastAsia="黑体"/>
          <w:b/>
          <w:sz w:val="24"/>
        </w:rPr>
      </w:pPr>
      <w:bookmarkStart w:id="33" w:name="_bookmark4"/>
      <w:bookmarkEnd w:id="33"/>
      <w:bookmarkStart w:id="34" w:name="_Toc31535"/>
      <w:bookmarkStart w:id="35" w:name="_Toc11363"/>
      <w:bookmarkStart w:id="36" w:name="_Toc62551531"/>
      <w:bookmarkStart w:id="37" w:name="_Toc10766"/>
      <w:r>
        <w:rPr>
          <w:rFonts w:hint="eastAsia" w:ascii="黑体" w:eastAsia="黑体"/>
          <w:b/>
          <w:sz w:val="24"/>
        </w:rPr>
        <w:t>3.投标人资格要求</w:t>
      </w:r>
      <w:bookmarkEnd w:id="34"/>
      <w:bookmarkEnd w:id="35"/>
      <w:bookmarkEnd w:id="36"/>
      <w:bookmarkEnd w:id="37"/>
    </w:p>
    <w:p>
      <w:pPr>
        <w:tabs>
          <w:tab w:val="left" w:pos="1200"/>
          <w:tab w:val="left" w:pos="3112"/>
          <w:tab w:val="left" w:pos="4600"/>
        </w:tabs>
        <w:spacing w:line="400" w:lineRule="exact"/>
        <w:ind w:firstLine="450" w:firstLineChars="200"/>
        <w:rPr>
          <w:spacing w:val="7"/>
          <w:szCs w:val="21"/>
        </w:rPr>
      </w:pPr>
      <w:r>
        <w:rPr>
          <w:b/>
          <w:bCs/>
          <w:spacing w:val="7"/>
          <w:szCs w:val="21"/>
        </w:rPr>
        <w:t>3.1</w:t>
      </w:r>
      <w:r>
        <w:rPr>
          <w:rFonts w:hint="eastAsia"/>
          <w:b/>
          <w:bCs/>
          <w:spacing w:val="7"/>
          <w:szCs w:val="21"/>
        </w:rPr>
        <w:t xml:space="preserve"> 投标人须满足如下通用资格要求：</w:t>
      </w:r>
    </w:p>
    <w:p>
      <w:pPr>
        <w:pStyle w:val="12"/>
        <w:tabs>
          <w:tab w:val="left" w:pos="0"/>
        </w:tabs>
        <w:spacing w:line="400" w:lineRule="exact"/>
        <w:ind w:firstLine="420" w:firstLineChars="200"/>
        <w:jc w:val="both"/>
        <w:rPr>
          <w:kern w:val="2"/>
          <w:sz w:val="21"/>
        </w:rPr>
      </w:pPr>
      <w:r>
        <w:rPr>
          <w:rFonts w:hint="eastAsia"/>
          <w:kern w:val="2"/>
          <w:sz w:val="21"/>
        </w:rPr>
        <w:t>（1）本次招标要求投标人须为中华人民共和国境内依法注册的</w:t>
      </w:r>
      <w:r>
        <w:rPr>
          <w:rFonts w:hint="eastAsia"/>
          <w:kern w:val="2"/>
          <w:sz w:val="21"/>
          <w:highlight w:val="yellow"/>
        </w:rPr>
        <w:t>法人或</w:t>
      </w:r>
      <w:r>
        <w:rPr>
          <w:rFonts w:hint="eastAsia"/>
          <w:kern w:val="2"/>
          <w:sz w:val="21"/>
          <w:highlight w:val="yellow"/>
          <w:lang w:val="en-US"/>
        </w:rPr>
        <w:t>非法人组织</w:t>
      </w:r>
      <w:r>
        <w:rPr>
          <w:rFonts w:hint="eastAsia"/>
          <w:kern w:val="2"/>
          <w:sz w:val="21"/>
          <w:highlight w:val="yellow"/>
          <w:lang w:val="en-US" w:eastAsia="zh-CN"/>
        </w:rPr>
        <w:t>（律师事务所）</w:t>
      </w:r>
      <w:r>
        <w:rPr>
          <w:rFonts w:hint="eastAsia"/>
          <w:kern w:val="2"/>
          <w:sz w:val="21"/>
        </w:rPr>
        <w:t>，须具备承担所投项目的资格条件；并在人员、设备、资金等方面具有保障如期完成中标项目的能力。</w:t>
      </w:r>
    </w:p>
    <w:p>
      <w:pPr>
        <w:pStyle w:val="12"/>
        <w:tabs>
          <w:tab w:val="left" w:pos="0"/>
        </w:tabs>
        <w:spacing w:line="400" w:lineRule="exact"/>
        <w:ind w:firstLine="420" w:firstLineChars="200"/>
        <w:jc w:val="both"/>
        <w:rPr>
          <w:kern w:val="2"/>
          <w:sz w:val="21"/>
        </w:rPr>
      </w:pPr>
      <w:r>
        <w:rPr>
          <w:rFonts w:hint="eastAsia"/>
          <w:kern w:val="2"/>
          <w:sz w:val="21"/>
        </w:rPr>
        <w:t>（</w:t>
      </w:r>
      <w:r>
        <w:rPr>
          <w:kern w:val="2"/>
          <w:sz w:val="21"/>
        </w:rPr>
        <w:t>2</w:t>
      </w:r>
      <w:r>
        <w:rPr>
          <w:rFonts w:hint="eastAsia"/>
          <w:kern w:val="2"/>
          <w:sz w:val="21"/>
        </w:rPr>
        <w:t>）</w:t>
      </w:r>
      <w:r>
        <w:rPr>
          <w:rFonts w:hint="eastAsia"/>
          <w:kern w:val="2"/>
          <w:sz w:val="21"/>
          <w:lang w:eastAsia="zh-CN"/>
        </w:rPr>
        <w:t>法定代表人</w:t>
      </w:r>
      <w:r>
        <w:rPr>
          <w:rFonts w:hint="eastAsia"/>
          <w:kern w:val="2"/>
          <w:sz w:val="21"/>
        </w:rPr>
        <w:t>或单位负责人为同一人或者存在控股、管理关系的不同单位，不得参加同一标包投标或者未划分标包的同一</w:t>
      </w:r>
      <w:r>
        <w:rPr>
          <w:rFonts w:hint="eastAsia"/>
          <w:kern w:val="2"/>
          <w:sz w:val="21"/>
          <w:lang w:val="en-US" w:eastAsia="zh-CN"/>
        </w:rPr>
        <w:t>招标</w:t>
      </w:r>
      <w:r>
        <w:rPr>
          <w:rFonts w:hint="eastAsia"/>
          <w:kern w:val="2"/>
          <w:sz w:val="21"/>
        </w:rPr>
        <w:t>项目投标。</w:t>
      </w:r>
    </w:p>
    <w:p>
      <w:pPr>
        <w:pStyle w:val="12"/>
        <w:tabs>
          <w:tab w:val="left" w:pos="0"/>
        </w:tabs>
        <w:spacing w:line="400" w:lineRule="exact"/>
        <w:ind w:firstLine="420" w:firstLineChars="200"/>
        <w:jc w:val="both"/>
        <w:rPr>
          <w:kern w:val="2"/>
          <w:sz w:val="21"/>
        </w:rPr>
      </w:pPr>
      <w:r>
        <w:rPr>
          <w:rFonts w:hint="eastAsia"/>
          <w:kern w:val="2"/>
          <w:sz w:val="21"/>
        </w:rPr>
        <w:t>（</w:t>
      </w:r>
      <w:r>
        <w:rPr>
          <w:kern w:val="2"/>
          <w:sz w:val="21"/>
        </w:rPr>
        <w:t>3</w:t>
      </w:r>
      <w:r>
        <w:rPr>
          <w:rFonts w:hint="eastAsia"/>
          <w:kern w:val="2"/>
          <w:sz w:val="21"/>
        </w:rPr>
        <w:t>）取得国家法律、法规、部门规章及规范标准规定的有效许可证。取得招标文件要求的</w:t>
      </w:r>
      <w:r>
        <w:rPr>
          <w:rFonts w:hint="eastAsia"/>
          <w:kern w:val="2"/>
          <w:sz w:val="21"/>
          <w:lang w:val="en-US"/>
        </w:rPr>
        <w:t>国家强制认证证书</w:t>
      </w:r>
      <w:r>
        <w:rPr>
          <w:rFonts w:hint="eastAsia"/>
          <w:kern w:val="2"/>
          <w:sz w:val="21"/>
        </w:rPr>
        <w:t>。</w:t>
      </w:r>
    </w:p>
    <w:p>
      <w:pPr>
        <w:pStyle w:val="12"/>
        <w:tabs>
          <w:tab w:val="left" w:pos="0"/>
        </w:tabs>
        <w:spacing w:line="400" w:lineRule="exact"/>
        <w:ind w:firstLine="420" w:firstLineChars="200"/>
        <w:jc w:val="both"/>
        <w:rPr>
          <w:kern w:val="2"/>
          <w:sz w:val="21"/>
        </w:rPr>
      </w:pPr>
      <w:r>
        <w:rPr>
          <w:rFonts w:hint="eastAsia"/>
          <w:kern w:val="2"/>
          <w:sz w:val="21"/>
        </w:rPr>
        <w:t>（</w:t>
      </w:r>
      <w:r>
        <w:rPr>
          <w:kern w:val="2"/>
          <w:sz w:val="21"/>
        </w:rPr>
        <w:t>4</w:t>
      </w:r>
      <w:r>
        <w:rPr>
          <w:rFonts w:hint="eastAsia"/>
          <w:kern w:val="2"/>
          <w:sz w:val="21"/>
        </w:rPr>
        <w:t>）</w:t>
      </w:r>
      <w:r>
        <w:rPr>
          <w:rFonts w:hint="eastAsia"/>
          <w:kern w:val="2"/>
          <w:sz w:val="21"/>
          <w:lang w:val="en-US"/>
        </w:rPr>
        <w:t>根据《国家电网有限公司供应商不良行为处理管理细则》的规定，投标人存在导致其被暂停中标资格或取消中标资格的不良行为且在处理有效期内的，投标人在投标截止之日至中标公告发布之日前，任一日在《国家电网有限公司关于供应商不良行为处理情况的通报》处理期内的均适用不良行为处理结果。或投标人存在触发《国家电网有限公司供应商不良行为处理管理细则》第三十三条重大问题“熔断机制”情形的，其投标将被否决。</w:t>
      </w:r>
    </w:p>
    <w:p>
      <w:pPr>
        <w:tabs>
          <w:tab w:val="left" w:pos="1134"/>
        </w:tabs>
        <w:wordWrap w:val="0"/>
        <w:adjustRightInd w:val="0"/>
        <w:snapToGrid w:val="0"/>
        <w:spacing w:line="400" w:lineRule="exact"/>
        <w:ind w:firstLine="420" w:firstLineChars="200"/>
      </w:pPr>
      <w:r>
        <w:rPr>
          <w:rFonts w:hint="eastAsia"/>
        </w:rPr>
        <w:t>（</w:t>
      </w:r>
      <w:r>
        <w:t>5</w:t>
      </w:r>
      <w:r>
        <w:rPr>
          <w:rFonts w:hint="eastAsia"/>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不得被</w:t>
      </w:r>
      <w:r>
        <w:rPr>
          <w:rFonts w:hint="eastAsia" w:cs="宋体"/>
        </w:rPr>
        <w:t>“中国执行信息公开网”网站（</w:t>
      </w:r>
      <w:r>
        <w:rPr>
          <w:rFonts w:cs="宋体"/>
        </w:rPr>
        <w:t>http://zxgk.court.gov.cn/）</w:t>
      </w:r>
      <w:r>
        <w:rPr>
          <w:rFonts w:hint="eastAsia" w:cs="宋体"/>
        </w:rPr>
        <w:t>列入失信被执行人</w:t>
      </w:r>
      <w:r>
        <w:rPr>
          <w:rFonts w:hint="eastAsia"/>
        </w:rPr>
        <w:t>。</w:t>
      </w:r>
      <w:r>
        <w:rPr>
          <w:rFonts w:hint="eastAsia" w:ascii="宋体" w:hAnsi="宋体"/>
          <w:szCs w:val="21"/>
        </w:rPr>
        <w:t>即使投标人在开标当日未被人民法院列为失信被执行人，亦未被“信用中国”网站（www.creditchina.gov.cn）列入失信被执行人名单或“中国执行信息公开网”网站（http://zxgk.court.gov.cn/）中列入失信被执行人，但在发送中标通知书之日，被列为失信被执行人或被列入失信被执行人名单，招标人亦有权取消其中标资格。</w:t>
      </w:r>
    </w:p>
    <w:p>
      <w:pPr>
        <w:tabs>
          <w:tab w:val="left" w:pos="1134"/>
        </w:tabs>
        <w:adjustRightInd w:val="0"/>
        <w:snapToGrid w:val="0"/>
        <w:spacing w:line="400" w:lineRule="exact"/>
        <w:ind w:firstLine="420" w:firstLineChars="200"/>
      </w:pPr>
      <w:r>
        <w:rPr>
          <w:rFonts w:hint="eastAsia"/>
        </w:rPr>
        <w:t>（</w:t>
      </w:r>
      <w:r>
        <w:t>6</w:t>
      </w:r>
      <w:r>
        <w:rPr>
          <w:rFonts w:hint="eastAsia"/>
        </w:rPr>
        <w:t>）投标人不得被市场监督管理机关在国家企业信用信息公示系统中列入严重违法失信企业名单或列入经营异常名录信息。</w:t>
      </w:r>
      <w:r>
        <w:rPr>
          <w:rFonts w:hint="eastAsia" w:ascii="宋体" w:hAnsi="宋体"/>
          <w:szCs w:val="21"/>
        </w:rPr>
        <w:t>即使投标人在开标当日未被市场监督管理机关在国家企业信用信息公示系统中列入“经营异常名录”或者“严重违法失信企业名单”，但在发送中标通知书之日，被列入“经营异常名录”或者“严重违法失信企业名单”，招标人亦有权取消其中标资格。</w:t>
      </w:r>
    </w:p>
    <w:p>
      <w:pPr>
        <w:tabs>
          <w:tab w:val="left" w:pos="1200"/>
          <w:tab w:val="left" w:pos="3112"/>
          <w:tab w:val="left" w:pos="4600"/>
        </w:tabs>
        <w:spacing w:line="400" w:lineRule="exact"/>
        <w:ind w:firstLine="450" w:firstLineChars="200"/>
        <w:rPr>
          <w:b/>
          <w:bCs/>
          <w:spacing w:val="7"/>
          <w:szCs w:val="21"/>
        </w:rPr>
      </w:pPr>
      <w:r>
        <w:rPr>
          <w:b/>
          <w:bCs/>
          <w:spacing w:val="7"/>
          <w:szCs w:val="21"/>
        </w:rPr>
        <w:t xml:space="preserve">3.2 </w:t>
      </w:r>
      <w:r>
        <w:rPr>
          <w:rFonts w:hint="eastAsia"/>
          <w:b/>
          <w:bCs/>
          <w:spacing w:val="7"/>
          <w:szCs w:val="21"/>
        </w:rPr>
        <w:t>投标人须满足相应招标项目的专用资格要求:</w:t>
      </w:r>
    </w:p>
    <w:p>
      <w:pPr>
        <w:pStyle w:val="5"/>
        <w:spacing w:after="0" w:line="400" w:lineRule="exact"/>
        <w:ind w:left="0" w:leftChars="0" w:firstLine="440" w:firstLineChars="200"/>
        <w:rPr>
          <w:b/>
          <w:bCs/>
          <w:spacing w:val="7"/>
          <w:szCs w:val="21"/>
        </w:rPr>
      </w:pPr>
      <w:r>
        <w:rPr>
          <w:rFonts w:hint="eastAsia"/>
          <w:highlight w:val="yellow"/>
        </w:rPr>
        <w:t>详见招标公告附件。</w:t>
      </w:r>
    </w:p>
    <w:p>
      <w:pPr>
        <w:tabs>
          <w:tab w:val="left" w:pos="1200"/>
          <w:tab w:val="left" w:pos="3112"/>
          <w:tab w:val="left" w:pos="4600"/>
        </w:tabs>
        <w:spacing w:line="400" w:lineRule="exact"/>
        <w:ind w:firstLine="450" w:firstLineChars="200"/>
        <w:rPr>
          <w:b/>
          <w:bCs/>
          <w:spacing w:val="7"/>
          <w:szCs w:val="21"/>
        </w:rPr>
      </w:pPr>
      <w:r>
        <w:rPr>
          <w:b/>
          <w:bCs/>
          <w:spacing w:val="7"/>
          <w:szCs w:val="21"/>
        </w:rPr>
        <w:t>3.</w:t>
      </w:r>
      <w:r>
        <w:rPr>
          <w:rFonts w:hint="eastAsia"/>
          <w:b/>
          <w:bCs/>
          <w:spacing w:val="7"/>
          <w:szCs w:val="21"/>
        </w:rPr>
        <w:t>3除专用资格要求中明确接受联合体投标的项目外，不接受联合体投标。</w:t>
      </w:r>
    </w:p>
    <w:p>
      <w:pPr>
        <w:tabs>
          <w:tab w:val="left" w:pos="1200"/>
          <w:tab w:val="left" w:pos="3112"/>
          <w:tab w:val="left" w:pos="4600"/>
        </w:tabs>
        <w:spacing w:line="400" w:lineRule="exact"/>
        <w:ind w:firstLine="450" w:firstLineChars="200"/>
        <w:rPr>
          <w:spacing w:val="7"/>
          <w:szCs w:val="21"/>
        </w:rPr>
      </w:pPr>
      <w:r>
        <w:rPr>
          <w:b/>
          <w:bCs/>
          <w:spacing w:val="7"/>
          <w:szCs w:val="21"/>
        </w:rPr>
        <w:t>3.</w:t>
      </w:r>
      <w:r>
        <w:rPr>
          <w:rFonts w:hint="eastAsia"/>
          <w:b/>
          <w:bCs/>
          <w:spacing w:val="7"/>
          <w:szCs w:val="21"/>
        </w:rPr>
        <w:t>4如接受联合体投标的，投标人还应遵守以下规定：</w:t>
      </w:r>
    </w:p>
    <w:p>
      <w:pPr>
        <w:pStyle w:val="12"/>
        <w:tabs>
          <w:tab w:val="left" w:pos="0"/>
        </w:tabs>
        <w:spacing w:line="400" w:lineRule="exact"/>
        <w:ind w:firstLine="420" w:firstLineChars="200"/>
        <w:jc w:val="both"/>
        <w:rPr>
          <w:kern w:val="2"/>
          <w:sz w:val="21"/>
        </w:rPr>
      </w:pPr>
      <w:r>
        <w:rPr>
          <w:rFonts w:hint="eastAsia"/>
          <w:kern w:val="2"/>
          <w:sz w:val="21"/>
        </w:rPr>
        <w:t>（1）联合体各方均应满足</w:t>
      </w:r>
      <w:r>
        <w:rPr>
          <w:kern w:val="2"/>
          <w:sz w:val="21"/>
        </w:rPr>
        <w:t>3.1款和3.2款的规定。</w:t>
      </w:r>
    </w:p>
    <w:p>
      <w:pPr>
        <w:pStyle w:val="12"/>
        <w:tabs>
          <w:tab w:val="left" w:pos="0"/>
        </w:tabs>
        <w:spacing w:line="400" w:lineRule="exact"/>
        <w:ind w:firstLine="420" w:firstLineChars="200"/>
        <w:jc w:val="both"/>
        <w:rPr>
          <w:kern w:val="2"/>
          <w:sz w:val="21"/>
        </w:rPr>
      </w:pPr>
      <w:r>
        <w:rPr>
          <w:rFonts w:hint="eastAsia"/>
          <w:kern w:val="2"/>
          <w:sz w:val="21"/>
        </w:rPr>
        <w:t>（</w:t>
      </w:r>
      <w:r>
        <w:rPr>
          <w:kern w:val="2"/>
          <w:sz w:val="21"/>
        </w:rPr>
        <w:t>2</w:t>
      </w:r>
      <w:r>
        <w:rPr>
          <w:rFonts w:hint="eastAsia"/>
          <w:kern w:val="2"/>
          <w:sz w:val="21"/>
        </w:rPr>
        <w:t>）</w:t>
      </w:r>
      <w:r>
        <w:rPr>
          <w:kern w:val="2"/>
          <w:sz w:val="21"/>
        </w:rPr>
        <w:t>联合体各方应按照招标文件提供的格式签订联合体协议书，明确联合体牵头人和各方的权利义务</w:t>
      </w:r>
      <w:r>
        <w:rPr>
          <w:rFonts w:hint="eastAsia"/>
          <w:kern w:val="2"/>
          <w:sz w:val="21"/>
        </w:rPr>
        <w:t>。</w:t>
      </w:r>
    </w:p>
    <w:p>
      <w:pPr>
        <w:pStyle w:val="12"/>
        <w:tabs>
          <w:tab w:val="left" w:pos="0"/>
        </w:tabs>
        <w:spacing w:line="400" w:lineRule="exact"/>
        <w:ind w:firstLine="420" w:firstLineChars="200"/>
        <w:jc w:val="both"/>
        <w:rPr>
          <w:kern w:val="2"/>
          <w:sz w:val="21"/>
        </w:rPr>
      </w:pPr>
      <w:r>
        <w:rPr>
          <w:rFonts w:hint="eastAsia"/>
          <w:kern w:val="2"/>
          <w:sz w:val="21"/>
        </w:rPr>
        <w:t>（</w:t>
      </w:r>
      <w:r>
        <w:rPr>
          <w:kern w:val="2"/>
          <w:sz w:val="21"/>
        </w:rPr>
        <w:t>3</w:t>
      </w:r>
      <w:r>
        <w:rPr>
          <w:rFonts w:hint="eastAsia"/>
          <w:kern w:val="2"/>
          <w:sz w:val="21"/>
        </w:rPr>
        <w:t>）联合体牵头人代表联合体各方负责获取本项目的招标文件及投标工作。</w:t>
      </w:r>
    </w:p>
    <w:p>
      <w:pPr>
        <w:pStyle w:val="12"/>
        <w:tabs>
          <w:tab w:val="left" w:pos="0"/>
        </w:tabs>
        <w:spacing w:line="400" w:lineRule="exact"/>
        <w:ind w:firstLine="420" w:firstLineChars="200"/>
        <w:jc w:val="both"/>
        <w:rPr>
          <w:kern w:val="2"/>
          <w:sz w:val="21"/>
        </w:rPr>
      </w:pPr>
      <w:r>
        <w:rPr>
          <w:kern w:val="2"/>
          <w:sz w:val="21"/>
        </w:rPr>
        <w:t>（4）</w:t>
      </w:r>
      <w:r>
        <w:rPr>
          <w:rFonts w:hint="eastAsia"/>
          <w:kern w:val="2"/>
          <w:sz w:val="21"/>
        </w:rPr>
        <w:t>由同一专业的单位组成的联合体，按照资质等级较低的单位确定资质等级；不同专业分工由不同单位分别承担的，按照各自的专业资质确定联合体的资质。</w:t>
      </w:r>
    </w:p>
    <w:p>
      <w:pPr>
        <w:pStyle w:val="12"/>
        <w:tabs>
          <w:tab w:val="left" w:pos="0"/>
        </w:tabs>
        <w:spacing w:line="400" w:lineRule="exact"/>
        <w:ind w:firstLine="420" w:firstLineChars="200"/>
        <w:jc w:val="both"/>
        <w:rPr>
          <w:kern w:val="2"/>
          <w:sz w:val="21"/>
        </w:rPr>
      </w:pPr>
      <w:r>
        <w:rPr>
          <w:kern w:val="2"/>
          <w:sz w:val="21"/>
        </w:rPr>
        <w:t>（5）联合体各方不得再以自己名义单独或参加其他联合体在同一标包中投标。</w:t>
      </w:r>
    </w:p>
    <w:p>
      <w:pPr>
        <w:tabs>
          <w:tab w:val="left" w:pos="1200"/>
          <w:tab w:val="left" w:pos="3112"/>
          <w:tab w:val="left" w:pos="4600"/>
        </w:tabs>
        <w:spacing w:line="400" w:lineRule="exact"/>
        <w:ind w:firstLine="450" w:firstLineChars="200"/>
        <w:rPr>
          <w:b/>
          <w:bCs/>
          <w:spacing w:val="7"/>
          <w:szCs w:val="21"/>
        </w:rPr>
      </w:pPr>
      <w:r>
        <w:rPr>
          <w:b/>
          <w:bCs/>
          <w:spacing w:val="7"/>
          <w:szCs w:val="21"/>
        </w:rPr>
        <w:t>3.</w:t>
      </w:r>
      <w:r>
        <w:rPr>
          <w:rFonts w:hint="eastAsia"/>
          <w:b/>
          <w:bCs/>
          <w:spacing w:val="7"/>
          <w:szCs w:val="21"/>
          <w:lang w:val="en-US" w:eastAsia="zh-CN"/>
        </w:rPr>
        <w:t>5</w:t>
      </w:r>
      <w:r>
        <w:rPr>
          <w:rFonts w:hint="eastAsia"/>
          <w:b/>
          <w:bCs/>
          <w:spacing w:val="7"/>
          <w:szCs w:val="21"/>
        </w:rPr>
        <w:t xml:space="preserve"> 各投标人均可就本次招标的部分或全部标包投标。</w:t>
      </w:r>
    </w:p>
    <w:p>
      <w:pPr>
        <w:adjustRightInd w:val="0"/>
        <w:snapToGrid w:val="0"/>
        <w:spacing w:line="400" w:lineRule="exact"/>
        <w:outlineLvl w:val="1"/>
        <w:rPr>
          <w:rFonts w:ascii="黑体" w:eastAsia="黑体"/>
          <w:b/>
          <w:sz w:val="24"/>
        </w:rPr>
      </w:pPr>
      <w:bookmarkStart w:id="38" w:name="_bookmark5"/>
      <w:bookmarkEnd w:id="38"/>
      <w:bookmarkStart w:id="39" w:name="_Toc12413"/>
      <w:bookmarkStart w:id="40" w:name="_Toc19223"/>
      <w:bookmarkStart w:id="41" w:name="_Toc62551532"/>
      <w:bookmarkStart w:id="42" w:name="_Toc18436"/>
      <w:r>
        <w:rPr>
          <w:rFonts w:hint="eastAsia" w:ascii="黑体" w:eastAsia="黑体"/>
          <w:b/>
          <w:sz w:val="24"/>
        </w:rPr>
        <w:t>4.</w:t>
      </w:r>
      <w:r>
        <w:rPr>
          <w:rFonts w:ascii="黑体" w:eastAsia="黑体"/>
          <w:b/>
          <w:sz w:val="24"/>
        </w:rPr>
        <w:t>招标文件的获取</w:t>
      </w:r>
      <w:bookmarkEnd w:id="39"/>
      <w:bookmarkEnd w:id="40"/>
      <w:bookmarkEnd w:id="41"/>
      <w:bookmarkEnd w:id="42"/>
    </w:p>
    <w:p>
      <w:pPr>
        <w:tabs>
          <w:tab w:val="left" w:pos="1134"/>
        </w:tabs>
        <w:adjustRightInd w:val="0"/>
        <w:snapToGrid w:val="0"/>
        <w:spacing w:line="400" w:lineRule="exact"/>
        <w:ind w:firstLine="420" w:firstLineChars="200"/>
      </w:pPr>
      <w:bookmarkStart w:id="43" w:name="_bookmark6"/>
      <w:bookmarkEnd w:id="43"/>
      <w:bookmarkStart w:id="44" w:name="_Toc31762"/>
      <w:bookmarkStart w:id="45" w:name="_Toc62551533"/>
      <w:bookmarkStart w:id="46" w:name="_Toc15733"/>
      <w:bookmarkStart w:id="47" w:name="_Toc30381"/>
      <w:r>
        <w:rPr>
          <w:rFonts w:hint="eastAsia"/>
        </w:rPr>
        <w:t>4.1 招标文件（电子文件）免费获取。</w:t>
      </w:r>
    </w:p>
    <w:p>
      <w:pPr>
        <w:tabs>
          <w:tab w:val="left" w:pos="1134"/>
        </w:tabs>
        <w:wordWrap w:val="0"/>
        <w:adjustRightInd w:val="0"/>
        <w:snapToGrid w:val="0"/>
        <w:spacing w:line="400" w:lineRule="exact"/>
        <w:ind w:firstLine="420" w:firstLineChars="200"/>
        <w:rPr>
          <w:rFonts w:hint="eastAsia"/>
        </w:rPr>
      </w:pPr>
      <w:r>
        <w:rPr>
          <w:rFonts w:hint="eastAsia"/>
        </w:rPr>
        <w:t>4.2凡有意参加投标者，请于</w:t>
      </w:r>
      <w:r>
        <w:rPr>
          <w:rFonts w:hint="eastAsia" w:ascii="宋体" w:hAnsi="宋体" w:eastAsia="宋体" w:cs="宋体"/>
          <w:b/>
          <w:bCs/>
          <w:highlight w:val="yellow"/>
        </w:rPr>
        <w:t>2023年</w:t>
      </w:r>
      <w:r>
        <w:rPr>
          <w:rFonts w:hint="eastAsia" w:ascii="宋体" w:hAnsi="宋体" w:cs="宋体"/>
          <w:b/>
          <w:bCs/>
          <w:highlight w:val="yellow"/>
          <w:lang w:val="en-US" w:eastAsia="zh-CN"/>
        </w:rPr>
        <w:t>9</w:t>
      </w:r>
      <w:r>
        <w:rPr>
          <w:rFonts w:hint="eastAsia" w:ascii="宋体" w:hAnsi="宋体" w:eastAsia="宋体" w:cs="宋体"/>
          <w:b/>
          <w:bCs/>
          <w:highlight w:val="yellow"/>
        </w:rPr>
        <w:t>月</w:t>
      </w:r>
      <w:r>
        <w:rPr>
          <w:rFonts w:hint="eastAsia" w:ascii="宋体" w:hAnsi="宋体" w:cs="宋体"/>
          <w:b/>
          <w:bCs/>
          <w:highlight w:val="yellow"/>
          <w:lang w:val="en-US" w:eastAsia="zh-CN"/>
        </w:rPr>
        <w:t>1</w:t>
      </w:r>
      <w:r>
        <w:rPr>
          <w:rFonts w:hint="eastAsia" w:ascii="宋体" w:hAnsi="宋体" w:eastAsia="宋体" w:cs="宋体"/>
          <w:b/>
          <w:bCs/>
          <w:highlight w:val="yellow"/>
        </w:rPr>
        <w:t>日至2023年</w:t>
      </w:r>
      <w:r>
        <w:rPr>
          <w:rFonts w:hint="eastAsia" w:ascii="宋体" w:hAnsi="宋体" w:cs="宋体"/>
          <w:b/>
          <w:bCs/>
          <w:highlight w:val="yellow"/>
          <w:lang w:val="en-US" w:eastAsia="zh-CN"/>
        </w:rPr>
        <w:t>9</w:t>
      </w:r>
      <w:r>
        <w:rPr>
          <w:rFonts w:hint="eastAsia" w:ascii="宋体" w:hAnsi="宋体" w:eastAsia="宋体" w:cs="宋体"/>
          <w:b/>
          <w:bCs/>
          <w:highlight w:val="yellow"/>
        </w:rPr>
        <w:t>月</w:t>
      </w:r>
      <w:r>
        <w:rPr>
          <w:rFonts w:hint="eastAsia" w:ascii="宋体" w:hAnsi="宋体" w:cs="宋体"/>
          <w:b/>
          <w:bCs/>
          <w:highlight w:val="yellow"/>
          <w:lang w:val="en-US" w:eastAsia="zh-CN"/>
        </w:rPr>
        <w:t>6</w:t>
      </w:r>
      <w:r>
        <w:rPr>
          <w:rFonts w:hint="eastAsia" w:ascii="宋体" w:hAnsi="宋体" w:eastAsia="宋体" w:cs="宋体"/>
          <w:b/>
          <w:bCs/>
          <w:highlight w:val="yellow"/>
        </w:rPr>
        <w:t>日16:00</w:t>
      </w:r>
      <w:r>
        <w:rPr>
          <w:rFonts w:hint="eastAsia"/>
        </w:rPr>
        <w:t>前，登陆</w:t>
      </w:r>
      <w:r>
        <w:rPr>
          <w:rFonts w:hint="eastAsia" w:ascii="宋体" w:hAnsi="宋体" w:eastAsia="宋体" w:cs="宋体"/>
          <w:b/>
          <w:spacing w:val="7"/>
          <w:sz w:val="21"/>
          <w:szCs w:val="21"/>
        </w:rPr>
        <w:t>电子商务平台-电工交易专区(https://sgccetp.com.cn/portal/#/</w:t>
      </w:r>
      <w:r>
        <w:rPr>
          <w:rFonts w:hint="eastAsia" w:ascii="宋体" w:hAnsi="宋体" w:eastAsia="宋体" w:cs="宋体"/>
          <w:b/>
          <w:spacing w:val="7"/>
          <w:sz w:val="21"/>
          <w:szCs w:val="21"/>
          <w:lang w:eastAsia="zh-CN"/>
        </w:rPr>
        <w:t>）</w:t>
      </w:r>
      <w:r>
        <w:rPr>
          <w:rFonts w:hint="eastAsia"/>
        </w:rPr>
        <w:t>凭电子钥匙获取招标文件。招标文件（电子文件）免费获取，投标人只需下载拟报名项目的招标文件。</w:t>
      </w:r>
      <w:r>
        <w:rPr>
          <w:rFonts w:hint="eastAsia"/>
          <w:b/>
          <w:bCs/>
          <w:highlight w:val="yellow"/>
        </w:rPr>
        <w:t>报名联系人(含电话、邮箱等信息）只能代表一家投标服务商获取投标文件，禁止同一人代表不同单位参与项目报名获取投标文件</w:t>
      </w:r>
      <w:r>
        <w:rPr>
          <w:rFonts w:hint="eastAsia"/>
        </w:rPr>
        <w:t>。</w:t>
      </w:r>
    </w:p>
    <w:p>
      <w:pPr>
        <w:tabs>
          <w:tab w:val="left" w:pos="1134"/>
        </w:tabs>
        <w:wordWrap w:val="0"/>
        <w:adjustRightInd w:val="0"/>
        <w:snapToGrid w:val="0"/>
        <w:spacing w:line="400" w:lineRule="exact"/>
        <w:ind w:firstLine="420" w:firstLineChars="200"/>
      </w:pPr>
      <w:r>
        <w:rPr>
          <w:rFonts w:hint="eastAsia"/>
        </w:rPr>
        <w:t>潜在投标人需登陆电子商务平台-电工交易专区下载招标文件，并按《电子招标投标办法》等国家法律法规要求，到第三方认证机构办理CA证书电子钥匙。支持电话为：4009915500</w:t>
      </w:r>
      <w:r>
        <w:rPr>
          <w:rFonts w:hint="eastAsia"/>
          <w:lang w:eastAsia="zh-CN"/>
        </w:rPr>
        <w:t>。</w:t>
      </w:r>
      <w:r>
        <w:rPr>
          <w:rFonts w:hint="eastAsia"/>
        </w:rPr>
        <w:t>电子钥匙的办理流程请登录电子商务平台-电工交易专区网站“下载专区”—“平台注册”—“电脑配置及电子钥匙”下载所有文件仔细阅读。因潜在投标人未及时办理电子钥匙导致获取招标文件失败，</w:t>
      </w:r>
      <w:r>
        <w:rPr>
          <w:rFonts w:hint="eastAsia"/>
          <w:lang w:val="en-US" w:eastAsia="zh-CN"/>
        </w:rPr>
        <w:t>或因</w:t>
      </w:r>
      <w:r>
        <w:rPr>
          <w:rFonts w:hint="eastAsia"/>
        </w:rPr>
        <w:t>账号、数字证书或密码保管不当造成的损失，由投标人自行承担。</w:t>
      </w:r>
    </w:p>
    <w:p>
      <w:pPr>
        <w:tabs>
          <w:tab w:val="left" w:pos="1134"/>
        </w:tabs>
        <w:adjustRightInd w:val="0"/>
        <w:snapToGrid w:val="0"/>
        <w:spacing w:line="400" w:lineRule="exact"/>
        <w:ind w:firstLine="420" w:firstLineChars="200"/>
        <w:rPr>
          <w:rFonts w:hint="eastAsia"/>
        </w:rPr>
      </w:pPr>
      <w:r>
        <w:rPr>
          <w:rFonts w:hint="eastAsia"/>
        </w:rPr>
        <w:t>4.3离线投标工具下载方式：请各投标人在电子商务平台-电工交易专区首页“下载专区→参与投标→投标工具安装”目录下载。</w:t>
      </w:r>
    </w:p>
    <w:p>
      <w:pPr>
        <w:tabs>
          <w:tab w:val="left" w:pos="1134"/>
        </w:tabs>
        <w:adjustRightInd w:val="0"/>
        <w:snapToGrid w:val="0"/>
        <w:spacing w:line="400" w:lineRule="exact"/>
        <w:ind w:firstLine="420" w:firstLineChars="200"/>
        <w:rPr>
          <w:rFonts w:hint="eastAsia"/>
        </w:rPr>
      </w:pPr>
      <w:r>
        <w:rPr>
          <w:rFonts w:hint="eastAsia"/>
        </w:rPr>
        <w:t>操作手册下载：请各投标人在电子商务平台-电工交易专区首页“参与投标→操作手册”目录下下载“</w:t>
      </w:r>
      <w:r>
        <w:rPr>
          <w:rFonts w:hint="eastAsia"/>
          <w:lang w:eastAsia="zh-CN"/>
        </w:rPr>
        <w:t>ETP</w:t>
      </w:r>
      <w:r>
        <w:rPr>
          <w:rFonts w:hint="eastAsia"/>
        </w:rPr>
        <w:t>2.0招标采购流程供应商操作手册”。</w:t>
      </w:r>
    </w:p>
    <w:p>
      <w:pPr>
        <w:tabs>
          <w:tab w:val="left" w:pos="1134"/>
        </w:tabs>
        <w:adjustRightInd w:val="0"/>
        <w:snapToGrid w:val="0"/>
        <w:spacing w:line="400" w:lineRule="exact"/>
        <w:ind w:firstLine="420" w:firstLineChars="200"/>
      </w:pPr>
      <w:r>
        <w:rPr>
          <w:rFonts w:hint="eastAsia"/>
        </w:rPr>
        <w:t>离线投标工具操作问题联系电话：010-63411000。</w:t>
      </w:r>
    </w:p>
    <w:p>
      <w:pPr>
        <w:adjustRightInd w:val="0"/>
        <w:snapToGrid w:val="0"/>
        <w:spacing w:line="400" w:lineRule="exact"/>
        <w:ind w:firstLine="420" w:firstLineChars="200"/>
        <w:outlineLvl w:val="2"/>
        <w:rPr>
          <w:rFonts w:ascii="宋体" w:hAnsi="宋体"/>
        </w:rPr>
      </w:pPr>
      <w:r>
        <w:rPr>
          <w:rFonts w:hint="eastAsia"/>
        </w:rPr>
        <w:t>4.4注意事项</w:t>
      </w:r>
      <w:r>
        <w:rPr>
          <w:rFonts w:ascii="宋体" w:hAnsi="宋体"/>
        </w:rPr>
        <w:t>:</w:t>
      </w:r>
    </w:p>
    <w:p>
      <w:pPr>
        <w:adjustRightInd w:val="0"/>
        <w:snapToGrid w:val="0"/>
        <w:spacing w:line="400" w:lineRule="exact"/>
        <w:ind w:firstLine="420" w:firstLineChars="200"/>
        <w:outlineLvl w:val="2"/>
      </w:pPr>
      <w:r>
        <w:rPr>
          <w:rFonts w:hint="eastAsia" w:ascii="宋体" w:hAnsi="宋体" w:eastAsia="宋体" w:cs="宋体"/>
          <w:sz w:val="21"/>
          <w:szCs w:val="21"/>
          <w:highlight w:val="yellow"/>
          <w:lang w:eastAsia="zh-CN"/>
        </w:rPr>
        <w:t>当</w:t>
      </w:r>
      <w:r>
        <w:rPr>
          <w:rFonts w:hint="eastAsia" w:ascii="宋体" w:hAnsi="宋体" w:cs="宋体"/>
          <w:sz w:val="21"/>
          <w:szCs w:val="21"/>
          <w:highlight w:val="yellow"/>
          <w:lang w:val="en-US" w:eastAsia="zh-CN"/>
        </w:rPr>
        <w:t>投标</w:t>
      </w:r>
      <w:r>
        <w:rPr>
          <w:rFonts w:hint="eastAsia" w:ascii="宋体" w:hAnsi="宋体" w:eastAsia="宋体" w:cs="宋体"/>
          <w:sz w:val="21"/>
          <w:szCs w:val="21"/>
          <w:highlight w:val="yellow"/>
          <w:lang w:eastAsia="zh-CN"/>
        </w:rPr>
        <w:t>人的有效</w:t>
      </w:r>
      <w:r>
        <w:rPr>
          <w:rFonts w:hint="eastAsia" w:ascii="宋体" w:hAnsi="宋体" w:cs="宋体"/>
          <w:sz w:val="21"/>
          <w:szCs w:val="21"/>
          <w:highlight w:val="yellow"/>
          <w:lang w:val="en-US" w:eastAsia="zh-CN"/>
        </w:rPr>
        <w:t>投标</w:t>
      </w:r>
      <w:r>
        <w:rPr>
          <w:rFonts w:hint="eastAsia" w:ascii="宋体" w:hAnsi="宋体" w:eastAsia="宋体" w:cs="宋体"/>
          <w:sz w:val="21"/>
          <w:szCs w:val="21"/>
          <w:highlight w:val="yellow"/>
          <w:lang w:eastAsia="zh-CN"/>
        </w:rPr>
        <w:t>报价≤控制性预算价的50%时，由现场专家审议合理性，如不合理则不参与平均值的计算。对于专家审议的不合理低价，由代理机构通过系统向各</w:t>
      </w:r>
      <w:r>
        <w:rPr>
          <w:rFonts w:hint="eastAsia" w:ascii="宋体" w:hAnsi="宋体" w:cs="宋体"/>
          <w:sz w:val="21"/>
          <w:szCs w:val="21"/>
          <w:highlight w:val="yellow"/>
          <w:lang w:val="en-US" w:eastAsia="zh-CN"/>
        </w:rPr>
        <w:t>投标</w:t>
      </w:r>
      <w:r>
        <w:rPr>
          <w:rFonts w:hint="eastAsia" w:ascii="宋体" w:hAnsi="宋体" w:eastAsia="宋体" w:cs="宋体"/>
          <w:sz w:val="21"/>
          <w:szCs w:val="21"/>
          <w:highlight w:val="yellow"/>
          <w:lang w:eastAsia="zh-CN"/>
        </w:rPr>
        <w:t>人《质询函》，</w:t>
      </w:r>
      <w:r>
        <w:rPr>
          <w:rFonts w:hint="eastAsia" w:ascii="宋体" w:hAnsi="宋体" w:cs="宋体"/>
          <w:sz w:val="21"/>
          <w:szCs w:val="21"/>
          <w:highlight w:val="yellow"/>
          <w:lang w:val="en-US" w:eastAsia="zh-CN"/>
        </w:rPr>
        <w:t>投标</w:t>
      </w:r>
      <w:r>
        <w:rPr>
          <w:rFonts w:hint="eastAsia" w:ascii="宋体" w:hAnsi="宋体" w:eastAsia="宋体" w:cs="宋体"/>
          <w:sz w:val="21"/>
          <w:szCs w:val="21"/>
          <w:highlight w:val="yellow"/>
          <w:lang w:eastAsia="zh-CN"/>
        </w:rPr>
        <w:t>人在30分钟内在系统提交澄清函，未提交的视为不合理低价。</w:t>
      </w:r>
    </w:p>
    <w:p>
      <w:pPr>
        <w:adjustRightInd w:val="0"/>
        <w:snapToGrid w:val="0"/>
        <w:spacing w:beforeLines="100" w:afterLines="50" w:line="400" w:lineRule="exact"/>
        <w:outlineLvl w:val="1"/>
        <w:rPr>
          <w:rFonts w:ascii="黑体" w:eastAsia="黑体"/>
          <w:b/>
          <w:sz w:val="24"/>
        </w:rPr>
      </w:pPr>
      <w:r>
        <w:rPr>
          <w:rFonts w:hint="eastAsia" w:ascii="黑体" w:eastAsia="黑体"/>
          <w:b/>
          <w:sz w:val="24"/>
        </w:rPr>
        <w:t>5.</w:t>
      </w:r>
      <w:r>
        <w:rPr>
          <w:rFonts w:ascii="黑体" w:eastAsia="黑体"/>
          <w:b/>
          <w:sz w:val="24"/>
        </w:rPr>
        <w:t>投标文件的</w:t>
      </w:r>
      <w:bookmarkEnd w:id="44"/>
      <w:bookmarkEnd w:id="45"/>
      <w:bookmarkEnd w:id="46"/>
      <w:bookmarkEnd w:id="47"/>
      <w:r>
        <w:rPr>
          <w:rFonts w:hint="eastAsia" w:ascii="黑体" w:eastAsia="黑体"/>
          <w:b/>
          <w:sz w:val="24"/>
        </w:rPr>
        <w:t>提交</w:t>
      </w:r>
    </w:p>
    <w:p>
      <w:pPr>
        <w:tabs>
          <w:tab w:val="left" w:pos="1200"/>
          <w:tab w:val="left" w:pos="3112"/>
          <w:tab w:val="left" w:pos="4600"/>
        </w:tabs>
        <w:spacing w:line="400" w:lineRule="exact"/>
        <w:ind w:firstLine="420" w:firstLineChars="200"/>
        <w:rPr>
          <w:rFonts w:hint="eastAsia" w:ascii="宋体" w:eastAsia="宋体" w:cs="Times New Roman"/>
          <w:b/>
          <w:bCs/>
          <w:sz w:val="21"/>
          <w:szCs w:val="21"/>
          <w:highlight w:val="yellow"/>
          <w:lang w:eastAsia="zh-CN"/>
        </w:rPr>
      </w:pPr>
      <w:bookmarkStart w:id="48" w:name="_bookmark7"/>
      <w:bookmarkEnd w:id="48"/>
      <w:bookmarkStart w:id="49" w:name="_Toc8013"/>
      <w:bookmarkStart w:id="50" w:name="_Toc13110"/>
      <w:bookmarkStart w:id="51" w:name="_Toc62551534"/>
      <w:bookmarkStart w:id="52" w:name="_Toc6640"/>
      <w:r>
        <w:rPr>
          <w:rFonts w:hint="eastAsia" w:ascii="宋体" w:hAnsi="宋体" w:cs="Times New Roman"/>
        </w:rPr>
        <w:t>5.1 投标文件提交的截止时间（投标截止时间，下同）为</w:t>
      </w:r>
      <w:r>
        <w:rPr>
          <w:rFonts w:hint="eastAsia" w:ascii="宋体" w:hAnsi="宋体" w:eastAsia="宋体" w:cs="宋体"/>
          <w:b/>
          <w:bCs/>
          <w:highlight w:val="yellow"/>
        </w:rPr>
        <w:t>2023年</w:t>
      </w:r>
      <w:r>
        <w:rPr>
          <w:rFonts w:hint="eastAsia" w:ascii="宋体" w:hAnsi="宋体" w:cs="宋体"/>
          <w:b/>
          <w:bCs/>
          <w:highlight w:val="yellow"/>
          <w:lang w:val="en-US" w:eastAsia="zh-CN"/>
        </w:rPr>
        <w:t>9</w:t>
      </w:r>
      <w:r>
        <w:rPr>
          <w:rFonts w:hint="eastAsia" w:ascii="宋体" w:hAnsi="宋体" w:eastAsia="宋体" w:cs="宋体"/>
          <w:b/>
          <w:bCs/>
          <w:highlight w:val="yellow"/>
        </w:rPr>
        <w:t>月</w:t>
      </w:r>
      <w:r>
        <w:rPr>
          <w:rFonts w:hint="eastAsia" w:ascii="宋体" w:hAnsi="宋体" w:cs="宋体"/>
          <w:b/>
          <w:bCs/>
          <w:highlight w:val="yellow"/>
          <w:lang w:val="en-US" w:eastAsia="zh-CN"/>
        </w:rPr>
        <w:t>1</w:t>
      </w:r>
      <w:r>
        <w:rPr>
          <w:rFonts w:hint="eastAsia" w:ascii="宋体" w:hAnsi="宋体" w:eastAsia="宋体" w:cs="宋体"/>
          <w:b/>
          <w:bCs/>
          <w:highlight w:val="yellow"/>
        </w:rPr>
        <w:t>日至</w:t>
      </w:r>
      <w:r>
        <w:rPr>
          <w:rFonts w:hint="eastAsia" w:ascii="宋体" w:eastAsia="宋体" w:cs="Times New Roman"/>
          <w:b/>
          <w:bCs/>
          <w:sz w:val="21"/>
          <w:szCs w:val="21"/>
          <w:highlight w:val="yellow"/>
          <w:lang w:val="en-US" w:eastAsia="zh-CN"/>
        </w:rPr>
        <w:t>2023</w:t>
      </w:r>
      <w:r>
        <w:rPr>
          <w:rFonts w:hint="eastAsia" w:ascii="宋体" w:eastAsia="宋体" w:cs="Times New Roman"/>
          <w:b/>
          <w:bCs/>
          <w:sz w:val="21"/>
          <w:szCs w:val="21"/>
          <w:highlight w:val="yellow"/>
          <w:lang w:eastAsia="zh-CN"/>
        </w:rPr>
        <w:t>年</w:t>
      </w:r>
      <w:r>
        <w:rPr>
          <w:rFonts w:hint="eastAsia" w:ascii="宋体" w:cs="Times New Roman"/>
          <w:b/>
          <w:bCs/>
          <w:sz w:val="21"/>
          <w:szCs w:val="21"/>
          <w:highlight w:val="yellow"/>
          <w:lang w:val="en-US" w:eastAsia="zh-CN"/>
        </w:rPr>
        <w:t>9</w:t>
      </w:r>
      <w:r>
        <w:rPr>
          <w:rFonts w:hint="eastAsia" w:ascii="宋体" w:eastAsia="宋体" w:cs="Times New Roman"/>
          <w:b/>
          <w:bCs/>
          <w:sz w:val="21"/>
          <w:szCs w:val="21"/>
          <w:highlight w:val="yellow"/>
          <w:lang w:eastAsia="zh-CN"/>
        </w:rPr>
        <w:t>月</w:t>
      </w:r>
      <w:r>
        <w:rPr>
          <w:rFonts w:hint="eastAsia" w:ascii="宋体" w:cs="Times New Roman"/>
          <w:b/>
          <w:bCs/>
          <w:sz w:val="21"/>
          <w:szCs w:val="21"/>
          <w:highlight w:val="yellow"/>
          <w:lang w:val="en-US" w:eastAsia="zh-CN"/>
        </w:rPr>
        <w:t>22</w:t>
      </w:r>
      <w:r>
        <w:rPr>
          <w:rFonts w:hint="eastAsia" w:ascii="宋体" w:eastAsia="宋体" w:cs="Times New Roman"/>
          <w:b/>
          <w:bCs/>
          <w:sz w:val="21"/>
          <w:szCs w:val="21"/>
          <w:highlight w:val="yellow"/>
          <w:lang w:eastAsia="zh-CN"/>
        </w:rPr>
        <w:t>日</w:t>
      </w:r>
      <w:r>
        <w:rPr>
          <w:rFonts w:hint="eastAsia" w:ascii="宋体" w:eastAsia="宋体" w:cs="Times New Roman"/>
          <w:b/>
          <w:bCs/>
          <w:sz w:val="21"/>
          <w:szCs w:val="21"/>
          <w:highlight w:val="yellow"/>
          <w:lang w:val="en-US" w:eastAsia="zh-CN"/>
        </w:rPr>
        <w:t>8</w:t>
      </w:r>
      <w:r>
        <w:rPr>
          <w:rFonts w:hint="eastAsia" w:ascii="宋体" w:eastAsia="宋体" w:cs="Times New Roman"/>
          <w:b/>
          <w:bCs/>
          <w:sz w:val="21"/>
          <w:szCs w:val="21"/>
          <w:highlight w:val="yellow"/>
          <w:lang w:eastAsia="zh-CN"/>
        </w:rPr>
        <w:t>:</w:t>
      </w:r>
      <w:r>
        <w:rPr>
          <w:rFonts w:hint="eastAsia" w:ascii="宋体" w:eastAsia="宋体" w:cs="Times New Roman"/>
          <w:b/>
          <w:bCs/>
          <w:sz w:val="21"/>
          <w:szCs w:val="21"/>
          <w:highlight w:val="yellow"/>
          <w:lang w:val="en-US" w:eastAsia="zh-CN"/>
        </w:rPr>
        <w:t>30</w:t>
      </w:r>
      <w:r>
        <w:rPr>
          <w:rFonts w:hint="eastAsia" w:ascii="宋体" w:eastAsia="宋体" w:cs="Times New Roman"/>
          <w:b/>
          <w:bCs/>
          <w:sz w:val="21"/>
          <w:szCs w:val="21"/>
          <w:highlight w:val="yellow"/>
          <w:lang w:eastAsia="zh-CN"/>
        </w:rPr>
        <w:t>时（北京时间）。</w:t>
      </w:r>
    </w:p>
    <w:p>
      <w:pPr>
        <w:adjustRightInd w:val="0"/>
        <w:snapToGrid w:val="0"/>
        <w:spacing w:line="400" w:lineRule="exact"/>
        <w:ind w:firstLine="422" w:firstLineChars="200"/>
      </w:pPr>
      <w:r>
        <w:rPr>
          <w:rFonts w:hint="eastAsia"/>
          <w:b/>
        </w:rPr>
        <w:t>投标文件提交时间：</w:t>
      </w:r>
      <w:r>
        <w:rPr>
          <w:rFonts w:hint="eastAsia"/>
        </w:rPr>
        <w:t>所有投标文件应当在投标截止时间前递交（提交）招标人。</w:t>
      </w:r>
    </w:p>
    <w:p>
      <w:pPr>
        <w:adjustRightInd w:val="0"/>
        <w:snapToGrid w:val="0"/>
        <w:spacing w:line="400" w:lineRule="exact"/>
        <w:ind w:firstLine="422" w:firstLineChars="200"/>
        <w:rPr>
          <w:rFonts w:hint="eastAsia"/>
          <w:b/>
        </w:rPr>
      </w:pPr>
      <w:r>
        <w:rPr>
          <w:rFonts w:hint="eastAsia"/>
          <w:b/>
        </w:rPr>
        <w:t>投标文件提交地点：</w:t>
      </w:r>
      <w:r>
        <w:rPr>
          <w:rFonts w:hint="eastAsia"/>
          <w:bCs/>
        </w:rPr>
        <w:t>电子投标文件提交</w:t>
      </w:r>
      <w:r>
        <w:rPr>
          <w:rFonts w:hint="eastAsia"/>
          <w:bCs/>
          <w:lang w:eastAsia="zh-CN"/>
        </w:rPr>
        <w:t>电子商务平台-电工交易专区</w:t>
      </w:r>
      <w:r>
        <w:rPr>
          <w:rFonts w:hint="eastAsia"/>
          <w:bCs/>
        </w:rPr>
        <w:t>。</w:t>
      </w:r>
    </w:p>
    <w:p>
      <w:pPr>
        <w:adjustRightInd w:val="0"/>
        <w:snapToGrid w:val="0"/>
        <w:spacing w:line="400" w:lineRule="exact"/>
        <w:ind w:firstLine="420" w:firstLineChars="200"/>
        <w:rPr>
          <w:rFonts w:hint="eastAsia"/>
          <w:b/>
          <w:bCs/>
          <w:color w:val="auto"/>
          <w:highlight w:val="none"/>
        </w:rPr>
      </w:pPr>
      <w:r>
        <w:rPr>
          <w:rFonts w:hint="eastAsia"/>
          <w:b w:val="0"/>
          <w:bCs w:val="0"/>
        </w:rPr>
        <w:t>电子投标文件递交方式详见</w:t>
      </w:r>
      <w:r>
        <w:rPr>
          <w:rFonts w:hint="eastAsia"/>
          <w:b w:val="0"/>
          <w:bCs w:val="0"/>
          <w:highlight w:val="none"/>
        </w:rPr>
        <w:t>第六章投标文件格式</w:t>
      </w:r>
      <w:r>
        <w:rPr>
          <w:rFonts w:hint="eastAsia"/>
          <w:b w:val="0"/>
          <w:bCs w:val="0"/>
        </w:rPr>
        <w:t>。如要求全部文件上传</w:t>
      </w:r>
      <w:r>
        <w:rPr>
          <w:rFonts w:hint="eastAsia"/>
          <w:kern w:val="2"/>
          <w:sz w:val="21"/>
          <w:lang w:eastAsia="zh-CN"/>
        </w:rPr>
        <w:t>电子商务平台-电工交易专区</w:t>
      </w:r>
      <w:r>
        <w:rPr>
          <w:rFonts w:hint="eastAsia"/>
          <w:kern w:val="2"/>
          <w:sz w:val="21"/>
          <w:lang w:val="en-US"/>
        </w:rPr>
        <w:t>（</w:t>
      </w:r>
      <w:r>
        <w:rPr>
          <w:rFonts w:hint="eastAsia"/>
          <w:kern w:val="2"/>
          <w:sz w:val="21"/>
        </w:rPr>
        <w:t>https://sgccetp.com.cn</w:t>
      </w:r>
      <w:r>
        <w:rPr>
          <w:rFonts w:hint="eastAsia"/>
          <w:kern w:val="2"/>
          <w:sz w:val="21"/>
          <w:lang w:val="en-US"/>
        </w:rPr>
        <w:t>）</w:t>
      </w:r>
      <w:r>
        <w:rPr>
          <w:rFonts w:hint="eastAsia"/>
          <w:b w:val="0"/>
          <w:bCs w:val="0"/>
        </w:rPr>
        <w:t>，投标人仅可通过</w:t>
      </w:r>
      <w:r>
        <w:rPr>
          <w:rFonts w:hint="eastAsia"/>
          <w:kern w:val="2"/>
          <w:sz w:val="21"/>
          <w:lang w:eastAsia="zh-CN"/>
        </w:rPr>
        <w:t>电子商务平台-电工交易专区</w:t>
      </w:r>
      <w:r>
        <w:rPr>
          <w:rFonts w:hint="eastAsia"/>
          <w:b w:val="0"/>
          <w:bCs w:val="0"/>
        </w:rPr>
        <w:t>提交全部投标文件；对于受</w:t>
      </w:r>
      <w:r>
        <w:rPr>
          <w:rFonts w:hint="eastAsia"/>
          <w:kern w:val="2"/>
          <w:sz w:val="21"/>
          <w:lang w:eastAsia="zh-CN"/>
        </w:rPr>
        <w:t>电子商务平台-电工交易专区</w:t>
      </w:r>
      <w:r>
        <w:rPr>
          <w:rFonts w:hint="eastAsia"/>
          <w:b w:val="0"/>
          <w:bCs w:val="0"/>
        </w:rPr>
        <w:t>容量限制，要求通过网盘递交的文件，投标人需应用投标工具U+商务技术大文件功能加密提交网盘文件，</w:t>
      </w:r>
      <w:r>
        <w:rPr>
          <w:rFonts w:hint="eastAsia"/>
          <w:b w:val="0"/>
          <w:bCs w:val="0"/>
          <w:spacing w:val="7"/>
        </w:rPr>
        <w:t>在</w:t>
      </w:r>
      <w:r>
        <w:rPr>
          <w:rFonts w:hint="eastAsia"/>
          <w:b w:val="0"/>
          <w:bCs w:val="0"/>
          <w:lang w:bidi="ar"/>
        </w:rPr>
        <w:t>投标截止时间前完成上传提交。</w:t>
      </w:r>
      <w:r>
        <w:rPr>
          <w:rFonts w:hint="eastAsia"/>
          <w:b w:val="0"/>
          <w:bCs w:val="0"/>
        </w:rPr>
        <w:t>通过网盘形式递交文件的方法详见操作手册，请各投标人认真阅读使用手册。新版投标工具请于E</w:t>
      </w:r>
      <w:r>
        <w:rPr>
          <w:rFonts w:hint="eastAsia"/>
          <w:b w:val="0"/>
          <w:bCs w:val="0"/>
          <w:lang w:val="en-US" w:eastAsia="zh-CN"/>
        </w:rPr>
        <w:t>T</w:t>
      </w:r>
      <w:r>
        <w:rPr>
          <w:rFonts w:hint="eastAsia"/>
          <w:b w:val="0"/>
          <w:bCs w:val="0"/>
        </w:rPr>
        <w:t>P2.0首页-下载专区下</w:t>
      </w:r>
      <w:r>
        <w:rPr>
          <w:rFonts w:hint="eastAsia"/>
          <w:b w:val="0"/>
          <w:bCs w:val="0"/>
          <w:highlight w:val="none"/>
        </w:rPr>
        <w:t>载</w:t>
      </w:r>
      <w:r>
        <w:rPr>
          <w:rFonts w:hint="eastAsia"/>
          <w:b/>
          <w:bCs/>
          <w:color w:val="auto"/>
          <w:sz w:val="21"/>
          <w:szCs w:val="21"/>
          <w:highlight w:val="none"/>
          <w:lang w:eastAsia="zh-CN"/>
        </w:rPr>
        <w:t>（</w:t>
      </w:r>
      <w:r>
        <w:rPr>
          <w:rFonts w:hint="eastAsia"/>
          <w:b/>
          <w:bCs/>
          <w:color w:val="auto"/>
          <w:sz w:val="21"/>
          <w:szCs w:val="21"/>
          <w:highlight w:val="none"/>
          <w:lang w:val="en-US" w:eastAsia="zh-CN"/>
        </w:rPr>
        <w:t>本项目不涉及）</w:t>
      </w:r>
      <w:r>
        <w:rPr>
          <w:rFonts w:hint="eastAsia"/>
          <w:b/>
          <w:bCs/>
          <w:color w:val="auto"/>
          <w:sz w:val="21"/>
          <w:szCs w:val="21"/>
          <w:highlight w:val="none"/>
        </w:rPr>
        <w:t>。</w:t>
      </w:r>
    </w:p>
    <w:p>
      <w:pPr>
        <w:tabs>
          <w:tab w:val="left" w:pos="1134"/>
        </w:tabs>
        <w:adjustRightInd w:val="0"/>
        <w:snapToGrid w:val="0"/>
        <w:spacing w:line="400" w:lineRule="exact"/>
        <w:ind w:firstLine="420" w:firstLineChars="200"/>
      </w:pPr>
      <w:r>
        <w:t>5.2 投标截止时间之前未成功提交至</w:t>
      </w:r>
      <w:r>
        <w:rPr>
          <w:rFonts w:hint="eastAsia"/>
          <w:lang w:eastAsia="zh-CN"/>
        </w:rPr>
        <w:t>电子商务平台-电工交易专区</w:t>
      </w:r>
      <w:r>
        <w:t>的电子投标文件，招标人不予受理。不接受未按规定加密的投标文件及投标文件的修改文件</w:t>
      </w:r>
      <w:r>
        <w:rPr>
          <w:rFonts w:hint="eastAsia"/>
        </w:rPr>
        <w:t>。</w:t>
      </w:r>
      <w:r>
        <w:t>不接受邮寄、现场提交等电子提交方式以外的其他方式提交投标文件及投标文件的修改文件。</w:t>
      </w:r>
    </w:p>
    <w:p>
      <w:pPr>
        <w:tabs>
          <w:tab w:val="left" w:pos="1134"/>
        </w:tabs>
        <w:adjustRightInd w:val="0"/>
        <w:snapToGrid w:val="0"/>
        <w:spacing w:line="400" w:lineRule="exact"/>
        <w:ind w:firstLine="420" w:firstLineChars="200"/>
        <w:rPr>
          <w:rFonts w:hint="eastAsia"/>
        </w:rPr>
      </w:pPr>
      <w:r>
        <w:rPr>
          <w:rFonts w:hint="eastAsia"/>
        </w:rPr>
        <w:t>5.3未按招标公告规定的时间和方式获取并下载招标文件的投标，招标人将不予受理。</w:t>
      </w:r>
      <w:bookmarkStart w:id="53" w:name="_MON_1697628392"/>
      <w:bookmarkEnd w:id="53"/>
    </w:p>
    <w:p>
      <w:pPr>
        <w:adjustRightInd w:val="0"/>
        <w:snapToGrid w:val="0"/>
        <w:spacing w:beforeLines="100" w:afterLines="50" w:line="400" w:lineRule="exact"/>
        <w:outlineLvl w:val="1"/>
        <w:rPr>
          <w:rFonts w:ascii="黑体" w:eastAsia="黑体"/>
          <w:b/>
          <w:sz w:val="24"/>
        </w:rPr>
      </w:pPr>
      <w:r>
        <w:rPr>
          <w:rFonts w:hint="eastAsia" w:ascii="黑体" w:eastAsia="黑体"/>
          <w:b/>
          <w:sz w:val="24"/>
        </w:rPr>
        <w:t>6.</w:t>
      </w:r>
      <w:r>
        <w:rPr>
          <w:rFonts w:ascii="黑体" w:eastAsia="黑体"/>
          <w:b/>
          <w:sz w:val="24"/>
        </w:rPr>
        <w:t>发布公告的媒介</w:t>
      </w:r>
      <w:bookmarkEnd w:id="49"/>
      <w:bookmarkEnd w:id="50"/>
      <w:bookmarkEnd w:id="51"/>
      <w:bookmarkEnd w:id="52"/>
    </w:p>
    <w:p>
      <w:pPr>
        <w:pStyle w:val="12"/>
        <w:tabs>
          <w:tab w:val="left" w:pos="0"/>
        </w:tabs>
        <w:spacing w:line="400" w:lineRule="exact"/>
        <w:ind w:firstLine="420" w:firstLineChars="200"/>
        <w:jc w:val="both"/>
        <w:rPr>
          <w:kern w:val="2"/>
          <w:sz w:val="21"/>
          <w:lang w:val="en-US"/>
        </w:rPr>
      </w:pPr>
      <w:r>
        <w:rPr>
          <w:rFonts w:hint="eastAsia"/>
          <w:kern w:val="2"/>
          <w:sz w:val="21"/>
        </w:rPr>
        <w:t>本次招标公告在</w:t>
      </w:r>
      <w:r>
        <w:rPr>
          <w:rFonts w:hint="eastAsia"/>
          <w:kern w:val="2"/>
          <w:sz w:val="21"/>
          <w:lang w:eastAsia="zh-CN"/>
        </w:rPr>
        <w:t>电子商务平台-电工交易专区</w:t>
      </w:r>
      <w:r>
        <w:rPr>
          <w:rFonts w:hint="eastAsia"/>
          <w:kern w:val="2"/>
          <w:sz w:val="21"/>
          <w:lang w:val="en-US"/>
        </w:rPr>
        <w:t>（</w:t>
      </w:r>
      <w:r>
        <w:rPr>
          <w:rFonts w:hint="eastAsia"/>
          <w:kern w:val="2"/>
          <w:sz w:val="21"/>
        </w:rPr>
        <w:t>https://sgccetp.com.cn</w:t>
      </w:r>
      <w:r>
        <w:rPr>
          <w:rFonts w:hint="eastAsia"/>
          <w:kern w:val="2"/>
          <w:sz w:val="21"/>
          <w:lang w:val="en-US"/>
        </w:rPr>
        <w:t>）</w:t>
      </w:r>
      <w:r>
        <w:rPr>
          <w:rFonts w:hint="eastAsia"/>
          <w:kern w:val="2"/>
          <w:sz w:val="21"/>
          <w:lang w:val="en-US" w:eastAsia="zh-CN"/>
        </w:rPr>
        <w:t>和</w:t>
      </w:r>
      <w:r>
        <w:rPr>
          <w:rFonts w:hint="eastAsia"/>
          <w:kern w:val="2"/>
          <w:sz w:val="21"/>
        </w:rPr>
        <w:t>中国招标投标公共服务平台</w:t>
      </w:r>
      <w:r>
        <w:rPr>
          <w:rFonts w:hint="eastAsia"/>
          <w:kern w:val="2"/>
          <w:sz w:val="21"/>
          <w:lang w:val="en-US"/>
        </w:rPr>
        <w:t>（</w:t>
      </w:r>
      <w:bookmarkStart w:id="54" w:name="_Hlk511312026"/>
      <w:r>
        <w:rPr>
          <w:kern w:val="2"/>
          <w:sz w:val="21"/>
          <w:lang w:val="en-US"/>
        </w:rPr>
        <w:t>http://www.cebpubservice.com</w:t>
      </w:r>
      <w:bookmarkEnd w:id="54"/>
      <w:r>
        <w:rPr>
          <w:rFonts w:hint="eastAsia"/>
          <w:kern w:val="2"/>
          <w:sz w:val="21"/>
          <w:lang w:val="en-US"/>
        </w:rPr>
        <w:t>）</w:t>
      </w:r>
      <w:r>
        <w:rPr>
          <w:rFonts w:hint="eastAsia"/>
          <w:kern w:val="2"/>
          <w:sz w:val="21"/>
        </w:rPr>
        <w:t>上发布。</w:t>
      </w:r>
    </w:p>
    <w:p>
      <w:pPr>
        <w:adjustRightInd w:val="0"/>
        <w:snapToGrid w:val="0"/>
        <w:spacing w:beforeLines="100" w:afterLines="50" w:line="400" w:lineRule="exact"/>
        <w:outlineLvl w:val="1"/>
        <w:rPr>
          <w:rFonts w:ascii="黑体" w:eastAsia="黑体"/>
          <w:b/>
          <w:sz w:val="24"/>
        </w:rPr>
      </w:pPr>
      <w:bookmarkStart w:id="55" w:name="_bookmark8"/>
      <w:bookmarkEnd w:id="55"/>
      <w:bookmarkStart w:id="56" w:name="_Toc62551535"/>
      <w:bookmarkStart w:id="57" w:name="_Toc9290"/>
      <w:bookmarkStart w:id="58" w:name="_Toc23797"/>
      <w:bookmarkStart w:id="59" w:name="_Toc27414"/>
      <w:r>
        <w:rPr>
          <w:rFonts w:hint="eastAsia" w:ascii="黑体" w:eastAsia="黑体"/>
          <w:b/>
          <w:sz w:val="24"/>
        </w:rPr>
        <w:t>7.</w:t>
      </w:r>
      <w:r>
        <w:rPr>
          <w:rFonts w:ascii="黑体" w:eastAsia="黑体"/>
          <w:b/>
          <w:sz w:val="24"/>
        </w:rPr>
        <w:t>联系方式</w:t>
      </w:r>
      <w:bookmarkEnd w:id="56"/>
      <w:bookmarkEnd w:id="57"/>
      <w:bookmarkEnd w:id="58"/>
      <w:bookmarkEnd w:id="59"/>
    </w:p>
    <w:p>
      <w:pPr>
        <w:adjustRightInd w:val="0"/>
        <w:snapToGrid w:val="0"/>
        <w:spacing w:line="400" w:lineRule="exact"/>
        <w:ind w:firstLine="420" w:firstLineChars="200"/>
        <w:rPr>
          <w:rFonts w:hint="eastAsia" w:ascii="宋体" w:hAnsi="宋体" w:eastAsia="宋体"/>
          <w:highlight w:val="none"/>
          <w:lang w:eastAsia="zh-CN"/>
        </w:rPr>
      </w:pPr>
      <w:bookmarkStart w:id="60" w:name="_Toc26113"/>
      <w:bookmarkStart w:id="61" w:name="_Toc4180"/>
      <w:bookmarkStart w:id="62" w:name="_Toc62551536"/>
      <w:bookmarkStart w:id="63" w:name="_Toc26636"/>
      <w:r>
        <w:rPr>
          <w:rFonts w:hint="eastAsia" w:ascii="宋体" w:hAnsi="宋体"/>
          <w:highlight w:val="none"/>
          <w:lang w:val="en-US" w:eastAsia="zh-CN"/>
        </w:rPr>
        <w:t>招标</w:t>
      </w:r>
      <w:r>
        <w:rPr>
          <w:rFonts w:hint="eastAsia" w:ascii="宋体" w:hAnsi="宋体"/>
          <w:highlight w:val="none"/>
        </w:rPr>
        <w:t>人:</w:t>
      </w:r>
      <w:r>
        <w:rPr>
          <w:rFonts w:hint="eastAsia" w:ascii="宋体" w:hAnsi="宋体"/>
          <w:highlight w:val="none"/>
          <w:lang w:eastAsia="zh-CN"/>
        </w:rPr>
        <w:t>安徽皖电能源投资有限公司</w:t>
      </w:r>
    </w:p>
    <w:p>
      <w:pPr>
        <w:adjustRightInd w:val="0"/>
        <w:snapToGrid w:val="0"/>
        <w:spacing w:line="400" w:lineRule="exact"/>
        <w:ind w:firstLine="420" w:firstLineChars="200"/>
        <w:rPr>
          <w:rFonts w:hint="eastAsia" w:ascii="宋体" w:hAnsi="宋体"/>
          <w:highlight w:val="none"/>
        </w:rPr>
      </w:pPr>
      <w:r>
        <w:rPr>
          <w:rFonts w:hint="eastAsia" w:ascii="宋体" w:hAnsi="宋体"/>
          <w:highlight w:val="none"/>
        </w:rPr>
        <w:t>地址:</w:t>
      </w:r>
      <w:r>
        <w:rPr>
          <w:rFonts w:hint="eastAsia" w:ascii="宋体" w:hAnsi="宋体"/>
          <w:highlight w:val="none"/>
          <w:lang w:val="en-US" w:eastAsia="zh-CN"/>
        </w:rPr>
        <w:t xml:space="preserve"> 安徽省合肥市包河区芜湖路街道黄山路9号</w:t>
      </w:r>
    </w:p>
    <w:p>
      <w:pPr>
        <w:adjustRightInd w:val="0"/>
        <w:snapToGrid w:val="0"/>
        <w:spacing w:line="400" w:lineRule="exact"/>
        <w:ind w:firstLine="420" w:firstLineChars="200"/>
        <w:rPr>
          <w:rFonts w:hint="eastAsia" w:ascii="宋体" w:hAnsi="宋体"/>
          <w:highlight w:val="none"/>
        </w:rPr>
      </w:pPr>
      <w:r>
        <w:rPr>
          <w:rFonts w:hint="eastAsia" w:ascii="宋体" w:hAnsi="宋体"/>
          <w:highlight w:val="none"/>
        </w:rPr>
        <w:t>邮编：230041</w:t>
      </w:r>
    </w:p>
    <w:p>
      <w:pPr>
        <w:adjustRightInd w:val="0"/>
        <w:snapToGrid w:val="0"/>
        <w:spacing w:line="400" w:lineRule="exact"/>
        <w:ind w:firstLine="420" w:firstLineChars="200"/>
        <w:rPr>
          <w:rFonts w:hint="eastAsia" w:ascii="宋体" w:hAnsi="宋体"/>
          <w:highlight w:val="none"/>
        </w:rPr>
      </w:pPr>
      <w:r>
        <w:rPr>
          <w:rFonts w:hint="eastAsia" w:ascii="宋体" w:hAnsi="宋体"/>
          <w:highlight w:val="none"/>
          <w:lang w:val="en-US" w:eastAsia="zh-CN"/>
        </w:rPr>
        <w:t>招标</w:t>
      </w:r>
      <w:r>
        <w:rPr>
          <w:rFonts w:hint="eastAsia" w:ascii="宋体" w:hAnsi="宋体"/>
          <w:highlight w:val="none"/>
        </w:rPr>
        <w:t>代理机构：宣城南天电力规划设计院有限公司</w:t>
      </w:r>
    </w:p>
    <w:p>
      <w:pPr>
        <w:adjustRightInd w:val="0"/>
        <w:snapToGrid w:val="0"/>
        <w:spacing w:line="400" w:lineRule="exact"/>
        <w:ind w:firstLine="420" w:firstLineChars="200"/>
        <w:rPr>
          <w:rFonts w:hint="eastAsia" w:ascii="宋体" w:hAnsi="宋体"/>
          <w:highlight w:val="none"/>
        </w:rPr>
      </w:pPr>
      <w:r>
        <w:rPr>
          <w:rFonts w:hint="eastAsia" w:ascii="宋体" w:hAnsi="宋体"/>
          <w:highlight w:val="none"/>
        </w:rPr>
        <w:t>地址：安徽省宣城市宣城经济技术开发区</w:t>
      </w:r>
    </w:p>
    <w:p>
      <w:pPr>
        <w:adjustRightInd w:val="0"/>
        <w:snapToGrid w:val="0"/>
        <w:spacing w:line="400" w:lineRule="exact"/>
        <w:ind w:firstLine="420" w:firstLineChars="200"/>
        <w:rPr>
          <w:rFonts w:hint="eastAsia" w:ascii="宋体" w:hAnsi="宋体"/>
          <w:highlight w:val="none"/>
        </w:rPr>
      </w:pPr>
      <w:r>
        <w:rPr>
          <w:rFonts w:hint="eastAsia" w:ascii="宋体" w:hAnsi="宋体"/>
          <w:highlight w:val="none"/>
        </w:rPr>
        <w:t>邮编：242000</w:t>
      </w:r>
    </w:p>
    <w:p>
      <w:pPr>
        <w:adjustRightInd w:val="0"/>
        <w:snapToGrid w:val="0"/>
        <w:spacing w:line="400" w:lineRule="exact"/>
        <w:ind w:firstLine="420" w:firstLineChars="200"/>
        <w:rPr>
          <w:rFonts w:hint="eastAsia" w:ascii="宋体" w:hAnsi="宋体" w:eastAsia="宋体"/>
          <w:highlight w:val="none"/>
          <w:lang w:val="en-US" w:eastAsia="zh-CN"/>
        </w:rPr>
      </w:pPr>
      <w:r>
        <w:rPr>
          <w:rFonts w:hint="eastAsia" w:ascii="宋体" w:hAnsi="宋体"/>
          <w:highlight w:val="none"/>
        </w:rPr>
        <w:t>联系人电话：</w:t>
      </w:r>
      <w:r>
        <w:rPr>
          <w:rFonts w:hint="eastAsia" w:ascii="宋体" w:hAnsi="宋体"/>
          <w:highlight w:val="none"/>
          <w:lang w:val="en-US" w:eastAsia="zh-CN"/>
        </w:rPr>
        <w:t>付工 15156365171</w:t>
      </w:r>
    </w:p>
    <w:p>
      <w:pPr>
        <w:adjustRightInd w:val="0"/>
        <w:snapToGrid w:val="0"/>
        <w:spacing w:line="400" w:lineRule="exact"/>
        <w:ind w:firstLine="420" w:firstLineChars="200"/>
        <w:rPr>
          <w:rFonts w:hint="eastAsia" w:ascii="宋体" w:hAnsi="宋体"/>
          <w:i w:val="0"/>
          <w:iCs w:val="0"/>
          <w:color w:val="auto"/>
          <w:highlight w:val="none"/>
          <w:u w:val="none"/>
        </w:rPr>
      </w:pPr>
      <w:r>
        <w:rPr>
          <w:rFonts w:hint="eastAsia" w:ascii="宋体" w:hAnsi="宋体"/>
          <w:highlight w:val="none"/>
        </w:rPr>
        <w:t>电子邮件</w:t>
      </w:r>
      <w:r>
        <w:rPr>
          <w:rFonts w:hint="eastAsia" w:ascii="宋体" w:hAnsi="宋体"/>
          <w:i w:val="0"/>
          <w:iCs w:val="0"/>
          <w:color w:val="auto"/>
          <w:highlight w:val="none"/>
          <w:u w:val="none"/>
        </w:rPr>
        <w:t>：</w:t>
      </w:r>
      <w:r>
        <w:rPr>
          <w:rFonts w:hint="eastAsia" w:ascii="宋体" w:hAnsi="宋体"/>
          <w:i w:val="0"/>
          <w:iCs w:val="0"/>
          <w:color w:val="auto"/>
          <w:highlight w:val="none"/>
          <w:u w:val="none"/>
        </w:rPr>
        <w:fldChar w:fldCharType="begin"/>
      </w:r>
      <w:r>
        <w:rPr>
          <w:rFonts w:hint="eastAsia" w:ascii="宋体" w:hAnsi="宋体"/>
          <w:i w:val="0"/>
          <w:iCs w:val="0"/>
          <w:color w:val="auto"/>
          <w:highlight w:val="none"/>
          <w:u w:val="none"/>
        </w:rPr>
        <w:instrText xml:space="preserve"> HYPERLINK "mailto:ntwzcg@163.com" </w:instrText>
      </w:r>
      <w:r>
        <w:rPr>
          <w:rFonts w:hint="eastAsia" w:ascii="宋体" w:hAnsi="宋体"/>
          <w:i w:val="0"/>
          <w:iCs w:val="0"/>
          <w:color w:val="auto"/>
          <w:highlight w:val="none"/>
          <w:u w:val="none"/>
        </w:rPr>
        <w:fldChar w:fldCharType="separate"/>
      </w:r>
      <w:r>
        <w:rPr>
          <w:rStyle w:val="10"/>
          <w:rFonts w:hint="eastAsia" w:ascii="宋体" w:hAnsi="宋体"/>
          <w:i w:val="0"/>
          <w:iCs w:val="0"/>
          <w:color w:val="auto"/>
          <w:highlight w:val="none"/>
          <w:u w:val="none"/>
        </w:rPr>
        <w:t>ntwzcg@163.com</w:t>
      </w:r>
      <w:r>
        <w:rPr>
          <w:rFonts w:hint="eastAsia" w:ascii="宋体" w:hAnsi="宋体"/>
          <w:i w:val="0"/>
          <w:iCs w:val="0"/>
          <w:color w:val="auto"/>
          <w:highlight w:val="none"/>
          <w:u w:val="none"/>
        </w:rPr>
        <w:fldChar w:fldCharType="end"/>
      </w:r>
    </w:p>
    <w:p>
      <w:pPr>
        <w:adjustRightInd w:val="0"/>
        <w:snapToGrid w:val="0"/>
        <w:spacing w:line="400" w:lineRule="exact"/>
        <w:ind w:firstLine="420" w:firstLineChars="200"/>
        <w:rPr>
          <w:rFonts w:hint="eastAsia" w:ascii="宋体" w:hAnsi="宋体"/>
          <w:highlight w:val="none"/>
          <w:lang w:val="en-US" w:eastAsia="zh-CN"/>
        </w:rPr>
      </w:pPr>
      <w:r>
        <w:rPr>
          <w:rFonts w:hint="eastAsia" w:ascii="宋体" w:hAnsi="宋体"/>
          <w:highlight w:val="none"/>
          <w:lang w:val="en-US" w:eastAsia="zh-CN"/>
        </w:rPr>
        <w:t>评标地点：宣城南天招标中心评标场所</w:t>
      </w:r>
    </w:p>
    <w:p>
      <w:pPr>
        <w:tabs>
          <w:tab w:val="left" w:pos="1134"/>
        </w:tabs>
        <w:adjustRightInd w:val="0"/>
        <w:snapToGrid w:val="0"/>
        <w:spacing w:line="400" w:lineRule="exact"/>
        <w:ind w:firstLine="422" w:firstLineChars="200"/>
      </w:pPr>
      <w:r>
        <w:rPr>
          <w:rFonts w:hint="eastAsia"/>
          <w:b/>
          <w:lang w:eastAsia="zh-CN"/>
        </w:rPr>
        <w:t>电子商务平台-电工交易专区</w:t>
      </w:r>
      <w:r>
        <w:rPr>
          <w:rFonts w:hint="eastAsia"/>
          <w:b/>
          <w:lang w:val="en-US" w:eastAsia="zh-CN"/>
        </w:rPr>
        <w:t xml:space="preserve"> </w:t>
      </w:r>
      <w:r>
        <w:rPr>
          <w:rFonts w:hint="eastAsia"/>
          <w:b/>
        </w:rPr>
        <w:t>网址：</w:t>
      </w:r>
      <w:r>
        <w:rPr>
          <w:rFonts w:hint="eastAsia" w:ascii="宋体" w:hAnsi="宋体" w:eastAsia="宋体" w:cs="宋体"/>
          <w:sz w:val="21"/>
          <w:szCs w:val="21"/>
        </w:rPr>
        <w:t>(https://sgccetp.com.cn/portal/#/)</w:t>
      </w:r>
      <w:r>
        <w:rPr>
          <w:rFonts w:hint="eastAsia"/>
        </w:rPr>
        <w:t>（</w:t>
      </w:r>
      <w:r>
        <w:rPr>
          <w:rStyle w:val="10"/>
          <w:rFonts w:hint="eastAsia"/>
          <w:b/>
          <w:color w:val="auto"/>
          <w:szCs w:val="22"/>
        </w:rPr>
        <w:t>使用新手</w:t>
      </w:r>
      <w:r>
        <w:rPr>
          <w:rStyle w:val="10"/>
          <w:rFonts w:hint="eastAsia"/>
          <w:b/>
          <w:color w:val="auto"/>
        </w:rPr>
        <w:t>指引中提供的浏览器</w:t>
      </w:r>
      <w:r>
        <w:rPr>
          <w:rFonts w:hint="eastAsia"/>
        </w:rPr>
        <w:t>）</w:t>
      </w:r>
    </w:p>
    <w:p>
      <w:pPr>
        <w:adjustRightInd w:val="0"/>
        <w:snapToGrid w:val="0"/>
        <w:spacing w:beforeLines="100" w:afterLines="50" w:line="400" w:lineRule="exact"/>
        <w:outlineLvl w:val="1"/>
        <w:rPr>
          <w:rFonts w:ascii="黑体" w:eastAsia="黑体"/>
          <w:b/>
          <w:sz w:val="24"/>
        </w:rPr>
      </w:pPr>
      <w:r>
        <w:rPr>
          <w:rFonts w:hint="eastAsia" w:ascii="黑体" w:eastAsia="黑体"/>
          <w:b/>
          <w:sz w:val="24"/>
        </w:rPr>
        <w:t>8.合规声明</w:t>
      </w:r>
      <w:bookmarkEnd w:id="60"/>
      <w:bookmarkEnd w:id="61"/>
      <w:bookmarkEnd w:id="62"/>
      <w:bookmarkEnd w:id="63"/>
    </w:p>
    <w:p>
      <w:pPr>
        <w:pStyle w:val="12"/>
        <w:tabs>
          <w:tab w:val="left" w:pos="0"/>
        </w:tabs>
        <w:spacing w:line="400" w:lineRule="exact"/>
        <w:ind w:firstLine="420" w:firstLineChars="200"/>
        <w:jc w:val="both"/>
        <w:rPr>
          <w:kern w:val="2"/>
          <w:sz w:val="21"/>
        </w:rPr>
      </w:pPr>
      <w:r>
        <w:rPr>
          <w:rFonts w:hint="eastAsia"/>
          <w:kern w:val="2"/>
          <w:sz w:val="21"/>
        </w:rPr>
        <w:t>本招标文件（包括商务部分和技术部分）符合国家现行法律法规规定，若国家颁布新的法律法规或对现有法律法规进行修订，以新颁布或修订后</w:t>
      </w:r>
      <w:r>
        <w:rPr>
          <w:rFonts w:hint="eastAsia"/>
          <w:kern w:val="2"/>
          <w:sz w:val="21"/>
          <w:lang w:val="en-US"/>
        </w:rPr>
        <w:t>实施</w:t>
      </w:r>
      <w:r>
        <w:rPr>
          <w:rFonts w:hint="eastAsia"/>
          <w:kern w:val="2"/>
          <w:sz w:val="21"/>
        </w:rPr>
        <w:t>的法律法规规定为准。</w:t>
      </w:r>
    </w:p>
    <w:p>
      <w:pPr>
        <w:adjustRightInd w:val="0"/>
        <w:snapToGrid w:val="0"/>
        <w:spacing w:beforeLines="100" w:afterLines="50" w:line="400" w:lineRule="exact"/>
        <w:outlineLvl w:val="1"/>
        <w:rPr>
          <w:rFonts w:ascii="黑体" w:eastAsia="黑体"/>
          <w:b/>
          <w:sz w:val="24"/>
        </w:rPr>
      </w:pPr>
      <w:r>
        <w:rPr>
          <w:rFonts w:hint="eastAsia" w:ascii="黑体" w:eastAsia="黑体"/>
          <w:b/>
          <w:sz w:val="24"/>
        </w:rPr>
        <w:t>9.权利声明</w:t>
      </w:r>
    </w:p>
    <w:p>
      <w:pPr>
        <w:pStyle w:val="12"/>
        <w:tabs>
          <w:tab w:val="left" w:pos="0"/>
        </w:tabs>
        <w:spacing w:line="400" w:lineRule="exact"/>
        <w:ind w:firstLine="420" w:firstLineChars="200"/>
        <w:jc w:val="both"/>
        <w:rPr>
          <w:kern w:val="2"/>
          <w:sz w:val="21"/>
        </w:rPr>
      </w:pPr>
      <w:r>
        <w:rPr>
          <w:rFonts w:hint="eastAsia"/>
          <w:kern w:val="2"/>
          <w:sz w:val="21"/>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tabs>
          <w:tab w:val="left" w:pos="6491"/>
          <w:tab w:val="right" w:pos="8311"/>
        </w:tabs>
        <w:wordWrap w:val="0"/>
        <w:spacing w:line="400" w:lineRule="exact"/>
        <w:ind w:firstLine="420" w:firstLineChars="200"/>
        <w:jc w:val="left"/>
        <w:rPr>
          <w:rFonts w:hint="eastAsia"/>
          <w:lang w:eastAsia="zh-CN"/>
        </w:rPr>
      </w:pPr>
    </w:p>
    <w:p>
      <w:pPr>
        <w:tabs>
          <w:tab w:val="left" w:pos="6491"/>
          <w:tab w:val="right" w:pos="8311"/>
        </w:tabs>
        <w:wordWrap w:val="0"/>
        <w:spacing w:line="400" w:lineRule="exact"/>
        <w:ind w:firstLine="420" w:firstLineChars="200"/>
        <w:jc w:val="right"/>
        <w:rPr>
          <w:rFonts w:hint="eastAsia" w:cs="Arial"/>
        </w:rPr>
        <w:sectPr>
          <w:headerReference r:id="rId3" w:type="default"/>
          <w:footerReference r:id="rId4" w:type="default"/>
          <w:pgSz w:w="11906" w:h="16838"/>
          <w:pgMar w:top="1134" w:right="1800" w:bottom="1134" w:left="1800" w:header="851" w:footer="992" w:gutter="0"/>
          <w:cols w:space="720" w:num="1"/>
          <w:docGrid w:linePitch="312" w:charSpace="0"/>
        </w:sectPr>
      </w:pPr>
      <w:r>
        <w:rPr>
          <w:rFonts w:hint="eastAsia" w:ascii="宋体" w:hAnsi="宋体" w:eastAsia="宋体" w:cs="宋体"/>
          <w:sz w:val="21"/>
          <w:szCs w:val="21"/>
          <w:highlight w:val="none"/>
          <w:lang w:eastAsia="zh-CN"/>
        </w:rPr>
        <w:t>公告日期：</w:t>
      </w:r>
      <w:r>
        <w:rPr>
          <w:rFonts w:hint="eastAsia"/>
          <w:lang w:val="en-US" w:eastAsia="zh-CN"/>
        </w:rPr>
        <w:t>2023</w:t>
      </w:r>
      <w:r>
        <w:t>年</w:t>
      </w:r>
      <w:r>
        <w:rPr>
          <w:rFonts w:hint="eastAsia"/>
          <w:lang w:val="en-US" w:eastAsia="zh-CN"/>
        </w:rPr>
        <w:t>9</w:t>
      </w:r>
      <w:r>
        <w:t>月</w:t>
      </w:r>
      <w:r>
        <w:rPr>
          <w:rFonts w:hint="eastAsia"/>
          <w:lang w:val="en-US" w:eastAsia="zh-CN"/>
        </w:rPr>
        <w:t>1</w:t>
      </w:r>
      <w:r>
        <w:t>日</w:t>
      </w:r>
      <w:r>
        <w:rPr>
          <w:rFonts w:hint="eastAsia" w:cs="Arial"/>
        </w:rPr>
        <w:t xml:space="preserve"> </w:t>
      </w:r>
    </w:p>
    <w:p>
      <w:pPr>
        <w:pStyle w:val="12"/>
        <w:rPr>
          <w:rFonts w:hint="eastAsia" w:ascii="黑体" w:hAnsi="黑体" w:eastAsia="黑体" w:cs="黑体"/>
          <w:b/>
          <w:bCs/>
          <w:kern w:val="2"/>
          <w:sz w:val="24"/>
          <w:szCs w:val="24"/>
          <w:highlight w:val="none"/>
          <w:lang w:val="en-US" w:eastAsia="zh-CN"/>
        </w:rPr>
      </w:pPr>
      <w:r>
        <w:rPr>
          <w:rFonts w:hint="eastAsia" w:ascii="黑体" w:hAnsi="黑体" w:eastAsia="黑体" w:cs="黑体"/>
          <w:b/>
          <w:bCs/>
          <w:kern w:val="2"/>
          <w:sz w:val="24"/>
          <w:szCs w:val="24"/>
          <w:highlight w:val="none"/>
          <w:lang w:val="en-US"/>
        </w:rPr>
        <w:t>招标公告附件</w:t>
      </w:r>
      <w:r>
        <w:rPr>
          <w:rFonts w:hint="eastAsia" w:ascii="黑体" w:hAnsi="黑体" w:eastAsia="黑体" w:cs="黑体"/>
          <w:b/>
          <w:bCs/>
          <w:kern w:val="2"/>
          <w:sz w:val="24"/>
          <w:szCs w:val="24"/>
          <w:highlight w:val="none"/>
          <w:lang w:val="en-US" w:eastAsia="zh-CN"/>
        </w:rPr>
        <w:t>：</w:t>
      </w:r>
    </w:p>
    <w:tbl>
      <w:tblPr>
        <w:tblStyle w:val="11"/>
        <w:tblW w:w="14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34"/>
        <w:gridCol w:w="1857"/>
        <w:gridCol w:w="1190"/>
        <w:gridCol w:w="1269"/>
        <w:gridCol w:w="3506"/>
        <w:gridCol w:w="2333"/>
        <w:gridCol w:w="1935"/>
        <w:gridCol w:w="14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95"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序号</w:t>
            </w:r>
          </w:p>
        </w:tc>
        <w:tc>
          <w:tcPr>
            <w:tcW w:w="1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项目编号</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分标名称</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包号</w:t>
            </w:r>
          </w:p>
        </w:tc>
        <w:tc>
          <w:tcPr>
            <w:tcW w:w="3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项目名称</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kern w:val="0"/>
                <w:sz w:val="20"/>
                <w:szCs w:val="20"/>
                <w:u w:val="none"/>
                <w:lang w:val="en-US" w:eastAsia="zh-CN" w:bidi="ar"/>
              </w:rPr>
            </w:pPr>
            <w:r>
              <w:rPr>
                <w:rFonts w:hint="eastAsia" w:ascii="仿宋" w:hAnsi="仿宋" w:eastAsia="仿宋" w:cs="仿宋"/>
                <w:b/>
                <w:i w:val="0"/>
                <w:color w:val="000000"/>
                <w:kern w:val="0"/>
                <w:sz w:val="20"/>
                <w:szCs w:val="20"/>
                <w:u w:val="none"/>
                <w:lang w:val="en-US" w:eastAsia="zh-CN" w:bidi="ar"/>
              </w:rPr>
              <w:t>最高限价</w:t>
            </w:r>
            <w:r>
              <w:rPr>
                <w:rFonts w:hint="eastAsia" w:ascii="仿宋" w:hAnsi="仿宋" w:eastAsia="仿宋" w:cs="仿宋"/>
                <w:b/>
                <w:i w:val="0"/>
                <w:color w:val="000000"/>
                <w:kern w:val="0"/>
                <w:sz w:val="20"/>
                <w:szCs w:val="20"/>
                <w:u w:val="none"/>
                <w:lang w:val="en-US" w:eastAsia="zh-CN" w:bidi="ar"/>
              </w:rPr>
              <w:br w:type="textWrapping"/>
            </w:r>
            <w:r>
              <w:rPr>
                <w:rFonts w:hint="eastAsia" w:ascii="仿宋" w:hAnsi="仿宋" w:eastAsia="仿宋" w:cs="仿宋"/>
                <w:b/>
                <w:i w:val="0"/>
                <w:color w:val="000000"/>
                <w:kern w:val="0"/>
                <w:sz w:val="20"/>
                <w:szCs w:val="20"/>
                <w:u w:val="none"/>
                <w:lang w:val="en-US" w:eastAsia="zh-CN" w:bidi="ar"/>
              </w:rPr>
              <w:t>含税总价</w:t>
            </w:r>
          </w:p>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(万元)</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报价方式</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kern w:val="0"/>
                <w:sz w:val="20"/>
                <w:szCs w:val="20"/>
                <w:u w:val="none"/>
                <w:lang w:val="en-US" w:eastAsia="zh-CN" w:bidi="ar"/>
              </w:rPr>
            </w:pPr>
            <w:r>
              <w:rPr>
                <w:rFonts w:hint="eastAsia" w:ascii="仿宋" w:hAnsi="仿宋" w:eastAsia="仿宋" w:cs="仿宋"/>
                <w:b/>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15" w:hRule="atLeast"/>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XCNT2023-</w:t>
            </w:r>
            <w:r>
              <w:rPr>
                <w:rFonts w:hint="eastAsia" w:ascii="宋体" w:hAnsi="宋体" w:cs="宋体"/>
                <w:i w:val="0"/>
                <w:color w:val="000000"/>
                <w:kern w:val="0"/>
                <w:sz w:val="20"/>
                <w:szCs w:val="20"/>
                <w:u w:val="none"/>
                <w:lang w:val="en-US" w:eastAsia="zh-CN" w:bidi="ar"/>
              </w:rPr>
              <w:t>623</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包1</w:t>
            </w:r>
          </w:p>
        </w:tc>
        <w:tc>
          <w:tcPr>
            <w:tcW w:w="3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安徽皖电能源投资有限公司</w:t>
            </w:r>
            <w:r>
              <w:rPr>
                <w:rFonts w:hint="eastAsia" w:ascii="宋体" w:hAnsi="宋体" w:cs="宋体"/>
                <w:i w:val="0"/>
                <w:color w:val="000000"/>
                <w:kern w:val="0"/>
                <w:sz w:val="20"/>
                <w:szCs w:val="20"/>
                <w:u w:val="none"/>
                <w:lang w:val="en-US" w:eastAsia="zh-CN" w:bidi="ar"/>
              </w:rPr>
              <w:t>改革改制法律服务</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highlight w:val="yellow"/>
                <w:u w:val="none"/>
                <w:lang w:val="en-US" w:eastAsia="zh-CN" w:bidi="ar"/>
              </w:rPr>
              <w:t>180万元</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highlight w:val="yellow"/>
                <w:u w:val="none"/>
                <w:lang w:val="en-US" w:eastAsia="zh-CN" w:bidi="ar"/>
              </w:rPr>
              <w:t>总价</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tc>
      </w:tr>
    </w:tbl>
    <w:p>
      <w:bookmarkStart w:id="64" w:name="_GoBack"/>
      <w:bookmarkEnd w:id="64"/>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6979"/>
        <w:tab w:val="clear" w:pos="8306"/>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pPr>
                            <w:pStyle w:val="4"/>
                          </w:pPr>
                          <w:r>
                            <w:fldChar w:fldCharType="begin"/>
                          </w:r>
                          <w:r>
                            <w:instrText xml:space="preserve"> PAGE  \* MERGEFORMAT </w:instrText>
                          </w:r>
                          <w:r>
                            <w:fldChar w:fldCharType="separate"/>
                          </w:r>
                          <w:r>
                            <w:t>75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tbuXfQ&#10;AAAAAgEAAA8AAAAAAAAAAQAgAAAAIgAAAGRycy9kb3ducmV2LnhtbFBLAQIUABQAAAAIAIdO4kAI&#10;s7EPtgEAAFYDAAAOAAAAAAAAAAEAIAAAAB8BAABkcnMvZTJvRG9jLnhtbFBLBQYAAAAABgAGAFkB&#10;AABH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75</w:t>
                    </w:r>
                    <w:r>
                      <w:fldChar w:fldCharType="end"/>
                    </w:r>
                  </w:p>
                </w:txbxContent>
              </v:textbox>
            </v:shape>
          </w:pict>
        </mc:Fallback>
      </mc:AlternateContent>
    </w:r>
    <w:r>
      <w:tab/>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992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autoSpaceDE w:val="0"/>
      <w:autoSpaceDN w:val="0"/>
      <w:ind w:left="641" w:hanging="401"/>
      <w:jc w:val="left"/>
      <w:outlineLvl w:val="1"/>
    </w:pPr>
    <w:rPr>
      <w:rFonts w:ascii="Microsoft JhengHei" w:hAnsi="Microsoft JhengHei" w:eastAsia="Microsoft JhengHei"/>
      <w:b/>
      <w:bCs/>
      <w:kern w:val="0"/>
      <w:sz w:val="32"/>
      <w:szCs w:val="32"/>
      <w:lang w:val="zh-CN"/>
    </w:rPr>
  </w:style>
  <w:style w:type="character" w:default="1" w:styleId="9">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3">
    <w:name w:val="Body Text Indent"/>
    <w:basedOn w:val="1"/>
    <w:qFormat/>
    <w:uiPriority w:val="0"/>
    <w:pPr>
      <w:spacing w:after="120"/>
      <w:ind w:left="420"/>
    </w:pPr>
    <w:rPr>
      <w:sz w:val="22"/>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First Indent 2"/>
    <w:basedOn w:val="3"/>
    <w:next w:val="6"/>
    <w:qFormat/>
    <w:uiPriority w:val="0"/>
    <w:pPr>
      <w:ind w:firstLine="420"/>
    </w:pPr>
  </w:style>
  <w:style w:type="paragraph" w:customStyle="1" w:styleId="6">
    <w:name w:val="表格文字"/>
    <w:basedOn w:val="7"/>
    <w:next w:val="1"/>
    <w:qFormat/>
    <w:uiPriority w:val="0"/>
    <w:pPr>
      <w:ind w:firstLine="0" w:firstLineChars="0"/>
      <w:jc w:val="center"/>
    </w:pPr>
    <w:rPr>
      <w:szCs w:val="20"/>
    </w:rPr>
  </w:style>
  <w:style w:type="paragraph" w:styleId="7">
    <w:name w:val="List"/>
    <w:basedOn w:val="1"/>
    <w:qFormat/>
    <w:uiPriority w:val="0"/>
    <w:pPr>
      <w:ind w:left="200" w:hanging="200" w:hangingChars="200"/>
      <w:contextualSpacing/>
    </w:p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99"/>
    <w:rPr>
      <w:color w:val="0000FF"/>
      <w:u w:val="single"/>
    </w:rPr>
  </w:style>
  <w:style w:type="paragraph" w:customStyle="1" w:styleId="12">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小付付</dc:creator>
  <cp:lastModifiedBy>小付付</cp:lastModifiedBy>
  <dcterms:modified xsi:type="dcterms:W3CDTF">2023-09-01T07:58:26Z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