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2DD0">
      <w:pPr>
        <w:spacing w:line="360" w:lineRule="auto"/>
        <w:rPr>
          <w:rFonts w:ascii="宋体" w:hAnsi="宋体"/>
          <w:b/>
          <w:color w:val="auto"/>
          <w:sz w:val="30"/>
          <w:szCs w:val="30"/>
          <w:highlight w:val="none"/>
        </w:rPr>
      </w:pPr>
      <w:bookmarkStart w:id="205" w:name="_GoBack"/>
    </w:p>
    <w:p w14:paraId="3858EF25">
      <w:pPr>
        <w:spacing w:line="360" w:lineRule="auto"/>
        <w:ind w:firstLine="562" w:firstLineChars="200"/>
        <w:rPr>
          <w:rFonts w:ascii="宋体" w:hAnsi="宋体"/>
          <w:b/>
          <w:color w:val="auto"/>
          <w:sz w:val="28"/>
          <w:szCs w:val="28"/>
          <w:highlight w:val="none"/>
        </w:rPr>
      </w:pPr>
    </w:p>
    <w:p w14:paraId="366E222F">
      <w:pPr>
        <w:spacing w:line="360" w:lineRule="auto"/>
        <w:jc w:val="center"/>
        <w:rPr>
          <w:rFonts w:hint="eastAsia" w:ascii="宋体" w:hAnsi="宋体" w:eastAsia="宋体"/>
          <w:b/>
          <w:color w:val="auto"/>
          <w:sz w:val="44"/>
          <w:szCs w:val="44"/>
          <w:highlight w:val="none"/>
          <w:lang w:val="en-US" w:eastAsia="zh-CN"/>
        </w:rPr>
      </w:pPr>
      <w:bookmarkStart w:id="0" w:name="_Toc72915087"/>
      <w:r>
        <w:rPr>
          <w:rFonts w:hint="eastAsia" w:ascii="宋体" w:hAnsi="宋体"/>
          <w:b/>
          <w:color w:val="auto"/>
          <w:sz w:val="44"/>
          <w:szCs w:val="44"/>
          <w:highlight w:val="none"/>
          <w:lang w:eastAsia="zh-CN"/>
        </w:rPr>
        <w:t>延吉市依兰河“还河于河”项目勘察设计</w:t>
      </w:r>
    </w:p>
    <w:p w14:paraId="3C6CB27F">
      <w:pPr>
        <w:spacing w:line="360" w:lineRule="auto"/>
        <w:jc w:val="both"/>
        <w:rPr>
          <w:rFonts w:ascii="宋体" w:hAnsi="宋体"/>
          <w:b/>
          <w:color w:val="auto"/>
          <w:sz w:val="40"/>
          <w:szCs w:val="40"/>
          <w:highlight w:val="none"/>
        </w:rPr>
      </w:pPr>
    </w:p>
    <w:p w14:paraId="2A1D674C">
      <w:pPr>
        <w:pStyle w:val="4"/>
        <w:rPr>
          <w:color w:val="auto"/>
          <w:sz w:val="28"/>
          <w:szCs w:val="28"/>
          <w:highlight w:val="none"/>
        </w:rPr>
      </w:pPr>
    </w:p>
    <w:p w14:paraId="7AF68A9D">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5B85048">
      <w:pPr>
        <w:spacing w:line="360" w:lineRule="auto"/>
        <w:jc w:val="center"/>
        <w:rPr>
          <w:rFonts w:hint="eastAsia" w:ascii="宋体" w:hAnsi="宋体" w:eastAsia="宋体"/>
          <w:b/>
          <w:bCs w:val="0"/>
          <w:color w:val="auto"/>
          <w:sz w:val="32"/>
          <w:szCs w:val="32"/>
          <w:highlight w:val="none"/>
          <w:lang w:eastAsia="zh-CN"/>
        </w:rPr>
      </w:pPr>
      <w:r>
        <w:rPr>
          <w:rFonts w:hint="eastAsia" w:ascii="宋体" w:hAnsi="宋体"/>
          <w:b/>
          <w:bCs w:val="0"/>
          <w:color w:val="auto"/>
          <w:sz w:val="32"/>
          <w:szCs w:val="32"/>
          <w:highlight w:val="none"/>
        </w:rPr>
        <w:t>项目编号：</w:t>
      </w:r>
      <w:r>
        <w:rPr>
          <w:rFonts w:hint="eastAsia" w:ascii="宋体" w:hAnsi="宋体"/>
          <w:b/>
          <w:bCs w:val="0"/>
          <w:color w:val="auto"/>
          <w:sz w:val="32"/>
          <w:szCs w:val="32"/>
          <w:highlight w:val="none"/>
          <w:lang w:eastAsia="zh-CN"/>
        </w:rPr>
        <w:t>采购计划-[2025]-00174号-JLZC--25010</w:t>
      </w:r>
    </w:p>
    <w:p w14:paraId="1058E347">
      <w:pPr>
        <w:spacing w:line="360" w:lineRule="auto"/>
        <w:ind w:firstLine="602" w:firstLineChars="200"/>
        <w:rPr>
          <w:rFonts w:ascii="宋体" w:hAnsi="宋体"/>
          <w:b/>
          <w:color w:val="auto"/>
          <w:sz w:val="30"/>
          <w:szCs w:val="30"/>
          <w:highlight w:val="none"/>
        </w:rPr>
      </w:pPr>
    </w:p>
    <w:p w14:paraId="4D03B2AF">
      <w:pPr>
        <w:pStyle w:val="4"/>
        <w:rPr>
          <w:color w:val="auto"/>
          <w:highlight w:val="none"/>
        </w:rPr>
      </w:pPr>
    </w:p>
    <w:p w14:paraId="3B9E1C65">
      <w:pPr>
        <w:pStyle w:val="40"/>
        <w:rPr>
          <w:rFonts w:hAnsi="宋体"/>
          <w:color w:val="auto"/>
          <w:sz w:val="30"/>
          <w:szCs w:val="30"/>
          <w:highlight w:val="none"/>
        </w:rPr>
      </w:pPr>
    </w:p>
    <w:p w14:paraId="7155A9B8">
      <w:pPr>
        <w:pStyle w:val="40"/>
        <w:rPr>
          <w:rFonts w:hAnsi="宋体"/>
          <w:color w:val="auto"/>
          <w:sz w:val="30"/>
          <w:szCs w:val="30"/>
          <w:highlight w:val="none"/>
        </w:rPr>
      </w:pPr>
    </w:p>
    <w:p w14:paraId="4B17A181">
      <w:pPr>
        <w:pStyle w:val="40"/>
        <w:rPr>
          <w:rFonts w:hAnsi="宋体"/>
          <w:color w:val="auto"/>
          <w:sz w:val="30"/>
          <w:szCs w:val="30"/>
          <w:highlight w:val="none"/>
        </w:rPr>
      </w:pPr>
    </w:p>
    <w:p w14:paraId="61973AA0">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延吉市水利局</w:t>
      </w:r>
      <w:r>
        <w:rPr>
          <w:rFonts w:hint="eastAsia" w:ascii="宋体" w:hAnsi="宋体" w:cs="宋体"/>
          <w:b/>
          <w:bCs/>
          <w:color w:val="auto"/>
          <w:sz w:val="32"/>
          <w:szCs w:val="32"/>
          <w:highlight w:val="none"/>
        </w:rPr>
        <w:t>（盖章）</w:t>
      </w:r>
    </w:p>
    <w:p w14:paraId="1A25F7A3">
      <w:pPr>
        <w:spacing w:before="120" w:beforeLines="50" w:after="120" w:afterLines="50" w:line="480" w:lineRule="auto"/>
        <w:ind w:firstLine="964" w:firstLineChars="3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吉林省中诚招标有限公司</w:t>
      </w:r>
      <w:r>
        <w:rPr>
          <w:rFonts w:hint="eastAsia" w:ascii="宋体" w:hAnsi="宋体" w:cs="宋体"/>
          <w:b/>
          <w:bCs/>
          <w:color w:val="auto"/>
          <w:sz w:val="32"/>
          <w:szCs w:val="32"/>
          <w:highlight w:val="none"/>
        </w:rPr>
        <w:t>（盖章）</w:t>
      </w:r>
    </w:p>
    <w:p w14:paraId="703728FD">
      <w:pPr>
        <w:jc w:val="center"/>
        <w:rPr>
          <w:rFonts w:ascii="黑体" w:hAnsi="宋体" w:eastAsia="黑体"/>
          <w:b/>
          <w:color w:val="auto"/>
          <w:sz w:val="32"/>
          <w:szCs w:val="32"/>
          <w:highlight w:val="none"/>
        </w:rPr>
      </w:pPr>
      <w:r>
        <w:rPr>
          <w:rFonts w:hint="eastAsia" w:ascii="宋体" w:hAnsi="宋体" w:cs="宋体"/>
          <w:b/>
          <w:bCs/>
          <w:color w:val="auto"/>
          <w:sz w:val="32"/>
          <w:szCs w:val="32"/>
          <w:highlight w:val="none"/>
          <w:lang w:val="en-US"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月</w:t>
      </w:r>
    </w:p>
    <w:p w14:paraId="3479F57D">
      <w:pPr>
        <w:spacing w:line="360" w:lineRule="auto"/>
        <w:jc w:val="center"/>
        <w:rPr>
          <w:rFonts w:ascii="黑体" w:hAnsi="宋体" w:eastAsia="黑体"/>
          <w:b/>
          <w:color w:val="auto"/>
          <w:sz w:val="44"/>
          <w:szCs w:val="44"/>
          <w:highlight w:val="none"/>
        </w:rPr>
      </w:pPr>
    </w:p>
    <w:p w14:paraId="6C6B03C2">
      <w:pPr>
        <w:spacing w:line="360" w:lineRule="auto"/>
        <w:jc w:val="center"/>
        <w:rPr>
          <w:rFonts w:ascii="黑体" w:hAnsi="宋体" w:eastAsia="黑体"/>
          <w:b/>
          <w:color w:val="auto"/>
          <w:sz w:val="44"/>
          <w:szCs w:val="44"/>
          <w:highlight w:val="none"/>
        </w:rPr>
      </w:pPr>
    </w:p>
    <w:p w14:paraId="56CAF096">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70A9DE79">
      <w:pPr>
        <w:pStyle w:val="35"/>
        <w:tabs>
          <w:tab w:val="right" w:leader="dot" w:pos="9070"/>
          <w:tab w:val="clear" w:pos="9000"/>
        </w:tabs>
        <w:rPr>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_Toc1434 </w:instrText>
      </w:r>
      <w:r>
        <w:rPr>
          <w:rFonts w:hint="eastAsia" w:ascii="宋体" w:hAnsi="宋体" w:cs="宋体"/>
          <w:color w:val="auto"/>
          <w:szCs w:val="32"/>
          <w:highlight w:val="none"/>
        </w:rPr>
        <w:fldChar w:fldCharType="separate"/>
      </w:r>
      <w:r>
        <w:rPr>
          <w:rFonts w:hint="eastAsia"/>
          <w:color w:val="auto"/>
          <w:highlight w:val="none"/>
        </w:rPr>
        <w:t xml:space="preserve">第一章 </w:t>
      </w:r>
      <w:r>
        <w:rPr>
          <w:rFonts w:hint="eastAsia" w:ascii="宋体" w:hAnsi="宋体" w:cs="宋体"/>
          <w:color w:val="auto"/>
          <w:highlight w:val="none"/>
          <w:lang w:eastAsia="zh-CN"/>
        </w:rPr>
        <w:t>竞争</w:t>
      </w:r>
      <w:r>
        <w:rPr>
          <w:rFonts w:hint="eastAsia" w:ascii="宋体" w:hAnsi="宋体" w:cs="宋体"/>
          <w:color w:val="auto"/>
          <w:highlight w:val="none"/>
        </w:rPr>
        <w:t>性磋商公告</w:t>
      </w:r>
      <w:r>
        <w:rPr>
          <w:color w:val="auto"/>
          <w:highlight w:val="none"/>
        </w:rPr>
        <w:tab/>
      </w:r>
      <w:r>
        <w:rPr>
          <w:color w:val="auto"/>
          <w:highlight w:val="none"/>
        </w:rPr>
        <w:fldChar w:fldCharType="begin"/>
      </w:r>
      <w:r>
        <w:rPr>
          <w:color w:val="auto"/>
          <w:highlight w:val="none"/>
        </w:rPr>
        <w:instrText xml:space="preserve"> PAGEREF _Toc1434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32"/>
          <w:highlight w:val="none"/>
        </w:rPr>
        <w:fldChar w:fldCharType="end"/>
      </w:r>
    </w:p>
    <w:p w14:paraId="42456296">
      <w:pPr>
        <w:pStyle w:val="35"/>
        <w:tabs>
          <w:tab w:val="right" w:leader="dot" w:pos="9070"/>
          <w:tab w:val="clear" w:pos="900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_Toc23280 </w:instrText>
      </w:r>
      <w:r>
        <w:rPr>
          <w:rFonts w:hint="eastAsia" w:ascii="宋体" w:hAnsi="宋体" w:cs="宋体"/>
          <w:color w:val="auto"/>
          <w:szCs w:val="32"/>
          <w:highlight w:val="none"/>
        </w:rPr>
        <w:fldChar w:fldCharType="separate"/>
      </w:r>
      <w:r>
        <w:rPr>
          <w:rFonts w:hint="eastAsia"/>
          <w:color w:val="auto"/>
          <w:highlight w:val="none"/>
        </w:rPr>
        <w:t xml:space="preserve">第二章  </w:t>
      </w:r>
      <w:r>
        <w:rPr>
          <w:rFonts w:hint="eastAsia"/>
          <w:color w:val="auto"/>
          <w:highlight w:val="none"/>
          <w:lang w:eastAsia="zh-CN"/>
        </w:rPr>
        <w:t>供应商须知</w:t>
      </w:r>
      <w:r>
        <w:rPr>
          <w:color w:val="auto"/>
          <w:highlight w:val="none"/>
        </w:rPr>
        <w:tab/>
      </w:r>
      <w:r>
        <w:rPr>
          <w:color w:val="auto"/>
          <w:highlight w:val="none"/>
        </w:rPr>
        <w:fldChar w:fldCharType="begin"/>
      </w:r>
      <w:r>
        <w:rPr>
          <w:color w:val="auto"/>
          <w:highlight w:val="none"/>
        </w:rPr>
        <w:instrText xml:space="preserve"> PAGEREF _Toc23280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32"/>
          <w:highlight w:val="none"/>
        </w:rPr>
        <w:fldChar w:fldCharType="end"/>
      </w:r>
    </w:p>
    <w:p w14:paraId="70D8F7D6">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_Toc26415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_Toc26415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32"/>
          <w:highlight w:val="none"/>
        </w:rPr>
        <w:fldChar w:fldCharType="end"/>
      </w:r>
    </w:p>
    <w:p w14:paraId="06D7D8E9">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_Toc22306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_Toc22306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32"/>
          <w:highlight w:val="none"/>
        </w:rPr>
        <w:fldChar w:fldCharType="end"/>
      </w:r>
    </w:p>
    <w:p w14:paraId="517BA851">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_Toc23781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_Toc23781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32"/>
          <w:highlight w:val="none"/>
        </w:rPr>
        <w:fldChar w:fldCharType="end"/>
      </w:r>
    </w:p>
    <w:p w14:paraId="2D7A5A1C">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_Toc20408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_Toc20408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1C0DDD37">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_Toc7198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_Toc7198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38F747E2">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_Toc29884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_Toc29884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227741AD">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_Toc27684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_Toc27684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EF29649">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_Toc4628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_Toc4628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2DCC9E79">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_Toc3072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_Toc3072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2"/>
          <w:highlight w:val="none"/>
        </w:rPr>
        <w:fldChar w:fldCharType="end"/>
      </w:r>
    </w:p>
    <w:p w14:paraId="2B667E25">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_Toc27251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_Toc27251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2"/>
          <w:highlight w:val="none"/>
        </w:rPr>
        <w:fldChar w:fldCharType="end"/>
      </w:r>
    </w:p>
    <w:p w14:paraId="1227392E">
      <w:pPr>
        <w:pStyle w:val="35"/>
        <w:tabs>
          <w:tab w:val="right" w:leader="dot" w:pos="9070"/>
          <w:tab w:val="clear" w:pos="900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_Toc31776 </w:instrText>
      </w:r>
      <w:r>
        <w:rPr>
          <w:rFonts w:hint="eastAsia" w:ascii="宋体" w:hAnsi="宋体" w:cs="宋体"/>
          <w:color w:val="auto"/>
          <w:szCs w:val="32"/>
          <w:highlight w:val="none"/>
        </w:rPr>
        <w:fldChar w:fldCharType="separate"/>
      </w:r>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竞争性磋商评审细则</w:t>
      </w:r>
      <w:r>
        <w:rPr>
          <w:color w:val="auto"/>
          <w:highlight w:val="none"/>
        </w:rPr>
        <w:tab/>
      </w:r>
      <w:r>
        <w:rPr>
          <w:color w:val="auto"/>
          <w:highlight w:val="none"/>
        </w:rPr>
        <w:fldChar w:fldCharType="begin"/>
      </w:r>
      <w:r>
        <w:rPr>
          <w:color w:val="auto"/>
          <w:highlight w:val="none"/>
        </w:rPr>
        <w:instrText xml:space="preserve"> PAGEREF _Toc31776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szCs w:val="32"/>
          <w:highlight w:val="none"/>
        </w:rPr>
        <w:fldChar w:fldCharType="end"/>
      </w:r>
    </w:p>
    <w:p w14:paraId="3A55B3FD">
      <w:pPr>
        <w:pStyle w:val="41"/>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_Toc19193 </w:instrText>
      </w:r>
      <w:r>
        <w:rPr>
          <w:rFonts w:hint="eastAsia" w:ascii="宋体" w:hAnsi="宋体" w:cs="宋体"/>
          <w:color w:val="auto"/>
          <w:szCs w:val="32"/>
          <w:highlight w:val="none"/>
        </w:rPr>
        <w:fldChar w:fldCharType="separate"/>
      </w:r>
      <w:r>
        <w:rPr>
          <w:rFonts w:hint="eastAsia" w:ascii="宋体" w:hAnsi="宋体" w:cs="Times New Roman"/>
          <w:color w:val="auto"/>
          <w:highlight w:val="none"/>
          <w:lang w:val="en-US" w:eastAsia="zh-CN"/>
        </w:rPr>
        <w:t>第一节 评审程序和评审方法</w:t>
      </w:r>
      <w:r>
        <w:rPr>
          <w:color w:val="auto"/>
          <w:highlight w:val="none"/>
        </w:rPr>
        <w:tab/>
      </w:r>
      <w:r>
        <w:rPr>
          <w:color w:val="auto"/>
          <w:highlight w:val="none"/>
        </w:rPr>
        <w:fldChar w:fldCharType="begin"/>
      </w:r>
      <w:r>
        <w:rPr>
          <w:color w:val="auto"/>
          <w:highlight w:val="none"/>
        </w:rPr>
        <w:instrText xml:space="preserve"> PAGEREF _Toc19193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32"/>
          <w:highlight w:val="none"/>
        </w:rPr>
        <w:fldChar w:fldCharType="end"/>
      </w:r>
    </w:p>
    <w:p w14:paraId="64644605">
      <w:pPr>
        <w:pStyle w:val="41"/>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_Toc29188 </w:instrText>
      </w:r>
      <w:r>
        <w:rPr>
          <w:rFonts w:hint="eastAsia" w:ascii="宋体" w:hAnsi="宋体" w:cs="宋体"/>
          <w:color w:val="auto"/>
          <w:szCs w:val="32"/>
          <w:highlight w:val="none"/>
        </w:rPr>
        <w:fldChar w:fldCharType="separate"/>
      </w:r>
      <w:r>
        <w:rPr>
          <w:rFonts w:hint="eastAsia" w:ascii="宋体" w:hAnsi="宋体"/>
          <w:color w:val="auto"/>
          <w:highlight w:val="none"/>
        </w:rPr>
        <w:t>第二节 评标报告</w:t>
      </w:r>
      <w:r>
        <w:rPr>
          <w:color w:val="auto"/>
          <w:highlight w:val="none"/>
        </w:rPr>
        <w:tab/>
      </w:r>
      <w:r>
        <w:rPr>
          <w:color w:val="auto"/>
          <w:highlight w:val="none"/>
        </w:rPr>
        <w:fldChar w:fldCharType="begin"/>
      </w:r>
      <w:r>
        <w:rPr>
          <w:color w:val="auto"/>
          <w:highlight w:val="none"/>
        </w:rPr>
        <w:instrText xml:space="preserve"> PAGEREF _Toc29188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szCs w:val="32"/>
          <w:highlight w:val="none"/>
        </w:rPr>
        <w:fldChar w:fldCharType="end"/>
      </w:r>
    </w:p>
    <w:p w14:paraId="5A30440A">
      <w:pPr>
        <w:pStyle w:val="41"/>
        <w:tabs>
          <w:tab w:val="right" w:leader="dot" w:pos="9070"/>
        </w:tabs>
        <w:spacing w:line="24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_Toc9360 </w:instrText>
      </w:r>
      <w:r>
        <w:rPr>
          <w:rFonts w:hint="eastAsia" w:ascii="宋体" w:hAnsi="宋体" w:cs="宋体"/>
          <w:color w:val="auto"/>
          <w:szCs w:val="32"/>
          <w:highlight w:val="none"/>
        </w:rPr>
        <w:fldChar w:fldCharType="separate"/>
      </w:r>
      <w:r>
        <w:rPr>
          <w:rFonts w:hint="eastAsia" w:ascii="宋体" w:hAnsi="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_Toc9360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szCs w:val="32"/>
          <w:highlight w:val="none"/>
        </w:rPr>
        <w:fldChar w:fldCharType="end"/>
      </w:r>
    </w:p>
    <w:p w14:paraId="76E9716C">
      <w:pPr>
        <w:pStyle w:val="35"/>
        <w:tabs>
          <w:tab w:val="right" w:leader="dot" w:pos="9070"/>
          <w:tab w:val="clear" w:pos="900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_Toc11920 </w:instrText>
      </w:r>
      <w:r>
        <w:rPr>
          <w:rFonts w:hint="eastAsia" w:ascii="宋体" w:hAnsi="宋体" w:cs="宋体"/>
          <w:color w:val="auto"/>
          <w:szCs w:val="32"/>
          <w:highlight w:val="none"/>
        </w:rPr>
        <w:fldChar w:fldCharType="separate"/>
      </w:r>
      <w:r>
        <w:rPr>
          <w:rFonts w:hint="eastAsia"/>
          <w:color w:val="auto"/>
          <w:szCs w:val="32"/>
          <w:highlight w:val="none"/>
        </w:rPr>
        <w:t xml:space="preserve">第四章 </w:t>
      </w:r>
      <w:r>
        <w:rPr>
          <w:rFonts w:hint="eastAsia"/>
          <w:color w:val="auto"/>
          <w:szCs w:val="32"/>
          <w:highlight w:val="none"/>
          <w:lang w:eastAsia="zh-CN"/>
        </w:rPr>
        <w:t>合同条款及格式</w:t>
      </w:r>
      <w:r>
        <w:rPr>
          <w:color w:val="auto"/>
          <w:highlight w:val="none"/>
        </w:rPr>
        <w:tab/>
      </w:r>
      <w:r>
        <w:rPr>
          <w:color w:val="auto"/>
          <w:highlight w:val="none"/>
        </w:rPr>
        <w:fldChar w:fldCharType="begin"/>
      </w:r>
      <w:r>
        <w:rPr>
          <w:color w:val="auto"/>
          <w:highlight w:val="none"/>
        </w:rPr>
        <w:instrText xml:space="preserve"> PAGEREF _Toc11920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szCs w:val="32"/>
          <w:highlight w:val="none"/>
        </w:rPr>
        <w:fldChar w:fldCharType="end"/>
      </w:r>
    </w:p>
    <w:p w14:paraId="6DA52C15">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_Toc8594 </w:instrText>
      </w:r>
      <w:r>
        <w:rPr>
          <w:rFonts w:hint="eastAsia" w:ascii="宋体" w:hAnsi="宋体" w:cs="宋体"/>
          <w:color w:val="auto"/>
          <w:szCs w:val="32"/>
          <w:highlight w:val="none"/>
        </w:rPr>
        <w:fldChar w:fldCharType="separate"/>
      </w:r>
      <w:r>
        <w:rPr>
          <w:rFonts w:ascii="宋体" w:hAnsi="宋体"/>
          <w:color w:val="auto"/>
          <w:highlight w:val="none"/>
        </w:rPr>
        <w:t>第一节通用合同条款</w:t>
      </w:r>
      <w:r>
        <w:rPr>
          <w:color w:val="auto"/>
          <w:highlight w:val="none"/>
        </w:rPr>
        <w:tab/>
      </w:r>
      <w:r>
        <w:rPr>
          <w:color w:val="auto"/>
          <w:highlight w:val="none"/>
        </w:rPr>
        <w:fldChar w:fldCharType="begin"/>
      </w:r>
      <w:r>
        <w:rPr>
          <w:color w:val="auto"/>
          <w:highlight w:val="none"/>
        </w:rPr>
        <w:instrText xml:space="preserve"> PAGEREF _Toc8594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szCs w:val="32"/>
          <w:highlight w:val="none"/>
        </w:rPr>
        <w:fldChar w:fldCharType="end"/>
      </w:r>
    </w:p>
    <w:p w14:paraId="5FCB7B60">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_Toc29622 </w:instrText>
      </w:r>
      <w:r>
        <w:rPr>
          <w:rFonts w:hint="eastAsia" w:ascii="宋体" w:hAnsi="宋体" w:cs="宋体"/>
          <w:color w:val="auto"/>
          <w:szCs w:val="32"/>
          <w:highlight w:val="none"/>
        </w:rPr>
        <w:fldChar w:fldCharType="separate"/>
      </w:r>
      <w:r>
        <w:rPr>
          <w:rFonts w:hint="eastAsia" w:ascii="宋体" w:hAnsi="宋体"/>
          <w:color w:val="auto"/>
          <w:highlight w:val="none"/>
        </w:rPr>
        <w:t>第</w:t>
      </w:r>
      <w:r>
        <w:rPr>
          <w:rFonts w:ascii="宋体" w:hAnsi="宋体"/>
          <w:color w:val="auto"/>
          <w:highlight w:val="none"/>
        </w:rPr>
        <w:t>二节</w:t>
      </w:r>
      <w:r>
        <w:rPr>
          <w:rFonts w:hint="eastAsia" w:ascii="宋体" w:hAnsi="宋体"/>
          <w:color w:val="auto"/>
          <w:highlight w:val="none"/>
        </w:rPr>
        <w:t xml:space="preserve"> </w:t>
      </w:r>
      <w:r>
        <w:rPr>
          <w:rFonts w:ascii="宋体" w:hAnsi="宋体"/>
          <w:color w:val="auto"/>
          <w:highlight w:val="none"/>
        </w:rPr>
        <w:t>专用合同条款</w:t>
      </w:r>
      <w:r>
        <w:rPr>
          <w:color w:val="auto"/>
          <w:highlight w:val="none"/>
        </w:rPr>
        <w:tab/>
      </w:r>
      <w:r>
        <w:rPr>
          <w:color w:val="auto"/>
          <w:highlight w:val="none"/>
        </w:rPr>
        <w:fldChar w:fldCharType="begin"/>
      </w:r>
      <w:r>
        <w:rPr>
          <w:color w:val="auto"/>
          <w:highlight w:val="none"/>
        </w:rPr>
        <w:instrText xml:space="preserve"> PAGEREF _Toc29622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cs="宋体"/>
          <w:color w:val="auto"/>
          <w:szCs w:val="32"/>
          <w:highlight w:val="none"/>
        </w:rPr>
        <w:fldChar w:fldCharType="end"/>
      </w:r>
    </w:p>
    <w:p w14:paraId="70BDDEDE">
      <w:pPr>
        <w:pStyle w:val="35"/>
        <w:tabs>
          <w:tab w:val="right" w:leader="dot" w:pos="9070"/>
          <w:tab w:val="clear" w:pos="900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_Toc8507 </w:instrText>
      </w:r>
      <w:r>
        <w:rPr>
          <w:rFonts w:hint="eastAsia" w:ascii="宋体" w:hAnsi="宋体" w:cs="宋体"/>
          <w:color w:val="auto"/>
          <w:szCs w:val="32"/>
          <w:highlight w:val="none"/>
        </w:rPr>
        <w:fldChar w:fldCharType="separate"/>
      </w:r>
      <w:r>
        <w:rPr>
          <w:rFonts w:hint="eastAsia"/>
          <w:color w:val="auto"/>
          <w:highlight w:val="none"/>
          <w:lang w:eastAsia="zh-CN"/>
        </w:rPr>
        <w:t>第五章 采购人要求</w:t>
      </w:r>
      <w:r>
        <w:rPr>
          <w:color w:val="auto"/>
          <w:highlight w:val="none"/>
        </w:rPr>
        <w:tab/>
      </w:r>
      <w:r>
        <w:rPr>
          <w:color w:val="auto"/>
          <w:highlight w:val="none"/>
        </w:rPr>
        <w:fldChar w:fldCharType="begin"/>
      </w:r>
      <w:r>
        <w:rPr>
          <w:color w:val="auto"/>
          <w:highlight w:val="none"/>
        </w:rPr>
        <w:instrText xml:space="preserve"> PAGEREF _Toc8507 \h </w:instrText>
      </w:r>
      <w:r>
        <w:rPr>
          <w:color w:val="auto"/>
          <w:highlight w:val="none"/>
        </w:rPr>
        <w:fldChar w:fldCharType="separate"/>
      </w:r>
      <w:r>
        <w:rPr>
          <w:color w:val="auto"/>
          <w:highlight w:val="none"/>
        </w:rPr>
        <w:t>93</w:t>
      </w:r>
      <w:r>
        <w:rPr>
          <w:color w:val="auto"/>
          <w:highlight w:val="none"/>
        </w:rPr>
        <w:fldChar w:fldCharType="end"/>
      </w:r>
      <w:r>
        <w:rPr>
          <w:rFonts w:hint="eastAsia" w:ascii="宋体" w:hAnsi="宋体" w:cs="宋体"/>
          <w:color w:val="auto"/>
          <w:szCs w:val="32"/>
          <w:highlight w:val="none"/>
        </w:rPr>
        <w:fldChar w:fldCharType="end"/>
      </w:r>
    </w:p>
    <w:p w14:paraId="1D256C4D">
      <w:pPr>
        <w:pStyle w:val="35"/>
        <w:tabs>
          <w:tab w:val="right" w:leader="dot" w:pos="9070"/>
          <w:tab w:val="clear" w:pos="900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_Toc31886 </w:instrText>
      </w:r>
      <w:r>
        <w:rPr>
          <w:rFonts w:hint="eastAsia" w:ascii="宋体" w:hAnsi="宋体" w:cs="宋体"/>
          <w:color w:val="auto"/>
          <w:szCs w:val="32"/>
          <w:highlight w:val="none"/>
        </w:rPr>
        <w:fldChar w:fldCharType="separate"/>
      </w:r>
      <w:r>
        <w:rPr>
          <w:rFonts w:hint="eastAsia"/>
          <w:color w:val="auto"/>
          <w:highlight w:val="none"/>
        </w:rPr>
        <w:t>第六章 竞争性磋商响应文件格式</w:t>
      </w:r>
      <w:r>
        <w:rPr>
          <w:color w:val="auto"/>
          <w:highlight w:val="none"/>
        </w:rPr>
        <w:tab/>
      </w:r>
      <w:r>
        <w:rPr>
          <w:color w:val="auto"/>
          <w:highlight w:val="none"/>
        </w:rPr>
        <w:fldChar w:fldCharType="begin"/>
      </w:r>
      <w:r>
        <w:rPr>
          <w:color w:val="auto"/>
          <w:highlight w:val="none"/>
        </w:rPr>
        <w:instrText xml:space="preserve"> PAGEREF _Toc31886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cs="宋体"/>
          <w:color w:val="auto"/>
          <w:szCs w:val="32"/>
          <w:highlight w:val="none"/>
        </w:rPr>
        <w:fldChar w:fldCharType="end"/>
      </w:r>
    </w:p>
    <w:p w14:paraId="4E069D7A">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_Toc4070 </w:instrText>
      </w:r>
      <w:r>
        <w:rPr>
          <w:rFonts w:hint="eastAsia" w:ascii="宋体" w:hAnsi="宋体" w:cs="宋体"/>
          <w:color w:val="auto"/>
          <w:szCs w:val="32"/>
          <w:highlight w:val="none"/>
        </w:rPr>
        <w:fldChar w:fldCharType="separate"/>
      </w:r>
      <w:r>
        <w:rPr>
          <w:rFonts w:hint="eastAsia" w:ascii="宋体" w:hAnsi="宋体"/>
          <w:color w:val="auto"/>
          <w:szCs w:val="40"/>
          <w:highlight w:val="none"/>
        </w:rPr>
        <w:t>目  录</w:t>
      </w:r>
      <w:r>
        <w:rPr>
          <w:color w:val="auto"/>
          <w:highlight w:val="none"/>
        </w:rPr>
        <w:tab/>
      </w:r>
      <w:r>
        <w:rPr>
          <w:color w:val="auto"/>
          <w:highlight w:val="none"/>
        </w:rPr>
        <w:fldChar w:fldCharType="begin"/>
      </w:r>
      <w:r>
        <w:rPr>
          <w:color w:val="auto"/>
          <w:highlight w:val="none"/>
        </w:rPr>
        <w:instrText xml:space="preserve"> PAGEREF _Toc4070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cs="宋体"/>
          <w:color w:val="auto"/>
          <w:szCs w:val="32"/>
          <w:highlight w:val="none"/>
        </w:rPr>
        <w:fldChar w:fldCharType="end"/>
      </w:r>
    </w:p>
    <w:p w14:paraId="4EAF9BEB">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_Toc13081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 xml:space="preserve">一、 </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_Toc13081 \h </w:instrText>
      </w:r>
      <w:r>
        <w:rPr>
          <w:color w:val="auto"/>
          <w:highlight w:val="none"/>
        </w:rPr>
        <w:fldChar w:fldCharType="separate"/>
      </w:r>
      <w:r>
        <w:rPr>
          <w:color w:val="auto"/>
          <w:highlight w:val="none"/>
        </w:rPr>
        <w:t>98</w:t>
      </w:r>
      <w:r>
        <w:rPr>
          <w:color w:val="auto"/>
          <w:highlight w:val="none"/>
        </w:rPr>
        <w:fldChar w:fldCharType="end"/>
      </w:r>
      <w:r>
        <w:rPr>
          <w:rFonts w:hint="eastAsia" w:ascii="宋体" w:hAnsi="宋体" w:cs="宋体"/>
          <w:color w:val="auto"/>
          <w:szCs w:val="32"/>
          <w:highlight w:val="none"/>
        </w:rPr>
        <w:fldChar w:fldCharType="end"/>
      </w:r>
    </w:p>
    <w:p w14:paraId="573CE3CC">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_Toc2621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_Toc2621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cs="宋体"/>
          <w:color w:val="auto"/>
          <w:szCs w:val="32"/>
          <w:highlight w:val="none"/>
        </w:rPr>
        <w:fldChar w:fldCharType="end"/>
      </w:r>
    </w:p>
    <w:p w14:paraId="7E5AEF79">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_Toc31048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三、联合体协议书（如有）</w:t>
      </w:r>
      <w:r>
        <w:rPr>
          <w:color w:val="auto"/>
          <w:highlight w:val="none"/>
        </w:rPr>
        <w:tab/>
      </w:r>
      <w:r>
        <w:rPr>
          <w:color w:val="auto"/>
          <w:highlight w:val="none"/>
        </w:rPr>
        <w:fldChar w:fldCharType="begin"/>
      </w:r>
      <w:r>
        <w:rPr>
          <w:color w:val="auto"/>
          <w:highlight w:val="none"/>
        </w:rPr>
        <w:instrText xml:space="preserve"> PAGEREF _Toc31048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cs="宋体"/>
          <w:color w:val="auto"/>
          <w:szCs w:val="32"/>
          <w:highlight w:val="none"/>
        </w:rPr>
        <w:fldChar w:fldCharType="end"/>
      </w:r>
    </w:p>
    <w:p w14:paraId="10E68E05">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_Toc27317 </w:instrText>
      </w:r>
      <w:r>
        <w:rPr>
          <w:rFonts w:hint="eastAsia" w:ascii="宋体" w:hAnsi="宋体" w:cs="宋体"/>
          <w:color w:val="auto"/>
          <w:szCs w:val="32"/>
          <w:highlight w:val="none"/>
        </w:rPr>
        <w:fldChar w:fldCharType="separate"/>
      </w:r>
      <w:r>
        <w:rPr>
          <w:rFonts w:hint="eastAsia" w:ascii="宋体" w:hAnsi="宋体" w:cs="Times New Roman"/>
          <w:bCs w:val="0"/>
          <w:color w:val="auto"/>
          <w:kern w:val="2"/>
          <w:szCs w:val="32"/>
          <w:highlight w:val="none"/>
          <w:lang w:val="en-US" w:eastAsia="zh-CN" w:bidi="ar-SA"/>
        </w:rPr>
        <w:t>四</w:t>
      </w:r>
      <w:r>
        <w:rPr>
          <w:rFonts w:hint="eastAsia" w:ascii="宋体" w:hAnsi="宋体" w:eastAsia="宋体" w:cs="Times New Roman"/>
          <w:bCs w:val="0"/>
          <w:color w:val="auto"/>
          <w:kern w:val="2"/>
          <w:szCs w:val="32"/>
          <w:highlight w:val="none"/>
          <w:lang w:val="en-US" w:eastAsia="zh-CN" w:bidi="ar-SA"/>
        </w:rPr>
        <w:t>、磋商响应保证金</w:t>
      </w:r>
      <w:r>
        <w:rPr>
          <w:color w:val="auto"/>
          <w:highlight w:val="none"/>
        </w:rPr>
        <w:tab/>
      </w:r>
      <w:r>
        <w:rPr>
          <w:color w:val="auto"/>
          <w:highlight w:val="none"/>
        </w:rPr>
        <w:fldChar w:fldCharType="begin"/>
      </w:r>
      <w:r>
        <w:rPr>
          <w:color w:val="auto"/>
          <w:highlight w:val="none"/>
        </w:rPr>
        <w:instrText xml:space="preserve"> PAGEREF _Toc27317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cs="宋体"/>
          <w:color w:val="auto"/>
          <w:szCs w:val="32"/>
          <w:highlight w:val="none"/>
        </w:rPr>
        <w:fldChar w:fldCharType="end"/>
      </w:r>
    </w:p>
    <w:p w14:paraId="05C920B2">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_Toc18166 </w:instrText>
      </w:r>
      <w:r>
        <w:rPr>
          <w:rFonts w:hint="eastAsia" w:ascii="宋体" w:hAnsi="宋体" w:cs="宋体"/>
          <w:color w:val="auto"/>
          <w:szCs w:val="32"/>
          <w:highlight w:val="none"/>
        </w:rPr>
        <w:fldChar w:fldCharType="separate"/>
      </w:r>
      <w:r>
        <w:rPr>
          <w:rFonts w:hint="eastAsia" w:ascii="宋体" w:hAnsi="宋体" w:cs="Times New Roman"/>
          <w:bCs w:val="0"/>
          <w:color w:val="auto"/>
          <w:kern w:val="2"/>
          <w:szCs w:val="32"/>
          <w:highlight w:val="none"/>
          <w:lang w:val="en-US" w:eastAsia="zh-CN" w:bidi="ar-SA"/>
        </w:rPr>
        <w:t>五</w:t>
      </w:r>
      <w:r>
        <w:rPr>
          <w:rFonts w:hint="eastAsia" w:ascii="宋体" w:hAnsi="宋体" w:eastAsia="宋体" w:cs="Times New Roman"/>
          <w:bCs w:val="0"/>
          <w:color w:val="auto"/>
          <w:kern w:val="2"/>
          <w:szCs w:val="32"/>
          <w:highlight w:val="none"/>
          <w:lang w:val="en-US" w:eastAsia="zh-CN" w:bidi="ar-SA"/>
        </w:rPr>
        <w:t>、</w:t>
      </w:r>
      <w:r>
        <w:rPr>
          <w:rFonts w:hint="eastAsia" w:ascii="宋体" w:hAnsi="宋体" w:cs="Times New Roman"/>
          <w:bCs w:val="0"/>
          <w:color w:val="auto"/>
          <w:kern w:val="2"/>
          <w:szCs w:val="32"/>
          <w:highlight w:val="none"/>
          <w:lang w:val="en-US" w:eastAsia="zh-CN" w:bidi="ar-SA"/>
        </w:rPr>
        <w:t>磋商报价</w:t>
      </w:r>
      <w:r>
        <w:rPr>
          <w:color w:val="auto"/>
          <w:highlight w:val="none"/>
        </w:rPr>
        <w:tab/>
      </w:r>
      <w:r>
        <w:rPr>
          <w:color w:val="auto"/>
          <w:highlight w:val="none"/>
        </w:rPr>
        <w:fldChar w:fldCharType="begin"/>
      </w:r>
      <w:r>
        <w:rPr>
          <w:color w:val="auto"/>
          <w:highlight w:val="none"/>
        </w:rPr>
        <w:instrText xml:space="preserve"> PAGEREF _Toc18166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cs="宋体"/>
          <w:color w:val="auto"/>
          <w:szCs w:val="32"/>
          <w:highlight w:val="none"/>
        </w:rPr>
        <w:fldChar w:fldCharType="end"/>
      </w:r>
    </w:p>
    <w:p w14:paraId="58F1E920">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_Toc7178 </w:instrText>
      </w:r>
      <w:r>
        <w:rPr>
          <w:rFonts w:hint="eastAsia" w:ascii="宋体" w:hAnsi="宋体" w:cs="宋体"/>
          <w:color w:val="auto"/>
          <w:szCs w:val="32"/>
          <w:highlight w:val="none"/>
        </w:rPr>
        <w:fldChar w:fldCharType="separate"/>
      </w:r>
      <w:r>
        <w:rPr>
          <w:rFonts w:hint="eastAsia" w:ascii="宋体" w:hAnsi="宋体" w:cs="Times New Roman"/>
          <w:bCs w:val="0"/>
          <w:color w:val="auto"/>
          <w:kern w:val="2"/>
          <w:szCs w:val="32"/>
          <w:highlight w:val="none"/>
          <w:lang w:val="en-US" w:eastAsia="zh-CN" w:bidi="ar-SA"/>
        </w:rPr>
        <w:t>六、资格审查资料</w:t>
      </w:r>
      <w:r>
        <w:rPr>
          <w:color w:val="auto"/>
          <w:highlight w:val="none"/>
        </w:rPr>
        <w:tab/>
      </w:r>
      <w:r>
        <w:rPr>
          <w:color w:val="auto"/>
          <w:highlight w:val="none"/>
        </w:rPr>
        <w:fldChar w:fldCharType="begin"/>
      </w:r>
      <w:r>
        <w:rPr>
          <w:color w:val="auto"/>
          <w:highlight w:val="none"/>
        </w:rPr>
        <w:instrText xml:space="preserve"> PAGEREF _Toc7178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cs="宋体"/>
          <w:color w:val="auto"/>
          <w:szCs w:val="32"/>
          <w:highlight w:val="none"/>
        </w:rPr>
        <w:fldChar w:fldCharType="end"/>
      </w:r>
    </w:p>
    <w:p w14:paraId="331FB49D">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_Toc11512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七、勘察纲要、设计方案</w:t>
      </w:r>
      <w:r>
        <w:rPr>
          <w:color w:val="auto"/>
          <w:highlight w:val="none"/>
        </w:rPr>
        <w:tab/>
      </w:r>
      <w:r>
        <w:rPr>
          <w:color w:val="auto"/>
          <w:highlight w:val="none"/>
        </w:rPr>
        <w:fldChar w:fldCharType="begin"/>
      </w:r>
      <w:r>
        <w:rPr>
          <w:color w:val="auto"/>
          <w:highlight w:val="none"/>
        </w:rPr>
        <w:instrText xml:space="preserve"> PAGEREF _Toc11512 \h </w:instrText>
      </w:r>
      <w:r>
        <w:rPr>
          <w:color w:val="auto"/>
          <w:highlight w:val="none"/>
        </w:rPr>
        <w:fldChar w:fldCharType="separate"/>
      </w:r>
      <w:r>
        <w:rPr>
          <w:color w:val="auto"/>
          <w:highlight w:val="none"/>
        </w:rPr>
        <w:t>116</w:t>
      </w:r>
      <w:r>
        <w:rPr>
          <w:color w:val="auto"/>
          <w:highlight w:val="none"/>
        </w:rPr>
        <w:fldChar w:fldCharType="end"/>
      </w:r>
      <w:r>
        <w:rPr>
          <w:rFonts w:hint="eastAsia" w:ascii="宋体" w:hAnsi="宋体" w:cs="宋体"/>
          <w:color w:val="auto"/>
          <w:szCs w:val="32"/>
          <w:highlight w:val="none"/>
        </w:rPr>
        <w:fldChar w:fldCharType="end"/>
      </w:r>
    </w:p>
    <w:p w14:paraId="4CD87892">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_Toc8354 </w:instrText>
      </w:r>
      <w:r>
        <w:rPr>
          <w:rFonts w:hint="eastAsia" w:ascii="宋体" w:hAnsi="宋体" w:cs="宋体"/>
          <w:color w:val="auto"/>
          <w:szCs w:val="32"/>
          <w:highlight w:val="none"/>
        </w:rPr>
        <w:fldChar w:fldCharType="separate"/>
      </w:r>
      <w:r>
        <w:rPr>
          <w:rFonts w:hint="eastAsia" w:hAnsi="宋体" w:cs="Times New Roman"/>
          <w:color w:val="auto"/>
          <w:kern w:val="2"/>
          <w:szCs w:val="32"/>
          <w:highlight w:val="none"/>
          <w:lang w:val="en-US" w:eastAsia="zh-CN" w:bidi="ar-SA"/>
        </w:rPr>
        <w:t>八、</w:t>
      </w:r>
      <w:r>
        <w:rPr>
          <w:rFonts w:hint="eastAsia" w:ascii="宋体" w:hAnsi="宋体" w:eastAsia="宋体" w:cs="Times New Roman"/>
          <w:color w:val="auto"/>
          <w:kern w:val="2"/>
          <w:szCs w:val="32"/>
          <w:highlight w:val="none"/>
          <w:lang w:val="zh-CN" w:eastAsia="zh-CN" w:bidi="ar-SA"/>
        </w:rPr>
        <w:t>承诺书</w:t>
      </w:r>
      <w:r>
        <w:rPr>
          <w:color w:val="auto"/>
          <w:highlight w:val="none"/>
        </w:rPr>
        <w:tab/>
      </w:r>
      <w:r>
        <w:rPr>
          <w:color w:val="auto"/>
          <w:highlight w:val="none"/>
        </w:rPr>
        <w:fldChar w:fldCharType="begin"/>
      </w:r>
      <w:r>
        <w:rPr>
          <w:color w:val="auto"/>
          <w:highlight w:val="none"/>
        </w:rPr>
        <w:instrText xml:space="preserve"> PAGEREF _Toc8354 \h </w:instrText>
      </w:r>
      <w:r>
        <w:rPr>
          <w:color w:val="auto"/>
          <w:highlight w:val="none"/>
        </w:rPr>
        <w:fldChar w:fldCharType="separate"/>
      </w:r>
      <w:r>
        <w:rPr>
          <w:color w:val="auto"/>
          <w:highlight w:val="none"/>
        </w:rPr>
        <w:t>117</w:t>
      </w:r>
      <w:r>
        <w:rPr>
          <w:color w:val="auto"/>
          <w:highlight w:val="none"/>
        </w:rPr>
        <w:fldChar w:fldCharType="end"/>
      </w:r>
      <w:r>
        <w:rPr>
          <w:rFonts w:hint="eastAsia" w:ascii="宋体" w:hAnsi="宋体" w:cs="宋体"/>
          <w:color w:val="auto"/>
          <w:szCs w:val="32"/>
          <w:highlight w:val="none"/>
        </w:rPr>
        <w:fldChar w:fldCharType="end"/>
      </w:r>
    </w:p>
    <w:p w14:paraId="032D5775">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_Toc3443 </w:instrText>
      </w:r>
      <w:r>
        <w:rPr>
          <w:rFonts w:hint="eastAsia" w:ascii="宋体" w:hAnsi="宋体" w:cs="宋体"/>
          <w:color w:val="auto"/>
          <w:szCs w:val="32"/>
          <w:highlight w:val="none"/>
        </w:rPr>
        <w:fldChar w:fldCharType="separate"/>
      </w:r>
      <w:r>
        <w:rPr>
          <w:rFonts w:hint="eastAsia" w:ascii="宋体" w:hAnsi="宋体" w:cs="宋体"/>
          <w:bCs/>
          <w:color w:val="auto"/>
          <w:kern w:val="0"/>
          <w:szCs w:val="28"/>
          <w:highlight w:val="none"/>
        </w:rPr>
        <w:t>1、信誉承诺书</w:t>
      </w:r>
      <w:r>
        <w:rPr>
          <w:color w:val="auto"/>
          <w:highlight w:val="none"/>
        </w:rPr>
        <w:tab/>
      </w:r>
      <w:r>
        <w:rPr>
          <w:color w:val="auto"/>
          <w:highlight w:val="none"/>
        </w:rPr>
        <w:fldChar w:fldCharType="begin"/>
      </w:r>
      <w:r>
        <w:rPr>
          <w:color w:val="auto"/>
          <w:highlight w:val="none"/>
        </w:rPr>
        <w:instrText xml:space="preserve"> PAGEREF _Toc3443 \h </w:instrText>
      </w:r>
      <w:r>
        <w:rPr>
          <w:color w:val="auto"/>
          <w:highlight w:val="none"/>
        </w:rPr>
        <w:fldChar w:fldCharType="separate"/>
      </w:r>
      <w:r>
        <w:rPr>
          <w:color w:val="auto"/>
          <w:highlight w:val="none"/>
        </w:rPr>
        <w:t>117</w:t>
      </w:r>
      <w:r>
        <w:rPr>
          <w:color w:val="auto"/>
          <w:highlight w:val="none"/>
        </w:rPr>
        <w:fldChar w:fldCharType="end"/>
      </w:r>
      <w:r>
        <w:rPr>
          <w:rFonts w:hint="eastAsia" w:ascii="宋体" w:hAnsi="宋体" w:cs="宋体"/>
          <w:color w:val="auto"/>
          <w:szCs w:val="32"/>
          <w:highlight w:val="none"/>
        </w:rPr>
        <w:fldChar w:fldCharType="end"/>
      </w:r>
    </w:p>
    <w:p w14:paraId="7FE7B133">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_Toc32254 </w:instrText>
      </w:r>
      <w:r>
        <w:rPr>
          <w:rFonts w:hint="eastAsia" w:ascii="宋体" w:hAnsi="宋体" w:cs="宋体"/>
          <w:color w:val="auto"/>
          <w:szCs w:val="32"/>
          <w:highlight w:val="none"/>
        </w:rPr>
        <w:fldChar w:fldCharType="separate"/>
      </w:r>
      <w:r>
        <w:rPr>
          <w:rFonts w:hint="eastAsia" w:ascii="宋体" w:hAnsi="宋体" w:eastAsia="宋体" w:cs="宋体"/>
          <w:bCs/>
          <w:color w:val="auto"/>
          <w:kern w:val="0"/>
          <w:szCs w:val="28"/>
          <w:highlight w:val="none"/>
        </w:rPr>
        <w:t>2、不存在禁止投标情形承诺书</w:t>
      </w:r>
      <w:r>
        <w:rPr>
          <w:color w:val="auto"/>
          <w:highlight w:val="none"/>
        </w:rPr>
        <w:tab/>
      </w:r>
      <w:r>
        <w:rPr>
          <w:color w:val="auto"/>
          <w:highlight w:val="none"/>
        </w:rPr>
        <w:fldChar w:fldCharType="begin"/>
      </w:r>
      <w:r>
        <w:rPr>
          <w:color w:val="auto"/>
          <w:highlight w:val="none"/>
        </w:rPr>
        <w:instrText xml:space="preserve"> PAGEREF _Toc32254 \h </w:instrText>
      </w:r>
      <w:r>
        <w:rPr>
          <w:color w:val="auto"/>
          <w:highlight w:val="none"/>
        </w:rPr>
        <w:fldChar w:fldCharType="separate"/>
      </w:r>
      <w:r>
        <w:rPr>
          <w:color w:val="auto"/>
          <w:highlight w:val="none"/>
        </w:rPr>
        <w:t>118</w:t>
      </w:r>
      <w:r>
        <w:rPr>
          <w:color w:val="auto"/>
          <w:highlight w:val="none"/>
        </w:rPr>
        <w:fldChar w:fldCharType="end"/>
      </w:r>
      <w:r>
        <w:rPr>
          <w:rFonts w:hint="eastAsia" w:ascii="宋体" w:hAnsi="宋体" w:cs="宋体"/>
          <w:color w:val="auto"/>
          <w:szCs w:val="32"/>
          <w:highlight w:val="none"/>
        </w:rPr>
        <w:fldChar w:fldCharType="end"/>
      </w:r>
    </w:p>
    <w:p w14:paraId="2CD8927D">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_Toc7190 </w:instrText>
      </w:r>
      <w:r>
        <w:rPr>
          <w:rFonts w:hint="eastAsia" w:ascii="宋体" w:hAnsi="宋体" w:cs="宋体"/>
          <w:color w:val="auto"/>
          <w:szCs w:val="32"/>
          <w:highlight w:val="none"/>
        </w:rPr>
        <w:fldChar w:fldCharType="separate"/>
      </w:r>
      <w:r>
        <w:rPr>
          <w:rFonts w:hint="eastAsia" w:ascii="宋体" w:hAnsi="宋体" w:eastAsia="宋体" w:cs="宋体"/>
          <w:bCs/>
          <w:color w:val="auto"/>
          <w:kern w:val="0"/>
          <w:szCs w:val="28"/>
          <w:highlight w:val="none"/>
          <w:lang w:val="zh-CN"/>
        </w:rPr>
        <w:t>3、政府采购诚信承诺书</w:t>
      </w:r>
      <w:r>
        <w:rPr>
          <w:color w:val="auto"/>
          <w:highlight w:val="none"/>
        </w:rPr>
        <w:tab/>
      </w:r>
      <w:r>
        <w:rPr>
          <w:color w:val="auto"/>
          <w:highlight w:val="none"/>
        </w:rPr>
        <w:fldChar w:fldCharType="begin"/>
      </w:r>
      <w:r>
        <w:rPr>
          <w:color w:val="auto"/>
          <w:highlight w:val="none"/>
        </w:rPr>
        <w:instrText xml:space="preserve"> PAGEREF _Toc7190 \h </w:instrText>
      </w:r>
      <w:r>
        <w:rPr>
          <w:color w:val="auto"/>
          <w:highlight w:val="none"/>
        </w:rPr>
        <w:fldChar w:fldCharType="separate"/>
      </w:r>
      <w:r>
        <w:rPr>
          <w:color w:val="auto"/>
          <w:highlight w:val="none"/>
        </w:rPr>
        <w:t>119</w:t>
      </w:r>
      <w:r>
        <w:rPr>
          <w:color w:val="auto"/>
          <w:highlight w:val="none"/>
        </w:rPr>
        <w:fldChar w:fldCharType="end"/>
      </w:r>
      <w:r>
        <w:rPr>
          <w:rFonts w:hint="eastAsia" w:ascii="宋体" w:hAnsi="宋体" w:cs="宋体"/>
          <w:color w:val="auto"/>
          <w:szCs w:val="32"/>
          <w:highlight w:val="none"/>
        </w:rPr>
        <w:fldChar w:fldCharType="end"/>
      </w:r>
    </w:p>
    <w:p w14:paraId="5B94F7B5">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_Toc29848 </w:instrText>
      </w:r>
      <w:r>
        <w:rPr>
          <w:rFonts w:hint="eastAsia" w:ascii="宋体" w:hAnsi="宋体" w:cs="宋体"/>
          <w:color w:val="auto"/>
          <w:szCs w:val="32"/>
          <w:highlight w:val="none"/>
        </w:rPr>
        <w:fldChar w:fldCharType="separate"/>
      </w:r>
      <w:r>
        <w:rPr>
          <w:rFonts w:hint="eastAsia" w:ascii="宋体" w:hAnsi="宋体" w:eastAsia="宋体" w:cs="宋体"/>
          <w:bCs/>
          <w:color w:val="auto"/>
          <w:kern w:val="0"/>
          <w:szCs w:val="28"/>
          <w:highlight w:val="none"/>
          <w:lang w:val="en-US" w:eastAsia="zh-CN"/>
        </w:rPr>
        <w:t>4</w:t>
      </w:r>
      <w:r>
        <w:rPr>
          <w:rFonts w:hint="eastAsia" w:ascii="宋体" w:hAnsi="宋体" w:eastAsia="宋体" w:cs="宋体"/>
          <w:bCs/>
          <w:color w:val="auto"/>
          <w:kern w:val="0"/>
          <w:szCs w:val="28"/>
          <w:highlight w:val="none"/>
          <w:lang w:val="zh-CN"/>
        </w:rPr>
        <w:t>、无投资参股关系关联企业同时磋商的承诺书</w:t>
      </w:r>
      <w:r>
        <w:rPr>
          <w:color w:val="auto"/>
          <w:highlight w:val="none"/>
        </w:rPr>
        <w:tab/>
      </w:r>
      <w:r>
        <w:rPr>
          <w:color w:val="auto"/>
          <w:highlight w:val="none"/>
        </w:rPr>
        <w:fldChar w:fldCharType="begin"/>
      </w:r>
      <w:r>
        <w:rPr>
          <w:color w:val="auto"/>
          <w:highlight w:val="none"/>
        </w:rPr>
        <w:instrText xml:space="preserve"> PAGEREF _Toc29848 \h </w:instrText>
      </w:r>
      <w:r>
        <w:rPr>
          <w:color w:val="auto"/>
          <w:highlight w:val="none"/>
        </w:rPr>
        <w:fldChar w:fldCharType="separate"/>
      </w:r>
      <w:r>
        <w:rPr>
          <w:color w:val="auto"/>
          <w:highlight w:val="none"/>
        </w:rPr>
        <w:t>120</w:t>
      </w:r>
      <w:r>
        <w:rPr>
          <w:color w:val="auto"/>
          <w:highlight w:val="none"/>
        </w:rPr>
        <w:fldChar w:fldCharType="end"/>
      </w:r>
      <w:r>
        <w:rPr>
          <w:rFonts w:hint="eastAsia" w:ascii="宋体" w:hAnsi="宋体" w:cs="宋体"/>
          <w:color w:val="auto"/>
          <w:szCs w:val="32"/>
          <w:highlight w:val="none"/>
        </w:rPr>
        <w:fldChar w:fldCharType="end"/>
      </w:r>
    </w:p>
    <w:p w14:paraId="0364A8D3">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_Toc3303 </w:instrText>
      </w:r>
      <w:r>
        <w:rPr>
          <w:rFonts w:hint="eastAsia" w:ascii="宋体" w:hAnsi="宋体" w:cs="宋体"/>
          <w:color w:val="auto"/>
          <w:szCs w:val="32"/>
          <w:highlight w:val="none"/>
        </w:rPr>
        <w:fldChar w:fldCharType="separate"/>
      </w:r>
      <w:r>
        <w:rPr>
          <w:rFonts w:hint="eastAsia" w:ascii="宋体" w:hAnsi="宋体" w:eastAsia="宋体" w:cs="宋体"/>
          <w:bCs/>
          <w:color w:val="auto"/>
          <w:kern w:val="0"/>
          <w:szCs w:val="28"/>
          <w:highlight w:val="none"/>
          <w:lang w:val="en-US" w:eastAsia="zh-CN"/>
        </w:rPr>
        <w:t>5</w:t>
      </w:r>
      <w:r>
        <w:rPr>
          <w:rFonts w:hint="eastAsia" w:ascii="宋体" w:hAnsi="宋体" w:eastAsia="宋体" w:cs="宋体"/>
          <w:bCs/>
          <w:color w:val="auto"/>
          <w:kern w:val="0"/>
          <w:szCs w:val="28"/>
          <w:highlight w:val="none"/>
          <w:lang w:val="zh-CN"/>
        </w:rPr>
        <w:t>、</w:t>
      </w:r>
      <w:r>
        <w:rPr>
          <w:rFonts w:hint="eastAsia" w:ascii="宋体" w:hAnsi="宋体" w:eastAsia="宋体" w:cs="宋体"/>
          <w:bCs/>
          <w:color w:val="auto"/>
          <w:kern w:val="0"/>
          <w:szCs w:val="28"/>
          <w:highlight w:val="none"/>
          <w:lang w:val="zh-CN" w:eastAsia="zh-CN"/>
        </w:rPr>
        <w:t>售后服务及承诺</w:t>
      </w:r>
      <w:r>
        <w:rPr>
          <w:color w:val="auto"/>
          <w:highlight w:val="none"/>
        </w:rPr>
        <w:tab/>
      </w:r>
      <w:r>
        <w:rPr>
          <w:color w:val="auto"/>
          <w:highlight w:val="none"/>
        </w:rPr>
        <w:fldChar w:fldCharType="begin"/>
      </w:r>
      <w:r>
        <w:rPr>
          <w:color w:val="auto"/>
          <w:highlight w:val="none"/>
        </w:rPr>
        <w:instrText xml:space="preserve"> PAGEREF _Toc3303 \h </w:instrText>
      </w:r>
      <w:r>
        <w:rPr>
          <w:color w:val="auto"/>
          <w:highlight w:val="none"/>
        </w:rPr>
        <w:fldChar w:fldCharType="separate"/>
      </w:r>
      <w:r>
        <w:rPr>
          <w:color w:val="auto"/>
          <w:highlight w:val="none"/>
        </w:rPr>
        <w:t>121</w:t>
      </w:r>
      <w:r>
        <w:rPr>
          <w:color w:val="auto"/>
          <w:highlight w:val="none"/>
        </w:rPr>
        <w:fldChar w:fldCharType="end"/>
      </w:r>
      <w:r>
        <w:rPr>
          <w:rFonts w:hint="eastAsia" w:ascii="宋体" w:hAnsi="宋体" w:cs="宋体"/>
          <w:color w:val="auto"/>
          <w:szCs w:val="32"/>
          <w:highlight w:val="none"/>
        </w:rPr>
        <w:fldChar w:fldCharType="end"/>
      </w:r>
    </w:p>
    <w:p w14:paraId="22D76238">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_Toc28647 </w:instrText>
      </w:r>
      <w:r>
        <w:rPr>
          <w:rFonts w:hint="eastAsia" w:ascii="宋体" w:hAnsi="宋体" w:cs="宋体"/>
          <w:color w:val="auto"/>
          <w:szCs w:val="32"/>
          <w:highlight w:val="none"/>
        </w:rPr>
        <w:fldChar w:fldCharType="separate"/>
      </w:r>
      <w:r>
        <w:rPr>
          <w:rFonts w:hint="eastAsia" w:ascii="宋体" w:hAnsi="宋体" w:eastAsia="宋体" w:cs="宋体"/>
          <w:bCs/>
          <w:color w:val="auto"/>
          <w:kern w:val="0"/>
          <w:szCs w:val="28"/>
          <w:highlight w:val="none"/>
          <w:lang w:val="en-US" w:eastAsia="zh-CN"/>
        </w:rPr>
        <w:t>6</w:t>
      </w:r>
      <w:r>
        <w:rPr>
          <w:rFonts w:hint="eastAsia" w:ascii="宋体" w:hAnsi="宋体" w:eastAsia="宋体" w:cs="宋体"/>
          <w:bCs/>
          <w:color w:val="auto"/>
          <w:kern w:val="0"/>
          <w:szCs w:val="28"/>
          <w:highlight w:val="none"/>
          <w:lang w:val="zh-CN" w:eastAsia="zh-CN"/>
        </w:rPr>
        <w:t>、中小企业声明函（非中小企业无需填写）</w:t>
      </w:r>
      <w:r>
        <w:rPr>
          <w:color w:val="auto"/>
          <w:highlight w:val="none"/>
        </w:rPr>
        <w:tab/>
      </w:r>
      <w:r>
        <w:rPr>
          <w:color w:val="auto"/>
          <w:highlight w:val="none"/>
        </w:rPr>
        <w:fldChar w:fldCharType="begin"/>
      </w:r>
      <w:r>
        <w:rPr>
          <w:color w:val="auto"/>
          <w:highlight w:val="none"/>
        </w:rPr>
        <w:instrText xml:space="preserve"> PAGEREF _Toc28647 \h </w:instrText>
      </w:r>
      <w:r>
        <w:rPr>
          <w:color w:val="auto"/>
          <w:highlight w:val="none"/>
        </w:rPr>
        <w:fldChar w:fldCharType="separate"/>
      </w:r>
      <w:r>
        <w:rPr>
          <w:color w:val="auto"/>
          <w:highlight w:val="none"/>
        </w:rPr>
        <w:t>122</w:t>
      </w:r>
      <w:r>
        <w:rPr>
          <w:color w:val="auto"/>
          <w:highlight w:val="none"/>
        </w:rPr>
        <w:fldChar w:fldCharType="end"/>
      </w:r>
      <w:r>
        <w:rPr>
          <w:rFonts w:hint="eastAsia" w:ascii="宋体" w:hAnsi="宋体" w:cs="宋体"/>
          <w:color w:val="auto"/>
          <w:szCs w:val="32"/>
          <w:highlight w:val="none"/>
        </w:rPr>
        <w:fldChar w:fldCharType="end"/>
      </w:r>
    </w:p>
    <w:p w14:paraId="28A2901E">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_Toc20171 </w:instrText>
      </w:r>
      <w:r>
        <w:rPr>
          <w:rFonts w:hint="eastAsia" w:ascii="宋体" w:hAnsi="宋体" w:cs="宋体"/>
          <w:color w:val="auto"/>
          <w:szCs w:val="32"/>
          <w:highlight w:val="none"/>
        </w:rPr>
        <w:fldChar w:fldCharType="separate"/>
      </w:r>
      <w:r>
        <w:rPr>
          <w:rFonts w:hint="eastAsia" w:ascii="宋体" w:hAnsi="宋体" w:eastAsia="宋体" w:cs="宋体"/>
          <w:bCs/>
          <w:color w:val="auto"/>
          <w:kern w:val="0"/>
          <w:szCs w:val="28"/>
          <w:highlight w:val="none"/>
          <w:lang w:val="en-US" w:eastAsia="zh-CN"/>
        </w:rPr>
        <w:t>7、</w:t>
      </w:r>
      <w:r>
        <w:rPr>
          <w:rFonts w:hint="eastAsia" w:ascii="宋体" w:hAnsi="宋体" w:eastAsia="宋体" w:cs="宋体"/>
          <w:bCs/>
          <w:color w:val="auto"/>
          <w:kern w:val="0"/>
          <w:szCs w:val="28"/>
          <w:highlight w:val="none"/>
          <w:lang w:val="zh-CN" w:eastAsia="zh-CN"/>
        </w:rPr>
        <w:t>监狱企业提供（如有）</w:t>
      </w:r>
      <w:r>
        <w:rPr>
          <w:color w:val="auto"/>
          <w:highlight w:val="none"/>
        </w:rPr>
        <w:tab/>
      </w:r>
      <w:r>
        <w:rPr>
          <w:color w:val="auto"/>
          <w:highlight w:val="none"/>
        </w:rPr>
        <w:fldChar w:fldCharType="begin"/>
      </w:r>
      <w:r>
        <w:rPr>
          <w:color w:val="auto"/>
          <w:highlight w:val="none"/>
        </w:rPr>
        <w:instrText xml:space="preserve"> PAGEREF _Toc20171 \h </w:instrText>
      </w:r>
      <w:r>
        <w:rPr>
          <w:color w:val="auto"/>
          <w:highlight w:val="none"/>
        </w:rPr>
        <w:fldChar w:fldCharType="separate"/>
      </w:r>
      <w:r>
        <w:rPr>
          <w:color w:val="auto"/>
          <w:highlight w:val="none"/>
        </w:rPr>
        <w:t>123</w:t>
      </w:r>
      <w:r>
        <w:rPr>
          <w:color w:val="auto"/>
          <w:highlight w:val="none"/>
        </w:rPr>
        <w:fldChar w:fldCharType="end"/>
      </w:r>
      <w:r>
        <w:rPr>
          <w:rFonts w:hint="eastAsia" w:ascii="宋体" w:hAnsi="宋体" w:cs="宋体"/>
          <w:color w:val="auto"/>
          <w:szCs w:val="32"/>
          <w:highlight w:val="none"/>
        </w:rPr>
        <w:fldChar w:fldCharType="end"/>
      </w:r>
    </w:p>
    <w:p w14:paraId="2C8B86AA">
      <w:pPr>
        <w:pStyle w:val="26"/>
        <w:tabs>
          <w:tab w:val="right" w:leader="dot" w:pos="9070"/>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_Toc14182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九</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_Toc14182 \h </w:instrText>
      </w:r>
      <w:r>
        <w:rPr>
          <w:color w:val="auto"/>
          <w:highlight w:val="none"/>
        </w:rPr>
        <w:fldChar w:fldCharType="separate"/>
      </w:r>
      <w:r>
        <w:rPr>
          <w:color w:val="auto"/>
          <w:highlight w:val="none"/>
        </w:rPr>
        <w:t>124</w:t>
      </w:r>
      <w:r>
        <w:rPr>
          <w:color w:val="auto"/>
          <w:highlight w:val="none"/>
        </w:rPr>
        <w:fldChar w:fldCharType="end"/>
      </w:r>
      <w:r>
        <w:rPr>
          <w:rFonts w:hint="eastAsia" w:ascii="宋体" w:hAnsi="宋体" w:cs="宋体"/>
          <w:color w:val="auto"/>
          <w:szCs w:val="32"/>
          <w:highlight w:val="none"/>
        </w:rPr>
        <w:fldChar w:fldCharType="end"/>
      </w:r>
    </w:p>
    <w:p w14:paraId="7BFF683C">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left="0" w:leftChars="0" w:firstLine="0" w:firstLineChars="0"/>
        <w:textAlignment w:val="auto"/>
        <w:rPr>
          <w:rFonts w:hint="eastAsia" w:ascii="宋体" w:hAnsi="宋体" w:cs="宋体"/>
          <w:color w:val="auto"/>
          <w:kern w:val="0"/>
          <w:szCs w:val="18"/>
          <w:highlight w:val="none"/>
          <w:lang w:val="en-US" w:eastAsia="zh-CN"/>
        </w:rPr>
      </w:pPr>
      <w:r>
        <w:rPr>
          <w:rFonts w:hint="eastAsia" w:ascii="宋体" w:hAnsi="宋体" w:cs="宋体"/>
          <w:color w:val="auto"/>
          <w:szCs w:val="32"/>
          <w:highlight w:val="none"/>
        </w:rPr>
        <w:fldChar w:fldCharType="end"/>
      </w:r>
      <w:r>
        <w:rPr>
          <w:rFonts w:hint="eastAsia" w:ascii="宋体" w:hAnsi="宋体" w:cs="宋体"/>
          <w:color w:val="auto"/>
          <w:szCs w:val="32"/>
          <w:highlight w:val="none"/>
          <w:lang w:val="en-US" w:eastAsia="zh-CN"/>
        </w:rPr>
        <w:t xml:space="preserve">        </w:t>
      </w:r>
    </w:p>
    <w:p w14:paraId="1106F4F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rFonts w:hint="eastAsia" w:ascii="宋体" w:hAnsi="宋体" w:cs="宋体"/>
          <w:color w:val="auto"/>
          <w:kern w:val="0"/>
          <w:szCs w:val="18"/>
          <w:highlight w:val="none"/>
          <w:lang w:val="en-US" w:eastAsia="zh-CN"/>
        </w:rPr>
        <w:sectPr>
          <w:footerReference r:id="rId6" w:type="first"/>
          <w:headerReference r:id="rId3" w:type="default"/>
          <w:footerReference r:id="rId4" w:type="default"/>
          <w:footerReference r:id="rId5" w:type="even"/>
          <w:pgSz w:w="11906" w:h="16838"/>
          <w:pgMar w:top="1418" w:right="1418" w:bottom="1418" w:left="1418" w:header="851" w:footer="992" w:gutter="0"/>
          <w:pgNumType w:fmt="numberInDash"/>
          <w:cols w:space="720" w:num="1"/>
          <w:docGrid w:linePitch="312" w:charSpace="0"/>
        </w:sectPr>
      </w:pPr>
    </w:p>
    <w:p w14:paraId="04A225AD">
      <w:pPr>
        <w:pStyle w:val="3"/>
        <w:keepNext/>
        <w:keepLines/>
        <w:pageBreakBefore w:val="0"/>
        <w:widowControl w:val="0"/>
        <w:tabs>
          <w:tab w:val="center" w:pos="4535"/>
          <w:tab w:val="left" w:pos="6795"/>
        </w:tabs>
        <w:kinsoku/>
        <w:wordWrap/>
        <w:overflowPunct/>
        <w:topLinePunct w:val="0"/>
        <w:autoSpaceDE/>
        <w:autoSpaceDN/>
        <w:bidi w:val="0"/>
        <w:adjustRightInd/>
        <w:snapToGrid/>
        <w:jc w:val="center"/>
        <w:textAlignment w:val="auto"/>
        <w:rPr>
          <w:rFonts w:ascii="宋体" w:hAnsi="宋体" w:cs="宋体"/>
          <w:color w:val="auto"/>
          <w:highlight w:val="none"/>
        </w:rPr>
      </w:pPr>
      <w:bookmarkStart w:id="1" w:name="_Toc208999228"/>
      <w:bookmarkStart w:id="2" w:name="_Toc1434"/>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30747181">
      <w:pPr>
        <w:widowControl/>
        <w:rPr>
          <w:rFonts w:ascii="宋体" w:hAnsi="宋体" w:cs="宋体"/>
          <w:color w:val="auto"/>
          <w:kern w:val="0"/>
          <w:sz w:val="24"/>
          <w:highlight w:val="none"/>
        </w:rPr>
      </w:pPr>
    </w:p>
    <w:p w14:paraId="5B5932C2">
      <w:pPr>
        <w:widowControl/>
        <w:autoSpaceDE w:val="0"/>
        <w:autoSpaceDN w:val="0"/>
        <w:spacing w:line="360" w:lineRule="auto"/>
        <w:jc w:val="center"/>
        <w:textAlignment w:val="bottom"/>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延吉市依兰河“还河于河”项目勘察设计</w:t>
      </w:r>
    </w:p>
    <w:p w14:paraId="5DDFC613">
      <w:pPr>
        <w:widowControl/>
        <w:autoSpaceDE w:val="0"/>
        <w:autoSpaceDN w:val="0"/>
        <w:spacing w:line="360" w:lineRule="auto"/>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竞争性磋商公告</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二次</w:t>
      </w:r>
      <w:r>
        <w:rPr>
          <w:rFonts w:hint="eastAsia" w:ascii="宋体" w:hAnsi="宋体" w:cs="宋体"/>
          <w:b/>
          <w:bCs/>
          <w:color w:val="auto"/>
          <w:sz w:val="32"/>
          <w:szCs w:val="32"/>
          <w:highlight w:val="none"/>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5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E719C86">
            <w:pPr>
              <w:spacing w:line="360" w:lineRule="auto"/>
              <w:rPr>
                <w:rFonts w:ascii="宋体" w:hAnsi="宋体" w:cs="宋体"/>
                <w:color w:val="auto"/>
                <w:highlight w:val="none"/>
              </w:rPr>
            </w:pPr>
            <w:r>
              <w:rPr>
                <w:rFonts w:hint="eastAsia" w:ascii="宋体" w:hAnsi="宋体"/>
                <w:color w:val="auto"/>
                <w:highlight w:val="none"/>
              </w:rPr>
              <w:t>项目概况：</w:t>
            </w:r>
          </w:p>
          <w:p w14:paraId="7732097D">
            <w:pPr>
              <w:spacing w:line="360" w:lineRule="auto"/>
              <w:ind w:firstLine="420" w:firstLineChars="200"/>
              <w:rPr>
                <w:rFonts w:ascii="宋体" w:hAnsi="宋体"/>
                <w:color w:val="auto"/>
                <w:highlight w:val="none"/>
                <w:vertAlign w:val="baseline"/>
              </w:rPr>
            </w:pPr>
            <w:r>
              <w:rPr>
                <w:rFonts w:hint="eastAsia" w:ascii="宋体" w:hAnsi="宋体"/>
                <w:color w:val="auto"/>
                <w:highlight w:val="none"/>
                <w:u w:val="single"/>
                <w:lang w:eastAsia="zh-CN"/>
              </w:rPr>
              <w:t>延吉市依兰河“还河于河”项目勘察设计</w:t>
            </w:r>
            <w:r>
              <w:rPr>
                <w:rFonts w:hint="eastAsia" w:ascii="宋体" w:hAnsi="宋体"/>
                <w:color w:val="auto"/>
                <w:highlight w:val="none"/>
              </w:rPr>
              <w:t>采购项目的潜在供应商应在</w:t>
            </w:r>
            <w:r>
              <w:rPr>
                <w:rFonts w:hint="eastAsia" w:ascii="宋体" w:hAnsi="宋体" w:eastAsia="宋体" w:cs="宋体"/>
                <w:color w:val="auto"/>
                <w:kern w:val="2"/>
                <w:sz w:val="21"/>
                <w:szCs w:val="21"/>
                <w:highlight w:val="none"/>
                <w:u w:val="single"/>
              </w:rPr>
              <w:t>“政采云”平台（http:// www.zcygov.cn）</w:t>
            </w:r>
            <w:r>
              <w:rPr>
                <w:rFonts w:hint="eastAsia" w:ascii="宋体" w:hAnsi="宋体" w:eastAsia="宋体" w:cs="宋体"/>
                <w:color w:val="auto"/>
                <w:kern w:val="2"/>
                <w:sz w:val="21"/>
                <w:szCs w:val="21"/>
                <w:highlight w:val="none"/>
              </w:rPr>
              <w:t>获取</w:t>
            </w:r>
            <w:r>
              <w:rPr>
                <w:rFonts w:hint="eastAsia" w:ascii="宋体" w:hAnsi="宋体"/>
                <w:color w:val="auto"/>
                <w:highlight w:val="none"/>
                <w:lang w:val="en-US" w:eastAsia="zh-CN"/>
              </w:rPr>
              <w:t>竞争性磋商</w:t>
            </w:r>
            <w:r>
              <w:rPr>
                <w:rFonts w:hint="eastAsia" w:ascii="宋体" w:hAnsi="宋体"/>
                <w:color w:val="auto"/>
                <w:highlight w:val="none"/>
              </w:rPr>
              <w:t>文件，并于</w:t>
            </w:r>
            <w:r>
              <w:rPr>
                <w:rFonts w:hint="eastAsia" w:ascii="宋体" w:hAnsi="宋体"/>
                <w:color w:val="auto"/>
                <w:highlight w:val="none"/>
                <w:u w:val="single"/>
                <w:lang w:eastAsia="zh-CN"/>
              </w:rPr>
              <w:t>2025年8月26日上午09：30时</w:t>
            </w:r>
            <w:r>
              <w:rPr>
                <w:rFonts w:hint="eastAsia" w:ascii="宋体" w:hAnsi="宋体"/>
                <w:color w:val="auto"/>
                <w:highlight w:val="none"/>
                <w:u w:val="single"/>
              </w:rPr>
              <w:t>（北京时间）</w:t>
            </w:r>
            <w:r>
              <w:rPr>
                <w:rFonts w:hint="eastAsia" w:ascii="宋体" w:hAnsi="宋体"/>
                <w:color w:val="auto"/>
                <w:highlight w:val="none"/>
              </w:rPr>
              <w:t>前提交响应文件。</w:t>
            </w:r>
          </w:p>
        </w:tc>
      </w:tr>
    </w:tbl>
    <w:p w14:paraId="4ECBEB67">
      <w:pPr>
        <w:spacing w:line="360" w:lineRule="auto"/>
        <w:rPr>
          <w:rFonts w:ascii="宋体" w:hAnsi="宋体"/>
          <w:color w:val="auto"/>
          <w:highlight w:val="none"/>
        </w:rPr>
      </w:pPr>
    </w:p>
    <w:p w14:paraId="0F03506E">
      <w:pPr>
        <w:numPr>
          <w:ilvl w:val="0"/>
          <w:numId w:val="1"/>
        </w:numPr>
        <w:spacing w:line="360" w:lineRule="auto"/>
        <w:rPr>
          <w:rFonts w:hint="eastAsia" w:ascii="宋体" w:hAnsi="宋体"/>
          <w:color w:val="auto"/>
          <w:highlight w:val="none"/>
        </w:rPr>
      </w:pPr>
      <w:r>
        <w:rPr>
          <w:rFonts w:hint="eastAsia" w:ascii="宋体" w:hAnsi="宋体"/>
          <w:color w:val="auto"/>
          <w:highlight w:val="none"/>
        </w:rPr>
        <w:t>项目基本情况</w:t>
      </w:r>
    </w:p>
    <w:p w14:paraId="73DABB24">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color w:val="auto"/>
          <w:highlight w:val="none"/>
          <w:lang w:eastAsia="zh-CN"/>
        </w:rPr>
        <w:t>采购计划-[2025]-00174号-JLZC--25010</w:t>
      </w:r>
    </w:p>
    <w:p w14:paraId="7F77CD66">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cs="Times New Roman"/>
          <w:color w:val="auto"/>
          <w:highlight w:val="none"/>
          <w:lang w:val="en-US" w:eastAsia="zh-CN"/>
        </w:rPr>
        <w:t>延吉市依兰河“还河于河”项目勘察设计</w:t>
      </w:r>
    </w:p>
    <w:p w14:paraId="6F92A1A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采购方式：竞争性磋商</w:t>
      </w:r>
      <w:r>
        <w:rPr>
          <w:rFonts w:hint="eastAsia" w:ascii="宋体" w:hAnsi="宋体" w:eastAsia="宋体"/>
          <w:color w:val="auto"/>
          <w:highlight w:val="none"/>
          <w:lang w:val="en-US" w:eastAsia="zh-CN"/>
        </w:rPr>
        <w:t>；</w:t>
      </w:r>
    </w:p>
    <w:p w14:paraId="4B97F39B">
      <w:pPr>
        <w:spacing w:line="360" w:lineRule="auto"/>
        <w:ind w:firstLine="420" w:firstLineChars="200"/>
        <w:rPr>
          <w:rFonts w:hint="eastAsia" w:ascii="宋体" w:hAnsi="宋体" w:eastAsia="宋体"/>
          <w:color w:val="auto"/>
          <w:highlight w:val="none"/>
          <w:lang w:val="en-US" w:eastAsia="zh-CN"/>
        </w:rPr>
      </w:pPr>
      <w:r>
        <w:rPr>
          <w:rFonts w:hint="eastAsia" w:ascii="宋体" w:hAnsi="宋体" w:eastAsia="宋体"/>
          <w:color w:val="auto"/>
          <w:highlight w:val="none"/>
        </w:rPr>
        <w:t>预算金额：</w:t>
      </w:r>
      <w:r>
        <w:rPr>
          <w:rFonts w:hint="eastAsia" w:ascii="宋体" w:hAnsi="宋体"/>
          <w:color w:val="auto"/>
          <w:highlight w:val="none"/>
          <w:lang w:val="en-US" w:eastAsia="zh-CN"/>
        </w:rPr>
        <w:t>60万元</w:t>
      </w:r>
      <w:r>
        <w:rPr>
          <w:rFonts w:hint="eastAsia" w:ascii="宋体" w:hAnsi="宋体" w:eastAsia="宋体"/>
          <w:color w:val="auto"/>
          <w:highlight w:val="none"/>
          <w:lang w:val="en-US" w:eastAsia="zh-CN"/>
        </w:rPr>
        <w:t>；</w:t>
      </w:r>
    </w:p>
    <w:p w14:paraId="4981C56D">
      <w:pPr>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lang w:val="en-US" w:eastAsia="zh-CN"/>
        </w:rPr>
        <w:t>最高限价</w:t>
      </w:r>
      <w:r>
        <w:rPr>
          <w:rFonts w:hint="eastAsia" w:ascii="宋体" w:hAnsi="宋体" w:eastAsia="宋体"/>
          <w:color w:val="auto"/>
          <w:highlight w:val="none"/>
        </w:rPr>
        <w:t>：</w:t>
      </w:r>
      <w:r>
        <w:rPr>
          <w:rFonts w:hint="eastAsia" w:ascii="宋体" w:hAnsi="宋体" w:eastAsia="宋体" w:cs="Times New Roman"/>
          <w:color w:val="auto"/>
          <w:highlight w:val="none"/>
          <w:lang w:val="zh-CN" w:eastAsia="zh-CN"/>
        </w:rPr>
        <w:t>折扣</w:t>
      </w:r>
      <w:r>
        <w:rPr>
          <w:rFonts w:hint="eastAsia" w:ascii="宋体" w:hAnsi="宋体" w:eastAsia="宋体" w:cs="Times New Roman"/>
          <w:color w:val="auto"/>
          <w:highlight w:val="none"/>
          <w:lang w:val="en-US" w:eastAsia="zh-CN"/>
        </w:rPr>
        <w:t>系数</w:t>
      </w:r>
      <w:r>
        <w:rPr>
          <w:rFonts w:hint="eastAsia" w:ascii="宋体" w:hAnsi="宋体" w:eastAsia="宋体" w:cs="Times New Roman"/>
          <w:color w:val="auto"/>
          <w:highlight w:val="none"/>
          <w:lang w:val="zh-CN" w:eastAsia="zh-CN"/>
        </w:rPr>
        <w:t>1</w:t>
      </w:r>
      <w:r>
        <w:rPr>
          <w:rFonts w:hint="eastAsia" w:ascii="宋体" w:hAnsi="宋体" w:eastAsia="宋体"/>
          <w:color w:val="auto"/>
          <w:highlight w:val="none"/>
          <w:lang w:val="en-US" w:eastAsia="zh-CN"/>
        </w:rPr>
        <w:t>；</w:t>
      </w:r>
    </w:p>
    <w:p w14:paraId="0550D38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采购需求：</w:t>
      </w:r>
      <w:r>
        <w:rPr>
          <w:rFonts w:hint="eastAsia" w:ascii="宋体" w:hAnsi="宋体"/>
          <w:color w:val="auto"/>
          <w:highlight w:val="none"/>
          <w:lang w:val="en-US" w:eastAsia="zh-CN"/>
        </w:rPr>
        <w:t>主要对延吉市依兰河“还河于河”项目勘察设计进行招标，建设内容河道清淤疏浚总长度25749m。招标范围及内容为本项目勘察、设计，编制初步设计报告、招标设计、施工图设计以及工程施工期间现场设计服务。</w:t>
      </w:r>
      <w:r>
        <w:rPr>
          <w:rFonts w:hint="eastAsia" w:ascii="宋体" w:hAnsi="宋体" w:eastAsia="宋体"/>
          <w:color w:val="auto"/>
          <w:highlight w:val="none"/>
        </w:rPr>
        <w:t>（详见磋商文件第五章采购人要求）</w:t>
      </w:r>
      <w:r>
        <w:rPr>
          <w:rFonts w:hint="eastAsia" w:ascii="宋体" w:hAnsi="宋体" w:eastAsia="宋体"/>
          <w:color w:val="auto"/>
          <w:highlight w:val="none"/>
          <w:lang w:val="en-US" w:eastAsia="zh-CN"/>
        </w:rPr>
        <w:t>；</w:t>
      </w:r>
    </w:p>
    <w:p w14:paraId="5AE56B54">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合同履行期限：</w:t>
      </w:r>
      <w:r>
        <w:rPr>
          <w:rFonts w:hint="eastAsia" w:ascii="宋体" w:hAnsi="宋体"/>
          <w:color w:val="auto"/>
          <w:highlight w:val="none"/>
          <w:lang w:val="en-US" w:eastAsia="zh-CN"/>
        </w:rPr>
        <w:t>签订合同之日起至工程完工验收质保期满。</w:t>
      </w:r>
    </w:p>
    <w:p w14:paraId="0A2031F8">
      <w:pPr>
        <w:spacing w:line="360" w:lineRule="auto"/>
        <w:ind w:firstLine="420" w:firstLineChars="200"/>
        <w:rPr>
          <w:rFonts w:hint="eastAsia" w:ascii="宋体" w:hAnsi="宋体" w:cs="Times New Roman"/>
          <w:color w:val="auto"/>
          <w:highlight w:val="none"/>
        </w:rPr>
      </w:pPr>
      <w:r>
        <w:rPr>
          <w:rFonts w:hint="eastAsia" w:ascii="宋体" w:hAnsi="宋体" w:cs="Times New Roman"/>
          <w:color w:val="auto"/>
          <w:highlight w:val="none"/>
          <w:lang w:val="en-US" w:eastAsia="zh-CN"/>
        </w:rPr>
        <w:t>服务标准：</w:t>
      </w:r>
      <w:r>
        <w:rPr>
          <w:rFonts w:hint="eastAsia" w:ascii="宋体" w:hAnsi="宋体" w:cs="Times New Roman"/>
          <w:color w:val="auto"/>
          <w:highlight w:val="none"/>
          <w:lang w:eastAsia="zh-CN"/>
        </w:rPr>
        <w:t>符合国家现行相关行业规范标准、法规要求</w:t>
      </w:r>
      <w:r>
        <w:rPr>
          <w:rFonts w:hint="eastAsia" w:ascii="宋体" w:hAnsi="宋体" w:cs="Times New Roman"/>
          <w:color w:val="auto"/>
          <w:highlight w:val="none"/>
          <w:lang w:val="en-US" w:eastAsia="zh-CN"/>
        </w:rPr>
        <w:t>；</w:t>
      </w:r>
    </w:p>
    <w:p w14:paraId="4A917664">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本项目接受联合体</w:t>
      </w:r>
      <w:r>
        <w:rPr>
          <w:rFonts w:hint="eastAsia" w:ascii="宋体" w:hAnsi="宋体"/>
          <w:color w:val="auto"/>
          <w:highlight w:val="none"/>
        </w:rPr>
        <w:t>。</w:t>
      </w:r>
    </w:p>
    <w:p w14:paraId="28E45D11">
      <w:pPr>
        <w:spacing w:line="360" w:lineRule="auto"/>
        <w:rPr>
          <w:rFonts w:hint="eastAsia" w:ascii="宋体" w:hAnsi="宋体"/>
          <w:color w:val="auto"/>
          <w:highlight w:val="none"/>
        </w:rPr>
      </w:pPr>
      <w:r>
        <w:rPr>
          <w:rFonts w:hint="eastAsia" w:ascii="宋体" w:hAnsi="宋体"/>
          <w:color w:val="auto"/>
          <w:highlight w:val="none"/>
        </w:rPr>
        <w:t>二、</w:t>
      </w:r>
      <w:r>
        <w:rPr>
          <w:rFonts w:hint="eastAsia" w:ascii="宋体" w:hAnsi="宋体"/>
          <w:color w:val="auto"/>
          <w:highlight w:val="none"/>
          <w:lang w:val="en-US" w:eastAsia="zh-CN"/>
        </w:rPr>
        <w:t>供应商的资格条件</w:t>
      </w:r>
    </w:p>
    <w:p w14:paraId="70DB4826">
      <w:pPr>
        <w:spacing w:line="360" w:lineRule="auto"/>
        <w:ind w:firstLine="420" w:firstLineChars="200"/>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0A3FBA02">
      <w:pPr>
        <w:spacing w:line="360" w:lineRule="auto"/>
        <w:ind w:firstLine="420" w:firstLineChars="200"/>
        <w:rPr>
          <w:rFonts w:hint="eastAsia"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eastAsia="zh-CN"/>
        </w:rPr>
        <w:t>：</w:t>
      </w:r>
      <w:r>
        <w:rPr>
          <w:rFonts w:hint="eastAsia" w:ascii="宋体" w:hAnsi="宋体" w:eastAsia="宋体"/>
          <w:color w:val="auto"/>
          <w:highlight w:val="none"/>
          <w:lang w:val="en-US" w:eastAsia="zh-CN"/>
        </w:rPr>
        <w:t>本项目全部面向中小企业采购</w:t>
      </w:r>
      <w:r>
        <w:rPr>
          <w:rFonts w:hint="eastAsia" w:ascii="宋体" w:hAnsi="宋体" w:eastAsia="宋体"/>
          <w:color w:val="auto"/>
          <w:highlight w:val="none"/>
        </w:rPr>
        <w:t>。</w:t>
      </w:r>
    </w:p>
    <w:p w14:paraId="586A768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（1）《政府采购促进中小企业发展管理办法》(财库[2020]46号)；</w:t>
      </w:r>
    </w:p>
    <w:p w14:paraId="144F04D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（2）《关于政府采购支持监狱企业发展有关问题的通知》(财库[2014]68号)；</w:t>
      </w:r>
    </w:p>
    <w:p w14:paraId="6A6AEDDA">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（3）《关于促进残疾人就业政府采购政策的通知》(财库[2017]141号)。</w:t>
      </w:r>
    </w:p>
    <w:p w14:paraId="73D701AB">
      <w:pPr>
        <w:pStyle w:val="174"/>
        <w:spacing w:line="360" w:lineRule="auto"/>
        <w:ind w:left="426"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3.本项目的特定资格要求</w:t>
      </w:r>
      <w:r>
        <w:rPr>
          <w:rFonts w:hint="eastAsia" w:ascii="宋体" w:hAnsi="宋体" w:cs="Times New Roman"/>
          <w:color w:val="auto"/>
          <w:kern w:val="2"/>
          <w:sz w:val="21"/>
          <w:szCs w:val="21"/>
          <w:highlight w:val="none"/>
          <w:lang w:val="en-US" w:eastAsia="zh-CN" w:bidi="ar-SA"/>
        </w:rPr>
        <w:t>：</w:t>
      </w:r>
    </w:p>
    <w:p w14:paraId="0C59647D">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行政主管部门颁发的水利行业设计专业乙级（含乙级）及以上资质和工程勘察专业类岩土工程（勘察）乙级（含乙级）及以上资质的单位，并在人员、仪器设备方面具有相应的勘察设计能力；拟派出的项目负责人须具有水利工程相应资格证书，同时具有相关专业中级工程师及以上职称，相关设计人员配备齐全，满足项目需要及国家相关法律法规规定。</w:t>
      </w:r>
    </w:p>
    <w:p w14:paraId="145953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等服务的供应商，不得再参加本项目上述服务以外的其他采购活动。</w:t>
      </w:r>
    </w:p>
    <w:p w14:paraId="46AD80AB">
      <w:pPr>
        <w:spacing w:line="360" w:lineRule="auto"/>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84A910E">
      <w:pPr>
        <w:spacing w:line="360" w:lineRule="auto"/>
        <w:rPr>
          <w:rFonts w:ascii="宋体" w:hAnsi="宋体"/>
          <w:color w:val="auto"/>
          <w:highlight w:val="none"/>
        </w:rPr>
      </w:pPr>
      <w:r>
        <w:rPr>
          <w:rFonts w:hint="eastAsia" w:ascii="宋体" w:hAnsi="宋体"/>
          <w:color w:val="auto"/>
          <w:highlight w:val="none"/>
        </w:rPr>
        <w:t>三、获取</w:t>
      </w:r>
      <w:r>
        <w:rPr>
          <w:rFonts w:hint="eastAsia" w:ascii="宋体" w:hAnsi="宋体"/>
          <w:color w:val="auto"/>
          <w:highlight w:val="none"/>
          <w:lang w:val="en-US" w:eastAsia="zh-CN"/>
        </w:rPr>
        <w:t>竞争性磋商</w:t>
      </w:r>
      <w:r>
        <w:rPr>
          <w:rFonts w:hint="eastAsia" w:ascii="宋体" w:hAnsi="宋体"/>
          <w:color w:val="auto"/>
          <w:highlight w:val="none"/>
        </w:rPr>
        <w:t>文件</w:t>
      </w:r>
    </w:p>
    <w:p w14:paraId="278D2447">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Calibri"/>
          <w:color w:val="auto"/>
          <w:szCs w:val="21"/>
          <w:highlight w:val="none"/>
        </w:rPr>
        <w:t>时间：</w:t>
      </w:r>
      <w:r>
        <w:rPr>
          <w:rFonts w:hint="eastAsia" w:ascii="宋体" w:hAnsi="宋体" w:eastAsia="宋体" w:cs="Calibri"/>
          <w:color w:val="auto"/>
          <w:szCs w:val="21"/>
          <w:highlight w:val="none"/>
          <w:lang w:eastAsia="zh-CN"/>
        </w:rPr>
        <w:t>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8</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15</w:t>
      </w:r>
      <w:r>
        <w:rPr>
          <w:rFonts w:hint="eastAsia" w:ascii="宋体" w:hAnsi="宋体" w:eastAsia="宋体" w:cs="Calibri"/>
          <w:color w:val="auto"/>
          <w:szCs w:val="21"/>
          <w:highlight w:val="none"/>
          <w:lang w:eastAsia="zh-CN"/>
        </w:rPr>
        <w:t>日至202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8</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22</w:t>
      </w:r>
      <w:r>
        <w:rPr>
          <w:rFonts w:hint="eastAsia" w:ascii="宋体" w:hAnsi="宋体" w:eastAsia="宋体" w:cs="Calibri"/>
          <w:color w:val="auto"/>
          <w:szCs w:val="21"/>
          <w:highlight w:val="none"/>
          <w:lang w:eastAsia="zh-CN"/>
        </w:rPr>
        <w:t>日</w:t>
      </w:r>
      <w:r>
        <w:rPr>
          <w:rFonts w:hint="eastAsia" w:asciiTheme="minorEastAsia" w:hAnsiTheme="minorEastAsia" w:eastAsiaTheme="minorEastAsia" w:cstheme="minorEastAsia"/>
          <w:b w:val="0"/>
          <w:bCs w:val="0"/>
          <w:color w:val="auto"/>
          <w:sz w:val="21"/>
          <w:szCs w:val="21"/>
          <w:highlight w:val="none"/>
          <w:u w:val="none"/>
          <w:lang w:val="zh-CN"/>
        </w:rPr>
        <w:t>每天上午</w:t>
      </w:r>
      <w:r>
        <w:rPr>
          <w:rFonts w:hint="eastAsia" w:asciiTheme="minorEastAsia" w:hAnsiTheme="minorEastAsia" w:eastAsiaTheme="minorEastAsia" w:cstheme="minorEastAsia"/>
          <w:b w:val="0"/>
          <w:bCs w:val="0"/>
          <w:color w:val="auto"/>
          <w:sz w:val="21"/>
          <w:szCs w:val="21"/>
          <w:highlight w:val="none"/>
          <w:u w:val="none"/>
          <w:lang w:val="en-US" w:eastAsia="zh-CN"/>
        </w:rPr>
        <w:t>00</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至12:00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，下午</w:t>
      </w:r>
      <w:r>
        <w:rPr>
          <w:rFonts w:hint="eastAsia" w:asciiTheme="minorEastAsia" w:hAnsiTheme="minorEastAsia" w:eastAsiaTheme="minorEastAsia" w:cstheme="minorEastAsia"/>
          <w:b w:val="0"/>
          <w:bCs w:val="0"/>
          <w:color w:val="auto"/>
          <w:sz w:val="21"/>
          <w:szCs w:val="21"/>
          <w:highlight w:val="none"/>
          <w:u w:val="none"/>
          <w:lang w:val="en-US" w:eastAsia="zh-CN"/>
        </w:rPr>
        <w:t>12</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w:t>
      </w:r>
      <w:r>
        <w:rPr>
          <w:rFonts w:hint="eastAsia" w:asciiTheme="minorEastAsia" w:hAnsiTheme="minorEastAsia" w:eastAsiaTheme="minorEastAsia" w:cstheme="minorEastAsia"/>
          <w:b w:val="0"/>
          <w:bCs w:val="0"/>
          <w:color w:val="auto"/>
          <w:sz w:val="21"/>
          <w:szCs w:val="21"/>
          <w:highlight w:val="none"/>
          <w:u w:val="none"/>
          <w:lang w:val="en-US" w:eastAsia="zh-CN"/>
        </w:rPr>
        <w:t>23</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59时（北京时间，法定节假日除外）</w:t>
      </w:r>
      <w:r>
        <w:rPr>
          <w:rFonts w:hint="eastAsia" w:asciiTheme="minorEastAsia" w:hAnsiTheme="minorEastAsia" w:eastAsiaTheme="minorEastAsia" w:cstheme="minorEastAsia"/>
          <w:b w:val="0"/>
          <w:bCs w:val="0"/>
          <w:color w:val="auto"/>
          <w:sz w:val="21"/>
          <w:szCs w:val="21"/>
          <w:highlight w:val="none"/>
          <w:u w:val="none"/>
          <w:lang w:val="zh-CN" w:eastAsia="zh-CN"/>
        </w:rPr>
        <w:t>。</w:t>
      </w:r>
    </w:p>
    <w:p w14:paraId="21B80861">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获取方式:网上下载。本项目不发放纸质采购文件，供应商可自行在</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 </w:instrText>
      </w:r>
      <w:r>
        <w:rPr>
          <w:rFonts w:ascii="宋体" w:hAnsi="宋体"/>
          <w:color w:val="auto"/>
          <w:szCs w:val="21"/>
          <w:highlight w:val="none"/>
        </w:rPr>
        <w:fldChar w:fldCharType="separate"/>
      </w:r>
      <w:r>
        <w:rPr>
          <w:rFonts w:hint="eastAsia" w:ascii="宋体" w:hAnsi="宋体"/>
          <w:color w:val="auto"/>
          <w:szCs w:val="21"/>
          <w:highlight w:val="none"/>
        </w:rPr>
        <w:fldChar w:fldCharType="end"/>
      </w:r>
      <w:r>
        <w:rPr>
          <w:rFonts w:hint="eastAsia" w:ascii="宋体" w:hAnsi="宋体"/>
          <w:color w:val="auto"/>
          <w:szCs w:val="21"/>
          <w:highlight w:val="none"/>
        </w:rPr>
        <w:t>“政采云”平台（http：//www.zcygov.cn）下载采购文件（操作路径：登录“政采云”平台-项目采购-获取采购文件-找到本项目-点击“申请获取采购文件”），电子响应文件制作需要基于“政采云”平台（http：//www.zcygov.cn）获取的采购文件编制。</w:t>
      </w:r>
    </w:p>
    <w:p w14:paraId="0EF5EDB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p w14:paraId="306A7628">
      <w:pPr>
        <w:spacing w:line="360" w:lineRule="auto"/>
        <w:rPr>
          <w:rFonts w:ascii="宋体" w:hAnsi="宋体" w:eastAsia="宋体"/>
          <w:color w:val="auto"/>
          <w:highlight w:val="none"/>
        </w:rPr>
      </w:pPr>
      <w:r>
        <w:rPr>
          <w:rFonts w:hint="eastAsia" w:ascii="宋体" w:hAnsi="宋体" w:eastAsia="宋体"/>
          <w:color w:val="auto"/>
          <w:highlight w:val="none"/>
        </w:rPr>
        <w:t>四、响应文件提交</w:t>
      </w:r>
    </w:p>
    <w:p w14:paraId="6ED6D50B">
      <w:pPr>
        <w:spacing w:line="360" w:lineRule="auto"/>
        <w:ind w:firstLine="420" w:firstLineChars="200"/>
        <w:rPr>
          <w:rFonts w:ascii="宋体" w:hAnsi="宋体" w:eastAsia="宋体"/>
          <w:color w:val="auto"/>
          <w:highlight w:val="none"/>
        </w:rPr>
      </w:pP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eastAsia="宋体"/>
          <w:color w:val="auto"/>
          <w:highlight w:val="none"/>
        </w:rPr>
        <w:t>：</w:t>
      </w:r>
      <w:r>
        <w:rPr>
          <w:rFonts w:hint="eastAsia" w:ascii="宋体" w:hAnsi="宋体" w:cs="Calibri"/>
          <w:color w:val="auto"/>
          <w:szCs w:val="21"/>
          <w:highlight w:val="none"/>
          <w:lang w:eastAsia="zh-CN"/>
        </w:rPr>
        <w:t>2025年8月26日上午09：30时。</w:t>
      </w:r>
    </w:p>
    <w:p w14:paraId="1EBDF1F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首次响应文件提交地点：</w:t>
      </w:r>
    </w:p>
    <w:p w14:paraId="16EB7BC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p w14:paraId="537CAFF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w:t>
      </w:r>
      <w:r>
        <w:rPr>
          <w:rFonts w:hint="eastAsia" w:ascii="宋体" w:hAnsi="宋体" w:eastAsia="宋体" w:cs="宋体"/>
          <w:color w:val="auto"/>
          <w:kern w:val="0"/>
          <w:sz w:val="21"/>
          <w:szCs w:val="21"/>
          <w:highlight w:val="none"/>
          <w:lang w:val="en-US" w:eastAsia="zh-CN" w:bidi="ar"/>
        </w:rPr>
        <w:t>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17A4E43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45C8A2F0">
      <w:pPr>
        <w:spacing w:line="360" w:lineRule="auto"/>
        <w:ind w:firstLine="422" w:firstLineChars="200"/>
        <w:rPr>
          <w:rFonts w:hint="eastAsia" w:ascii="宋体" w:hAnsi="宋体" w:cs="宋体"/>
          <w:b/>
          <w:bCs w:val="0"/>
          <w:color w:val="auto"/>
          <w:kern w:val="0"/>
          <w:szCs w:val="21"/>
          <w:highlight w:val="none"/>
          <w:u w:val="none"/>
        </w:rPr>
      </w:pPr>
      <w:r>
        <w:rPr>
          <w:rFonts w:hint="eastAsia" w:ascii="宋体" w:hAnsi="宋体"/>
          <w:b/>
          <w:bCs w:val="0"/>
          <w:color w:val="auto"/>
          <w:szCs w:val="21"/>
          <w:highlight w:val="none"/>
          <w:u w:val="none"/>
        </w:rPr>
        <w:t>注：供应商应当在首次响应文件提交截止时间前完成电子响应文件的上传、递交，响应文件提交截止时间前可以补充、修改或者撤回响应文件。补充或者修改响应文件的，应当先行撤回原文件，补充、修改后重新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。响应截止时间前未完成上传、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的，视为撤回响应文件。响应文件提交截止时间以后上传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的响应文件的，“政采云”平台将予以拒收。</w:t>
      </w:r>
    </w:p>
    <w:p w14:paraId="05619F1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CA证书在线解密：首次响应文件开启时，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登录“政采云”平台电子开标大厅现场按规定时间对加密的响应文件进行解密，未能按要求进行解密的，由此产生的后果由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自行承担。</w:t>
      </w:r>
    </w:p>
    <w:p w14:paraId="52F7E98A">
      <w:pPr>
        <w:snapToGrid w:val="0"/>
        <w:spacing w:line="360" w:lineRule="auto"/>
        <w:ind w:firstLine="420" w:firstLineChars="200"/>
        <w:rPr>
          <w:rFonts w:hint="eastAsia" w:ascii="宋体" w:hAnsi="宋体" w:eastAsia="宋体"/>
          <w:color w:val="auto"/>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供应商需要在具备有摄像头及语音功能且互联网网络状况良好的电脑登录“政采云”平台远程开标大厅参与本次磋商，否则后果自负。</w:t>
      </w:r>
    </w:p>
    <w:p w14:paraId="44C6EA99">
      <w:pPr>
        <w:spacing w:line="360" w:lineRule="auto"/>
        <w:rPr>
          <w:rFonts w:ascii="宋体" w:hAnsi="宋体" w:eastAsia="宋体"/>
          <w:color w:val="auto"/>
          <w:highlight w:val="none"/>
        </w:rPr>
      </w:pPr>
      <w:r>
        <w:rPr>
          <w:rFonts w:hint="eastAsia" w:ascii="宋体" w:hAnsi="宋体" w:eastAsia="宋体"/>
          <w:color w:val="auto"/>
          <w:highlight w:val="none"/>
        </w:rPr>
        <w:t>五、开启</w:t>
      </w:r>
    </w:p>
    <w:p w14:paraId="52C86FD3">
      <w:pPr>
        <w:spacing w:line="360" w:lineRule="auto"/>
        <w:ind w:firstLine="420" w:firstLineChars="200"/>
        <w:rPr>
          <w:rFonts w:hint="default" w:ascii="宋体" w:hAnsi="宋体" w:eastAsia="宋体"/>
          <w:color w:val="auto"/>
          <w:highlight w:val="none"/>
          <w:lang w:val="en-US"/>
        </w:rPr>
      </w:pPr>
      <w:r>
        <w:rPr>
          <w:rFonts w:hint="eastAsia" w:ascii="宋体" w:hAnsi="宋体" w:eastAsia="宋体"/>
          <w:color w:val="auto"/>
          <w:highlight w:val="none"/>
        </w:rPr>
        <w:t>时间（北京时间）：</w:t>
      </w:r>
      <w:r>
        <w:rPr>
          <w:rFonts w:hint="eastAsia" w:ascii="宋体" w:hAnsi="宋体" w:cs="Calibri"/>
          <w:color w:val="auto"/>
          <w:szCs w:val="21"/>
          <w:highlight w:val="none"/>
          <w:lang w:eastAsia="zh-CN"/>
        </w:rPr>
        <w:t>2025年8月26日上午09：30时</w:t>
      </w:r>
      <w:r>
        <w:rPr>
          <w:rFonts w:hint="eastAsia" w:ascii="宋体" w:hAnsi="宋体" w:cs="Calibri"/>
          <w:color w:val="auto"/>
          <w:szCs w:val="21"/>
          <w:highlight w:val="none"/>
          <w:lang w:val="en-US" w:eastAsia="zh-CN"/>
        </w:rPr>
        <w:t>。</w:t>
      </w:r>
    </w:p>
    <w:p w14:paraId="263F4D32">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地点：</w:t>
      </w:r>
      <w:r>
        <w:rPr>
          <w:rFonts w:hint="eastAsia" w:ascii="宋体" w:hAnsi="宋体" w:eastAsia="宋体" w:cs="宋体"/>
          <w:color w:val="auto"/>
          <w:kern w:val="0"/>
          <w:szCs w:val="21"/>
          <w:highlight w:val="none"/>
          <w:lang w:val="zh-CN" w:eastAsia="zh-CN"/>
        </w:rPr>
        <w:t>政府采购云平台（网址：http://www.zcygov.cn）</w:t>
      </w:r>
      <w:r>
        <w:rPr>
          <w:rFonts w:hint="eastAsia" w:ascii="宋体" w:hAnsi="宋体" w:eastAsia="宋体" w:cs="宋体"/>
          <w:color w:val="auto"/>
          <w:kern w:val="0"/>
          <w:szCs w:val="21"/>
          <w:highlight w:val="none"/>
          <w:lang w:val="en-US" w:eastAsia="zh-CN"/>
        </w:rPr>
        <w:t>在线开标，</w:t>
      </w:r>
      <w:r>
        <w:rPr>
          <w:rFonts w:hint="eastAsia" w:ascii="宋体" w:hAnsi="宋体" w:cs="宋体"/>
          <w:color w:val="auto"/>
          <w:kern w:val="0"/>
          <w:sz w:val="22"/>
          <w:szCs w:val="22"/>
          <w:highlight w:val="none"/>
          <w:lang w:val="en-US" w:eastAsia="zh-CN" w:bidi="ar"/>
        </w:rPr>
        <w:t>延吉市公共资源交易中心（延边朝鲜族自治州、延吉市政务大厅6楼开标二室）</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本项目实行全流程电子化，供应商无需到达现场</w:t>
      </w:r>
      <w:r>
        <w:rPr>
          <w:rFonts w:hint="eastAsia" w:ascii="宋体" w:hAnsi="宋体" w:eastAsia="宋体" w:cs="宋体"/>
          <w:color w:val="auto"/>
          <w:kern w:val="0"/>
          <w:szCs w:val="21"/>
          <w:highlight w:val="none"/>
          <w:lang w:eastAsia="zh-CN"/>
        </w:rPr>
        <w:t>。</w:t>
      </w:r>
    </w:p>
    <w:p w14:paraId="63ABBB8A">
      <w:pPr>
        <w:spacing w:line="360" w:lineRule="auto"/>
        <w:rPr>
          <w:rFonts w:ascii="宋体" w:hAnsi="宋体" w:eastAsia="宋体"/>
          <w:color w:val="auto"/>
          <w:highlight w:val="none"/>
        </w:rPr>
      </w:pPr>
      <w:r>
        <w:rPr>
          <w:rFonts w:hint="eastAsia" w:ascii="宋体" w:hAnsi="宋体" w:eastAsia="宋体"/>
          <w:color w:val="auto"/>
          <w:highlight w:val="none"/>
        </w:rPr>
        <w:t>六、公告期限</w:t>
      </w:r>
    </w:p>
    <w:p w14:paraId="581B39C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自本公告发布之日起</w:t>
      </w:r>
      <w:r>
        <w:rPr>
          <w:rFonts w:hint="eastAsia" w:ascii="宋体" w:hAnsi="宋体"/>
          <w:color w:val="auto"/>
          <w:highlight w:val="none"/>
          <w:lang w:val="en-US" w:eastAsia="zh-CN"/>
        </w:rPr>
        <w:t>3</w:t>
      </w:r>
      <w:r>
        <w:rPr>
          <w:rFonts w:hint="eastAsia" w:ascii="宋体" w:hAnsi="宋体" w:eastAsia="宋体"/>
          <w:color w:val="auto"/>
          <w:highlight w:val="none"/>
        </w:rPr>
        <w:t>个工作日。</w:t>
      </w:r>
    </w:p>
    <w:p w14:paraId="4256C00E">
      <w:pPr>
        <w:numPr>
          <w:ilvl w:val="0"/>
          <w:numId w:val="2"/>
        </w:numPr>
        <w:spacing w:line="360" w:lineRule="auto"/>
        <w:rPr>
          <w:color w:val="auto"/>
          <w:highlight w:val="none"/>
        </w:rPr>
      </w:pPr>
      <w:r>
        <w:rPr>
          <w:rFonts w:hint="eastAsia" w:ascii="宋体" w:hAnsi="宋体" w:eastAsia="宋体"/>
          <w:color w:val="auto"/>
          <w:highlight w:val="none"/>
        </w:rPr>
        <w:t>其他补充事宜</w:t>
      </w:r>
    </w:p>
    <w:p w14:paraId="5F8D54A7">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本次磋商公告在</w:t>
      </w:r>
      <w:r>
        <w:rPr>
          <w:rFonts w:hint="eastAsia" w:asciiTheme="majorEastAsia" w:hAnsiTheme="majorEastAsia" w:eastAsiaTheme="majorEastAsia" w:cstheme="majorEastAsia"/>
          <w:color w:val="auto"/>
          <w:szCs w:val="21"/>
          <w:highlight w:val="none"/>
        </w:rPr>
        <w:t>吉林省政府采购云平台上发布（</w:t>
      </w:r>
      <w:r>
        <w:rPr>
          <w:rFonts w:hint="eastAsia" w:ascii="宋体" w:hAnsi="宋体" w:eastAsia="宋体" w:cs="宋体"/>
          <w:color w:val="auto"/>
          <w:sz w:val="21"/>
          <w:szCs w:val="21"/>
          <w:highlight w:val="none"/>
          <w:lang w:eastAsia="zh-CN"/>
        </w:rPr>
        <w:t>同步推送到吉林省公共资源交易公共服务平台、吉林省政府采购网、中国政府采购网</w:t>
      </w:r>
      <w:r>
        <w:rPr>
          <w:rFonts w:hint="eastAsia" w:asciiTheme="majorEastAsia" w:hAnsiTheme="majorEastAsia" w:eastAsiaTheme="majorEastAsia" w:cstheme="majorEastAsia"/>
          <w:color w:val="auto"/>
          <w:szCs w:val="21"/>
          <w:highlight w:val="none"/>
        </w:rPr>
        <w:t>）</w:t>
      </w:r>
      <w:r>
        <w:rPr>
          <w:rFonts w:hint="eastAsia" w:ascii="宋体" w:hAnsi="宋体" w:eastAsia="宋体" w:cs="宋体"/>
          <w:color w:val="auto"/>
          <w:kern w:val="0"/>
          <w:sz w:val="21"/>
          <w:szCs w:val="21"/>
          <w:highlight w:val="none"/>
          <w:lang w:val="en-US" w:eastAsia="zh-CN" w:bidi="ar"/>
        </w:rPr>
        <w:t>。</w:t>
      </w:r>
    </w:p>
    <w:p w14:paraId="5829A692">
      <w:pPr>
        <w:spacing w:line="360" w:lineRule="auto"/>
        <w:ind w:firstLine="420" w:firstLineChars="200"/>
        <w:rPr>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若对项目采购电子交易系统操作有疑问，可登录“政采云”平台（https://www.zcygov.cn/），</w:t>
      </w:r>
      <w:r>
        <w:rPr>
          <w:rFonts w:hint="eastAsia" w:ascii="宋体" w:hAnsi="宋体" w:cs="宋体"/>
          <w:color w:val="auto"/>
          <w:kern w:val="0"/>
          <w:szCs w:val="21"/>
          <w:highlight w:val="none"/>
        </w:rPr>
        <w:t>点击右侧咨询小采，获取采小蜜智能服务管家帮助，或拨打政采云服务热线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 xml:space="preserve">获取热线服务帮助。 </w:t>
      </w:r>
    </w:p>
    <w:p w14:paraId="0FDF2ACB">
      <w:pPr>
        <w:spacing w:line="360" w:lineRule="auto"/>
        <w:rPr>
          <w:rFonts w:ascii="宋体" w:hAnsi="宋体" w:eastAsia="宋体"/>
          <w:color w:val="auto"/>
          <w:highlight w:val="none"/>
        </w:rPr>
      </w:pPr>
      <w:r>
        <w:rPr>
          <w:rFonts w:hint="eastAsia" w:ascii="宋体" w:hAnsi="宋体" w:eastAsia="宋体"/>
          <w:color w:val="auto"/>
          <w:highlight w:val="none"/>
        </w:rPr>
        <w:t>八、凡对本次采购提出询问，请按以下方式联系</w:t>
      </w:r>
    </w:p>
    <w:p w14:paraId="3BCDE16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1.采购人信息</w:t>
      </w:r>
    </w:p>
    <w:p w14:paraId="02704741">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名    称：</w:t>
      </w:r>
      <w:r>
        <w:rPr>
          <w:rFonts w:hint="eastAsia" w:ascii="宋体" w:hAnsi="宋体"/>
          <w:color w:val="auto"/>
          <w:highlight w:val="none"/>
          <w:u w:val="single"/>
          <w:lang w:eastAsia="zh-CN"/>
        </w:rPr>
        <w:t>延吉市水利局</w:t>
      </w:r>
    </w:p>
    <w:p w14:paraId="4F555956">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地    址：</w:t>
      </w:r>
      <w:r>
        <w:rPr>
          <w:rFonts w:hint="eastAsia" w:ascii="宋体" w:hAnsi="宋体"/>
          <w:color w:val="auto"/>
          <w:highlight w:val="none"/>
          <w:u w:val="single"/>
          <w:lang w:eastAsia="zh-CN"/>
        </w:rPr>
        <w:t>延吉市局子街116号</w:t>
      </w:r>
    </w:p>
    <w:p w14:paraId="103C662B">
      <w:pPr>
        <w:spacing w:line="360" w:lineRule="auto"/>
        <w:ind w:firstLine="630" w:firstLineChars="300"/>
        <w:rPr>
          <w:rFonts w:hint="eastAsia" w:ascii="宋体" w:hAnsi="宋体" w:eastAsia="宋体"/>
          <w:color w:val="auto"/>
          <w:highlight w:val="none"/>
          <w:u w:val="single"/>
          <w:lang w:eastAsia="zh-CN"/>
        </w:rPr>
      </w:pPr>
      <w:r>
        <w:rPr>
          <w:rFonts w:hint="eastAsia" w:ascii="宋体" w:hAnsi="宋体" w:eastAsia="宋体"/>
          <w:color w:val="auto"/>
          <w:highlight w:val="none"/>
        </w:rPr>
        <w:t>联系方式：</w:t>
      </w:r>
      <w:r>
        <w:rPr>
          <w:rFonts w:hint="eastAsia" w:ascii="宋体" w:hAnsi="宋体"/>
          <w:color w:val="auto"/>
          <w:highlight w:val="none"/>
          <w:u w:val="single"/>
          <w:lang w:eastAsia="zh-CN"/>
        </w:rPr>
        <w:t>李敏</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0433-2529284</w:t>
      </w:r>
    </w:p>
    <w:p w14:paraId="0A020EE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2.采购代理机构信息</w:t>
      </w:r>
    </w:p>
    <w:p w14:paraId="32DD38AC">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名    称：</w:t>
      </w:r>
      <w:r>
        <w:rPr>
          <w:rFonts w:hint="eastAsia" w:ascii="宋体" w:hAnsi="宋体" w:eastAsia="宋体"/>
          <w:color w:val="auto"/>
          <w:highlight w:val="none"/>
          <w:u w:val="single"/>
        </w:rPr>
        <w:t>吉林省中诚招标有限公司</w:t>
      </w:r>
    </w:p>
    <w:p w14:paraId="050AA877">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地    址：</w:t>
      </w:r>
      <w:r>
        <w:rPr>
          <w:rFonts w:hint="eastAsia" w:ascii="宋体" w:hAnsi="宋体" w:eastAsia="宋体"/>
          <w:color w:val="auto"/>
          <w:highlight w:val="none"/>
          <w:u w:val="single"/>
        </w:rPr>
        <w:t>延吉市长白路28号</w:t>
      </w:r>
    </w:p>
    <w:p w14:paraId="039C0D58">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联系方式：</w:t>
      </w:r>
      <w:r>
        <w:rPr>
          <w:rFonts w:hint="eastAsia" w:ascii="宋体" w:hAnsi="宋体"/>
          <w:color w:val="auto"/>
          <w:highlight w:val="none"/>
          <w:u w:val="single"/>
          <w:lang w:eastAsia="zh-CN"/>
        </w:rPr>
        <w:t>孙宝辉</w:t>
      </w:r>
      <w:r>
        <w:rPr>
          <w:rFonts w:hint="eastAsia" w:ascii="宋体" w:hAnsi="宋体" w:eastAsia="宋体"/>
          <w:color w:val="auto"/>
          <w:highlight w:val="none"/>
          <w:u w:val="single"/>
        </w:rPr>
        <w:t>0433-2908793、2908769</w:t>
      </w:r>
    </w:p>
    <w:p w14:paraId="525E062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3.项目联系方式</w:t>
      </w:r>
    </w:p>
    <w:p w14:paraId="4163DAE1">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项目联系人：</w:t>
      </w:r>
      <w:r>
        <w:rPr>
          <w:rFonts w:hint="eastAsia" w:ascii="宋体" w:hAnsi="宋体"/>
          <w:color w:val="auto"/>
          <w:highlight w:val="none"/>
          <w:u w:val="single"/>
          <w:lang w:eastAsia="zh-CN"/>
        </w:rPr>
        <w:t>李敏</w:t>
      </w:r>
    </w:p>
    <w:p w14:paraId="7CDC2A53">
      <w:pPr>
        <w:spacing w:line="360" w:lineRule="auto"/>
        <w:ind w:firstLine="630" w:firstLineChars="300"/>
        <w:rPr>
          <w:rFonts w:ascii="宋体" w:hAnsi="宋体" w:eastAsia="宋体"/>
          <w:color w:val="auto"/>
          <w:sz w:val="24"/>
          <w:highlight w:val="none"/>
          <w:u w:val="single"/>
        </w:rPr>
      </w:pPr>
      <w:r>
        <w:rPr>
          <w:rFonts w:hint="eastAsia" w:ascii="宋体" w:hAnsi="宋体" w:eastAsia="宋体"/>
          <w:color w:val="auto"/>
          <w:highlight w:val="none"/>
        </w:rPr>
        <w:t>电    话：</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0433-2529284</w:t>
      </w:r>
    </w:p>
    <w:p w14:paraId="5A9F1AD6">
      <w:pPr>
        <w:spacing w:line="360" w:lineRule="auto"/>
        <w:ind w:firstLine="630" w:firstLineChars="300"/>
        <w:rPr>
          <w:rFonts w:hint="eastAsia" w:ascii="宋体" w:hAnsi="宋体" w:eastAsia="宋体"/>
          <w:color w:val="auto"/>
          <w:highlight w:val="none"/>
          <w:lang w:val="en-US" w:eastAsia="zh-CN"/>
        </w:rPr>
      </w:pPr>
      <w:r>
        <w:rPr>
          <w:rFonts w:hint="eastAsia" w:ascii="宋体" w:hAnsi="宋体" w:eastAsia="宋体"/>
          <w:color w:val="auto"/>
          <w:highlight w:val="none"/>
        </w:rPr>
        <w:t>监督管理部门：</w:t>
      </w:r>
      <w:r>
        <w:rPr>
          <w:rFonts w:hint="eastAsia" w:ascii="宋体" w:hAnsi="宋体" w:cs="宋体"/>
          <w:color w:val="auto"/>
          <w:highlight w:val="none"/>
          <w:lang w:val="zh-CN"/>
        </w:rPr>
        <w:t>延吉市财政局政府采购管理办公室</w:t>
      </w:r>
    </w:p>
    <w:p w14:paraId="631452BB">
      <w:pPr>
        <w:spacing w:line="360" w:lineRule="auto"/>
        <w:jc w:val="center"/>
        <w:rPr>
          <w:rFonts w:ascii="宋体" w:hAnsi="宋体" w:eastAsia="宋体"/>
          <w:color w:val="auto"/>
          <w:highlight w:val="none"/>
        </w:rPr>
      </w:pPr>
      <w:r>
        <w:rPr>
          <w:rFonts w:hint="eastAsia" w:ascii="宋体" w:hAnsi="宋体" w:eastAsia="宋体"/>
          <w:color w:val="auto"/>
          <w:highlight w:val="none"/>
        </w:rPr>
        <w:t>吉林省中诚招标有限公司</w:t>
      </w:r>
    </w:p>
    <w:p w14:paraId="46630325">
      <w:pPr>
        <w:jc w:val="center"/>
        <w:rPr>
          <w:rFonts w:ascii="宋体" w:hAnsi="宋体" w:eastAsia="宋体"/>
          <w:color w:val="auto"/>
          <w:highlight w:val="none"/>
        </w:rPr>
      </w:pPr>
      <w:r>
        <w:rPr>
          <w:rFonts w:hint="eastAsia" w:ascii="宋体" w:hAnsi="宋体" w:eastAsia="宋体"/>
          <w:color w:val="auto"/>
          <w:highlight w:val="none"/>
        </w:rPr>
        <w:t>202</w:t>
      </w:r>
      <w:r>
        <w:rPr>
          <w:rFonts w:hint="eastAsia" w:ascii="宋体" w:hAnsi="宋体"/>
          <w:color w:val="auto"/>
          <w:highlight w:val="none"/>
          <w:lang w:val="en-US" w:eastAsia="zh-CN"/>
        </w:rPr>
        <w:t>5</w:t>
      </w:r>
      <w:r>
        <w:rPr>
          <w:rFonts w:hint="eastAsia" w:ascii="宋体" w:hAnsi="宋体" w:eastAsia="宋体"/>
          <w:color w:val="auto"/>
          <w:highlight w:val="none"/>
        </w:rPr>
        <w:t>年</w:t>
      </w:r>
      <w:r>
        <w:rPr>
          <w:rFonts w:hint="eastAsia" w:ascii="宋体" w:hAnsi="宋体"/>
          <w:color w:val="auto"/>
          <w:highlight w:val="none"/>
          <w:lang w:val="en-US" w:eastAsia="zh-CN"/>
        </w:rPr>
        <w:t>8</w:t>
      </w:r>
      <w:r>
        <w:rPr>
          <w:rFonts w:hint="eastAsia" w:ascii="宋体" w:hAnsi="宋体" w:eastAsia="宋体"/>
          <w:color w:val="auto"/>
          <w:highlight w:val="none"/>
        </w:rPr>
        <w:t>月</w:t>
      </w:r>
      <w:r>
        <w:rPr>
          <w:rFonts w:hint="eastAsia" w:ascii="宋体" w:hAnsi="宋体"/>
          <w:color w:val="auto"/>
          <w:highlight w:val="none"/>
          <w:lang w:val="en-US" w:eastAsia="zh-CN"/>
        </w:rPr>
        <w:t>14</w:t>
      </w:r>
      <w:r>
        <w:rPr>
          <w:rFonts w:hint="eastAsia" w:ascii="宋体" w:hAnsi="宋体" w:eastAsia="宋体"/>
          <w:color w:val="auto"/>
          <w:highlight w:val="none"/>
        </w:rPr>
        <w:t>日</w:t>
      </w:r>
    </w:p>
    <w:p w14:paraId="3DBE8782">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bookmarkStart w:id="3" w:name="OLE_LINK1"/>
    </w:p>
    <w:p w14:paraId="347294D1">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bookmarkEnd w:id="3"/>
    <w:p w14:paraId="2D687DE3">
      <w:pPr>
        <w:rPr>
          <w:rFonts w:hint="eastAsia"/>
          <w:color w:val="auto"/>
          <w:highlight w:val="none"/>
        </w:rPr>
      </w:pPr>
    </w:p>
    <w:p w14:paraId="1D80DE87">
      <w:pPr>
        <w:pStyle w:val="3"/>
        <w:tabs>
          <w:tab w:val="center" w:pos="4535"/>
          <w:tab w:val="left" w:pos="6795"/>
        </w:tabs>
        <w:jc w:val="center"/>
        <w:rPr>
          <w:rFonts w:hint="eastAsia" w:eastAsia="宋体"/>
          <w:color w:val="auto"/>
          <w:szCs w:val="32"/>
          <w:highlight w:val="none"/>
          <w:lang w:eastAsia="zh-CN"/>
        </w:rPr>
      </w:pPr>
      <w:bookmarkStart w:id="4" w:name="_Toc23280"/>
      <w:r>
        <w:rPr>
          <w:rFonts w:hint="eastAsia"/>
          <w:color w:val="auto"/>
          <w:highlight w:val="none"/>
        </w:rPr>
        <w:t xml:space="preserve">第二章  </w:t>
      </w:r>
      <w:r>
        <w:rPr>
          <w:rFonts w:hint="eastAsia"/>
          <w:color w:val="auto"/>
          <w:highlight w:val="none"/>
          <w:lang w:eastAsia="zh-CN"/>
        </w:rPr>
        <w:t>供应商须知</w:t>
      </w:r>
      <w:bookmarkEnd w:id="4"/>
    </w:p>
    <w:p w14:paraId="6F838778">
      <w:pPr>
        <w:spacing w:line="360" w:lineRule="auto"/>
        <w:jc w:val="center"/>
        <w:rPr>
          <w:rFonts w:ascii="宋体" w:hAnsi="宋体"/>
          <w:b/>
          <w:color w:val="auto"/>
          <w:sz w:val="22"/>
          <w:szCs w:val="22"/>
          <w:highlight w:val="none"/>
        </w:rPr>
      </w:pPr>
      <w:bookmarkStart w:id="5" w:name="_Toc259191030"/>
      <w:bookmarkStart w:id="6" w:name="_Toc228871256"/>
      <w:bookmarkStart w:id="7" w:name="_Toc208974977"/>
      <w:bookmarkStart w:id="8" w:name="_Toc262045191"/>
      <w:bookmarkStart w:id="9" w:name="_Toc199384353"/>
      <w:bookmarkStart w:id="10" w:name="_Toc208999238"/>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5"/>
      <w:bookmarkEnd w:id="6"/>
      <w:bookmarkEnd w:id="7"/>
      <w:bookmarkEnd w:id="8"/>
      <w:bookmarkEnd w:id="9"/>
      <w:bookmarkEnd w:id="10"/>
    </w:p>
    <w:tbl>
      <w:tblPr>
        <w:tblStyle w:val="50"/>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0AF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C4BD4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44F9C2D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06427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1FE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1FE64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5760BA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68DF94A3">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val="zh-CN"/>
              </w:rPr>
              <w:t>延吉市水利局</w:t>
            </w:r>
          </w:p>
          <w:p w14:paraId="4FE44766">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cs="宋体"/>
                <w:color w:val="auto"/>
                <w:sz w:val="21"/>
                <w:szCs w:val="21"/>
                <w:highlight w:val="none"/>
                <w:lang w:val="zh-CN"/>
              </w:rPr>
              <w:t>延吉市局子街116号</w:t>
            </w:r>
          </w:p>
          <w:p w14:paraId="4E0F9D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李敏  0433-2529284</w:t>
            </w:r>
          </w:p>
        </w:tc>
      </w:tr>
      <w:tr w14:paraId="7BB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1FC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75FF94A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4F64070A">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eastAsia="zh-CN"/>
              </w:rPr>
              <w:t>吉林省中诚招标有限公司</w:t>
            </w:r>
          </w:p>
          <w:p w14:paraId="10EE1D20">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址：</w:t>
            </w:r>
            <w:r>
              <w:rPr>
                <w:rFonts w:hint="eastAsia" w:ascii="宋体" w:hAnsi="宋体" w:eastAsia="宋体" w:cs="宋体"/>
                <w:color w:val="auto"/>
                <w:sz w:val="21"/>
                <w:szCs w:val="21"/>
                <w:highlight w:val="none"/>
                <w:lang w:eastAsia="zh-CN"/>
              </w:rPr>
              <w:t>延吉市长白路28号</w:t>
            </w:r>
          </w:p>
          <w:p w14:paraId="5D013345">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孙宝辉</w:t>
            </w:r>
            <w:r>
              <w:rPr>
                <w:rFonts w:hint="eastAsia" w:ascii="宋体" w:hAnsi="宋体" w:eastAsia="宋体" w:cs="宋体"/>
                <w:color w:val="auto"/>
                <w:sz w:val="21"/>
                <w:szCs w:val="21"/>
                <w:highlight w:val="none"/>
                <w:lang w:val="zh-CN"/>
              </w:rPr>
              <w:t xml:space="preserve"> 0433-2908793、2908769</w:t>
            </w:r>
          </w:p>
        </w:tc>
      </w:tr>
      <w:tr w14:paraId="369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715B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3FA5E43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7260EC8B">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延吉市依兰河“还河于河”项目勘察设计</w:t>
            </w:r>
          </w:p>
        </w:tc>
      </w:tr>
      <w:tr w14:paraId="08E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40DFEC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4A65D3A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0E73970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val="en-US" w:eastAsia="zh-CN"/>
              </w:rPr>
              <w:t>延吉市</w:t>
            </w:r>
          </w:p>
        </w:tc>
      </w:tr>
      <w:tr w14:paraId="30B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4C62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10159C0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3CC944F1">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14:paraId="456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3" w:type="dxa"/>
            <w:vAlign w:val="center"/>
          </w:tcPr>
          <w:p w14:paraId="1E3A0F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30A18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40D45B02">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7D5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6F509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6AEB55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55E71F92">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已落实</w:t>
            </w:r>
          </w:p>
        </w:tc>
      </w:tr>
      <w:tr w14:paraId="47A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63" w:type="dxa"/>
            <w:vAlign w:val="center"/>
          </w:tcPr>
          <w:p w14:paraId="3CE55C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630AFE5B">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服务内容</w:t>
            </w:r>
          </w:p>
        </w:tc>
        <w:tc>
          <w:tcPr>
            <w:tcW w:w="5787" w:type="dxa"/>
            <w:vAlign w:val="center"/>
          </w:tcPr>
          <w:p w14:paraId="535966E9">
            <w:pPr>
              <w:tabs>
                <w:tab w:val="left" w:pos="-3675"/>
              </w:tabs>
              <w:autoSpaceDE w:val="0"/>
              <w:autoSpaceDN w:val="0"/>
              <w:adjustRightInd w:val="0"/>
              <w:spacing w:line="360" w:lineRule="exact"/>
              <w:jc w:val="both"/>
              <w:rPr>
                <w:rFonts w:hint="default" w:hAnsi="宋体" w:cs="宋体"/>
                <w:color w:val="auto"/>
                <w:sz w:val="21"/>
                <w:szCs w:val="21"/>
                <w:highlight w:val="none"/>
                <w:lang w:val="en-US"/>
              </w:rPr>
            </w:pPr>
            <w:r>
              <w:rPr>
                <w:rFonts w:hint="eastAsia" w:ascii="宋体" w:hAnsi="宋体" w:cs="宋体"/>
                <w:color w:val="auto"/>
                <w:szCs w:val="21"/>
                <w:highlight w:val="none"/>
                <w:lang w:val="en-US" w:eastAsia="zh-CN"/>
              </w:rPr>
              <w:t>本项目勘察、设计，编制初步设计报告、招标设计、施工图设计以及工程施工期间现场设计服务。（详见磋商文件第五章采购人要求）</w:t>
            </w:r>
          </w:p>
        </w:tc>
      </w:tr>
      <w:tr w14:paraId="085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803AB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30D43DF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5787" w:type="dxa"/>
            <w:vAlign w:val="center"/>
          </w:tcPr>
          <w:p w14:paraId="76DEB4E1">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eastAsia="zh-CN"/>
              </w:rPr>
              <w:t>签订合同之日起至工程完工验收质保期满</w:t>
            </w:r>
          </w:p>
        </w:tc>
      </w:tr>
      <w:tr w14:paraId="5F00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653A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0D799E6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服务标准</w:t>
            </w:r>
          </w:p>
        </w:tc>
        <w:tc>
          <w:tcPr>
            <w:tcW w:w="5787" w:type="dxa"/>
            <w:vAlign w:val="center"/>
          </w:tcPr>
          <w:p w14:paraId="612BAA94">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Times New Roman"/>
                <w:color w:val="auto"/>
                <w:highlight w:val="none"/>
                <w:lang w:eastAsia="zh-CN"/>
              </w:rPr>
              <w:t>符合国家现行相关行业规范标准、法规要求</w:t>
            </w:r>
            <w:r>
              <w:rPr>
                <w:rFonts w:hint="eastAsia" w:ascii="宋体" w:hAnsi="宋体" w:cs="Times New Roman"/>
                <w:color w:val="auto"/>
                <w:highlight w:val="none"/>
                <w:lang w:val="en-US" w:eastAsia="zh-CN"/>
              </w:rPr>
              <w:t>。</w:t>
            </w:r>
          </w:p>
        </w:tc>
      </w:tr>
      <w:tr w14:paraId="1A5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74A4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65CEB6C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09FD1520">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1.满足《中华人民共和国政府采购法》第二十二条规定；</w:t>
            </w:r>
          </w:p>
          <w:p w14:paraId="30F2254A">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b w:val="0"/>
                <w:bCs w:val="0"/>
                <w:color w:val="auto"/>
                <w:sz w:val="21"/>
                <w:szCs w:val="21"/>
                <w:highlight w:val="none"/>
                <w:u w:val="none"/>
                <w:lang w:val="zh-CN"/>
              </w:rPr>
              <w:t>2.落实政府采购政策需满足的资格要求：</w:t>
            </w:r>
            <w:r>
              <w:rPr>
                <w:rFonts w:hint="eastAsia" w:ascii="宋体" w:hAnsi="宋体" w:cs="宋体"/>
                <w:b w:val="0"/>
                <w:bCs w:val="0"/>
                <w:color w:val="auto"/>
                <w:sz w:val="21"/>
                <w:szCs w:val="21"/>
                <w:highlight w:val="none"/>
                <w:u w:val="none"/>
                <w:lang w:val="zh-CN"/>
              </w:rPr>
              <w:t>本项目全部面向中小企业采购</w:t>
            </w:r>
          </w:p>
          <w:p w14:paraId="2949711E">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（1）《政府采购促进中小企业发展管理办法》（财库[2020]46号）；</w:t>
            </w:r>
          </w:p>
          <w:p w14:paraId="2220A846">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（2）《关于政府采购支持监狱企业发展有关问题的通知》（财库[2014]68号）；</w:t>
            </w:r>
          </w:p>
          <w:p w14:paraId="6215A05B">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（3）《关于促进残疾人就业政府采购政策的通知》（财库[2017]141号）。</w:t>
            </w:r>
          </w:p>
          <w:p w14:paraId="3623FEA5">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3.本项目的特定资格要求：</w:t>
            </w:r>
          </w:p>
          <w:p w14:paraId="5F736B23">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行政主管部门颁发的水利行业设计专业乙级（含乙级）及以上资质和工程勘察专业类岩土工程（勘察）乙级（含乙级）及以上资质的单位，并在人员、仪器设备方面具有相应的勘察设计能力；拟派出的项目负责人须具有水利工程相应资格证书，同时具有相关专业中级工程师及以上职称，相关设计人员配备齐全，满足项目需要及国家相关法律法规规定。</w:t>
            </w:r>
          </w:p>
          <w:p w14:paraId="77204E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等服务的供应商，不得再参加本项目上述服务以外的其他采购活动。</w:t>
            </w:r>
          </w:p>
          <w:p w14:paraId="7E09AC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7F2652E">
            <w:pPr>
              <w:spacing w:line="360" w:lineRule="auto"/>
              <w:rPr>
                <w:rFonts w:hint="eastAsia" w:ascii="宋体" w:hAnsi="宋体" w:eastAsia="宋体"/>
                <w:color w:val="auto"/>
                <w:szCs w:val="21"/>
                <w:highlight w:val="none"/>
                <w:lang w:val="en-US" w:eastAsia="zh-CN"/>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以上材料属于复印件的扫描件的，必须加盖供应商电子公章，否则响应文件按无效响应处理。</w:t>
            </w:r>
          </w:p>
        </w:tc>
      </w:tr>
      <w:tr w14:paraId="46A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64CC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61743F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02AC714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不接受</w:t>
            </w:r>
          </w:p>
          <w:p w14:paraId="6235D2F8">
            <w:pPr>
              <w:spacing w:line="340" w:lineRule="exact"/>
              <w:ind w:left="105" w:leftChars="50"/>
              <w:jc w:val="left"/>
              <w:rPr>
                <w:rFonts w:hint="eastAsia" w:ascii="宋体" w:hAnsi="宋体" w:cs="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s="宋体"/>
                <w:color w:val="auto"/>
                <w:sz w:val="21"/>
                <w:szCs w:val="21"/>
                <w:highlight w:val="none"/>
              </w:rPr>
              <w:t>接受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应满足下列要求</w:t>
            </w:r>
            <w:r>
              <w:rPr>
                <w:rFonts w:hint="eastAsia" w:ascii="宋体" w:hAnsi="宋体" w:cs="宋体"/>
                <w:color w:val="auto"/>
                <w:sz w:val="21"/>
                <w:szCs w:val="21"/>
                <w:highlight w:val="none"/>
                <w:lang w:eastAsia="zh-CN"/>
              </w:rPr>
              <w:t>：</w:t>
            </w:r>
          </w:p>
          <w:p w14:paraId="558D6478">
            <w:pPr>
              <w:tabs>
                <w:tab w:val="left" w:pos="-3675"/>
              </w:tabs>
              <w:autoSpaceDE w:val="0"/>
              <w:autoSpaceDN w:val="0"/>
              <w:adjustRightInd w:val="0"/>
              <w:spacing w:line="360" w:lineRule="exact"/>
              <w:jc w:val="both"/>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具备行政主管部门颁发的水利行业设计专业乙级（含乙级）及以上资质和工程勘察专业类岩土工程（勘察）乙级（含乙级）及以上资质组</w:t>
            </w:r>
            <w:r>
              <w:rPr>
                <w:rFonts w:hint="eastAsia" w:ascii="宋体" w:hAnsi="宋体" w:cs="宋体"/>
                <w:color w:val="auto"/>
                <w:sz w:val="21"/>
                <w:szCs w:val="21"/>
                <w:highlight w:val="none"/>
                <w:lang w:val="zh-CN"/>
              </w:rPr>
              <w:t>成的联合体。</w:t>
            </w:r>
          </w:p>
          <w:p w14:paraId="42E5FD98">
            <w:pPr>
              <w:tabs>
                <w:tab w:val="left" w:pos="-3675"/>
              </w:tabs>
              <w:autoSpaceDE w:val="0"/>
              <w:autoSpaceDN w:val="0"/>
              <w:adjustRightInd w:val="0"/>
              <w:spacing w:line="360" w:lineRule="exact"/>
              <w:jc w:val="both"/>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zh-CN"/>
              </w:rPr>
              <w:t>组成联合体投标的，联合体各方不得再以自己的名义单独或参加其他联合体在本次招标项目中投标，联合体组成后不得再发生变化，联合体成员应签订联合体协议，明确联合体各方拟承担的权利和义务。</w:t>
            </w:r>
          </w:p>
        </w:tc>
      </w:tr>
      <w:tr w14:paraId="4AB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510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297535E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14204480">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756D3D41">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1E1453D3">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采购人指定地点</w:t>
            </w:r>
          </w:p>
        </w:tc>
      </w:tr>
      <w:tr w14:paraId="017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CF0B1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7985AA7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770994AF">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57633036">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245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D684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CF72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4C2BDB3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473CD1F3">
            <w:pPr>
              <w:numPr>
                <w:ilvl w:val="0"/>
                <w:numId w:val="3"/>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611FB3B5">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4B2F7B6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2C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1D1B6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13AED9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631F53E3">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684AE64A">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C3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C729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638DD65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4F32907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20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22F5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1ADAF0F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4F899242">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E6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B30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53254B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09A888D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62D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FC34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70A03E3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3C3E4701">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5B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CD24D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33760B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27EEE68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4B0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89A8B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DA258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78E397F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392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403E1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B94D8A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50802688">
            <w:pPr>
              <w:pStyle w:val="14"/>
              <w:spacing w:line="360" w:lineRule="exact"/>
              <w:ind w:firstLine="0"/>
              <w:rPr>
                <w:rFonts w:ascii="宋体" w:hAnsi="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444C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3" w:type="dxa"/>
            <w:vAlign w:val="center"/>
          </w:tcPr>
          <w:p w14:paraId="4BD66B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7248E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42B1EB3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60万元</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按折扣系数报价。</w:t>
            </w:r>
          </w:p>
        </w:tc>
      </w:tr>
      <w:tr w14:paraId="28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BD1E0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06FDD0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080CB3E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自供应商提交磋商响应文件截止之日起90日历天</w:t>
            </w:r>
          </w:p>
        </w:tc>
      </w:tr>
      <w:tr w14:paraId="6E4E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FAD42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31B2A36B">
            <w:pPr>
              <w:autoSpaceDE w:val="0"/>
              <w:autoSpaceDN w:val="0"/>
              <w:adjustRightIn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磋商响应保证</w:t>
            </w:r>
            <w:r>
              <w:rPr>
                <w:rFonts w:hint="eastAsia" w:ascii="宋体" w:hAnsi="宋体" w:cs="宋体"/>
                <w:color w:val="auto"/>
                <w:kern w:val="0"/>
                <w:szCs w:val="21"/>
                <w:highlight w:val="none"/>
                <w:lang w:val="en-US" w:eastAsia="zh-CN"/>
              </w:rPr>
              <w:t>金</w:t>
            </w:r>
          </w:p>
        </w:tc>
        <w:tc>
          <w:tcPr>
            <w:tcW w:w="5787" w:type="dxa"/>
            <w:vAlign w:val="center"/>
          </w:tcPr>
          <w:p w14:paraId="06F7D574">
            <w:pPr>
              <w:autoSpaceDE w:val="0"/>
              <w:autoSpaceDN w:val="0"/>
              <w:adjustRightInd w:val="0"/>
              <w:spacing w:line="360" w:lineRule="exact"/>
              <w:rPr>
                <w:color w:val="auto"/>
                <w:highlight w:val="none"/>
              </w:rPr>
            </w:pPr>
            <w:r>
              <w:rPr>
                <w:rFonts w:hint="eastAsia" w:ascii="宋体" w:hAnsi="宋体"/>
                <w:color w:val="auto"/>
                <w:szCs w:val="21"/>
                <w:highlight w:val="none"/>
              </w:rPr>
              <w:t>本项目不收取磋商保证金。</w:t>
            </w:r>
          </w:p>
        </w:tc>
      </w:tr>
      <w:tr w14:paraId="245E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85AD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51AA9F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2418636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2022年至今</w:t>
            </w:r>
          </w:p>
        </w:tc>
      </w:tr>
      <w:tr w14:paraId="202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C3E7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0FBE2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val="en-US" w:eastAsia="zh-CN"/>
              </w:rPr>
              <w:t>提</w:t>
            </w:r>
            <w:r>
              <w:rPr>
                <w:rFonts w:hint="eastAsia" w:ascii="宋体" w:hAnsi="宋体" w:cs="宋体"/>
                <w:color w:val="auto"/>
                <w:szCs w:val="21"/>
                <w:highlight w:val="none"/>
              </w:rPr>
              <w:t>交备选磋商方案</w:t>
            </w:r>
          </w:p>
        </w:tc>
        <w:tc>
          <w:tcPr>
            <w:tcW w:w="5787" w:type="dxa"/>
            <w:vAlign w:val="center"/>
          </w:tcPr>
          <w:p w14:paraId="5823E84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29F4F31C">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4C6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097B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7CCB40D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3287EAB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F9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EE47A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5F03865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2F6CA5AB">
            <w:pPr>
              <w:autoSpaceDE w:val="0"/>
              <w:autoSpaceDN w:val="0"/>
              <w:adjustRightInd w:val="0"/>
              <w:spacing w:line="360" w:lineRule="exact"/>
              <w:rPr>
                <w:rFonts w:ascii="宋体" w:hAnsi="宋体" w:cs="宋体"/>
                <w:color w:val="auto"/>
                <w:szCs w:val="21"/>
                <w:highlight w:val="none"/>
                <w:lang w:val="zh-CN"/>
              </w:rPr>
            </w:pPr>
            <w:r>
              <w:rPr>
                <w:rFonts w:hint="eastAsia" w:ascii="宋体" w:hAnsi="宋体" w:cs="宋体"/>
                <w:b/>
                <w:bCs/>
                <w:caps w:val="0"/>
                <w:color w:val="auto"/>
                <w:kern w:val="2"/>
                <w:sz w:val="21"/>
                <w:szCs w:val="21"/>
                <w:highlight w:val="none"/>
                <w:vertAlign w:val="baseline"/>
                <w:lang w:val="en-US" w:eastAsia="zh-CN"/>
              </w:rPr>
              <w:t>/</w:t>
            </w:r>
          </w:p>
        </w:tc>
      </w:tr>
      <w:tr w14:paraId="7137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53718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400DD0E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DC16499">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4A3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8AC19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4.2.1</w:t>
            </w:r>
          </w:p>
        </w:tc>
        <w:tc>
          <w:tcPr>
            <w:tcW w:w="2480" w:type="dxa"/>
            <w:vAlign w:val="center"/>
          </w:tcPr>
          <w:p w14:paraId="05F5B08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E93946A">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2025年8月26日上午09：30时</w:t>
            </w:r>
            <w:r>
              <w:rPr>
                <w:rFonts w:hint="eastAsia" w:ascii="宋体" w:hAnsi="宋体" w:cs="宋体"/>
                <w:color w:val="auto"/>
                <w:szCs w:val="21"/>
                <w:highlight w:val="none"/>
                <w:lang w:val="zh-CN"/>
              </w:rPr>
              <w:t>（北京时间）</w:t>
            </w:r>
          </w:p>
        </w:tc>
      </w:tr>
      <w:tr w14:paraId="22C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39F1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4277DB9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493AE660">
            <w:pPr>
              <w:autoSpaceDE w:val="0"/>
              <w:autoSpaceDN w:val="0"/>
              <w:adjustRightInd w:val="0"/>
              <w:spacing w:line="420" w:lineRule="exact"/>
              <w:rPr>
                <w:rFonts w:ascii="宋体" w:hAnsi="宋体" w:cs="宋体"/>
                <w:color w:val="auto"/>
                <w:szCs w:val="21"/>
                <w:highlight w:val="none"/>
              </w:rPr>
            </w:pPr>
            <w:r>
              <w:rPr>
                <w:rFonts w:hint="eastAsia" w:ascii="宋体" w:hAnsi="宋体" w:cs="宋体"/>
                <w:bCs/>
                <w:color w:val="auto"/>
                <w:szCs w:val="21"/>
                <w:highlight w:val="none"/>
              </w:rPr>
              <w:t>在截止时间前，</w:t>
            </w:r>
            <w:r>
              <w:rPr>
                <w:rFonts w:hint="eastAsia" w:ascii="宋体" w:hAnsi="宋体" w:cs="宋体"/>
                <w:bCs/>
                <w:color w:val="auto"/>
                <w:szCs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cs="宋体"/>
                <w:bCs/>
                <w:color w:val="auto"/>
                <w:szCs w:val="21"/>
                <w:highlight w:val="none"/>
              </w:rPr>
              <w:t>。在制作投标文件前，</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需申领CA，领取CA后与政采云平台的账号进行绑定，使用CA对投标文件进行签章，否则，有可能导致无法在线编制投标文件和参与投标，其后果由</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自行承担。</w:t>
            </w:r>
          </w:p>
        </w:tc>
      </w:tr>
      <w:tr w14:paraId="71A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AC7D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D0994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0DA382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690146F4">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2FE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3B5C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5C6716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5F1C2DA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Calibri"/>
                <w:color w:val="auto"/>
                <w:szCs w:val="21"/>
                <w:highlight w:val="none"/>
                <w:lang w:eastAsia="zh-CN"/>
              </w:rPr>
              <w:t>2025年8月26日上午09：30时</w:t>
            </w:r>
          </w:p>
          <w:p w14:paraId="6C86960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olor w:val="auto"/>
                <w:highlight w:val="none"/>
                <w:lang w:eastAsia="zh-CN"/>
              </w:rPr>
              <w:t>延吉市公共资源交易中心（延边朝鲜族自治州、延吉市政务大厅6楼开标二室）</w:t>
            </w:r>
          </w:p>
        </w:tc>
      </w:tr>
      <w:tr w14:paraId="43B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98139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5D8F4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16A108C">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供应商应当在</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文件要求提交</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文件的截止时间前，提交电子版</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p>
          <w:p w14:paraId="121B755B">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文件应在制作完成后，在</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文件要求签章、加密的电子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文件，政采云平台（https://www.zcygov.cn/）将拒收。</w:t>
            </w:r>
          </w:p>
          <w:p w14:paraId="43CB010A">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rPr>
              <w:t>磋商</w:t>
            </w:r>
            <w:r>
              <w:rPr>
                <w:rFonts w:hint="eastAsia" w:ascii="宋体" w:hAnsi="宋体" w:cs="宋体"/>
                <w:b/>
                <w:bCs w:val="0"/>
                <w:color w:val="auto"/>
                <w:szCs w:val="21"/>
                <w:highlight w:val="none"/>
                <w:lang w:val="zh-CN"/>
              </w:rPr>
              <w:t>顺序：按政采云平台顺序进行。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cs="宋体"/>
                <w:b/>
                <w:bCs w:val="0"/>
                <w:color w:val="auto"/>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通过“政采云”平台（http：//www.zcygov.cn）系统上传第二轮报价电子版文件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5ADAFD64">
            <w:pPr>
              <w:spacing w:line="400" w:lineRule="exact"/>
              <w:jc w:val="left"/>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60778E1">
            <w:pPr>
              <w:spacing w:line="360" w:lineRule="exact"/>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zh-CN" w:eastAsia="zh-CN" w:bidi="ar-SA"/>
              </w:rPr>
              <w:t>腾讯会议：</w:t>
            </w:r>
            <w:r>
              <w:rPr>
                <w:rFonts w:hint="eastAsia" w:ascii="宋体" w:hAnsi="宋体" w:cs="宋体"/>
                <w:b/>
                <w:bCs w:val="0"/>
                <w:color w:val="auto"/>
                <w:kern w:val="2"/>
                <w:sz w:val="21"/>
                <w:szCs w:val="21"/>
                <w:highlight w:val="none"/>
                <w:lang w:val="en-US" w:eastAsia="zh-CN" w:bidi="ar-SA"/>
              </w:rPr>
              <w:t>360</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491</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981</w:t>
            </w:r>
          </w:p>
          <w:p w14:paraId="77DCBE32">
            <w:pPr>
              <w:spacing w:line="360" w:lineRule="exact"/>
              <w:rPr>
                <w:rFonts w:ascii="宋体" w:hAnsi="宋体" w:cs="宋体"/>
                <w:color w:val="auto"/>
                <w:szCs w:val="21"/>
                <w:highlight w:val="none"/>
              </w:rPr>
            </w:pPr>
            <w:r>
              <w:rPr>
                <w:rFonts w:hint="eastAsia" w:ascii="宋体" w:hAnsi="宋体" w:eastAsia="宋体" w:cs="宋体"/>
                <w:b/>
                <w:bCs w:val="0"/>
                <w:color w:val="auto"/>
                <w:kern w:val="2"/>
                <w:sz w:val="21"/>
                <w:szCs w:val="21"/>
                <w:highlight w:val="none"/>
                <w:lang w:val="zh-CN" w:eastAsia="zh-CN" w:bidi="ar-SA"/>
              </w:rPr>
              <w:t>注：本项目采用电子开评标方式进行，各投标人无需到达开标现场，请各投标人提前10分钟进入视频会议室，并准备好响应文件解密锁，按现场指示进行文件解密。</w:t>
            </w:r>
          </w:p>
        </w:tc>
      </w:tr>
      <w:tr w14:paraId="311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79E1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0D29D7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580BFA88">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磋商小组成员构成：经济、技术专业2人，采购人代表1人；</w:t>
            </w:r>
          </w:p>
          <w:p w14:paraId="229888D6">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确定方式：在政采云平台评审专家库中，通过随机方式抽取评审专家。</w:t>
            </w:r>
          </w:p>
        </w:tc>
      </w:tr>
      <w:tr w14:paraId="4D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B22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BC1181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1FB4BE8E">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26C36445">
            <w:pPr>
              <w:spacing w:line="360" w:lineRule="exact"/>
              <w:rPr>
                <w:rFonts w:ascii="宋体" w:hAnsi="宋体" w:cs="宋体"/>
                <w:color w:val="auto"/>
                <w:szCs w:val="21"/>
                <w:highlight w:val="none"/>
              </w:rPr>
            </w:pPr>
            <w:r>
              <w:rPr>
                <w:rFonts w:hint="eastAsia" w:ascii="宋体" w:hAnsi="宋体" w:cs="宋体"/>
                <w:color w:val="auto"/>
                <w:szCs w:val="21"/>
                <w:highlight w:val="none"/>
              </w:rPr>
              <w:t>☑  否，推荐三名成交候选人。排名第一的为成交供应商。</w:t>
            </w:r>
          </w:p>
        </w:tc>
      </w:tr>
      <w:tr w14:paraId="19C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D2273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50134A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0EC359FD">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3F2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0C31C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4B0065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553CCE02">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不要求提供</w:t>
            </w:r>
          </w:p>
          <w:p w14:paraId="433D3159">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要求提供，按成交金额的10%。收到成交通知书后，签订合同前，履约保证金形式：现金，银行出具的现金支票、保兑支票、银行汇票及银行、工程担保机构出具的保函，以现金或支票形式提交的保证金应当从成交单位的基本账户转出。</w:t>
            </w:r>
          </w:p>
        </w:tc>
      </w:tr>
      <w:tr w14:paraId="752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611B2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2DEF02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751E9254">
            <w:pPr>
              <w:spacing w:line="360" w:lineRule="exact"/>
              <w:rPr>
                <w:rFonts w:ascii="宋体" w:hAnsi="宋体" w:cs="宋体"/>
                <w:color w:val="auto"/>
                <w:szCs w:val="21"/>
                <w:highlight w:val="none"/>
              </w:rPr>
            </w:pPr>
            <w:r>
              <w:rPr>
                <w:rFonts w:hint="eastAsia" w:ascii="宋体" w:hAnsi="宋体" w:cs="宋体"/>
                <w:color w:val="auto"/>
                <w:szCs w:val="21"/>
                <w:highlight w:val="none"/>
              </w:rPr>
              <w:t>若成交单位以现金或支票形式提交的保证金，则在工程竣工、验收、备案、竣工决算完成后，无质量问题，不计利息，一次性无息返还。</w:t>
            </w:r>
          </w:p>
        </w:tc>
      </w:tr>
      <w:tr w14:paraId="754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2D136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1CCACDA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CC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9568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02ECC3F1">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6A3865A7">
            <w:pPr>
              <w:autoSpaceDE w:val="0"/>
              <w:autoSpaceDN w:val="0"/>
              <w:adjustRightInd w:val="0"/>
              <w:spacing w:line="36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最高限价(折扣系数):1。</w:t>
            </w:r>
          </w:p>
          <w:p w14:paraId="3E34C24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磋商报价不得超过本最高限价(含首轮报价及二次报价)</w:t>
            </w:r>
          </w:p>
        </w:tc>
      </w:tr>
      <w:tr w14:paraId="35E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73EBB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04C2726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624D6B9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0367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09CC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5DBC83FC">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0331DAC">
            <w:pPr>
              <w:autoSpaceDE w:val="0"/>
              <w:autoSpaceDN w:val="0"/>
              <w:adjustRightIn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4F1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79DC7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6A7164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3D553C01">
            <w:pPr>
              <w:spacing w:line="360" w:lineRule="exact"/>
              <w:rPr>
                <w:rFonts w:ascii="宋体" w:hAnsi="宋体" w:cs="宋体"/>
                <w:b/>
                <w:bCs/>
                <w:color w:val="auto"/>
                <w:szCs w:val="21"/>
                <w:highlight w:val="none"/>
              </w:rPr>
            </w:pP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ascii="宋体" w:hAnsi="宋体" w:cs="宋体"/>
                <w:color w:val="auto"/>
                <w:kern w:val="0"/>
                <w:highlight w:val="none"/>
                <w:lang w:val="en-US" w:eastAsia="zh-CN"/>
              </w:rPr>
              <w:t>8000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r>
              <w:rPr>
                <w:rFonts w:hAnsi="宋体"/>
                <w:color w:val="auto"/>
                <w:highlight w:val="none"/>
              </w:rPr>
              <w:t xml:space="preserve"> </w:t>
            </w:r>
          </w:p>
        </w:tc>
      </w:tr>
      <w:tr w14:paraId="3BB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62AF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4941BD2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0B4F315A">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54B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2A3F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130B96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5828ECE2">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4609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2DC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5BFF5F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2B3603F1">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CC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18A33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693E5DE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63465FA2">
            <w:pPr>
              <w:spacing w:line="360" w:lineRule="exact"/>
              <w:rPr>
                <w:rFonts w:hint="default" w:ascii="宋体" w:hAnsi="宋体" w:eastAsia="宋体" w:cs="宋体"/>
                <w:color w:val="auto"/>
                <w:szCs w:val="21"/>
                <w:highlight w:val="none"/>
                <w:lang w:val="en-US" w:eastAsia="zh-CN"/>
              </w:rPr>
            </w:pPr>
            <w:r>
              <w:rPr>
                <w:rFonts w:hint="eastAsia" w:cs="Times New Roman"/>
                <w:color w:val="auto"/>
                <w:kern w:val="2"/>
                <w:sz w:val="21"/>
                <w:szCs w:val="21"/>
                <w:highlight w:val="none"/>
                <w:lang w:val="en-US" w:eastAsia="zh-CN"/>
              </w:rPr>
              <w:t>工程初步设计批复后支付勘测设计费总额的50%</w:t>
            </w:r>
            <w:r>
              <w:rPr>
                <w:rFonts w:hint="eastAsia" w:ascii="Times New Roman" w:hAnsi="Times New Roman" w:eastAsia="宋体" w:cs="Times New Roman"/>
                <w:color w:val="auto"/>
                <w:kern w:val="2"/>
                <w:sz w:val="21"/>
                <w:szCs w:val="21"/>
                <w:highlight w:val="none"/>
                <w:lang w:val="en-US" w:eastAsia="zh-CN"/>
              </w:rPr>
              <w:t>，</w:t>
            </w:r>
            <w:r>
              <w:rPr>
                <w:rFonts w:hint="eastAsia" w:cs="Times New Roman"/>
                <w:color w:val="auto"/>
                <w:kern w:val="2"/>
                <w:sz w:val="21"/>
                <w:szCs w:val="21"/>
                <w:highlight w:val="none"/>
                <w:lang w:val="en-US" w:eastAsia="zh-CN"/>
              </w:rPr>
              <w:t>招标设计及施工图纸提供后支付勘测设计费总额的30%，</w:t>
            </w:r>
            <w:r>
              <w:rPr>
                <w:rFonts w:hint="eastAsia" w:ascii="Times New Roman" w:hAnsi="Times New Roman" w:eastAsia="宋体" w:cs="Times New Roman"/>
                <w:color w:val="auto"/>
                <w:kern w:val="2"/>
                <w:sz w:val="21"/>
                <w:szCs w:val="21"/>
                <w:highlight w:val="none"/>
                <w:lang w:val="en-US" w:eastAsia="zh-CN"/>
              </w:rPr>
              <w:t>剩余</w:t>
            </w:r>
            <w:r>
              <w:rPr>
                <w:rFonts w:hint="eastAsia" w:cs="Times New Roman"/>
                <w:color w:val="auto"/>
                <w:kern w:val="2"/>
                <w:sz w:val="21"/>
                <w:szCs w:val="21"/>
                <w:highlight w:val="none"/>
                <w:lang w:val="en-US" w:eastAsia="zh-CN"/>
              </w:rPr>
              <w:t>20%</w:t>
            </w:r>
            <w:r>
              <w:rPr>
                <w:rFonts w:hint="eastAsia" w:ascii="Times New Roman" w:hAnsi="Times New Roman" w:eastAsia="宋体" w:cs="Times New Roman"/>
                <w:color w:val="auto"/>
                <w:kern w:val="2"/>
                <w:sz w:val="21"/>
                <w:szCs w:val="21"/>
                <w:highlight w:val="none"/>
                <w:lang w:val="en-US" w:eastAsia="zh-CN"/>
              </w:rPr>
              <w:t>随工程进度支付</w:t>
            </w:r>
            <w:r>
              <w:rPr>
                <w:rFonts w:hint="eastAsia" w:cs="Times New Roman"/>
                <w:color w:val="auto"/>
                <w:kern w:val="2"/>
                <w:sz w:val="21"/>
                <w:szCs w:val="21"/>
                <w:highlight w:val="none"/>
                <w:lang w:val="en-US" w:eastAsia="zh-CN"/>
              </w:rPr>
              <w:t>。</w:t>
            </w:r>
          </w:p>
        </w:tc>
      </w:tr>
      <w:tr w14:paraId="660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3821FAC6">
            <w:pPr>
              <w:spacing w:line="360" w:lineRule="exact"/>
              <w:jc w:val="center"/>
              <w:rPr>
                <w:rFonts w:ascii="宋体" w:hAnsi="宋体" w:cs="宋体"/>
                <w:color w:val="auto"/>
                <w:szCs w:val="21"/>
                <w:highlight w:val="none"/>
              </w:rPr>
            </w:pPr>
          </w:p>
        </w:tc>
        <w:tc>
          <w:tcPr>
            <w:tcW w:w="2480" w:type="dxa"/>
            <w:vAlign w:val="center"/>
          </w:tcPr>
          <w:p w14:paraId="7E4B69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1C68233D">
            <w:pPr>
              <w:pStyle w:val="38"/>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E9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8D9C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51BE071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111AE660">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7A9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9CD111">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2480" w:type="dxa"/>
            <w:vAlign w:val="center"/>
          </w:tcPr>
          <w:p w14:paraId="5A3F03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416C4E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2D4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590C6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1</w:t>
            </w:r>
          </w:p>
        </w:tc>
        <w:tc>
          <w:tcPr>
            <w:tcW w:w="2480" w:type="dxa"/>
            <w:vAlign w:val="center"/>
          </w:tcPr>
          <w:p w14:paraId="6254B0B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63CA7ECB">
            <w:pPr>
              <w:spacing w:line="360" w:lineRule="exact"/>
              <w:rPr>
                <w:rFonts w:ascii="宋体" w:hAnsi="宋体" w:cs="宋体"/>
                <w:color w:val="auto"/>
                <w:szCs w:val="21"/>
                <w:highlight w:val="none"/>
              </w:rPr>
            </w:pPr>
            <w:r>
              <w:rPr>
                <w:rFonts w:hint="eastAsia" w:ascii="宋体" w:hAnsi="宋体" w:cs="宋体"/>
                <w:color w:val="auto"/>
                <w:spacing w:val="8"/>
                <w:kern w:val="0"/>
                <w:szCs w:val="21"/>
                <w:highlight w:val="none"/>
              </w:rPr>
              <w:t>其他未列明行业。</w:t>
            </w:r>
          </w:p>
        </w:tc>
      </w:tr>
      <w:tr w14:paraId="06F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FE85A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50D9CF0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736C7967">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7B3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B32717">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10.13</w:t>
            </w:r>
          </w:p>
        </w:tc>
        <w:tc>
          <w:tcPr>
            <w:tcW w:w="2480" w:type="dxa"/>
            <w:vAlign w:val="center"/>
          </w:tcPr>
          <w:p w14:paraId="375D2A77">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4F739AD7">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以上传至政采云平台的响应文件为准，进行评审。</w:t>
            </w:r>
          </w:p>
          <w:p w14:paraId="098F3E7E">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bidi="ar-SA"/>
              </w:rPr>
              <w:t>响应文件电子版方面技术支持：95763</w:t>
            </w:r>
            <w:r>
              <w:rPr>
                <w:rFonts w:hint="eastAsia" w:ascii="宋体" w:hAnsi="宋体" w:eastAsia="宋体" w:cs="宋体"/>
                <w:color w:val="auto"/>
                <w:sz w:val="21"/>
                <w:szCs w:val="21"/>
                <w:highlight w:val="none"/>
                <w:lang w:val="zh-CN" w:eastAsia="zh-CN" w:bidi="ar-SA"/>
              </w:rPr>
              <w:t>。</w:t>
            </w:r>
          </w:p>
          <w:p w14:paraId="51DA4946">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cs="宋体"/>
                <w:color w:val="auto"/>
                <w:sz w:val="21"/>
                <w:szCs w:val="21"/>
                <w:highlight w:val="none"/>
                <w:lang w:val="zh-CN" w:bidi="ar-SA"/>
              </w:rPr>
              <w:t>供应商</w:t>
            </w:r>
            <w:r>
              <w:rPr>
                <w:rFonts w:hint="eastAsia" w:ascii="宋体" w:hAnsi="宋体" w:eastAsia="宋体" w:cs="宋体"/>
                <w:color w:val="auto"/>
                <w:sz w:val="21"/>
                <w:szCs w:val="21"/>
                <w:highlight w:val="none"/>
                <w:lang w:val="zh-CN" w:bidi="ar-SA"/>
              </w:rPr>
              <w:t>在政府采购云平台（网址：http:// www.zcygov.cn）通过数字证书制作响应文件1份（此响应文件需上传至政府采购云平台，并在开标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持编制响应文件的供应商数字证书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47961C79">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3AB11035">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2B31C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zh-CN" w:bidi="ar-SA"/>
              </w:rPr>
              <w:t>2、响应文件电子版(U盘)按磋商文件规定执行，用数字证书编制的电子版按《政府采购项目电子交易管理操作指南-供应商》进行投标操作。</w:t>
            </w:r>
          </w:p>
        </w:tc>
      </w:tr>
      <w:tr w14:paraId="060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1C1FC6DD">
            <w:pPr>
              <w:bidi w:val="0"/>
              <w:rPr>
                <w:rFonts w:hint="eastAsia"/>
                <w:color w:val="auto"/>
                <w:highlight w:val="none"/>
              </w:rPr>
            </w:pPr>
            <w:r>
              <w:rPr>
                <w:rFonts w:hint="eastAsia"/>
                <w:color w:val="auto"/>
                <w:highlight w:val="none"/>
                <w:lang w:val="en-US" w:eastAsia="zh-CN"/>
              </w:rPr>
              <w:t>注意事项：本项目磋商公告与磋商文件中内容有不符之处，以本磋商文件中内容为准。</w:t>
            </w:r>
          </w:p>
          <w:p w14:paraId="2C1D799F">
            <w:pPr>
              <w:bidi w:val="0"/>
              <w:rPr>
                <w:rFonts w:hint="eastAsia"/>
                <w:color w:val="auto"/>
                <w:highlight w:val="none"/>
              </w:rPr>
            </w:pPr>
            <w:r>
              <w:rPr>
                <w:rFonts w:hint="eastAsia"/>
                <w:color w:val="auto"/>
                <w:highlight w:val="none"/>
                <w:lang w:val="en-US" w:eastAsia="zh-CN"/>
              </w:rPr>
              <w:t>1、</w:t>
            </w:r>
            <w:r>
              <w:rPr>
                <w:rFonts w:hint="eastAsia"/>
                <w:color w:val="auto"/>
                <w:highlight w:val="none"/>
              </w:rPr>
              <w:t>电子</w:t>
            </w:r>
            <w:r>
              <w:rPr>
                <w:rFonts w:hint="eastAsia"/>
                <w:color w:val="auto"/>
                <w:highlight w:val="none"/>
                <w:lang w:eastAsia="zh-CN"/>
              </w:rPr>
              <w:t>响应文件</w:t>
            </w:r>
            <w:r>
              <w:rPr>
                <w:rFonts w:hint="eastAsia"/>
                <w:color w:val="auto"/>
                <w:highlight w:val="none"/>
              </w:rPr>
              <w:t>编制及报送要求：</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1596D4F9">
            <w:pPr>
              <w:bidi w:val="0"/>
              <w:rPr>
                <w:rFonts w:hint="eastAsia" w:ascii="宋体" w:hAnsi="宋体" w:eastAsia="宋体" w:cs="宋体"/>
                <w:color w:val="auto"/>
                <w:szCs w:val="21"/>
                <w:highlight w:val="none"/>
                <w:lang w:val="zh-CN" w:bidi="ar-SA"/>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661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5A71EAB7">
            <w:pPr>
              <w:bidi w:val="0"/>
              <w:jc w:val="center"/>
              <w:rPr>
                <w:rFonts w:hint="eastAsia" w:ascii="宋体" w:hAnsi="宋体" w:eastAsia="宋体" w:cs="宋体"/>
                <w:b w:val="0"/>
                <w:bCs w:val="0"/>
                <w:color w:val="auto"/>
                <w:spacing w:val="0"/>
                <w:kern w:val="2"/>
                <w:sz w:val="21"/>
                <w:szCs w:val="21"/>
                <w:highlight w:val="none"/>
                <w:lang w:val="zh-CN" w:eastAsia="zh-CN" w:bidi="ar-SA"/>
              </w:rPr>
            </w:pPr>
            <w:bookmarkStart w:id="11" w:name="_Toc208999239"/>
            <w:bookmarkStart w:id="12" w:name="_Toc228871257"/>
            <w:bookmarkStart w:id="13" w:name="_Toc199384354"/>
            <w:bookmarkStart w:id="14" w:name="_Toc208974978"/>
            <w:bookmarkStart w:id="15" w:name="_Toc262045192"/>
            <w:bookmarkStart w:id="16" w:name="_Toc259191031"/>
            <w:r>
              <w:rPr>
                <w:rFonts w:hint="eastAsia"/>
                <w:b/>
                <w:bCs/>
                <w:color w:val="auto"/>
                <w:highlight w:val="none"/>
                <w:lang w:val="en-US" w:eastAsia="zh-CN"/>
              </w:rPr>
              <w:t>本项目磋商公告与磋商文件中内容有不符之处，以本磋商文件中内容为准。</w:t>
            </w:r>
          </w:p>
        </w:tc>
      </w:tr>
    </w:tbl>
    <w:p w14:paraId="184C9C73">
      <w:pPr>
        <w:spacing w:line="360" w:lineRule="auto"/>
        <w:outlineLvl w:val="2"/>
        <w:rPr>
          <w:rFonts w:hint="eastAsia" w:ascii="宋体" w:hAnsi="宋体" w:cs="宋体"/>
          <w:b/>
          <w:color w:val="auto"/>
          <w:szCs w:val="21"/>
          <w:highlight w:val="none"/>
        </w:rPr>
      </w:pPr>
    </w:p>
    <w:p w14:paraId="71D05863">
      <w:pPr>
        <w:spacing w:line="360" w:lineRule="auto"/>
        <w:outlineLvl w:val="2"/>
        <w:rPr>
          <w:rFonts w:ascii="宋体" w:hAnsi="宋体" w:cs="宋体"/>
          <w:b/>
          <w:color w:val="auto"/>
          <w:szCs w:val="21"/>
          <w:highlight w:val="none"/>
        </w:rPr>
      </w:pPr>
      <w:bookmarkStart w:id="17" w:name="_Toc26415"/>
      <w:r>
        <w:rPr>
          <w:rFonts w:hint="eastAsia" w:ascii="宋体" w:hAnsi="宋体" w:cs="宋体"/>
          <w:b/>
          <w:color w:val="auto"/>
          <w:szCs w:val="21"/>
          <w:highlight w:val="none"/>
        </w:rPr>
        <w:t>1．总则</w:t>
      </w:r>
      <w:bookmarkEnd w:id="11"/>
      <w:bookmarkEnd w:id="12"/>
      <w:bookmarkEnd w:id="13"/>
      <w:bookmarkEnd w:id="14"/>
      <w:bookmarkEnd w:id="15"/>
      <w:bookmarkEnd w:id="16"/>
      <w:bookmarkEnd w:id="17"/>
    </w:p>
    <w:p w14:paraId="7706B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C21EDA7">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694BE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66950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737C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A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4389E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23A55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61B42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C4A1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6D81792">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1CD6D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6C2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F709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6DCAD7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1.3 </w:t>
      </w:r>
      <w:r>
        <w:rPr>
          <w:rFonts w:hint="eastAsia" w:ascii="宋体" w:hAnsi="宋体" w:cs="宋体"/>
          <w:b/>
          <w:color w:val="auto"/>
          <w:szCs w:val="21"/>
          <w:highlight w:val="none"/>
          <w:lang w:eastAsia="zh-CN"/>
        </w:rPr>
        <w:t>服务内容</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合同履行期限</w:t>
      </w:r>
      <w:r>
        <w:rPr>
          <w:rFonts w:hint="eastAsia" w:ascii="宋体" w:hAnsi="宋体" w:cs="宋体"/>
          <w:b/>
          <w:color w:val="auto"/>
          <w:szCs w:val="21"/>
          <w:highlight w:val="none"/>
        </w:rPr>
        <w:t>和服务标准</w:t>
      </w:r>
    </w:p>
    <w:p w14:paraId="2337D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2929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8B5A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本采购项目的服务标准：见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7462709">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077B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43648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74D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6AA0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82D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7EAD6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40909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78FB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32B5B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A931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7193E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1.4.3供应商（包括联合体各成员）不得与本标段相关单位存在下列关联关系：</w:t>
      </w:r>
    </w:p>
    <w:p w14:paraId="484EE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4D5E9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7194A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（3）与本标段的其他供应商同为一个单位负责人；</w:t>
      </w:r>
    </w:p>
    <w:p w14:paraId="49E2D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（4）与本标段的其他供应商存在控股、管理关系；</w:t>
      </w:r>
    </w:p>
    <w:p w14:paraId="07B34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（5）为本标段前期准备提供咨询服务的法人或其任何附属机构（单位）；</w:t>
      </w:r>
    </w:p>
    <w:p w14:paraId="18769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74094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供应商（包括联合体各成员）不得存在下列不良状况或不良信用记录：</w:t>
      </w:r>
    </w:p>
    <w:p w14:paraId="22290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（1）被省级主管部门取消磋商项目所在地的投标资格且处于有效期内；</w:t>
      </w:r>
    </w:p>
    <w:p w14:paraId="235D6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14:paraId="28E7D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14:paraId="151DD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lang w:val="zh-CN"/>
        </w:rPr>
        <w:t>“信用中国” 网站、全国企业信用信息公示系统</w:t>
      </w:r>
      <w:r>
        <w:rPr>
          <w:rFonts w:hint="eastAsia" w:ascii="宋体" w:hAnsi="宋体" w:cs="宋体"/>
          <w:color w:val="auto"/>
          <w:szCs w:val="21"/>
          <w:highlight w:val="none"/>
        </w:rPr>
        <w:t>中被列入失信被执行人名单；</w:t>
      </w:r>
    </w:p>
    <w:p w14:paraId="7481E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5ED374D9">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57A73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37367C7E">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72612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2C1ADCBE">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1D4EC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D958372">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0438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AE10613">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9EEE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11AA5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79203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4FB67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1224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6A9E03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6F9C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BF8A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6E94A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6CCADB5C">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0E1F7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6A370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97F54B4">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6250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50A5C696">
      <w:pPr>
        <w:spacing w:line="360" w:lineRule="auto"/>
        <w:outlineLvl w:val="2"/>
        <w:rPr>
          <w:rFonts w:ascii="宋体" w:hAnsi="宋体" w:cs="宋体"/>
          <w:b/>
          <w:color w:val="auto"/>
          <w:szCs w:val="21"/>
          <w:highlight w:val="none"/>
        </w:rPr>
      </w:pPr>
      <w:bookmarkStart w:id="18" w:name="_Toc199384355"/>
      <w:bookmarkStart w:id="19" w:name="_Toc22306"/>
      <w:bookmarkStart w:id="20" w:name="_Toc259191032"/>
      <w:bookmarkStart w:id="21" w:name="_Toc228871258"/>
      <w:bookmarkStart w:id="22" w:name="_Toc208974979"/>
      <w:bookmarkStart w:id="23" w:name="_Toc208999240"/>
      <w:bookmarkStart w:id="24" w:name="_Toc262045193"/>
      <w:r>
        <w:rPr>
          <w:rFonts w:hint="eastAsia" w:ascii="宋体" w:hAnsi="宋体" w:cs="宋体"/>
          <w:b/>
          <w:color w:val="auto"/>
          <w:szCs w:val="21"/>
          <w:highlight w:val="none"/>
        </w:rPr>
        <w:t>2．竞争性磋商文件</w:t>
      </w:r>
      <w:bookmarkEnd w:id="18"/>
      <w:bookmarkEnd w:id="19"/>
      <w:bookmarkEnd w:id="20"/>
      <w:bookmarkEnd w:id="21"/>
      <w:bookmarkEnd w:id="22"/>
      <w:bookmarkEnd w:id="23"/>
      <w:bookmarkEnd w:id="24"/>
    </w:p>
    <w:p w14:paraId="4ED6800F">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2D58D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73C5F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39741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7AE17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29E2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59460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27FE6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117AA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7D434464">
      <w:pPr>
        <w:spacing w:line="360"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2.2 竞争性磋商文件的澄清</w:t>
      </w:r>
      <w:r>
        <w:rPr>
          <w:rFonts w:hint="eastAsia" w:ascii="宋体" w:hAnsi="宋体" w:cs="宋体"/>
          <w:b/>
          <w:color w:val="auto"/>
          <w:szCs w:val="21"/>
          <w:highlight w:val="none"/>
          <w:lang w:val="en-US" w:eastAsia="zh-CN"/>
        </w:rPr>
        <w:t>和修改</w:t>
      </w:r>
    </w:p>
    <w:p w14:paraId="6BED7DE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2.2.1 </w:t>
      </w:r>
      <w:r>
        <w:rPr>
          <w:rFonts w:hint="eastAsia" w:ascii="宋体" w:hAnsi="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46395BE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2.2.2</w:t>
      </w:r>
      <w:r>
        <w:rPr>
          <w:rFonts w:hint="eastAsia" w:ascii="宋体" w:hAnsi="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BEEB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2.2.3</w:t>
      </w: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0E13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3E82535">
      <w:pPr>
        <w:spacing w:line="360" w:lineRule="auto"/>
        <w:ind w:firstLine="420" w:firstLineChars="200"/>
        <w:rPr>
          <w:rFonts w:hint="eastAsia"/>
          <w:color w:val="auto"/>
          <w:highlight w:val="none"/>
        </w:rPr>
      </w:pPr>
      <w:r>
        <w:rPr>
          <w:rFonts w:hint="eastAsia" w:ascii="宋体" w:hAnsi="宋体"/>
          <w:color w:val="auto"/>
          <w:szCs w:val="21"/>
          <w:highlight w:val="none"/>
          <w:lang w:val="en-US" w:eastAsia="zh-CN"/>
        </w:rPr>
        <w:t>2.2.5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int="eastAsia" w:cs="宋体"/>
          <w:color w:val="auto"/>
          <w:highlight w:val="none"/>
        </w:rPr>
        <w:t>规定的政府采购信息发布媒体上</w:t>
      </w:r>
      <w:r>
        <w:rPr>
          <w:rFonts w:hint="eastAsia"/>
          <w:color w:val="auto"/>
          <w:highlight w:val="none"/>
        </w:rPr>
        <w:t>发布更正公告。</w:t>
      </w:r>
    </w:p>
    <w:p w14:paraId="23F3631B">
      <w:pPr>
        <w:spacing w:line="360" w:lineRule="auto"/>
        <w:ind w:firstLine="422" w:firstLineChars="200"/>
        <w:rPr>
          <w:rFonts w:ascii="宋体" w:hAnsi="宋体" w:cs="宋体"/>
          <w:color w:val="auto"/>
          <w:sz w:val="21"/>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7067D05A">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3837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0BB9AA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3F59AE84">
      <w:pPr>
        <w:spacing w:line="360" w:lineRule="auto"/>
        <w:outlineLvl w:val="2"/>
        <w:rPr>
          <w:rFonts w:ascii="宋体" w:hAnsi="宋体" w:cs="宋体"/>
          <w:b/>
          <w:color w:val="auto"/>
          <w:szCs w:val="21"/>
          <w:highlight w:val="none"/>
        </w:rPr>
      </w:pPr>
      <w:bookmarkStart w:id="25" w:name="_Toc199384356"/>
      <w:bookmarkStart w:id="26" w:name="_Toc259191033"/>
      <w:bookmarkStart w:id="27" w:name="_Toc262045194"/>
      <w:bookmarkStart w:id="28" w:name="_Toc228871259"/>
      <w:bookmarkStart w:id="29" w:name="_Toc208999241"/>
      <w:bookmarkStart w:id="30" w:name="_Toc208974980"/>
      <w:bookmarkStart w:id="31" w:name="_Toc23781"/>
      <w:r>
        <w:rPr>
          <w:rFonts w:hint="eastAsia" w:ascii="宋体" w:hAnsi="宋体" w:cs="宋体"/>
          <w:b/>
          <w:color w:val="auto"/>
          <w:szCs w:val="21"/>
          <w:highlight w:val="none"/>
        </w:rPr>
        <w:t>3．响应文件</w:t>
      </w:r>
      <w:bookmarkEnd w:id="25"/>
      <w:bookmarkEnd w:id="26"/>
      <w:bookmarkEnd w:id="27"/>
      <w:bookmarkEnd w:id="28"/>
      <w:bookmarkEnd w:id="29"/>
      <w:bookmarkEnd w:id="30"/>
      <w:r>
        <w:rPr>
          <w:rFonts w:hint="eastAsia" w:ascii="宋体" w:hAnsi="宋体" w:cs="宋体"/>
          <w:b/>
          <w:color w:val="auto"/>
          <w:szCs w:val="21"/>
          <w:highlight w:val="none"/>
        </w:rPr>
        <w:t>编制</w:t>
      </w:r>
      <w:bookmarkEnd w:id="31"/>
    </w:p>
    <w:p w14:paraId="5874B41A">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0D66B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129934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124D40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1B161D61">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联合体协议书（如有）</w:t>
      </w:r>
    </w:p>
    <w:p w14:paraId="02BCAA3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磋商响应保证金</w:t>
      </w:r>
    </w:p>
    <w:p w14:paraId="23DAED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磋商报价</w:t>
      </w:r>
    </w:p>
    <w:p w14:paraId="5407F0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）资格审查资料</w:t>
      </w:r>
    </w:p>
    <w:p w14:paraId="7A47D773">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勘察纲要、设计方案</w:t>
      </w:r>
    </w:p>
    <w:p w14:paraId="6DBC0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承诺书</w:t>
      </w:r>
    </w:p>
    <w:p w14:paraId="7550AF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）其他材料</w:t>
      </w:r>
    </w:p>
    <w:p w14:paraId="7CACC178">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1C8E7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052E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646D0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前附表。供应商在投标截止时间前修改磋商函中的投标总报价。此修改应符合本章第 4.3 款的有关要求。</w:t>
      </w:r>
    </w:p>
    <w:p w14:paraId="35C6676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148B8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7BCC1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2D1365B">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3D0D3BB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磋商响应保证金</w:t>
      </w:r>
      <w:r>
        <w:rPr>
          <w:rFonts w:hint="eastAsia" w:ascii="宋体" w:hAnsi="宋体" w:cs="宋体"/>
          <w:color w:val="auto"/>
          <w:szCs w:val="21"/>
          <w:highlight w:val="none"/>
          <w:lang w:val="en-US" w:eastAsia="zh-CN"/>
        </w:rPr>
        <w:t>:见供应商须知前附表。</w:t>
      </w:r>
    </w:p>
    <w:p w14:paraId="2272E632">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1D287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“供应商基本情况表”应附供应商营业执照副本等材料的</w:t>
      </w:r>
      <w:r>
        <w:rPr>
          <w:rFonts w:hint="eastAsia" w:ascii="宋体" w:hAnsi="宋体" w:cs="宋体"/>
          <w:color w:val="auto"/>
          <w:szCs w:val="21"/>
          <w:highlight w:val="none"/>
          <w:lang w:val="en-US" w:eastAsia="zh-CN"/>
        </w:rPr>
        <w:t>扫描件加盖电子章</w:t>
      </w:r>
      <w:r>
        <w:rPr>
          <w:rFonts w:hint="eastAsia" w:ascii="宋体" w:hAnsi="宋体" w:cs="宋体"/>
          <w:color w:val="auto"/>
          <w:szCs w:val="21"/>
          <w:highlight w:val="none"/>
        </w:rPr>
        <w:t>。</w:t>
      </w:r>
    </w:p>
    <w:p w14:paraId="04F5A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E5A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前附表规定接受联合体投标的，本章第3.5.1项至第3.5.3项规定的表格和资料应包括联合体各方相关情况。</w:t>
      </w:r>
    </w:p>
    <w:p w14:paraId="0234A631">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0F1B8B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789AF509">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5998B49E">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3A6B0C2D">
      <w:pPr>
        <w:spacing w:line="360" w:lineRule="auto"/>
        <w:outlineLvl w:val="2"/>
        <w:rPr>
          <w:rFonts w:hint="eastAsia" w:ascii="宋体" w:hAnsi="宋体" w:eastAsia="宋体" w:cs="宋体"/>
          <w:b/>
          <w:color w:val="auto"/>
          <w:szCs w:val="21"/>
          <w:highlight w:val="none"/>
          <w:lang w:eastAsia="zh-CN"/>
        </w:rPr>
      </w:pPr>
      <w:bookmarkStart w:id="32" w:name="_Toc262045195"/>
      <w:bookmarkStart w:id="33" w:name="_Toc208999242"/>
      <w:bookmarkStart w:id="34" w:name="_Toc259191034"/>
      <w:bookmarkStart w:id="35" w:name="_Toc228871260"/>
      <w:bookmarkStart w:id="36" w:name="_Toc199384357"/>
      <w:bookmarkStart w:id="37" w:name="_Toc208974981"/>
      <w:bookmarkStart w:id="38" w:name="_Toc20408"/>
      <w:r>
        <w:rPr>
          <w:rFonts w:hint="eastAsia" w:ascii="宋体" w:hAnsi="宋体" w:cs="宋体"/>
          <w:b/>
          <w:color w:val="auto"/>
          <w:szCs w:val="21"/>
          <w:highlight w:val="none"/>
        </w:rPr>
        <w:t>4．</w:t>
      </w:r>
      <w:bookmarkEnd w:id="32"/>
      <w:bookmarkEnd w:id="33"/>
      <w:bookmarkEnd w:id="34"/>
      <w:bookmarkEnd w:id="35"/>
      <w:bookmarkEnd w:id="36"/>
      <w:bookmarkEnd w:id="37"/>
      <w:r>
        <w:rPr>
          <w:rFonts w:hint="eastAsia" w:ascii="宋体" w:hAnsi="宋体" w:cs="宋体"/>
          <w:b/>
          <w:color w:val="auto"/>
          <w:szCs w:val="21"/>
          <w:highlight w:val="none"/>
        </w:rPr>
        <w:t>首次响应文件</w:t>
      </w:r>
      <w:r>
        <w:rPr>
          <w:rFonts w:hint="eastAsia" w:ascii="宋体" w:hAnsi="宋体" w:cs="宋体"/>
          <w:b/>
          <w:color w:val="auto"/>
          <w:szCs w:val="21"/>
          <w:highlight w:val="none"/>
          <w:lang w:eastAsia="zh-CN"/>
        </w:rPr>
        <w:t>提交</w:t>
      </w:r>
      <w:bookmarkEnd w:id="38"/>
    </w:p>
    <w:p w14:paraId="3823EFED">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响应文件的密封和标记</w:t>
      </w: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项要求密封的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03E5CBF7">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5560D4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4.2.1</w:t>
      </w:r>
      <w:r>
        <w:rPr>
          <w:rFonts w:hint="eastAsia" w:ascii="宋体" w:hAnsi="宋体" w:cs="宋体"/>
          <w:color w:val="auto"/>
          <w:szCs w:val="21"/>
          <w:highlight w:val="none"/>
        </w:rPr>
        <w:t>供应商必须在“供应商须知前附表”规定的时间和地点提交响应文件。</w:t>
      </w:r>
    </w:p>
    <w:p w14:paraId="0009218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olor w:val="auto"/>
          <w:szCs w:val="21"/>
          <w:highlight w:val="none"/>
        </w:rPr>
        <w:t>.2 在响应文件提交截止时间以后，不能补充、修改响应文件。</w:t>
      </w:r>
    </w:p>
    <w:p w14:paraId="0D5A2E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.3 在提交“最后报价”后，供应商不能退出谈判。</w:t>
      </w:r>
    </w:p>
    <w:p w14:paraId="649F91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7F24C4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.5 采购机构不可视情况延长提交响应文件的截止时间。</w:t>
      </w:r>
    </w:p>
    <w:p w14:paraId="50EDB21A">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.6备份响应文件。</w:t>
      </w:r>
      <w:r>
        <w:rPr>
          <w:rFonts w:hint="eastAsia" w:hAnsi="宋体"/>
          <w:bCs/>
          <w:color w:val="auto"/>
          <w:szCs w:val="21"/>
          <w:highlight w:val="none"/>
        </w:rPr>
        <w:t>详见在“供应商须知前附表”。</w:t>
      </w:r>
    </w:p>
    <w:p w14:paraId="218EBE5C">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1FB8018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702AAAA">
      <w:pPr>
        <w:spacing w:line="360" w:lineRule="auto"/>
        <w:outlineLvl w:val="2"/>
        <w:rPr>
          <w:rFonts w:ascii="宋体" w:hAnsi="宋体" w:cs="宋体"/>
          <w:b/>
          <w:color w:val="auto"/>
          <w:szCs w:val="21"/>
          <w:highlight w:val="none"/>
        </w:rPr>
      </w:pPr>
      <w:bookmarkStart w:id="39" w:name="_Toc208999243"/>
      <w:bookmarkStart w:id="40" w:name="_Toc199384358"/>
      <w:bookmarkStart w:id="41" w:name="_Toc262045196"/>
      <w:bookmarkStart w:id="42" w:name="_Toc228871261"/>
      <w:bookmarkStart w:id="43" w:name="_Toc7198"/>
      <w:bookmarkStart w:id="44" w:name="_Toc259191035"/>
      <w:bookmarkStart w:id="45" w:name="_Toc208974982"/>
      <w:r>
        <w:rPr>
          <w:rFonts w:hint="eastAsia" w:ascii="宋体" w:hAnsi="宋体" w:cs="宋体"/>
          <w:b/>
          <w:color w:val="auto"/>
          <w:szCs w:val="21"/>
          <w:highlight w:val="none"/>
        </w:rPr>
        <w:t>5．磋商</w:t>
      </w:r>
      <w:bookmarkEnd w:id="39"/>
      <w:bookmarkEnd w:id="40"/>
      <w:bookmarkEnd w:id="41"/>
      <w:bookmarkEnd w:id="42"/>
      <w:bookmarkEnd w:id="43"/>
      <w:bookmarkEnd w:id="44"/>
      <w:bookmarkEnd w:id="45"/>
    </w:p>
    <w:p w14:paraId="342D4DA5">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2846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采购人在本章第4.2.1项规定的递交首次响应文件截止时间（磋商时间）和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1AA79864">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4AF52EAF">
      <w:pPr>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lang w:val="en-US" w:eastAsia="zh-CN"/>
        </w:rPr>
        <w:t>（4）本项目不再进行唱标环节；接收响应文件后进入评标；</w:t>
      </w:r>
    </w:p>
    <w:p w14:paraId="199EEB7F">
      <w:pPr>
        <w:spacing w:line="360" w:lineRule="auto"/>
        <w:rPr>
          <w:rFonts w:ascii="宋体" w:hAnsi="宋体" w:cs="宋体"/>
          <w:b/>
          <w:color w:val="auto"/>
          <w:szCs w:val="21"/>
          <w:highlight w:val="none"/>
        </w:rPr>
      </w:pPr>
      <w:r>
        <w:rPr>
          <w:rFonts w:hint="eastAsia" w:ascii="宋体" w:hAnsi="宋体" w:cs="宋体"/>
          <w:b/>
          <w:color w:val="auto"/>
          <w:szCs w:val="21"/>
          <w:highlight w:val="none"/>
        </w:rPr>
        <w:t>5.3 响应文件解密</w:t>
      </w:r>
    </w:p>
    <w:p w14:paraId="194EA981">
      <w:pPr>
        <w:spacing w:line="360" w:lineRule="auto"/>
        <w:ind w:firstLine="420" w:firstLineChars="200"/>
        <w:rPr>
          <w:rFonts w:hint="eastAsia" w:hAnsi="宋体"/>
          <w:b/>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5BD38">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0AB17849">
      <w:pPr>
        <w:spacing w:line="360" w:lineRule="auto"/>
        <w:outlineLvl w:val="2"/>
        <w:rPr>
          <w:rFonts w:ascii="宋体" w:hAnsi="宋体" w:cs="宋体"/>
          <w:b/>
          <w:color w:val="auto"/>
          <w:szCs w:val="21"/>
          <w:highlight w:val="none"/>
        </w:rPr>
      </w:pPr>
      <w:bookmarkStart w:id="46" w:name="_Toc259191036"/>
      <w:bookmarkStart w:id="47" w:name="_Toc262045197"/>
      <w:bookmarkStart w:id="48" w:name="_Toc199384359"/>
      <w:bookmarkStart w:id="49" w:name="_Toc208999244"/>
      <w:bookmarkStart w:id="50" w:name="_Toc29884"/>
      <w:bookmarkStart w:id="51" w:name="_Toc228871262"/>
      <w:bookmarkStart w:id="52" w:name="_Toc208974983"/>
      <w:r>
        <w:rPr>
          <w:rFonts w:hint="eastAsia" w:ascii="宋体" w:hAnsi="宋体" w:cs="宋体"/>
          <w:b/>
          <w:color w:val="auto"/>
          <w:szCs w:val="21"/>
          <w:highlight w:val="none"/>
        </w:rPr>
        <w:t>6．评审</w:t>
      </w:r>
      <w:bookmarkEnd w:id="46"/>
      <w:bookmarkEnd w:id="47"/>
      <w:bookmarkEnd w:id="48"/>
      <w:bookmarkEnd w:id="49"/>
      <w:bookmarkEnd w:id="50"/>
      <w:bookmarkEnd w:id="51"/>
      <w:bookmarkEnd w:id="52"/>
    </w:p>
    <w:p w14:paraId="3DE3D381">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5D486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D6B42D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054C9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5AC85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B081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5FC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6E22C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4326D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1FFC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5DF4F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4C8B9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3604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BD77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32906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5863E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37715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63122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0B1E7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AB85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5267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734F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4B0CD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599A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706F5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1DD4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5FE8F887">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036E9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3A8FD9DA">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09111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4480AB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11885DFA">
      <w:pPr>
        <w:spacing w:line="360" w:lineRule="auto"/>
        <w:ind w:firstLine="420" w:firstLineChars="200"/>
        <w:rPr>
          <w:rFonts w:hint="eastAsia" w:ascii="宋体" w:hAnsi="宋体"/>
          <w:color w:val="auto"/>
          <w:highlight w:val="none"/>
        </w:rPr>
      </w:pP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50E583F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7FFB46E3">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5E0204A6">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94967E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4B01B8">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1F0A30C">
      <w:pPr>
        <w:spacing w:line="360" w:lineRule="auto"/>
        <w:ind w:firstLine="630" w:firstLineChars="300"/>
        <w:rPr>
          <w:rFonts w:hint="eastAsia" w:ascii="宋体" w:hAnsi="宋体" w:cs="宋体"/>
          <w:color w:val="auto"/>
          <w:szCs w:val="21"/>
          <w:highlight w:val="none"/>
        </w:rPr>
      </w:pP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DF8AEEA">
      <w:pPr>
        <w:numPr>
          <w:ilvl w:val="0"/>
          <w:numId w:val="4"/>
        </w:numPr>
        <w:spacing w:line="360" w:lineRule="auto"/>
        <w:outlineLvl w:val="2"/>
        <w:rPr>
          <w:rFonts w:ascii="宋体" w:hAnsi="宋体" w:cs="宋体"/>
          <w:b/>
          <w:color w:val="auto"/>
          <w:szCs w:val="21"/>
          <w:highlight w:val="none"/>
        </w:rPr>
      </w:pPr>
      <w:bookmarkStart w:id="53" w:name="_Toc27684"/>
      <w:r>
        <w:rPr>
          <w:rFonts w:hint="eastAsia" w:ascii="宋体" w:hAnsi="宋体" w:cs="宋体"/>
          <w:b/>
          <w:color w:val="auto"/>
          <w:szCs w:val="21"/>
          <w:highlight w:val="none"/>
        </w:rPr>
        <w:t>成交信息公告</w:t>
      </w:r>
      <w:bookmarkEnd w:id="53"/>
    </w:p>
    <w:p w14:paraId="26647644">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1322BA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462F6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34BE7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5D105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3216299">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753B2D24">
      <w:pPr>
        <w:spacing w:line="360" w:lineRule="auto"/>
        <w:rPr>
          <w:rFonts w:ascii="宋体" w:hAnsi="宋体" w:cs="宋体"/>
          <w:b/>
          <w:color w:val="auto"/>
          <w:szCs w:val="21"/>
          <w:highlight w:val="none"/>
        </w:rPr>
      </w:pPr>
      <w:bookmarkStart w:id="54" w:name="_Toc262045198"/>
      <w:bookmarkStart w:id="55" w:name="_Toc208974984"/>
      <w:bookmarkStart w:id="56" w:name="_Toc208999245"/>
      <w:bookmarkStart w:id="57" w:name="_Toc259191037"/>
      <w:bookmarkStart w:id="58" w:name="_Toc199384360"/>
      <w:bookmarkStart w:id="59" w:name="_Toc228871263"/>
      <w:r>
        <w:rPr>
          <w:rFonts w:hint="eastAsia" w:ascii="宋体" w:hAnsi="宋体" w:cs="宋体"/>
          <w:b/>
          <w:color w:val="auto"/>
          <w:szCs w:val="21"/>
          <w:highlight w:val="none"/>
        </w:rPr>
        <w:t>7.3成交通知</w:t>
      </w:r>
    </w:p>
    <w:p w14:paraId="2452A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33EDAE3A">
      <w:pPr>
        <w:spacing w:line="360" w:lineRule="auto"/>
        <w:outlineLvl w:val="2"/>
        <w:rPr>
          <w:rFonts w:ascii="宋体" w:hAnsi="宋体" w:cs="宋体"/>
          <w:b/>
          <w:color w:val="auto"/>
          <w:szCs w:val="21"/>
          <w:highlight w:val="none"/>
        </w:rPr>
      </w:pPr>
      <w:bookmarkStart w:id="60" w:name="_Toc4628"/>
      <w:r>
        <w:rPr>
          <w:rFonts w:hint="eastAsia" w:ascii="宋体" w:hAnsi="宋体" w:cs="宋体"/>
          <w:b/>
          <w:color w:val="auto"/>
          <w:szCs w:val="21"/>
          <w:highlight w:val="none"/>
        </w:rPr>
        <w:t>8．合同授予</w:t>
      </w:r>
      <w:bookmarkEnd w:id="54"/>
      <w:bookmarkEnd w:id="55"/>
      <w:bookmarkEnd w:id="56"/>
      <w:bookmarkEnd w:id="57"/>
      <w:bookmarkEnd w:id="58"/>
      <w:bookmarkEnd w:id="59"/>
      <w:bookmarkEnd w:id="60"/>
    </w:p>
    <w:p w14:paraId="5B4B00E4">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204E5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2D758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7AE2D016">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17C8F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AAC4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1EB093E">
      <w:pPr>
        <w:spacing w:line="360" w:lineRule="auto"/>
        <w:rPr>
          <w:rFonts w:ascii="宋体" w:hAnsi="宋体" w:cs="宋体"/>
          <w:b/>
          <w:color w:val="auto"/>
          <w:szCs w:val="21"/>
          <w:highlight w:val="none"/>
        </w:rPr>
      </w:pPr>
      <w:bookmarkStart w:id="61" w:name="_Toc259191038"/>
      <w:bookmarkStart w:id="62" w:name="_Toc199384361"/>
      <w:bookmarkStart w:id="63" w:name="_Toc208999246"/>
      <w:bookmarkStart w:id="64" w:name="_Toc228871264"/>
      <w:bookmarkStart w:id="65" w:name="_Toc208974985"/>
      <w:bookmarkStart w:id="66" w:name="_Toc262045199"/>
      <w:r>
        <w:rPr>
          <w:rFonts w:hint="eastAsia" w:ascii="宋体" w:hAnsi="宋体" w:cs="宋体"/>
          <w:b/>
          <w:color w:val="auto"/>
          <w:szCs w:val="21"/>
          <w:highlight w:val="none"/>
        </w:rPr>
        <w:t>8</w:t>
      </w:r>
      <w:bookmarkEnd w:id="61"/>
      <w:bookmarkEnd w:id="62"/>
      <w:bookmarkEnd w:id="63"/>
      <w:bookmarkEnd w:id="64"/>
      <w:bookmarkEnd w:id="65"/>
      <w:bookmarkEnd w:id="66"/>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403E4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51AC2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722A2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（2）响应文件未按磋商文件规定要求格式表格制作、密封、签署、盖章；</w:t>
      </w:r>
    </w:p>
    <w:p w14:paraId="16912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59CB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1A5E6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3821C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58487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件未按磋商文件约定提交或提交的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件不一致；</w:t>
      </w:r>
    </w:p>
    <w:p w14:paraId="6274B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4222E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58A19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2F335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41DAE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w:t>
      </w:r>
    </w:p>
    <w:p w14:paraId="207BB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12A62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65E2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方案不符合磋商文件要求；</w:t>
      </w:r>
    </w:p>
    <w:p w14:paraId="6FD9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736EF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24890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0080D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13F30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5C573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57653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7E7543E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25754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428DA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70BC0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4E70E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53BDD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096E4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3BDFB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6637E000">
      <w:pPr>
        <w:spacing w:line="360" w:lineRule="auto"/>
        <w:outlineLvl w:val="2"/>
        <w:rPr>
          <w:rFonts w:ascii="宋体" w:hAnsi="宋体" w:cs="宋体"/>
          <w:b/>
          <w:color w:val="auto"/>
          <w:szCs w:val="21"/>
          <w:highlight w:val="none"/>
        </w:rPr>
      </w:pPr>
      <w:bookmarkStart w:id="67" w:name="_Toc3072"/>
      <w:bookmarkStart w:id="68" w:name="_Toc262045200"/>
      <w:bookmarkStart w:id="69" w:name="_Toc208999247"/>
      <w:bookmarkStart w:id="70" w:name="_Toc259191039"/>
      <w:bookmarkStart w:id="71" w:name="_Toc199384362"/>
      <w:bookmarkStart w:id="72" w:name="_Toc228871265"/>
      <w:bookmarkStart w:id="73" w:name="_Toc208974986"/>
      <w:r>
        <w:rPr>
          <w:rFonts w:hint="eastAsia" w:ascii="宋体" w:hAnsi="宋体" w:cs="宋体"/>
          <w:b/>
          <w:color w:val="auto"/>
          <w:szCs w:val="21"/>
          <w:highlight w:val="none"/>
        </w:rPr>
        <w:t>9．纪律和监督</w:t>
      </w:r>
      <w:bookmarkEnd w:id="67"/>
      <w:bookmarkEnd w:id="68"/>
      <w:bookmarkEnd w:id="69"/>
      <w:bookmarkEnd w:id="70"/>
      <w:bookmarkEnd w:id="71"/>
      <w:bookmarkEnd w:id="72"/>
      <w:bookmarkEnd w:id="73"/>
    </w:p>
    <w:p w14:paraId="030C95BF">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564F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0C78A299">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1D049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748E8235">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7E50F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2DC37C6">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4D5E0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517413CC">
      <w:pPr>
        <w:spacing w:line="360" w:lineRule="auto"/>
        <w:rPr>
          <w:rFonts w:ascii="宋体" w:hAnsi="宋体" w:cs="宋体"/>
          <w:b/>
          <w:color w:val="auto"/>
          <w:szCs w:val="21"/>
          <w:highlight w:val="none"/>
        </w:rPr>
      </w:pPr>
      <w:bookmarkStart w:id="74" w:name="_Toc208999248"/>
      <w:bookmarkStart w:id="75" w:name="_Toc262045201"/>
      <w:bookmarkStart w:id="76" w:name="_Toc199384363"/>
      <w:bookmarkStart w:id="77" w:name="_Toc208974987"/>
      <w:bookmarkStart w:id="78" w:name="_Toc228871266"/>
      <w:bookmarkStart w:id="79" w:name="_Toc259191040"/>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72F686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59C55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5420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ABB99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0E3E8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59A9A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6EB40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65636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4ADEF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065B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48FCE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4AB47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815C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ED1A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46A694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28610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6A12B2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3C725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12162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6DE76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5162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7683C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162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68986B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3579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63B1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6E9EC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6793A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1AC51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62274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77C5F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995A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24E06248">
      <w:pPr>
        <w:spacing w:line="360" w:lineRule="auto"/>
        <w:outlineLvl w:val="2"/>
        <w:rPr>
          <w:rFonts w:ascii="宋体" w:hAnsi="宋体" w:cs="宋体"/>
          <w:b/>
          <w:color w:val="auto"/>
          <w:szCs w:val="21"/>
          <w:highlight w:val="none"/>
        </w:rPr>
      </w:pPr>
      <w:bookmarkStart w:id="80" w:name="_Toc27251"/>
      <w:r>
        <w:rPr>
          <w:rFonts w:hint="eastAsia" w:ascii="宋体" w:hAnsi="宋体" w:cs="宋体"/>
          <w:b/>
          <w:color w:val="auto"/>
          <w:szCs w:val="21"/>
          <w:highlight w:val="none"/>
        </w:rPr>
        <w:t>10．需要补充的其他内容</w:t>
      </w:r>
      <w:bookmarkEnd w:id="74"/>
      <w:bookmarkEnd w:id="75"/>
      <w:bookmarkEnd w:id="76"/>
      <w:bookmarkEnd w:id="77"/>
      <w:bookmarkEnd w:id="78"/>
      <w:bookmarkEnd w:id="79"/>
      <w:bookmarkEnd w:id="80"/>
    </w:p>
    <w:p w14:paraId="2A2E1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0C13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CCC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10.3第二轮报价：格式附后。</w:t>
      </w:r>
    </w:p>
    <w:p w14:paraId="07848B9F">
      <w:pPr>
        <w:spacing w:line="360" w:lineRule="auto"/>
        <w:ind w:firstLine="420" w:firstLineChars="200"/>
        <w:rPr>
          <w:rFonts w:hint="eastAsia" w:hAnsi="宋体" w:eastAsia="宋体" w:cs="宋体"/>
          <w:color w:val="auto"/>
          <w:kern w:val="0"/>
          <w:highlight w:val="none"/>
          <w:lang w:val="en-US" w:eastAsia="zh-CN"/>
        </w:rPr>
      </w:pPr>
      <w:r>
        <w:rPr>
          <w:rFonts w:hint="eastAsia" w:ascii="宋体" w:hAnsi="宋体" w:cs="宋体"/>
          <w:color w:val="auto"/>
          <w:szCs w:val="21"/>
          <w:highlight w:val="none"/>
        </w:rPr>
        <w:t>10.4采购代理服务费：</w:t>
      </w:r>
      <w:r>
        <w:rPr>
          <w:rFonts w:hint="eastAsia" w:hAnsi="宋体" w:cs="宋体"/>
          <w:color w:val="auto"/>
          <w:kern w:val="0"/>
          <w:highlight w:val="none"/>
          <w:lang w:val="en-US" w:eastAsia="zh-CN"/>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r>
        <w:rPr>
          <w:rFonts w:hint="eastAsia" w:ascii="宋体" w:hAnsi="宋体" w:cs="宋体"/>
          <w:color w:val="auto"/>
          <w:szCs w:val="21"/>
          <w:highlight w:val="none"/>
          <w:lang w:eastAsia="zh-CN"/>
        </w:rPr>
        <w:t>。</w:t>
      </w:r>
    </w:p>
    <w:p w14:paraId="68636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5C4EBB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10D3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3D98B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7DE08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21A1B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0F75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62B314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507CE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1BA9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6F716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5F388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3F326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1624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67F77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77F9F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7963F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E4E9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76464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CE82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1ECAC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0C0D2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4CD12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57A76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4FB268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12B6C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12BEC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5C614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ED58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550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7057F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5B9AD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284D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45880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048A2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2471E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6D349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4B4F1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392A6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4234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017E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（3）提供虚假的主要技术人员简历、劳动关系证明；</w:t>
      </w:r>
    </w:p>
    <w:p w14:paraId="3AA8B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30BF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55D42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70978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2C68E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36FAF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56C6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2EB20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6430C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12A14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62D1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1D7B6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6C3F0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BC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30EF7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689F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50345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304C548C">
      <w:pPr>
        <w:spacing w:line="360" w:lineRule="auto"/>
        <w:ind w:firstLine="420" w:firstLineChars="200"/>
        <w:rPr>
          <w:color w:val="auto"/>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81" w:name="_Toc208999250"/>
      <w:bookmarkStart w:id="82" w:name="_Toc259191042"/>
      <w:bookmarkStart w:id="83" w:name="_Toc208974989"/>
      <w:bookmarkStart w:id="84" w:name="_Toc262045203"/>
      <w:bookmarkStart w:id="85" w:name="_Toc199384365"/>
      <w:bookmarkStart w:id="86" w:name="_Toc228871268"/>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E9FCAB">
      <w:pPr>
        <w:spacing w:line="360" w:lineRule="auto"/>
        <w:ind w:firstLine="420" w:firstLineChars="200"/>
        <w:rPr>
          <w:color w:val="auto"/>
          <w:highlight w:val="none"/>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2D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10.13其他说明：</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2402D2D3">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pgNumType w:start="1"/>
          <w:cols w:space="720" w:num="1"/>
          <w:titlePg/>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5150219E">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r>
        <w:rPr>
          <w:rFonts w:hint="eastAsia" w:ascii="宋体" w:hAnsi="宋体" w:eastAsia="宋体" w:cs="Times New Roman"/>
          <w:b/>
          <w:color w:val="auto"/>
          <w:szCs w:val="21"/>
          <w:highlight w:val="none"/>
          <w:lang w:val="en-US" w:eastAsia="zh-CN"/>
        </w:rPr>
        <w:t>件</w:t>
      </w:r>
      <w:r>
        <w:rPr>
          <w:rFonts w:hint="eastAsia" w:ascii="宋体" w:hAnsi="宋体" w:eastAsia="宋体" w:cs="Times New Roman"/>
          <w:b/>
          <w:color w:val="auto"/>
          <w:szCs w:val="21"/>
          <w:highlight w:val="none"/>
        </w:rPr>
        <w:t>一：</w:t>
      </w: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通过下载磋商文件的电子磋商交易平台上传对你方的响应文件进行了仔细的审查，现需你方对下列问题予以澄清：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640A2FE5">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年月日</w:t>
      </w:r>
    </w:p>
    <w:p w14:paraId="447FA1A3">
      <w:pPr>
        <w:spacing w:line="360" w:lineRule="auto"/>
        <w:rPr>
          <w:rFonts w:ascii="宋体" w:hAnsi="宋体" w:cs="宋体"/>
          <w:b/>
          <w:color w:val="auto"/>
          <w:szCs w:val="21"/>
          <w:highlight w:val="none"/>
          <w:lang w:val="zh-CN"/>
        </w:rPr>
      </w:pPr>
    </w:p>
    <w:p w14:paraId="3A255D8F">
      <w:pPr>
        <w:spacing w:line="360" w:lineRule="auto"/>
        <w:rPr>
          <w:rFonts w:ascii="宋体" w:hAnsi="宋体" w:cs="宋体"/>
          <w:b/>
          <w:color w:val="auto"/>
          <w:szCs w:val="21"/>
          <w:highlight w:val="none"/>
          <w:lang w:val="zh-CN"/>
        </w:rPr>
      </w:pPr>
    </w:p>
    <w:p w14:paraId="439A408C">
      <w:pPr>
        <w:spacing w:line="360" w:lineRule="auto"/>
        <w:rPr>
          <w:rFonts w:ascii="宋体" w:hAnsi="宋体" w:cs="宋体"/>
          <w:b/>
          <w:color w:val="auto"/>
          <w:szCs w:val="21"/>
          <w:highlight w:val="none"/>
          <w:lang w:val="zh-CN"/>
        </w:rPr>
      </w:pPr>
    </w:p>
    <w:p w14:paraId="4455338E">
      <w:pPr>
        <w:spacing w:line="360" w:lineRule="auto"/>
        <w:rPr>
          <w:rFonts w:ascii="宋体" w:hAnsi="宋体" w:cs="宋体"/>
          <w:b/>
          <w:color w:val="auto"/>
          <w:szCs w:val="21"/>
          <w:highlight w:val="none"/>
          <w:lang w:val="zh-CN"/>
        </w:rPr>
      </w:pPr>
    </w:p>
    <w:p w14:paraId="15FF1601">
      <w:pPr>
        <w:spacing w:line="360" w:lineRule="auto"/>
        <w:rPr>
          <w:rFonts w:ascii="宋体" w:hAnsi="宋体" w:cs="宋体"/>
          <w:b/>
          <w:color w:val="auto"/>
          <w:szCs w:val="21"/>
          <w:highlight w:val="none"/>
          <w:lang w:val="zh-CN"/>
        </w:rPr>
      </w:pPr>
    </w:p>
    <w:p w14:paraId="098A3F36">
      <w:pPr>
        <w:spacing w:line="360" w:lineRule="auto"/>
        <w:rPr>
          <w:rFonts w:ascii="宋体" w:hAnsi="宋体" w:cs="宋体"/>
          <w:b/>
          <w:color w:val="auto"/>
          <w:szCs w:val="21"/>
          <w:highlight w:val="none"/>
          <w:lang w:val="zh-CN"/>
        </w:rPr>
      </w:pPr>
    </w:p>
    <w:p w14:paraId="090FDE2D">
      <w:pPr>
        <w:spacing w:line="360" w:lineRule="auto"/>
        <w:rPr>
          <w:rFonts w:ascii="宋体" w:hAnsi="宋体" w:cs="宋体"/>
          <w:b/>
          <w:color w:val="auto"/>
          <w:szCs w:val="21"/>
          <w:highlight w:val="none"/>
          <w:lang w:val="zh-CN"/>
        </w:rPr>
      </w:pPr>
    </w:p>
    <w:p w14:paraId="4BDE5B4A">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bidi w:val="0"/>
        <w:rPr>
          <w:rFonts w:hint="eastAsia"/>
          <w:color w:val="auto"/>
          <w:highlight w:val="none"/>
          <w:lang w:val="zh-CN" w:eastAsia="zh-CN"/>
        </w:rPr>
      </w:pPr>
      <w:r>
        <w:rPr>
          <w:rFonts w:hint="eastAsia"/>
          <w:color w:val="auto"/>
          <w:highlight w:val="none"/>
          <w:lang w:val="zh-CN" w:eastAsia="zh-CN"/>
        </w:rPr>
        <w:t>注：以“政采云”平台格式</w:t>
      </w:r>
      <w:r>
        <w:rPr>
          <w:rFonts w:hint="eastAsia"/>
          <w:color w:val="auto"/>
          <w:highlight w:val="none"/>
          <w:lang w:val="en-US" w:eastAsia="zh-CN"/>
        </w:rPr>
        <w:t>为准</w:t>
      </w:r>
    </w:p>
    <w:p w14:paraId="4115DF3E">
      <w:pPr>
        <w:bidi w:val="0"/>
        <w:rPr>
          <w:color w:val="auto"/>
          <w:highlight w:val="none"/>
        </w:rPr>
      </w:pPr>
    </w:p>
    <w:p w14:paraId="70FF870B">
      <w:pPr>
        <w:bidi w:val="0"/>
        <w:rPr>
          <w:color w:val="auto"/>
          <w:highlight w:val="none"/>
        </w:rPr>
      </w:pPr>
    </w:p>
    <w:p w14:paraId="77783830">
      <w:pPr>
        <w:bidi w:val="0"/>
        <w:rPr>
          <w:color w:val="auto"/>
          <w:highlight w:val="none"/>
        </w:rPr>
      </w:pPr>
    </w:p>
    <w:p w14:paraId="7F59C057">
      <w:pPr>
        <w:bidi w:val="0"/>
        <w:rPr>
          <w:color w:val="auto"/>
          <w:highlight w:val="none"/>
        </w:rPr>
      </w:pPr>
    </w:p>
    <w:p w14:paraId="3F8CB711">
      <w:pPr>
        <w:bidi w:val="0"/>
        <w:rPr>
          <w:color w:val="auto"/>
          <w:highlight w:val="none"/>
        </w:rPr>
      </w:pPr>
    </w:p>
    <w:p w14:paraId="57BE1974">
      <w:pPr>
        <w:bidi w:val="0"/>
        <w:rPr>
          <w:color w:val="auto"/>
          <w:highlight w:val="none"/>
        </w:rPr>
      </w:pPr>
    </w:p>
    <w:p w14:paraId="298B6EF4">
      <w:pPr>
        <w:bidi w:val="0"/>
        <w:rPr>
          <w:color w:val="auto"/>
          <w:highlight w:val="none"/>
        </w:rPr>
      </w:pPr>
    </w:p>
    <w:p w14:paraId="43DAE2E8">
      <w:pPr>
        <w:bidi w:val="0"/>
        <w:rPr>
          <w:color w:val="auto"/>
          <w:highlight w:val="none"/>
        </w:rPr>
      </w:pPr>
    </w:p>
    <w:p w14:paraId="663DA69A">
      <w:pPr>
        <w:bidi w:val="0"/>
        <w:rPr>
          <w:color w:val="auto"/>
          <w:highlight w:val="none"/>
        </w:rPr>
      </w:pPr>
    </w:p>
    <w:p w14:paraId="3729A356">
      <w:pPr>
        <w:bidi w:val="0"/>
        <w:rPr>
          <w:color w:val="auto"/>
          <w:highlight w:val="none"/>
        </w:rPr>
      </w:pPr>
    </w:p>
    <w:p w14:paraId="7DDE2494">
      <w:pPr>
        <w:bidi w:val="0"/>
        <w:rPr>
          <w:color w:val="auto"/>
          <w:highlight w:val="none"/>
        </w:rPr>
      </w:pPr>
    </w:p>
    <w:p w14:paraId="69930055">
      <w:pPr>
        <w:bidi w:val="0"/>
        <w:rPr>
          <w:color w:val="auto"/>
          <w:highlight w:val="none"/>
        </w:rPr>
      </w:pPr>
    </w:p>
    <w:p w14:paraId="3C81187E">
      <w:pPr>
        <w:rPr>
          <w:rFonts w:ascii="宋体" w:hAnsi="宋体"/>
          <w:color w:val="auto"/>
          <w:szCs w:val="21"/>
          <w:highlight w:val="none"/>
        </w:rPr>
      </w:pPr>
      <w:r>
        <w:rPr>
          <w:color w:val="auto"/>
          <w:highlight w:val="none"/>
        </w:rPr>
        <w:br w:type="page"/>
      </w:r>
    </w:p>
    <w:p w14:paraId="22480819">
      <w:pPr>
        <w:pStyle w:val="71"/>
        <w:rPr>
          <w:rFonts w:ascii="宋体" w:hAnsi="宋体"/>
          <w:color w:val="auto"/>
          <w:szCs w:val="21"/>
          <w:highlight w:val="none"/>
        </w:rPr>
      </w:pPr>
    </w:p>
    <w:p w14:paraId="12F5BBB1">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54AC8B25">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727E89E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86252F2">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9D6683">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103D67B">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CB12E8">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BDFBD1C">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C84C63A">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9D8ECC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E8BDB7C">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4B08EB1F">
      <w:pPr>
        <w:pStyle w:val="27"/>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D1A25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12D70D0">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3A437FD8">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5E1C2C5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257DDA1B">
      <w:pPr>
        <w:pStyle w:val="27"/>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2D0C5967">
      <w:pPr>
        <w:pStyle w:val="27"/>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303601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43BB9F8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3F9F0F6">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34D61AC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2163F291">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36CE2EFE">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3A2D8B7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13212E55">
      <w:pPr>
        <w:pStyle w:val="27"/>
        <w:spacing w:line="360" w:lineRule="auto"/>
        <w:ind w:left="25" w:leftChars="12" w:firstLine="308" w:firstLineChars="147"/>
        <w:contextualSpacing/>
        <w:rPr>
          <w:rFonts w:hint="eastAsia" w:hAnsi="宋体"/>
          <w:color w:val="auto"/>
          <w:sz w:val="21"/>
          <w:szCs w:val="21"/>
          <w:highlight w:val="none"/>
        </w:rPr>
      </w:pPr>
    </w:p>
    <w:p w14:paraId="47C1E9B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0C5B5B6F">
      <w:pPr>
        <w:pStyle w:val="27"/>
        <w:spacing w:line="360" w:lineRule="auto"/>
        <w:ind w:left="25" w:leftChars="12" w:firstLine="308" w:firstLineChars="147"/>
        <w:contextualSpacing/>
        <w:rPr>
          <w:rFonts w:hint="eastAsia" w:hAnsi="宋体"/>
          <w:color w:val="auto"/>
          <w:sz w:val="21"/>
          <w:szCs w:val="21"/>
          <w:highlight w:val="none"/>
        </w:rPr>
      </w:pPr>
    </w:p>
    <w:p w14:paraId="4B0350E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42E04662">
      <w:pPr>
        <w:pStyle w:val="27"/>
        <w:spacing w:line="360" w:lineRule="auto"/>
        <w:rPr>
          <w:rFonts w:hint="eastAsia" w:hAnsi="宋体"/>
          <w:b/>
          <w:color w:val="auto"/>
          <w:sz w:val="21"/>
          <w:szCs w:val="21"/>
          <w:highlight w:val="none"/>
        </w:rPr>
      </w:pPr>
    </w:p>
    <w:p w14:paraId="572B6A34">
      <w:pPr>
        <w:pStyle w:val="27"/>
        <w:spacing w:line="360" w:lineRule="auto"/>
        <w:rPr>
          <w:rFonts w:hint="eastAsia" w:hAnsi="宋体"/>
          <w:b/>
          <w:color w:val="auto"/>
          <w:sz w:val="21"/>
          <w:szCs w:val="21"/>
          <w:highlight w:val="none"/>
        </w:rPr>
      </w:pPr>
    </w:p>
    <w:p w14:paraId="3AE37C76">
      <w:pPr>
        <w:pStyle w:val="27"/>
        <w:spacing w:line="360" w:lineRule="auto"/>
        <w:rPr>
          <w:rFonts w:hint="eastAsia" w:hAnsi="宋体"/>
          <w:b/>
          <w:color w:val="auto"/>
          <w:sz w:val="21"/>
          <w:szCs w:val="21"/>
          <w:highlight w:val="none"/>
        </w:rPr>
      </w:pPr>
    </w:p>
    <w:p w14:paraId="2741B596">
      <w:pPr>
        <w:pStyle w:val="27"/>
        <w:spacing w:line="360" w:lineRule="auto"/>
        <w:rPr>
          <w:rFonts w:hint="eastAsia" w:hAnsi="宋体"/>
          <w:b/>
          <w:color w:val="auto"/>
          <w:sz w:val="21"/>
          <w:szCs w:val="21"/>
          <w:highlight w:val="none"/>
        </w:rPr>
      </w:pPr>
    </w:p>
    <w:p w14:paraId="1867B48C">
      <w:pPr>
        <w:pStyle w:val="27"/>
        <w:spacing w:line="360" w:lineRule="auto"/>
        <w:rPr>
          <w:rFonts w:hint="eastAsia" w:hAnsi="宋体"/>
          <w:b/>
          <w:color w:val="auto"/>
          <w:sz w:val="21"/>
          <w:szCs w:val="21"/>
          <w:highlight w:val="none"/>
        </w:rPr>
      </w:pPr>
    </w:p>
    <w:p w14:paraId="32874318">
      <w:pPr>
        <w:pStyle w:val="27"/>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4796492C">
      <w:pPr>
        <w:pStyle w:val="27"/>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05CC6A0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E2A1F0">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27461C7E">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556ED8D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B63AD9F">
      <w:pPr>
        <w:pStyle w:val="27"/>
        <w:spacing w:line="360" w:lineRule="auto"/>
        <w:ind w:left="25" w:leftChars="12" w:firstLine="310" w:firstLineChars="147"/>
        <w:contextualSpacing/>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6</w:t>
      </w:r>
      <w:r>
        <w:rPr>
          <w:rFonts w:hint="eastAsia" w:hAnsi="宋体"/>
          <w:b/>
          <w:color w:val="auto"/>
          <w:sz w:val="21"/>
          <w:szCs w:val="21"/>
          <w:highlight w:val="none"/>
        </w:rPr>
        <w:t>、直接送达的异议函必须是原件；发电子邮件的异议函必须是原件的彩色扫描件</w:t>
      </w:r>
      <w:r>
        <w:rPr>
          <w:rFonts w:hint="eastAsia" w:hAnsi="宋体"/>
          <w:b/>
          <w:color w:val="auto"/>
          <w:sz w:val="21"/>
          <w:szCs w:val="21"/>
          <w:highlight w:val="none"/>
          <w:lang w:eastAsia="zh-CN"/>
        </w:rPr>
        <w:t>。</w:t>
      </w:r>
    </w:p>
    <w:p w14:paraId="0B8EE7BF">
      <w:pPr>
        <w:pStyle w:val="27"/>
        <w:snapToGrid w:val="0"/>
        <w:rPr>
          <w:rFonts w:hint="eastAsia"/>
          <w:b/>
          <w:color w:val="auto"/>
          <w:sz w:val="21"/>
          <w:szCs w:val="21"/>
          <w:highlight w:val="none"/>
        </w:rPr>
      </w:pPr>
    </w:p>
    <w:p w14:paraId="21D6EEEB">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382FD444">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01F9A3E4">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32B2439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A559BC">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EEB3B12">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163D8767">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EFF6A0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2F7BD1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9091E0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29CD875">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41A59CCF">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4EAE1E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886C10">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40A5976">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41383B2D">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31033E4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5C622023">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18017A18">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12ABEFF">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1517FD8F">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ED20B17">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C56B8A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D8AFC2E">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47AE46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955B615">
      <w:pPr>
        <w:pStyle w:val="27"/>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29AAECA9">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2E96C0A1">
      <w:pPr>
        <w:pStyle w:val="27"/>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5353190D">
      <w:pPr>
        <w:pStyle w:val="27"/>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09016DFB">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50BC020">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0163BD3C">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0A3B9C79">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274864B">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3B52FDB">
      <w:pPr>
        <w:pStyle w:val="27"/>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61EE6F0E">
      <w:pPr>
        <w:pStyle w:val="27"/>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63843885">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CD80FE2">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491AC1AE">
      <w:pPr>
        <w:pStyle w:val="27"/>
        <w:spacing w:line="360" w:lineRule="auto"/>
        <w:ind w:left="25" w:leftChars="12" w:firstLine="308" w:firstLineChars="147"/>
        <w:rPr>
          <w:rFonts w:hint="eastAsia" w:hAnsi="宋体"/>
          <w:color w:val="auto"/>
          <w:sz w:val="21"/>
          <w:szCs w:val="21"/>
          <w:highlight w:val="none"/>
        </w:rPr>
      </w:pPr>
    </w:p>
    <w:p w14:paraId="00783A74">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0DDF68C">
      <w:pPr>
        <w:pStyle w:val="27"/>
        <w:spacing w:line="360" w:lineRule="auto"/>
        <w:ind w:left="25" w:leftChars="12" w:firstLine="308" w:firstLineChars="147"/>
        <w:rPr>
          <w:rFonts w:hint="eastAsia" w:hAnsi="宋体"/>
          <w:color w:val="auto"/>
          <w:sz w:val="21"/>
          <w:szCs w:val="21"/>
          <w:highlight w:val="none"/>
        </w:rPr>
      </w:pPr>
    </w:p>
    <w:p w14:paraId="0246D911">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D93143B">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09E70F81">
      <w:pPr>
        <w:pStyle w:val="27"/>
        <w:snapToGrid w:val="0"/>
        <w:spacing w:line="360" w:lineRule="auto"/>
        <w:rPr>
          <w:rFonts w:hint="eastAsia" w:hAnsi="宋体"/>
          <w:b/>
          <w:color w:val="auto"/>
          <w:sz w:val="21"/>
          <w:szCs w:val="21"/>
          <w:highlight w:val="none"/>
        </w:rPr>
      </w:pPr>
    </w:p>
    <w:p w14:paraId="2B4D5D31">
      <w:pPr>
        <w:pStyle w:val="27"/>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DFED7D6">
      <w:pPr>
        <w:pStyle w:val="27"/>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44BB25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550245">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39D952D7">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13C68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49ABECA6">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199697AF">
      <w:pPr>
        <w:spacing w:line="360" w:lineRule="auto"/>
        <w:rPr>
          <w:rFonts w:hint="default" w:ascii="宋体" w:hAnsi="宋体" w:cs="宋体"/>
          <w:color w:val="auto"/>
          <w:szCs w:val="21"/>
          <w:highlight w:val="none"/>
          <w:lang w:val="en-US" w:eastAsia="zh-CN"/>
        </w:rPr>
        <w:sectPr>
          <w:footerReference r:id="rId12" w:type="first"/>
          <w:headerReference r:id="rId10" w:type="default"/>
          <w:footerReference r:id="rId11" w:type="default"/>
          <w:pgSz w:w="11906" w:h="16838"/>
          <w:pgMar w:top="1418" w:right="1418" w:bottom="1418" w:left="1418" w:header="851" w:footer="1077" w:gutter="0"/>
          <w:cols w:space="720" w:num="1"/>
          <w:titlePg/>
          <w:docGrid w:linePitch="312" w:charSpace="0"/>
        </w:sectPr>
      </w:pPr>
    </w:p>
    <w:bookmarkEnd w:id="81"/>
    <w:bookmarkEnd w:id="82"/>
    <w:bookmarkEnd w:id="83"/>
    <w:bookmarkEnd w:id="84"/>
    <w:bookmarkEnd w:id="85"/>
    <w:bookmarkEnd w:id="86"/>
    <w:p w14:paraId="23AAD7B3">
      <w:pPr>
        <w:pStyle w:val="3"/>
        <w:tabs>
          <w:tab w:val="center" w:pos="4535"/>
          <w:tab w:val="left" w:pos="6795"/>
        </w:tabs>
        <w:jc w:val="center"/>
        <w:rPr>
          <w:color w:val="auto"/>
          <w:highlight w:val="none"/>
        </w:rPr>
      </w:pPr>
      <w:bookmarkStart w:id="87" w:name="_Toc9803121"/>
      <w:bookmarkStart w:id="88" w:name="_Toc31776"/>
      <w:bookmarkStart w:id="89" w:name="_Toc228247106"/>
      <w:r>
        <w:rPr>
          <w:rFonts w:hint="eastAsia"/>
          <w:color w:val="auto"/>
          <w:highlight w:val="none"/>
        </w:rPr>
        <w:t>第三章</w:t>
      </w:r>
      <w:bookmarkEnd w:id="87"/>
      <w:r>
        <w:rPr>
          <w:rFonts w:hint="eastAsia"/>
          <w:color w:val="auto"/>
          <w:highlight w:val="none"/>
          <w:lang w:val="en-US" w:eastAsia="zh-CN"/>
        </w:rPr>
        <w:t xml:space="preserve"> </w:t>
      </w:r>
      <w:r>
        <w:rPr>
          <w:rFonts w:hint="eastAsia"/>
          <w:color w:val="auto"/>
          <w:highlight w:val="none"/>
        </w:rPr>
        <w:t>竞争性磋商评审细则</w:t>
      </w:r>
      <w:bookmarkEnd w:id="88"/>
    </w:p>
    <w:p w14:paraId="6EE7534E">
      <w:pPr>
        <w:autoSpaceDE w:val="0"/>
        <w:autoSpaceDN w:val="0"/>
        <w:adjustRightInd w:val="0"/>
        <w:spacing w:line="360" w:lineRule="auto"/>
        <w:jc w:val="center"/>
        <w:rPr>
          <w:rFonts w:hint="eastAsia" w:ascii="宋体" w:hAnsi="宋体" w:cs="宋体"/>
          <w:b/>
          <w:bCs/>
          <w:color w:val="auto"/>
          <w:szCs w:val="21"/>
          <w:highlight w:val="none"/>
        </w:rPr>
      </w:pPr>
      <w:r>
        <w:rPr>
          <w:rFonts w:hint="eastAsia" w:ascii="宋体" w:hAnsi="宋体" w:eastAsia="宋体" w:cs="宋体"/>
          <w:b/>
          <w:bCs/>
          <w:color w:val="auto"/>
          <w:szCs w:val="21"/>
          <w:highlight w:val="none"/>
        </w:rPr>
        <w:t>资格及</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性评审表</w:t>
      </w:r>
    </w:p>
    <w:tbl>
      <w:tblPr>
        <w:tblStyle w:val="50"/>
        <w:tblpPr w:leftFromText="180" w:rightFromText="180" w:vertAnchor="text" w:horzAnchor="page" w:tblpX="1453" w:tblpY="33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1933"/>
        <w:gridCol w:w="5408"/>
      </w:tblGrid>
      <w:tr w14:paraId="62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2737F88B">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0D0540D5">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1933" w:type="dxa"/>
            <w:vAlign w:val="center"/>
          </w:tcPr>
          <w:p w14:paraId="3EFDD899">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408" w:type="dxa"/>
            <w:vAlign w:val="center"/>
          </w:tcPr>
          <w:p w14:paraId="7BBD41E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7043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restart"/>
            <w:vAlign w:val="center"/>
          </w:tcPr>
          <w:p w14:paraId="33679E19">
            <w:pPr>
              <w:spacing w:line="360" w:lineRule="exact"/>
              <w:jc w:val="center"/>
              <w:rPr>
                <w:rFonts w:ascii="宋体" w:hAnsi="宋体"/>
                <w:color w:val="auto"/>
                <w:szCs w:val="21"/>
                <w:highlight w:val="none"/>
              </w:rPr>
            </w:pPr>
            <w:r>
              <w:rPr>
                <w:rFonts w:hint="eastAsia" w:ascii="宋体" w:hAnsi="宋体"/>
                <w:color w:val="auto"/>
                <w:szCs w:val="21"/>
                <w:highlight w:val="none"/>
              </w:rPr>
              <w:t>2.1.1</w:t>
            </w:r>
          </w:p>
        </w:tc>
        <w:tc>
          <w:tcPr>
            <w:tcW w:w="1119" w:type="dxa"/>
            <w:vMerge w:val="restart"/>
            <w:vAlign w:val="center"/>
          </w:tcPr>
          <w:p w14:paraId="632A85E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1933" w:type="dxa"/>
            <w:vAlign w:val="center"/>
          </w:tcPr>
          <w:p w14:paraId="7EB49427">
            <w:pPr>
              <w:snapToGrid w:val="0"/>
              <w:spacing w:line="360" w:lineRule="exact"/>
              <w:jc w:val="center"/>
              <w:rPr>
                <w:rFonts w:ascii="宋体" w:hAnsi="宋体"/>
                <w:color w:val="auto"/>
                <w:szCs w:val="21"/>
                <w:highlight w:val="none"/>
              </w:rPr>
            </w:pPr>
            <w:r>
              <w:rPr>
                <w:rFonts w:ascii="宋体" w:hAnsi="宋体"/>
                <w:color w:val="auto"/>
                <w:highlight w:val="none"/>
              </w:rPr>
              <w:t>营业执照</w:t>
            </w:r>
          </w:p>
        </w:tc>
        <w:tc>
          <w:tcPr>
            <w:tcW w:w="5408" w:type="dxa"/>
            <w:vAlign w:val="center"/>
          </w:tcPr>
          <w:p w14:paraId="05FF7050">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具备有效的营业执照。</w:t>
            </w:r>
          </w:p>
          <w:p w14:paraId="11DAF31A">
            <w:pPr>
              <w:snapToGrid w:val="0"/>
              <w:spacing w:line="360" w:lineRule="exact"/>
              <w:rPr>
                <w:rFonts w:ascii="Calibri" w:hAnsi="Calibri"/>
                <w:color w:val="auto"/>
                <w:szCs w:val="21"/>
                <w:highlight w:val="none"/>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09D4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6781FFC">
            <w:pPr>
              <w:spacing w:line="360" w:lineRule="exact"/>
              <w:jc w:val="center"/>
              <w:rPr>
                <w:rFonts w:ascii="宋体" w:hAnsi="宋体"/>
                <w:color w:val="auto"/>
                <w:szCs w:val="21"/>
                <w:highlight w:val="none"/>
              </w:rPr>
            </w:pPr>
          </w:p>
        </w:tc>
        <w:tc>
          <w:tcPr>
            <w:tcW w:w="1119" w:type="dxa"/>
            <w:vMerge w:val="continue"/>
          </w:tcPr>
          <w:p w14:paraId="348E856D">
            <w:pPr>
              <w:snapToGrid w:val="0"/>
              <w:spacing w:line="360" w:lineRule="exact"/>
              <w:ind w:firstLine="46" w:firstLineChars="22"/>
              <w:jc w:val="center"/>
              <w:rPr>
                <w:rFonts w:ascii="宋体" w:hAnsi="宋体"/>
                <w:color w:val="auto"/>
                <w:szCs w:val="21"/>
                <w:highlight w:val="none"/>
              </w:rPr>
            </w:pPr>
          </w:p>
        </w:tc>
        <w:tc>
          <w:tcPr>
            <w:tcW w:w="1933" w:type="dxa"/>
            <w:vAlign w:val="center"/>
          </w:tcPr>
          <w:p w14:paraId="29D16FFA">
            <w:pPr>
              <w:snapToGrid w:val="0"/>
              <w:spacing w:line="360" w:lineRule="exact"/>
              <w:jc w:val="center"/>
              <w:rPr>
                <w:rFonts w:ascii="宋体" w:hAnsi="宋体"/>
                <w:color w:val="auto"/>
                <w:szCs w:val="21"/>
                <w:highlight w:val="none"/>
              </w:rPr>
            </w:pPr>
            <w:r>
              <w:rPr>
                <w:rFonts w:ascii="宋体" w:hAnsi="宋体"/>
                <w:color w:val="auto"/>
                <w:highlight w:val="none"/>
              </w:rPr>
              <w:t>资质要求</w:t>
            </w:r>
          </w:p>
        </w:tc>
        <w:tc>
          <w:tcPr>
            <w:tcW w:w="5408" w:type="dxa"/>
            <w:vAlign w:val="center"/>
          </w:tcPr>
          <w:p w14:paraId="74CEBA13">
            <w:pPr>
              <w:spacing w:line="360" w:lineRule="exact"/>
              <w:rPr>
                <w:rFonts w:hint="eastAsia" w:ascii="宋体" w:hAnsi="宋体" w:cs="Times New Roman"/>
                <w:color w:val="auto"/>
                <w:kern w:val="2"/>
                <w:sz w:val="21"/>
                <w:szCs w:val="21"/>
                <w:highlight w:val="none"/>
                <w:lang w:val="en-US" w:eastAsia="zh-CN" w:bidi="ar-SA"/>
              </w:rPr>
            </w:pPr>
            <w:r>
              <w:rPr>
                <w:rFonts w:hint="eastAsia" w:ascii="宋体" w:hAnsi="宋体" w:eastAsia="宋体" w:cs="宋体"/>
                <w:color w:val="auto"/>
                <w:highlight w:val="none"/>
                <w:shd w:val="clear" w:color="auto" w:fill="FFFFFF"/>
                <w:lang w:val="zh-CN"/>
              </w:rPr>
              <w:t>供应商须</w:t>
            </w:r>
            <w:r>
              <w:rPr>
                <w:rFonts w:hint="eastAsia" w:ascii="宋体" w:hAnsi="宋体" w:eastAsia="宋体" w:cs="宋体"/>
                <w:color w:val="auto"/>
                <w:highlight w:val="none"/>
                <w:shd w:val="clear" w:color="auto" w:fill="FFFFFF"/>
                <w:lang w:val="zh-CN" w:eastAsia="zh-CN"/>
              </w:rPr>
              <w:t>具备行政主管部门颁发的水利行业设计专业乙级（含乙级）及以上资质和工程勘察专业类岩土工程（勘察）乙级（含乙级）及以上资质</w:t>
            </w:r>
            <w:r>
              <w:rPr>
                <w:rFonts w:hint="eastAsia" w:ascii="宋体" w:hAnsi="宋体" w:cs="Times New Roman"/>
                <w:color w:val="auto"/>
                <w:kern w:val="2"/>
                <w:sz w:val="21"/>
                <w:szCs w:val="21"/>
                <w:highlight w:val="none"/>
                <w:lang w:val="en-US" w:eastAsia="zh-CN" w:bidi="ar-SA"/>
              </w:rPr>
              <w:t>。</w:t>
            </w:r>
          </w:p>
          <w:p w14:paraId="07A477E7">
            <w:pPr>
              <w:snapToGrid w:val="0"/>
              <w:spacing w:line="360" w:lineRule="exact"/>
              <w:rPr>
                <w:rFonts w:ascii="宋体" w:hAnsi="宋体"/>
                <w:color w:val="auto"/>
                <w:szCs w:val="21"/>
                <w:highlight w:val="none"/>
              </w:rPr>
            </w:pPr>
            <w:r>
              <w:rPr>
                <w:rFonts w:hint="eastAsia" w:ascii="宋体" w:hAnsi="宋体" w:cs="宋体"/>
                <w:b/>
                <w:color w:val="auto"/>
                <w:sz w:val="21"/>
                <w:szCs w:val="21"/>
                <w:highlight w:val="none"/>
                <w:lang w:val="zh-CN"/>
              </w:rPr>
              <w:t>响应文件内附资质证书</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6A8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F0C2D5C">
            <w:pPr>
              <w:spacing w:line="360" w:lineRule="exact"/>
              <w:jc w:val="center"/>
              <w:rPr>
                <w:rFonts w:ascii="宋体" w:hAnsi="宋体"/>
                <w:color w:val="auto"/>
                <w:szCs w:val="21"/>
                <w:highlight w:val="none"/>
              </w:rPr>
            </w:pPr>
          </w:p>
        </w:tc>
        <w:tc>
          <w:tcPr>
            <w:tcW w:w="1119" w:type="dxa"/>
            <w:vMerge w:val="continue"/>
          </w:tcPr>
          <w:p w14:paraId="0F58158B">
            <w:pPr>
              <w:spacing w:line="360" w:lineRule="exact"/>
              <w:rPr>
                <w:rFonts w:ascii="宋体" w:hAnsi="宋体"/>
                <w:color w:val="auto"/>
                <w:szCs w:val="21"/>
                <w:highlight w:val="none"/>
              </w:rPr>
            </w:pPr>
          </w:p>
        </w:tc>
        <w:tc>
          <w:tcPr>
            <w:tcW w:w="1933" w:type="dxa"/>
            <w:vAlign w:val="center"/>
          </w:tcPr>
          <w:p w14:paraId="60824569">
            <w:pPr>
              <w:snapToGrid w:val="0"/>
              <w:spacing w:line="360" w:lineRule="exact"/>
              <w:jc w:val="center"/>
              <w:rPr>
                <w:rFonts w:ascii="宋体" w:hAnsi="宋体"/>
                <w:color w:val="auto"/>
                <w:szCs w:val="21"/>
                <w:highlight w:val="none"/>
              </w:rPr>
            </w:pPr>
            <w:r>
              <w:rPr>
                <w:rFonts w:ascii="宋体" w:hAnsi="宋体"/>
                <w:color w:val="auto"/>
                <w:highlight w:val="none"/>
              </w:rPr>
              <w:t>财务要求</w:t>
            </w:r>
          </w:p>
        </w:tc>
        <w:tc>
          <w:tcPr>
            <w:tcW w:w="5408" w:type="dxa"/>
            <w:vAlign w:val="center"/>
          </w:tcPr>
          <w:p w14:paraId="076027DA">
            <w:pPr>
              <w:widowControl/>
              <w:spacing w:line="360" w:lineRule="exact"/>
              <w:jc w:val="left"/>
              <w:rPr>
                <w:rFonts w:ascii="宋体" w:hAnsi="宋体" w:cs="宋体"/>
                <w:color w:val="auto"/>
                <w:kern w:val="0"/>
                <w:szCs w:val="21"/>
                <w:highlight w:val="none"/>
                <w:lang w:val="zh-CN"/>
              </w:rPr>
            </w:pPr>
            <w:r>
              <w:rPr>
                <w:rFonts w:hint="eastAsia" w:ascii="宋体" w:hAnsi="宋体" w:eastAsia="宋体" w:cs="Times New Roman"/>
                <w:color w:val="auto"/>
                <w:kern w:val="2"/>
                <w:sz w:val="21"/>
                <w:szCs w:val="21"/>
                <w:highlight w:val="none"/>
                <w:lang w:val="en-US" w:eastAsia="zh-CN" w:bidi="ar-SA"/>
              </w:rPr>
              <w:t>具有良好的商业信誉和健全的财务会计制度，提供202</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lang w:val="en-US" w:eastAsia="zh-CN" w:bidi="ar-SA"/>
              </w:rPr>
              <w:t>度财务报表</w:t>
            </w:r>
            <w:r>
              <w:rPr>
                <w:rFonts w:hint="eastAsia" w:ascii="宋体" w:hAnsi="宋体" w:eastAsia="宋体" w:cs="Times New Roman"/>
                <w:color w:val="auto"/>
                <w:kern w:val="2"/>
                <w:sz w:val="21"/>
                <w:szCs w:val="21"/>
                <w:highlight w:val="none"/>
                <w:lang w:val="en-US" w:eastAsia="zh-CN" w:bidi="ar-SA"/>
              </w:rPr>
              <w:t>扫描件</w:t>
            </w:r>
            <w:r>
              <w:rPr>
                <w:rFonts w:hint="eastAsia" w:ascii="宋体" w:hAnsi="宋体" w:cs="Times New Roman"/>
                <w:color w:val="auto"/>
                <w:kern w:val="2"/>
                <w:sz w:val="21"/>
                <w:szCs w:val="21"/>
                <w:highlight w:val="none"/>
                <w:lang w:val="en-US" w:eastAsia="zh-CN" w:bidi="ar-SA"/>
              </w:rPr>
              <w:t>，</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年至今成立的企业需提供银行资信证明</w:t>
            </w:r>
            <w:r>
              <w:rPr>
                <w:rFonts w:hint="eastAsia" w:ascii="宋体" w:hAnsi="宋体"/>
                <w:color w:val="auto"/>
                <w:sz w:val="22"/>
                <w:szCs w:val="22"/>
                <w:highlight w:val="none"/>
                <w:lang w:val="en-US" w:eastAsia="zh-CN"/>
              </w:rPr>
              <w:t>或财务状况良好承诺书</w:t>
            </w:r>
            <w:r>
              <w:rPr>
                <w:rFonts w:hint="eastAsia" w:ascii="宋体" w:hAnsi="宋体" w:eastAsia="宋体" w:cs="Times New Roman"/>
                <w:color w:val="auto"/>
                <w:kern w:val="2"/>
                <w:sz w:val="21"/>
                <w:szCs w:val="21"/>
                <w:highlight w:val="none"/>
                <w:lang w:val="en-US" w:eastAsia="zh-CN" w:bidi="ar-SA"/>
              </w:rPr>
              <w:t>；</w:t>
            </w:r>
          </w:p>
          <w:p w14:paraId="0E0C9185">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响应文件内附上述文件</w:t>
            </w:r>
            <w:r>
              <w:rPr>
                <w:rFonts w:hint="eastAsia" w:ascii="宋体" w:hAnsi="宋体" w:cs="宋体"/>
                <w:b/>
                <w:color w:val="auto"/>
                <w:szCs w:val="21"/>
                <w:highlight w:val="none"/>
                <w:lang w:val="en-US" w:eastAsia="zh-CN"/>
              </w:rPr>
              <w:t>原件</w:t>
            </w:r>
            <w:r>
              <w:rPr>
                <w:rFonts w:hint="eastAsia" w:ascii="宋体" w:hAnsi="宋体" w:cs="宋体"/>
                <w:b/>
                <w:color w:val="auto"/>
                <w:szCs w:val="21"/>
                <w:highlight w:val="none"/>
                <w:lang w:val="zh-CN"/>
              </w:rPr>
              <w:t>扫描件加盖供应商单位公章。</w:t>
            </w:r>
          </w:p>
        </w:tc>
      </w:tr>
      <w:tr w14:paraId="41FF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6659D458">
            <w:pPr>
              <w:spacing w:line="360" w:lineRule="exact"/>
              <w:jc w:val="center"/>
              <w:rPr>
                <w:rFonts w:ascii="宋体" w:hAnsi="宋体"/>
                <w:color w:val="auto"/>
                <w:szCs w:val="21"/>
                <w:highlight w:val="none"/>
              </w:rPr>
            </w:pPr>
          </w:p>
        </w:tc>
        <w:tc>
          <w:tcPr>
            <w:tcW w:w="1119" w:type="dxa"/>
            <w:vMerge w:val="continue"/>
          </w:tcPr>
          <w:p w14:paraId="28F95767">
            <w:pPr>
              <w:spacing w:line="360" w:lineRule="exact"/>
              <w:rPr>
                <w:rFonts w:ascii="宋体" w:hAnsi="宋体"/>
                <w:color w:val="auto"/>
                <w:szCs w:val="21"/>
                <w:highlight w:val="none"/>
              </w:rPr>
            </w:pPr>
          </w:p>
        </w:tc>
        <w:tc>
          <w:tcPr>
            <w:tcW w:w="1933" w:type="dxa"/>
            <w:vAlign w:val="center"/>
          </w:tcPr>
          <w:p w14:paraId="4322D547">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信誉要求</w:t>
            </w:r>
          </w:p>
        </w:tc>
        <w:tc>
          <w:tcPr>
            <w:tcW w:w="5408" w:type="dxa"/>
            <w:vAlign w:val="center"/>
          </w:tcPr>
          <w:p w14:paraId="3F3524FF">
            <w:pPr>
              <w:pStyle w:val="174"/>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1A0EAEE9">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响应文件内附由法定代表人或其委托代理人签字并加盖供应商公章的承诺书</w:t>
            </w:r>
            <w:r>
              <w:rPr>
                <w:rFonts w:hint="eastAsia" w:ascii="宋体" w:hAnsi="宋体" w:cs="宋体"/>
                <w:b/>
                <w:color w:val="auto"/>
                <w:szCs w:val="21"/>
                <w:highlight w:val="none"/>
                <w:lang w:val="en-US" w:eastAsia="zh-CN"/>
              </w:rPr>
              <w:t>或</w:t>
            </w:r>
            <w:r>
              <w:rPr>
                <w:rFonts w:hint="eastAsia" w:ascii="宋体" w:hAnsi="宋体" w:cs="宋体"/>
                <w:b/>
                <w:color w:val="auto"/>
                <w:szCs w:val="21"/>
                <w:highlight w:val="none"/>
                <w:lang w:val="zh-CN"/>
              </w:rPr>
              <w:t>网页截图。</w:t>
            </w:r>
          </w:p>
        </w:tc>
      </w:tr>
      <w:tr w14:paraId="49E9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23" w:type="dxa"/>
            <w:vMerge w:val="continue"/>
            <w:vAlign w:val="center"/>
          </w:tcPr>
          <w:p w14:paraId="10AB891F">
            <w:pPr>
              <w:spacing w:line="360" w:lineRule="exact"/>
              <w:jc w:val="center"/>
              <w:rPr>
                <w:rFonts w:ascii="宋体" w:hAnsi="宋体"/>
                <w:color w:val="auto"/>
                <w:szCs w:val="21"/>
                <w:highlight w:val="none"/>
              </w:rPr>
            </w:pPr>
          </w:p>
        </w:tc>
        <w:tc>
          <w:tcPr>
            <w:tcW w:w="1119" w:type="dxa"/>
            <w:vMerge w:val="continue"/>
            <w:vAlign w:val="center"/>
          </w:tcPr>
          <w:p w14:paraId="3B8B7557">
            <w:pPr>
              <w:snapToGrid w:val="0"/>
              <w:spacing w:line="360" w:lineRule="exact"/>
              <w:jc w:val="center"/>
              <w:rPr>
                <w:rFonts w:ascii="宋体" w:hAnsi="宋体"/>
                <w:color w:val="auto"/>
                <w:szCs w:val="21"/>
                <w:highlight w:val="none"/>
              </w:rPr>
            </w:pPr>
          </w:p>
        </w:tc>
        <w:tc>
          <w:tcPr>
            <w:tcW w:w="1933" w:type="dxa"/>
            <w:vAlign w:val="center"/>
          </w:tcPr>
          <w:p w14:paraId="219159BC">
            <w:pPr>
              <w:snapToGrid w:val="0"/>
              <w:spacing w:line="360" w:lineRule="exact"/>
              <w:jc w:val="center"/>
              <w:rPr>
                <w:rFonts w:ascii="宋体" w:hAnsi="宋体" w:cs="宋体"/>
                <w:color w:val="auto"/>
                <w:szCs w:val="21"/>
                <w:highlight w:val="none"/>
                <w:lang w:val="zh-CN"/>
              </w:rPr>
            </w:pPr>
            <w:r>
              <w:rPr>
                <w:rFonts w:hint="eastAsia" w:ascii="宋体" w:hAnsi="宋体" w:cs="Times New Roman"/>
                <w:color w:val="auto"/>
                <w:kern w:val="2"/>
                <w:sz w:val="21"/>
                <w:szCs w:val="21"/>
                <w:highlight w:val="none"/>
                <w:lang w:val="en-US" w:eastAsia="zh-CN" w:bidi="ar-SA"/>
              </w:rPr>
              <w:t>项目负责人</w:t>
            </w:r>
          </w:p>
        </w:tc>
        <w:tc>
          <w:tcPr>
            <w:tcW w:w="5408" w:type="dxa"/>
            <w:vAlign w:val="center"/>
          </w:tcPr>
          <w:p w14:paraId="388B9889">
            <w:pPr>
              <w:spacing w:line="360" w:lineRule="exact"/>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拟派出的项目负责人须具有水利工程相应资格证书，同时具有相关专业中级工程师及以上职称。</w:t>
            </w:r>
          </w:p>
          <w:p w14:paraId="2897BE21">
            <w:pPr>
              <w:spacing w:line="360" w:lineRule="exact"/>
              <w:rPr>
                <w:rFonts w:ascii="宋体" w:hAnsi="宋体" w:cs="宋体"/>
                <w:b/>
                <w:color w:val="auto"/>
                <w:sz w:val="21"/>
                <w:szCs w:val="21"/>
                <w:highlight w:val="none"/>
                <w:lang w:val="zh-CN"/>
              </w:rPr>
            </w:pPr>
            <w:r>
              <w:rPr>
                <w:rFonts w:hint="eastAsia" w:ascii="宋体" w:hAnsi="宋体" w:cs="宋体"/>
                <w:b/>
                <w:color w:val="auto"/>
                <w:szCs w:val="21"/>
                <w:highlight w:val="none"/>
                <w:lang w:val="zh-CN"/>
              </w:rPr>
              <w:t>响应文件内附资格证书</w:t>
            </w:r>
            <w:r>
              <w:rPr>
                <w:rFonts w:hint="eastAsia" w:ascii="宋体" w:hAnsi="宋体" w:cs="宋体"/>
                <w:b/>
                <w:color w:val="auto"/>
                <w:szCs w:val="21"/>
                <w:highlight w:val="none"/>
                <w:lang w:val="en-US" w:eastAsia="zh-CN"/>
              </w:rPr>
              <w:t>复印件</w:t>
            </w:r>
            <w:r>
              <w:rPr>
                <w:rFonts w:hint="eastAsia" w:ascii="宋体" w:hAnsi="宋体" w:cs="宋体"/>
                <w:b/>
                <w:color w:val="auto"/>
                <w:szCs w:val="21"/>
                <w:highlight w:val="none"/>
              </w:rPr>
              <w:t>及相关证明材料</w:t>
            </w:r>
            <w:r>
              <w:rPr>
                <w:rFonts w:hint="eastAsia" w:ascii="宋体" w:hAnsi="宋体" w:cs="宋体"/>
                <w:b/>
                <w:color w:val="auto"/>
                <w:szCs w:val="21"/>
                <w:highlight w:val="none"/>
                <w:lang w:val="zh-CN"/>
              </w:rPr>
              <w:t>加盖供应商单位公章。</w:t>
            </w:r>
          </w:p>
        </w:tc>
      </w:tr>
      <w:tr w14:paraId="437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23" w:type="dxa"/>
            <w:vMerge w:val="continue"/>
            <w:vAlign w:val="center"/>
          </w:tcPr>
          <w:p w14:paraId="6133C997">
            <w:pPr>
              <w:spacing w:line="360" w:lineRule="exact"/>
              <w:jc w:val="center"/>
              <w:rPr>
                <w:rFonts w:ascii="宋体" w:hAnsi="宋体"/>
                <w:color w:val="auto"/>
                <w:szCs w:val="21"/>
                <w:highlight w:val="none"/>
              </w:rPr>
            </w:pPr>
          </w:p>
        </w:tc>
        <w:tc>
          <w:tcPr>
            <w:tcW w:w="1119" w:type="dxa"/>
            <w:vMerge w:val="continue"/>
            <w:vAlign w:val="center"/>
          </w:tcPr>
          <w:p w14:paraId="494A1DB9">
            <w:pPr>
              <w:snapToGrid w:val="0"/>
              <w:spacing w:line="360" w:lineRule="exact"/>
              <w:jc w:val="center"/>
              <w:rPr>
                <w:rFonts w:hint="eastAsia" w:ascii="宋体" w:hAnsi="宋体"/>
                <w:color w:val="auto"/>
                <w:szCs w:val="21"/>
                <w:highlight w:val="none"/>
              </w:rPr>
            </w:pPr>
          </w:p>
        </w:tc>
        <w:tc>
          <w:tcPr>
            <w:tcW w:w="1933" w:type="dxa"/>
            <w:vAlign w:val="center"/>
          </w:tcPr>
          <w:p w14:paraId="12262371">
            <w:pPr>
              <w:snapToGrid w:val="0"/>
              <w:spacing w:line="360" w:lineRule="exact"/>
              <w:jc w:val="center"/>
              <w:rPr>
                <w:rFonts w:ascii="宋体" w:hAnsi="宋体"/>
                <w:color w:val="auto"/>
                <w:highlight w:val="none"/>
              </w:rPr>
            </w:pPr>
            <w:r>
              <w:rPr>
                <w:rFonts w:hint="eastAsia" w:ascii="宋体" w:hAnsi="宋体" w:cs="宋体"/>
                <w:bCs/>
                <w:color w:val="auto"/>
                <w:szCs w:val="21"/>
                <w:highlight w:val="none"/>
                <w:lang w:val="zh-CN"/>
              </w:rPr>
              <w:t>有依法缴纳税收和社会保障资金的良好记录</w:t>
            </w:r>
          </w:p>
        </w:tc>
        <w:tc>
          <w:tcPr>
            <w:tcW w:w="5408" w:type="dxa"/>
            <w:vAlign w:val="center"/>
          </w:tcPr>
          <w:p w14:paraId="37512D10">
            <w:pPr>
              <w:pStyle w:val="38"/>
              <w:spacing w:line="360" w:lineRule="exact"/>
              <w:rPr>
                <w:rFonts w:ascii="宋体" w:hAnsi="宋体" w:cs="宋体"/>
                <w:bCs/>
                <w:color w:val="auto"/>
                <w:sz w:val="21"/>
                <w:szCs w:val="21"/>
                <w:highlight w:val="none"/>
                <w:lang w:val="zh-CN"/>
              </w:rPr>
            </w:pPr>
            <w:r>
              <w:rPr>
                <w:rFonts w:hint="eastAsia" w:ascii="宋体" w:hAnsi="宋体" w:eastAsia="宋体" w:cs="Times New Roman"/>
                <w:color w:val="auto"/>
                <w:kern w:val="2"/>
                <w:sz w:val="21"/>
                <w:szCs w:val="21"/>
                <w:highlight w:val="none"/>
                <w:lang w:val="en-US" w:eastAsia="zh-CN" w:bidi="ar-SA"/>
              </w:rPr>
              <w:t>供应商具有依法缴纳税收和依法缴纳社会保障资金的良好记录，</w:t>
            </w:r>
            <w:r>
              <w:rPr>
                <w:rFonts w:hint="eastAsia" w:ascii="宋体" w:hAnsi="宋体" w:cs="Times New Roman"/>
                <w:color w:val="auto"/>
                <w:kern w:val="2"/>
                <w:sz w:val="21"/>
                <w:szCs w:val="21"/>
                <w:highlight w:val="none"/>
                <w:lang w:val="en-US" w:eastAsia="zh-CN" w:bidi="ar-SA"/>
              </w:rPr>
              <w:t>需提供近年内连续三个月</w:t>
            </w:r>
            <w:r>
              <w:rPr>
                <w:rFonts w:hint="eastAsia" w:ascii="宋体" w:hAnsi="宋体" w:eastAsia="宋体" w:cs="Times New Roman"/>
                <w:color w:val="auto"/>
                <w:kern w:val="2"/>
                <w:sz w:val="21"/>
                <w:szCs w:val="21"/>
                <w:highlight w:val="none"/>
                <w:lang w:val="en-US" w:eastAsia="zh-CN" w:bidi="ar-SA"/>
              </w:rPr>
              <w:t>依法缴纳税收和依法缴纳社会保障资金证明；</w:t>
            </w:r>
          </w:p>
          <w:p w14:paraId="164DE72A">
            <w:pPr>
              <w:spacing w:line="360" w:lineRule="exact"/>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证明材料</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4D5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667DF23B">
            <w:pPr>
              <w:spacing w:line="360" w:lineRule="exact"/>
              <w:jc w:val="center"/>
              <w:rPr>
                <w:rFonts w:ascii="宋体" w:hAnsi="宋体"/>
                <w:color w:val="auto"/>
                <w:szCs w:val="21"/>
                <w:highlight w:val="none"/>
              </w:rPr>
            </w:pPr>
          </w:p>
        </w:tc>
        <w:tc>
          <w:tcPr>
            <w:tcW w:w="1119" w:type="dxa"/>
            <w:vMerge w:val="continue"/>
            <w:vAlign w:val="center"/>
          </w:tcPr>
          <w:p w14:paraId="1889B284">
            <w:pPr>
              <w:snapToGrid w:val="0"/>
              <w:spacing w:line="360" w:lineRule="exact"/>
              <w:jc w:val="center"/>
              <w:rPr>
                <w:rFonts w:hint="eastAsia" w:ascii="宋体" w:hAnsi="宋体"/>
                <w:color w:val="auto"/>
                <w:szCs w:val="21"/>
                <w:highlight w:val="none"/>
              </w:rPr>
            </w:pPr>
          </w:p>
        </w:tc>
        <w:tc>
          <w:tcPr>
            <w:tcW w:w="1933" w:type="dxa"/>
            <w:vAlign w:val="center"/>
          </w:tcPr>
          <w:p w14:paraId="311951FA">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bCs/>
                <w:color w:val="auto"/>
                <w:szCs w:val="21"/>
                <w:highlight w:val="none"/>
              </w:rPr>
              <w:t>信誉良好承诺书</w:t>
            </w:r>
          </w:p>
        </w:tc>
        <w:tc>
          <w:tcPr>
            <w:tcW w:w="5408" w:type="dxa"/>
            <w:vAlign w:val="center"/>
          </w:tcPr>
          <w:p w14:paraId="0A96E2AC">
            <w:pPr>
              <w:spacing w:line="360" w:lineRule="exact"/>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与供应商存在利害关系可能影响</w:t>
            </w: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val="zh-CN"/>
              </w:rPr>
              <w:t>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A7B1E8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rPr>
              <w:t>提供法人代表或其授权委托人签字并加盖公章的承诺书。</w:t>
            </w:r>
          </w:p>
        </w:tc>
      </w:tr>
      <w:tr w14:paraId="0C42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3EF44058">
            <w:pPr>
              <w:spacing w:line="360" w:lineRule="exact"/>
              <w:jc w:val="center"/>
              <w:rPr>
                <w:rFonts w:ascii="宋体" w:hAnsi="宋体"/>
                <w:color w:val="auto"/>
                <w:szCs w:val="21"/>
                <w:highlight w:val="none"/>
              </w:rPr>
            </w:pPr>
          </w:p>
        </w:tc>
        <w:tc>
          <w:tcPr>
            <w:tcW w:w="1119" w:type="dxa"/>
            <w:vMerge w:val="continue"/>
            <w:vAlign w:val="center"/>
          </w:tcPr>
          <w:p w14:paraId="3B2345D1">
            <w:pPr>
              <w:snapToGrid w:val="0"/>
              <w:spacing w:line="360" w:lineRule="exact"/>
              <w:jc w:val="center"/>
              <w:rPr>
                <w:rFonts w:hint="eastAsia" w:ascii="宋体" w:hAnsi="宋体"/>
                <w:color w:val="auto"/>
                <w:szCs w:val="21"/>
                <w:highlight w:val="none"/>
              </w:rPr>
            </w:pPr>
          </w:p>
        </w:tc>
        <w:tc>
          <w:tcPr>
            <w:tcW w:w="1933" w:type="dxa"/>
            <w:vAlign w:val="center"/>
          </w:tcPr>
          <w:p w14:paraId="2DA3E077">
            <w:pPr>
              <w:widowControl/>
              <w:spacing w:line="360" w:lineRule="exact"/>
              <w:jc w:val="center"/>
              <w:rPr>
                <w:rFonts w:hint="eastAsia" w:ascii="宋体" w:hAnsi="宋体" w:cs="宋体"/>
                <w:bCs/>
                <w:color w:val="auto"/>
                <w:szCs w:val="21"/>
                <w:highlight w:val="none"/>
              </w:rPr>
            </w:pPr>
            <w:r>
              <w:rPr>
                <w:rFonts w:hint="eastAsia" w:ascii="宋体" w:hAnsi="宋体" w:cs="宋体"/>
                <w:color w:val="auto"/>
                <w:sz w:val="22"/>
                <w:szCs w:val="22"/>
                <w:highlight w:val="none"/>
              </w:rPr>
              <w:t>联合体投标人</w:t>
            </w:r>
          </w:p>
        </w:tc>
        <w:tc>
          <w:tcPr>
            <w:tcW w:w="5408" w:type="dxa"/>
            <w:vAlign w:val="center"/>
          </w:tcPr>
          <w:p w14:paraId="5EFE5228">
            <w:pPr>
              <w:widowControl/>
              <w:spacing w:line="360" w:lineRule="exact"/>
              <w:jc w:val="left"/>
              <w:rPr>
                <w:rFonts w:hint="eastAsia" w:ascii="宋体" w:hAnsi="宋体" w:cs="宋体"/>
                <w:b/>
                <w:color w:val="auto"/>
                <w:szCs w:val="21"/>
                <w:highlight w:val="none"/>
              </w:rPr>
            </w:pPr>
            <w:r>
              <w:rPr>
                <w:rFonts w:hint="eastAsia" w:ascii="宋体" w:hAnsi="宋体" w:cs="宋体"/>
                <w:color w:val="auto"/>
                <w:sz w:val="22"/>
                <w:szCs w:val="22"/>
                <w:highlight w:val="none"/>
              </w:rPr>
              <w:t>符合第二章“</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须知”第1.4.2项规定</w:t>
            </w:r>
          </w:p>
        </w:tc>
      </w:tr>
      <w:tr w14:paraId="5391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6108A207">
            <w:pPr>
              <w:spacing w:line="360" w:lineRule="exact"/>
              <w:jc w:val="center"/>
              <w:rPr>
                <w:rFonts w:ascii="宋体" w:hAnsi="宋体"/>
                <w:color w:val="auto"/>
                <w:szCs w:val="21"/>
                <w:highlight w:val="none"/>
              </w:rPr>
            </w:pPr>
          </w:p>
        </w:tc>
        <w:tc>
          <w:tcPr>
            <w:tcW w:w="1119" w:type="dxa"/>
            <w:vMerge w:val="restart"/>
            <w:vAlign w:val="center"/>
          </w:tcPr>
          <w:p w14:paraId="048C10CD">
            <w:pPr>
              <w:spacing w:line="360" w:lineRule="exact"/>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性评审</w:t>
            </w:r>
          </w:p>
        </w:tc>
        <w:tc>
          <w:tcPr>
            <w:tcW w:w="1933" w:type="dxa"/>
            <w:vAlign w:val="center"/>
          </w:tcPr>
          <w:p w14:paraId="4E4C65BE">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磋商报价</w:t>
            </w:r>
          </w:p>
        </w:tc>
        <w:tc>
          <w:tcPr>
            <w:tcW w:w="5408" w:type="dxa"/>
            <w:vAlign w:val="center"/>
          </w:tcPr>
          <w:p w14:paraId="2B27A66A">
            <w:pPr>
              <w:snapToGrid w:val="0"/>
              <w:spacing w:line="360" w:lineRule="exact"/>
              <w:rPr>
                <w:rFonts w:ascii="宋体" w:hAnsi="宋体"/>
                <w:color w:val="auto"/>
                <w:szCs w:val="21"/>
                <w:highlight w:val="none"/>
              </w:rPr>
            </w:pPr>
            <w:r>
              <w:rPr>
                <w:rFonts w:hint="eastAsia" w:ascii="宋体" w:hAnsi="宋体"/>
                <w:color w:val="auto"/>
                <w:szCs w:val="21"/>
                <w:highlight w:val="none"/>
              </w:rPr>
              <w:t>一个供应商每轮只能有一个有效报价。供应商的磋商报价不得超过</w:t>
            </w:r>
            <w:r>
              <w:rPr>
                <w:rFonts w:hint="eastAsia" w:ascii="宋体" w:hAnsi="宋体"/>
                <w:color w:val="auto"/>
                <w:szCs w:val="21"/>
                <w:highlight w:val="none"/>
                <w:lang w:val="en-US" w:eastAsia="zh-CN"/>
              </w:rPr>
              <w:t>采购预算（折扣系数：1）</w:t>
            </w:r>
            <w:r>
              <w:rPr>
                <w:rFonts w:hint="eastAsia" w:ascii="宋体" w:hAnsi="宋体"/>
                <w:color w:val="auto"/>
                <w:szCs w:val="21"/>
                <w:highlight w:val="none"/>
              </w:rPr>
              <w:t>。</w:t>
            </w:r>
          </w:p>
        </w:tc>
      </w:tr>
      <w:tr w14:paraId="1FF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3950F14">
            <w:pPr>
              <w:spacing w:line="360" w:lineRule="exact"/>
              <w:jc w:val="center"/>
              <w:rPr>
                <w:rFonts w:ascii="宋体" w:hAnsi="宋体"/>
                <w:color w:val="auto"/>
                <w:szCs w:val="21"/>
                <w:highlight w:val="none"/>
              </w:rPr>
            </w:pPr>
          </w:p>
        </w:tc>
        <w:tc>
          <w:tcPr>
            <w:tcW w:w="1119" w:type="dxa"/>
            <w:vMerge w:val="continue"/>
            <w:vAlign w:val="center"/>
          </w:tcPr>
          <w:p w14:paraId="4ABB789C">
            <w:pPr>
              <w:spacing w:line="360" w:lineRule="exact"/>
              <w:jc w:val="center"/>
              <w:rPr>
                <w:rFonts w:hint="eastAsia" w:ascii="宋体" w:hAnsi="宋体"/>
                <w:color w:val="auto"/>
                <w:szCs w:val="21"/>
                <w:highlight w:val="none"/>
                <w:lang w:val="en-US" w:eastAsia="zh-CN"/>
              </w:rPr>
            </w:pPr>
          </w:p>
        </w:tc>
        <w:tc>
          <w:tcPr>
            <w:tcW w:w="1933" w:type="dxa"/>
            <w:vAlign w:val="center"/>
          </w:tcPr>
          <w:p w14:paraId="5D5D2016">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签字或盖章要求</w:t>
            </w:r>
          </w:p>
        </w:tc>
        <w:tc>
          <w:tcPr>
            <w:tcW w:w="5408" w:type="dxa"/>
            <w:vAlign w:val="center"/>
          </w:tcPr>
          <w:p w14:paraId="79B0D82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响应文件封面、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r>
              <w:rPr>
                <w:rFonts w:hint="eastAsia" w:ascii="宋体" w:hAnsi="宋体"/>
                <w:color w:val="auto"/>
                <w:szCs w:val="21"/>
                <w:highlight w:val="none"/>
                <w:lang w:val="en-US" w:eastAsia="zh-CN"/>
              </w:rPr>
              <w:t xml:space="preserve"> </w:t>
            </w:r>
          </w:p>
        </w:tc>
      </w:tr>
      <w:tr w14:paraId="0AD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5B559F96">
            <w:pPr>
              <w:spacing w:line="360" w:lineRule="exact"/>
              <w:jc w:val="center"/>
              <w:rPr>
                <w:rFonts w:ascii="宋体" w:hAnsi="宋体"/>
                <w:color w:val="auto"/>
                <w:szCs w:val="21"/>
                <w:highlight w:val="none"/>
              </w:rPr>
            </w:pPr>
          </w:p>
        </w:tc>
        <w:tc>
          <w:tcPr>
            <w:tcW w:w="1119" w:type="dxa"/>
            <w:vMerge w:val="continue"/>
            <w:vAlign w:val="center"/>
          </w:tcPr>
          <w:p w14:paraId="6523A66F">
            <w:pPr>
              <w:spacing w:line="360" w:lineRule="exact"/>
              <w:jc w:val="center"/>
              <w:rPr>
                <w:rFonts w:ascii="宋体" w:hAnsi="宋体"/>
                <w:color w:val="auto"/>
                <w:szCs w:val="21"/>
                <w:highlight w:val="none"/>
              </w:rPr>
            </w:pPr>
          </w:p>
        </w:tc>
        <w:tc>
          <w:tcPr>
            <w:tcW w:w="1933" w:type="dxa"/>
            <w:vAlign w:val="center"/>
          </w:tcPr>
          <w:p w14:paraId="2702B1F9">
            <w:pPr>
              <w:snapToGrid w:val="0"/>
              <w:spacing w:line="360" w:lineRule="exact"/>
              <w:jc w:val="center"/>
              <w:rPr>
                <w:rFonts w:ascii="宋体" w:hAnsi="宋体"/>
                <w:color w:val="auto"/>
                <w:szCs w:val="21"/>
                <w:highlight w:val="none"/>
              </w:rPr>
            </w:pPr>
            <w:r>
              <w:rPr>
                <w:rFonts w:hint="eastAsia" w:ascii="Calibri" w:hAnsi="Calibri"/>
                <w:color w:val="auto"/>
                <w:szCs w:val="21"/>
                <w:highlight w:val="none"/>
              </w:rPr>
              <w:t>合同履行期限</w:t>
            </w:r>
          </w:p>
        </w:tc>
        <w:tc>
          <w:tcPr>
            <w:tcW w:w="5408" w:type="dxa"/>
            <w:vAlign w:val="center"/>
          </w:tcPr>
          <w:p w14:paraId="45EF678E">
            <w:pPr>
              <w:snapToGrid w:val="0"/>
              <w:spacing w:line="360" w:lineRule="exact"/>
              <w:rPr>
                <w:rFonts w:ascii="宋体" w:hAnsi="宋体"/>
                <w:color w:val="auto"/>
                <w:szCs w:val="21"/>
                <w:highlight w:val="none"/>
              </w:rPr>
            </w:pPr>
            <w:r>
              <w:rPr>
                <w:rFonts w:hint="eastAsia" w:ascii="宋体" w:hAnsi="宋体"/>
                <w:color w:val="auto"/>
                <w:highlight w:val="none"/>
                <w:lang w:val="en-US" w:eastAsia="zh-CN"/>
              </w:rPr>
              <w:t>签订合同之日起至工程完工验收质保期满</w:t>
            </w:r>
            <w:r>
              <w:rPr>
                <w:rFonts w:hint="eastAsia" w:ascii="宋体" w:hAnsi="宋体" w:cs="Arial"/>
                <w:color w:val="auto"/>
                <w:szCs w:val="21"/>
                <w:highlight w:val="none"/>
              </w:rPr>
              <w:t>。</w:t>
            </w:r>
          </w:p>
        </w:tc>
      </w:tr>
      <w:tr w14:paraId="4C31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02E3D613">
            <w:pPr>
              <w:spacing w:line="360" w:lineRule="exact"/>
              <w:rPr>
                <w:rFonts w:ascii="宋体" w:hAnsi="宋体"/>
                <w:color w:val="auto"/>
                <w:szCs w:val="21"/>
                <w:highlight w:val="none"/>
              </w:rPr>
            </w:pPr>
          </w:p>
        </w:tc>
        <w:tc>
          <w:tcPr>
            <w:tcW w:w="1119" w:type="dxa"/>
            <w:vMerge w:val="continue"/>
          </w:tcPr>
          <w:p w14:paraId="7390CF1F">
            <w:pPr>
              <w:spacing w:line="360" w:lineRule="exact"/>
              <w:rPr>
                <w:rFonts w:ascii="宋体" w:hAnsi="宋体"/>
                <w:color w:val="auto"/>
                <w:szCs w:val="21"/>
                <w:highlight w:val="none"/>
              </w:rPr>
            </w:pPr>
          </w:p>
        </w:tc>
        <w:tc>
          <w:tcPr>
            <w:tcW w:w="1933" w:type="dxa"/>
            <w:vAlign w:val="center"/>
          </w:tcPr>
          <w:p w14:paraId="4F987AA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磋商有效期</w:t>
            </w:r>
          </w:p>
        </w:tc>
        <w:tc>
          <w:tcPr>
            <w:tcW w:w="5408" w:type="dxa"/>
            <w:vAlign w:val="center"/>
          </w:tcPr>
          <w:p w14:paraId="2EA37CF2">
            <w:pPr>
              <w:snapToGrid w:val="0"/>
              <w:spacing w:line="360" w:lineRule="exact"/>
              <w:rPr>
                <w:rFonts w:ascii="宋体" w:hAnsi="宋体"/>
                <w:color w:val="auto"/>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3268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0EFDC7E">
            <w:pPr>
              <w:spacing w:line="360" w:lineRule="exact"/>
              <w:rPr>
                <w:rFonts w:ascii="宋体" w:hAnsi="宋体"/>
                <w:color w:val="auto"/>
                <w:szCs w:val="21"/>
                <w:highlight w:val="none"/>
              </w:rPr>
            </w:pPr>
          </w:p>
        </w:tc>
        <w:tc>
          <w:tcPr>
            <w:tcW w:w="1119" w:type="dxa"/>
            <w:vMerge w:val="continue"/>
          </w:tcPr>
          <w:p w14:paraId="3AEFD22E">
            <w:pPr>
              <w:spacing w:line="360" w:lineRule="exact"/>
              <w:rPr>
                <w:rFonts w:ascii="宋体" w:hAnsi="宋体"/>
                <w:color w:val="auto"/>
                <w:szCs w:val="21"/>
                <w:highlight w:val="none"/>
              </w:rPr>
            </w:pPr>
          </w:p>
        </w:tc>
        <w:tc>
          <w:tcPr>
            <w:tcW w:w="1933" w:type="dxa"/>
            <w:vAlign w:val="center"/>
          </w:tcPr>
          <w:p w14:paraId="29ADCC03">
            <w:pPr>
              <w:widowControl/>
              <w:snapToGrid w:val="0"/>
              <w:spacing w:line="360" w:lineRule="exact"/>
              <w:jc w:val="center"/>
              <w:rPr>
                <w:rFonts w:ascii="宋体" w:hAnsi="宋体"/>
                <w:color w:val="auto"/>
                <w:szCs w:val="21"/>
                <w:highlight w:val="none"/>
              </w:rPr>
            </w:pPr>
            <w:r>
              <w:rPr>
                <w:rFonts w:hint="eastAsia" w:ascii="Calibri" w:hAnsi="Calibri"/>
                <w:color w:val="auto"/>
                <w:szCs w:val="21"/>
                <w:highlight w:val="none"/>
              </w:rPr>
              <w:t>服务标准</w:t>
            </w:r>
          </w:p>
        </w:tc>
        <w:tc>
          <w:tcPr>
            <w:tcW w:w="5408" w:type="dxa"/>
            <w:vAlign w:val="center"/>
          </w:tcPr>
          <w:p w14:paraId="460659D1">
            <w:pPr>
              <w:widowControl/>
              <w:snapToGrid w:val="0"/>
              <w:spacing w:line="360" w:lineRule="exact"/>
              <w:rPr>
                <w:rFonts w:ascii="宋体" w:hAnsi="宋体" w:cs="Arial"/>
                <w:color w:val="auto"/>
                <w:szCs w:val="21"/>
                <w:highlight w:val="none"/>
              </w:rPr>
            </w:pPr>
            <w:r>
              <w:rPr>
                <w:rFonts w:hint="eastAsia" w:ascii="宋体" w:hAnsi="宋体" w:cs="Arial"/>
                <w:color w:val="auto"/>
                <w:szCs w:val="21"/>
                <w:highlight w:val="none"/>
              </w:rPr>
              <w:t>满</w:t>
            </w:r>
            <w:r>
              <w:rPr>
                <w:rFonts w:hint="eastAsia" w:ascii="宋体" w:hAnsi="宋体" w:cs="宋体"/>
                <w:color w:val="auto"/>
                <w:szCs w:val="21"/>
                <w:highlight w:val="none"/>
              </w:rPr>
              <w:t>足磋商文件要求。</w:t>
            </w:r>
          </w:p>
        </w:tc>
      </w:tr>
      <w:tr w14:paraId="4265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C715596">
            <w:pPr>
              <w:spacing w:line="360" w:lineRule="exact"/>
              <w:rPr>
                <w:rFonts w:ascii="宋体" w:hAnsi="宋体"/>
                <w:color w:val="auto"/>
                <w:szCs w:val="21"/>
                <w:highlight w:val="none"/>
              </w:rPr>
            </w:pPr>
          </w:p>
        </w:tc>
        <w:tc>
          <w:tcPr>
            <w:tcW w:w="1119" w:type="dxa"/>
            <w:vMerge w:val="continue"/>
          </w:tcPr>
          <w:p w14:paraId="32EE2C79">
            <w:pPr>
              <w:spacing w:line="360" w:lineRule="exact"/>
              <w:rPr>
                <w:rFonts w:ascii="宋体" w:hAnsi="宋体"/>
                <w:color w:val="auto"/>
                <w:szCs w:val="21"/>
                <w:highlight w:val="none"/>
              </w:rPr>
            </w:pPr>
          </w:p>
        </w:tc>
        <w:tc>
          <w:tcPr>
            <w:tcW w:w="1933" w:type="dxa"/>
            <w:vAlign w:val="center"/>
          </w:tcPr>
          <w:p w14:paraId="2FCAEA67">
            <w:pPr>
              <w:widowControl/>
              <w:snapToGrid w:val="0"/>
              <w:spacing w:line="360" w:lineRule="exact"/>
              <w:jc w:val="center"/>
              <w:rPr>
                <w:rFonts w:ascii="宋体" w:hAnsi="宋体"/>
                <w:color w:val="auto"/>
                <w:szCs w:val="21"/>
                <w:highlight w:val="none"/>
              </w:rPr>
            </w:pPr>
            <w:r>
              <w:rPr>
                <w:rFonts w:hint="eastAsia" w:ascii="宋体" w:hAnsi="宋体" w:cs="宋体"/>
                <w:color w:val="auto"/>
                <w:szCs w:val="21"/>
                <w:highlight w:val="none"/>
              </w:rPr>
              <w:t>采购需求</w:t>
            </w:r>
          </w:p>
        </w:tc>
        <w:tc>
          <w:tcPr>
            <w:tcW w:w="5408" w:type="dxa"/>
            <w:vAlign w:val="center"/>
          </w:tcPr>
          <w:p w14:paraId="5ECFC890">
            <w:pPr>
              <w:widowControl/>
              <w:snapToGrid w:val="0"/>
              <w:spacing w:line="360" w:lineRule="exact"/>
              <w:jc w:val="left"/>
              <w:rPr>
                <w:rFonts w:ascii="宋体" w:hAnsi="宋体"/>
                <w:color w:val="auto"/>
                <w:szCs w:val="21"/>
                <w:highlight w:val="none"/>
              </w:rPr>
            </w:pPr>
            <w:r>
              <w:rPr>
                <w:rFonts w:hint="eastAsia" w:ascii="宋体" w:hAnsi="宋体" w:cs="宋体"/>
                <w:color w:val="auto"/>
                <w:szCs w:val="21"/>
                <w:highlight w:val="none"/>
              </w:rPr>
              <w:t>满足磋商文件要求。</w:t>
            </w:r>
          </w:p>
        </w:tc>
      </w:tr>
      <w:tr w14:paraId="765D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817346D">
            <w:pPr>
              <w:spacing w:line="360" w:lineRule="exact"/>
              <w:rPr>
                <w:rFonts w:ascii="宋体" w:hAnsi="宋体"/>
                <w:color w:val="auto"/>
                <w:szCs w:val="21"/>
                <w:highlight w:val="none"/>
              </w:rPr>
            </w:pPr>
          </w:p>
        </w:tc>
        <w:tc>
          <w:tcPr>
            <w:tcW w:w="1119" w:type="dxa"/>
            <w:vMerge w:val="continue"/>
          </w:tcPr>
          <w:p w14:paraId="390CC542">
            <w:pPr>
              <w:spacing w:line="360" w:lineRule="exact"/>
              <w:rPr>
                <w:rFonts w:ascii="宋体" w:hAnsi="宋体"/>
                <w:color w:val="auto"/>
                <w:szCs w:val="21"/>
                <w:highlight w:val="none"/>
              </w:rPr>
            </w:pPr>
          </w:p>
        </w:tc>
        <w:tc>
          <w:tcPr>
            <w:tcW w:w="1933" w:type="dxa"/>
            <w:vAlign w:val="center"/>
          </w:tcPr>
          <w:p w14:paraId="217A7FF6">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5408" w:type="dxa"/>
            <w:vAlign w:val="center"/>
          </w:tcPr>
          <w:p w14:paraId="30AAC110">
            <w:pPr>
              <w:snapToGrid w:val="0"/>
              <w:spacing w:line="360" w:lineRule="exact"/>
              <w:rPr>
                <w:rFonts w:ascii="宋体" w:hAnsi="宋体"/>
                <w:color w:val="auto"/>
                <w:szCs w:val="21"/>
                <w:highlight w:val="none"/>
              </w:rPr>
            </w:pPr>
            <w:r>
              <w:rPr>
                <w:rFonts w:hint="eastAsia" w:ascii="宋体" w:hAnsi="宋体" w:cs="宋体"/>
                <w:color w:val="auto"/>
                <w:szCs w:val="21"/>
                <w:highlight w:val="none"/>
              </w:rPr>
              <w:t>响应竞争性磋商文件其他实质性内容及要求。</w:t>
            </w:r>
          </w:p>
        </w:tc>
      </w:tr>
      <w:tr w14:paraId="6EC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5" w:type="dxa"/>
            <w:gridSpan w:val="3"/>
            <w:vAlign w:val="center"/>
          </w:tcPr>
          <w:p w14:paraId="35583D99">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408" w:type="dxa"/>
            <w:vAlign w:val="center"/>
          </w:tcPr>
          <w:p w14:paraId="7FFF49A8">
            <w:pPr>
              <w:spacing w:line="360" w:lineRule="exact"/>
              <w:jc w:val="center"/>
              <w:rPr>
                <w:rFonts w:ascii="宋体" w:hAnsi="宋体"/>
                <w:color w:val="auto"/>
                <w:szCs w:val="21"/>
                <w:highlight w:val="none"/>
              </w:rPr>
            </w:pPr>
          </w:p>
        </w:tc>
      </w:tr>
    </w:tbl>
    <w:p w14:paraId="15E4A319">
      <w:pPr>
        <w:spacing w:line="360" w:lineRule="auto"/>
        <w:jc w:val="left"/>
        <w:rPr>
          <w:rFonts w:hAnsi="宋体"/>
          <w:b/>
          <w:bCs/>
          <w:color w:val="auto"/>
          <w:szCs w:val="21"/>
          <w:highlight w:val="none"/>
        </w:rPr>
      </w:pPr>
    </w:p>
    <w:p w14:paraId="7CAA5C01">
      <w:pPr>
        <w:spacing w:line="360" w:lineRule="auto"/>
        <w:jc w:val="left"/>
        <w:rPr>
          <w:rFonts w:ascii="宋体" w:hAnsi="宋体" w:cs="宋体"/>
          <w:b/>
          <w:bCs/>
          <w:color w:val="auto"/>
          <w:szCs w:val="21"/>
          <w:highlight w:val="none"/>
          <w:lang w:val="zh-CN"/>
        </w:rPr>
      </w:pPr>
      <w:r>
        <w:rPr>
          <w:rFonts w:hint="eastAsia" w:hAnsi="宋体"/>
          <w:b/>
          <w:color w:val="auto"/>
          <w:spacing w:val="-6"/>
          <w:szCs w:val="21"/>
          <w:highlight w:val="none"/>
        </w:rPr>
        <w:t>注：1.</w:t>
      </w:r>
      <w:r>
        <w:rPr>
          <w:rFonts w:hint="eastAsia" w:ascii="宋体" w:hAnsi="宋体" w:cs="宋体"/>
          <w:b/>
          <w:bCs/>
          <w:color w:val="auto"/>
          <w:szCs w:val="21"/>
          <w:highlight w:val="none"/>
          <w:lang w:val="zh-CN"/>
        </w:rPr>
        <w:t>上述内容中如某一证件正在年检或换证，需年检或换证部门出具有效证明方可确认。</w:t>
      </w:r>
    </w:p>
    <w:p w14:paraId="681F482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zh-CN" w:eastAsia="zh-CN" w:bidi="ar-SA"/>
        </w:rPr>
      </w:pPr>
      <w:r>
        <w:rPr>
          <w:rFonts w:hint="eastAsia" w:ascii="Times New Roman" w:hAnsi="宋体" w:eastAsia="宋体" w:cs="Times New Roman"/>
          <w:b/>
          <w:color w:val="auto"/>
          <w:spacing w:val="-6"/>
          <w:kern w:val="2"/>
          <w:sz w:val="21"/>
          <w:szCs w:val="21"/>
          <w:highlight w:val="none"/>
          <w:lang w:val="en-US" w:eastAsia="zh-CN" w:bidi="ar-SA"/>
        </w:rPr>
        <w:t>2.</w:t>
      </w:r>
      <w:r>
        <w:rPr>
          <w:rFonts w:hint="eastAsia" w:ascii="Times New Roman" w:hAnsi="宋体" w:eastAsia="宋体" w:cs="Times New Roman"/>
          <w:b/>
          <w:color w:val="auto"/>
          <w:spacing w:val="-6"/>
          <w:kern w:val="2"/>
          <w:sz w:val="21"/>
          <w:szCs w:val="21"/>
          <w:highlight w:val="none"/>
          <w:lang w:val="zh-CN" w:eastAsia="zh-CN" w:bidi="ar-SA"/>
        </w:rPr>
        <w:t>上述内容中需要提供承诺书的，格式自拟。</w:t>
      </w:r>
    </w:p>
    <w:p w14:paraId="03ADE20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3.以上</w:t>
      </w:r>
      <w:r>
        <w:rPr>
          <w:rFonts w:hint="eastAsia" w:hAnsi="宋体" w:cs="Times New Roman"/>
          <w:b/>
          <w:color w:val="auto"/>
          <w:spacing w:val="-6"/>
          <w:kern w:val="2"/>
          <w:sz w:val="21"/>
          <w:szCs w:val="21"/>
          <w:highlight w:val="none"/>
          <w:lang w:val="en-US" w:eastAsia="zh-CN" w:bidi="ar-SA"/>
        </w:rPr>
        <w:t>资格</w:t>
      </w:r>
      <w:r>
        <w:rPr>
          <w:rFonts w:hint="eastAsia" w:ascii="Times New Roman" w:hAnsi="宋体" w:eastAsia="宋体" w:cs="Times New Roman"/>
          <w:b/>
          <w:color w:val="auto"/>
          <w:spacing w:val="-6"/>
          <w:kern w:val="2"/>
          <w:sz w:val="21"/>
          <w:szCs w:val="21"/>
          <w:highlight w:val="none"/>
          <w:lang w:val="en-US" w:eastAsia="zh-CN" w:bidi="ar-SA"/>
        </w:rPr>
        <w:t>、</w:t>
      </w:r>
      <w:r>
        <w:rPr>
          <w:rFonts w:hint="eastAsia" w:hAnsi="宋体" w:cs="Times New Roman"/>
          <w:b/>
          <w:color w:val="auto"/>
          <w:spacing w:val="-6"/>
          <w:kern w:val="2"/>
          <w:sz w:val="21"/>
          <w:szCs w:val="21"/>
          <w:highlight w:val="none"/>
          <w:lang w:val="en-US" w:eastAsia="zh-CN" w:bidi="ar-SA"/>
        </w:rPr>
        <w:t>符合</w:t>
      </w:r>
      <w:r>
        <w:rPr>
          <w:rFonts w:hint="eastAsia" w:ascii="Times New Roman" w:hAnsi="宋体" w:eastAsia="宋体" w:cs="Times New Roman"/>
          <w:b/>
          <w:color w:val="auto"/>
          <w:spacing w:val="-6"/>
          <w:kern w:val="2"/>
          <w:sz w:val="21"/>
          <w:szCs w:val="21"/>
          <w:highlight w:val="none"/>
          <w:lang w:val="en-US" w:eastAsia="zh-CN" w:bidi="ar-SA"/>
        </w:rPr>
        <w:t>性评审中内容只要有一条不满足，则响应文件无效。</w:t>
      </w:r>
    </w:p>
    <w:p w14:paraId="6E92CF3E">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4.磋商结束后，磋商小组将要求所有供应商在规定时间内确定并提交最终报价（第二次报价）。</w:t>
      </w:r>
    </w:p>
    <w:p w14:paraId="1F156405">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5.方式：</w:t>
      </w:r>
      <w:r>
        <w:rPr>
          <w:rFonts w:hint="eastAsia" w:ascii="Times New Roman" w:hAnsi="宋体" w:eastAsia="宋体" w:cs="Times New Roman"/>
          <w:b/>
          <w:color w:val="auto"/>
          <w:spacing w:val="-6"/>
          <w:kern w:val="2"/>
          <w:sz w:val="21"/>
          <w:szCs w:val="21"/>
          <w:highlight w:val="none"/>
          <w:lang w:val="zh-CN" w:eastAsia="zh-CN" w:bidi="ar-SA"/>
        </w:rPr>
        <w:t>通过“政采云”平台（http：//www.zcygov.cn）系统上传第二轮报价电子版文件。</w:t>
      </w:r>
    </w:p>
    <w:p w14:paraId="03552012">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6.根据各单位最终报价和合格磋商单位的响应文件进行综合打分，按照汇总得分由高到低的顺序推荐候选人。</w:t>
      </w:r>
    </w:p>
    <w:p w14:paraId="18F22334">
      <w:pPr>
        <w:pStyle w:val="38"/>
        <w:numPr>
          <w:ilvl w:val="0"/>
          <w:numId w:val="0"/>
        </w:numPr>
        <w:rPr>
          <w:rFonts w:hint="eastAsia" w:ascii="宋体" w:hAnsi="宋体" w:cs="宋体"/>
          <w:b/>
          <w:bCs/>
          <w:color w:val="auto"/>
          <w:sz w:val="21"/>
          <w:szCs w:val="21"/>
          <w:highlight w:val="none"/>
          <w:lang w:val="zh-CN"/>
        </w:rPr>
      </w:pPr>
    </w:p>
    <w:p w14:paraId="7991BF43">
      <w:pPr>
        <w:widowControl w:val="0"/>
        <w:spacing w:line="460" w:lineRule="exact"/>
        <w:ind w:firstLine="398" w:firstLineChars="200"/>
        <w:jc w:val="both"/>
        <w:rPr>
          <w:rFonts w:hint="eastAsia" w:ascii="Times New Roman" w:hAnsi="Times New Roman" w:cs="Times New Roman"/>
          <w:color w:val="auto"/>
          <w:kern w:val="2"/>
          <w:sz w:val="22"/>
          <w:szCs w:val="24"/>
          <w:highlight w:val="none"/>
        </w:rPr>
      </w:pPr>
      <w:r>
        <w:rPr>
          <w:rFonts w:hAnsi="宋体"/>
          <w:b/>
          <w:color w:val="auto"/>
          <w:spacing w:val="-6"/>
          <w:szCs w:val="21"/>
          <w:highlight w:val="none"/>
        </w:rPr>
        <w:br w:type="page"/>
      </w:r>
    </w:p>
    <w:p w14:paraId="0FF7C79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rPr>
          <w:rFonts w:ascii="宋体" w:hAnsi="宋体" w:cs="宋体"/>
          <w:b/>
          <w:bCs/>
          <w:color w:val="auto"/>
          <w:sz w:val="24"/>
          <w:highlight w:val="none"/>
        </w:rPr>
      </w:pPr>
      <w:r>
        <w:rPr>
          <w:rFonts w:hint="eastAsia" w:ascii="宋体" w:hAnsi="宋体" w:eastAsia="宋体" w:cs="宋体"/>
          <w:b/>
          <w:bCs/>
          <w:color w:val="auto"/>
          <w:highlight w:val="none"/>
        </w:rPr>
        <w:t>详细评审表</w:t>
      </w: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32"/>
        <w:gridCol w:w="6132"/>
        <w:gridCol w:w="817"/>
      </w:tblGrid>
      <w:tr w14:paraId="200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03" w:type="dxa"/>
            <w:gridSpan w:val="2"/>
            <w:tcBorders>
              <w:top w:val="single" w:color="auto" w:sz="4" w:space="0"/>
              <w:left w:val="single" w:color="auto" w:sz="4" w:space="0"/>
              <w:bottom w:val="single" w:color="auto" w:sz="4" w:space="0"/>
              <w:right w:val="single" w:color="auto" w:sz="4" w:space="0"/>
            </w:tcBorders>
            <w:noWrap w:val="0"/>
            <w:vAlign w:val="bottom"/>
          </w:tcPr>
          <w:p w14:paraId="23755300">
            <w:pPr>
              <w:pStyle w:val="20"/>
              <w:keepNext w:val="0"/>
              <w:keepLines w:val="0"/>
              <w:pageBreakBefore w:val="0"/>
              <w:widowControl w:val="0"/>
              <w:kinsoku/>
              <w:wordWrap/>
              <w:overflowPunct/>
              <w:topLinePunct w:val="0"/>
              <w:autoSpaceDE/>
              <w:autoSpaceDN/>
              <w:bidi w:val="0"/>
              <w:adjustRightInd/>
              <w:snapToGrid/>
              <w:spacing w:line="360" w:lineRule="auto"/>
              <w:ind w:right="10" w:rightChars="5"/>
              <w:jc w:val="center"/>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6132" w:type="dxa"/>
            <w:tcBorders>
              <w:top w:val="single" w:color="auto" w:sz="4" w:space="0"/>
              <w:left w:val="single" w:color="auto" w:sz="4" w:space="0"/>
              <w:bottom w:val="single" w:color="auto" w:sz="4" w:space="0"/>
              <w:right w:val="single" w:color="auto" w:sz="4" w:space="0"/>
            </w:tcBorders>
            <w:noWrap w:val="0"/>
            <w:vAlign w:val="bottom"/>
          </w:tcPr>
          <w:p w14:paraId="4A51C8A4">
            <w:pPr>
              <w:pStyle w:val="20"/>
              <w:keepNext w:val="0"/>
              <w:keepLines w:val="0"/>
              <w:pageBreakBefore w:val="0"/>
              <w:widowControl w:val="0"/>
              <w:kinsoku/>
              <w:wordWrap/>
              <w:overflowPunct/>
              <w:topLinePunct w:val="0"/>
              <w:autoSpaceDE/>
              <w:autoSpaceDN/>
              <w:bidi w:val="0"/>
              <w:adjustRightInd/>
              <w:snapToGrid/>
              <w:spacing w:line="360" w:lineRule="auto"/>
              <w:ind w:right="10" w:rightChars="5"/>
              <w:jc w:val="center"/>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17" w:type="dxa"/>
            <w:tcBorders>
              <w:top w:val="single" w:color="auto" w:sz="4" w:space="0"/>
              <w:left w:val="single" w:color="auto" w:sz="4" w:space="0"/>
              <w:bottom w:val="single" w:color="auto" w:sz="4" w:space="0"/>
              <w:right w:val="single" w:color="auto" w:sz="4" w:space="0"/>
            </w:tcBorders>
            <w:noWrap w:val="0"/>
            <w:vAlign w:val="bottom"/>
          </w:tcPr>
          <w:p w14:paraId="33B339D6">
            <w:pPr>
              <w:pStyle w:val="20"/>
              <w:keepNext w:val="0"/>
              <w:keepLines w:val="0"/>
              <w:pageBreakBefore w:val="0"/>
              <w:widowControl w:val="0"/>
              <w:kinsoku/>
              <w:wordWrap/>
              <w:overflowPunct/>
              <w:topLinePunct w:val="0"/>
              <w:autoSpaceDE/>
              <w:autoSpaceDN/>
              <w:bidi w:val="0"/>
              <w:adjustRightInd/>
              <w:snapToGrid/>
              <w:spacing w:line="360" w:lineRule="auto"/>
              <w:ind w:left="0" w:leftChars="0" w:right="10" w:rightChars="5" w:firstLine="0" w:firstLineChars="0"/>
              <w:jc w:val="both"/>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3F6B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603" w:type="dxa"/>
            <w:gridSpan w:val="2"/>
            <w:tcBorders>
              <w:top w:val="single" w:color="auto" w:sz="4" w:space="0"/>
              <w:left w:val="single" w:color="auto" w:sz="4" w:space="0"/>
              <w:bottom w:val="single" w:color="auto" w:sz="4" w:space="0"/>
              <w:right w:val="single" w:color="auto" w:sz="4" w:space="0"/>
            </w:tcBorders>
            <w:noWrap w:val="0"/>
            <w:vAlign w:val="center"/>
          </w:tcPr>
          <w:p w14:paraId="7B4C87BB">
            <w:pPr>
              <w:keepNext w:val="0"/>
              <w:keepLines w:val="0"/>
              <w:pageBreakBefore w:val="0"/>
              <w:widowControl w:val="0"/>
              <w:kinsoku/>
              <w:wordWrap/>
              <w:overflowPunct/>
              <w:topLinePunct w:val="0"/>
              <w:autoSpaceDE/>
              <w:autoSpaceDN/>
              <w:bidi w:val="0"/>
              <w:adjustRightInd/>
              <w:snapToGrid/>
              <w:spacing w:line="360" w:lineRule="auto"/>
              <w:ind w:right="-107" w:rightChars="-51"/>
              <w:jc w:val="center"/>
              <w:rPr>
                <w:rFonts w:hint="eastAsia" w:ascii="宋体" w:hAnsi="宋体" w:cs="宋体"/>
                <w:color w:val="auto"/>
                <w:sz w:val="21"/>
                <w:szCs w:val="21"/>
                <w:highlight w:val="none"/>
              </w:rPr>
            </w:pPr>
            <w:r>
              <w:rPr>
                <w:rFonts w:ascii="宋体" w:hAnsi="宋体" w:cs="宋体"/>
                <w:color w:val="auto"/>
                <w:sz w:val="21"/>
                <w:szCs w:val="21"/>
                <w:highlight w:val="none"/>
              </w:rPr>
              <w:t>分值构成</w:t>
            </w:r>
          </w:p>
          <w:p w14:paraId="45E720F2">
            <w:pPr>
              <w:keepNext w:val="0"/>
              <w:keepLines w:val="0"/>
              <w:pageBreakBefore w:val="0"/>
              <w:widowControl w:val="0"/>
              <w:kinsoku/>
              <w:wordWrap/>
              <w:overflowPunct/>
              <w:topLinePunct w:val="0"/>
              <w:autoSpaceDE/>
              <w:autoSpaceDN/>
              <w:bidi w:val="0"/>
              <w:adjustRightInd/>
              <w:snapToGrid/>
              <w:spacing w:line="360" w:lineRule="auto"/>
              <w:ind w:right="-107" w:rightChars="-51"/>
              <w:jc w:val="center"/>
              <w:rPr>
                <w:rFonts w:hint="eastAsia" w:ascii="宋体" w:hAnsi="宋体" w:eastAsia="宋体" w:cs="宋体"/>
                <w:color w:val="auto"/>
                <w:sz w:val="21"/>
                <w:szCs w:val="21"/>
                <w:highlight w:val="none"/>
              </w:rPr>
            </w:pPr>
            <w:r>
              <w:rPr>
                <w:rFonts w:ascii="宋体" w:hAnsi="宋体" w:cs="宋体"/>
                <w:color w:val="auto"/>
                <w:sz w:val="21"/>
                <w:szCs w:val="21"/>
                <w:highlight w:val="none"/>
              </w:rPr>
              <w:t>(总分 100 分)</w:t>
            </w:r>
          </w:p>
        </w:tc>
        <w:tc>
          <w:tcPr>
            <w:tcW w:w="6132" w:type="dxa"/>
            <w:tcBorders>
              <w:top w:val="single" w:color="auto" w:sz="4" w:space="0"/>
              <w:left w:val="single" w:color="auto" w:sz="4" w:space="0"/>
              <w:bottom w:val="single" w:color="auto" w:sz="4" w:space="0"/>
              <w:right w:val="single" w:color="auto" w:sz="4" w:space="0"/>
            </w:tcBorders>
            <w:noWrap w:val="0"/>
            <w:vAlign w:val="center"/>
          </w:tcPr>
          <w:p w14:paraId="5C64B81C">
            <w:pPr>
              <w:keepNext w:val="0"/>
              <w:keepLines w:val="0"/>
              <w:pageBreakBefore w:val="0"/>
              <w:widowControl w:val="0"/>
              <w:kinsoku/>
              <w:wordWrap/>
              <w:overflowPunct/>
              <w:topLinePunct w:val="0"/>
              <w:autoSpaceDE/>
              <w:autoSpaceDN/>
              <w:bidi w:val="0"/>
              <w:adjustRightInd/>
              <w:snapToGrid/>
              <w:spacing w:line="360" w:lineRule="auto"/>
              <w:ind w:right="-107" w:rightChars="-51"/>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勘察</w:t>
            </w:r>
            <w:r>
              <w:rPr>
                <w:rFonts w:hint="eastAsia" w:ascii="宋体" w:hAnsi="宋体" w:cs="宋体"/>
                <w:color w:val="auto"/>
                <w:kern w:val="0"/>
                <w:sz w:val="21"/>
                <w:szCs w:val="21"/>
                <w:highlight w:val="none"/>
                <w:lang w:val="zh-CN"/>
              </w:rPr>
              <w:t>设计投标报价</w:t>
            </w:r>
            <w:r>
              <w:rPr>
                <w:rFonts w:hint="eastAsia" w:ascii="宋体" w:hAnsi="宋体" w:cs="宋体"/>
                <w:color w:val="auto"/>
                <w:kern w:val="0"/>
                <w:sz w:val="21"/>
                <w:szCs w:val="21"/>
                <w:highlight w:val="none"/>
                <w:u w:val="single"/>
                <w:lang w:val="en-US" w:eastAsia="zh-CN"/>
              </w:rPr>
              <w:t>10</w:t>
            </w:r>
            <w:r>
              <w:rPr>
                <w:rFonts w:hint="eastAsia" w:ascii="宋体" w:hAnsi="宋体" w:cs="宋体"/>
                <w:color w:val="auto"/>
                <w:kern w:val="0"/>
                <w:sz w:val="21"/>
                <w:szCs w:val="21"/>
                <w:highlight w:val="none"/>
                <w:u w:val="single"/>
                <w:lang w:val="zh-CN"/>
              </w:rPr>
              <w:t>分</w:t>
            </w:r>
          </w:p>
          <w:p w14:paraId="0FFE8A7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资信业绩部分：</w:t>
            </w:r>
            <w:r>
              <w:rPr>
                <w:rFonts w:hint="eastAsia" w:ascii="宋体" w:hAnsi="宋体" w:cs="宋体"/>
                <w:color w:val="auto"/>
                <w:kern w:val="0"/>
                <w:sz w:val="21"/>
                <w:szCs w:val="21"/>
                <w:highlight w:val="none"/>
                <w:u w:val="single"/>
                <w:lang w:val="en-US" w:eastAsia="zh-CN"/>
              </w:rPr>
              <w:t>16</w:t>
            </w:r>
            <w:r>
              <w:rPr>
                <w:rFonts w:hint="eastAsia" w:ascii="宋体" w:hAnsi="宋体" w:cs="宋体"/>
                <w:color w:val="auto"/>
                <w:kern w:val="0"/>
                <w:sz w:val="21"/>
                <w:szCs w:val="21"/>
                <w:highlight w:val="none"/>
                <w:u w:val="single"/>
                <w:lang w:val="zh-CN"/>
              </w:rPr>
              <w:t>分</w:t>
            </w:r>
          </w:p>
          <w:p w14:paraId="2DFB0F2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s="宋体"/>
                <w:color w:val="auto"/>
                <w:kern w:val="0"/>
                <w:sz w:val="21"/>
                <w:szCs w:val="21"/>
                <w:highlight w:val="none"/>
                <w:lang w:val="zh-CN"/>
              </w:rPr>
            </w:pPr>
            <w:r>
              <w:rPr>
                <w:rFonts w:hint="eastAsia" w:ascii="宋体" w:hAnsi="宋体"/>
                <w:color w:val="auto"/>
                <w:sz w:val="22"/>
                <w:szCs w:val="22"/>
                <w:highlight w:val="none"/>
              </w:rPr>
              <w:t>勘察纲要</w:t>
            </w:r>
            <w:r>
              <w:rPr>
                <w:rFonts w:hint="eastAsia" w:ascii="宋体" w:hAnsi="宋体" w:cs="宋体"/>
                <w:color w:val="auto"/>
                <w:kern w:val="0"/>
                <w:sz w:val="21"/>
                <w:szCs w:val="21"/>
                <w:highlight w:val="none"/>
                <w:lang w:val="zh-CN"/>
              </w:rPr>
              <w:t>部分：</w:t>
            </w:r>
            <w:r>
              <w:rPr>
                <w:rFonts w:hint="eastAsia" w:ascii="宋体" w:hAnsi="宋体" w:cs="宋体"/>
                <w:color w:val="auto"/>
                <w:kern w:val="0"/>
                <w:sz w:val="21"/>
                <w:szCs w:val="21"/>
                <w:highlight w:val="none"/>
                <w:u w:val="single"/>
                <w:lang w:val="en-US" w:eastAsia="zh-CN"/>
              </w:rPr>
              <w:t>36</w:t>
            </w:r>
            <w:r>
              <w:rPr>
                <w:rFonts w:hint="eastAsia" w:ascii="宋体" w:hAnsi="宋体" w:cs="宋体"/>
                <w:color w:val="auto"/>
                <w:kern w:val="0"/>
                <w:sz w:val="21"/>
                <w:szCs w:val="21"/>
                <w:highlight w:val="none"/>
                <w:u w:val="single"/>
                <w:lang w:val="zh-CN"/>
              </w:rPr>
              <w:t>分</w:t>
            </w:r>
          </w:p>
          <w:p w14:paraId="320B49B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s="宋体"/>
                <w:color w:val="auto"/>
                <w:kern w:val="0"/>
                <w:sz w:val="21"/>
                <w:szCs w:val="21"/>
                <w:highlight w:val="none"/>
                <w:lang w:val="zh-CN"/>
              </w:rPr>
            </w:pPr>
            <w:r>
              <w:rPr>
                <w:rFonts w:hint="eastAsia" w:ascii="宋体" w:hAnsi="宋体"/>
                <w:color w:val="auto"/>
                <w:sz w:val="22"/>
                <w:szCs w:val="22"/>
                <w:highlight w:val="none"/>
              </w:rPr>
              <w:t>设计方案</w:t>
            </w:r>
            <w:r>
              <w:rPr>
                <w:rFonts w:hint="eastAsia" w:ascii="宋体" w:hAnsi="宋体" w:cs="宋体"/>
                <w:color w:val="auto"/>
                <w:kern w:val="0"/>
                <w:sz w:val="21"/>
                <w:szCs w:val="21"/>
                <w:highlight w:val="none"/>
                <w:lang w:val="en-US" w:eastAsia="zh-CN"/>
              </w:rPr>
              <w:t>部分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lang w:val="en-US" w:eastAsia="zh-CN"/>
              </w:rPr>
              <w:t>36</w:t>
            </w:r>
            <w:r>
              <w:rPr>
                <w:rFonts w:hint="eastAsia" w:ascii="宋体" w:hAnsi="宋体" w:cs="宋体"/>
                <w:color w:val="auto"/>
                <w:kern w:val="0"/>
                <w:sz w:val="21"/>
                <w:szCs w:val="21"/>
                <w:highlight w:val="none"/>
                <w:u w:val="single"/>
                <w:lang w:val="zh-CN"/>
              </w:rPr>
              <w:t>分</w:t>
            </w:r>
          </w:p>
          <w:p w14:paraId="39420F7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其他评分因素：</w:t>
            </w:r>
            <w:r>
              <w:rPr>
                <w:rFonts w:hint="eastAsia" w:ascii="宋体" w:hAnsi="宋体" w:cs="宋体"/>
                <w:color w:val="auto"/>
                <w:kern w:val="0"/>
                <w:sz w:val="21"/>
                <w:szCs w:val="21"/>
                <w:highlight w:val="none"/>
                <w:u w:val="single"/>
                <w:lang w:val="en-US" w:eastAsia="zh-CN"/>
              </w:rPr>
              <w:t>2分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3BBB92B">
            <w:pPr>
              <w:pStyle w:val="20"/>
              <w:keepNext w:val="0"/>
              <w:keepLines w:val="0"/>
              <w:pageBreakBefore w:val="0"/>
              <w:widowControl w:val="0"/>
              <w:kinsoku/>
              <w:wordWrap/>
              <w:overflowPunct/>
              <w:topLinePunct w:val="0"/>
              <w:autoSpaceDE/>
              <w:autoSpaceDN/>
              <w:bidi w:val="0"/>
              <w:adjustRightInd/>
              <w:snapToGrid/>
              <w:spacing w:line="360" w:lineRule="auto"/>
              <w:ind w:left="0" w:leftChars="0" w:right="10" w:rightChars="5" w:firstLine="0" w:firstLineChars="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548A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2603" w:type="dxa"/>
            <w:gridSpan w:val="2"/>
            <w:noWrap w:val="0"/>
            <w:vAlign w:val="center"/>
          </w:tcPr>
          <w:p w14:paraId="3C25C791">
            <w:pPr>
              <w:keepNext w:val="0"/>
              <w:keepLines w:val="0"/>
              <w:pageBreakBefore w:val="0"/>
              <w:widowControl w:val="0"/>
              <w:kinsoku/>
              <w:wordWrap/>
              <w:overflowPunct/>
              <w:topLinePunct w:val="0"/>
              <w:autoSpaceDE/>
              <w:autoSpaceDN/>
              <w:bidi w:val="0"/>
              <w:adjustRightInd/>
              <w:snapToGrid/>
              <w:spacing w:line="360" w:lineRule="auto"/>
              <w:ind w:right="-107" w:rightChars="-51"/>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勘察</w:t>
            </w:r>
            <w:r>
              <w:rPr>
                <w:rFonts w:hint="eastAsia" w:ascii="宋体" w:hAnsi="宋体" w:cs="宋体"/>
                <w:color w:val="auto"/>
                <w:kern w:val="0"/>
                <w:sz w:val="21"/>
                <w:szCs w:val="21"/>
                <w:highlight w:val="none"/>
                <w:lang w:val="zh-CN"/>
              </w:rPr>
              <w:t>设计投标报价</w:t>
            </w:r>
          </w:p>
          <w:p w14:paraId="58F6A5D1">
            <w:pPr>
              <w:keepNext w:val="0"/>
              <w:keepLines w:val="0"/>
              <w:pageBreakBefore w:val="0"/>
              <w:widowControl w:val="0"/>
              <w:kinsoku/>
              <w:wordWrap/>
              <w:overflowPunct/>
              <w:topLinePunct w:val="0"/>
              <w:autoSpaceDE/>
              <w:autoSpaceDN/>
              <w:bidi w:val="0"/>
              <w:adjustRightInd/>
              <w:snapToGrid/>
              <w:spacing w:line="360" w:lineRule="auto"/>
              <w:ind w:right="-107" w:rightChars="-51"/>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c>
          <w:tcPr>
            <w:tcW w:w="6132" w:type="dxa"/>
            <w:noWrap w:val="0"/>
            <w:vAlign w:val="center"/>
          </w:tcPr>
          <w:p w14:paraId="073BDA37">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评分法中的价格分统一采用低价优先法计算，即满足磋商文件要求且投标价格最低的投标报价为评标基准价，其价格分为满分。投标报价得分=(评标基准价／投标报价)×价格权值</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zh-CN"/>
              </w:rPr>
              <w:t>0%×100注：报价得分保留二位小数，从第三位开始四舍五入</w:t>
            </w:r>
          </w:p>
        </w:tc>
        <w:tc>
          <w:tcPr>
            <w:tcW w:w="817" w:type="dxa"/>
            <w:noWrap w:val="0"/>
            <w:vAlign w:val="center"/>
          </w:tcPr>
          <w:p w14:paraId="0232C5BF">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w:t>
            </w:r>
          </w:p>
        </w:tc>
      </w:tr>
      <w:tr w14:paraId="17B5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71" w:type="dxa"/>
            <w:vMerge w:val="restart"/>
            <w:noWrap w:val="0"/>
            <w:vAlign w:val="center"/>
          </w:tcPr>
          <w:p w14:paraId="41B544B0">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p w14:paraId="75A3C807">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p w14:paraId="67E71964">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p w14:paraId="76863819">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p w14:paraId="70F82DF6">
            <w:pPr>
              <w:keepNext w:val="0"/>
              <w:keepLines w:val="0"/>
              <w:pageBreakBefore w:val="0"/>
              <w:widowControl w:val="0"/>
              <w:kinsoku/>
              <w:wordWrap/>
              <w:overflowPunct/>
              <w:topLinePunct w:val="0"/>
              <w:bidi w:val="0"/>
              <w:adjustRightInd/>
              <w:snapToGrid/>
              <w:spacing w:line="360" w:lineRule="auto"/>
              <w:jc w:val="center"/>
              <w:rPr>
                <w:rFonts w:hint="eastAsia" w:ascii="宋体" w:hAnsi="宋体"/>
                <w:color w:val="auto"/>
                <w:highlight w:val="none"/>
              </w:rPr>
            </w:pPr>
            <w:r>
              <w:rPr>
                <w:rFonts w:hint="eastAsia" w:ascii="宋体" w:hAnsi="宋体"/>
                <w:color w:val="auto"/>
                <w:highlight w:val="none"/>
              </w:rPr>
              <w:t>资信业绩评分标准</w:t>
            </w:r>
          </w:p>
          <w:p w14:paraId="4CD0F9AA">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r>
              <w:rPr>
                <w:rFonts w:hint="eastAsia" w:ascii="宋体" w:hAnsi="宋体"/>
                <w:color w:val="auto"/>
                <w:highlight w:val="none"/>
              </w:rPr>
              <w:t>（</w:t>
            </w:r>
            <w:r>
              <w:rPr>
                <w:rFonts w:hint="eastAsia" w:ascii="宋体" w:hAnsi="宋体"/>
                <w:color w:val="auto"/>
                <w:highlight w:val="none"/>
                <w:lang w:val="en-US" w:eastAsia="zh-CN"/>
              </w:rPr>
              <w:t>16</w:t>
            </w:r>
            <w:r>
              <w:rPr>
                <w:rFonts w:hint="eastAsia" w:ascii="宋体" w:hAnsi="宋体"/>
                <w:color w:val="auto"/>
                <w:highlight w:val="none"/>
              </w:rPr>
              <w:t>分）</w:t>
            </w:r>
          </w:p>
        </w:tc>
        <w:tc>
          <w:tcPr>
            <w:tcW w:w="1432" w:type="dxa"/>
            <w:noWrap w:val="0"/>
            <w:vAlign w:val="center"/>
          </w:tcPr>
          <w:p w14:paraId="20DA0728">
            <w:pPr>
              <w:spacing w:line="300" w:lineRule="exact"/>
              <w:jc w:val="center"/>
              <w:rPr>
                <w:rFonts w:ascii="宋体" w:hAnsi="宋体" w:cs="宋体"/>
                <w:color w:val="auto"/>
                <w:sz w:val="21"/>
                <w:szCs w:val="21"/>
                <w:highlight w:val="none"/>
              </w:rPr>
            </w:pPr>
            <w:r>
              <w:rPr>
                <w:rFonts w:hint="eastAsia" w:ascii="宋体" w:hAnsi="宋体" w:cs="宋体"/>
                <w:color w:val="auto"/>
                <w:sz w:val="22"/>
                <w:szCs w:val="22"/>
                <w:highlight w:val="none"/>
              </w:rPr>
              <w:t>信誉（2分）</w:t>
            </w:r>
          </w:p>
        </w:tc>
        <w:tc>
          <w:tcPr>
            <w:tcW w:w="6132" w:type="dxa"/>
            <w:noWrap w:val="0"/>
            <w:vAlign w:val="center"/>
          </w:tcPr>
          <w:p w14:paraId="0CC0D875">
            <w:pPr>
              <w:spacing w:line="3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近三年（202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Times New Roman"/>
                <w:color w:val="auto"/>
                <w:sz w:val="21"/>
                <w:szCs w:val="21"/>
                <w:highlight w:val="none"/>
              </w:rPr>
              <w:t>～</w:t>
            </w:r>
            <w:r>
              <w:rPr>
                <w:rFonts w:hint="eastAsia" w:ascii="宋体" w:hAnsi="宋体" w:cs="宋体"/>
                <w:color w:val="auto"/>
                <w:sz w:val="21"/>
                <w:szCs w:val="21"/>
                <w:highlight w:val="none"/>
              </w:rPr>
              <w:t>至今）合同履约情况良好无纠纷者，得2分</w:t>
            </w:r>
            <w:r>
              <w:rPr>
                <w:rFonts w:hint="eastAsia" w:hAnsi="宋体" w:cs="宋体"/>
                <w:color w:val="auto"/>
                <w:sz w:val="21"/>
                <w:szCs w:val="21"/>
                <w:highlight w:val="none"/>
              </w:rPr>
              <w:t>。</w:t>
            </w:r>
          </w:p>
        </w:tc>
        <w:tc>
          <w:tcPr>
            <w:tcW w:w="817" w:type="dxa"/>
            <w:noWrap w:val="0"/>
            <w:vAlign w:val="center"/>
          </w:tcPr>
          <w:p w14:paraId="646C1BCB">
            <w:pPr>
              <w:keepNext w:val="0"/>
              <w:keepLines w:val="0"/>
              <w:pageBreakBefore w:val="0"/>
              <w:widowControl w:val="0"/>
              <w:kinsoku/>
              <w:wordWrap/>
              <w:overflowPunct/>
              <w:topLinePunct w:val="0"/>
              <w:bidi w:val="0"/>
              <w:adjustRightInd/>
              <w:snapToGrid/>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r>
      <w:tr w14:paraId="5046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vMerge w:val="continue"/>
            <w:noWrap w:val="0"/>
            <w:vAlign w:val="center"/>
          </w:tcPr>
          <w:p w14:paraId="0921E076">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tc>
        <w:tc>
          <w:tcPr>
            <w:tcW w:w="1432" w:type="dxa"/>
            <w:noWrap w:val="0"/>
            <w:vAlign w:val="center"/>
          </w:tcPr>
          <w:p w14:paraId="3430099C">
            <w:pPr>
              <w:spacing w:line="3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类似项目业绩</w:t>
            </w:r>
          </w:p>
          <w:p w14:paraId="3C0998E3">
            <w:pPr>
              <w:spacing w:line="300" w:lineRule="exact"/>
              <w:jc w:val="center"/>
              <w:rPr>
                <w:rFonts w:ascii="宋体" w:hAnsi="宋体" w:cs="宋体"/>
                <w:color w:val="auto"/>
                <w:sz w:val="21"/>
                <w:szCs w:val="21"/>
                <w:highlight w:val="none"/>
              </w:rPr>
            </w:pPr>
            <w:r>
              <w:rPr>
                <w:rFonts w:hint="eastAsia" w:ascii="宋体" w:hAnsi="宋体" w:cs="宋体"/>
                <w:color w:val="auto"/>
                <w:sz w:val="22"/>
                <w:szCs w:val="22"/>
                <w:highlight w:val="none"/>
              </w:rPr>
              <w:t>（6分）</w:t>
            </w:r>
          </w:p>
        </w:tc>
        <w:tc>
          <w:tcPr>
            <w:tcW w:w="6132" w:type="dxa"/>
            <w:noWrap w:val="0"/>
            <w:vAlign w:val="center"/>
          </w:tcPr>
          <w:p w14:paraId="3A433171">
            <w:pPr>
              <w:spacing w:line="360" w:lineRule="exact"/>
              <w:rPr>
                <w:rFonts w:ascii="宋体" w:hAnsi="宋体" w:cs="宋体"/>
                <w:color w:val="auto"/>
                <w:sz w:val="21"/>
                <w:szCs w:val="21"/>
                <w:highlight w:val="none"/>
              </w:rPr>
            </w:pPr>
            <w:r>
              <w:rPr>
                <w:rFonts w:hint="eastAsia" w:hAnsi="宋体" w:cs="宋体"/>
                <w:color w:val="auto"/>
                <w:sz w:val="21"/>
                <w:szCs w:val="21"/>
                <w:highlight w:val="none"/>
                <w:lang w:eastAsia="zh-CN"/>
              </w:rPr>
              <w:t>供应商</w:t>
            </w:r>
            <w:r>
              <w:rPr>
                <w:rFonts w:hint="eastAsia" w:hAnsi="宋体" w:cs="宋体"/>
                <w:color w:val="auto"/>
                <w:sz w:val="21"/>
                <w:szCs w:val="21"/>
                <w:highlight w:val="none"/>
              </w:rPr>
              <w:t>近三年</w:t>
            </w:r>
            <w:r>
              <w:rPr>
                <w:rFonts w:hint="eastAsia" w:ascii="宋体" w:hAnsi="宋体"/>
                <w:bCs/>
                <w:color w:val="auto"/>
                <w:spacing w:val="-6"/>
                <w:sz w:val="21"/>
                <w:szCs w:val="21"/>
                <w:highlight w:val="none"/>
              </w:rPr>
              <w:t>完成过类似勘察工程业绩，每有1项类似勘察业绩计1分，满分3分；</w:t>
            </w:r>
          </w:p>
          <w:p w14:paraId="30AC97F9">
            <w:pPr>
              <w:spacing w:line="360" w:lineRule="exact"/>
              <w:rPr>
                <w:rFonts w:ascii="宋体" w:hAnsi="宋体"/>
                <w:bCs/>
                <w:color w:val="auto"/>
                <w:spacing w:val="-6"/>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近</w:t>
            </w:r>
            <w:r>
              <w:rPr>
                <w:rFonts w:hint="eastAsia" w:hAnsi="宋体" w:cs="宋体"/>
                <w:color w:val="auto"/>
                <w:sz w:val="21"/>
                <w:szCs w:val="21"/>
                <w:highlight w:val="none"/>
              </w:rPr>
              <w:t>三</w:t>
            </w:r>
            <w:r>
              <w:rPr>
                <w:rFonts w:hint="eastAsia" w:ascii="宋体" w:hAnsi="宋体" w:cs="宋体"/>
                <w:color w:val="auto"/>
                <w:sz w:val="21"/>
                <w:szCs w:val="21"/>
                <w:highlight w:val="none"/>
              </w:rPr>
              <w:t>年</w:t>
            </w:r>
            <w:r>
              <w:rPr>
                <w:rFonts w:hint="eastAsia" w:ascii="宋体" w:hAnsi="宋体"/>
                <w:bCs/>
                <w:color w:val="auto"/>
                <w:spacing w:val="-6"/>
                <w:sz w:val="21"/>
                <w:szCs w:val="21"/>
                <w:highlight w:val="none"/>
              </w:rPr>
              <w:t>完成过类似设计工程业绩，每有1项类似设计业绩计1分，满分3分。</w:t>
            </w:r>
          </w:p>
          <w:p w14:paraId="0142B14A">
            <w:pPr>
              <w:spacing w:line="360" w:lineRule="exact"/>
              <w:rPr>
                <w:rFonts w:ascii="宋体" w:hAnsi="宋体" w:cs="宋体"/>
                <w:color w:val="auto"/>
                <w:sz w:val="21"/>
                <w:szCs w:val="21"/>
                <w:highlight w:val="none"/>
                <w:lang w:val="zh-CN"/>
              </w:rPr>
            </w:pPr>
            <w:r>
              <w:rPr>
                <w:rFonts w:hint="eastAsia" w:ascii="宋体" w:hAnsi="宋体"/>
                <w:b/>
                <w:bCs/>
                <w:color w:val="auto"/>
                <w:spacing w:val="-6"/>
                <w:sz w:val="21"/>
                <w:szCs w:val="21"/>
                <w:highlight w:val="none"/>
              </w:rPr>
              <w:t>（注：须附中标通知书或合同业绩证明材料，否则不计分）</w:t>
            </w:r>
          </w:p>
        </w:tc>
        <w:tc>
          <w:tcPr>
            <w:tcW w:w="817" w:type="dxa"/>
            <w:noWrap w:val="0"/>
            <w:vAlign w:val="center"/>
          </w:tcPr>
          <w:p w14:paraId="33340A33">
            <w:pPr>
              <w:keepNext w:val="0"/>
              <w:keepLines w:val="0"/>
              <w:pageBreakBefore w:val="0"/>
              <w:widowControl w:val="0"/>
              <w:kinsoku/>
              <w:wordWrap/>
              <w:overflowPunct/>
              <w:topLinePunct w:val="0"/>
              <w:bidi w:val="0"/>
              <w:adjustRightInd/>
              <w:snapToGri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0FE6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71" w:type="dxa"/>
            <w:vMerge w:val="continue"/>
            <w:noWrap w:val="0"/>
            <w:vAlign w:val="center"/>
          </w:tcPr>
          <w:p w14:paraId="05009BD9">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tc>
        <w:tc>
          <w:tcPr>
            <w:tcW w:w="1432" w:type="dxa"/>
            <w:noWrap w:val="0"/>
            <w:vAlign w:val="center"/>
          </w:tcPr>
          <w:p w14:paraId="565A7532">
            <w:pPr>
              <w:spacing w:line="300" w:lineRule="exact"/>
              <w:jc w:val="center"/>
              <w:rPr>
                <w:rFonts w:hint="eastAsia" w:ascii="宋体" w:hAnsi="宋体" w:cs="宋体"/>
                <w:color w:val="auto"/>
                <w:kern w:val="0"/>
                <w:szCs w:val="21"/>
                <w:highlight w:val="none"/>
              </w:rPr>
            </w:pPr>
            <w:r>
              <w:rPr>
                <w:rFonts w:hint="eastAsia" w:ascii="宋体" w:hAnsi="宋体" w:cs="宋体"/>
                <w:color w:val="auto"/>
                <w:sz w:val="22"/>
                <w:szCs w:val="22"/>
                <w:highlight w:val="none"/>
              </w:rPr>
              <w:t>项目负责人资历和业绩（3分）</w:t>
            </w:r>
          </w:p>
        </w:tc>
        <w:tc>
          <w:tcPr>
            <w:tcW w:w="6132" w:type="dxa"/>
            <w:noWrap w:val="0"/>
            <w:vAlign w:val="top"/>
          </w:tcPr>
          <w:p w14:paraId="6C78370E">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项目负责人具有相关专业资格证书，得1分；</w:t>
            </w:r>
          </w:p>
          <w:p w14:paraId="34493473">
            <w:pPr>
              <w:spacing w:line="300" w:lineRule="exact"/>
              <w:rPr>
                <w:rFonts w:hint="eastAsia" w:ascii="宋体" w:hAnsi="宋体"/>
                <w:b/>
                <w:bCs/>
                <w:color w:val="auto"/>
                <w:spacing w:val="-6"/>
                <w:sz w:val="21"/>
                <w:szCs w:val="21"/>
                <w:highlight w:val="none"/>
              </w:rPr>
            </w:pPr>
            <w:r>
              <w:rPr>
                <w:rFonts w:hint="eastAsia" w:ascii="宋体" w:hAnsi="宋体" w:cs="宋体"/>
                <w:color w:val="auto"/>
                <w:sz w:val="21"/>
                <w:szCs w:val="21"/>
                <w:highlight w:val="none"/>
              </w:rPr>
              <w:t>项目负责人近三年承担过类似工程，在一项基础上每增加一项加1分，满分2分。此项共计3分。</w:t>
            </w:r>
          </w:p>
        </w:tc>
        <w:tc>
          <w:tcPr>
            <w:tcW w:w="817" w:type="dxa"/>
            <w:noWrap w:val="0"/>
            <w:vAlign w:val="center"/>
          </w:tcPr>
          <w:p w14:paraId="79B1787A">
            <w:pPr>
              <w:keepNext w:val="0"/>
              <w:keepLines w:val="0"/>
              <w:pageBreakBefore w:val="0"/>
              <w:widowControl w:val="0"/>
              <w:kinsoku/>
              <w:wordWrap/>
              <w:overflowPunct/>
              <w:topLinePunct w:val="0"/>
              <w:bidi w:val="0"/>
              <w:adjustRightInd/>
              <w:snapToGrid/>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5C07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vMerge w:val="continue"/>
            <w:noWrap w:val="0"/>
            <w:vAlign w:val="center"/>
          </w:tcPr>
          <w:p w14:paraId="5D56E94E">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tc>
        <w:tc>
          <w:tcPr>
            <w:tcW w:w="1432" w:type="dxa"/>
            <w:noWrap w:val="0"/>
            <w:vAlign w:val="center"/>
          </w:tcPr>
          <w:p w14:paraId="52F871E4">
            <w:pPr>
              <w:spacing w:line="300" w:lineRule="exact"/>
              <w:jc w:val="center"/>
              <w:rPr>
                <w:rFonts w:hint="eastAsia" w:ascii="宋体" w:hAnsi="宋体" w:cs="宋体"/>
                <w:color w:val="auto"/>
                <w:kern w:val="0"/>
                <w:szCs w:val="21"/>
                <w:highlight w:val="none"/>
              </w:rPr>
            </w:pPr>
            <w:r>
              <w:rPr>
                <w:rFonts w:hint="eastAsia" w:ascii="宋体" w:hAnsi="宋体" w:cs="宋体"/>
                <w:color w:val="auto"/>
                <w:sz w:val="22"/>
                <w:szCs w:val="22"/>
                <w:highlight w:val="none"/>
              </w:rPr>
              <w:t>其他主要人员资历和业绩（3分）</w:t>
            </w:r>
          </w:p>
        </w:tc>
        <w:tc>
          <w:tcPr>
            <w:tcW w:w="6132" w:type="dxa"/>
            <w:noWrap w:val="0"/>
            <w:vAlign w:val="top"/>
          </w:tcPr>
          <w:p w14:paraId="57644FCE">
            <w:pPr>
              <w:spacing w:line="300" w:lineRule="exact"/>
              <w:rPr>
                <w:rFonts w:hint="eastAsia" w:ascii="宋体" w:hAnsi="宋体"/>
                <w:b/>
                <w:bCs/>
                <w:color w:val="auto"/>
                <w:spacing w:val="-6"/>
                <w:sz w:val="21"/>
                <w:szCs w:val="21"/>
                <w:highlight w:val="none"/>
              </w:rPr>
            </w:pPr>
            <w:r>
              <w:rPr>
                <w:rFonts w:hint="eastAsia" w:ascii="宋体" w:hAnsi="宋体" w:cs="宋体"/>
                <w:color w:val="auto"/>
                <w:sz w:val="21"/>
                <w:szCs w:val="21"/>
                <w:highlight w:val="none"/>
              </w:rPr>
              <w:t>拟投入本项目的管理人员配备合理，专业齐全，能满足本项目实施工作需要，优计3分，良计2分，基本满足计1分，不满足不得分。</w:t>
            </w:r>
          </w:p>
        </w:tc>
        <w:tc>
          <w:tcPr>
            <w:tcW w:w="817" w:type="dxa"/>
            <w:noWrap w:val="0"/>
            <w:vAlign w:val="center"/>
          </w:tcPr>
          <w:p w14:paraId="41B61324">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76ED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vMerge w:val="continue"/>
            <w:noWrap w:val="0"/>
            <w:vAlign w:val="center"/>
          </w:tcPr>
          <w:p w14:paraId="06557EA9">
            <w:pPr>
              <w:keepNext w:val="0"/>
              <w:keepLines w:val="0"/>
              <w:pageBreakBefore w:val="0"/>
              <w:widowControl w:val="0"/>
              <w:kinsoku/>
              <w:wordWrap/>
              <w:overflowPunct/>
              <w:topLinePunct w:val="0"/>
              <w:bidi w:val="0"/>
              <w:adjustRightInd/>
              <w:snapToGrid/>
              <w:spacing w:line="360" w:lineRule="auto"/>
              <w:jc w:val="center"/>
              <w:rPr>
                <w:rFonts w:ascii="宋体" w:hAnsi="宋体" w:cs="宋体"/>
                <w:color w:val="auto"/>
                <w:sz w:val="21"/>
                <w:szCs w:val="21"/>
                <w:highlight w:val="none"/>
              </w:rPr>
            </w:pPr>
          </w:p>
        </w:tc>
        <w:tc>
          <w:tcPr>
            <w:tcW w:w="1432" w:type="dxa"/>
            <w:noWrap w:val="0"/>
            <w:vAlign w:val="center"/>
          </w:tcPr>
          <w:p w14:paraId="4FE62AFD">
            <w:pPr>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拟投入的勘察设备</w:t>
            </w:r>
          </w:p>
          <w:p w14:paraId="44084E32">
            <w:pPr>
              <w:spacing w:line="300" w:lineRule="exact"/>
              <w:jc w:val="center"/>
              <w:rPr>
                <w:rFonts w:hint="eastAsia" w:ascii="宋体" w:hAnsi="宋体" w:cs="宋体"/>
                <w:color w:val="auto"/>
                <w:kern w:val="2"/>
                <w:sz w:val="21"/>
                <w:szCs w:val="21"/>
                <w:highlight w:val="none"/>
                <w:lang w:val="zh-CN" w:eastAsia="zh-CN" w:bidi="ar-SA"/>
              </w:rPr>
            </w:pPr>
            <w:r>
              <w:rPr>
                <w:rFonts w:hint="eastAsia" w:ascii="宋体" w:hAnsi="宋体" w:cs="宋体"/>
                <w:color w:val="auto"/>
                <w:sz w:val="22"/>
                <w:szCs w:val="22"/>
                <w:highlight w:val="none"/>
              </w:rPr>
              <w:t>（2分）</w:t>
            </w:r>
          </w:p>
        </w:tc>
        <w:tc>
          <w:tcPr>
            <w:tcW w:w="6132" w:type="dxa"/>
            <w:noWrap w:val="0"/>
            <w:vAlign w:val="top"/>
          </w:tcPr>
          <w:p w14:paraId="3B4DF443">
            <w:pPr>
              <w:spacing w:line="300" w:lineRule="exact"/>
              <w:rPr>
                <w:rFonts w:hint="eastAsia" w:ascii="宋体" w:hAnsi="宋体" w:eastAsia="宋体" w:cs="宋体"/>
                <w:bCs/>
                <w:color w:val="auto"/>
                <w:sz w:val="21"/>
                <w:szCs w:val="21"/>
                <w:highlight w:val="none"/>
                <w:lang w:val="zh-CN" w:eastAsia="zh-CN"/>
              </w:rPr>
            </w:pPr>
            <w:r>
              <w:rPr>
                <w:rFonts w:hint="eastAsia" w:ascii="宋体" w:hAnsi="宋体" w:cs="宋体"/>
                <w:color w:val="auto"/>
                <w:sz w:val="21"/>
                <w:szCs w:val="21"/>
                <w:highlight w:val="none"/>
              </w:rPr>
              <w:t>为本项目配备了与项目规摸相适应的常规检测及办公设备，能满足勘察业务需要得2分；配备了一般的检测及办公勘察业务设备得1分。没配备不得分。</w:t>
            </w:r>
          </w:p>
        </w:tc>
        <w:tc>
          <w:tcPr>
            <w:tcW w:w="817" w:type="dxa"/>
            <w:noWrap w:val="0"/>
            <w:vAlign w:val="center"/>
          </w:tcPr>
          <w:p w14:paraId="15AC0A7C">
            <w:pPr>
              <w:keepNext w:val="0"/>
              <w:keepLines w:val="0"/>
              <w:pageBreakBefore w:val="0"/>
              <w:widowControl w:val="0"/>
              <w:kinsoku/>
              <w:wordWrap/>
              <w:overflowPunct/>
              <w:topLinePunct w:val="0"/>
              <w:bidi w:val="0"/>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r>
      <w:tr w14:paraId="3287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restart"/>
            <w:noWrap w:val="0"/>
            <w:vAlign w:val="center"/>
          </w:tcPr>
          <w:p w14:paraId="53F9F004">
            <w:pPr>
              <w:spacing w:line="360" w:lineRule="exact"/>
              <w:jc w:val="center"/>
              <w:rPr>
                <w:rFonts w:ascii="宋体" w:hAnsi="宋体"/>
                <w:color w:val="auto"/>
                <w:sz w:val="22"/>
                <w:szCs w:val="22"/>
                <w:highlight w:val="none"/>
              </w:rPr>
            </w:pPr>
            <w:r>
              <w:rPr>
                <w:rFonts w:hint="eastAsia" w:ascii="宋体" w:hAnsi="宋体"/>
                <w:color w:val="auto"/>
                <w:sz w:val="22"/>
                <w:szCs w:val="22"/>
                <w:highlight w:val="none"/>
              </w:rPr>
              <w:t>勘察纲要评分标准</w:t>
            </w:r>
          </w:p>
          <w:p w14:paraId="21B8E46A">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r>
              <w:rPr>
                <w:rFonts w:hint="eastAsia" w:ascii="宋体" w:hAnsi="宋体"/>
                <w:color w:val="auto"/>
                <w:sz w:val="22"/>
                <w:szCs w:val="22"/>
                <w:highlight w:val="none"/>
              </w:rPr>
              <w:t>（36分）</w:t>
            </w:r>
          </w:p>
        </w:tc>
        <w:tc>
          <w:tcPr>
            <w:tcW w:w="1432" w:type="dxa"/>
            <w:noWrap w:val="0"/>
            <w:vAlign w:val="center"/>
          </w:tcPr>
          <w:p w14:paraId="03CC4A4F">
            <w:pPr>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勘察范围、勘察内容</w:t>
            </w:r>
          </w:p>
          <w:p w14:paraId="089FEFEA">
            <w:pPr>
              <w:spacing w:line="30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（3分）</w:t>
            </w:r>
          </w:p>
        </w:tc>
        <w:tc>
          <w:tcPr>
            <w:tcW w:w="6132" w:type="dxa"/>
            <w:noWrap w:val="0"/>
            <w:vAlign w:val="center"/>
          </w:tcPr>
          <w:p w14:paraId="7D4609B4">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对项目勘察工作范围和内容描述具体、准确得3分，其他酌情扣分。</w:t>
            </w:r>
          </w:p>
        </w:tc>
        <w:tc>
          <w:tcPr>
            <w:tcW w:w="817" w:type="dxa"/>
            <w:noWrap w:val="0"/>
            <w:vAlign w:val="center"/>
          </w:tcPr>
          <w:p w14:paraId="33F878DD">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4B11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496D7F76">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37577DDC">
            <w:pPr>
              <w:spacing w:line="24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勘察依据、勘察工作目标（3分）</w:t>
            </w:r>
          </w:p>
        </w:tc>
        <w:tc>
          <w:tcPr>
            <w:tcW w:w="6132" w:type="dxa"/>
            <w:noWrap w:val="0"/>
            <w:vAlign w:val="center"/>
          </w:tcPr>
          <w:p w14:paraId="1A99D8F3">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勘察依据、勘察工作目标合理得3分，其他酌情扣分。</w:t>
            </w:r>
          </w:p>
        </w:tc>
        <w:tc>
          <w:tcPr>
            <w:tcW w:w="817" w:type="dxa"/>
            <w:noWrap w:val="0"/>
            <w:vAlign w:val="center"/>
          </w:tcPr>
          <w:p w14:paraId="55B5EA29">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2B4A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71" w:type="dxa"/>
            <w:vMerge w:val="continue"/>
            <w:noWrap w:val="0"/>
            <w:vAlign w:val="center"/>
          </w:tcPr>
          <w:p w14:paraId="0BA95217">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555917EA">
            <w:pPr>
              <w:spacing w:line="24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勘察机构设置和岗位职责（4分）</w:t>
            </w:r>
          </w:p>
        </w:tc>
        <w:tc>
          <w:tcPr>
            <w:tcW w:w="6132" w:type="dxa"/>
            <w:noWrap w:val="0"/>
            <w:vAlign w:val="center"/>
          </w:tcPr>
          <w:p w14:paraId="0361E9DC">
            <w:pPr>
              <w:spacing w:line="300" w:lineRule="exact"/>
              <w:rPr>
                <w:rFonts w:ascii="宋体" w:hAnsi="宋体" w:cs="宋体"/>
                <w:color w:val="auto"/>
                <w:sz w:val="21"/>
                <w:szCs w:val="21"/>
                <w:highlight w:val="none"/>
              </w:rPr>
            </w:pPr>
            <w:r>
              <w:rPr>
                <w:rFonts w:hint="eastAsia" w:ascii="宋体" w:hAnsi="宋体" w:cs="宋体"/>
                <w:color w:val="auto"/>
                <w:sz w:val="21"/>
                <w:szCs w:val="21"/>
                <w:highlight w:val="none"/>
              </w:rPr>
              <w:t>专业配套齐全满足项目要求得2分，有缺陷酌情扣分；</w:t>
            </w:r>
          </w:p>
          <w:p w14:paraId="696FAF7A">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勘察人员岗位职责完善明确，得2分，有缺陷酌情扣分。</w:t>
            </w:r>
          </w:p>
        </w:tc>
        <w:tc>
          <w:tcPr>
            <w:tcW w:w="817" w:type="dxa"/>
            <w:noWrap w:val="0"/>
            <w:vAlign w:val="center"/>
          </w:tcPr>
          <w:p w14:paraId="76AFDD33">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1ABF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632EEC1E">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139D2395">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勘察说明和方案</w:t>
            </w:r>
          </w:p>
          <w:p w14:paraId="111E930C">
            <w:pPr>
              <w:spacing w:line="24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（14分）</w:t>
            </w:r>
          </w:p>
        </w:tc>
        <w:tc>
          <w:tcPr>
            <w:tcW w:w="6132" w:type="dxa"/>
            <w:noWrap w:val="0"/>
            <w:vAlign w:val="center"/>
          </w:tcPr>
          <w:p w14:paraId="7755B9DD">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对项目关键技术问题把握准确得8～14分，基本准确得1～7分，不够准确不得分。</w:t>
            </w:r>
          </w:p>
        </w:tc>
        <w:tc>
          <w:tcPr>
            <w:tcW w:w="817" w:type="dxa"/>
            <w:noWrap w:val="0"/>
            <w:vAlign w:val="center"/>
          </w:tcPr>
          <w:p w14:paraId="49726491">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r>
      <w:tr w14:paraId="5BE1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3CBF734F">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0B0125D0">
            <w:pPr>
              <w:spacing w:line="24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勘察质量、进度、保密等保证措施（6分）</w:t>
            </w:r>
          </w:p>
        </w:tc>
        <w:tc>
          <w:tcPr>
            <w:tcW w:w="6132" w:type="dxa"/>
            <w:noWrap w:val="0"/>
            <w:vAlign w:val="center"/>
          </w:tcPr>
          <w:p w14:paraId="622D0D4C">
            <w:pPr>
              <w:spacing w:line="330" w:lineRule="exact"/>
              <w:rPr>
                <w:rFonts w:ascii="宋体" w:hAnsi="宋体" w:cs="宋体"/>
                <w:color w:val="auto"/>
                <w:sz w:val="21"/>
                <w:szCs w:val="21"/>
                <w:highlight w:val="none"/>
              </w:rPr>
            </w:pPr>
            <w:r>
              <w:rPr>
                <w:rFonts w:hint="eastAsia" w:ascii="宋体" w:hAnsi="宋体" w:cs="宋体"/>
                <w:b/>
                <w:color w:val="auto"/>
                <w:sz w:val="21"/>
                <w:szCs w:val="21"/>
                <w:highlight w:val="none"/>
              </w:rPr>
              <w:t>质量保证措施：</w:t>
            </w:r>
            <w:r>
              <w:rPr>
                <w:rFonts w:hint="eastAsia" w:ascii="宋体" w:hAnsi="宋体" w:cs="宋体"/>
                <w:color w:val="auto"/>
                <w:sz w:val="21"/>
                <w:szCs w:val="21"/>
                <w:highlight w:val="none"/>
              </w:rPr>
              <w:t>质量保证措施合理完备，可操作性强，得2分；质量保证措施有但不完备，得1分；否则不得分。</w:t>
            </w:r>
          </w:p>
          <w:p w14:paraId="5F0CF97C">
            <w:pPr>
              <w:spacing w:line="330" w:lineRule="exact"/>
              <w:rPr>
                <w:rFonts w:ascii="宋体" w:hAnsi="宋体" w:cs="宋体"/>
                <w:color w:val="auto"/>
                <w:sz w:val="21"/>
                <w:szCs w:val="21"/>
                <w:highlight w:val="none"/>
              </w:rPr>
            </w:pPr>
            <w:r>
              <w:rPr>
                <w:rFonts w:hint="eastAsia" w:ascii="宋体" w:hAnsi="宋体" w:cs="宋体"/>
                <w:b/>
                <w:color w:val="auto"/>
                <w:sz w:val="21"/>
                <w:szCs w:val="21"/>
                <w:highlight w:val="none"/>
              </w:rPr>
              <w:t>进度保证措施：</w:t>
            </w:r>
            <w:r>
              <w:rPr>
                <w:rFonts w:hint="eastAsia" w:ascii="宋体" w:hAnsi="宋体" w:cs="宋体"/>
                <w:color w:val="auto"/>
                <w:sz w:val="21"/>
                <w:szCs w:val="21"/>
                <w:highlight w:val="none"/>
              </w:rPr>
              <w:t>进度保证措施合理完备，可操作性强，得2分；进度保证措施有但不完备，得1分；否则不得分。</w:t>
            </w:r>
          </w:p>
          <w:p w14:paraId="01D0EBCD">
            <w:pPr>
              <w:spacing w:line="33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rPr>
              <w:t>保密保证措施：</w:t>
            </w:r>
            <w:r>
              <w:rPr>
                <w:rFonts w:hint="eastAsia" w:ascii="宋体" w:hAnsi="宋体" w:cs="宋体"/>
                <w:color w:val="auto"/>
                <w:sz w:val="21"/>
                <w:szCs w:val="21"/>
                <w:highlight w:val="none"/>
              </w:rPr>
              <w:t>保密保证措施合理完备，可操作性强，得2分；保密保证措施有但不完备，得1分；否则不得分。</w:t>
            </w:r>
          </w:p>
        </w:tc>
        <w:tc>
          <w:tcPr>
            <w:tcW w:w="817" w:type="dxa"/>
            <w:noWrap w:val="0"/>
            <w:vAlign w:val="center"/>
          </w:tcPr>
          <w:p w14:paraId="4C3DA031">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26B1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684A3FA7">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21313872">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勘察安全保证措施</w:t>
            </w:r>
          </w:p>
          <w:p w14:paraId="638F76AE">
            <w:pPr>
              <w:spacing w:line="24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（2分）</w:t>
            </w:r>
          </w:p>
        </w:tc>
        <w:tc>
          <w:tcPr>
            <w:tcW w:w="6132" w:type="dxa"/>
            <w:noWrap w:val="0"/>
            <w:vAlign w:val="center"/>
          </w:tcPr>
          <w:p w14:paraId="77FB095A">
            <w:pPr>
              <w:spacing w:line="33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安全保证措施合理完备，可操作性强得2分；安全保证措施有但不完备得1分；否则不得分。</w:t>
            </w:r>
          </w:p>
        </w:tc>
        <w:tc>
          <w:tcPr>
            <w:tcW w:w="817" w:type="dxa"/>
            <w:noWrap w:val="0"/>
            <w:vAlign w:val="center"/>
          </w:tcPr>
          <w:p w14:paraId="34B2C1AD">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64F5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51A70061">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0079EBB2">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勘察工作重点、难点分析（2分）</w:t>
            </w:r>
          </w:p>
        </w:tc>
        <w:tc>
          <w:tcPr>
            <w:tcW w:w="6132" w:type="dxa"/>
            <w:noWrap w:val="0"/>
            <w:vAlign w:val="center"/>
          </w:tcPr>
          <w:p w14:paraId="6203E655">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勘察工作重点、难点分析准确得2分，基本准确得1分，不够准确或没有描述不得分。</w:t>
            </w:r>
          </w:p>
        </w:tc>
        <w:tc>
          <w:tcPr>
            <w:tcW w:w="817" w:type="dxa"/>
            <w:noWrap w:val="0"/>
            <w:vAlign w:val="center"/>
          </w:tcPr>
          <w:p w14:paraId="6809D482">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550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19E318CB">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328EC2A0">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勘察纲要合理化建议（2分）</w:t>
            </w:r>
          </w:p>
        </w:tc>
        <w:tc>
          <w:tcPr>
            <w:tcW w:w="6132" w:type="dxa"/>
            <w:noWrap w:val="0"/>
            <w:vAlign w:val="center"/>
          </w:tcPr>
          <w:p w14:paraId="2A3D3FD9">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对工程提出的建议合理并能改善功能或节约投资</w:t>
            </w:r>
            <w:r>
              <w:rPr>
                <w:rFonts w:hint="eastAsia" w:ascii="宋体" w:hAnsi="宋体" w:cs="宋体"/>
                <w:color w:val="auto"/>
                <w:spacing w:val="-6"/>
                <w:sz w:val="21"/>
                <w:szCs w:val="21"/>
                <w:highlight w:val="none"/>
              </w:rPr>
              <w:t>，得2分；对本工程提出的建议</w:t>
            </w:r>
            <w:r>
              <w:rPr>
                <w:rFonts w:hint="eastAsia" w:ascii="宋体" w:hAnsi="宋体" w:cs="宋体"/>
                <w:color w:val="auto"/>
                <w:sz w:val="21"/>
                <w:szCs w:val="21"/>
                <w:highlight w:val="none"/>
              </w:rPr>
              <w:t>一般，</w:t>
            </w:r>
            <w:r>
              <w:rPr>
                <w:rFonts w:hint="eastAsia" w:ascii="宋体" w:hAnsi="宋体" w:cs="宋体"/>
                <w:color w:val="auto"/>
                <w:spacing w:val="-6"/>
                <w:sz w:val="21"/>
                <w:szCs w:val="21"/>
                <w:highlight w:val="none"/>
              </w:rPr>
              <w:t>得1分</w:t>
            </w:r>
            <w:r>
              <w:rPr>
                <w:rFonts w:hint="eastAsia" w:ascii="宋体" w:hAnsi="宋体" w:cs="宋体"/>
                <w:color w:val="auto"/>
                <w:sz w:val="21"/>
                <w:szCs w:val="21"/>
                <w:highlight w:val="none"/>
              </w:rPr>
              <w:t>； 无合理化建议不得分。</w:t>
            </w:r>
          </w:p>
        </w:tc>
        <w:tc>
          <w:tcPr>
            <w:tcW w:w="817" w:type="dxa"/>
            <w:noWrap w:val="0"/>
            <w:vAlign w:val="center"/>
          </w:tcPr>
          <w:p w14:paraId="48B47D59">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2465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restart"/>
            <w:noWrap w:val="0"/>
            <w:vAlign w:val="center"/>
          </w:tcPr>
          <w:p w14:paraId="3A9BBCA7">
            <w:pPr>
              <w:spacing w:line="360" w:lineRule="exact"/>
              <w:jc w:val="center"/>
              <w:rPr>
                <w:rFonts w:ascii="宋体" w:hAnsi="宋体"/>
                <w:color w:val="auto"/>
                <w:sz w:val="22"/>
                <w:szCs w:val="22"/>
                <w:highlight w:val="none"/>
              </w:rPr>
            </w:pPr>
            <w:r>
              <w:rPr>
                <w:rFonts w:hint="eastAsia" w:ascii="宋体" w:hAnsi="宋体"/>
                <w:color w:val="auto"/>
                <w:sz w:val="22"/>
                <w:szCs w:val="22"/>
                <w:highlight w:val="none"/>
              </w:rPr>
              <w:t>设计方案评分标准</w:t>
            </w:r>
          </w:p>
          <w:p w14:paraId="10A3B5A1">
            <w:pPr>
              <w:keepNext w:val="0"/>
              <w:keepLines w:val="0"/>
              <w:pageBreakBefore w:val="0"/>
              <w:widowControl w:val="0"/>
              <w:kinsoku/>
              <w:wordWrap/>
              <w:overflowPunct/>
              <w:topLinePunct w:val="0"/>
              <w:bidi w:val="0"/>
              <w:adjustRightInd/>
              <w:snapToGrid/>
              <w:spacing w:line="360" w:lineRule="auto"/>
              <w:rPr>
                <w:rFonts w:ascii="宋体" w:hAnsi="宋体" w:cs="宋体"/>
                <w:color w:val="auto"/>
                <w:sz w:val="21"/>
                <w:szCs w:val="21"/>
                <w:highlight w:val="none"/>
              </w:rPr>
            </w:pPr>
            <w:r>
              <w:rPr>
                <w:rFonts w:hint="eastAsia" w:ascii="宋体" w:hAnsi="宋体"/>
                <w:color w:val="auto"/>
                <w:sz w:val="22"/>
                <w:szCs w:val="22"/>
                <w:highlight w:val="none"/>
              </w:rPr>
              <w:t>（36分）</w:t>
            </w:r>
          </w:p>
        </w:tc>
        <w:tc>
          <w:tcPr>
            <w:tcW w:w="1432" w:type="dxa"/>
            <w:noWrap w:val="0"/>
            <w:vAlign w:val="center"/>
          </w:tcPr>
          <w:p w14:paraId="247F17AE">
            <w:pPr>
              <w:spacing w:line="2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设计范围、设计内容</w:t>
            </w:r>
          </w:p>
          <w:p w14:paraId="1E20F3A8">
            <w:pPr>
              <w:spacing w:line="280" w:lineRule="exact"/>
              <w:jc w:val="center"/>
              <w:rPr>
                <w:rFonts w:ascii="宋体" w:hAnsi="宋体" w:cs="宋体"/>
                <w:color w:val="auto"/>
                <w:sz w:val="21"/>
                <w:szCs w:val="21"/>
                <w:highlight w:val="none"/>
              </w:rPr>
            </w:pPr>
            <w:r>
              <w:rPr>
                <w:rFonts w:hint="eastAsia" w:ascii="宋体" w:hAnsi="宋体" w:cs="宋体"/>
                <w:color w:val="auto"/>
                <w:sz w:val="22"/>
                <w:szCs w:val="22"/>
                <w:highlight w:val="none"/>
              </w:rPr>
              <w:t>（3分）</w:t>
            </w:r>
          </w:p>
        </w:tc>
        <w:tc>
          <w:tcPr>
            <w:tcW w:w="6132" w:type="dxa"/>
            <w:noWrap w:val="0"/>
            <w:vAlign w:val="center"/>
          </w:tcPr>
          <w:p w14:paraId="1381ECD8">
            <w:pPr>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对项目设计工作范围和内容描述具体、准确得3分，</w:t>
            </w:r>
            <w:r>
              <w:rPr>
                <w:rFonts w:hint="eastAsia" w:ascii="宋体" w:hAnsi="宋体"/>
                <w:color w:val="auto"/>
                <w:sz w:val="21"/>
                <w:szCs w:val="21"/>
                <w:highlight w:val="none"/>
              </w:rPr>
              <w:t>其他酌情扣分。</w:t>
            </w:r>
          </w:p>
        </w:tc>
        <w:tc>
          <w:tcPr>
            <w:tcW w:w="817" w:type="dxa"/>
            <w:noWrap w:val="0"/>
            <w:vAlign w:val="center"/>
          </w:tcPr>
          <w:p w14:paraId="744F8B6B">
            <w:pPr>
              <w:keepNext w:val="0"/>
              <w:keepLines w:val="0"/>
              <w:pageBreakBefore w:val="0"/>
              <w:widowControl w:val="0"/>
              <w:kinsoku/>
              <w:wordWrap/>
              <w:overflowPunct/>
              <w:topLinePunct w:val="0"/>
              <w:bidi w:val="0"/>
              <w:adjustRightInd/>
              <w:snapToGrid/>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1FF7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6E61B957">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5E5E071A">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设计依据、设计工作目标（3分）</w:t>
            </w:r>
          </w:p>
        </w:tc>
        <w:tc>
          <w:tcPr>
            <w:tcW w:w="6132" w:type="dxa"/>
            <w:noWrap w:val="0"/>
            <w:vAlign w:val="center"/>
          </w:tcPr>
          <w:p w14:paraId="745BC95E">
            <w:pPr>
              <w:spacing w:line="280" w:lineRule="exact"/>
              <w:rPr>
                <w:rFonts w:hint="eastAsia" w:ascii="宋体" w:hAnsi="宋体" w:cs="宋体"/>
                <w:color w:val="auto"/>
                <w:sz w:val="21"/>
                <w:szCs w:val="21"/>
                <w:highlight w:val="none"/>
              </w:rPr>
            </w:pPr>
            <w:r>
              <w:rPr>
                <w:rFonts w:hint="eastAsia" w:hAnsi="宋体" w:cs="宋体"/>
                <w:color w:val="auto"/>
                <w:sz w:val="21"/>
                <w:szCs w:val="21"/>
                <w:highlight w:val="none"/>
              </w:rPr>
              <w:t>设计</w:t>
            </w:r>
            <w:r>
              <w:rPr>
                <w:rFonts w:hint="eastAsia" w:ascii="宋体" w:hAnsi="宋体"/>
                <w:color w:val="auto"/>
                <w:sz w:val="21"/>
                <w:szCs w:val="21"/>
                <w:highlight w:val="none"/>
              </w:rPr>
              <w:t>依据、</w:t>
            </w:r>
            <w:r>
              <w:rPr>
                <w:rFonts w:hint="eastAsia" w:hAnsi="宋体" w:cs="宋体"/>
                <w:color w:val="auto"/>
                <w:sz w:val="21"/>
                <w:szCs w:val="21"/>
                <w:highlight w:val="none"/>
              </w:rPr>
              <w:t>设计</w:t>
            </w:r>
            <w:r>
              <w:rPr>
                <w:rFonts w:hint="eastAsia" w:ascii="宋体" w:hAnsi="宋体"/>
                <w:color w:val="auto"/>
                <w:sz w:val="21"/>
                <w:szCs w:val="21"/>
                <w:highlight w:val="none"/>
              </w:rPr>
              <w:t>工作目标合理得3分，其他酌情扣分。</w:t>
            </w:r>
          </w:p>
        </w:tc>
        <w:tc>
          <w:tcPr>
            <w:tcW w:w="817" w:type="dxa"/>
            <w:noWrap w:val="0"/>
            <w:vAlign w:val="center"/>
          </w:tcPr>
          <w:p w14:paraId="64221553">
            <w:pPr>
              <w:keepNext w:val="0"/>
              <w:keepLines w:val="0"/>
              <w:pageBreakBefore w:val="0"/>
              <w:widowControl w:val="0"/>
              <w:kinsoku/>
              <w:wordWrap/>
              <w:overflowPunct/>
              <w:topLinePunct w:val="0"/>
              <w:bidi w:val="0"/>
              <w:adjustRightInd/>
              <w:snapToGrid/>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EB9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42D01812">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07150E24">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设计机构设置和岗位职责（4分）</w:t>
            </w:r>
          </w:p>
        </w:tc>
        <w:tc>
          <w:tcPr>
            <w:tcW w:w="6132" w:type="dxa"/>
            <w:noWrap w:val="0"/>
            <w:vAlign w:val="center"/>
          </w:tcPr>
          <w:p w14:paraId="0E4946FC">
            <w:pPr>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专业配套齐全满足项目要求得2分，有缺陷酌情扣分；</w:t>
            </w:r>
          </w:p>
          <w:p w14:paraId="49865FB5">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设计人员岗位职责完善明确，得2分，有缺陷酌情扣分。</w:t>
            </w:r>
          </w:p>
        </w:tc>
        <w:tc>
          <w:tcPr>
            <w:tcW w:w="817" w:type="dxa"/>
            <w:noWrap w:val="0"/>
            <w:vAlign w:val="center"/>
          </w:tcPr>
          <w:p w14:paraId="4DAE83D9">
            <w:pPr>
              <w:keepNext w:val="0"/>
              <w:keepLines w:val="0"/>
              <w:pageBreakBefore w:val="0"/>
              <w:widowControl w:val="0"/>
              <w:kinsoku/>
              <w:wordWrap/>
              <w:overflowPunct/>
              <w:topLinePunct w:val="0"/>
              <w:bidi w:val="0"/>
              <w:adjustRightInd/>
              <w:snapToGrid/>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0AB8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786A8C97">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39EFC214">
            <w:pPr>
              <w:spacing w:line="2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设计说明和方案</w:t>
            </w:r>
          </w:p>
          <w:p w14:paraId="44645EB1">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（14分）</w:t>
            </w:r>
          </w:p>
        </w:tc>
        <w:tc>
          <w:tcPr>
            <w:tcW w:w="6132" w:type="dxa"/>
            <w:noWrap w:val="0"/>
            <w:vAlign w:val="center"/>
          </w:tcPr>
          <w:p w14:paraId="65E7FACA">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对项目关键技术问题把握准确得8-14分，基本准确得1～7分，不够准确不得分。</w:t>
            </w:r>
          </w:p>
        </w:tc>
        <w:tc>
          <w:tcPr>
            <w:tcW w:w="817" w:type="dxa"/>
            <w:noWrap w:val="0"/>
            <w:vAlign w:val="center"/>
          </w:tcPr>
          <w:p w14:paraId="5111E3CB">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r>
      <w:tr w14:paraId="49C6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71" w:type="dxa"/>
            <w:vMerge w:val="continue"/>
            <w:noWrap w:val="0"/>
            <w:vAlign w:val="center"/>
          </w:tcPr>
          <w:p w14:paraId="4CAF45A3">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2AA90081">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设计质量、进度、保密等保证措施（6分）</w:t>
            </w:r>
          </w:p>
        </w:tc>
        <w:tc>
          <w:tcPr>
            <w:tcW w:w="6132" w:type="dxa"/>
            <w:noWrap w:val="0"/>
            <w:vAlign w:val="center"/>
          </w:tcPr>
          <w:p w14:paraId="05669462">
            <w:pPr>
              <w:spacing w:line="280" w:lineRule="exact"/>
              <w:rPr>
                <w:rFonts w:hAnsi="宋体" w:cs="宋体"/>
                <w:color w:val="auto"/>
                <w:sz w:val="21"/>
                <w:szCs w:val="21"/>
                <w:highlight w:val="none"/>
              </w:rPr>
            </w:pPr>
            <w:r>
              <w:rPr>
                <w:rFonts w:hint="eastAsia" w:hAnsi="宋体" w:cs="宋体"/>
                <w:b/>
                <w:color w:val="auto"/>
                <w:sz w:val="21"/>
                <w:szCs w:val="21"/>
                <w:highlight w:val="none"/>
              </w:rPr>
              <w:t>质量保证措施：</w:t>
            </w:r>
            <w:r>
              <w:rPr>
                <w:rFonts w:hint="eastAsia" w:ascii="宋体" w:hAnsi="宋体" w:cs="宋体"/>
                <w:color w:val="auto"/>
                <w:sz w:val="21"/>
                <w:szCs w:val="21"/>
                <w:highlight w:val="none"/>
              </w:rPr>
              <w:t>质量保证措施合理完备，可操作性强，得2分；质量保证措施有但不完备，得1分；否则不得分。</w:t>
            </w:r>
          </w:p>
          <w:p w14:paraId="56A2BD33">
            <w:pPr>
              <w:spacing w:line="280" w:lineRule="exact"/>
              <w:rPr>
                <w:rFonts w:hAnsi="宋体" w:cs="宋体"/>
                <w:color w:val="auto"/>
                <w:sz w:val="21"/>
                <w:szCs w:val="21"/>
                <w:highlight w:val="none"/>
              </w:rPr>
            </w:pPr>
            <w:r>
              <w:rPr>
                <w:rFonts w:hint="eastAsia" w:hAnsi="宋体" w:cs="宋体"/>
                <w:b/>
                <w:color w:val="auto"/>
                <w:sz w:val="21"/>
                <w:szCs w:val="21"/>
                <w:highlight w:val="none"/>
              </w:rPr>
              <w:t>进度保证措施：</w:t>
            </w:r>
            <w:r>
              <w:rPr>
                <w:rFonts w:hint="eastAsia" w:ascii="宋体" w:hAnsi="宋体" w:cs="宋体"/>
                <w:color w:val="auto"/>
                <w:sz w:val="21"/>
                <w:szCs w:val="21"/>
                <w:highlight w:val="none"/>
              </w:rPr>
              <w:t>进度保证措施合理完备，可操作性强，得2分；进度保证措施有但不完备，得1分；否则不得分。</w:t>
            </w:r>
          </w:p>
          <w:p w14:paraId="0BF8F18D">
            <w:pPr>
              <w:spacing w:line="280" w:lineRule="exact"/>
              <w:rPr>
                <w:rFonts w:hint="eastAsia" w:ascii="宋体" w:hAnsi="宋体" w:cs="宋体"/>
                <w:color w:val="auto"/>
                <w:sz w:val="21"/>
                <w:szCs w:val="21"/>
                <w:highlight w:val="none"/>
              </w:rPr>
            </w:pPr>
            <w:r>
              <w:rPr>
                <w:rFonts w:hint="eastAsia" w:hAnsi="宋体" w:cs="宋体"/>
                <w:b/>
                <w:color w:val="auto"/>
                <w:sz w:val="21"/>
                <w:szCs w:val="21"/>
                <w:highlight w:val="none"/>
              </w:rPr>
              <w:t>保密保证措施：</w:t>
            </w:r>
            <w:r>
              <w:rPr>
                <w:rFonts w:hint="eastAsia" w:ascii="宋体" w:hAnsi="宋体" w:cs="宋体"/>
                <w:color w:val="auto"/>
                <w:sz w:val="21"/>
                <w:szCs w:val="21"/>
                <w:highlight w:val="none"/>
              </w:rPr>
              <w:t>保密保证措施合理完备，可操作性强，得2分；保密保证措施有但不完备，得1分；否则不得分。</w:t>
            </w:r>
          </w:p>
        </w:tc>
        <w:tc>
          <w:tcPr>
            <w:tcW w:w="817" w:type="dxa"/>
            <w:noWrap w:val="0"/>
            <w:vAlign w:val="center"/>
          </w:tcPr>
          <w:p w14:paraId="53EE9F52">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2134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40AB9AEB">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25042DF3">
            <w:pPr>
              <w:spacing w:line="2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设计安全保证措施</w:t>
            </w:r>
          </w:p>
          <w:p w14:paraId="05E318BF">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（2分）</w:t>
            </w:r>
          </w:p>
        </w:tc>
        <w:tc>
          <w:tcPr>
            <w:tcW w:w="6132" w:type="dxa"/>
            <w:noWrap w:val="0"/>
            <w:vAlign w:val="center"/>
          </w:tcPr>
          <w:p w14:paraId="31838178">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安全保证措施合理完备，可操作性强得2分；安全保证措施有但不完备得1分；否则不得分。</w:t>
            </w:r>
          </w:p>
        </w:tc>
        <w:tc>
          <w:tcPr>
            <w:tcW w:w="817" w:type="dxa"/>
            <w:noWrap w:val="0"/>
            <w:vAlign w:val="center"/>
          </w:tcPr>
          <w:p w14:paraId="02FAD433">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4D46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1" w:type="dxa"/>
            <w:vMerge w:val="continue"/>
            <w:noWrap w:val="0"/>
            <w:vAlign w:val="center"/>
          </w:tcPr>
          <w:p w14:paraId="3A136253">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65D0352B">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设计工作重点、难点分析（2分）</w:t>
            </w:r>
          </w:p>
        </w:tc>
        <w:tc>
          <w:tcPr>
            <w:tcW w:w="6132" w:type="dxa"/>
            <w:noWrap w:val="0"/>
            <w:vAlign w:val="center"/>
          </w:tcPr>
          <w:p w14:paraId="535E68F5">
            <w:pPr>
              <w:spacing w:line="280" w:lineRule="exact"/>
              <w:rPr>
                <w:rFonts w:hint="eastAsia" w:ascii="宋体" w:hAnsi="宋体" w:cs="宋体"/>
                <w:color w:val="auto"/>
                <w:sz w:val="21"/>
                <w:szCs w:val="21"/>
                <w:highlight w:val="none"/>
              </w:rPr>
            </w:pPr>
            <w:r>
              <w:rPr>
                <w:rFonts w:hint="eastAsia" w:hAnsi="宋体" w:cs="宋体"/>
                <w:color w:val="auto"/>
                <w:sz w:val="21"/>
                <w:szCs w:val="21"/>
                <w:highlight w:val="none"/>
              </w:rPr>
              <w:t>设计工作重点、难点分析</w:t>
            </w:r>
            <w:r>
              <w:rPr>
                <w:rFonts w:hint="eastAsia" w:ascii="宋体" w:hAnsi="宋体" w:cs="宋体"/>
                <w:color w:val="auto"/>
                <w:sz w:val="21"/>
                <w:szCs w:val="21"/>
                <w:highlight w:val="none"/>
              </w:rPr>
              <w:t>准确得2分，基本准确得1分，不够准确或没有描述不得分。</w:t>
            </w:r>
          </w:p>
        </w:tc>
        <w:tc>
          <w:tcPr>
            <w:tcW w:w="817" w:type="dxa"/>
            <w:noWrap w:val="0"/>
            <w:vAlign w:val="center"/>
          </w:tcPr>
          <w:p w14:paraId="607E1084">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1BA4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71" w:type="dxa"/>
            <w:vMerge w:val="continue"/>
            <w:noWrap w:val="0"/>
            <w:vAlign w:val="center"/>
          </w:tcPr>
          <w:p w14:paraId="1C7A0E5B">
            <w:pPr>
              <w:keepNext w:val="0"/>
              <w:keepLines w:val="0"/>
              <w:pageBreakBefore w:val="0"/>
              <w:widowControl w:val="0"/>
              <w:kinsoku/>
              <w:wordWrap/>
              <w:overflowPunct/>
              <w:topLinePunct w:val="0"/>
              <w:bidi w:val="0"/>
              <w:adjustRightInd/>
              <w:snapToGrid/>
              <w:spacing w:line="360" w:lineRule="auto"/>
              <w:rPr>
                <w:rFonts w:hint="eastAsia" w:ascii="宋体" w:hAnsi="宋体"/>
                <w:color w:val="auto"/>
                <w:highlight w:val="none"/>
              </w:rPr>
            </w:pPr>
          </w:p>
        </w:tc>
        <w:tc>
          <w:tcPr>
            <w:tcW w:w="1432" w:type="dxa"/>
            <w:noWrap w:val="0"/>
            <w:vAlign w:val="center"/>
          </w:tcPr>
          <w:p w14:paraId="68E4CE86">
            <w:pPr>
              <w:spacing w:line="280" w:lineRule="exact"/>
              <w:jc w:val="center"/>
              <w:rPr>
                <w:rFonts w:hint="eastAsia" w:hAnsi="宋体" w:cs="宋体"/>
                <w:color w:val="auto"/>
                <w:kern w:val="0"/>
                <w:szCs w:val="21"/>
                <w:highlight w:val="none"/>
              </w:rPr>
            </w:pPr>
            <w:r>
              <w:rPr>
                <w:rFonts w:hint="eastAsia" w:ascii="宋体" w:hAnsi="宋体" w:cs="宋体"/>
                <w:color w:val="auto"/>
                <w:sz w:val="22"/>
                <w:szCs w:val="22"/>
                <w:highlight w:val="none"/>
              </w:rPr>
              <w:t>设计方案合理化建议（2分）</w:t>
            </w:r>
          </w:p>
        </w:tc>
        <w:tc>
          <w:tcPr>
            <w:tcW w:w="6132" w:type="dxa"/>
            <w:noWrap w:val="0"/>
            <w:vAlign w:val="center"/>
          </w:tcPr>
          <w:p w14:paraId="0FEFA0A5">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对工程提出的建议合理并能改善功能或节约投资</w:t>
            </w:r>
            <w:r>
              <w:rPr>
                <w:rFonts w:hint="eastAsia" w:ascii="宋体" w:hAnsi="宋体" w:cs="宋体"/>
                <w:color w:val="auto"/>
                <w:spacing w:val="-6"/>
                <w:sz w:val="21"/>
                <w:szCs w:val="21"/>
                <w:highlight w:val="none"/>
              </w:rPr>
              <w:t>，得2分；对本工程提出的建议</w:t>
            </w:r>
            <w:r>
              <w:rPr>
                <w:rFonts w:hint="eastAsia" w:ascii="宋体" w:hAnsi="宋体" w:cs="宋体"/>
                <w:color w:val="auto"/>
                <w:sz w:val="21"/>
                <w:szCs w:val="21"/>
                <w:highlight w:val="none"/>
              </w:rPr>
              <w:t>一般，</w:t>
            </w:r>
            <w:r>
              <w:rPr>
                <w:rFonts w:hint="eastAsia" w:ascii="宋体" w:hAnsi="宋体" w:cs="宋体"/>
                <w:color w:val="auto"/>
                <w:spacing w:val="-6"/>
                <w:sz w:val="21"/>
                <w:szCs w:val="21"/>
                <w:highlight w:val="none"/>
              </w:rPr>
              <w:t>得1分</w:t>
            </w:r>
            <w:r>
              <w:rPr>
                <w:rFonts w:hint="eastAsia" w:ascii="宋体" w:hAnsi="宋体" w:cs="宋体"/>
                <w:color w:val="auto"/>
                <w:sz w:val="21"/>
                <w:szCs w:val="21"/>
                <w:highlight w:val="none"/>
              </w:rPr>
              <w:t>； 无合理化建议不得分。</w:t>
            </w:r>
          </w:p>
        </w:tc>
        <w:tc>
          <w:tcPr>
            <w:tcW w:w="817" w:type="dxa"/>
            <w:noWrap w:val="0"/>
            <w:vAlign w:val="center"/>
          </w:tcPr>
          <w:p w14:paraId="2C964337">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1824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71" w:type="dxa"/>
            <w:vMerge w:val="restart"/>
            <w:noWrap w:val="0"/>
            <w:vAlign w:val="center"/>
          </w:tcPr>
          <w:p w14:paraId="77A6ED0A">
            <w:pPr>
              <w:keepNext w:val="0"/>
              <w:keepLines w:val="0"/>
              <w:pageBreakBefore w:val="0"/>
              <w:widowControl w:val="0"/>
              <w:kinsoku/>
              <w:wordWrap/>
              <w:overflowPunct/>
              <w:topLinePunct w:val="0"/>
              <w:bidi w:val="0"/>
              <w:adjustRightInd/>
              <w:snapToGrid/>
              <w:spacing w:line="360" w:lineRule="auto"/>
              <w:jc w:val="center"/>
              <w:rPr>
                <w:rFonts w:hint="eastAsia" w:ascii="宋体" w:hAnsi="宋体"/>
                <w:color w:val="auto"/>
                <w:highlight w:val="none"/>
              </w:rPr>
            </w:pPr>
            <w:r>
              <w:rPr>
                <w:rFonts w:hint="eastAsia" w:ascii="宋体" w:hAnsi="宋体"/>
                <w:color w:val="auto"/>
                <w:highlight w:val="none"/>
              </w:rPr>
              <w:t>其他评分因素</w:t>
            </w:r>
          </w:p>
          <w:p w14:paraId="67973B13">
            <w:pPr>
              <w:keepNext w:val="0"/>
              <w:keepLines w:val="0"/>
              <w:pageBreakBefore w:val="0"/>
              <w:widowControl w:val="0"/>
              <w:kinsoku/>
              <w:wordWrap/>
              <w:overflowPunct/>
              <w:topLinePunct w:val="0"/>
              <w:bidi w:val="0"/>
              <w:adjustRightInd/>
              <w:snapToGrid/>
              <w:spacing w:line="360" w:lineRule="auto"/>
              <w:jc w:val="center"/>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w:t>
            </w:r>
          </w:p>
        </w:tc>
        <w:tc>
          <w:tcPr>
            <w:tcW w:w="1432" w:type="dxa"/>
            <w:noWrap w:val="0"/>
            <w:vAlign w:val="center"/>
          </w:tcPr>
          <w:p w14:paraId="7815396A">
            <w:pPr>
              <w:keepNext w:val="0"/>
              <w:keepLines w:val="0"/>
              <w:pageBreakBefore w:val="0"/>
              <w:widowControl w:val="0"/>
              <w:kinsoku/>
              <w:wordWrap/>
              <w:overflowPunct/>
              <w:topLinePunct w:val="0"/>
              <w:bidi w:val="0"/>
              <w:adjustRightInd/>
              <w:snapToGrid/>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优惠条件</w:t>
            </w:r>
          </w:p>
          <w:p w14:paraId="095EB133">
            <w:pPr>
              <w:keepNext w:val="0"/>
              <w:keepLines w:val="0"/>
              <w:pageBreakBefore w:val="0"/>
              <w:widowControl w:val="0"/>
              <w:kinsoku/>
              <w:wordWrap/>
              <w:overflowPunct/>
              <w:topLinePunct w:val="0"/>
              <w:bidi w:val="0"/>
              <w:adjustRightInd/>
              <w:snapToGrid/>
              <w:spacing w:line="360" w:lineRule="auto"/>
              <w:jc w:val="center"/>
              <w:rPr>
                <w:rFonts w:hint="eastAsia" w:hAnsi="宋体" w:cs="宋体"/>
                <w:color w:val="auto"/>
                <w:kern w:val="0"/>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分）</w:t>
            </w:r>
          </w:p>
        </w:tc>
        <w:tc>
          <w:tcPr>
            <w:tcW w:w="6132" w:type="dxa"/>
            <w:noWrap w:val="0"/>
            <w:vAlign w:val="center"/>
          </w:tcPr>
          <w:p w14:paraId="742663DF">
            <w:pPr>
              <w:keepNext w:val="0"/>
              <w:keepLines w:val="0"/>
              <w:pageBreakBefore w:val="0"/>
              <w:widowControl w:val="0"/>
              <w:kinsoku/>
              <w:wordWrap/>
              <w:overflowPunct/>
              <w:topLinePunct w:val="0"/>
              <w:bidi w:val="0"/>
              <w:adjustRightInd/>
              <w:snapToGrid/>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val="zh-CN"/>
              </w:rPr>
              <w:t>采购人可接受的优惠条件综合比较，</w:t>
            </w:r>
            <w:r>
              <w:rPr>
                <w:rFonts w:hint="eastAsia" w:ascii="宋体" w:hAnsi="宋体" w:cs="宋体"/>
                <w:color w:val="auto"/>
                <w:sz w:val="21"/>
                <w:szCs w:val="21"/>
                <w:highlight w:val="none"/>
              </w:rPr>
              <w:t>优计1分，良计0.5分，没有不得分。</w:t>
            </w:r>
          </w:p>
        </w:tc>
        <w:tc>
          <w:tcPr>
            <w:tcW w:w="817" w:type="dxa"/>
            <w:noWrap w:val="0"/>
            <w:vAlign w:val="center"/>
          </w:tcPr>
          <w:p w14:paraId="267C060D">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66BD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71" w:type="dxa"/>
            <w:vMerge w:val="continue"/>
            <w:noWrap w:val="0"/>
            <w:vAlign w:val="center"/>
          </w:tcPr>
          <w:p w14:paraId="573BDCC2">
            <w:pPr>
              <w:keepNext w:val="0"/>
              <w:keepLines w:val="0"/>
              <w:pageBreakBefore w:val="0"/>
              <w:widowControl w:val="0"/>
              <w:kinsoku/>
              <w:wordWrap/>
              <w:overflowPunct/>
              <w:topLinePunct w:val="0"/>
              <w:bidi w:val="0"/>
              <w:adjustRightInd/>
              <w:snapToGrid/>
              <w:spacing w:line="360" w:lineRule="auto"/>
              <w:rPr>
                <w:rFonts w:hint="eastAsia" w:ascii="宋体" w:hAnsi="宋体" w:cs="宋体"/>
                <w:color w:val="auto"/>
                <w:sz w:val="21"/>
                <w:szCs w:val="21"/>
                <w:highlight w:val="none"/>
              </w:rPr>
            </w:pPr>
          </w:p>
        </w:tc>
        <w:tc>
          <w:tcPr>
            <w:tcW w:w="1432" w:type="dxa"/>
            <w:noWrap w:val="0"/>
            <w:vAlign w:val="center"/>
          </w:tcPr>
          <w:p w14:paraId="6DB6146C">
            <w:pPr>
              <w:keepNext w:val="0"/>
              <w:keepLines w:val="0"/>
              <w:pageBreakBefore w:val="0"/>
              <w:widowControl w:val="0"/>
              <w:kinsoku/>
              <w:wordWrap/>
              <w:overflowPunct/>
              <w:topLinePunct w:val="0"/>
              <w:bidi w:val="0"/>
              <w:adjustRightInd/>
              <w:snapToGrid/>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服务承诺</w:t>
            </w:r>
          </w:p>
          <w:p w14:paraId="0A3FFACB">
            <w:pPr>
              <w:keepNext w:val="0"/>
              <w:keepLines w:val="0"/>
              <w:pageBreakBefore w:val="0"/>
              <w:widowControl w:val="0"/>
              <w:kinsoku/>
              <w:wordWrap/>
              <w:overflowPunct/>
              <w:topLinePunct w:val="0"/>
              <w:bidi w:val="0"/>
              <w:adjustRightInd/>
              <w:snapToGrid/>
              <w:spacing w:line="360" w:lineRule="auto"/>
              <w:jc w:val="center"/>
              <w:rPr>
                <w:rFonts w:hint="eastAsia" w:hAnsi="宋体" w:cs="宋体"/>
                <w:color w:val="auto"/>
                <w:kern w:val="0"/>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分）</w:t>
            </w:r>
          </w:p>
        </w:tc>
        <w:tc>
          <w:tcPr>
            <w:tcW w:w="6132" w:type="dxa"/>
            <w:noWrap w:val="0"/>
            <w:vAlign w:val="center"/>
          </w:tcPr>
          <w:p w14:paraId="0FCCAD8F">
            <w:pPr>
              <w:keepNext w:val="0"/>
              <w:keepLines w:val="0"/>
              <w:pageBreakBefore w:val="0"/>
              <w:widowControl w:val="0"/>
              <w:kinsoku/>
              <w:wordWrap/>
              <w:overflowPunct/>
              <w:topLinePunct w:val="0"/>
              <w:bidi w:val="0"/>
              <w:adjustRightInd/>
              <w:snapToGrid/>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应对勘察、设计质量做出保证，对服务期限及后期服务做出承诺，特别是现场服务的承诺。优计1分，良计0.5分，没有不得分。</w:t>
            </w:r>
          </w:p>
        </w:tc>
        <w:tc>
          <w:tcPr>
            <w:tcW w:w="817" w:type="dxa"/>
            <w:noWrap w:val="0"/>
            <w:vAlign w:val="center"/>
          </w:tcPr>
          <w:p w14:paraId="05D54733">
            <w:pPr>
              <w:keepNext w:val="0"/>
              <w:keepLines w:val="0"/>
              <w:pageBreakBefore w:val="0"/>
              <w:widowControl w:val="0"/>
              <w:kinsoku/>
              <w:wordWrap/>
              <w:overflowPunct/>
              <w:topLinePunct w:val="0"/>
              <w:bidi w:val="0"/>
              <w:adjustRightInd/>
              <w:snapToGri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bl>
    <w:p w14:paraId="404EC3BA">
      <w:pPr>
        <w:pStyle w:val="38"/>
        <w:rPr>
          <w:color w:val="auto"/>
          <w:highlight w:val="none"/>
        </w:rPr>
      </w:pPr>
    </w:p>
    <w:p w14:paraId="55920501">
      <w:pPr>
        <w:pStyle w:val="4"/>
        <w:spacing w:before="0" w:after="0" w:line="360" w:lineRule="auto"/>
        <w:ind w:firstLine="643" w:firstLineChars="200"/>
        <w:jc w:val="center"/>
        <w:rPr>
          <w:rFonts w:hint="eastAsia" w:ascii="宋体" w:hAnsi="宋体" w:cs="Times New Roman"/>
          <w:b w:val="0"/>
          <w:color w:val="auto"/>
          <w:highlight w:val="none"/>
        </w:rPr>
      </w:pPr>
      <w:r>
        <w:rPr>
          <w:rFonts w:hint="eastAsia"/>
          <w:b/>
          <w:color w:val="auto"/>
          <w:szCs w:val="21"/>
          <w:highlight w:val="none"/>
        </w:rPr>
        <w:br w:type="page"/>
      </w:r>
      <w:bookmarkStart w:id="90" w:name="_Toc19193"/>
      <w:bookmarkStart w:id="91" w:name="_Toc80886938"/>
      <w:r>
        <w:rPr>
          <w:rFonts w:hint="eastAsia" w:ascii="宋体" w:hAnsi="宋体" w:cs="Times New Roman"/>
          <w:b w:val="0"/>
          <w:color w:val="auto"/>
          <w:highlight w:val="none"/>
          <w:lang w:val="en-US" w:eastAsia="zh-CN"/>
        </w:rPr>
        <w:t>第一节 评审程序和评审方法</w:t>
      </w:r>
      <w:bookmarkEnd w:id="90"/>
      <w:bookmarkEnd w:id="91"/>
    </w:p>
    <w:p w14:paraId="466D94E2">
      <w:pPr>
        <w:spacing w:line="400" w:lineRule="exact"/>
        <w:rPr>
          <w:rFonts w:hint="eastAsia"/>
          <w:b/>
          <w:color w:val="auto"/>
          <w:szCs w:val="21"/>
          <w:highlight w:val="none"/>
        </w:rPr>
      </w:pPr>
      <w:r>
        <w:rPr>
          <w:rFonts w:hint="eastAsia"/>
          <w:b/>
          <w:color w:val="auto"/>
          <w:szCs w:val="21"/>
          <w:highlight w:val="none"/>
        </w:rPr>
        <w:t>1.确认磋商文件</w:t>
      </w:r>
    </w:p>
    <w:p w14:paraId="62BBBEC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2754E739">
      <w:pPr>
        <w:spacing w:line="400" w:lineRule="exact"/>
        <w:rPr>
          <w:rFonts w:hint="eastAsia"/>
          <w:b/>
          <w:color w:val="auto"/>
          <w:szCs w:val="21"/>
          <w:highlight w:val="none"/>
        </w:rPr>
      </w:pPr>
      <w:r>
        <w:rPr>
          <w:rFonts w:hint="eastAsia"/>
          <w:b/>
          <w:color w:val="auto"/>
          <w:szCs w:val="21"/>
          <w:highlight w:val="none"/>
        </w:rPr>
        <w:t>2.资格审查</w:t>
      </w:r>
    </w:p>
    <w:p w14:paraId="3984F5A9">
      <w:pPr>
        <w:snapToGrid w:val="0"/>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0285800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45977F55">
      <w:pPr>
        <w:snapToGrid w:val="0"/>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62"/>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62"/>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C1046D4">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A5A06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799E8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911FCE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379F72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12D02B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200969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F250A25">
      <w:pPr>
        <w:spacing w:line="240" w:lineRule="auto"/>
        <w:ind w:firstLine="420" w:firstLineChars="200"/>
        <w:rPr>
          <w:rFonts w:hint="eastAsia" w:ascii="宋体" w:hAnsi="宋体" w:cs="宋体"/>
          <w:color w:val="auto"/>
          <w:szCs w:val="21"/>
          <w:highlight w:val="none"/>
        </w:rPr>
      </w:pPr>
      <w:bookmarkStart w:id="9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（4）同一合同项下的不同供应商，单位负责人为同一人或者存在直接控股、管理关系的；为本项目提供过整体设计、规范编制或者项目管理等服务的。</w:t>
      </w:r>
      <w:bookmarkEnd w:id="92"/>
    </w:p>
    <w:p w14:paraId="6CF57BD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9C551F3">
      <w:pPr>
        <w:spacing w:line="400" w:lineRule="exact"/>
        <w:rPr>
          <w:rFonts w:hint="eastAsia"/>
          <w:b/>
          <w:color w:val="auto"/>
          <w:szCs w:val="21"/>
          <w:highlight w:val="none"/>
        </w:rPr>
      </w:pPr>
      <w:r>
        <w:rPr>
          <w:rFonts w:hint="eastAsia"/>
          <w:b/>
          <w:color w:val="auto"/>
          <w:szCs w:val="21"/>
          <w:highlight w:val="none"/>
        </w:rPr>
        <w:t>3.符合性审查</w:t>
      </w:r>
    </w:p>
    <w:p w14:paraId="1B0E582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896540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BFE56B">
      <w:pPr>
        <w:spacing w:line="24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56E9F14">
      <w:pPr>
        <w:spacing w:line="24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B59DBF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8C00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E3E92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86FFA0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92DFA1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2917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16D3A2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59F8B0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68087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C39B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D156B5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A9DBB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FC06C7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52EA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1BF34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B5B94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6019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AE86F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57EF8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0A4461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66D67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D00A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E44714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3D65F4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913895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D9456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45F527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D87E9A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B949A1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EF45ED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0BD7F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CA17A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22ACDE">
      <w:pPr>
        <w:spacing w:line="400" w:lineRule="exact"/>
        <w:rPr>
          <w:rFonts w:hint="eastAsia"/>
          <w:b/>
          <w:color w:val="auto"/>
          <w:szCs w:val="21"/>
          <w:highlight w:val="none"/>
        </w:rPr>
      </w:pPr>
      <w:r>
        <w:rPr>
          <w:rFonts w:hint="eastAsia"/>
          <w:b/>
          <w:color w:val="auto"/>
          <w:szCs w:val="21"/>
          <w:highlight w:val="none"/>
        </w:rPr>
        <w:t>4.磋商程序</w:t>
      </w:r>
    </w:p>
    <w:p w14:paraId="05C321D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51356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00F43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98F306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839F3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71B7244">
      <w:pPr>
        <w:widowControl/>
        <w:tabs>
          <w:tab w:val="left" w:pos="540"/>
        </w:tabs>
        <w:spacing w:line="24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2A88450E">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34335EF7">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23A2CE9">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85BA49D">
      <w:pPr>
        <w:widowControl/>
        <w:tabs>
          <w:tab w:val="left" w:pos="540"/>
        </w:tabs>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DAE412B">
      <w:pPr>
        <w:tabs>
          <w:tab w:val="left" w:pos="2835"/>
        </w:tabs>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847134F">
      <w:pPr>
        <w:spacing w:line="400" w:lineRule="exact"/>
        <w:rPr>
          <w:rFonts w:hint="eastAsia"/>
          <w:b/>
          <w:color w:val="auto"/>
          <w:szCs w:val="21"/>
          <w:highlight w:val="none"/>
        </w:rPr>
      </w:pPr>
      <w:r>
        <w:rPr>
          <w:rFonts w:hint="eastAsia"/>
          <w:b/>
          <w:color w:val="auto"/>
          <w:szCs w:val="21"/>
          <w:highlight w:val="none"/>
        </w:rPr>
        <w:t>5. 最后报价</w:t>
      </w:r>
    </w:p>
    <w:p w14:paraId="1678B3E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7A96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47266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37B2A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445089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923C53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AFBA3B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6E79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CFC636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FE0DF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2572E7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FCBB9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6E29F8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37178F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DA56E9D">
      <w:pPr>
        <w:spacing w:line="400" w:lineRule="exact"/>
        <w:rPr>
          <w:rFonts w:hint="eastAsia"/>
          <w:b/>
          <w:color w:val="auto"/>
          <w:szCs w:val="21"/>
          <w:highlight w:val="none"/>
        </w:rPr>
      </w:pPr>
      <w:r>
        <w:rPr>
          <w:rFonts w:hint="eastAsia"/>
          <w:b/>
          <w:color w:val="auto"/>
          <w:szCs w:val="21"/>
          <w:highlight w:val="none"/>
        </w:rPr>
        <w:t>6.比较与评价</w:t>
      </w:r>
    </w:p>
    <w:p w14:paraId="5E2E258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1919F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CDFF6D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71DD7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5943D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0D682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65A8F7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B2CABA">
      <w:pPr>
        <w:spacing w:line="24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869973D">
      <w:pPr>
        <w:spacing w:line="24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556ECC">
      <w:pPr>
        <w:spacing w:line="400" w:lineRule="exact"/>
        <w:rPr>
          <w:rFonts w:hint="eastAsia"/>
          <w:b/>
          <w:color w:val="auto"/>
          <w:szCs w:val="21"/>
          <w:highlight w:val="none"/>
        </w:rPr>
      </w:pPr>
      <w:r>
        <w:rPr>
          <w:rFonts w:hint="eastAsia"/>
          <w:b/>
          <w:color w:val="auto"/>
          <w:szCs w:val="21"/>
          <w:highlight w:val="none"/>
        </w:rPr>
        <w:t>7.评审复核</w:t>
      </w:r>
    </w:p>
    <w:p w14:paraId="7718AE7C">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4D17DA3">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97B0B51">
      <w:pPr>
        <w:spacing w:line="400" w:lineRule="exact"/>
        <w:rPr>
          <w:rFonts w:hint="eastAsia"/>
          <w:b/>
          <w:color w:val="auto"/>
          <w:szCs w:val="21"/>
          <w:highlight w:val="none"/>
        </w:rPr>
      </w:pPr>
      <w:r>
        <w:rPr>
          <w:rFonts w:hint="eastAsia"/>
          <w:b/>
          <w:color w:val="auto"/>
          <w:szCs w:val="21"/>
          <w:highlight w:val="none"/>
        </w:rPr>
        <w:t>8.评审标准</w:t>
      </w:r>
    </w:p>
    <w:p w14:paraId="55FEA91C">
      <w:pPr>
        <w:spacing w:line="24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1评审依据：磋商小组将以磋商响应文件为评审依据，对供应商的报价、商务、技术等方面内容按百分制打分。（计分方法按四舍五入取至百分位）</w:t>
      </w:r>
    </w:p>
    <w:p w14:paraId="375D814E">
      <w:pPr>
        <w:spacing w:line="24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p>
    <w:p w14:paraId="40715233">
      <w:pPr>
        <w:pStyle w:val="27"/>
        <w:spacing w:line="240" w:lineRule="auto"/>
        <w:ind w:firstLine="420" w:firstLineChars="200"/>
        <w:rPr>
          <w:rFonts w:hint="eastAsia" w:hAnsi="宋体"/>
          <w:bCs/>
          <w:color w:val="auto"/>
          <w:highlight w:val="none"/>
        </w:rPr>
      </w:pPr>
      <w:r>
        <w:rPr>
          <w:rFonts w:hint="eastAsia" w:hAnsi="宋体"/>
          <w:bCs/>
          <w:color w:val="auto"/>
          <w:highlight w:val="none"/>
        </w:rPr>
        <w:t>8.2商务技术评审因素为客观评分项的，应在评分项目或评分标准中予以标注为“客观分”。对供应商的客观评分项目，各评审专家评分应当一致。</w:t>
      </w:r>
    </w:p>
    <w:p w14:paraId="09B38DB0">
      <w:pPr>
        <w:spacing w:line="240" w:lineRule="auto"/>
        <w:ind w:firstLine="420" w:firstLineChars="200"/>
        <w:rPr>
          <w:rFonts w:hint="eastAsia" w:ascii="宋体" w:hAnsi="宋体" w:cs="宋体"/>
          <w:color w:val="auto"/>
          <w:highlight w:val="none"/>
        </w:rPr>
      </w:pPr>
      <w:bookmarkStart w:id="93" w:name="_Toc80205935"/>
      <w:r>
        <w:rPr>
          <w:rFonts w:hint="eastAsia" w:ascii="宋体" w:hAnsi="宋体" w:cs="宋体"/>
          <w:color w:val="auto"/>
          <w:highlight w:val="none"/>
        </w:rPr>
        <w:t>8.3.终止竞争性磋商采购活动</w:t>
      </w:r>
    </w:p>
    <w:p w14:paraId="33B3B6AC">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B5E400B">
      <w:pPr>
        <w:spacing w:line="240" w:lineRule="auto"/>
        <w:ind w:firstLine="420" w:firstLineChars="200"/>
        <w:rPr>
          <w:rFonts w:hint="eastAsia" w:ascii="宋体" w:hAnsi="宋体" w:cs="宋体"/>
          <w:color w:val="auto"/>
          <w:highlight w:val="none"/>
        </w:rPr>
      </w:pPr>
    </w:p>
    <w:p w14:paraId="4DFCBDF1">
      <w:pPr>
        <w:pStyle w:val="4"/>
        <w:spacing w:before="0" w:after="0" w:line="360" w:lineRule="auto"/>
        <w:ind w:firstLine="640" w:firstLineChars="200"/>
        <w:jc w:val="center"/>
        <w:rPr>
          <w:rFonts w:hint="eastAsia" w:ascii="宋体" w:hAnsi="宋体"/>
          <w:b w:val="0"/>
          <w:color w:val="auto"/>
          <w:highlight w:val="none"/>
        </w:rPr>
      </w:pPr>
      <w:bookmarkStart w:id="94" w:name="_Toc29188"/>
      <w:bookmarkStart w:id="95" w:name="_Toc80886939"/>
      <w:r>
        <w:rPr>
          <w:rFonts w:hint="eastAsia" w:ascii="宋体" w:hAnsi="宋体"/>
          <w:b w:val="0"/>
          <w:color w:val="auto"/>
          <w:highlight w:val="none"/>
        </w:rPr>
        <w:t>第二节 评标报告</w:t>
      </w:r>
      <w:bookmarkEnd w:id="93"/>
      <w:bookmarkEnd w:id="94"/>
      <w:bookmarkEnd w:id="95"/>
    </w:p>
    <w:p w14:paraId="18BDED94">
      <w:pPr>
        <w:spacing w:line="400" w:lineRule="exact"/>
        <w:rPr>
          <w:rFonts w:hint="eastAsia"/>
          <w:b/>
          <w:color w:val="auto"/>
          <w:szCs w:val="21"/>
          <w:highlight w:val="none"/>
        </w:rPr>
      </w:pPr>
      <w:r>
        <w:rPr>
          <w:rFonts w:hint="eastAsia"/>
          <w:b/>
          <w:color w:val="auto"/>
          <w:szCs w:val="21"/>
          <w:highlight w:val="none"/>
        </w:rPr>
        <w:t>1.成交标准</w:t>
      </w:r>
    </w:p>
    <w:p w14:paraId="24423BED">
      <w:pPr>
        <w:spacing w:line="24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1B6154">
      <w:pPr>
        <w:spacing w:line="400" w:lineRule="exact"/>
        <w:rPr>
          <w:rFonts w:hint="eastAsia"/>
          <w:b/>
          <w:color w:val="auto"/>
          <w:szCs w:val="21"/>
          <w:highlight w:val="none"/>
        </w:rPr>
      </w:pPr>
      <w:r>
        <w:rPr>
          <w:rFonts w:hint="eastAsia"/>
          <w:b/>
          <w:color w:val="auto"/>
          <w:szCs w:val="21"/>
          <w:highlight w:val="none"/>
        </w:rPr>
        <w:t>2.评标争议事项处理</w:t>
      </w:r>
    </w:p>
    <w:p w14:paraId="05C6C486">
      <w:pPr>
        <w:pStyle w:val="203"/>
        <w:spacing w:before="0" w:line="240" w:lineRule="auto"/>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919C500">
      <w:pPr>
        <w:pStyle w:val="203"/>
        <w:spacing w:before="0" w:line="240" w:lineRule="auto"/>
        <w:ind w:firstLine="420"/>
        <w:rPr>
          <w:rFonts w:hint="eastAsia" w:ascii="宋体" w:hAnsi="宋体" w:cs="宋体"/>
          <w:color w:val="auto"/>
          <w:kern w:val="2"/>
          <w:sz w:val="21"/>
          <w:szCs w:val="24"/>
          <w:highlight w:val="none"/>
        </w:rPr>
      </w:pPr>
    </w:p>
    <w:p w14:paraId="5E50A501">
      <w:pPr>
        <w:pStyle w:val="4"/>
        <w:spacing w:before="0" w:after="0" w:line="360" w:lineRule="auto"/>
        <w:ind w:firstLine="640" w:firstLineChars="200"/>
        <w:jc w:val="center"/>
        <w:rPr>
          <w:rFonts w:hint="eastAsia" w:ascii="宋体" w:hAnsi="宋体" w:cs="宋体"/>
          <w:b w:val="0"/>
          <w:color w:val="auto"/>
          <w:highlight w:val="none"/>
        </w:rPr>
      </w:pPr>
      <w:bookmarkStart w:id="96" w:name="_Toc9360"/>
      <w:bookmarkStart w:id="97" w:name="_Toc80205936"/>
      <w:bookmarkStart w:id="98" w:name="_Toc80886940"/>
      <w:r>
        <w:rPr>
          <w:rFonts w:hint="eastAsia" w:ascii="宋体" w:hAnsi="宋体"/>
          <w:b w:val="0"/>
          <w:color w:val="auto"/>
          <w:highlight w:val="none"/>
        </w:rPr>
        <w:t>第三节 评审过程的保密与录像</w:t>
      </w:r>
      <w:bookmarkEnd w:id="96"/>
      <w:bookmarkEnd w:id="97"/>
      <w:bookmarkEnd w:id="98"/>
    </w:p>
    <w:p w14:paraId="7A2BAC69">
      <w:pPr>
        <w:spacing w:line="400" w:lineRule="exact"/>
        <w:rPr>
          <w:rFonts w:hint="eastAsia"/>
          <w:b/>
          <w:color w:val="auto"/>
          <w:szCs w:val="21"/>
          <w:highlight w:val="none"/>
        </w:rPr>
      </w:pPr>
      <w:r>
        <w:rPr>
          <w:rFonts w:hint="eastAsia"/>
          <w:b/>
          <w:color w:val="auto"/>
          <w:szCs w:val="21"/>
          <w:highlight w:val="none"/>
        </w:rPr>
        <w:t>1.保密。</w:t>
      </w:r>
    </w:p>
    <w:p w14:paraId="7BDDFDC7">
      <w:pPr>
        <w:widowControl/>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F12720">
      <w:pPr>
        <w:spacing w:line="400" w:lineRule="exact"/>
        <w:rPr>
          <w:rFonts w:hint="eastAsia"/>
          <w:b/>
          <w:color w:val="auto"/>
          <w:szCs w:val="21"/>
          <w:highlight w:val="none"/>
        </w:rPr>
      </w:pPr>
      <w:r>
        <w:rPr>
          <w:rFonts w:hint="eastAsia"/>
          <w:b/>
          <w:color w:val="auto"/>
          <w:szCs w:val="21"/>
          <w:highlight w:val="none"/>
        </w:rPr>
        <w:t>2.录音录像。</w:t>
      </w:r>
    </w:p>
    <w:p w14:paraId="5641C3E6">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01FB109">
      <w:pPr>
        <w:spacing w:line="312" w:lineRule="auto"/>
        <w:jc w:val="left"/>
        <w:rPr>
          <w:rFonts w:hint="eastAsia" w:ascii="宋体" w:hAnsi="宋体" w:cs="宋体"/>
          <w:b/>
          <w:bCs/>
          <w:color w:val="auto"/>
          <w:szCs w:val="21"/>
          <w:highlight w:val="none"/>
        </w:rPr>
      </w:pPr>
    </w:p>
    <w:p w14:paraId="7CEF48E7">
      <w:pPr>
        <w:spacing w:line="312" w:lineRule="auto"/>
        <w:jc w:val="left"/>
        <w:rPr>
          <w:rFonts w:hint="eastAsia" w:ascii="宋体" w:hAnsi="宋体" w:cs="宋体"/>
          <w:b/>
          <w:bCs/>
          <w:color w:val="auto"/>
          <w:szCs w:val="21"/>
          <w:highlight w:val="none"/>
        </w:rPr>
      </w:pPr>
    </w:p>
    <w:p w14:paraId="281C2F57">
      <w:pPr>
        <w:spacing w:line="312" w:lineRule="auto"/>
        <w:jc w:val="left"/>
        <w:rPr>
          <w:rFonts w:hint="eastAsia" w:ascii="宋体" w:hAnsi="宋体" w:cs="宋体"/>
          <w:b/>
          <w:bCs/>
          <w:color w:val="auto"/>
          <w:szCs w:val="21"/>
          <w:highlight w:val="none"/>
        </w:rPr>
      </w:pPr>
    </w:p>
    <w:p w14:paraId="664D24ED">
      <w:pPr>
        <w:spacing w:line="312" w:lineRule="auto"/>
        <w:jc w:val="left"/>
        <w:rPr>
          <w:rFonts w:hint="eastAsia" w:ascii="宋体" w:hAnsi="宋体" w:cs="宋体"/>
          <w:b/>
          <w:bCs/>
          <w:color w:val="auto"/>
          <w:szCs w:val="21"/>
          <w:highlight w:val="none"/>
        </w:rPr>
      </w:pPr>
    </w:p>
    <w:p w14:paraId="4CD99DA4">
      <w:pPr>
        <w:spacing w:line="312" w:lineRule="auto"/>
        <w:jc w:val="left"/>
        <w:rPr>
          <w:rFonts w:hint="eastAsia" w:ascii="宋体" w:hAnsi="宋体" w:cs="宋体"/>
          <w:b/>
          <w:bCs/>
          <w:color w:val="auto"/>
          <w:szCs w:val="21"/>
          <w:highlight w:val="none"/>
        </w:rPr>
      </w:pPr>
    </w:p>
    <w:p w14:paraId="2DFF6129">
      <w:pPr>
        <w:spacing w:line="312" w:lineRule="auto"/>
        <w:jc w:val="left"/>
        <w:rPr>
          <w:rFonts w:hint="eastAsia" w:ascii="宋体" w:hAnsi="宋体" w:cs="宋体"/>
          <w:b/>
          <w:bCs/>
          <w:color w:val="auto"/>
          <w:szCs w:val="21"/>
          <w:highlight w:val="none"/>
        </w:rPr>
      </w:pPr>
    </w:p>
    <w:p w14:paraId="7EB1A763">
      <w:pPr>
        <w:spacing w:line="312" w:lineRule="auto"/>
        <w:jc w:val="left"/>
        <w:rPr>
          <w:rFonts w:hint="eastAsia" w:ascii="宋体" w:hAnsi="宋体" w:cs="宋体"/>
          <w:b/>
          <w:bCs/>
          <w:color w:val="auto"/>
          <w:szCs w:val="21"/>
          <w:highlight w:val="none"/>
        </w:rPr>
      </w:pPr>
    </w:p>
    <w:p w14:paraId="4CFB1BBF">
      <w:pPr>
        <w:spacing w:line="312" w:lineRule="auto"/>
        <w:jc w:val="left"/>
        <w:rPr>
          <w:rFonts w:hint="eastAsia" w:ascii="宋体" w:hAnsi="宋体" w:cs="宋体"/>
          <w:b/>
          <w:bCs/>
          <w:color w:val="auto"/>
          <w:szCs w:val="21"/>
          <w:highlight w:val="none"/>
        </w:rPr>
      </w:pPr>
    </w:p>
    <w:p w14:paraId="6D9B135C">
      <w:pPr>
        <w:spacing w:line="312" w:lineRule="auto"/>
        <w:jc w:val="left"/>
        <w:rPr>
          <w:rFonts w:hint="eastAsia" w:ascii="宋体" w:hAnsi="宋体" w:cs="宋体"/>
          <w:b/>
          <w:bCs/>
          <w:color w:val="auto"/>
          <w:szCs w:val="21"/>
          <w:highlight w:val="none"/>
        </w:rPr>
      </w:pPr>
    </w:p>
    <w:p w14:paraId="32AF2631">
      <w:pPr>
        <w:spacing w:line="312" w:lineRule="auto"/>
        <w:jc w:val="left"/>
        <w:rPr>
          <w:rFonts w:hint="eastAsia" w:ascii="宋体" w:hAnsi="宋体" w:cs="宋体"/>
          <w:b/>
          <w:bCs/>
          <w:color w:val="auto"/>
          <w:szCs w:val="21"/>
          <w:highlight w:val="none"/>
        </w:rPr>
      </w:pPr>
    </w:p>
    <w:p w14:paraId="1AA9A95B">
      <w:pPr>
        <w:spacing w:line="312" w:lineRule="auto"/>
        <w:jc w:val="left"/>
        <w:rPr>
          <w:rFonts w:hint="eastAsia" w:ascii="宋体" w:hAnsi="宋体" w:cs="宋体"/>
          <w:b/>
          <w:bCs/>
          <w:color w:val="auto"/>
          <w:szCs w:val="21"/>
          <w:highlight w:val="none"/>
        </w:rPr>
      </w:pPr>
    </w:p>
    <w:p w14:paraId="4A73012B">
      <w:pPr>
        <w:spacing w:line="312" w:lineRule="auto"/>
        <w:jc w:val="left"/>
        <w:rPr>
          <w:rFonts w:hint="eastAsia" w:ascii="宋体" w:hAnsi="宋体" w:cs="宋体"/>
          <w:b/>
          <w:bCs/>
          <w:color w:val="auto"/>
          <w:szCs w:val="21"/>
          <w:highlight w:val="none"/>
        </w:rPr>
      </w:pPr>
    </w:p>
    <w:p w14:paraId="1D017256">
      <w:pPr>
        <w:spacing w:line="312" w:lineRule="auto"/>
        <w:jc w:val="left"/>
        <w:rPr>
          <w:rFonts w:hint="eastAsia" w:ascii="宋体" w:hAnsi="宋体" w:cs="宋体"/>
          <w:b/>
          <w:bCs/>
          <w:color w:val="auto"/>
          <w:szCs w:val="21"/>
          <w:highlight w:val="none"/>
        </w:rPr>
      </w:pPr>
    </w:p>
    <w:p w14:paraId="3840D367">
      <w:pPr>
        <w:spacing w:line="312" w:lineRule="auto"/>
        <w:jc w:val="left"/>
        <w:rPr>
          <w:rFonts w:hint="eastAsia" w:ascii="宋体" w:hAnsi="宋体" w:cs="宋体"/>
          <w:b/>
          <w:bCs/>
          <w:color w:val="auto"/>
          <w:szCs w:val="21"/>
          <w:highlight w:val="none"/>
        </w:rPr>
      </w:pPr>
    </w:p>
    <w:p w14:paraId="45726F1B">
      <w:pPr>
        <w:spacing w:line="312" w:lineRule="auto"/>
        <w:jc w:val="left"/>
        <w:rPr>
          <w:rFonts w:hint="eastAsia" w:ascii="宋体" w:hAnsi="宋体" w:cs="宋体"/>
          <w:b/>
          <w:bCs/>
          <w:color w:val="auto"/>
          <w:szCs w:val="21"/>
          <w:highlight w:val="none"/>
        </w:rPr>
      </w:pPr>
    </w:p>
    <w:p w14:paraId="644F1305">
      <w:pPr>
        <w:spacing w:line="312" w:lineRule="auto"/>
        <w:jc w:val="left"/>
        <w:rPr>
          <w:rFonts w:hint="eastAsia" w:ascii="宋体" w:hAnsi="宋体" w:cs="宋体"/>
          <w:b/>
          <w:bCs/>
          <w:color w:val="auto"/>
          <w:szCs w:val="21"/>
          <w:highlight w:val="none"/>
        </w:rPr>
      </w:pPr>
    </w:p>
    <w:p w14:paraId="739AD786">
      <w:pPr>
        <w:spacing w:line="312" w:lineRule="auto"/>
        <w:jc w:val="left"/>
        <w:rPr>
          <w:rFonts w:hint="eastAsia" w:ascii="宋体" w:hAnsi="宋体" w:cs="宋体"/>
          <w:b/>
          <w:bCs/>
          <w:color w:val="auto"/>
          <w:szCs w:val="21"/>
          <w:highlight w:val="none"/>
        </w:rPr>
      </w:pPr>
    </w:p>
    <w:p w14:paraId="32A027F6">
      <w:pPr>
        <w:spacing w:line="312" w:lineRule="auto"/>
        <w:jc w:val="left"/>
        <w:rPr>
          <w:rFonts w:hint="eastAsia" w:ascii="宋体" w:hAnsi="宋体" w:cs="宋体"/>
          <w:b/>
          <w:bCs/>
          <w:color w:val="auto"/>
          <w:szCs w:val="21"/>
          <w:highlight w:val="none"/>
        </w:rPr>
      </w:pPr>
    </w:p>
    <w:p w14:paraId="76B8D14A">
      <w:pPr>
        <w:spacing w:line="312" w:lineRule="auto"/>
        <w:jc w:val="left"/>
        <w:rPr>
          <w:rFonts w:hint="eastAsia" w:ascii="宋体" w:hAnsi="宋体" w:cs="宋体"/>
          <w:b/>
          <w:bCs/>
          <w:color w:val="auto"/>
          <w:szCs w:val="21"/>
          <w:highlight w:val="none"/>
        </w:rPr>
      </w:pPr>
    </w:p>
    <w:p w14:paraId="34CA4E20">
      <w:pPr>
        <w:spacing w:line="312" w:lineRule="auto"/>
        <w:jc w:val="left"/>
        <w:rPr>
          <w:rFonts w:hint="eastAsia" w:ascii="宋体" w:hAnsi="宋体" w:cs="宋体"/>
          <w:b/>
          <w:bCs/>
          <w:color w:val="auto"/>
          <w:szCs w:val="21"/>
          <w:highlight w:val="none"/>
        </w:rPr>
      </w:pPr>
    </w:p>
    <w:p w14:paraId="0D00A7E9">
      <w:pPr>
        <w:spacing w:line="312" w:lineRule="auto"/>
        <w:jc w:val="left"/>
        <w:rPr>
          <w:rFonts w:hint="eastAsia" w:ascii="宋体" w:hAnsi="宋体" w:cs="宋体"/>
          <w:b/>
          <w:bCs/>
          <w:color w:val="auto"/>
          <w:szCs w:val="21"/>
          <w:highlight w:val="none"/>
        </w:rPr>
      </w:pPr>
    </w:p>
    <w:p w14:paraId="4A7175E6">
      <w:pPr>
        <w:spacing w:line="312" w:lineRule="auto"/>
        <w:jc w:val="left"/>
        <w:rPr>
          <w:rFonts w:hint="eastAsia" w:ascii="宋体" w:hAnsi="宋体" w:cs="宋体"/>
          <w:b/>
          <w:bCs/>
          <w:color w:val="auto"/>
          <w:szCs w:val="21"/>
          <w:highlight w:val="none"/>
        </w:rPr>
      </w:pPr>
    </w:p>
    <w:p w14:paraId="534AC82A">
      <w:pPr>
        <w:spacing w:line="312" w:lineRule="auto"/>
        <w:jc w:val="left"/>
        <w:rPr>
          <w:rFonts w:hint="eastAsia" w:ascii="宋体" w:hAnsi="宋体" w:cs="宋体"/>
          <w:b/>
          <w:bCs/>
          <w:color w:val="auto"/>
          <w:szCs w:val="21"/>
          <w:highlight w:val="none"/>
        </w:rPr>
      </w:pPr>
    </w:p>
    <w:p w14:paraId="7C2AA53E">
      <w:pPr>
        <w:spacing w:line="312" w:lineRule="auto"/>
        <w:jc w:val="left"/>
        <w:rPr>
          <w:rFonts w:hint="eastAsia" w:ascii="宋体" w:hAnsi="宋体" w:cs="宋体"/>
          <w:b/>
          <w:bCs/>
          <w:color w:val="auto"/>
          <w:szCs w:val="21"/>
          <w:highlight w:val="none"/>
        </w:rPr>
      </w:pPr>
    </w:p>
    <w:p w14:paraId="690DF45F">
      <w:pPr>
        <w:spacing w:line="312" w:lineRule="auto"/>
        <w:jc w:val="left"/>
        <w:rPr>
          <w:rFonts w:hint="eastAsia" w:ascii="宋体" w:hAnsi="宋体" w:cs="宋体"/>
          <w:b/>
          <w:bCs/>
          <w:color w:val="auto"/>
          <w:szCs w:val="21"/>
          <w:highlight w:val="none"/>
        </w:rPr>
      </w:pPr>
    </w:p>
    <w:p w14:paraId="10974113">
      <w:pPr>
        <w:spacing w:line="312" w:lineRule="auto"/>
        <w:jc w:val="left"/>
        <w:rPr>
          <w:rFonts w:hint="eastAsia" w:ascii="宋体" w:hAnsi="宋体" w:cs="宋体"/>
          <w:b/>
          <w:bCs/>
          <w:color w:val="auto"/>
          <w:szCs w:val="21"/>
          <w:highlight w:val="none"/>
        </w:rPr>
      </w:pPr>
    </w:p>
    <w:p w14:paraId="46B911DA">
      <w:pPr>
        <w:spacing w:line="312" w:lineRule="auto"/>
        <w:jc w:val="left"/>
        <w:rPr>
          <w:rFonts w:hint="eastAsia" w:ascii="宋体" w:hAnsi="宋体" w:cs="宋体"/>
          <w:b/>
          <w:bCs/>
          <w:color w:val="auto"/>
          <w:szCs w:val="21"/>
          <w:highlight w:val="none"/>
        </w:rPr>
      </w:pPr>
    </w:p>
    <w:p w14:paraId="5096D958">
      <w:pPr>
        <w:spacing w:line="312" w:lineRule="auto"/>
        <w:jc w:val="left"/>
        <w:rPr>
          <w:rFonts w:hint="eastAsia" w:ascii="宋体" w:hAnsi="宋体" w:cs="宋体"/>
          <w:b/>
          <w:bCs/>
          <w:color w:val="auto"/>
          <w:szCs w:val="21"/>
          <w:highlight w:val="none"/>
        </w:rPr>
      </w:pPr>
    </w:p>
    <w:p w14:paraId="7A21E667">
      <w:pPr>
        <w:spacing w:line="312" w:lineRule="auto"/>
        <w:jc w:val="left"/>
        <w:rPr>
          <w:rFonts w:hint="eastAsia" w:ascii="宋体" w:hAnsi="宋体" w:cs="宋体"/>
          <w:b/>
          <w:bCs/>
          <w:color w:val="auto"/>
          <w:szCs w:val="21"/>
          <w:highlight w:val="none"/>
        </w:rPr>
      </w:pPr>
    </w:p>
    <w:p w14:paraId="44569ED8">
      <w:pPr>
        <w:spacing w:line="312" w:lineRule="auto"/>
        <w:jc w:val="left"/>
        <w:rPr>
          <w:rFonts w:hint="eastAsia" w:ascii="宋体" w:hAnsi="宋体" w:cs="宋体"/>
          <w:b/>
          <w:bCs/>
          <w:color w:val="auto"/>
          <w:szCs w:val="21"/>
          <w:highlight w:val="none"/>
        </w:rPr>
      </w:pPr>
    </w:p>
    <w:p w14:paraId="02A657AA">
      <w:pPr>
        <w:spacing w:line="312" w:lineRule="auto"/>
        <w:jc w:val="left"/>
        <w:rPr>
          <w:rFonts w:hint="eastAsia" w:ascii="宋体" w:hAnsi="宋体" w:cs="宋体"/>
          <w:b/>
          <w:bCs/>
          <w:color w:val="auto"/>
          <w:szCs w:val="21"/>
          <w:highlight w:val="none"/>
        </w:rPr>
      </w:pPr>
    </w:p>
    <w:p w14:paraId="2A96AD41">
      <w:pPr>
        <w:spacing w:line="312" w:lineRule="auto"/>
        <w:jc w:val="left"/>
        <w:rPr>
          <w:rFonts w:hint="eastAsia" w:ascii="宋体" w:hAnsi="宋体" w:cs="宋体"/>
          <w:b/>
          <w:bCs/>
          <w:color w:val="auto"/>
          <w:szCs w:val="21"/>
          <w:highlight w:val="none"/>
        </w:rPr>
      </w:pPr>
    </w:p>
    <w:p w14:paraId="1852D137">
      <w:pPr>
        <w:spacing w:line="312" w:lineRule="auto"/>
        <w:jc w:val="left"/>
        <w:rPr>
          <w:rFonts w:hint="eastAsia" w:ascii="宋体" w:hAnsi="宋体" w:cs="宋体"/>
          <w:b/>
          <w:bCs/>
          <w:color w:val="auto"/>
          <w:szCs w:val="21"/>
          <w:highlight w:val="none"/>
        </w:rPr>
      </w:pPr>
    </w:p>
    <w:p w14:paraId="3A175DB4">
      <w:pPr>
        <w:spacing w:line="312" w:lineRule="auto"/>
        <w:jc w:val="left"/>
        <w:rPr>
          <w:rFonts w:hint="eastAsia" w:ascii="宋体" w:hAnsi="宋体" w:cs="宋体"/>
          <w:b/>
          <w:bCs/>
          <w:color w:val="auto"/>
          <w:szCs w:val="21"/>
          <w:highlight w:val="none"/>
        </w:rPr>
      </w:pPr>
    </w:p>
    <w:p w14:paraId="1C0B7AC5">
      <w:pPr>
        <w:spacing w:line="312" w:lineRule="auto"/>
        <w:jc w:val="left"/>
        <w:rPr>
          <w:rFonts w:hint="eastAsia" w:ascii="宋体" w:hAnsi="宋体" w:cs="宋体"/>
          <w:b/>
          <w:bCs/>
          <w:color w:val="auto"/>
          <w:szCs w:val="21"/>
          <w:highlight w:val="none"/>
        </w:rPr>
      </w:pPr>
    </w:p>
    <w:p w14:paraId="3F27D208">
      <w:pPr>
        <w:spacing w:line="312" w:lineRule="auto"/>
        <w:jc w:val="left"/>
        <w:rPr>
          <w:rFonts w:hint="eastAsia" w:ascii="宋体" w:hAnsi="宋体" w:cs="宋体"/>
          <w:b/>
          <w:bCs/>
          <w:color w:val="auto"/>
          <w:szCs w:val="21"/>
          <w:highlight w:val="none"/>
        </w:rPr>
      </w:pPr>
    </w:p>
    <w:p w14:paraId="5A1BD683">
      <w:pPr>
        <w:spacing w:line="312" w:lineRule="auto"/>
        <w:jc w:val="left"/>
        <w:rPr>
          <w:rFonts w:hint="eastAsia" w:ascii="宋体" w:hAnsi="宋体" w:cs="宋体"/>
          <w:b/>
          <w:bCs/>
          <w:color w:val="auto"/>
          <w:szCs w:val="21"/>
          <w:highlight w:val="none"/>
        </w:rPr>
      </w:pPr>
    </w:p>
    <w:p w14:paraId="4850A77C">
      <w:pPr>
        <w:spacing w:line="312"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附件                                    </w:t>
      </w:r>
    </w:p>
    <w:p w14:paraId="240797C0">
      <w:pPr>
        <w:spacing w:line="312" w:lineRule="auto"/>
        <w:ind w:firstLine="3373" w:firstLineChars="1600"/>
        <w:jc w:val="left"/>
        <w:rPr>
          <w:rFonts w:hint="eastAsia" w:ascii="宋体" w:hAnsi="宋体" w:cs="宋体"/>
          <w:b/>
          <w:bCs/>
          <w:color w:val="auto"/>
          <w:szCs w:val="21"/>
          <w:highlight w:val="none"/>
        </w:rPr>
      </w:pPr>
    </w:p>
    <w:p w14:paraId="2B3F5D25">
      <w:pPr>
        <w:spacing w:line="312" w:lineRule="auto"/>
        <w:ind w:firstLine="3373" w:firstLineChars="1600"/>
        <w:jc w:val="left"/>
        <w:rPr>
          <w:rFonts w:hint="eastAsia" w:ascii="宋体" w:hAnsi="宋体" w:cs="宋体"/>
          <w:b/>
          <w:bCs/>
          <w:color w:val="auto"/>
          <w:szCs w:val="21"/>
          <w:highlight w:val="none"/>
        </w:rPr>
      </w:pPr>
    </w:p>
    <w:p w14:paraId="758B767E">
      <w:pPr>
        <w:spacing w:line="312" w:lineRule="auto"/>
        <w:ind w:firstLine="3373" w:firstLineChars="1600"/>
        <w:jc w:val="lef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监狱企业证明材料</w:t>
      </w:r>
    </w:p>
    <w:p w14:paraId="2CBE4FFF">
      <w:pPr>
        <w:autoSpaceDE w:val="0"/>
        <w:autoSpaceDN w:val="0"/>
        <w:snapToGrid w:val="0"/>
        <w:spacing w:line="360" w:lineRule="auto"/>
        <w:rPr>
          <w:rFonts w:ascii="宋体" w:hAnsi="宋体"/>
          <w:color w:val="auto"/>
          <w:sz w:val="32"/>
          <w:szCs w:val="22"/>
          <w:highlight w:val="none"/>
          <w:lang w:val="zh-CN"/>
        </w:rPr>
      </w:pPr>
    </w:p>
    <w:p w14:paraId="31A2B209">
      <w:pPr>
        <w:autoSpaceDE w:val="0"/>
        <w:autoSpaceDN w:val="0"/>
        <w:spacing w:line="588" w:lineRule="exact"/>
        <w:ind w:firstLine="504"/>
        <w:rPr>
          <w:rFonts w:ascii="宋体" w:hAnsi="宋体"/>
          <w:color w:val="auto"/>
          <w:sz w:val="24"/>
          <w:szCs w:val="22"/>
          <w:highlight w:val="none"/>
          <w:lang w:val="zh-CN"/>
        </w:rPr>
      </w:pPr>
    </w:p>
    <w:p w14:paraId="6627363B">
      <w:pPr>
        <w:autoSpaceDE w:val="0"/>
        <w:autoSpaceDN w:val="0"/>
        <w:spacing w:line="588" w:lineRule="exact"/>
        <w:ind w:firstLine="504"/>
        <w:rPr>
          <w:rFonts w:ascii="宋体" w:hAnsi="宋体"/>
          <w:color w:val="auto"/>
          <w:sz w:val="24"/>
          <w:szCs w:val="22"/>
          <w:highlight w:val="none"/>
          <w:lang w:val="zh-CN"/>
        </w:rPr>
      </w:pPr>
    </w:p>
    <w:p w14:paraId="38B2B434">
      <w:pPr>
        <w:autoSpaceDE w:val="0"/>
        <w:autoSpaceDN w:val="0"/>
        <w:spacing w:line="588" w:lineRule="exact"/>
        <w:ind w:firstLine="504"/>
        <w:rPr>
          <w:rFonts w:ascii="宋体" w:hAnsi="宋体"/>
          <w:color w:val="auto"/>
          <w:sz w:val="24"/>
          <w:szCs w:val="22"/>
          <w:highlight w:val="none"/>
          <w:lang w:val="zh-CN"/>
        </w:rPr>
      </w:pPr>
    </w:p>
    <w:p w14:paraId="5E677C2A">
      <w:pPr>
        <w:tabs>
          <w:tab w:val="left" w:pos="4860"/>
        </w:tabs>
        <w:autoSpaceDE w:val="0"/>
        <w:autoSpaceDN w:val="0"/>
        <w:spacing w:line="588" w:lineRule="exact"/>
        <w:ind w:right="1560" w:firstLine="504"/>
        <w:rPr>
          <w:rFonts w:ascii="宋体" w:hAnsi="宋体"/>
          <w:color w:val="auto"/>
          <w:sz w:val="24"/>
          <w:szCs w:val="22"/>
          <w:highlight w:val="none"/>
          <w:lang w:val="zh-CN"/>
        </w:rPr>
      </w:pPr>
    </w:p>
    <w:p w14:paraId="07011BC8">
      <w:pPr>
        <w:tabs>
          <w:tab w:val="left" w:pos="4860"/>
        </w:tabs>
        <w:autoSpaceDE w:val="0"/>
        <w:autoSpaceDN w:val="0"/>
        <w:spacing w:line="360" w:lineRule="auto"/>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737FD4A0">
      <w:pPr>
        <w:autoSpaceDE w:val="0"/>
        <w:autoSpaceDN w:val="0"/>
        <w:spacing w:line="360" w:lineRule="auto"/>
        <w:ind w:right="800" w:firstLine="7455" w:firstLineChars="3550"/>
        <w:rPr>
          <w:rFonts w:ascii="宋体" w:hAnsi="宋体"/>
          <w:color w:val="auto"/>
          <w:szCs w:val="21"/>
          <w:highlight w:val="none"/>
          <w:lang w:val="zh-CN"/>
        </w:rPr>
      </w:pPr>
    </w:p>
    <w:p w14:paraId="1A658EDC">
      <w:pPr>
        <w:autoSpaceDE w:val="0"/>
        <w:autoSpaceDN w:val="0"/>
        <w:spacing w:line="360" w:lineRule="auto"/>
        <w:ind w:right="800" w:firstLine="7455" w:firstLineChars="3550"/>
        <w:rPr>
          <w:rFonts w:ascii="宋体" w:hAnsi="宋体"/>
          <w:color w:val="auto"/>
          <w:szCs w:val="21"/>
          <w:highlight w:val="none"/>
        </w:rPr>
      </w:pPr>
      <w:r>
        <w:rPr>
          <w:rFonts w:ascii="宋体" w:hAnsi="宋体"/>
          <w:color w:val="auto"/>
          <w:szCs w:val="21"/>
          <w:highlight w:val="none"/>
          <w:lang w:val="zh-CN"/>
        </w:rPr>
        <w:t>日期：</w:t>
      </w:r>
    </w:p>
    <w:p w14:paraId="0D445FBB">
      <w:pPr>
        <w:autoSpaceDE w:val="0"/>
        <w:autoSpaceDN w:val="0"/>
        <w:spacing w:line="640" w:lineRule="exact"/>
        <w:rPr>
          <w:rFonts w:ascii="宋体" w:hAnsi="宋体"/>
          <w:color w:val="auto"/>
          <w:sz w:val="24"/>
          <w:szCs w:val="22"/>
          <w:highlight w:val="none"/>
          <w:lang w:val="zh-CN"/>
        </w:rPr>
      </w:pPr>
    </w:p>
    <w:p w14:paraId="2DE570B4">
      <w:pPr>
        <w:widowControl/>
        <w:spacing w:line="600" w:lineRule="exact"/>
        <w:jc w:val="both"/>
        <w:rPr>
          <w:rFonts w:ascii="宋体" w:hAnsi="宋体" w:eastAsia="宋体" w:cs="Times New Roman"/>
          <w:color w:val="auto"/>
          <w:sz w:val="22"/>
          <w:szCs w:val="21"/>
          <w:highlight w:val="none"/>
        </w:rPr>
      </w:pPr>
      <w:r>
        <w:rPr>
          <w:rFonts w:ascii="宋体" w:hAnsi="宋体" w:eastAsia="宋体" w:cs="Times New Roman"/>
          <w:color w:val="auto"/>
          <w:sz w:val="22"/>
          <w:szCs w:val="21"/>
          <w:highlight w:val="none"/>
        </w:rPr>
        <w:t>备注：若有，后附行政主管部门出具的证明材料原件扫描件</w:t>
      </w:r>
      <w:r>
        <w:rPr>
          <w:rFonts w:ascii="宋体" w:hAnsi="宋体"/>
          <w:color w:val="auto"/>
          <w:sz w:val="22"/>
          <w:szCs w:val="21"/>
          <w:highlight w:val="none"/>
        </w:rPr>
        <w:t>，否则不给予价格扣除。</w:t>
      </w:r>
    </w:p>
    <w:p w14:paraId="09A61E71">
      <w:pPr>
        <w:spacing w:line="360" w:lineRule="auto"/>
        <w:ind w:firstLine="480" w:firstLineChars="200"/>
        <w:jc w:val="distribute"/>
        <w:rPr>
          <w:rFonts w:ascii="宋体" w:hAnsi="宋体"/>
          <w:color w:val="auto"/>
          <w:sz w:val="24"/>
          <w:szCs w:val="22"/>
          <w:highlight w:val="none"/>
        </w:rPr>
      </w:pPr>
      <w:r>
        <w:rPr>
          <w:rFonts w:ascii="宋体" w:hAnsi="宋体"/>
          <w:color w:val="auto"/>
          <w:sz w:val="24"/>
          <w:szCs w:val="22"/>
          <w:highlight w:val="none"/>
        </w:rPr>
        <w:br w:type="page"/>
      </w:r>
    </w:p>
    <w:p w14:paraId="418D27B9">
      <w:pPr>
        <w:spacing w:line="312" w:lineRule="auto"/>
        <w:jc w:val="center"/>
        <w:rPr>
          <w:rFonts w:ascii="宋体" w:hAnsi="宋体" w:cs="宋体"/>
          <w:b/>
          <w:bCs/>
          <w:color w:val="auto"/>
          <w:szCs w:val="21"/>
          <w:highlight w:val="none"/>
        </w:rPr>
      </w:pPr>
      <w:r>
        <w:rPr>
          <w:rFonts w:ascii="宋体" w:hAnsi="宋体" w:cs="宋体"/>
          <w:b/>
          <w:bCs/>
          <w:color w:val="auto"/>
          <w:szCs w:val="21"/>
          <w:highlight w:val="none"/>
        </w:rPr>
        <w:t>残疾人福利性单位声明函</w:t>
      </w:r>
    </w:p>
    <w:p w14:paraId="615B0AE3">
      <w:pPr>
        <w:spacing w:line="588" w:lineRule="exact"/>
        <w:rPr>
          <w:rFonts w:ascii="宋体" w:hAnsi="宋体"/>
          <w:color w:val="auto"/>
          <w:spacing w:val="6"/>
          <w:sz w:val="30"/>
          <w:szCs w:val="30"/>
          <w:highlight w:val="none"/>
        </w:rPr>
      </w:pPr>
    </w:p>
    <w:p w14:paraId="638711AE">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A2F6B">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522BECA8">
      <w:pPr>
        <w:spacing w:line="588" w:lineRule="exact"/>
        <w:ind w:firstLine="444" w:firstLineChars="200"/>
        <w:rPr>
          <w:rFonts w:ascii="宋体" w:hAnsi="宋体"/>
          <w:color w:val="auto"/>
          <w:spacing w:val="6"/>
          <w:szCs w:val="21"/>
          <w:highlight w:val="none"/>
        </w:rPr>
      </w:pPr>
    </w:p>
    <w:p w14:paraId="208647AC">
      <w:pPr>
        <w:spacing w:line="588" w:lineRule="exact"/>
        <w:ind w:firstLine="444" w:firstLineChars="200"/>
        <w:rPr>
          <w:rFonts w:ascii="宋体" w:hAnsi="宋体"/>
          <w:color w:val="auto"/>
          <w:spacing w:val="6"/>
          <w:szCs w:val="21"/>
          <w:highlight w:val="none"/>
        </w:rPr>
      </w:pPr>
    </w:p>
    <w:p w14:paraId="3543E183">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7FAE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5F1B1EF3">
      <w:pPr>
        <w:autoSpaceDE w:val="0"/>
        <w:autoSpaceDN w:val="0"/>
        <w:spacing w:line="360" w:lineRule="auto"/>
        <w:ind w:firstLine="5160" w:firstLineChars="2150"/>
        <w:rPr>
          <w:rFonts w:ascii="宋体" w:hAnsi="宋体"/>
          <w:color w:val="auto"/>
          <w:sz w:val="24"/>
          <w:szCs w:val="22"/>
          <w:highlight w:val="none"/>
          <w:lang w:val="zh-CN"/>
        </w:rPr>
      </w:pPr>
    </w:p>
    <w:p w14:paraId="10CD700D">
      <w:pPr>
        <w:widowControl/>
        <w:spacing w:line="600" w:lineRule="exact"/>
        <w:jc w:val="center"/>
        <w:rPr>
          <w:rFonts w:ascii="宋体" w:hAnsi="宋体" w:cs="宋体"/>
          <w:color w:val="auto"/>
          <w:kern w:val="0"/>
          <w:szCs w:val="21"/>
          <w:highlight w:val="none"/>
        </w:rPr>
      </w:pPr>
      <w:r>
        <w:rPr>
          <w:rFonts w:ascii="宋体" w:hAnsi="宋体"/>
          <w:color w:val="auto"/>
          <w:sz w:val="22"/>
          <w:szCs w:val="21"/>
          <w:highlight w:val="none"/>
        </w:rPr>
        <w:t>备注：若有，后附行政主管部门出具的证明材料原件扫描件，否则不给予价格扣除。</w:t>
      </w:r>
      <w:r>
        <w:rPr>
          <w:rFonts w:hint="eastAsia" w:ascii="宋体" w:hAnsi="宋体" w:cs="宋体"/>
          <w:color w:val="auto"/>
          <w:sz w:val="20"/>
          <w:highlight w:val="none"/>
        </w:rPr>
        <w:br w:type="page"/>
      </w:r>
      <w:r>
        <w:rPr>
          <w:rFonts w:hint="eastAsia" w:ascii="宋体" w:hAnsi="宋体" w:cs="宋体"/>
          <w:color w:val="auto"/>
          <w:kern w:val="0"/>
          <w:szCs w:val="21"/>
          <w:highlight w:val="none"/>
        </w:rPr>
        <w:t>统计上大中小微型企业划分标准</w:t>
      </w:r>
    </w:p>
    <w:tbl>
      <w:tblPr>
        <w:tblStyle w:val="50"/>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15"/>
        <w:gridCol w:w="727"/>
        <w:gridCol w:w="1338"/>
        <w:gridCol w:w="1943"/>
        <w:gridCol w:w="1650"/>
        <w:gridCol w:w="975"/>
      </w:tblGrid>
      <w:tr w14:paraId="0D12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965" w:type="dxa"/>
            <w:vAlign w:val="center"/>
          </w:tcPr>
          <w:p w14:paraId="15CB3020">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615" w:type="dxa"/>
            <w:vAlign w:val="center"/>
          </w:tcPr>
          <w:p w14:paraId="514E71C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727" w:type="dxa"/>
            <w:vAlign w:val="center"/>
          </w:tcPr>
          <w:p w14:paraId="2D81D869">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14:paraId="4D64F0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38" w:type="dxa"/>
            <w:vAlign w:val="center"/>
          </w:tcPr>
          <w:p w14:paraId="2E15E9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943" w:type="dxa"/>
            <w:vAlign w:val="center"/>
          </w:tcPr>
          <w:p w14:paraId="0D0D7A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650" w:type="dxa"/>
            <w:vAlign w:val="center"/>
          </w:tcPr>
          <w:p w14:paraId="1151620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975" w:type="dxa"/>
            <w:vAlign w:val="center"/>
          </w:tcPr>
          <w:p w14:paraId="58C949C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1DB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Align w:val="center"/>
          </w:tcPr>
          <w:p w14:paraId="032334C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615" w:type="dxa"/>
            <w:vAlign w:val="center"/>
          </w:tcPr>
          <w:p w14:paraId="77D8C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FDA0E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9FA30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CD23A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3500C9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975" w:type="dxa"/>
            <w:vAlign w:val="center"/>
          </w:tcPr>
          <w:p w14:paraId="2625BF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6A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800F31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615" w:type="dxa"/>
            <w:vAlign w:val="center"/>
          </w:tcPr>
          <w:p w14:paraId="07B007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18AF0B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B2771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B5A2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1DE2D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0FE93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A2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965" w:type="dxa"/>
            <w:vMerge w:val="continue"/>
            <w:vAlign w:val="center"/>
          </w:tcPr>
          <w:p w14:paraId="74F286DE">
            <w:pPr>
              <w:widowControl/>
              <w:jc w:val="left"/>
              <w:rPr>
                <w:rFonts w:ascii="宋体" w:hAnsi="宋体" w:cs="宋体"/>
                <w:color w:val="auto"/>
                <w:kern w:val="0"/>
                <w:szCs w:val="21"/>
                <w:highlight w:val="none"/>
              </w:rPr>
            </w:pPr>
          </w:p>
        </w:tc>
        <w:tc>
          <w:tcPr>
            <w:tcW w:w="1615" w:type="dxa"/>
            <w:vAlign w:val="center"/>
          </w:tcPr>
          <w:p w14:paraId="1D2E93EC">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20AB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411E5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42F139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50" w:type="dxa"/>
            <w:vAlign w:val="center"/>
          </w:tcPr>
          <w:p w14:paraId="3ED7D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975" w:type="dxa"/>
            <w:vAlign w:val="center"/>
          </w:tcPr>
          <w:p w14:paraId="33B88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1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restart"/>
            <w:vAlign w:val="center"/>
          </w:tcPr>
          <w:p w14:paraId="7CDC908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615" w:type="dxa"/>
            <w:vAlign w:val="center"/>
          </w:tcPr>
          <w:p w14:paraId="0EDE9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760F6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A5D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943" w:type="dxa"/>
            <w:vAlign w:val="center"/>
          </w:tcPr>
          <w:p w14:paraId="035ED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50" w:type="dxa"/>
            <w:vAlign w:val="center"/>
          </w:tcPr>
          <w:p w14:paraId="43129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975" w:type="dxa"/>
            <w:vAlign w:val="center"/>
          </w:tcPr>
          <w:p w14:paraId="5E4518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CE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continue"/>
            <w:vAlign w:val="center"/>
          </w:tcPr>
          <w:p w14:paraId="2B2F7B11">
            <w:pPr>
              <w:widowControl/>
              <w:jc w:val="left"/>
              <w:rPr>
                <w:rFonts w:ascii="宋体" w:hAnsi="宋体" w:cs="宋体"/>
                <w:color w:val="auto"/>
                <w:kern w:val="0"/>
                <w:szCs w:val="21"/>
                <w:highlight w:val="none"/>
              </w:rPr>
            </w:pPr>
          </w:p>
        </w:tc>
        <w:tc>
          <w:tcPr>
            <w:tcW w:w="1615" w:type="dxa"/>
            <w:vAlign w:val="center"/>
          </w:tcPr>
          <w:p w14:paraId="1220F51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25320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1482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943" w:type="dxa"/>
            <w:vAlign w:val="center"/>
          </w:tcPr>
          <w:p w14:paraId="0EA3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50" w:type="dxa"/>
            <w:vAlign w:val="center"/>
          </w:tcPr>
          <w:p w14:paraId="3962CE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975" w:type="dxa"/>
            <w:vAlign w:val="center"/>
          </w:tcPr>
          <w:p w14:paraId="4C704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5C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9B113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615" w:type="dxa"/>
            <w:vAlign w:val="center"/>
          </w:tcPr>
          <w:p w14:paraId="3C854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6386F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1DCB4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684573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50" w:type="dxa"/>
            <w:vAlign w:val="center"/>
          </w:tcPr>
          <w:p w14:paraId="3B102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975" w:type="dxa"/>
            <w:vAlign w:val="center"/>
          </w:tcPr>
          <w:p w14:paraId="0C5DF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A1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76B67B12">
            <w:pPr>
              <w:widowControl/>
              <w:jc w:val="left"/>
              <w:rPr>
                <w:rFonts w:ascii="宋体" w:hAnsi="宋体" w:cs="宋体"/>
                <w:color w:val="auto"/>
                <w:kern w:val="0"/>
                <w:szCs w:val="21"/>
                <w:highlight w:val="none"/>
              </w:rPr>
            </w:pPr>
          </w:p>
        </w:tc>
        <w:tc>
          <w:tcPr>
            <w:tcW w:w="1615" w:type="dxa"/>
            <w:vAlign w:val="center"/>
          </w:tcPr>
          <w:p w14:paraId="7F2CFA25">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5E7C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3E1F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6C124A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50" w:type="dxa"/>
            <w:vAlign w:val="center"/>
          </w:tcPr>
          <w:p w14:paraId="540689F9">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75" w:type="dxa"/>
            <w:vAlign w:val="center"/>
          </w:tcPr>
          <w:p w14:paraId="754FE2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18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06FAB34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615" w:type="dxa"/>
            <w:vAlign w:val="center"/>
          </w:tcPr>
          <w:p w14:paraId="36381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57DD8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F2636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E728C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50" w:type="dxa"/>
            <w:vAlign w:val="center"/>
          </w:tcPr>
          <w:p w14:paraId="60B27973">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975" w:type="dxa"/>
            <w:vAlign w:val="center"/>
          </w:tcPr>
          <w:p w14:paraId="49BFD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34B0548">
            <w:pPr>
              <w:widowControl/>
              <w:jc w:val="left"/>
              <w:rPr>
                <w:rFonts w:ascii="宋体" w:hAnsi="宋体" w:cs="宋体"/>
                <w:color w:val="auto"/>
                <w:kern w:val="0"/>
                <w:szCs w:val="21"/>
                <w:highlight w:val="none"/>
              </w:rPr>
            </w:pPr>
          </w:p>
        </w:tc>
        <w:tc>
          <w:tcPr>
            <w:tcW w:w="1615" w:type="dxa"/>
            <w:vAlign w:val="center"/>
          </w:tcPr>
          <w:p w14:paraId="79D4EA6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B53DE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12A7A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A791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0DAAA9B0">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975" w:type="dxa"/>
            <w:vAlign w:val="center"/>
          </w:tcPr>
          <w:p w14:paraId="1AAA8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05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0F178C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615" w:type="dxa"/>
            <w:vAlign w:val="center"/>
          </w:tcPr>
          <w:p w14:paraId="3CFBB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6D7E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9599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1D57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3CEA66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6FFF2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0A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87C1E05">
            <w:pPr>
              <w:widowControl/>
              <w:jc w:val="left"/>
              <w:rPr>
                <w:rFonts w:ascii="宋体" w:hAnsi="宋体" w:cs="宋体"/>
                <w:color w:val="auto"/>
                <w:kern w:val="0"/>
                <w:szCs w:val="21"/>
                <w:highlight w:val="none"/>
              </w:rPr>
            </w:pPr>
          </w:p>
        </w:tc>
        <w:tc>
          <w:tcPr>
            <w:tcW w:w="1615" w:type="dxa"/>
            <w:vAlign w:val="center"/>
          </w:tcPr>
          <w:p w14:paraId="5705B8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C101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288A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7577E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50" w:type="dxa"/>
            <w:vAlign w:val="center"/>
          </w:tcPr>
          <w:p w14:paraId="1B3711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975" w:type="dxa"/>
            <w:vAlign w:val="center"/>
          </w:tcPr>
          <w:p w14:paraId="4A644A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080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6BDFA12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615" w:type="dxa"/>
            <w:vAlign w:val="center"/>
          </w:tcPr>
          <w:p w14:paraId="20AE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4849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4E4169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3DD38C4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50" w:type="dxa"/>
            <w:vAlign w:val="center"/>
          </w:tcPr>
          <w:p w14:paraId="092C7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975" w:type="dxa"/>
            <w:vAlign w:val="center"/>
          </w:tcPr>
          <w:p w14:paraId="141E28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16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6E3170A7">
            <w:pPr>
              <w:widowControl/>
              <w:jc w:val="left"/>
              <w:rPr>
                <w:rFonts w:ascii="宋体" w:hAnsi="宋体" w:cs="宋体"/>
                <w:color w:val="auto"/>
                <w:kern w:val="0"/>
                <w:szCs w:val="21"/>
                <w:highlight w:val="none"/>
              </w:rPr>
            </w:pPr>
          </w:p>
        </w:tc>
        <w:tc>
          <w:tcPr>
            <w:tcW w:w="1615" w:type="dxa"/>
            <w:vAlign w:val="center"/>
          </w:tcPr>
          <w:p w14:paraId="14E05CD0">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F604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FF13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45B94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50" w:type="dxa"/>
            <w:vAlign w:val="center"/>
          </w:tcPr>
          <w:p w14:paraId="0C6B7F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7F84B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71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74DBE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615" w:type="dxa"/>
            <w:vAlign w:val="center"/>
          </w:tcPr>
          <w:p w14:paraId="3C6562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2A90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2F8E2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4AA8E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5793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537BE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83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ED1B6C8">
            <w:pPr>
              <w:widowControl/>
              <w:jc w:val="left"/>
              <w:rPr>
                <w:rFonts w:ascii="宋体" w:hAnsi="宋体" w:cs="宋体"/>
                <w:color w:val="auto"/>
                <w:kern w:val="0"/>
                <w:szCs w:val="21"/>
                <w:highlight w:val="none"/>
              </w:rPr>
            </w:pPr>
          </w:p>
        </w:tc>
        <w:tc>
          <w:tcPr>
            <w:tcW w:w="1615" w:type="dxa"/>
            <w:vAlign w:val="center"/>
          </w:tcPr>
          <w:p w14:paraId="664F3C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835D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A6252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535D2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50" w:type="dxa"/>
            <w:vAlign w:val="center"/>
          </w:tcPr>
          <w:p w14:paraId="5C09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02912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F15D33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615" w:type="dxa"/>
            <w:vAlign w:val="center"/>
          </w:tcPr>
          <w:p w14:paraId="3414A3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7C3A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8F307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657301D6">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79A94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7803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E5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19C7C48F">
            <w:pPr>
              <w:widowControl/>
              <w:jc w:val="left"/>
              <w:rPr>
                <w:rFonts w:ascii="宋体" w:hAnsi="宋体" w:cs="宋体"/>
                <w:color w:val="auto"/>
                <w:kern w:val="0"/>
                <w:szCs w:val="21"/>
                <w:highlight w:val="none"/>
              </w:rPr>
            </w:pPr>
          </w:p>
        </w:tc>
        <w:tc>
          <w:tcPr>
            <w:tcW w:w="1615" w:type="dxa"/>
            <w:vAlign w:val="center"/>
          </w:tcPr>
          <w:p w14:paraId="17CD6F8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282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64D66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43C8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54B01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2B2D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1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EB45EC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615" w:type="dxa"/>
            <w:vAlign w:val="center"/>
          </w:tcPr>
          <w:p w14:paraId="09A34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18EE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BF95A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5D0DB07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32775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5C4B21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D683282">
            <w:pPr>
              <w:widowControl/>
              <w:jc w:val="left"/>
              <w:rPr>
                <w:rFonts w:ascii="宋体" w:hAnsi="宋体" w:cs="宋体"/>
                <w:color w:val="auto"/>
                <w:kern w:val="0"/>
                <w:szCs w:val="21"/>
                <w:highlight w:val="none"/>
              </w:rPr>
            </w:pPr>
          </w:p>
        </w:tc>
        <w:tc>
          <w:tcPr>
            <w:tcW w:w="1615" w:type="dxa"/>
            <w:vAlign w:val="center"/>
          </w:tcPr>
          <w:p w14:paraId="24EE50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EE29C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10FE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E5BC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15A816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7C4E83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D4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FBBBE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615" w:type="dxa"/>
            <w:vAlign w:val="center"/>
          </w:tcPr>
          <w:p w14:paraId="2978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56BB3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1D560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943" w:type="dxa"/>
            <w:vAlign w:val="center"/>
          </w:tcPr>
          <w:p w14:paraId="7DE24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50" w:type="dxa"/>
            <w:vAlign w:val="center"/>
          </w:tcPr>
          <w:p w14:paraId="7372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4DD2A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89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2D0F9020">
            <w:pPr>
              <w:widowControl/>
              <w:jc w:val="left"/>
              <w:rPr>
                <w:rFonts w:ascii="宋体" w:hAnsi="宋体" w:cs="宋体"/>
                <w:color w:val="auto"/>
                <w:kern w:val="0"/>
                <w:szCs w:val="21"/>
                <w:highlight w:val="none"/>
              </w:rPr>
            </w:pPr>
          </w:p>
        </w:tc>
        <w:tc>
          <w:tcPr>
            <w:tcW w:w="1615" w:type="dxa"/>
            <w:vAlign w:val="center"/>
          </w:tcPr>
          <w:p w14:paraId="0EA46AFD">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1A4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37A2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943" w:type="dxa"/>
            <w:vAlign w:val="center"/>
          </w:tcPr>
          <w:p w14:paraId="53F60F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650" w:type="dxa"/>
            <w:vAlign w:val="center"/>
          </w:tcPr>
          <w:p w14:paraId="7CD9B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6D820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81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441114DA">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615" w:type="dxa"/>
            <w:vAlign w:val="center"/>
          </w:tcPr>
          <w:p w14:paraId="1DEA1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C74A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9AAF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A2F11F4">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45053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01A8D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4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16B0A3DA">
            <w:pPr>
              <w:widowControl/>
              <w:jc w:val="left"/>
              <w:rPr>
                <w:rFonts w:ascii="宋体" w:hAnsi="宋体" w:cs="宋体"/>
                <w:color w:val="auto"/>
                <w:spacing w:val="-12"/>
                <w:kern w:val="0"/>
                <w:szCs w:val="21"/>
                <w:highlight w:val="none"/>
              </w:rPr>
            </w:pPr>
          </w:p>
        </w:tc>
        <w:tc>
          <w:tcPr>
            <w:tcW w:w="1615" w:type="dxa"/>
            <w:vAlign w:val="center"/>
          </w:tcPr>
          <w:p w14:paraId="2B719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1DDA3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4D74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3C413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50" w:type="dxa"/>
            <w:vAlign w:val="center"/>
          </w:tcPr>
          <w:p w14:paraId="3CBDF2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975" w:type="dxa"/>
            <w:vAlign w:val="center"/>
          </w:tcPr>
          <w:p w14:paraId="48A1F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9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354BB72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615" w:type="dxa"/>
            <w:vAlign w:val="center"/>
          </w:tcPr>
          <w:p w14:paraId="4E7E9B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4A429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A08B9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943" w:type="dxa"/>
            <w:vAlign w:val="center"/>
          </w:tcPr>
          <w:p w14:paraId="1BC93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650" w:type="dxa"/>
            <w:vAlign w:val="center"/>
          </w:tcPr>
          <w:p w14:paraId="3BD87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0AE65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50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33D53088">
            <w:pPr>
              <w:widowControl/>
              <w:jc w:val="left"/>
              <w:rPr>
                <w:rFonts w:ascii="宋体" w:hAnsi="宋体" w:cs="宋体"/>
                <w:color w:val="auto"/>
                <w:kern w:val="0"/>
                <w:szCs w:val="21"/>
                <w:highlight w:val="none"/>
              </w:rPr>
            </w:pPr>
          </w:p>
        </w:tc>
        <w:tc>
          <w:tcPr>
            <w:tcW w:w="1615" w:type="dxa"/>
            <w:vAlign w:val="center"/>
          </w:tcPr>
          <w:p w14:paraId="0F49322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6C2A4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C9A1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943" w:type="dxa"/>
            <w:vAlign w:val="center"/>
          </w:tcPr>
          <w:p w14:paraId="49291A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50" w:type="dxa"/>
            <w:vAlign w:val="center"/>
          </w:tcPr>
          <w:p w14:paraId="1D0CC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975" w:type="dxa"/>
            <w:vAlign w:val="center"/>
          </w:tcPr>
          <w:p w14:paraId="3FBA0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78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113566D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615" w:type="dxa"/>
            <w:vAlign w:val="center"/>
          </w:tcPr>
          <w:p w14:paraId="59403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18B7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72C6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2C869E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4FC3B8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975" w:type="dxa"/>
            <w:vAlign w:val="center"/>
          </w:tcPr>
          <w:p w14:paraId="45BE2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0E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79B9CD42">
            <w:pPr>
              <w:widowControl/>
              <w:jc w:val="left"/>
              <w:rPr>
                <w:rFonts w:ascii="宋体" w:hAnsi="宋体" w:cs="宋体"/>
                <w:color w:val="auto"/>
                <w:kern w:val="0"/>
                <w:szCs w:val="21"/>
                <w:highlight w:val="none"/>
              </w:rPr>
            </w:pPr>
          </w:p>
        </w:tc>
        <w:tc>
          <w:tcPr>
            <w:tcW w:w="1615" w:type="dxa"/>
            <w:vAlign w:val="center"/>
          </w:tcPr>
          <w:p w14:paraId="2E8630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19E56B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E39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943" w:type="dxa"/>
            <w:vAlign w:val="center"/>
          </w:tcPr>
          <w:p w14:paraId="43AC8119">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650" w:type="dxa"/>
            <w:vAlign w:val="center"/>
          </w:tcPr>
          <w:p w14:paraId="348AE6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975" w:type="dxa"/>
            <w:vAlign w:val="center"/>
          </w:tcPr>
          <w:p w14:paraId="44E8B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551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6139D87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615" w:type="dxa"/>
            <w:vAlign w:val="center"/>
          </w:tcPr>
          <w:p w14:paraId="713C4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745BD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C64B8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0DE58CF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24AC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634FE2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0F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561E943B">
            <w:pPr>
              <w:widowControl/>
              <w:jc w:val="left"/>
              <w:rPr>
                <w:rFonts w:ascii="宋体" w:hAnsi="宋体" w:cs="宋体"/>
                <w:color w:val="auto"/>
                <w:kern w:val="0"/>
                <w:szCs w:val="21"/>
                <w:highlight w:val="none"/>
              </w:rPr>
            </w:pPr>
          </w:p>
        </w:tc>
        <w:tc>
          <w:tcPr>
            <w:tcW w:w="1615" w:type="dxa"/>
            <w:vAlign w:val="center"/>
          </w:tcPr>
          <w:p w14:paraId="56F1155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48748C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FEF7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943" w:type="dxa"/>
            <w:vAlign w:val="center"/>
          </w:tcPr>
          <w:p w14:paraId="35378B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650" w:type="dxa"/>
            <w:vAlign w:val="center"/>
          </w:tcPr>
          <w:p w14:paraId="27F55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975" w:type="dxa"/>
            <w:vAlign w:val="center"/>
          </w:tcPr>
          <w:p w14:paraId="3BC0A6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27E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65" w:type="dxa"/>
            <w:vAlign w:val="center"/>
          </w:tcPr>
          <w:p w14:paraId="59200DC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615" w:type="dxa"/>
            <w:vAlign w:val="center"/>
          </w:tcPr>
          <w:p w14:paraId="6C729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E9F31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8CF6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82C479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B0D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1884A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6FCBFD86">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2D2DA18">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1.大型、中型和小型企业应同时满足所列指标的下限，否则下划一档；微型企业只应满足所列指标中的一项即可。</w:t>
      </w:r>
    </w:p>
    <w:p w14:paraId="7CEF0245">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3FDFC4">
      <w:pPr>
        <w:spacing w:line="360" w:lineRule="auto"/>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DAB833">
      <w:pPr>
        <w:pStyle w:val="13"/>
        <w:ind w:left="0" w:leftChars="0"/>
        <w:rPr>
          <w:rFonts w:ascii="宋体" w:hAnsi="宋体" w:cs="宋体"/>
          <w:color w:val="auto"/>
          <w:sz w:val="21"/>
          <w:szCs w:val="21"/>
          <w:highlight w:val="none"/>
        </w:rPr>
      </w:pPr>
    </w:p>
    <w:p w14:paraId="7EB6B6E7">
      <w:pPr>
        <w:spacing w:line="360" w:lineRule="auto"/>
        <w:rPr>
          <w:rFonts w:ascii="宋体" w:hAnsi="宋体" w:cs="宋体"/>
          <w:color w:val="auto"/>
          <w:szCs w:val="21"/>
          <w:highlight w:val="none"/>
        </w:rPr>
      </w:pPr>
    </w:p>
    <w:p w14:paraId="2A8EA35A">
      <w:pPr>
        <w:pStyle w:val="49"/>
        <w:tabs>
          <w:tab w:val="left" w:pos="360"/>
        </w:tabs>
        <w:spacing w:line="360" w:lineRule="auto"/>
        <w:rPr>
          <w:rFonts w:ascii="宋体" w:hAnsi="宋体" w:cs="宋体"/>
          <w:color w:val="auto"/>
          <w:szCs w:val="21"/>
          <w:highlight w:val="none"/>
        </w:rPr>
      </w:pPr>
    </w:p>
    <w:p w14:paraId="08680821">
      <w:pPr>
        <w:pStyle w:val="49"/>
        <w:tabs>
          <w:tab w:val="left" w:pos="360"/>
        </w:tabs>
        <w:spacing w:line="360" w:lineRule="auto"/>
        <w:rPr>
          <w:rFonts w:ascii="宋体" w:hAnsi="宋体" w:cs="宋体"/>
          <w:color w:val="auto"/>
          <w:szCs w:val="21"/>
          <w:highlight w:val="none"/>
        </w:rPr>
      </w:pPr>
    </w:p>
    <w:p w14:paraId="1250CAFE">
      <w:pPr>
        <w:pStyle w:val="49"/>
        <w:tabs>
          <w:tab w:val="left" w:pos="360"/>
        </w:tabs>
        <w:spacing w:line="360" w:lineRule="auto"/>
        <w:rPr>
          <w:rFonts w:ascii="宋体" w:hAnsi="宋体" w:cs="宋体"/>
          <w:color w:val="auto"/>
          <w:szCs w:val="21"/>
          <w:highlight w:val="none"/>
        </w:rPr>
      </w:pPr>
    </w:p>
    <w:p w14:paraId="77BFBB66">
      <w:pPr>
        <w:pStyle w:val="49"/>
        <w:tabs>
          <w:tab w:val="left" w:pos="360"/>
        </w:tabs>
        <w:spacing w:line="360" w:lineRule="auto"/>
        <w:rPr>
          <w:rFonts w:ascii="宋体" w:hAnsi="宋体" w:cs="宋体"/>
          <w:color w:val="auto"/>
          <w:szCs w:val="21"/>
          <w:highlight w:val="none"/>
        </w:rPr>
      </w:pPr>
    </w:p>
    <w:p w14:paraId="3FC40018">
      <w:pPr>
        <w:pStyle w:val="49"/>
        <w:tabs>
          <w:tab w:val="left" w:pos="360"/>
        </w:tabs>
        <w:spacing w:line="360" w:lineRule="auto"/>
        <w:rPr>
          <w:rFonts w:ascii="宋体" w:hAnsi="宋体" w:cs="宋体"/>
          <w:color w:val="auto"/>
          <w:szCs w:val="21"/>
          <w:highlight w:val="none"/>
        </w:rPr>
      </w:pPr>
    </w:p>
    <w:p w14:paraId="6F3C6096">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3634AB5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《统计上大中小微型企业划分办法（2017）》修订说明</w:t>
      </w:r>
    </w:p>
    <w:p w14:paraId="2A8A6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一、修订背景</w:t>
      </w:r>
    </w:p>
    <w:p w14:paraId="69829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7C1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CEE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二、修订主要内容</w:t>
      </w:r>
    </w:p>
    <w:p w14:paraId="7109B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依据标准由《国民经济行业分类》（GB/T 4754—2011）修改为《国民经济行业分类》（GB/T 4754—2017），并根据新旧国民经济行业的对应关系，进行了行业所包含类别的对应调整。</w:t>
      </w:r>
    </w:p>
    <w:p w14:paraId="5C20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将交通运输业中包括的“装卸搬运和运输代理业”修改为“多式联运和运输代理业、装卸搬运”。</w:t>
      </w:r>
    </w:p>
    <w:p w14:paraId="2FCAD532">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仓储业所包括的行业中类，根据《国民经济行业分类》</w:t>
      </w:r>
      <w:r>
        <w:rPr>
          <w:rFonts w:hint="eastAsia" w:ascii="宋体" w:hAnsi="宋体" w:cs="宋体"/>
          <w:color w:val="auto"/>
          <w:szCs w:val="21"/>
          <w:highlight w:val="none"/>
        </w:rPr>
        <w:t>（GB/T 4754—2017）</w:t>
      </w:r>
      <w:r>
        <w:rPr>
          <w:rFonts w:hint="eastAsia" w:ascii="宋体" w:hAnsi="宋体" w:cs="宋体"/>
          <w:color w:val="auto"/>
          <w:spacing w:val="8"/>
          <w:kern w:val="0"/>
          <w:szCs w:val="21"/>
          <w:highlight w:val="none"/>
        </w:rPr>
        <w:t>调整为“通用仓储，低温仓储，危险品仓储，谷物、棉花等农产品仓储，中药材仓储和其他仓储业”。</w:t>
      </w:r>
    </w:p>
    <w:p w14:paraId="72D537F1">
      <w:pPr>
        <w:spacing w:line="360" w:lineRule="auto"/>
        <w:jc w:val="center"/>
        <w:rPr>
          <w:rFonts w:ascii="宋体" w:hAnsi="Courier New" w:eastAsia="黑体" w:cs="Century"/>
          <w:b/>
          <w:bCs/>
          <w:color w:val="auto"/>
          <w:sz w:val="36"/>
          <w:szCs w:val="36"/>
          <w:highlight w:val="none"/>
          <w:lang w:val="zh-CN"/>
        </w:rPr>
      </w:pPr>
    </w:p>
    <w:p w14:paraId="6DBCD131">
      <w:pPr>
        <w:pStyle w:val="49"/>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6782D489">
      <w:pPr>
        <w:pStyle w:val="49"/>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4BD663E8">
      <w:pPr>
        <w:pStyle w:val="49"/>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3738663B">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6061E2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《中小企业划型标准规定（修订征求意见稿）》</w:t>
      </w:r>
    </w:p>
    <w:p w14:paraId="7DABBB22">
      <w:pPr>
        <w:spacing w:line="360" w:lineRule="auto"/>
        <w:ind w:firstLine="420" w:firstLineChars="200"/>
        <w:rPr>
          <w:rFonts w:ascii="宋体" w:hAnsi="宋体" w:cs="宋体"/>
          <w:color w:val="auto"/>
          <w:szCs w:val="21"/>
          <w:highlight w:val="none"/>
        </w:rPr>
      </w:pPr>
    </w:p>
    <w:p w14:paraId="58233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一、根据《中华人民共和国中小企业促进法》和国民经济社会发展需要，制定本规定。</w:t>
      </w:r>
    </w:p>
    <w:p w14:paraId="298F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二、中小企业划分为中型、小型、微型三种类型，具体标准根据企业从业人员、营业收入、资产总额等指标以及企业控股等情况，结合行业特点制定。</w:t>
      </w:r>
    </w:p>
    <w:p w14:paraId="36AD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7598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四、各行业中小企业划型定量标准为：</w:t>
      </w:r>
    </w:p>
    <w:p w14:paraId="75F10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（一）农、林、牧、渔业。营业收入2亿元以下的为中小微型企业。其中：营业收入300万元以下的为微型企业；营业收入3000万元以下的为小型企业；营业收入2亿元以下的为中型企业。</w:t>
      </w:r>
    </w:p>
    <w:p w14:paraId="49CF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FC8B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04BAA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A24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0E09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0A045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6F646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5EB49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7DE5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五、企业规模类型划分以企业有关指标上年度数据为定量依据。</w:t>
      </w:r>
    </w:p>
    <w:p w14:paraId="0DC38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没有上年度完整数据的企业规模类型划分，从业人员、资产总额以划型时的数据为定量依据，营业收入按照以下公式计算：</w:t>
      </w:r>
    </w:p>
    <w:p w14:paraId="1FA44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营业收入（年）=企业实际存续期间营业收入/企业实际存续月数*12。</w:t>
      </w:r>
    </w:p>
    <w:p w14:paraId="3E37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六、不符合中小企业划型定量标准的企业即为大型企业。国家统计部门据此制定大中小微型企业的统计分类。</w:t>
      </w:r>
    </w:p>
    <w:p w14:paraId="1D639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七、本规定适用于在中华人民共和国境内依法设立的企业，企业的分支机构除外。</w:t>
      </w:r>
    </w:p>
    <w:p w14:paraId="52DE2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符合中小企业划型定量标准，但有下列情形之一的，视同大型企业：</w:t>
      </w:r>
    </w:p>
    <w:p w14:paraId="7B0D7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（一）单个大型企业或大型企业全资子公司直接控股超过50%的企业；</w:t>
      </w:r>
    </w:p>
    <w:p w14:paraId="126A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（二）两个以上大型企业或大型企业全资子公司直接控股超过50%的企业；</w:t>
      </w:r>
    </w:p>
    <w:p w14:paraId="523C3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（三）与大型企业或大型企业全资子公司的法定代表人为同一人的企业。</w:t>
      </w:r>
    </w:p>
    <w:p w14:paraId="2D0E6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八、企业规模类型采用自我声明的方式，企业对自我声明内容的真实性负责。</w:t>
      </w:r>
    </w:p>
    <w:p w14:paraId="163F0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在监督检查、投诉处理中对中小企业规模类型有争议的，有关部门可以向有争议的企业登记所在地同级负责中小企业促进工作综合管理部门书面提请认定。</w:t>
      </w:r>
    </w:p>
    <w:p w14:paraId="6E1D9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九、本规定由国务院负责中小企业促进工作综合管理部门、国家统计部门会同有关部门根据经济社会发展情况，每5年定期评估，根据评估情况适时修订。</w:t>
      </w:r>
    </w:p>
    <w:p w14:paraId="37E67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十、本规定由国务院负责中小企业促进工作综合管理部门、国家统计部门会同有关部门负责解释。各部门各地区不得制定与本规定不一致的中小企业划型标准。</w:t>
      </w:r>
    </w:p>
    <w:p w14:paraId="0B5DF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十一、个体工商户参照本规定进行划型。</w:t>
      </w:r>
    </w:p>
    <w:p w14:paraId="21C4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十二、本规定自发布之日起执行，工业和信息化部、国家统计局、国家发展和改革委员会、财政部2011年颁布的《中小企业划型标准规定》同时废止。</w:t>
      </w:r>
    </w:p>
    <w:p w14:paraId="1F1FA7A8">
      <w:pPr>
        <w:pStyle w:val="20"/>
        <w:snapToGrid w:val="0"/>
        <w:spacing w:line="360" w:lineRule="auto"/>
        <w:rPr>
          <w:rFonts w:ascii="宋体" w:eastAsia="宋体" w:cs="宋体"/>
          <w:color w:val="auto"/>
          <w:sz w:val="21"/>
          <w:szCs w:val="21"/>
          <w:highlight w:val="none"/>
        </w:rPr>
      </w:pPr>
    </w:p>
    <w:p w14:paraId="4E808826">
      <w:pPr>
        <w:bidi w:val="0"/>
        <w:rPr>
          <w:color w:val="auto"/>
          <w:highlight w:val="none"/>
        </w:rPr>
      </w:pPr>
    </w:p>
    <w:p w14:paraId="59CA8D3E">
      <w:pPr>
        <w:spacing w:line="360" w:lineRule="auto"/>
        <w:rPr>
          <w:rFonts w:ascii="宋体" w:hAnsi="宋体" w:cs="宋体"/>
          <w:color w:val="auto"/>
          <w:szCs w:val="21"/>
          <w:highlight w:val="none"/>
        </w:rPr>
      </w:pPr>
    </w:p>
    <w:p w14:paraId="7BF001A2">
      <w:pPr>
        <w:pStyle w:val="20"/>
        <w:spacing w:line="360" w:lineRule="auto"/>
        <w:rPr>
          <w:rFonts w:ascii="宋体" w:eastAsia="宋体" w:cs="宋体"/>
          <w:color w:val="auto"/>
          <w:sz w:val="21"/>
          <w:szCs w:val="21"/>
          <w:highlight w:val="none"/>
        </w:rPr>
      </w:pPr>
    </w:p>
    <w:p w14:paraId="48732E4F">
      <w:pPr>
        <w:bidi w:val="0"/>
        <w:rPr>
          <w:color w:val="auto"/>
          <w:highlight w:val="none"/>
        </w:rPr>
      </w:pPr>
    </w:p>
    <w:p w14:paraId="5847B2C6">
      <w:pPr>
        <w:bidi w:val="0"/>
        <w:rPr>
          <w:color w:val="auto"/>
          <w:highlight w:val="none"/>
        </w:rPr>
      </w:pPr>
    </w:p>
    <w:p w14:paraId="0A2694DC">
      <w:pPr>
        <w:pStyle w:val="20"/>
        <w:snapToGrid w:val="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附件</w:t>
      </w:r>
    </w:p>
    <w:p w14:paraId="44E6EB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s="宋体"/>
          <w:bCs/>
          <w:color w:val="auto"/>
          <w:szCs w:val="21"/>
          <w:highlight w:val="none"/>
        </w:rPr>
        <w:t>中小企业划型标准规定</w:t>
      </w:r>
      <w:r>
        <w:rPr>
          <w:rFonts w:hint="eastAsia" w:ascii="宋体" w:hAnsi="宋体" w:cs="宋体"/>
          <w:color w:val="auto"/>
          <w:szCs w:val="21"/>
          <w:highlight w:val="none"/>
        </w:rPr>
        <w:t>》修订情况的说明</w:t>
      </w:r>
    </w:p>
    <w:p w14:paraId="31707BB0">
      <w:pPr>
        <w:spacing w:line="360" w:lineRule="auto"/>
        <w:ind w:right="-334" w:rightChars="-159"/>
        <w:jc w:val="left"/>
        <w:rPr>
          <w:rFonts w:ascii="宋体" w:hAnsi="宋体" w:cs="宋体"/>
          <w:color w:val="auto"/>
          <w:szCs w:val="21"/>
          <w:highlight w:val="none"/>
        </w:rPr>
      </w:pPr>
    </w:p>
    <w:p w14:paraId="486D6320">
      <w:pPr>
        <w:pStyle w:val="2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一、修订背景</w:t>
      </w:r>
    </w:p>
    <w:p w14:paraId="224DE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99" w:name="_Toc536690535"/>
      <w:bookmarkStart w:id="100" w:name="_Toc534726769"/>
      <w:bookmarkStart w:id="101" w:name="_Toc534744176"/>
      <w:r>
        <w:rPr>
          <w:rFonts w:hint="eastAsia" w:ascii="宋体" w:hAnsi="宋体" w:cs="宋体"/>
          <w:color w:val="auto"/>
          <w:szCs w:val="21"/>
          <w:highlight w:val="none"/>
        </w:rPr>
        <w:t>三是定性标准缺位。四是部分行业划型指标不适合行业大多数企业经营特征。五是定量标准需随劳动生产率提高等进行调整。</w:t>
      </w:r>
    </w:p>
    <w:bookmarkEnd w:id="99"/>
    <w:bookmarkEnd w:id="100"/>
    <w:bookmarkEnd w:id="101"/>
    <w:p w14:paraId="3D18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二、修订的原则</w:t>
      </w:r>
    </w:p>
    <w:p w14:paraId="39478F9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一是坚持问题导向。针对《划型标准》执行中存在的问题，提出解决的方法和路径。</w:t>
      </w:r>
    </w:p>
    <w:p w14:paraId="020F37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二是综合现实发展需要和历史衔接。《划型标准》修订既要适应国民经济和促进中小企业发展需要，又要保持相对的稳定性和连续性。</w:t>
      </w:r>
    </w:p>
    <w:p w14:paraId="5AFC8DE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三是注重与国际一般标准的可比性。借鉴国际经验，结合我国实际确定各行业划型指标及标准，为中小企业发展国际比较提供参照。</w:t>
      </w:r>
    </w:p>
    <w:p w14:paraId="1F8813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四是注重简单易行，便于操作。从实际出发，注重易于理解、识别和执行。</w:t>
      </w:r>
    </w:p>
    <w:p w14:paraId="366BE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三、修订的主要内容</w:t>
      </w:r>
    </w:p>
    <w:p w14:paraId="258B249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（一）关于行业分类的修订</w:t>
      </w:r>
    </w:p>
    <w:p w14:paraId="645C0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一是部分行业分类保持不变。包括农、林、牧、渔业，工业，建筑业，批发业，零售业，房地产开发经营业等（涉及企业数量约占60%）。</w:t>
      </w:r>
    </w:p>
    <w:p w14:paraId="20AE9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B69E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三是增加《划型标准》尚未覆盖的行业，如“教育”门类和“卫生”大类。</w:t>
      </w:r>
    </w:p>
    <w:p w14:paraId="1D5B1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5172B685">
      <w:pPr>
        <w:spacing w:line="360" w:lineRule="auto"/>
        <w:rPr>
          <w:rFonts w:ascii="宋体" w:hAnsi="宋体" w:cs="宋体"/>
          <w:color w:val="auto"/>
          <w:szCs w:val="21"/>
          <w:highlight w:val="none"/>
        </w:rPr>
      </w:pPr>
      <w:r>
        <w:rPr>
          <w:rFonts w:hint="eastAsia" w:ascii="宋体" w:hAnsi="宋体" w:cs="宋体"/>
          <w:color w:val="auto"/>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61F6FA19">
      <w:pPr>
        <w:spacing w:line="360" w:lineRule="auto"/>
        <w:rPr>
          <w:rFonts w:ascii="宋体" w:hAnsi="宋体" w:cs="宋体"/>
          <w:color w:val="auto"/>
          <w:szCs w:val="21"/>
          <w:highlight w:val="none"/>
        </w:rPr>
      </w:pPr>
      <w:r>
        <w:rPr>
          <w:rFonts w:hint="eastAsia" w:ascii="宋体" w:hAnsi="宋体" w:cs="宋体"/>
          <w:color w:val="auto"/>
          <w:szCs w:val="21"/>
          <w:highlight w:val="none"/>
        </w:rPr>
        <w:t>本次修订后，行业分类由原来的16类减少为9类，覆盖《国民经济行业分类》（GB/T 4754-2017）除金融业、公共管理和社会组织、国际组织三个门类之外的所有行业企业。</w:t>
      </w:r>
    </w:p>
    <w:p w14:paraId="12B163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（二）关于划型指标的修订</w:t>
      </w:r>
    </w:p>
    <w:p w14:paraId="3A3C6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各行业划型指标基本沿用现行《划型标准》，主要是采用从业人员和营业收入双指标划型，仅有农业采用营业收入、建筑业和组织管理服务采用营业收入和资产总额划型。</w:t>
      </w:r>
    </w:p>
    <w:p w14:paraId="0E6C11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（三）关于双指标并集转交集的调整</w:t>
      </w:r>
    </w:p>
    <w:p w14:paraId="2DA3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12BEF5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（四）关于定量指标阈值的调整</w:t>
      </w:r>
    </w:p>
    <w:p w14:paraId="4FB7B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7F74486">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2D0C328">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DDBFC8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（五）增加定性标准</w:t>
      </w:r>
    </w:p>
    <w:p w14:paraId="24705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FC3C38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（六）增加有关中小企业规模类型自我声明及认定内容</w:t>
      </w:r>
    </w:p>
    <w:p w14:paraId="4A29E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303765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（七）建立《划型标准》定期评估制度</w:t>
      </w:r>
    </w:p>
    <w:p w14:paraId="388A29A8">
      <w:pPr>
        <w:autoSpaceDE w:val="0"/>
        <w:autoSpaceDN w:val="0"/>
        <w:adjustRightInd w:val="0"/>
        <w:spacing w:line="276" w:lineRule="auto"/>
        <w:rPr>
          <w:rFonts w:ascii="宋体" w:hAnsi="宋体" w:cs="宋体"/>
          <w:color w:val="auto"/>
          <w:szCs w:val="21"/>
          <w:highlight w:val="none"/>
          <w:lang w:val="zh-CN"/>
        </w:rPr>
      </w:pPr>
      <w:r>
        <w:rPr>
          <w:rFonts w:hint="eastAsia" w:ascii="宋体" w:hAnsi="宋体" w:cs="宋体"/>
          <w:color w:val="auto"/>
          <w:szCs w:val="21"/>
          <w:highlight w:val="none"/>
        </w:rPr>
        <w:t>借鉴国际经验，设立我国中小企业划型标准定期评估制度：“由国务院促进中小企业发展综合管理部门、国家统计部门会同有关部门根据经济社会发展情况，每5年定期评估，根据评估情况适时修订。”</w:t>
      </w:r>
    </w:p>
    <w:p w14:paraId="007FC8B7">
      <w:pPr>
        <w:rPr>
          <w:rFonts w:ascii="宋体" w:hAnsi="宋体" w:cs="宋体"/>
          <w:b/>
          <w:color w:val="auto"/>
          <w:sz w:val="21"/>
          <w:szCs w:val="21"/>
          <w:highlight w:val="none"/>
        </w:rPr>
      </w:pPr>
    </w:p>
    <w:p w14:paraId="6CE08BD7">
      <w:pPr>
        <w:widowControl/>
        <w:shd w:val="clear" w:color="auto"/>
        <w:spacing w:line="360" w:lineRule="atLeast"/>
        <w:ind w:firstLine="480"/>
        <w:jc w:val="left"/>
        <w:rPr>
          <w:rFonts w:ascii="宋体" w:hAnsi="宋体"/>
          <w:color w:val="auto"/>
          <w:sz w:val="36"/>
          <w:szCs w:val="36"/>
          <w:highlight w:val="none"/>
        </w:rPr>
      </w:pPr>
    </w:p>
    <w:p w14:paraId="4A82090B">
      <w:pPr>
        <w:widowControl/>
        <w:shd w:val="clear" w:color="auto"/>
        <w:spacing w:line="360" w:lineRule="atLeast"/>
        <w:ind w:firstLine="480"/>
        <w:jc w:val="left"/>
        <w:rPr>
          <w:rFonts w:ascii="宋体" w:hAnsi="宋体"/>
          <w:b/>
          <w:color w:val="auto"/>
          <w:spacing w:val="-6"/>
          <w:sz w:val="24"/>
          <w:highlight w:val="none"/>
        </w:rPr>
        <w:sectPr>
          <w:footerReference r:id="rId15" w:type="first"/>
          <w:headerReference r:id="rId13" w:type="default"/>
          <w:footerReference r:id="rId14" w:type="default"/>
          <w:pgSz w:w="11906" w:h="16838"/>
          <w:pgMar w:top="1418" w:right="1418" w:bottom="1418" w:left="1418" w:header="851" w:footer="992" w:gutter="0"/>
          <w:cols w:space="720" w:num="1"/>
          <w:titlePg/>
          <w:docGrid w:linePitch="312" w:charSpace="0"/>
        </w:sectPr>
      </w:pPr>
    </w:p>
    <w:p w14:paraId="6BCDE09D">
      <w:pPr>
        <w:widowControl/>
        <w:shd w:val="clear" w:color="auto"/>
        <w:spacing w:line="360" w:lineRule="atLeast"/>
        <w:ind w:firstLine="480"/>
        <w:jc w:val="left"/>
        <w:rPr>
          <w:color w:val="auto"/>
          <w:szCs w:val="21"/>
          <w:highlight w:val="none"/>
        </w:rPr>
      </w:pPr>
    </w:p>
    <w:bookmarkEnd w:id="89"/>
    <w:p w14:paraId="785A1C37">
      <w:pPr>
        <w:pStyle w:val="3"/>
        <w:numPr>
          <w:ilvl w:val="0"/>
          <w:numId w:val="5"/>
        </w:numPr>
        <w:jc w:val="center"/>
        <w:rPr>
          <w:color w:val="auto"/>
          <w:szCs w:val="32"/>
          <w:highlight w:val="none"/>
        </w:rPr>
      </w:pPr>
      <w:bookmarkStart w:id="102" w:name="_Toc11920"/>
      <w:r>
        <w:rPr>
          <w:rFonts w:hint="eastAsia"/>
          <w:color w:val="auto"/>
          <w:szCs w:val="32"/>
          <w:highlight w:val="none"/>
          <w:lang w:eastAsia="zh-CN"/>
        </w:rPr>
        <w:t>合同条款及格式</w:t>
      </w:r>
      <w:bookmarkEnd w:id="102"/>
    </w:p>
    <w:p w14:paraId="211EEC2B">
      <w:pPr>
        <w:spacing w:line="0" w:lineRule="atLeast"/>
        <w:jc w:val="center"/>
        <w:outlineLvl w:val="2"/>
        <w:rPr>
          <w:rFonts w:ascii="宋体" w:hAnsi="宋体"/>
          <w:b/>
          <w:color w:val="auto"/>
          <w:sz w:val="32"/>
          <w:highlight w:val="none"/>
        </w:rPr>
      </w:pPr>
      <w:bookmarkStart w:id="103" w:name="_Toc11751"/>
      <w:bookmarkStart w:id="104" w:name="_Toc39072720"/>
      <w:bookmarkStart w:id="105" w:name="_Toc522547127"/>
      <w:bookmarkStart w:id="106" w:name="_Toc8594"/>
      <w:bookmarkStart w:id="107" w:name="_Toc100"/>
      <w:bookmarkStart w:id="108" w:name="_Toc8041"/>
      <w:r>
        <w:rPr>
          <w:rFonts w:ascii="宋体" w:hAnsi="宋体"/>
          <w:b/>
          <w:color w:val="auto"/>
          <w:sz w:val="32"/>
          <w:highlight w:val="none"/>
        </w:rPr>
        <w:t>第一节通用合同条款</w:t>
      </w:r>
      <w:bookmarkEnd w:id="103"/>
      <w:bookmarkEnd w:id="104"/>
      <w:bookmarkEnd w:id="105"/>
      <w:bookmarkEnd w:id="106"/>
      <w:bookmarkEnd w:id="107"/>
      <w:bookmarkEnd w:id="108"/>
    </w:p>
    <w:p w14:paraId="0C0C7DA4">
      <w:pPr>
        <w:jc w:val="center"/>
        <w:outlineLvl w:val="3"/>
        <w:rPr>
          <w:b/>
          <w:color w:val="auto"/>
          <w:sz w:val="28"/>
          <w:szCs w:val="28"/>
          <w:highlight w:val="none"/>
        </w:rPr>
      </w:pPr>
      <w:bookmarkStart w:id="109" w:name="_Toc32396"/>
      <w:bookmarkStart w:id="110" w:name="_Toc27276"/>
      <w:r>
        <w:rPr>
          <w:rFonts w:hint="eastAsia"/>
          <w:b/>
          <w:color w:val="auto"/>
          <w:sz w:val="28"/>
          <w:szCs w:val="28"/>
          <w:highlight w:val="none"/>
        </w:rPr>
        <w:t>一、勘察部分</w:t>
      </w:r>
    </w:p>
    <w:p w14:paraId="2CD6CDE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 一般约定</w:t>
      </w:r>
    </w:p>
    <w:p w14:paraId="74CE4A9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 词语定义</w:t>
      </w:r>
    </w:p>
    <w:p w14:paraId="4174564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通用合同条款、专用合同条款中的下列词语应具有本款所赋予的含义。</w:t>
      </w:r>
    </w:p>
    <w:p w14:paraId="4FA3A0D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 合同</w:t>
      </w:r>
    </w:p>
    <w:p w14:paraId="40E0C8E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1.1.1.1 合同文件（或称合同）：指合同协议书、中标通知书、投标函和投标函附录、专用合同条款、通用合同条款、发包人要求、勘察费用清单、勘察纲要，以及其他构成合同组成部分的文件。</w:t>
      </w:r>
    </w:p>
    <w:p w14:paraId="37FF45C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1.1.1.2 合同协议书：指发包人和勘察人共同签署的合同协议书。</w:t>
      </w:r>
    </w:p>
    <w:p w14:paraId="78EC52E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1.1.1.3 中标通知书：指发包人通知勘察人中标的函件。</w:t>
      </w:r>
    </w:p>
    <w:p w14:paraId="184A024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1.1.1.4 投标函：指由勘察人填写并签署的，名为</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投标函</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的函件。</w:t>
      </w:r>
    </w:p>
    <w:p w14:paraId="5F79477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1.1.1.5 投标函附录：指由勘察人填写并签署的、附在投标函后，名为</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投标函附录</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的函件。</w:t>
      </w:r>
    </w:p>
    <w:p w14:paraId="75D5A41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1.1.1.6 发包人要求：指合同文件中名为</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发包人要求</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的文件。</w:t>
      </w:r>
    </w:p>
    <w:p w14:paraId="5338939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1.1.1.7 勘察纲要：指勘察人在投标文件中的勘察纲要。</w:t>
      </w:r>
    </w:p>
    <w:p w14:paraId="55BA2E7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1.1.1.8 勘察费用清单：指勘察人投标文件中的勘察费用清单。</w:t>
      </w:r>
    </w:p>
    <w:p w14:paraId="2326A8D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1.1.1.9 其他合同文件：指经合同双方当事人确认构成合同文件的其他文件。</w:t>
      </w:r>
    </w:p>
    <w:p w14:paraId="52B6A46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 合同当事人和人员</w:t>
      </w:r>
    </w:p>
    <w:p w14:paraId="44819E4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1.1.2.1 合同当事人：指发包人和（或）勘察人。</w:t>
      </w:r>
    </w:p>
    <w:p w14:paraId="1DA5D89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1.1.2.2 发包人：指与勘察人签订合同协议书的当事人，及其合法继承人。</w:t>
      </w:r>
    </w:p>
    <w:p w14:paraId="70AB551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1.1.2.3 勘察人：指与发包人签订合同协议书的当事人，及其合法继承人。</w:t>
      </w:r>
    </w:p>
    <w:p w14:paraId="2568779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1.1.2.4 发包人代表：指由发包人任命，并在授权范围和期限内代表发包人行使权利和履行义务的全权负责人。</w:t>
      </w:r>
    </w:p>
    <w:p w14:paraId="08544B2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1.1.2.5 项目负责人：指由勘察人任命，代表勘察人行使权利和履行义务的全权负责人。</w:t>
      </w:r>
    </w:p>
    <w:p w14:paraId="21ABAFC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1.1.2.6 分包人：指从勘察人处分包合同中某一部分工作，并与其签订分包合同的分包人。</w:t>
      </w:r>
    </w:p>
    <w:p w14:paraId="6D1B96B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 工程和勘察</w:t>
      </w:r>
    </w:p>
    <w:p w14:paraId="06638E7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1.1.3.1 工程：指专用合同条款中指明进行勘察招标的工程。</w:t>
      </w:r>
    </w:p>
    <w:p w14:paraId="328331F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1.1.3.2 勘察服务：指勘察人按照合同约定履行的服务，包括制订勘察纲要、进行测绘、勘探、取样和试验等，查明、分析和评估地质特征和工程条件，编制勘察报告和提供发包人委托的其他服务。</w:t>
      </w:r>
    </w:p>
    <w:p w14:paraId="3ECFFAA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1.1.3.3 勘察设备：指为完成合同约定的各项工作所需的设备、器具和其他物品，不包括临时工程和材料。</w:t>
      </w:r>
    </w:p>
    <w:p w14:paraId="35304A0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1.1.3.4 勘探场地：指用于工程勘探的场所，以及在合同中指定作为勘探场地组成的其他场所。</w:t>
      </w:r>
    </w:p>
    <w:p w14:paraId="7D4A405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1.1.3.5 勘察资料：是发包人按合同约定向勘察人提供的，用于完成勘察服务范围与内容所需要的资料。</w:t>
      </w:r>
    </w:p>
    <w:p w14:paraId="7CB2BC2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1.1.3.6 勘察文件：指勘察人按合同约定向发包人提交的工程勘察报告、服务大纲、勘察方案、外业指导书、进度计划、图纸、计算书、软件和其他文件等，包括阶段性文件和最终文件，且应当采用合同中双方约定的格式和载体。</w:t>
      </w:r>
    </w:p>
    <w:p w14:paraId="5D0ACFF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 日期</w:t>
      </w:r>
    </w:p>
    <w:p w14:paraId="643D3C8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1.1.4.1 开始勘察通知：指发包人按第6.1款通知勘察人开始勘察的函件。</w:t>
      </w:r>
    </w:p>
    <w:p w14:paraId="29BE3B2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1.1.4.2 开始勘察日期：指发包人按第6.1款发出的开始勘察通知中写明的开始勘察日期。</w:t>
      </w:r>
    </w:p>
    <w:p w14:paraId="30BD549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1.1.4.3 勘察服务期限：指勘察人在投标函中承诺的完成合同勘察服务所需的期限，包括按第6.</w:t>
      </w:r>
      <w:r>
        <w:rPr>
          <w:rFonts w:hint="eastAsia" w:ascii="Times New Roman" w:hAnsi="Times New Roman" w:cs="Times New Roman"/>
          <w:color w:val="auto"/>
          <w:kern w:val="2"/>
          <w:sz w:val="22"/>
          <w:szCs w:val="24"/>
          <w:highlight w:val="none"/>
          <w:lang w:val="en-US" w:eastAsia="zh-CN"/>
        </w:rPr>
        <w:t>2</w:t>
      </w:r>
      <w:r>
        <w:rPr>
          <w:rFonts w:ascii="Times New Roman" w:hAnsi="Times New Roman" w:cs="Times New Roman"/>
          <w:color w:val="auto"/>
          <w:kern w:val="2"/>
          <w:sz w:val="22"/>
          <w:szCs w:val="24"/>
          <w:highlight w:val="none"/>
        </w:rPr>
        <w:t>款、第6.3款、第6.5款和第6.7款约定所作的调整。</w:t>
      </w:r>
    </w:p>
    <w:p w14:paraId="709208D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1.1.4.4 完成勘察日期：指第1.1.4.3目约定勘察服务期限届满时的日期。</w:t>
      </w:r>
    </w:p>
    <w:p w14:paraId="7D2A3C3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1.1.4.5 基准日：指投标截止时间前28天的日期。</w:t>
      </w:r>
    </w:p>
    <w:p w14:paraId="0345155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1.1.4.6 天：除特别指明外，指日历天。合同中按天计算时间的，开始当天不计入，从次日开始计算。期限最后一天的截止时间为当天24:00。</w:t>
      </w:r>
    </w:p>
    <w:p w14:paraId="004ECBB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 合同价格和费用</w:t>
      </w:r>
    </w:p>
    <w:p w14:paraId="6D63ECB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1.1.5.1 签约合同价：指签订合同时合同协议书中写明的勘察费用总金额。</w:t>
      </w:r>
    </w:p>
    <w:p w14:paraId="22561C8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1.1.5.2 合同价格：指勘察人按合同约定完成了全部勘察工作后，发包人应付给勘察人的金 额，包括在履行合同过程中按合同约定进行的变更和调整。</w:t>
      </w:r>
    </w:p>
    <w:p w14:paraId="25943E4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1.1.5.3 费用：指为履行合同所发生的或将要发生的所有合理开支，包括管理费和应分摊的 其他费用，但不包括利润。</w:t>
      </w:r>
    </w:p>
    <w:p w14:paraId="19FE74F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1.1.6 其他</w:t>
      </w:r>
    </w:p>
    <w:p w14:paraId="06B9091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1.1.6.1 书面形式：指合同文件、信件和数据电文（包括电报、电传、传真、电子数据交换和电子邮件）等可以有形地表现所载内容的形式。</w:t>
      </w:r>
    </w:p>
    <w:p w14:paraId="40630FE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 语言文字</w:t>
      </w:r>
    </w:p>
    <w:p w14:paraId="57F784C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合同使用的语言文字为中文。专用术语使用外文的，应附有中文注释。</w:t>
      </w:r>
    </w:p>
    <w:p w14:paraId="089C059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 适用法律</w:t>
      </w:r>
    </w:p>
    <w:p w14:paraId="6EBD763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适用于合同的法律包括中华人民共和国法律、行政法规、部门规章，以及工程所在地的地方法规、自治条例、单行条例和地方政府规章。</w:t>
      </w:r>
    </w:p>
    <w:p w14:paraId="2C04F42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本合同适用的其他规范性文件，可在专用合同条款中约定。</w:t>
      </w:r>
    </w:p>
    <w:p w14:paraId="23FBCC5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 合同文件的优先顺序</w:t>
      </w:r>
    </w:p>
    <w:p w14:paraId="0AD0485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组成合同的各项文件应互相解释，互为说明。除专用合同条款另有约定外，解释合同文件的优先顺序如下：</w:t>
      </w:r>
    </w:p>
    <w:p w14:paraId="7DD1F08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（1）合同协议书；</w:t>
      </w:r>
    </w:p>
    <w:p w14:paraId="480B2C7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（2）中标通知书；</w:t>
      </w:r>
    </w:p>
    <w:p w14:paraId="7431642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（3）投标函及投标函附录；</w:t>
      </w:r>
    </w:p>
    <w:p w14:paraId="48A972F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（4）专用合同条款；</w:t>
      </w:r>
    </w:p>
    <w:p w14:paraId="6671D97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（5）通用合同条款；</w:t>
      </w:r>
    </w:p>
    <w:p w14:paraId="1F632F8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（6）发包人要求；</w:t>
      </w:r>
    </w:p>
    <w:p w14:paraId="59A151E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（7）勘察费用清单；</w:t>
      </w:r>
    </w:p>
    <w:p w14:paraId="1F89A08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（8）勘察纲要；</w:t>
      </w:r>
    </w:p>
    <w:p w14:paraId="6CDEF42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（9）其他合同文件。</w:t>
      </w:r>
    </w:p>
    <w:p w14:paraId="4B97EB6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1.5 合同协议书</w:t>
      </w:r>
    </w:p>
    <w:p w14:paraId="18F9894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勘察人按中标通知书规定的时间与发包人签订合同协议书。除法律另有规定或合同另有约定外，发包人和勘察人的法定代表人或其委托代理人在合同协议书上签字并盖单位章后，合同生效。</w:t>
      </w:r>
    </w:p>
    <w:p w14:paraId="0132D22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 文件的提供和照管</w:t>
      </w:r>
    </w:p>
    <w:p w14:paraId="0373321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1.6.1 勘察文件的提供除专用合同条款另有约定外，勘察人应在合理的期限内按照合同约定的数量向发包人提供勘察文件。合同约定勘察文件应经发包人批复的，发包人应当在合同约定的期限内批复或提出修改意见。</w:t>
      </w:r>
    </w:p>
    <w:p w14:paraId="1A2C233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1.6.2 发包人提供的文件按专用合同条款约定由发包人提供的文件，包括基础资料、勘察任务书等，发包人应按约定的数量和期限交给勘察人。由于发包人未按时提供文件造成勘察服务期限延误的，按第6.2款约定执行。</w:t>
      </w:r>
    </w:p>
    <w:p w14:paraId="42F5F6B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1.6.3 文件错误的通知任何一方当事人发现文件中存在的明显错误或疏忽，均应及时通知对方当事人，并应立即采取适当的措施防止损失扩大。</w:t>
      </w:r>
    </w:p>
    <w:p w14:paraId="48B37FD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1.7 联络</w:t>
      </w:r>
    </w:p>
    <w:p w14:paraId="6CF695F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1.7.1 与合同有关的通知、批准、证明、证书、指示、要求、请求、同意、意见、确定和决定等，均应采用书面形式。</w:t>
      </w:r>
    </w:p>
    <w:p w14:paraId="67951D1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1.7.2 上述通知、批准、证明、证书、指示、要求、请求、同意、意见、确定和决定等来往函件，均应在合同约定的期限内送达指定的地点和指定的接收人，并办理签收手续。</w:t>
      </w:r>
    </w:p>
    <w:p w14:paraId="40DA2E9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1.8 转让</w:t>
      </w:r>
    </w:p>
    <w:p w14:paraId="74835AE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除专用合同条款另有约定外，未经对方当事人同意，一方当事人不得将合同权利全部或部分转让给第三人，也不得全部或部分转移合同义务。</w:t>
      </w:r>
    </w:p>
    <w:p w14:paraId="2D40BBB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1.9 严禁贿赂</w:t>
      </w:r>
    </w:p>
    <w:p w14:paraId="08F2945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合同双方当事人不得以贿赂或变相贿赂的方式，谋取不当利益或损害对方权益。因贿赂造成对方当事人损失的，行为人应当赔偿损失，并承担相应的法律责任。</w:t>
      </w:r>
    </w:p>
    <w:p w14:paraId="54C1AE6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 知识产权</w:t>
      </w:r>
    </w:p>
    <w:p w14:paraId="639528D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1.10.1 除专用合同条款另有约定外，勘察人完成的勘察工作成果，除署名权以外的著作权和其他知识产权均归发包人享有。</w:t>
      </w:r>
    </w:p>
    <w:p w14:paraId="0F4A253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1.10.2 勘察人在从事勘察活动时，不得侵犯他人的知识产权。因侵犯专利权或其他知识产权所引起的责任，由勘察人自行承担。因发包人提供的勘察资料导致侵权的，由发包人承担责任。</w:t>
      </w:r>
    </w:p>
    <w:p w14:paraId="74227DD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1.10.3 勘察人在投标文件中采用专利技术、专有技术的，相应的使用费视为已包含在投标报价之中。</w:t>
      </w:r>
    </w:p>
    <w:p w14:paraId="40F6F6E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 文件及信息的保密</w:t>
      </w:r>
    </w:p>
    <w:p w14:paraId="36F572F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未经对方同意，任何一方当事人不得将有关文件、技术秘密、需要保密的资料和信息泄露给他人或公开发表与引用。</w:t>
      </w:r>
    </w:p>
    <w:p w14:paraId="58464E3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 发包人要求</w:t>
      </w:r>
    </w:p>
    <w:p w14:paraId="2B221C2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1.12.1 勘察人应认真阅读、复核发包人要求，发现错误的，应及时书面通知发包人。无论是否存在错误，发包人均有权修改发包人要求，并在修改后3日内通知勘察人。除专用合同条款另有约定外，由此导致勘察人费用增加和(或)周期延误的，发包人应当相应地增加费用和(或)延长周期。</w:t>
      </w:r>
    </w:p>
    <w:p w14:paraId="104C62B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1.12.2 如果发包人要求违反法律规定，勘察人应在发现后及时书面通知发包人，要求其改正。发包人收到通知书后不予改正或不予答复的，勘察人有权拒绝履行合同义务，直至解除合同；由此引起的勘察人的全部损失由发包人承担。</w:t>
      </w:r>
    </w:p>
    <w:p w14:paraId="19CFD76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 发包人义务</w:t>
      </w:r>
    </w:p>
    <w:p w14:paraId="4AAEA41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2.1 遵守法律</w:t>
      </w:r>
    </w:p>
    <w:p w14:paraId="75E4EEE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发包人在履行合同过程中应遵守法律，并保证勘察人免于承担因发包人违反法律而引起的任何责任。</w:t>
      </w:r>
    </w:p>
    <w:p w14:paraId="025EABC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2.2 发出开始勘察通知</w:t>
      </w:r>
    </w:p>
    <w:p w14:paraId="5E43680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发包人应按第 6.1 款的约定向勘察人发出开始勘察通知。</w:t>
      </w:r>
    </w:p>
    <w:p w14:paraId="55847D0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2.3 办理证件和批件</w:t>
      </w:r>
    </w:p>
    <w:p w14:paraId="026EFE6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法律规定和（或）合同约定由发包人负责办理的工程建设项目必须履行的各类审批、核准或备案手续，发包人应当按时办理，勘察人应给予必要的协助。法律规定和（或）合同约定由勘察人负责办理的勘察所需的证件和批件，发包人应给予必要的协助。</w:t>
      </w:r>
    </w:p>
    <w:p w14:paraId="1886B39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2.4 支付合同价款</w:t>
      </w:r>
    </w:p>
    <w:p w14:paraId="30B1842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发包人应按合同约定向勘察人及时支付合同价款。</w:t>
      </w:r>
    </w:p>
    <w:p w14:paraId="3A69DA9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2.5 提供勘察资料</w:t>
      </w:r>
    </w:p>
    <w:p w14:paraId="2ABB92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发包人应按第1.6.2项的约定向勘察人提供勘察资料。</w:t>
      </w:r>
    </w:p>
    <w:p w14:paraId="30A82A5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2.6 其他义务</w:t>
      </w:r>
    </w:p>
    <w:p w14:paraId="53BAD89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发包人应履行合同约定的其他义务。</w:t>
      </w:r>
    </w:p>
    <w:p w14:paraId="00B0635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 发包人管理</w:t>
      </w:r>
    </w:p>
    <w:p w14:paraId="77BD6CC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 发包人代表</w:t>
      </w:r>
    </w:p>
    <w:p w14:paraId="78618C8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3.1.1 除专用合同条款另有约定外，发包人应在合同签订后14天内，将发包人代表的姓名、 职务、联系方式、授权范围和授权期限书面通知勘察人，由发包人代表在其授权范围和授权期限内，代表发包人行使权利、履行义务和处理合同履行中的具体事宜。发包人代表在授权范围内的行为由发包人承担法律责任。</w:t>
      </w:r>
    </w:p>
    <w:p w14:paraId="38EE82A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3.1.2 发包人代表违反法律法规、违背职业道德守则或者不按合同约定履行职责及义务，导 致合同无法继续正常履行的，勘察人有权通知发包人更换发包人代表。发包人收到通知后7天内，应当核实完毕并将处理结果通知勘察人。</w:t>
      </w:r>
    </w:p>
    <w:p w14:paraId="180174D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3.1.3 发包人更换发包人代表的，应提前14天将更换人员的姓名、职务、联系方式、授权范围和授权期限书面通知勘察人。</w:t>
      </w:r>
    </w:p>
    <w:p w14:paraId="425BD84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3.1.4 发包人代表可以授权发包人的其他人员负责执行其指派的一项或多项工作。发包人代 表应将被授权人员的姓名及其授权范围通知勘察人。被授权人员在授权范围内发出的指示视为已得到发包人代表的同意，与发包人代表发出的指示具有同等效力。</w:t>
      </w:r>
    </w:p>
    <w:p w14:paraId="60227D8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3.2 监理人</w:t>
      </w:r>
    </w:p>
    <w:p w14:paraId="59D794F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7F8730C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3.2.2 合同约定应由勘察人承担的义务和责任，不因监理人对勘察文件的审查或批准，以及为实施监理作出的指示等职务行为而减轻或解除。</w:t>
      </w:r>
    </w:p>
    <w:p w14:paraId="070F2A7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 发包人的指示</w:t>
      </w:r>
    </w:p>
    <w:p w14:paraId="46FDD49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3.3.1 发包人应按合同约定向勘察人发出指示，发包人的指示应盖有发包人单位章，并由发包人代表签字确认。</w:t>
      </w:r>
    </w:p>
    <w:p w14:paraId="4F90407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3.3.2 勘察人收到发包人作出的指示后应遵照执行。指示构成变更的，应按第11条执行。</w:t>
      </w:r>
    </w:p>
    <w:p w14:paraId="5495945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3.3.3 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14:paraId="26E271A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3.3.4 除专用合同条款另有约定外，勘察人只从发包人代表或按第3.1.4项约定的被授权人员处取得指示。</w:t>
      </w:r>
    </w:p>
    <w:p w14:paraId="2BA72B9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3.3.5 由于发包人未能按合同约定发出指示、指示延误或指示错误而导致勘察人费用增加和（或）周期延误的，发包人应承担由此增加的费用和（或）周期延误。</w:t>
      </w:r>
    </w:p>
    <w:p w14:paraId="27E1FA3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3.4 决定或答复</w:t>
      </w:r>
    </w:p>
    <w:p w14:paraId="08711C5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3.4.1 发包人在法律允许的范围内有权对勘察人的勘察工作和/或勘察文件作出处理决定，勘察人应按照发包人的决定执行，涉及勘察服务期限或勘察费用等问题按第11条的约定处理。</w:t>
      </w:r>
    </w:p>
    <w:p w14:paraId="67E13FE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3.4.2 发包人应在专用合同条款约定的时间之内，对勘察人书面提出的事项作出书面答复；逾期没有做出答复的，视为已获得发包人的批准。</w:t>
      </w:r>
    </w:p>
    <w:p w14:paraId="26CE34B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 勘察人义务</w:t>
      </w:r>
    </w:p>
    <w:p w14:paraId="636D235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 勘察人的一般义务</w:t>
      </w:r>
    </w:p>
    <w:p w14:paraId="73B17FA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4.1.1 遵守法律勘察人在履行合同过程中应遵守法律，并保证发包人免于承担因勘察人违反法律而引起的任何责任。</w:t>
      </w:r>
    </w:p>
    <w:p w14:paraId="4C3A0BD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4.1.2 依法纳税勘察人应按有关法律规定纳税，应缴纳的税金（含增值税）包括在合同价格之中。</w:t>
      </w:r>
    </w:p>
    <w:p w14:paraId="609A864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4.1.3 完成全部勘察工作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 的搭设、维护、管理和拆除。</w:t>
      </w:r>
    </w:p>
    <w:p w14:paraId="61885A9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4.1.4 保证勘察作业规范、安全和环保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14:paraId="6FC9DED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4.1.5 避免勘探对公众与他人的利益造成损害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14:paraId="1D9CFFF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4.1.6 其他义务 勘察人应履行合同约定的其他义务。</w:t>
      </w:r>
    </w:p>
    <w:p w14:paraId="6CD700A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4.2 履约保证金</w:t>
      </w:r>
    </w:p>
    <w:p w14:paraId="71D4392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除专用合同条款另有约定外，履约保证金自合同生效之日起生效，在发包人签收最后一批勘察成果文件之日起28日后失效。如果勘察人不履行合同约定的义务或其履行不符合合同的约定，发包人有权扣划相应金额的履约保证金。</w:t>
      </w:r>
    </w:p>
    <w:p w14:paraId="7485513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 分包和不得转包</w:t>
      </w:r>
    </w:p>
    <w:p w14:paraId="56EDC40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4.3.1 勘察人不得将其勘察的全部工作转包给第三人。</w:t>
      </w:r>
    </w:p>
    <w:p w14:paraId="4A87CF1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4.3.2 勘察人不得将勘察的主体、关键性工作分包给第三人。除专用合同条款另有约定外，未经发包人同意，勘察人也不得将非主体、非关键性工作分包给第三人。</w:t>
      </w:r>
    </w:p>
    <w:p w14:paraId="213699C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4.3.3 发包人同意勘察人分包工作的，勘察人应向发包人提交1份分包合同副本，并对分包勘察工作质量承担连带责任。除专用合同条款另有约定外，分包人的勘察费用由勘察人与分包人自行支付。</w:t>
      </w:r>
    </w:p>
    <w:p w14:paraId="1D8AA4D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4.3.4 分包人的资格能力应与其分包工作的标准和规模相适应，包括必要的企业资质、人员、设备和类似业绩等。</w:t>
      </w:r>
    </w:p>
    <w:p w14:paraId="04DEDA4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 联合体</w:t>
      </w:r>
    </w:p>
    <w:p w14:paraId="39E5F26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4.4.1 联合体各方应共同与发包人签订合同。联合体各方应为履行合同承担连带责任。</w:t>
      </w:r>
    </w:p>
    <w:p w14:paraId="32C4C68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4.4.2 联合体协议经发包人确认后作为合同附件。在履行合同过程中，未经发包人同意，不得修改联合体协议。</w:t>
      </w:r>
    </w:p>
    <w:p w14:paraId="123E80C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4.4.3 联合体牵头人或联合体授权的代表负责与发包人联系，并接受指示，负责组织联合体各成员全面履行合同。</w:t>
      </w:r>
    </w:p>
    <w:p w14:paraId="7E0A8B7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 项目负责人</w:t>
      </w:r>
    </w:p>
    <w:p w14:paraId="1715EFD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4.5.1 勘察人应按合同协议书的约定指派项目负责人，并在约定的期限内到职。勘察人更换项目负责人应事先征得发包人同意，并应在更换14天前将拟更换的项目负责人的姓名和详细资料提交发包人。项目负责人2天内不能履行职责的，应事先征得发包人同意，并委派代表代行其职责。</w:t>
      </w:r>
    </w:p>
    <w:p w14:paraId="1B9C928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76D5C9B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4.5.3 勘察人为履行合同发出的一切函件均应盖有勘察人单位章，并由勘察人的项目负责人 签字确认。</w:t>
      </w:r>
    </w:p>
    <w:p w14:paraId="0396E88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4.5.4 按照专用合同条款约定，项目负责人可以授权其下属人员履行其某项职责，但事先应将这些人员的姓名和授权范围书面通知发包人。</w:t>
      </w:r>
    </w:p>
    <w:p w14:paraId="08AD62B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 勘察人员的管理</w:t>
      </w:r>
    </w:p>
    <w:p w14:paraId="3A5E193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4.6.1 勘察人应在接到开始勘察通知之日起 7 天内，向发包人提交勘察项目机构以及人员安 排的报告，其内容应包括项目机构设置、主要勘察人员和作业人员的名单及资格条件。主要勘察人员应相对稳定，更换主要勘察人员的，应取得发包人的同意,并向发包人提交继任人员的资格、管理经验等资料。项目负责人的更换，应按照本章第4.5.1项规定执行。</w:t>
      </w:r>
    </w:p>
    <w:p w14:paraId="2E78880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4.6.2 除专用合同条款另有约定外，主要勘察人员包括项目负责人、勘探负责人、试验负责人等；作业人员包括勘探描述（记录）员、机长、观测员、试验员等。</w:t>
      </w:r>
    </w:p>
    <w:p w14:paraId="6DCC5B8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4.6.3 勘察人应保证其主要勘察人员（含分包人）在合同期限内的任何时候，都能按时参加发包人组织的工作会议。</w:t>
      </w:r>
    </w:p>
    <w:p w14:paraId="368F2A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4.6.4  国家规定应当持证上岗的工作人员均应持有相应的资格证明，发包人有权随时检查。 发包人认为有必要时，可以进行现场考核。</w:t>
      </w:r>
    </w:p>
    <w:p w14:paraId="427C80A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4.7 撤换项目负责人和其他人员</w:t>
      </w:r>
    </w:p>
    <w:p w14:paraId="24EAB93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勘察人应对其项目负责人和其他人员进行有效管理。发包人要求撤换不能胜任本职工作、行为不端或玩忽职守的项目负责人和其他人员的，勘察人应予以撤换。</w:t>
      </w:r>
    </w:p>
    <w:p w14:paraId="5E800D5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 保障人员的合法权益</w:t>
      </w:r>
    </w:p>
    <w:p w14:paraId="7B054B9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4.8.1 勘察人应与其雇佣的人员签订劳动合同，并按时发放工资。</w:t>
      </w:r>
    </w:p>
    <w:p w14:paraId="331CA5A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4.8.2 勘察人应按劳动法的规定安排工作时间，保证其雇佣人员享有休息和休假的权利。因勘察需要占用休假日或延长工作时间的，应不超过法律规定的限度，并按法律规定给予补休或 付酬。</w:t>
      </w:r>
    </w:p>
    <w:p w14:paraId="67220C1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4.8.3 勘察人应为其现场人员提供必要的食宿条件，以及符合环境保护和卫生要求的生活环境，在远离城镇的勘探场地，还应配备必要的伤病防治和急救设施。</w:t>
      </w:r>
    </w:p>
    <w:p w14:paraId="5358D0E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4.8.4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14:paraId="0168E01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4.8.5 勘察人应按有关法律规定和合同约定，为其雇佣人员办理保险。</w:t>
      </w:r>
    </w:p>
    <w:p w14:paraId="699316A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4.9 合同价款应专款专用</w:t>
      </w:r>
    </w:p>
    <w:p w14:paraId="4084D5B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发包人按合同约定支付给勘察人的各项价款，应专用于合同勘察工作。</w:t>
      </w:r>
    </w:p>
    <w:p w14:paraId="0641661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 勘察要求</w:t>
      </w:r>
    </w:p>
    <w:p w14:paraId="4398158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 一般要求</w:t>
      </w:r>
    </w:p>
    <w:p w14:paraId="293EE18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5.1.1 发包人应当遵守法律和规范标准，不得以任何理由要求勘察人违反法律和工程质量、安全标准进行勘察服务，降低工程质量。</w:t>
      </w:r>
    </w:p>
    <w:p w14:paraId="004FBD8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5.1.2 勘察人应按照法律规定，以及国家、行业和地方的规范和标准完成勘察工作，并应符合发包人要求。各项规范、标准和发包人要求之间如对同一内容的描述不一致时，应以描述更为严格的内容为准。</w:t>
      </w:r>
    </w:p>
    <w:p w14:paraId="1708214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5.1.3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11条约定执行。</w:t>
      </w:r>
    </w:p>
    <w:p w14:paraId="444C3B3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5.2 勘察依据</w:t>
      </w:r>
    </w:p>
    <w:p w14:paraId="0C108FA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除专用合同条款另有约定外，本工程的勘察依据如下：</w:t>
      </w:r>
    </w:p>
    <w:p w14:paraId="7805A97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（1）适用的法律、行政法规及部门规章；</w:t>
      </w:r>
    </w:p>
    <w:p w14:paraId="7C60F71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（2）与工程有关的规范、标准、规程；</w:t>
      </w:r>
    </w:p>
    <w:p w14:paraId="56270D9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（3）工程基础资料及其他文件；</w:t>
      </w:r>
    </w:p>
    <w:p w14:paraId="6E282DA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（4）本勘察服务合同及补充合同；</w:t>
      </w:r>
    </w:p>
    <w:p w14:paraId="03671A5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（5）本工程设计和施工需求；</w:t>
      </w:r>
    </w:p>
    <w:p w14:paraId="78ABA74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（6）合同履行中与勘察服务有关的来往函件；</w:t>
      </w:r>
    </w:p>
    <w:p w14:paraId="6198C82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（7）其他勘察依据。</w:t>
      </w:r>
    </w:p>
    <w:p w14:paraId="74CA44D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 勘察范围</w:t>
      </w:r>
    </w:p>
    <w:p w14:paraId="46CEC94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5.3.1 本合同的勘察范围包括工程范围、阶段范围和工作范围，具体勘察范围应当根据三者 之间的关联内容进行确定。</w:t>
      </w:r>
    </w:p>
    <w:p w14:paraId="0C15733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5.3.2 工程范围指所勘察工程的建设内容，具体范围在专用合同条款中约定。</w:t>
      </w:r>
    </w:p>
    <w:p w14:paraId="5817E70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5.3.3 阶段范围指工程建设程序中的可行性研究勘察、初步勘察、详细勘察、施工勘察等阶段中的一个或者多个阶段，具体范围在专用合同条款中约定。</w:t>
      </w:r>
    </w:p>
    <w:p w14:paraId="2467A0F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5.3.4 工作范围指工程测量、岩土工程勘察、岩土工程设计（如有）、提供技术交底、施工配合、参加试车（试运行）、竣工验收和发包人委托的其他服务中的一项或者多项工作，具体范围在专用合同条款中约定。</w:t>
      </w:r>
    </w:p>
    <w:p w14:paraId="089062A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 勘察作业要求</w:t>
      </w:r>
    </w:p>
    <w:p w14:paraId="2EA9F8F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5.4.1 测绘</w:t>
      </w:r>
    </w:p>
    <w:p w14:paraId="2AC2E5B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（1）除专用合同条款另有约定外，发包人应在开始勘察前 7 日内，向勘察人提供测量基准 点、水准点和书面资料等；勘察人应根据国家测绘基准、测绘系统和工程测量技术规范，按发包人要求的基准点以及合同工程精度要求，进行测绘。</w:t>
      </w:r>
    </w:p>
    <w:p w14:paraId="6CB27CB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（2）勘察人测绘之前，应当认真核对测绘数据，保证引用数据和原始数据准确无误。测绘工作应由测量人员如实记录，不得补记、涂改或者损坏。</w:t>
      </w:r>
    </w:p>
    <w:p w14:paraId="4DD5F07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（3）工程勘探之前，勘察人应当严格按照勘察方案的孔位坐标，进行测量放线并在实地位置定位，埋设带有编号且不易移动的标志桩进行定位控制。</w:t>
      </w:r>
    </w:p>
    <w:p w14:paraId="3420BDD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5.4.2 勘探</w:t>
      </w:r>
    </w:p>
    <w:p w14:paraId="02E6F37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（1）勘察人应当根据勘察目的和岩土特性，合理选择钻探、井探、槽探、洞探和地球物理勘探等勘探方法，为完成合同约定的勘察任务创造条件。勘察人对于勘察方法的正确性、适用性和可靠性完全负责。</w:t>
      </w:r>
    </w:p>
    <w:p w14:paraId="011E6C2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14:paraId="2CEDB09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（3）勘察人应在标定的孔位处进行勘探，不得随意改动位置。勘探方法、勘探机具、勘探记录、取样编录与描述，孔位标记、孔位封闭等事项，应当严格执行规范标准，按实填写勘探报表和勘探日志。</w:t>
      </w:r>
    </w:p>
    <w:p w14:paraId="7A4B9F6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14:paraId="2480755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5.4.3 取样</w:t>
      </w:r>
    </w:p>
    <w:p w14:paraId="7DE2AF8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勘察人应当针对不同的岩土地质，按照勘探取样规范规程中的相关规定，根据地层特征、取样深度、设备条件和试验项目的不同，合理选用取样方法和取样工具进行取样，包括并不限于土样、水样、岩芯等。</w:t>
      </w:r>
    </w:p>
    <w:p w14:paraId="245BADF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14:paraId="30A6EAF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（3）取样后的样品应当填写和粘贴标签，标签内容包括并不限于工程名称、孔号、样品编号、取样深度、样品名称、取样日期、取样人姓名、施工机组等。</w:t>
      </w:r>
    </w:p>
    <w:p w14:paraId="09A513D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5.4.4 试验</w:t>
      </w:r>
    </w:p>
    <w:p w14:paraId="30A2A30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（1）勘察人应当根据岩土条件、设计要求、勘察经验和测试方法特点，选用合适的原位测试方法和勘察设备进行原位测试。原位测试成果应与室内试验数据进行对比分析，检验其可靠性。</w:t>
      </w:r>
    </w:p>
    <w:p w14:paraId="16BAAC4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（2）勘察人的试验室应当通过行业管理部门认可的CMA计量认证，具有相应的资格证书、试验人员和试验条件，否则应当委托第三方试验室进行室内试验。</w:t>
      </w:r>
    </w:p>
    <w:p w14:paraId="1867756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（3）勘察人应在试验之前按照要求清点样品数目，认定取样质量及数量是否满足试验需要； 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14:paraId="702D5FF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（4）试验报告的格式应当符合CMA计量认证体系要求，加盖CMA章并由试验负责人签字确认；试验负责人应当通过计量认证考核，并由项目负责人授权许可。</w:t>
      </w:r>
    </w:p>
    <w:p w14:paraId="32F8A19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5.5 勘察设备要求</w:t>
      </w:r>
    </w:p>
    <w:p w14:paraId="7C0DF36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5.5.1 勘察人应按合同进度计划的要求，及时配置勘察设备进行作业。勘察人更换合同约定的勘察设备的，应报发包人批准。</w:t>
      </w:r>
    </w:p>
    <w:p w14:paraId="4320638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5.5.2 勘察人应当按照规范要求，及时维修、保养或更换勘察设备，包括并不限于钻机、触探仪、全站仪、水准仪、探测仪、测井平台、天平、固结仪、振筛机、干燥箱、直剪仪、收缩 仪、膨胀仪、渗透仪等，保证勘察设备能够随时进场使用。</w:t>
      </w:r>
    </w:p>
    <w:p w14:paraId="45A707B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5.5.3 勘察人使用的勘察设备不能满足合同进度计划和（或）质量要求时，发包人有权要求勘察人增加或更换勘察设备，勘察人应及时增加或更换，由此增加的费用和（或）周期延误由勘察人自行承担。</w:t>
      </w:r>
    </w:p>
    <w:p w14:paraId="64F8AD2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5.6 临时占地和设施要求</w:t>
      </w:r>
    </w:p>
    <w:p w14:paraId="5368258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5.6.1 勘察人应当根据勘察服务方案制订临时占地计划，报请发包人批准。</w:t>
      </w:r>
    </w:p>
    <w:p w14:paraId="6EAAB8F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5.6.2 位于本工程区域内的临时占地，由发包人协调提供。位于道路、绿化或者其他市政设施内的临时占地，由勘察人向行政管理部门报建申请，按照要求制定占地施工方案，并据此实施。</w:t>
      </w:r>
    </w:p>
    <w:p w14:paraId="7305A80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5.6.3 临时占地使用完毕后，勘察人应当按照发包人要求或行政管理部门规定恢复临时占地。 如果恢复或清理标准不能满足要求的，发包人有权委托他人代为恢复或清理，由此发生的费用从拟支付给勘察人的勘察费用中扣除。</w:t>
      </w:r>
    </w:p>
    <w:p w14:paraId="27F2E50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5.6.4 勘察人应当配备或搭设足够的临时设施，保证勘探工作能够正常开展。临时设施包括并不限于施工围挡、交通疏导设施、安全防范设施、钻机防护设施、安全文明施工设施、办公生活用房、取样存放场所等。</w:t>
      </w:r>
    </w:p>
    <w:p w14:paraId="1A2D0E6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5.6.5 临时设施应当满足规范标准、发包人要求和行政管理部门的规定等。除专用合同条款另有约定外，临时设施的修建、拆除和恢复费用由勘察人自行承担。</w:t>
      </w:r>
    </w:p>
    <w:p w14:paraId="0676CF1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 安全作业要求</w:t>
      </w:r>
    </w:p>
    <w:p w14:paraId="70C94F0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5.7.1 勘察人应按合同约定履行安全职责，执行发包人有关安全工作的指示，并在专用合同条款约定的期限内，按合同约定的安全工作内容，编制安全措施计划报送发包人批准。</w:t>
      </w:r>
    </w:p>
    <w:p w14:paraId="0DB80E1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5.7.2 勘察人应当严格执行操作规程，采取有效措施保证道路、桥梁、交通安全设施、建构筑物、地下管线、架空线和其他周边设施等安全正常地运行。</w:t>
      </w:r>
    </w:p>
    <w:p w14:paraId="01BFC70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5.7.3 勘察人应当按照法律、法规和工程建设强制性标准进行勘察，加强勘察作业安全管理，特别加强易燃、易爆材料、火工器材、有毒与腐蚀性材料和其他危险品的管理。</w:t>
      </w:r>
    </w:p>
    <w:p w14:paraId="1C9D689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5.7.4 勘察人应严格按照国家安全标准制定施工安全操作规程，配备必要的安全生产和劳动保护设施，加强对勘察人人员的安全教育，并且发放安全工作手册和劳动保护用具。</w:t>
      </w:r>
    </w:p>
    <w:p w14:paraId="04955A8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5.7.5 勘察人应按发包人的指示制定应对灾害的紧急预案，报送发包人批准。勘察人还应按预案做好安全检查，配置必要的救助物资和器材，切实保护好有关人员的人身和财产安全。</w:t>
      </w:r>
    </w:p>
    <w:p w14:paraId="47FC6A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5.7.6 勘察人应对其履行合同所雇佣的全部人员，包括分包人人员的工伤事故承担责任，但由于发包人原因造成勘察人人员工伤事故的，应由发包人承担责任。</w:t>
      </w:r>
    </w:p>
    <w:p w14:paraId="175C27E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5.7.7 由于勘察人原因在施工场地内及其毗邻地带造成的第三者人员伤亡和财产损失，由勘察人负责赔偿。</w:t>
      </w:r>
    </w:p>
    <w:p w14:paraId="69F297C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5.8 环境保护要求</w:t>
      </w:r>
    </w:p>
    <w:p w14:paraId="235FC53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5.8.1 勘察人在履行合同过程中，应遵守有关环境保护的法律，履行合同约定的环境保护义务，并对违反法律和合同约定义务所造成的环境破坏、人身伤害和财产损失负责。</w:t>
      </w:r>
    </w:p>
    <w:p w14:paraId="7BD48FF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5.8.2 勘察人应按合同约定的环保工作内容，编制环保措施计划，报送发包人批准。</w:t>
      </w:r>
    </w:p>
    <w:p w14:paraId="41F1B3C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5.8.3 勘察人应确保勘探过程中产生的气体排放物、粉尘、噪声、地面排水及排污等，符合法律规定和发包人要求。</w:t>
      </w:r>
    </w:p>
    <w:p w14:paraId="2E76E88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5.9 事故处理要求</w:t>
      </w:r>
    </w:p>
    <w:p w14:paraId="46BAB47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5.9.1 合同履行过程中发生事故的，勘察人应立即通知发包人。</w:t>
      </w:r>
    </w:p>
    <w:p w14:paraId="0613424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5.9.2 发包人和勘察人应立即组织人员和设备进行紧急抢救和抢修，减少人员伤亡和财产损 失，防止事故扩大，并保护事故现场。需要移动现场物品时，应作出标记和书面记录，妥善保管有关证据。发包人和勘察人应按国家有关规定，及时如实地向有关部门报告事故发生的情况，以及正在采取的紧急措施等。</w:t>
      </w:r>
    </w:p>
    <w:p w14:paraId="4D1BEEC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5.10 勘察文件要求</w:t>
      </w:r>
    </w:p>
    <w:p w14:paraId="09415C3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5.10.1 勘察文件的编制应符合法律法规、规范标准的强制性规定和发包人要求，相关勘察依据应完整、准确、可靠，勘察方案论证充分，计算成果规范可靠，并能够实施。</w:t>
      </w:r>
    </w:p>
    <w:p w14:paraId="64789D3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5.10.2 勘察文件的深度应满足本合同相应勘察阶段的规定要求，满足发包人的下步工作需 要，并应符合国家和行业现行规定。</w:t>
      </w:r>
    </w:p>
    <w:p w14:paraId="0407E51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 开始勘察和完成勘察</w:t>
      </w:r>
    </w:p>
    <w:p w14:paraId="5CF2BA6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6.1 开始勘察</w:t>
      </w:r>
    </w:p>
    <w:p w14:paraId="6478DFC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6.1.1 符合专用合同条款约定的开始勘察条件的，发包人应提前 7 天向勘察人发出开始勘察通知。勘察服务期限自开始勘察通知中载明的开始勘察日期起计算。</w:t>
      </w:r>
    </w:p>
    <w:p w14:paraId="727CD4C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6.1.2 除专用合同条款另有约定外，因发包人原因造成合同签订之日起 90 天内未能发出开 始勘察通知的，勘察人有权提出价格调整要求，或者解除合同。发包人应当承担由此增加的费用和（或）周期延误。</w:t>
      </w:r>
    </w:p>
    <w:p w14:paraId="6987E4C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6.2 发包人引起的周期延误</w:t>
      </w:r>
    </w:p>
    <w:p w14:paraId="3D6D7F7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在履行合同过程中，由于发包人的下列原因造成勘察服务期限延误的，发包人应当延长勘察服务期限并增加勘察费用，具体方法在专用合同条款中约定。</w:t>
      </w:r>
    </w:p>
    <w:p w14:paraId="265F1F9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（1）合同变更；</w:t>
      </w:r>
    </w:p>
    <w:p w14:paraId="3DB22BA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（2）未按合同约定期限及时答复勘察事项；</w:t>
      </w:r>
    </w:p>
    <w:p w14:paraId="457EF9A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（3）因发包人原因导致的暂停勘察；</w:t>
      </w:r>
    </w:p>
    <w:p w14:paraId="6617C63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（4）未按合同约定及时支付勘察费用；</w:t>
      </w:r>
    </w:p>
    <w:p w14:paraId="47EC574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（5）发包人提供的基准资料错误；</w:t>
      </w:r>
    </w:p>
    <w:p w14:paraId="7DC0A72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（6）未及时按照履行合同约定的相关义务；</w:t>
      </w:r>
    </w:p>
    <w:p w14:paraId="669B3D9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（7）未能按照合同约定期限对勘察文件进行审查；</w:t>
      </w:r>
    </w:p>
    <w:p w14:paraId="311AEAC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（8）发包人造成周期延误的其他原因。</w:t>
      </w:r>
    </w:p>
    <w:p w14:paraId="626CEBA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6.3 非人为因素引起的周期延误</w:t>
      </w:r>
    </w:p>
    <w:p w14:paraId="5B913D8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6.3.1 由于出现专用合同条款规定的异常恶劣气候条件、不利物质条件等因素导致周期延误的，勘察人有权要求发包人延长周期和（或）增加费用。</w:t>
      </w:r>
    </w:p>
    <w:p w14:paraId="539866F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6.3.2 勘察人发现地下文物或化石时，应按规定及时报告发包人和文物部门，并采取有效措施进行保护；勘察人有权要求发包人延长周期和（或）增加费用。</w:t>
      </w:r>
    </w:p>
    <w:p w14:paraId="12A58C8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6.4 勘察人引起的周期延误</w:t>
      </w:r>
    </w:p>
    <w:p w14:paraId="408E7BC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由于勘察人原因造成周期延误，勘察人应支付逾期违约金。逾期违约金的计算方法和最高限额在专用合同条款中约定。</w:t>
      </w:r>
    </w:p>
    <w:p w14:paraId="321B0A1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6.5 第三人引起的周期延误</w:t>
      </w:r>
    </w:p>
    <w:p w14:paraId="52914A7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由于行政管理部门审查或其他第三人原因造成费用增加和（或）周期延误的，由发包人承担。</w:t>
      </w:r>
    </w:p>
    <w:p w14:paraId="3F1CB09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 完成勘察</w:t>
      </w:r>
    </w:p>
    <w:p w14:paraId="6300AF9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6.6.1 勘察人完成勘察服务之后，应当根据法律、规范标准、合同约定和发包人要求编制勘察文件。</w:t>
      </w:r>
    </w:p>
    <w:p w14:paraId="6A36575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6.6.2 勘察文件是工程勘察的最终成果和设计施工的重要依据，应当根据本工程的勘察内容 和不同阶段的勘察任务、目的和要求等进行编制。勘察文件的内容和深度应当满足对应阶段的设计需求。</w:t>
      </w:r>
    </w:p>
    <w:p w14:paraId="41CCAA5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6.6.3 除专用合同条款另有约定外，勘察文件包括纸质文件和电子文件两种形式，两者若有 不一致时，应以纸质文件为准。纸质文件一式八份，应当加盖单位章和项目负责人注册执业印章；电子文件中的文字为 WORD 格式、图形为 CAD 格式，并应使用光盘和 U 盘分别贮存。</w:t>
      </w:r>
    </w:p>
    <w:p w14:paraId="263EE2E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6.7 提前完成勘察</w:t>
      </w:r>
    </w:p>
    <w:p w14:paraId="0391815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6.7.1 根据发包人要求或者基于专业能力判断，勘察人认为能够提前完成勘察的，可向发包 人递交一份提前完成勘察建议书，包括实施方案、提前时间、勘察费用变动等内容。除专用合同条款另有约定之外，发包人接受建议书的，不因提前完成勘察而减少勘察费用；增加勘察费用的，所增费用由发包人承担。</w:t>
      </w:r>
    </w:p>
    <w:p w14:paraId="77358E3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6.7.2 发包人要求提前完成勘察但勘察人认为无法实施的，应在收到发包人书面指示后 7 天 内提出异议，说明不能提前完成的理由。发包人应在收到异议后 7 天内予以答复。任何情况下，发包人不得压缩合理的勘察服务期限。</w:t>
      </w:r>
    </w:p>
    <w:p w14:paraId="1C37A74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6.7.3 由于勘察人提前完成勘察而给发包人带来经济效益的，发包人可以在专用合同条款中 约定勘察人因此获得的奖励内容。</w:t>
      </w:r>
    </w:p>
    <w:p w14:paraId="3CB4738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 暂停勘察</w:t>
      </w:r>
    </w:p>
    <w:p w14:paraId="4091430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7.1 发包人原因暂停勘察</w:t>
      </w:r>
    </w:p>
    <w:p w14:paraId="79C9973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合同履行中发生下列情形之一的，勘察人可向发包人发出通知，要求发包人采取有效措施予以纠正。发包人收到勘察人通知后的 28 天内仍不履行合同义务时，勘察人有权暂停勘察并通知发包人；发包人应承担由此导致的费用增加和（或）周期延误。</w:t>
      </w:r>
    </w:p>
    <w:p w14:paraId="5D6306A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（1）发包人违约；</w:t>
      </w:r>
    </w:p>
    <w:p w14:paraId="575DB64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（2）发包人确定暂停勘察；</w:t>
      </w:r>
    </w:p>
    <w:p w14:paraId="723ECE6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（3）合同约定由发包人承担责任的其他情形。</w:t>
      </w:r>
    </w:p>
    <w:p w14:paraId="7357721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7.2 勘察人原因暂停勘察</w:t>
      </w:r>
    </w:p>
    <w:p w14:paraId="3699FC1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合同履行中发生下列情形之一的，发包人可向勘察人发出通知暂停勘察，由此造成费用的增加和（或）周期延误由勘察人承担：</w:t>
      </w:r>
    </w:p>
    <w:p w14:paraId="52CD7D6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（1）勘察人违约；</w:t>
      </w:r>
    </w:p>
    <w:p w14:paraId="474073B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（2）勘察人擅自暂停勘察；</w:t>
      </w:r>
    </w:p>
    <w:p w14:paraId="1D8EDFB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（3）合同约定由勘察人承担责任的其他情形。</w:t>
      </w:r>
    </w:p>
    <w:p w14:paraId="42BC11E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7.3 暂停期间的文件照管</w:t>
      </w:r>
    </w:p>
    <w:p w14:paraId="7F79375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不论由于何种原因引起暂停勘察的，暂停期间勘察人应负责妥善保护已完部分的勘察文件，由此增加的费用由责任方承担。</w:t>
      </w:r>
    </w:p>
    <w:p w14:paraId="35E2DF5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 勘察文件</w:t>
      </w:r>
    </w:p>
    <w:p w14:paraId="4EA8BE7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 勘察文件接收</w:t>
      </w:r>
    </w:p>
    <w:p w14:paraId="5CC4357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8.1.1 发包人应当及时接收勘察人提交的勘察文件。如无正当理由拒收的，视为发包人已经接收勘察文件。</w:t>
      </w:r>
    </w:p>
    <w:p w14:paraId="441FAB2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8.1.2 发包人接收勘察文件时，应向勘察人出具文件签收凭证，凭证内容包括文件名称、文件内容、文件形式、份数、提交和接收日期、提交人与接收人的亲笔签名等。</w:t>
      </w:r>
    </w:p>
    <w:p w14:paraId="3E289C1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8.1.3 勘察文件提交的份数、内容、纸幅、装订格式、电子文件等要求，在专用合同条款中约定。</w:t>
      </w:r>
    </w:p>
    <w:p w14:paraId="14BE982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 发包人审查勘察文件</w:t>
      </w:r>
    </w:p>
    <w:p w14:paraId="4F7AD9D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8.2.1 发包人接收勘察文件之后，可以自行或者组织专家会进行审查，勘察人应当给予配合。 审查标准应当符合法律、规范标准、合同约定和发包人要求等；审查的具体范围、明细内容和费用分担，在专用合同条款中约定。</w:t>
      </w:r>
    </w:p>
    <w:p w14:paraId="7E218B2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8.2.2 除专用合同条款另有约定外，发包人对于勘察文件的审查期限，自文件接收之日起不应超过 14 天。发包人逾期未做出审查结论且未提出异议的，视为勘察人的勘察文件已经通过发包人审查。</w:t>
      </w:r>
    </w:p>
    <w:p w14:paraId="07ED93A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8.2.3 发包人审查后不同意勘察文件的，应以书面形式通知勘察人，说明审查不通过的理由及其具体内容。勘察人应根据发包人的审查意见修改完善勘察文件，并重新报送发包人审查，审查期限重新起算。</w:t>
      </w:r>
    </w:p>
    <w:p w14:paraId="03478FA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 审查机构审查勘察文件</w:t>
      </w:r>
    </w:p>
    <w:p w14:paraId="23F38B7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8.3.1 勘察文件需经政府有关部门审查或批准的，发包人应在审查同意后，按照有关主管部门要求，将勘察文件和相关资料报送施工图审查机构进行审查。发包人的审查和施工图审查机构的审查不减免勘察人因为质量问题而应承担的勘察责任。</w:t>
      </w:r>
    </w:p>
    <w:p w14:paraId="7AF4B78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14:paraId="4F2A0C6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8.3.3 由于自身原因造成勘察文件未通过审查机构审查的，勘察人应当承担违约责任，采取补救措施直至达到合同约定的质量标准，并自行承担由此导致的费用增加和（或）周期延误。</w:t>
      </w:r>
    </w:p>
    <w:p w14:paraId="2BB1041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 勘察责任与保险</w:t>
      </w:r>
    </w:p>
    <w:p w14:paraId="3F3FA8E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 工作质量责任</w:t>
      </w:r>
    </w:p>
    <w:p w14:paraId="60EE9D5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9.1.1 勘察工作质量应满足法律规定、规范标准、合同约定和发包人要求等。</w:t>
      </w:r>
    </w:p>
    <w:p w14:paraId="3C25B2B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9.1.2 勘察人应做好勘察服务的质量与技术管理工作，建立健全内部质量管理体系和质量责 任制度，加强勘察服务全过程的质量控制，建立完整的勘察文件的设计、复核、审核、会签和批准制度，明确各阶段的责任人。</w:t>
      </w:r>
    </w:p>
    <w:p w14:paraId="61EC2B0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9.1.3  勘察人应当强化现场作业质量和试验工作管理，保证原始记录和试验数据的可靠性、真实性和完整性，严禁离开现场进行追记、补记和修改记录。</w:t>
      </w:r>
    </w:p>
    <w:p w14:paraId="3BEB522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9.1.4 勘察人应按合同约定对勘察服务进行全过程的质量检查和检验，并作详细记录，编制勘察工作质量报表，报送发包人审查。</w:t>
      </w:r>
    </w:p>
    <w:p w14:paraId="0CA6B57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9.1.5 发包人有权对勘察工作质量进行检查和审核。勘察人应为发包人的检查和检验提供方 便，包括发包人到勘察场地、试验室或合同约定的其他地方进行察看，查阅、审核勘察的原始记录和其他文件。发包人的检查和审核，不免除勘察人按合同约定应负的责任。</w:t>
      </w:r>
    </w:p>
    <w:p w14:paraId="2E088F9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 勘察文件错误责任</w:t>
      </w:r>
    </w:p>
    <w:p w14:paraId="4988231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9.2.1 勘察文件存在错误、遗漏、含混、矛盾、不充分之处或其他缺陷，无论勘察人是否通过了发包人审查或审查机构审查，勘察人均应自费对前述问题带来的缺陷和工程问题进行改正，但因第 1.6.2 项约定由发包人提供的文件错误导致的除外。</w:t>
      </w:r>
    </w:p>
    <w:p w14:paraId="5A631D7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9.2.2 因勘察人原因造成勘察文件不合格的，发包人有权要求勘察人采取补救措施，直至达到合同要求的质量标准，并按第 14.1 款的约定承担责任。</w:t>
      </w:r>
    </w:p>
    <w:p w14:paraId="5EE2B44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9.2.3 因发包人原因造成勘察文件不合格的，勘察人应当采取补救措施，直至达到合同要求的质量标准，由此造成的勘察费用增加和（或）勘察服务期限延误由发包人承担。</w:t>
      </w:r>
    </w:p>
    <w:p w14:paraId="377AEE8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 勘察责任主体</w:t>
      </w:r>
    </w:p>
    <w:p w14:paraId="7573855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9.3.1 勘察人应运用一切合理的专业技术、知识技能和项目经验，按照职业道德准则和行业公认标准尽其全部职责，勤勉、谨慎、公正地履行其在本合同项下的责任和义务。</w:t>
      </w:r>
    </w:p>
    <w:p w14:paraId="5674328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9.3.2 勘察责任为勘察单位项目负责人终身责任制。项目负责人应当保证勘察文件符合法律法规和工程建设强制性标准的要求，对因勘察导致的工程质量事故或质量问题承担责任。</w:t>
      </w:r>
    </w:p>
    <w:p w14:paraId="6BEB533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9.3.3 项目负责人应当在办理工程质量监督手续前签署工程质量终身责任承诺书，连同法定代表人出具的授权书，报工程质量监督机构备案。</w:t>
      </w:r>
    </w:p>
    <w:p w14:paraId="7439B13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 勘察责任保险</w:t>
      </w:r>
    </w:p>
    <w:p w14:paraId="59FAAAA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9.4.1 除专用合同条款另有约定外，勘察人应具有发包人认可的、履行本合同所需要的工程勘察责任险，于合同签订后 28 天内向发包人提交工程勘察责任险的保险单副本或者其他有效证明，并在合同履行期间保持足额、有效。</w:t>
      </w:r>
    </w:p>
    <w:p w14:paraId="280CC78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9.4.2 工程勘察责任险的保险范围，应当包括由于勘察人的疏忽或过失而造成的工程质量事故损失，以及由于事故引发的第三者人身伤亡、财产损失或费用赔偿等。</w:t>
      </w:r>
    </w:p>
    <w:p w14:paraId="6E33B21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9.4.3 发生工程勘察保险事故后，勘察人应按保险人要求进行报告，并负责办理保险理赔业务；保险金不足以补偿损失的，由勘察人自行补偿。</w:t>
      </w:r>
    </w:p>
    <w:p w14:paraId="3C4CD79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 设计和施工期间配合</w:t>
      </w:r>
    </w:p>
    <w:p w14:paraId="5AC40C5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10.1 设计期间配合</w:t>
      </w:r>
    </w:p>
    <w:p w14:paraId="258AE57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10.1.1 设计配合指勘察人配合设计人，在设计期间对本工程进行的补充勘察或其他配合工作。</w:t>
      </w:r>
    </w:p>
    <w:p w14:paraId="662B71A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10.1.2 勘察人应当根据设计工作需要，对勘察报告和资料文件中的不完善或者错误之处，进行验证、补充或者修改；如遇不利的工程地质条件，勘察人应与设计人研讨并提出解决建议。</w:t>
      </w:r>
    </w:p>
    <w:p w14:paraId="2D2DFBD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10.2 施工期间配合</w:t>
      </w:r>
    </w:p>
    <w:p w14:paraId="590AB88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10.2.1 施工配合指勘察人配合施工承包人，在施工期间对本工程进行的补充勘察或其他配合工作，直至工程通过竣工验收为止。</w:t>
      </w:r>
    </w:p>
    <w:p w14:paraId="5272DE5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10.2.2 除专用合同条款另有约定外，发包人应为勘察人派赴施工现场的工作人员，在施工期间提供办公房间、办公桌椅、互联网接口、冷暖设施、生活设施、进出现场交通服务和其他便利条件。</w:t>
      </w:r>
    </w:p>
    <w:p w14:paraId="3DF3F7E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10.2.3 勘察人应在本工程的施工期间，积极提供勘察配合服务，进行勘察技术交底，委派专业人员配合施工承包人及时解决与勘察有关的问题，参与基坑基底验收和工程竣工验收等工作。</w:t>
      </w:r>
    </w:p>
    <w:p w14:paraId="7C30896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10.2.4 发包人应当组织勘察技术交底会，由勘察人向发包人、监理人和施工承包人等进行勘察交底，对本工程的勘察意图、勘察文件和施工要求等进行系统地说明和解释。</w:t>
      </w:r>
    </w:p>
    <w:p w14:paraId="35003EF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10.2.5 工程施工完毕后，发包人应当组织投产试车（试运行）和工程竣工验收，勘察人参加验收并出具本单位的验收结论。</w:t>
      </w:r>
    </w:p>
    <w:p w14:paraId="6AE5679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 合同变更</w:t>
      </w:r>
    </w:p>
    <w:p w14:paraId="26180D6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 变更情形</w:t>
      </w:r>
    </w:p>
    <w:p w14:paraId="2F71E6D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11.1.1 合同履行中发生下述情形时，合同一方均可向对方提出变更请求，经双方协商一致后进行变更，勘察服务期限和勘察费用的调整方法在专用合同条款中约定。</w:t>
      </w:r>
    </w:p>
    <w:p w14:paraId="008D13A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（1）勘察范围发生变化；</w:t>
      </w:r>
    </w:p>
    <w:p w14:paraId="2397BEC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（2）除不可抗力外，非勘察人的原因引起的周期延误；</w:t>
      </w:r>
    </w:p>
    <w:p w14:paraId="4D7BD55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（3）非勘察人的原因，对工程同一部分重复进行勘察；</w:t>
      </w:r>
    </w:p>
    <w:p w14:paraId="5FF2236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（4）非勘察人的原因，对工程暂停勘察及恢复勘察。</w:t>
      </w:r>
    </w:p>
    <w:p w14:paraId="366F441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11.1.2 基准日后，因颁布新的或修订原有法律、法规、规范和标准等引发合同变更情形的，按照上述约定进行调整。</w:t>
      </w:r>
    </w:p>
    <w:p w14:paraId="1F68C35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 合理化建议</w:t>
      </w:r>
    </w:p>
    <w:p w14:paraId="4885FFE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11.2.1 合同履行中，勘察人可对发包人要求提出合理化建议。合理化建议应以书面形式提交发包人，被发包人采纳并构成变更的，执行第11.1款约定。</w:t>
      </w:r>
    </w:p>
    <w:p w14:paraId="3488A87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11.2.2  勘察人提出的合理化建议降低了工程投资、缩短了施工期限或者提高了工程经济效益的，发包人应按专用合同条款中的约定给予奖励。</w:t>
      </w:r>
    </w:p>
    <w:p w14:paraId="086110C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 合同价格与支付</w:t>
      </w:r>
    </w:p>
    <w:p w14:paraId="6743DA4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 合同价格</w:t>
      </w:r>
    </w:p>
    <w:p w14:paraId="364BF06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12.1.1 本合同的价款确定方式、调整方式和风险范围划分，在专用合同条款中约定。</w:t>
      </w:r>
    </w:p>
    <w:p w14:paraId="6F303FB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12.1.2 勘察费用实行发包人签证制度，即勘察人完成勘察项目后通知发包人进行验收，通过验收后由发包人代表对实施的勘察项目、数量、质量和实施时间签字确认，以此作为计算勘察费用的依据之一。</w:t>
      </w:r>
    </w:p>
    <w:p w14:paraId="4BB906A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 护，农民工工伤保险等全部费用和国家规定的增值税税金。</w:t>
      </w:r>
    </w:p>
    <w:p w14:paraId="2E2C149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12.1.4 发包人要求勘察人进行外出考察、试验检测、专项咨询或专家评审时，相应费用不含在合同价格之中，由发包人另行支付。</w:t>
      </w:r>
    </w:p>
    <w:p w14:paraId="61CA8DB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 定金或预付款</w:t>
      </w:r>
    </w:p>
    <w:p w14:paraId="4EF6418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12.2.1 定金或预付款应专用于本工程的勘察。定金或预付款的额度、支付方式及抵扣方式在专用合同条款中约定。</w:t>
      </w:r>
    </w:p>
    <w:p w14:paraId="223EE78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12.2.2 发包人应在收到定金或预付款支付申请后28天内，将定金或预付款支付给勘察人；勘察人应当提供等额的增值税发票。</w:t>
      </w:r>
    </w:p>
    <w:p w14:paraId="137DE8A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12.2.3 勘察服务完成之前，由于不可抗力或其他非勘察人的原因解除合同时，定金不予退还。</w:t>
      </w:r>
    </w:p>
    <w:p w14:paraId="4CFAB9C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 中期支付</w:t>
      </w:r>
    </w:p>
    <w:p w14:paraId="5C39944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12.3.1 勘察人应按发包人批准或专用合同条款约定的格式及份数，向发包人提交中期支付申请，并附相应的支持性证明文件。</w:t>
      </w:r>
    </w:p>
    <w:p w14:paraId="3194622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12.3.2 发包人应在收到中期支付申请后的28天内，将应付款项支付给勘察人；勘察人应当提供等额的增值税发票。发包人未能在前述时间内完成审批或不予答复的，视为发包人同意中期支付申请。发包人不按期支付的，按专用合同条款的约定支付逾期付款违约金。</w:t>
      </w:r>
    </w:p>
    <w:p w14:paraId="4D0AAE9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12.3.3  中期支付涉及政府投资资金的，按照国库集中支付等国家相关规定和专用合同条款的约定执行。</w:t>
      </w:r>
    </w:p>
    <w:p w14:paraId="5101692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 费用结算</w:t>
      </w:r>
    </w:p>
    <w:p w14:paraId="331D016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12.4.1 合同工作完成后，勘察人可按专用合同条款约定的份数和期限，向发包人提交勘察费用结算申请，并提供相关证明材料。</w:t>
      </w:r>
    </w:p>
    <w:p w14:paraId="1A3F378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14:paraId="625D6D4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12.4.3 发包人对费用结算申请内容有异议的，有权要求勘察人进行修正和提供补充资料，由勘察人重新提交。勘察人对此有异议的，按第15条的约定执行。</w:t>
      </w:r>
    </w:p>
    <w:p w14:paraId="48AA3F6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12.4.4 最终结清付款涉及政府投资资金的，按第12.3.3项的约定执行。</w:t>
      </w:r>
    </w:p>
    <w:p w14:paraId="0F9FD00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 不可抗力</w:t>
      </w:r>
    </w:p>
    <w:p w14:paraId="1C65EC0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13.1 不可抗力的确认</w:t>
      </w:r>
    </w:p>
    <w:p w14:paraId="4753CD9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13.1.1 不可抗力是指勘察人和发包人在订立合同时不可预见，在履行合同过程中不可避免发生并不能克服的自然灾害和社会性突发事件，如地震、海啸、瘟疫、水灾、骚乱、暴动、战争和专用合同条款约定的其他情形。</w:t>
      </w:r>
    </w:p>
    <w:p w14:paraId="34F2555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13.1.2 不可抗力发生后，发包人和勘察人应及时认真统计所造成的损失，收集不可抗力造成损失的证据。合同双方对是否属于不可抗力或其损失的意见不一致的，由合同双方协商确定。</w:t>
      </w:r>
    </w:p>
    <w:p w14:paraId="3AF5D96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13.2 不可抗力的通知</w:t>
      </w:r>
    </w:p>
    <w:p w14:paraId="7BAAC0F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13.2.1 合同一方当事人遇到不可抗力事件，使其履行合同义务受到阻碍时，应立即通知合同另一方当事人，书面说明不可抗力和受阻碍的详细情况，并提供必要的证明。</w:t>
      </w:r>
    </w:p>
    <w:p w14:paraId="1D52E22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13.2.2 如不可抗力持续发生，合同一方当事人应及时向合同另一方当事人提交中间报告，说明不可抗力和履行合同受阻的情况，并于不可抗力事件结束后28天内提交最终报告及有关资料。</w:t>
      </w:r>
    </w:p>
    <w:p w14:paraId="12A5942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 不可抗力后果及其处理</w:t>
      </w:r>
    </w:p>
    <w:p w14:paraId="12823CF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13.3.1 不可抗力引起的后果及其损失，应由合同当事人依据法律规定各自承担。不可抗力发生前已完成的勘察工作，应当按照合同约定进行支付。</w:t>
      </w:r>
    </w:p>
    <w:p w14:paraId="0F2FDA5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13.3.2 不可抗力发生后，合同当事人应当采取有效措施避免损失进一步扩大，如未采取有效措施致使损失扩大的，应当自行承担扩大部分的损失。</w:t>
      </w:r>
    </w:p>
    <w:p w14:paraId="2F996B0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13.3.3 因一方当事人迟延履行合同义务，致使迟延履行期间遭遇不可抗力的，应由该当事人承担全部损失。</w:t>
      </w:r>
    </w:p>
    <w:p w14:paraId="2B4502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 违约</w:t>
      </w:r>
    </w:p>
    <w:p w14:paraId="5F12890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14.1 勘察人违约</w:t>
      </w:r>
    </w:p>
    <w:p w14:paraId="2DB3ECC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14.1.1 合同履行中发生下列情况之一的，属勘察人违约：</w:t>
      </w:r>
    </w:p>
    <w:p w14:paraId="2F493A8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（1）勘察文件不符合法律以及合同约定；</w:t>
      </w:r>
    </w:p>
    <w:p w14:paraId="7A12B58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（2）勘察人转包、违法分包或者未经发包人同意擅自分包；</w:t>
      </w:r>
    </w:p>
    <w:p w14:paraId="0087E10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（3）勘察人未按合同计划完成勘察，从而造成工程损失；</w:t>
      </w:r>
    </w:p>
    <w:p w14:paraId="61E9719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（4）勘察人无法履行或停止履行合同；</w:t>
      </w:r>
    </w:p>
    <w:p w14:paraId="03E9E98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（5）勘察人不履行合同约定的其他义务。</w:t>
      </w:r>
    </w:p>
    <w:p w14:paraId="0912D0F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14.1.2 勘察人发生违约情况时，发包人可向勘察人发出整改通知，要求其在限定期限内纠正；逾期仍不纠正的，发包人有权解除合同并向勘察人发出解除合同通知。勘察人应当承担由 于违约所造成的费用增加、周期延误和发包人损失等。</w:t>
      </w:r>
    </w:p>
    <w:p w14:paraId="0F665F3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14.2 发包人违约</w:t>
      </w:r>
    </w:p>
    <w:p w14:paraId="4D867F4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14.2.1 合同履行中发生下列情况之一的，属发包人违约：</w:t>
      </w:r>
    </w:p>
    <w:p w14:paraId="1E51F97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（1）发包人未按合同约定支付勘察费用；</w:t>
      </w:r>
    </w:p>
    <w:p w14:paraId="307F75D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（2）发包人原因造成勘察停止；</w:t>
      </w:r>
    </w:p>
    <w:p w14:paraId="0D299EE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（3）发包人无法履行或停止履行合同；</w:t>
      </w:r>
    </w:p>
    <w:p w14:paraId="52E0E9F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（4）发包人不履行合同约定的其他义务。</w:t>
      </w:r>
    </w:p>
    <w:p w14:paraId="75B69C8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14.2.2 发包人发生违约情况时，勘察人可向发包人发出暂停勘察通知，要求其在限定期限内纠正；逾期仍不纠正的，勘察人有权解除合同并向发包人发出解除合同通知。发包人应当承担由于违约所造成的费用增加、周期延误和勘察人损失等。</w:t>
      </w:r>
    </w:p>
    <w:p w14:paraId="25D3C0B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14.3 第三人造成的违约</w:t>
      </w:r>
    </w:p>
    <w:p w14:paraId="345A25E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在履行合同过程中，一方当事人因第三人的原因造成违约的，应当向对方当事人承担违约责任。一方当事人和第三人之间的纠纷，依照法律规定或者按照约定解决。</w:t>
      </w:r>
    </w:p>
    <w:p w14:paraId="10C8C99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15. 争议的解决</w:t>
      </w:r>
    </w:p>
    <w:p w14:paraId="3E39441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发包人和勘察人在履行合同中发生争议的，可以友好协商解决。合同当事人友好协商解决不成的，可在专用合同条款中约定下列一种方式解决：</w:t>
      </w:r>
    </w:p>
    <w:p w14:paraId="1AE6537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（1）向约定的仲裁委员会申请仲裁；</w:t>
      </w:r>
    </w:p>
    <w:p w14:paraId="6564FA4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（2）向有管辖权的人民法院提起诉讼。</w:t>
      </w:r>
    </w:p>
    <w:p w14:paraId="5678AF02">
      <w:pPr>
        <w:bidi w:val="0"/>
        <w:rPr>
          <w:rFonts w:hint="eastAsia"/>
          <w:color w:val="auto"/>
          <w:highlight w:val="none"/>
        </w:rPr>
      </w:pPr>
    </w:p>
    <w:p w14:paraId="33F9E7CC">
      <w:pPr>
        <w:bidi w:val="0"/>
        <w:rPr>
          <w:rFonts w:hint="eastAsia"/>
          <w:color w:val="auto"/>
          <w:highlight w:val="none"/>
        </w:rPr>
      </w:pPr>
    </w:p>
    <w:p w14:paraId="395EA4C3">
      <w:pPr>
        <w:bidi w:val="0"/>
        <w:rPr>
          <w:rFonts w:hint="eastAsia"/>
          <w:color w:val="auto"/>
          <w:highlight w:val="none"/>
        </w:rPr>
      </w:pPr>
    </w:p>
    <w:p w14:paraId="257113E5">
      <w:pPr>
        <w:bidi w:val="0"/>
        <w:rPr>
          <w:rFonts w:hint="eastAsia"/>
          <w:color w:val="auto"/>
          <w:highlight w:val="none"/>
        </w:rPr>
      </w:pPr>
    </w:p>
    <w:p w14:paraId="6759EBD4">
      <w:pPr>
        <w:bidi w:val="0"/>
        <w:rPr>
          <w:rFonts w:hint="eastAsia"/>
          <w:color w:val="auto"/>
          <w:highlight w:val="none"/>
        </w:rPr>
      </w:pPr>
    </w:p>
    <w:p w14:paraId="22F185A9">
      <w:pPr>
        <w:bidi w:val="0"/>
        <w:rPr>
          <w:rFonts w:hint="eastAsia"/>
          <w:color w:val="auto"/>
          <w:highlight w:val="none"/>
        </w:rPr>
      </w:pPr>
    </w:p>
    <w:p w14:paraId="4BB4A6DA">
      <w:pPr>
        <w:bidi w:val="0"/>
        <w:rPr>
          <w:rFonts w:hint="eastAsia"/>
          <w:color w:val="auto"/>
          <w:highlight w:val="none"/>
        </w:rPr>
      </w:pPr>
    </w:p>
    <w:p w14:paraId="56C3A8AF">
      <w:pPr>
        <w:bidi w:val="0"/>
        <w:rPr>
          <w:rFonts w:hint="eastAsia"/>
          <w:color w:val="auto"/>
          <w:highlight w:val="none"/>
        </w:rPr>
      </w:pPr>
    </w:p>
    <w:p w14:paraId="3B7EB04C">
      <w:pPr>
        <w:bidi w:val="0"/>
        <w:rPr>
          <w:rFonts w:hint="eastAsia"/>
          <w:color w:val="auto"/>
          <w:highlight w:val="none"/>
        </w:rPr>
      </w:pPr>
    </w:p>
    <w:p w14:paraId="6D5DB575">
      <w:pPr>
        <w:bidi w:val="0"/>
        <w:rPr>
          <w:rFonts w:hint="eastAsia"/>
          <w:color w:val="auto"/>
          <w:highlight w:val="none"/>
        </w:rPr>
      </w:pPr>
    </w:p>
    <w:p w14:paraId="7E3E890D">
      <w:pPr>
        <w:bidi w:val="0"/>
        <w:rPr>
          <w:rFonts w:hint="eastAsia"/>
          <w:color w:val="auto"/>
          <w:highlight w:val="none"/>
        </w:rPr>
      </w:pPr>
    </w:p>
    <w:p w14:paraId="1261FB52">
      <w:pPr>
        <w:bidi w:val="0"/>
        <w:rPr>
          <w:rFonts w:hint="eastAsia"/>
          <w:color w:val="auto"/>
          <w:highlight w:val="none"/>
        </w:rPr>
      </w:pPr>
    </w:p>
    <w:p w14:paraId="45F43DCE">
      <w:pPr>
        <w:bidi w:val="0"/>
        <w:rPr>
          <w:rFonts w:hint="eastAsia"/>
          <w:color w:val="auto"/>
          <w:highlight w:val="none"/>
        </w:rPr>
      </w:pPr>
    </w:p>
    <w:p w14:paraId="03F12BEB">
      <w:pPr>
        <w:bidi w:val="0"/>
        <w:rPr>
          <w:rFonts w:hint="eastAsia"/>
          <w:color w:val="auto"/>
          <w:highlight w:val="none"/>
        </w:rPr>
      </w:pPr>
    </w:p>
    <w:p w14:paraId="5E179B77">
      <w:pPr>
        <w:bidi w:val="0"/>
        <w:rPr>
          <w:rFonts w:hint="eastAsia"/>
          <w:color w:val="auto"/>
          <w:highlight w:val="none"/>
        </w:rPr>
      </w:pPr>
    </w:p>
    <w:p w14:paraId="4E68632F">
      <w:pPr>
        <w:bidi w:val="0"/>
        <w:rPr>
          <w:rFonts w:hint="eastAsia"/>
          <w:color w:val="auto"/>
          <w:highlight w:val="none"/>
        </w:rPr>
      </w:pPr>
    </w:p>
    <w:p w14:paraId="10722063">
      <w:pPr>
        <w:bidi w:val="0"/>
        <w:rPr>
          <w:rFonts w:hint="eastAsia"/>
          <w:color w:val="auto"/>
          <w:highlight w:val="none"/>
        </w:rPr>
      </w:pPr>
    </w:p>
    <w:p w14:paraId="4FC8BCD4">
      <w:pPr>
        <w:bidi w:val="0"/>
        <w:rPr>
          <w:rFonts w:hint="eastAsia"/>
          <w:color w:val="auto"/>
          <w:highlight w:val="none"/>
        </w:rPr>
      </w:pPr>
    </w:p>
    <w:p w14:paraId="7AA64B34">
      <w:pPr>
        <w:bidi w:val="0"/>
        <w:rPr>
          <w:rFonts w:hint="eastAsia"/>
          <w:color w:val="auto"/>
          <w:highlight w:val="none"/>
        </w:rPr>
      </w:pPr>
    </w:p>
    <w:p w14:paraId="51B2C9CF">
      <w:pPr>
        <w:bidi w:val="0"/>
        <w:rPr>
          <w:rFonts w:hint="eastAsia"/>
          <w:color w:val="auto"/>
          <w:highlight w:val="none"/>
        </w:rPr>
      </w:pPr>
    </w:p>
    <w:p w14:paraId="595B1804">
      <w:pPr>
        <w:bidi w:val="0"/>
        <w:rPr>
          <w:rFonts w:hint="eastAsia"/>
          <w:color w:val="auto"/>
          <w:highlight w:val="none"/>
        </w:rPr>
      </w:pPr>
    </w:p>
    <w:p w14:paraId="132F8642">
      <w:pPr>
        <w:bidi w:val="0"/>
        <w:rPr>
          <w:rFonts w:hint="eastAsia"/>
          <w:color w:val="auto"/>
          <w:highlight w:val="none"/>
        </w:rPr>
      </w:pPr>
    </w:p>
    <w:p w14:paraId="650A9BE5">
      <w:pPr>
        <w:bidi w:val="0"/>
        <w:rPr>
          <w:rFonts w:hint="eastAsia"/>
          <w:color w:val="auto"/>
          <w:highlight w:val="none"/>
        </w:rPr>
      </w:pPr>
    </w:p>
    <w:p w14:paraId="0AD198B2">
      <w:pPr>
        <w:bidi w:val="0"/>
        <w:rPr>
          <w:rFonts w:hint="eastAsia"/>
          <w:color w:val="auto"/>
          <w:highlight w:val="none"/>
        </w:rPr>
      </w:pPr>
    </w:p>
    <w:p w14:paraId="46A5DBB0">
      <w:pPr>
        <w:bidi w:val="0"/>
        <w:rPr>
          <w:rFonts w:hint="eastAsia"/>
          <w:color w:val="auto"/>
          <w:highlight w:val="none"/>
        </w:rPr>
      </w:pPr>
    </w:p>
    <w:p w14:paraId="234C08CE">
      <w:pPr>
        <w:bidi w:val="0"/>
        <w:rPr>
          <w:rFonts w:hint="eastAsia"/>
          <w:color w:val="auto"/>
          <w:highlight w:val="none"/>
        </w:rPr>
      </w:pPr>
    </w:p>
    <w:p w14:paraId="52B20527">
      <w:pPr>
        <w:bidi w:val="0"/>
        <w:rPr>
          <w:rFonts w:hint="eastAsia"/>
          <w:color w:val="auto"/>
          <w:highlight w:val="none"/>
        </w:rPr>
      </w:pPr>
    </w:p>
    <w:p w14:paraId="55F8CE8C">
      <w:pPr>
        <w:bidi w:val="0"/>
        <w:rPr>
          <w:rFonts w:hint="eastAsia"/>
          <w:color w:val="auto"/>
          <w:highlight w:val="none"/>
        </w:rPr>
      </w:pPr>
    </w:p>
    <w:p w14:paraId="5D13B605">
      <w:pPr>
        <w:bidi w:val="0"/>
        <w:rPr>
          <w:rFonts w:hint="eastAsia"/>
          <w:color w:val="auto"/>
          <w:highlight w:val="none"/>
        </w:rPr>
      </w:pPr>
    </w:p>
    <w:p w14:paraId="11A40980">
      <w:pPr>
        <w:pStyle w:val="16"/>
        <w:rPr>
          <w:rFonts w:hint="eastAsia"/>
          <w:b/>
          <w:color w:val="auto"/>
          <w:sz w:val="28"/>
          <w:szCs w:val="28"/>
          <w:highlight w:val="none"/>
        </w:rPr>
      </w:pPr>
    </w:p>
    <w:p w14:paraId="22DD332C">
      <w:pPr>
        <w:rPr>
          <w:rFonts w:hint="eastAsia"/>
          <w:color w:val="auto"/>
          <w:highlight w:val="none"/>
        </w:rPr>
      </w:pPr>
    </w:p>
    <w:p w14:paraId="091C1CC7">
      <w:pPr>
        <w:rPr>
          <w:rFonts w:hint="eastAsia"/>
          <w:b/>
          <w:color w:val="auto"/>
          <w:sz w:val="28"/>
          <w:szCs w:val="28"/>
          <w:highlight w:val="none"/>
        </w:rPr>
      </w:pPr>
      <w:r>
        <w:rPr>
          <w:rFonts w:hint="eastAsia"/>
          <w:b/>
          <w:color w:val="auto"/>
          <w:sz w:val="28"/>
          <w:szCs w:val="28"/>
          <w:highlight w:val="none"/>
        </w:rPr>
        <w:br w:type="page"/>
      </w:r>
    </w:p>
    <w:p w14:paraId="5E3A67E2">
      <w:pPr>
        <w:jc w:val="center"/>
        <w:outlineLvl w:val="3"/>
        <w:rPr>
          <w:b/>
          <w:color w:val="auto"/>
          <w:sz w:val="28"/>
          <w:szCs w:val="28"/>
          <w:highlight w:val="none"/>
        </w:rPr>
      </w:pPr>
      <w:r>
        <w:rPr>
          <w:rFonts w:hint="eastAsia"/>
          <w:b/>
          <w:color w:val="auto"/>
          <w:sz w:val="28"/>
          <w:szCs w:val="28"/>
          <w:highlight w:val="none"/>
        </w:rPr>
        <w:t>二、设计部分</w:t>
      </w:r>
    </w:p>
    <w:p w14:paraId="6E2531E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 一般约定</w:t>
      </w:r>
    </w:p>
    <w:p w14:paraId="36414C7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  词语定义</w:t>
      </w:r>
    </w:p>
    <w:p w14:paraId="1E8D5A8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通用合同条款、专用合同条款中的下列词语应具有本款所赋予的含义。</w:t>
      </w:r>
    </w:p>
    <w:p w14:paraId="6EE15A9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 合同</w:t>
      </w:r>
    </w:p>
    <w:p w14:paraId="5CC02D3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1.1.1.1 合同文件（或称合同）：指合同协议书、中标通知书、投标函和投标函附录、专用合同条款、通用合同条款、发包人要求、设计费用清单、设计方案，以及其他构成合同组成部分的文件。</w:t>
      </w:r>
    </w:p>
    <w:p w14:paraId="38A14E4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1.1.1.2 合同协议书：指发包人和设计人共同签署的合同协议书。</w:t>
      </w:r>
    </w:p>
    <w:p w14:paraId="1889F05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1.1.1.3 中标通知书：指发包人通知设计人中标的函件。</w:t>
      </w:r>
    </w:p>
    <w:p w14:paraId="515807C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1.1.1.4 投标函：指由设计人填写并签署的，名为</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投标函</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的函件。</w:t>
      </w:r>
    </w:p>
    <w:p w14:paraId="091DD09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1.1.1.5 投标函附录：指由设计人填写并签署的、附在投标函后，名为</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投标函附录</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的函件。</w:t>
      </w:r>
    </w:p>
    <w:p w14:paraId="117D22D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1.1.1.6 发包人要求：指合同文件中名为</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发包人要求</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的文件。</w:t>
      </w:r>
    </w:p>
    <w:p w14:paraId="107B8A7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1.1.1.7 设计方案：指</w:t>
      </w:r>
      <w:r>
        <w:rPr>
          <w:rFonts w:hint="eastAsia" w:ascii="Times New Roman" w:hAnsi="Times New Roman" w:cs="Times New Roman"/>
          <w:color w:val="auto"/>
          <w:kern w:val="2"/>
          <w:sz w:val="22"/>
          <w:szCs w:val="24"/>
          <w:highlight w:val="none"/>
        </w:rPr>
        <w:t>设计</w:t>
      </w:r>
      <w:r>
        <w:rPr>
          <w:rFonts w:ascii="Times New Roman" w:hAnsi="Times New Roman" w:cs="Times New Roman"/>
          <w:color w:val="auto"/>
          <w:kern w:val="2"/>
          <w:sz w:val="22"/>
          <w:szCs w:val="24"/>
          <w:highlight w:val="none"/>
        </w:rPr>
        <w:t>人在投标文件中的设计方案。</w:t>
      </w:r>
    </w:p>
    <w:p w14:paraId="71A3BB7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1.1.1.8 设计费用清单：指</w:t>
      </w:r>
      <w:r>
        <w:rPr>
          <w:rFonts w:hint="eastAsia" w:ascii="Times New Roman" w:hAnsi="Times New Roman" w:cs="Times New Roman"/>
          <w:color w:val="auto"/>
          <w:kern w:val="2"/>
          <w:sz w:val="22"/>
          <w:szCs w:val="24"/>
          <w:highlight w:val="none"/>
        </w:rPr>
        <w:t>设计</w:t>
      </w:r>
      <w:r>
        <w:rPr>
          <w:rFonts w:ascii="Times New Roman" w:hAnsi="Times New Roman" w:cs="Times New Roman"/>
          <w:color w:val="auto"/>
          <w:kern w:val="2"/>
          <w:sz w:val="22"/>
          <w:szCs w:val="24"/>
          <w:highlight w:val="none"/>
        </w:rPr>
        <w:t>人投标文件中的设计费用清单。</w:t>
      </w:r>
    </w:p>
    <w:p w14:paraId="7F2C972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1.1.1.9 其他合同文件：指经合同双方当事人确认构成合同文件的其他文件。</w:t>
      </w:r>
    </w:p>
    <w:p w14:paraId="5C8EB7F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 合同当事人和人员</w:t>
      </w:r>
    </w:p>
    <w:p w14:paraId="72DAD8B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1.1.2.1 合同当事人：指发包人和（或）设计人。</w:t>
      </w:r>
    </w:p>
    <w:p w14:paraId="460B1C2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1.1.2.2 发包人：指与设计人签订合同协议书的当事人，及其合法继承人。</w:t>
      </w:r>
    </w:p>
    <w:p w14:paraId="64A7EA1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1.1.2.3 设计人：指与发包人签订合同协议书的当事人，及其合法继承人。</w:t>
      </w:r>
    </w:p>
    <w:p w14:paraId="3A318A2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1.1.2.4 发包人代表：指由发包人任命，并在授权范围和期限内代表发包人行使权利和履行义务的全权负责人。</w:t>
      </w:r>
    </w:p>
    <w:p w14:paraId="36578DB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1.1.2.5 项目负责人：指由设计人任命，代表设计人行使权利和履行义务的全权负责人。</w:t>
      </w:r>
    </w:p>
    <w:p w14:paraId="38B67B9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1.1.2.6 分包人：指从设计人处分包合同中某一部分工作，并与其签订分包合同的分包人。1.1.3工程和设计</w:t>
      </w:r>
    </w:p>
    <w:p w14:paraId="5A33121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1.1.3.1 工程：指专用合同条款中指明进行设计招标的工程。</w:t>
      </w:r>
    </w:p>
    <w:p w14:paraId="493BC65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1.1.3.2 设计服务：指设计人按照合同约定履行的服务，包括编制设计文件和设计概算、预算、提供技术交底、施工配合、参加竣工验收或发包人委托的其他服务。</w:t>
      </w:r>
    </w:p>
    <w:p w14:paraId="50DCD46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1.1.3.3 设计资料：是发包人按合同约定向设计人提供的，用于完成设计服务范围与内容所需要的资料。</w:t>
      </w:r>
    </w:p>
    <w:p w14:paraId="6C1A4B9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1.1.3.4 设计文件：指设计人按合同约定向发包人提交的设计说明、图纸、图板、模型、计算书、软件和其他文件等，包括阶段性文件和最终文件，且应当采用合同中双方约定的格式和载体。</w:t>
      </w:r>
    </w:p>
    <w:p w14:paraId="618D08C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 日期</w:t>
      </w:r>
    </w:p>
    <w:p w14:paraId="3AF44F8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1.1.4.1 开始设计通知：指发包人按第6.1款通知设计人开始设计的函件。</w:t>
      </w:r>
    </w:p>
    <w:p w14:paraId="1B8299E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1.1.4.2 开始设计日期：指发包人按第6.1款发出的开始设计通知中写明的开始设计日期。</w:t>
      </w:r>
    </w:p>
    <w:p w14:paraId="3C60075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1.1.4.3 设计服务期限：指设计人在投标函中承诺的完成合同设计服务所需的期限，包括按第6.2 款、第6.4款和第6.6款约定所作的调整。</w:t>
      </w:r>
    </w:p>
    <w:p w14:paraId="14EAA74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1.1.4.4 完成设计日期：指第1.1.4.3目约定设计服务期限届满时的日期。</w:t>
      </w:r>
    </w:p>
    <w:p w14:paraId="2575062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1.1.4.5 基准日：指投标截止时间前28天的日期。</w:t>
      </w:r>
    </w:p>
    <w:p w14:paraId="0BFFACA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1.1.4.6 天：除特别指明外，指日历天。合同中按天计算时间的，开始当天不计入，从次日开始计算。期限最后一天的截止时间为当天24:00。</w:t>
      </w:r>
    </w:p>
    <w:p w14:paraId="2B8CFE3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 合同价格和费用</w:t>
      </w:r>
    </w:p>
    <w:p w14:paraId="7111866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1.1.5.1 签约合同价：指签订合同时合同协议书中写明的设计费用总金额。</w:t>
      </w:r>
    </w:p>
    <w:p w14:paraId="1AC18EA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1.1.5.2 合同价格：指设计人按合同约定完成了全部设计工作后，发包人应付给设计人的金额，包括在履行合同过程中按合同约定进行的变更和调整。</w:t>
      </w:r>
    </w:p>
    <w:p w14:paraId="4538B45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1.1.5.3 费用：指为履行合同所发生的或将要发生的所有合理开支，包括管理费和应分摊的其他费用，但不包括利润。</w:t>
      </w:r>
    </w:p>
    <w:p w14:paraId="45E8FF0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1.1.6 其他</w:t>
      </w:r>
    </w:p>
    <w:p w14:paraId="2EAC2F9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1.1.6.1 书面形式：指合同文件、信件和数据电文（包括电报、电传、传真、电子数据交换和电子邮件）等可以有形地表现所载内容的形式。</w:t>
      </w:r>
    </w:p>
    <w:p w14:paraId="42EE47A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  语言文字</w:t>
      </w:r>
    </w:p>
    <w:p w14:paraId="4F73E75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合同使用的语言文字为中文。专用术语使用外文的，应附有中文注释。</w:t>
      </w:r>
    </w:p>
    <w:p w14:paraId="238ED6C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  适用法律</w:t>
      </w:r>
    </w:p>
    <w:p w14:paraId="29BADA1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适用于合同的法律包括中华人民共和国法律、行政法规、部门规章，以及工程所在地的地方法规、自治条例、单行条例和地方政府规章。</w:t>
      </w:r>
    </w:p>
    <w:p w14:paraId="1C3F25B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本合同适用的其他规范性文件，可在专用合同条款中约定。</w:t>
      </w:r>
    </w:p>
    <w:p w14:paraId="5A312DF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  合同文件的优先顺序</w:t>
      </w:r>
    </w:p>
    <w:p w14:paraId="2687EE0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组成合同的各项文件应互相解释，互为说明。除专用合同条款另有约定外，解释合同文件的优先顺序如下：</w:t>
      </w:r>
    </w:p>
    <w:p w14:paraId="5A2345D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（1）合同协议书；</w:t>
      </w:r>
    </w:p>
    <w:p w14:paraId="11FABF2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（2）中标通知书；</w:t>
      </w:r>
    </w:p>
    <w:p w14:paraId="05CFCB9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（3）投标函及投标函附录；</w:t>
      </w:r>
    </w:p>
    <w:p w14:paraId="377E3A4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（4）专用合同条款；</w:t>
      </w:r>
    </w:p>
    <w:p w14:paraId="02B7B2B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（5）通用合同条款；</w:t>
      </w:r>
    </w:p>
    <w:p w14:paraId="5A8CDC6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（6）发包人要求；</w:t>
      </w:r>
    </w:p>
    <w:p w14:paraId="08BE537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（7）设计费用清单；</w:t>
      </w:r>
    </w:p>
    <w:p w14:paraId="5D13E3E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（8）设计方案；</w:t>
      </w:r>
    </w:p>
    <w:p w14:paraId="524713D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（9）其他合同文件。</w:t>
      </w:r>
    </w:p>
    <w:p w14:paraId="31D27D7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1.5  合同协议书</w:t>
      </w:r>
    </w:p>
    <w:p w14:paraId="3836FC8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设计人按中标通知书规定的时间与发包人签订合同协议书。除法律另有规定或合同另有约 定外，发包人和设计人的法定代表人或其委托代理人在合同协议书上签字并盖单位章后，合同生效。</w:t>
      </w:r>
    </w:p>
    <w:p w14:paraId="6479526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  文件的提供和照管</w:t>
      </w:r>
    </w:p>
    <w:p w14:paraId="2AE98AE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1.6.1 设计文件的提供 除专用合同条款另有约定外，设计人应在合理的期限内按照合同约定的数量向发包人提供</w:t>
      </w:r>
    </w:p>
    <w:p w14:paraId="2AF3CDF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设计文件。合同约定设计文件应经发包人批复的，发包人应当在合同约定的期限内批复或提出修改意见。</w:t>
      </w:r>
    </w:p>
    <w:p w14:paraId="1C2425E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1.6.2 发包人提供的文件按专用合同条款约定由发包人提供的文件，包括基础资料、勘察报告、设计任务书等，发包人应按约定的数量和期限交给设计人。由于发包人未按时提供文件造成设计服务期限延误的，按第 6.2 款约定执行。</w:t>
      </w:r>
    </w:p>
    <w:p w14:paraId="7C0826C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1.6.3 文件错误的通知任何一方当事人发现文件中存在的明显错误或疏忽，均应及时通知对方当事人，并应立即采取适当的措施防止损失扩大。</w:t>
      </w:r>
    </w:p>
    <w:p w14:paraId="5341837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1.7  联络</w:t>
      </w:r>
    </w:p>
    <w:p w14:paraId="1EA9587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1.7.1 与合同有关的通知、批准、证明、证书、指示、要求、请求、同意、意见、确定和决定等，均应采用书面形式。</w:t>
      </w:r>
    </w:p>
    <w:p w14:paraId="475BC77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1.7.2 上述通知、批准、证明、证书、指示、要求、请求、同意、意见、确定和决定等来往函件，均应在合同约定的期限内送达指定的地点和指定的接收人，并办理签收手续。</w:t>
      </w:r>
    </w:p>
    <w:p w14:paraId="5086AC7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1.8  转让</w:t>
      </w:r>
    </w:p>
    <w:p w14:paraId="609C874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除专用合同条款另有约定外，未经对方当事人同意，一方当事人不得将合同权利全部或部分转让给第三人，也不得全部或部分转移合同义务。</w:t>
      </w:r>
    </w:p>
    <w:p w14:paraId="11621C3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1.9  严禁贿赂</w:t>
      </w:r>
    </w:p>
    <w:p w14:paraId="070228D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合同双方当事人不得以贿赂或变相贿赂的方式，谋取不当利益或损害对方权益。因贿赂造成对方当事人损失的，行为人应当赔偿损失，并承担相应的法律责任。</w:t>
      </w:r>
    </w:p>
    <w:p w14:paraId="530B01D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  知识产权</w:t>
      </w:r>
    </w:p>
    <w:p w14:paraId="7403100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1.10.1 除专用合同条款另有约定外，设计人完成的设计工作成果，除署名权以外的著作权和其他知识产权均归发包人享有。</w:t>
      </w:r>
    </w:p>
    <w:p w14:paraId="3E122A0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1.10.2 设计人在从事设计活动时，不得侵犯他人的知识产权。因侵犯专利权或其他知识产权所引起的责任，由设计人自行承担。因发包人提供的设计资料导致侵权的，由发包人承担责任。</w:t>
      </w:r>
    </w:p>
    <w:p w14:paraId="50D3404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1.10.3 设计人在投标文件中采用专利技术、专有技术的，相应的使用费视为已包含在投标报价之中。</w:t>
      </w:r>
    </w:p>
    <w:p w14:paraId="49204CD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 文件及信息的保密</w:t>
      </w:r>
    </w:p>
    <w:p w14:paraId="42BFC88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未经对方同意，任何一方当事人不得将有关文件、技术秘密、需要保密的资料和信息泄露给他人或公开发表与引用。</w:t>
      </w:r>
    </w:p>
    <w:p w14:paraId="14ECB51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  发包人要求</w:t>
      </w:r>
    </w:p>
    <w:p w14:paraId="2D66E60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1.12.1 设计人应认真阅读、复核发包人要求，发现错误的，应及时书面通知发包人。无论是否存在错误，发包人均有权修改发包人要求，并在修改后3日内通知设计人。除专用合同条款另有约定外，由此导致设计人费用增加和(或)周期延误的，发包人应当相应地增加费用和(或)延长周期。</w:t>
      </w:r>
    </w:p>
    <w:p w14:paraId="028C1E8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406690D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1.12.3 发包人要求采用国外规范和标准进行设计时，应由发包人负责提供该规范和标准的外国文本和中文译本，提供的时间、份数和其他要求在专用合同条款中约定。</w:t>
      </w:r>
    </w:p>
    <w:p w14:paraId="633DD23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 发包人义务</w:t>
      </w:r>
    </w:p>
    <w:p w14:paraId="62F3D8D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2.1  遵守法律</w:t>
      </w:r>
    </w:p>
    <w:p w14:paraId="4BC2B1C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发包人在履行合同过程中应遵守法律，并保证设计人免于承担因发包人违反法律而引起的任何责任。</w:t>
      </w:r>
    </w:p>
    <w:p w14:paraId="4CEB3AB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2.2  发出开始设计通知</w:t>
      </w:r>
    </w:p>
    <w:p w14:paraId="4FCC265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发包人应按第 6.1 款的约定向设计人发出开始设计通知。</w:t>
      </w:r>
    </w:p>
    <w:p w14:paraId="1C35A49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2.3  办理证件和批件</w:t>
      </w:r>
    </w:p>
    <w:p w14:paraId="70B2EB8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法律规定和（或）合同约定由发包人负责办理的工程建设项目必须履行的各类审批、核准或备案手续，发包人应当按时办理，设计人应给予必要的协助。</w:t>
      </w:r>
    </w:p>
    <w:p w14:paraId="7B18F4B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法律规定和（或）合同约定由设计人负责办理的设计所需的证件和批件，发包人应给予必要的协助。</w:t>
      </w:r>
    </w:p>
    <w:p w14:paraId="4B59C1F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2.4  支付合同价款</w:t>
      </w:r>
    </w:p>
    <w:p w14:paraId="50520BC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发包人应按合同约定向设计人及时支付合同价款。</w:t>
      </w:r>
    </w:p>
    <w:p w14:paraId="0E5189C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2.5  提供设计资料</w:t>
      </w:r>
    </w:p>
    <w:p w14:paraId="367F50C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发包人应按第 1.6.2 项的约定向设计人提供设计资料。</w:t>
      </w:r>
    </w:p>
    <w:p w14:paraId="64C8275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2.6  其他义务</w:t>
      </w:r>
    </w:p>
    <w:p w14:paraId="23DCB54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发包人应履行合同约定的其他义务。</w:t>
      </w:r>
    </w:p>
    <w:p w14:paraId="7EFE0EE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 发包人管理</w:t>
      </w:r>
    </w:p>
    <w:p w14:paraId="2237713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  发包人代表</w:t>
      </w:r>
    </w:p>
    <w:p w14:paraId="15302CA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3.1.1 除专用合同条款另有约定外，发包人应在合同签订后14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3895C51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3.1.2 发包人代表违反法律法规、违背职业道德守则或者不按合同约定履行职责及义务，导致合同无法继续正常履行的，设计人有权通知发包人更换发包人代表。发包人收到通知后7天内，应当核实完毕并将处理结果通知设计人。</w:t>
      </w:r>
    </w:p>
    <w:p w14:paraId="0654CC4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3.1.3 发包人更换发包人代表的，应提前14天将更换人员的姓名、职务、联系方式、授权范围和授权期限书面通知设计人。</w:t>
      </w:r>
    </w:p>
    <w:p w14:paraId="0C42240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3.1.4 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14:paraId="2A575AA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3.2  监理人</w:t>
      </w:r>
    </w:p>
    <w:p w14:paraId="64B289B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780D955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3.2.2 合同约定应由设计人承担的义务和责任，不因监理人对设计文件的审查或批准，以及为实施监理作出的指示等职务行为而减轻或解除。</w:t>
      </w:r>
    </w:p>
    <w:p w14:paraId="49668EA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  发包人的指示</w:t>
      </w:r>
    </w:p>
    <w:p w14:paraId="379886B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3.3.1 发包人应按合同约定向设计人发出指示，发包人的指示应盖有发包人单位章，并由发包人代表签字确认。</w:t>
      </w:r>
    </w:p>
    <w:p w14:paraId="1C35897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3.3.2 设计人收到发包人作出的指示后应遵照执行。指示构成变更的，应按第11条执行。</w:t>
      </w:r>
    </w:p>
    <w:p w14:paraId="21CF267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3.3.3 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14:paraId="0F6592F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3.3.4 除专用合同条款另有约定外，设计人只从发包人代表或按第3.1.4项约定的被授权人员处取得指示。</w:t>
      </w:r>
    </w:p>
    <w:p w14:paraId="19E99E6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3.3.5 由于发包人未能按合同约定发出指示、指示延误或指示错误而导致设计人费用增加和（或）周期延误的，发包人应承担由此增加的费用和（或）周期延误。</w:t>
      </w:r>
    </w:p>
    <w:p w14:paraId="02381CC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3.4  决定或答复</w:t>
      </w:r>
    </w:p>
    <w:p w14:paraId="7326965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3.4.1 发包人在法律允许的范围内有权对设计人的设计工作和/或设计文件作出处理决定， 设计人应按照发包人的决定执行，涉及设计服务期限或设计费用等问题按第 11 条的约定处理。</w:t>
      </w:r>
    </w:p>
    <w:p w14:paraId="07E314A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3.4.2 发包人应在专用合同条款约定的时间之内，对设计人书面提出的事项作出书面答复；逾期没有做出答复的，视为已获得发包人的批准。</w:t>
      </w:r>
    </w:p>
    <w:p w14:paraId="5AD3897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 设计人义务</w:t>
      </w:r>
    </w:p>
    <w:p w14:paraId="1F9BA7F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  设计人的一般义务</w:t>
      </w:r>
    </w:p>
    <w:p w14:paraId="4E4A10B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4.1.1 遵守法律 设计人在履行合同过程中应遵守法律，并保证发包人免于承担因设计人违反法律而引起的任何责任。</w:t>
      </w:r>
    </w:p>
    <w:p w14:paraId="2A8BE32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4.1.2 依法纳税设计人应按有关法律规定纳税，应缴纳的税金（含增值税）包括在合同价格之中。</w:t>
      </w:r>
    </w:p>
    <w:p w14:paraId="5624852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4.1.3 完成全部设计工作 设计人应按合同约定以及发包人要求，完成合同约定的全部工作，并对工作中的任何缺陷进行整改、完善和修补，使其满足合同约定的目的。设计人应按合同约定提供设计文件及相关 服务等。</w:t>
      </w:r>
    </w:p>
    <w:p w14:paraId="1B62ECE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4.1.4 其他义务设计人应履行合同约定的其他义务。</w:t>
      </w:r>
    </w:p>
    <w:p w14:paraId="7463713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4.2  履约保证金</w:t>
      </w:r>
    </w:p>
    <w:p w14:paraId="42A37DC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除专用合同条款另有约定外，履约保证金自合同生效之日起生效，在发包人签收最后一批设计成果文件之日起 28 日后失效。如果设计人不履行合同约定的义务或其履行不符合合同的约定，发包人有权扣划相应金额的履约保证金。</w:t>
      </w:r>
    </w:p>
    <w:p w14:paraId="6B17147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  分包和不得转包</w:t>
      </w:r>
    </w:p>
    <w:p w14:paraId="5614781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4.3.1 设计人不得将其设计的全部工作转包给第三人。</w:t>
      </w:r>
    </w:p>
    <w:p w14:paraId="4AF9DBF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4.3.2 设计人不得将设计的主体、关键性工作分包给第三人。除专用合同条款另有约定外，未经发包人同意，设计人也不得将非主体、非关键性工作分包给第三人。</w:t>
      </w:r>
    </w:p>
    <w:p w14:paraId="098CE2A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4.3.3 发包人同意设计人分包工作的，设计人应向发包人提交 1 份分包合同副本，并对分包设计工作质量承担连带责任。除专用合同条款另有约定外，分包人的设计费用由设计人与分包人自行支付。</w:t>
      </w:r>
    </w:p>
    <w:p w14:paraId="3489817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4.3.4 分包人的资格能力应与其分包工作的标准和规模相适应，包括必要的企业资质、人员、 设备和类似业绩等。</w:t>
      </w:r>
    </w:p>
    <w:p w14:paraId="17C8296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  联合体</w:t>
      </w:r>
    </w:p>
    <w:p w14:paraId="44E31FA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4.4.1 联合体各方应共同与发包人签订合同。联合体各方应为履行合同承担连带责任。</w:t>
      </w:r>
    </w:p>
    <w:p w14:paraId="0E11D47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4.4.2 联合体协议经发包人确认后作为合同附件。在履行合同过程中，未经发包人同意，不得修改联合体协议。</w:t>
      </w:r>
    </w:p>
    <w:p w14:paraId="68402BF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4.4.3 联合体牵头人或联合体授权的代表负责与发包人联系，并接受指示，负责组织联合体各成员全面履行合同。</w:t>
      </w:r>
    </w:p>
    <w:p w14:paraId="71604B8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  项目负责人</w:t>
      </w:r>
    </w:p>
    <w:p w14:paraId="6DEC55F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4.5.1 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28833A8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4.5.2 项目负责人应按合同约定以及发包人要求，负责组织合同工作的实施。在情况紧急且无法与发包人取得联系时，可采取保证工程和人员生命财产安全的紧急措施，并在采取措施后24 小时内向发包人提交书面报告。</w:t>
      </w:r>
    </w:p>
    <w:p w14:paraId="4A9A9A9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4.5.3 设计人为履行合同发出的一切函件均应盖有设计人单位章，并由设计人的项目负责人签字确认。</w:t>
      </w:r>
    </w:p>
    <w:p w14:paraId="1022F0C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4.5.4 按照专用合同条款约定，项目负责人可以授权其下属人员履行其某项职责，但事先应将这些人员的姓名和授权范围书面通知发包人。</w:t>
      </w:r>
    </w:p>
    <w:p w14:paraId="0526C56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  设计人员的管理</w:t>
      </w:r>
    </w:p>
    <w:p w14:paraId="33AB31E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4.6.1 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684CBDA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4.6.2 除专用合同条款另有约定外，主要设计人员包括项目负责人、专业负责人、审核人、审定人等；其他人员包括各专业的设计人员、管理人员等。</w:t>
      </w:r>
    </w:p>
    <w:p w14:paraId="3384107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4.6.3 设计人应保证其主要设计人员（含分包人）在合同期限内的任何时候，都能按时参加发包人组织的工作会议。</w:t>
      </w:r>
    </w:p>
    <w:p w14:paraId="08973E5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4.6.4 国家规定应当持证上岗的工作人员均应持有相应的资格证明，发包人有权随时检查。 发包人认为有必要时，可以进行现场考核。</w:t>
      </w:r>
    </w:p>
    <w:p w14:paraId="50A833E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4.7  撤换项目负责人和其他人员</w:t>
      </w:r>
    </w:p>
    <w:p w14:paraId="2D5F3C7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设计人应对其项目负责人和其他人员进行有效管理。发包人要求撤换不能胜任本职工作、行为不端或玩忽职守的项目负责人和其他人员的，设计人应予以撤换。</w:t>
      </w:r>
    </w:p>
    <w:p w14:paraId="4183972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  保障人员的合法权益</w:t>
      </w:r>
    </w:p>
    <w:p w14:paraId="1A8B4FF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4.8.1 设计人应与其雇佣的人员签订劳动合同，并按时发放工资。</w:t>
      </w:r>
    </w:p>
    <w:p w14:paraId="6071E6C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4.8.2 设计人应按劳动法的规定安排工作时间，保证其雇佣人员享有休息和休假的权利。因设计需要占用休假日或延长工作时间的，应不超过法律规定的限度，并按法律规定给予补休或付酬。</w:t>
      </w:r>
    </w:p>
    <w:p w14:paraId="47FC5E1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4.8.3 设计人应按有关法律规定和合同约定，为其雇佣人员办理保险。</w:t>
      </w:r>
    </w:p>
    <w:p w14:paraId="09F80E3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4.9  合同价款应专款专用</w:t>
      </w:r>
    </w:p>
    <w:p w14:paraId="64BCC9C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发包人按合同约定支付给设计人的各项价款，应专用于合同设计工作。</w:t>
      </w:r>
    </w:p>
    <w:p w14:paraId="15C838F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 设计要求</w:t>
      </w:r>
    </w:p>
    <w:p w14:paraId="7C03870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  一般要求</w:t>
      </w:r>
    </w:p>
    <w:p w14:paraId="6475E84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5.1.1 发包人应当遵守法律和规范标准，不得以任何理由要求设计人违反法律和工程质量、 安全标准进行设计服务，降低工程质量。</w:t>
      </w:r>
    </w:p>
    <w:p w14:paraId="5B28598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5.1.2 设计人应按照法律规定，以及国家、行业和地方的规范和标准完成设计工作，并应符合发包人要求。各项规范、标准和发包人要求之间如对同一内容的描述不一致时，应以描述更为严格的内容为准。</w:t>
      </w:r>
    </w:p>
    <w:p w14:paraId="639ACE9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5.1.3 除专用合同条款另有约定外，设计人完成设计工作所应遵守的法律规定，以及国家、 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77AF3B5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5.1.4  设计人在设计服务中选用的材料、设备，应当注明其规格、型号、性能等技术指标及适应性，满足质量、安全、节能、环保等要求。</w:t>
      </w:r>
    </w:p>
    <w:p w14:paraId="5889C95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5.2  设计依据</w:t>
      </w:r>
    </w:p>
    <w:p w14:paraId="50E0570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除专用合同条款另有约定外，本工程的设计依据如下：</w:t>
      </w:r>
    </w:p>
    <w:p w14:paraId="0A67B09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（1）适用的法律、行政法规及部门规章；</w:t>
      </w:r>
    </w:p>
    <w:p w14:paraId="2F478DC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（2）与工程有关的规范、标准、规程；</w:t>
      </w:r>
    </w:p>
    <w:p w14:paraId="7DA0F4D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（3）工程基础资料及其他文件；</w:t>
      </w:r>
    </w:p>
    <w:p w14:paraId="75C1691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（4）本设计服务合同及补充合同；</w:t>
      </w:r>
    </w:p>
    <w:p w14:paraId="7CD6A93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（5）本工程勘察文件和施工需求；</w:t>
      </w:r>
    </w:p>
    <w:p w14:paraId="04F8713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（6）合同履行中与设计服务有关的来往函件；</w:t>
      </w:r>
    </w:p>
    <w:p w14:paraId="4744728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（7）其他设计依据。</w:t>
      </w:r>
    </w:p>
    <w:p w14:paraId="55D17C4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  设计范围</w:t>
      </w:r>
    </w:p>
    <w:p w14:paraId="3EB9896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5.3.1 本合同的设计范围包括工程范围、阶段范围和工作范围，具体设计范围应当根据三者之间的关联内容进行确定。</w:t>
      </w:r>
    </w:p>
    <w:p w14:paraId="0111748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5.3.2 工程范围指所设计工程的建设内容，具体范围在专用合同条款中约定。</w:t>
      </w:r>
    </w:p>
    <w:p w14:paraId="4E380D0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5.3.3 阶段范围指工程建设程序中的方案设计、初步设计、扩大初步（招标）设计、施工图设计等阶段中的一个或者多个阶段，具体范围在专用合同条款中约定。</w:t>
      </w:r>
    </w:p>
    <w:p w14:paraId="6BAF0C3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5.3.4 工作范围指编制设计文件、编制设计概算、预算、提供技术交底、施工配合、参加试车（试运行）、编制竣工图、竣工验收和发包人委托的其他服务中的一项或者多项工作，具体范围在专用合同条款中约定。</w:t>
      </w:r>
    </w:p>
    <w:p w14:paraId="1935264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  设计文件要求</w:t>
      </w:r>
    </w:p>
    <w:p w14:paraId="7F89510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5.4.1 设计文件的编制应符合法律法规、规范标准的强制性规定和发包人要求，相关设计依据应完整、准确、可靠，设计方案论证充分，计算成果规范可靠，并能够实施。</w:t>
      </w:r>
    </w:p>
    <w:p w14:paraId="0DDA544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5.4.2 设计服务应当根据法律、规范标准和发包人要求，保证工程的合理使用寿命年限，并在设计文件中予以注明。</w:t>
      </w:r>
    </w:p>
    <w:p w14:paraId="394442C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5.4.3 设计文件的深度应满足本合同相应设计阶段的规定要求，满足发包人的下步工作需要，并应符合国家和行业现行规定。</w:t>
      </w:r>
    </w:p>
    <w:p w14:paraId="4E170BD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5.4.4 设计文件必须保证工程质量和施工安全等方面的要求，按照有关法律法规规定在设计 文件中提出保障施工作业人员安全和预防生产安全事故的措施建议。</w:t>
      </w:r>
    </w:p>
    <w:p w14:paraId="7818326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 开始设计和完成设计</w:t>
      </w:r>
    </w:p>
    <w:p w14:paraId="2E2564B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6.1  开始设计</w:t>
      </w:r>
    </w:p>
    <w:p w14:paraId="57F64F7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6.1.1 符合专用合同条款约定的开始设计条件的，发包人应提前 7 天向设计人发出开始设计 通知。设计服务期限自开始设计通知中载明的开始设计日期起计算。</w:t>
      </w:r>
    </w:p>
    <w:p w14:paraId="0E168B3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6.1.2 除专用合同条款另有约定外，因发包人原因造成合同签订之日起90天内未能发出开 始设计通知的，设计人有权提出价格调整要求，或者解除合同。发包人应当承担由此增加的费用和（或）周期延误。</w:t>
      </w:r>
    </w:p>
    <w:p w14:paraId="5E23B44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6.2  发包人引起的周期延误</w:t>
      </w:r>
    </w:p>
    <w:p w14:paraId="488ED9F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在履行合同过程中，由于发包人的下列原因造成设计服务期限延误的，发包人应当延长设计服务期限并增加设计费用，具体方法在专用合同条款中约定。</w:t>
      </w:r>
    </w:p>
    <w:p w14:paraId="19DC943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（1）合同变更；</w:t>
      </w:r>
    </w:p>
    <w:p w14:paraId="0ADC12C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（2）未按合同约定期限及时答复设计事项；</w:t>
      </w:r>
    </w:p>
    <w:p w14:paraId="68352E1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（3）因发包人原因导致的暂停设计；</w:t>
      </w:r>
    </w:p>
    <w:p w14:paraId="3359B62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（4）未按合同约定及时支付设计费用；</w:t>
      </w:r>
    </w:p>
    <w:p w14:paraId="1BA4046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（5）发包人提供的基准资料错误；</w:t>
      </w:r>
    </w:p>
    <w:p w14:paraId="5F29867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（6）未及时按照履行合同约定的相关义务；</w:t>
      </w:r>
    </w:p>
    <w:p w14:paraId="7E098DE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（7）未能按照合同约定期限对设计文件进行审查；</w:t>
      </w:r>
    </w:p>
    <w:p w14:paraId="0D8F9CD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（8）发包人造成周期延误的其他原因。</w:t>
      </w:r>
    </w:p>
    <w:p w14:paraId="5F186FB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6.3  设计人引起的周期延误</w:t>
      </w:r>
    </w:p>
    <w:p w14:paraId="3C6F3D9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由于设计人原因造成周期延误，设计人应支付逾期违约金。逾期违约金的计算方法和最高限额在专用合同条款中约定。</w:t>
      </w:r>
    </w:p>
    <w:p w14:paraId="3AEA9B6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6.4  第三人引起的周期延误</w:t>
      </w:r>
    </w:p>
    <w:p w14:paraId="61B2291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由于行政管理部门审查或其他第三人原因造成费用增加和（或）周期延误的，由发包人承担。</w:t>
      </w:r>
    </w:p>
    <w:p w14:paraId="11C9C75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6.5  完成设计</w:t>
      </w:r>
    </w:p>
    <w:p w14:paraId="425FA60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6.5.1 设计人完成设计服务之后，应当根据法律、规范标准、合同约定和发包人要求编制设计文件。</w:t>
      </w:r>
    </w:p>
    <w:p w14:paraId="1054028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6.5.2 设计文件是工程设计的最终成果和施工的重要依据，应当根据本工程的设计内容和不 同阶段的设计任务、目的和要求等进行编制。设计文件的内容和深度应当满足对应阶段的规范要求。</w:t>
      </w:r>
    </w:p>
    <w:p w14:paraId="552437A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6.5.3 除专用合同条款另有约定外，设计文件包括纸质文件和电子文件两种形式，两者若有不一致时，应以纸质文件为准。纸质文件一式八份，应当加盖单位章和项目负责人注册执业印章；电子文件中的文字为 WORD 格式、图形为 CAD 格式，并应使用光盘和 U 盘分别贮存。</w:t>
      </w:r>
    </w:p>
    <w:p w14:paraId="172E4A0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  提前完成设计</w:t>
      </w:r>
    </w:p>
    <w:p w14:paraId="6848886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14:paraId="220732D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6.6.2 发包人要求提前完成设计但设计人认为无法实施的，应在收到发包人书面指示后7天 内提出异议，说明不能提前完成的理由。发包人应在收到异议后7天内予以答复。任何情况下，发包人不得压缩合理的设计服务期限。</w:t>
      </w:r>
    </w:p>
    <w:p w14:paraId="28EACC1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6.6.3 由于设计人提前完成设计而给发包人带来经济效益的，发包人可以在专用合同条款中约定设计人因此获得的奖励内容。</w:t>
      </w:r>
    </w:p>
    <w:p w14:paraId="3FEE8D6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 暂停设计</w:t>
      </w:r>
    </w:p>
    <w:p w14:paraId="53A2838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7.1  发包人原因暂停设计</w:t>
      </w:r>
    </w:p>
    <w:p w14:paraId="4B1ABF2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合同履行中发生下列情形之一的，设计人可向发包人发出通知，要求发包人采取有效措施予以纠正。发包人收到设计人通知后的 28 天内仍不履行合同义务时，设计人有权暂停设计并通知发包人；发包人应承担由此导致的费用增加和（或）周期延误。</w:t>
      </w:r>
    </w:p>
    <w:p w14:paraId="25880A2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（1）发包人违约；</w:t>
      </w:r>
    </w:p>
    <w:p w14:paraId="4322CE3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（2）发包人确定暂停设计；</w:t>
      </w:r>
    </w:p>
    <w:p w14:paraId="42E6A2A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（3）合同约定由发包人承担责任的其他情形。</w:t>
      </w:r>
    </w:p>
    <w:p w14:paraId="3161767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7.2  设计人原因暂停设计</w:t>
      </w:r>
    </w:p>
    <w:p w14:paraId="642703F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合同履行中发生下列情形之一的，发包人可向设计人发出通知暂停设计，由此造成费用的 增加和（或）周期延误由设计人承担：</w:t>
      </w:r>
    </w:p>
    <w:p w14:paraId="271D753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 设计人违约；</w:t>
      </w:r>
    </w:p>
    <w:p w14:paraId="72F5CE3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 设计人擅自暂停设计；</w:t>
      </w:r>
    </w:p>
    <w:p w14:paraId="60F7EAA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 合同约定由设计人承担责任的其他情形。</w:t>
      </w:r>
    </w:p>
    <w:p w14:paraId="4173FD2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7.3  暂停期间的文件照管</w:t>
      </w:r>
    </w:p>
    <w:p w14:paraId="5AD764E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不论由于何种原因引起暂停设计的，暂停期间设计人应负责妥善保护已完部分的设计文件，由此增加的费用由责任方承担。</w:t>
      </w:r>
    </w:p>
    <w:p w14:paraId="77AD617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 设计文件</w:t>
      </w:r>
    </w:p>
    <w:p w14:paraId="7E68155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  设计文件接收</w:t>
      </w:r>
    </w:p>
    <w:p w14:paraId="28A636F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8.1.1 发包人应当及时接收设计人提交的设计文件。如无正当理由拒收的，视为发包人已经接收设计文件。</w:t>
      </w:r>
    </w:p>
    <w:p w14:paraId="3E4485F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8.1.2 发包人接收设计文件时，应向设计人出具文件签收凭证，凭证内容包括图纸名称、图纸内容、图纸形式、份数、提交和接收日期、提交人与接收人的亲笔签名等。</w:t>
      </w:r>
    </w:p>
    <w:p w14:paraId="41150E8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8.1.3 设计文件提交的份数、内容、纸幅、装订格式、电子文件、展板、模型、沙盘、动画等要求，在专用合同条款中约定。</w:t>
      </w:r>
    </w:p>
    <w:p w14:paraId="5CF54E2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  发包人审查设计文件</w:t>
      </w:r>
    </w:p>
    <w:p w14:paraId="2B67DCC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14:paraId="59B0537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8.2.2 除专用合同条款另有约定外，发包人对于设计文件的审查期限，自文件接收之日起不应超过 14 天。发包人逾期未做出审查结论且未提出异议的，视为设计人的设计文件已经通过发包人审查。</w:t>
      </w:r>
    </w:p>
    <w:p w14:paraId="7D18B5A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8.2.3 发包人审查后不同意设计文件的，应以书面形式通知设计人，说明审查不通过的理由及其具体内容。设计人应根据发包人的审查意见修改完善设计文件，并重新报送发包人审查，审查期限重新起算。</w:t>
      </w:r>
    </w:p>
    <w:p w14:paraId="16D4D91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  审查机构审查设计文件</w:t>
      </w:r>
    </w:p>
    <w:p w14:paraId="29093CA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8.3.1 设计文件需经政府有关部门审查或批准的，发包人应在审查同意后，按照有关主管部门要求，将设计文件和相关资料报送施工图审查机构进行审查。发包人的审查和施工图审查机构的审查不减免设计人因为质量问题而应承担的设计责任。</w:t>
      </w:r>
    </w:p>
    <w:p w14:paraId="4078CC6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0FE0B88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8.3.3 由于自身原因造成设计文件未通过审查机构审查的，设计人应当承担违约责任，采取补救措施直至达到合同约定的质量标准，并自行承担由此导致的费用增加和（或）周期延误。</w:t>
      </w:r>
    </w:p>
    <w:p w14:paraId="01BFC08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 设计责任与保险</w:t>
      </w:r>
    </w:p>
    <w:p w14:paraId="56C7858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  工作质量责任</w:t>
      </w:r>
    </w:p>
    <w:p w14:paraId="2C06AFB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9.1.1 设计工作质量应满足法律规定、规范标准、合同约定和发包人要求等。</w:t>
      </w:r>
    </w:p>
    <w:p w14:paraId="1AE98A2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9.1.2 设计人应做好设计服务的质量与技术管理工作，建立健全内部质量管理体系和质量责任制度，加强设计服务全过程的质量控制，建立完整的设计文件的设计、复核、审核、会签和批准制度，明确各阶段的责任人。</w:t>
      </w:r>
    </w:p>
    <w:p w14:paraId="0F42162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9.1.3 设计人应按合同约定对设计服务进行全过程的质量检查和检验，并作详细记录，编制设计工作质量报表，报送发包人审查。</w:t>
      </w:r>
    </w:p>
    <w:p w14:paraId="28B21A3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170C6BC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  设计文件错误责任</w:t>
      </w:r>
    </w:p>
    <w:p w14:paraId="5471A8A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9.2.1 设计文件存在错误、遗漏、含混、矛盾、不充分之处或其他缺陷，无论设计人是否通过了发包人审查或审查机构审查，设计人均应自费对前述问题带来的缺陷和工程问题进行改正， 但因第1.6.2 项约定由发包人提供的文件错误导致的除外。</w:t>
      </w:r>
    </w:p>
    <w:p w14:paraId="6457511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9.2.2 因设计人原因造成设计文件不合格的，发包人有权要求设计人采取补救措施，直至达到合同要求的质量标准，并按第 14.1 款的约定承担责任。</w:t>
      </w:r>
    </w:p>
    <w:p w14:paraId="6F80E83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9.2.3 因发包人原因造成设计文件不合格的，设计人应当采取补救措施，直至达到合同要求的质量标准，由此造成的设计费用增加和（或）设计服务期限延误由发包人承担。</w:t>
      </w:r>
    </w:p>
    <w:p w14:paraId="715D9EB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  设计责任主体</w:t>
      </w:r>
    </w:p>
    <w:p w14:paraId="62134DC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9.3.1 设计人应运用一切合理的专业技术、知识技能和项目经验，按照职业道德准则和行业公认标准尽其全部职责，勤勉、谨慎、公正地履行其在本合同项下的责任和义务。</w:t>
      </w:r>
    </w:p>
    <w:p w14:paraId="711FF03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9.3.2 设计责任为设计单位项目负责人终身责任制。项目负责人应当保证设计文件符合法律法规和工程建设强制性标准的要求，对因设计导致的工程质量事故或质量问题承担责任。</w:t>
      </w:r>
    </w:p>
    <w:p w14:paraId="47D50A6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9.3.3 项目负责人应当在办理工程质量监督手续前签署工程质量终身责任承诺书，连同法定代表人出具的授权书，报工程质量监督机构备案。</w:t>
      </w:r>
    </w:p>
    <w:p w14:paraId="2FAB0F0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  设计责任保险</w:t>
      </w:r>
    </w:p>
    <w:p w14:paraId="057D7C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12FA0DD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9.4.2 工程设计责任险的保险范围，应当包括由于设计人的疏忽或过失而造成的工程质量事故损失，以及由于事故引发的第三者人身伤亡、财产损失或费用赔偿等。</w:t>
      </w:r>
    </w:p>
    <w:p w14:paraId="748DA47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9.4.3 发生工程设计保险事故后，设计人应按保险人要求进行报告，并负责办理保险理赔业务；保险金不足以补偿损失的，由设计人自行补偿。</w:t>
      </w:r>
    </w:p>
    <w:p w14:paraId="3CA62A8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 施工期间配合</w:t>
      </w:r>
    </w:p>
    <w:p w14:paraId="1450104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10.1 施工配合指设计人配合施工承包人，在施工期间提供的设计服务或其他配合工作，直至工程通过竣工验收为止。</w:t>
      </w:r>
    </w:p>
    <w:p w14:paraId="68CCDE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10.2 除专用合同条款另有约定外，发包人应为设计人派赴施工现场的工作人员，在施工期间提供办公房间、办公桌椅、互联网接口、冷暖设施、生活设施、进出现场交通服务和其他便利条件。</w:t>
      </w:r>
    </w:p>
    <w:p w14:paraId="05C03E2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10.3 设计人应在本工程的施工期间，积极提供设计配合服务，包括并不限于设计技术交底、施工现场服务、参与施工过程验收、参与投产试车（试运行）、参与工程竣工验收等工作。</w:t>
      </w:r>
    </w:p>
    <w:p w14:paraId="100D12F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10.4 发包人应当组织设计技术交底会，由设计人向发包人、监理人和施工承包人等进行设计交底，对本工程的设计意图、设计文件和施工要求等进行系统地说明和解释。</w:t>
      </w:r>
    </w:p>
    <w:p w14:paraId="5D742B2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237FDC0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 合同变更</w:t>
      </w:r>
    </w:p>
    <w:p w14:paraId="6EECBE3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 变更情形</w:t>
      </w:r>
    </w:p>
    <w:p w14:paraId="01E3724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11.1.1 合同履行中发生下述情形时，合同一方均可向对方提出变更请求，经双方协商一致后进行变更，设计服务期限和设计费用的调整方法在专用合同条款中约定。</w:t>
      </w:r>
    </w:p>
    <w:p w14:paraId="0E0BAC6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（1）设计范围发生变化；</w:t>
      </w:r>
    </w:p>
    <w:p w14:paraId="2D340EC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（2）除不可抗力外，非设计人的原因引起的周期延误；</w:t>
      </w:r>
    </w:p>
    <w:p w14:paraId="1280B87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（3）非设计人的原因，对工程同一部分重复进行设计；</w:t>
      </w:r>
    </w:p>
    <w:p w14:paraId="0F79591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（4）非设计人的原因，对工程暂停设计及恢复设计。</w:t>
      </w:r>
    </w:p>
    <w:p w14:paraId="557339B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11.1.2 基准日后，因颁布新的或修订原有法律、法规、规范和标准等引发合同变更情形的，按照上述约定进行调整。</w:t>
      </w:r>
    </w:p>
    <w:p w14:paraId="28A670B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 合理化建议</w:t>
      </w:r>
    </w:p>
    <w:p w14:paraId="6C0897A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11.2.1 合同履行中，设计人可对发包人要求提出合理化建议。合理化建议应以书面形式提交发包人，被发包人采纳并构成变更的，执行第 11.1 款约定。</w:t>
      </w:r>
    </w:p>
    <w:p w14:paraId="06C1F31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11.2.2 设计人提出的合理化建议降低了工程投资、缩短了施工期限或者提高了工程经济效益的，发包人应按专用合同条款中的约定给予奖励。</w:t>
      </w:r>
    </w:p>
    <w:p w14:paraId="3EFD964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 合同价格与支付</w:t>
      </w:r>
    </w:p>
    <w:p w14:paraId="7692B33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  合同价格</w:t>
      </w:r>
    </w:p>
    <w:p w14:paraId="6312D59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12.1.1 本合同的价款确定方式、调整方式和风险范围划分，在专用合同条款中约定。</w:t>
      </w:r>
    </w:p>
    <w:p w14:paraId="6E00DB9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12.1.2 设计费用实行发包人签证制度，即设计人完成设计项目后通知发包人进行验收，通过验收后由发包人代表对实施的设计项目、数量、质量和实施时间签字确认，以此作为计算设计费用的依据之一。</w:t>
      </w:r>
    </w:p>
    <w:p w14:paraId="0EC7CDD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12.1.3 除专用合同条款另有约定外，合同价格应当包括收集资料，踏勘现场，进行设计、评估、审查等，编制设计文件，施工配合等全部费用和国家规定的增值税税金。</w:t>
      </w:r>
    </w:p>
    <w:p w14:paraId="3278F0D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12.1.4 发包人要求设计人进行外出考察、试验检测、专项咨询或专家评审时，相应费用不含在合同价格之中，由发包人另行支付。</w:t>
      </w:r>
    </w:p>
    <w:p w14:paraId="6996BDE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  定金或预付款</w:t>
      </w:r>
    </w:p>
    <w:p w14:paraId="6B35746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12.2.1 定金或预付款应专用于本工程的设计。定金或预付款的额度、支付方式及抵扣方式在专用合同条款中约定。</w:t>
      </w:r>
    </w:p>
    <w:p w14:paraId="3CCAC50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12.2.2 发包人应在收到定金或预付款支付申请后28天内，将定金或预付款支付给设计人；设计人应当提供等额的增值税发票。</w:t>
      </w:r>
    </w:p>
    <w:p w14:paraId="1D6156E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12.2.3 设计服务完成之前，由于不可抗力或其他非设计人的原因解除合同时，定金不予退还。</w:t>
      </w:r>
    </w:p>
    <w:p w14:paraId="7C05DC3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  中期支付</w:t>
      </w:r>
    </w:p>
    <w:p w14:paraId="2BFFBCF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12.3.1 设计人应按发包人批准或专用合同条款约定的格式及份数，向发包人提交中期支付申请，并附相应的支持性证明文件。</w:t>
      </w:r>
    </w:p>
    <w:p w14:paraId="0864FCA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12.3.2 发包人应在收到中期支付申请后的28天内，将应付款项支付给设计人；设计人应当提供等额的增值税发票。发包人未能在前述时间内完成审批或不予答复的，视为发包人同意中期支付申请。发包人不按期支付的，按专用合同条款的约定支付逾期付款违约金。</w:t>
      </w:r>
    </w:p>
    <w:p w14:paraId="19E8506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12.3.3 中期支付涉及政府投资资金的，按照国库集中支付等国家相关规定和专用合同条款的约定执行。</w:t>
      </w:r>
    </w:p>
    <w:p w14:paraId="0850658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  费用结算</w:t>
      </w:r>
    </w:p>
    <w:p w14:paraId="706E601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12.4.1 合同工作完成后，设计人可按专用合同条款约定的份数和期限，向发包人提交设计 费用结算申请，并提供相关证明材料。</w:t>
      </w:r>
    </w:p>
    <w:p w14:paraId="4701B31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12.4.2 发包人应在收到费用结算申请后的28天内，将应付款项支付给设计人；设计人应当提供等额的增值税发票。发包人未能在前述时间内完成审批或不予答复的，视为发包人同意费 用结算申请。发包人不按期支付的，按专用合同条款的约定支付逾期付款违约金。</w:t>
      </w:r>
    </w:p>
    <w:p w14:paraId="40468B6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12.4.3 发包人对费用结算申请内容有异议的，有权要求设计人进行修正和提供补充资料，由设计人重新提交。设计人对此有异议的，按第15条的约定执行。</w:t>
      </w:r>
    </w:p>
    <w:p w14:paraId="70A574B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12.4.4 最终结清付款涉及政府投资资金的，按第12.3.3项的约定执行。</w:t>
      </w:r>
    </w:p>
    <w:p w14:paraId="527642A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 不可抗力</w:t>
      </w:r>
    </w:p>
    <w:p w14:paraId="28E3392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13.1  不可抗力的确认</w:t>
      </w:r>
    </w:p>
    <w:p w14:paraId="69F172C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13.1.1 不可抗力是指设计人和发包人在订立合同时不可预见，在履行合同过程中不可避免发生并不能克服的自然灾害和社会性突发事件，如地震、海啸、瘟疫、水灾、骚乱、暴动、战 争和专用合同条款约定的其他情形。</w:t>
      </w:r>
    </w:p>
    <w:p w14:paraId="43A69F5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13.1.2 不可抗力发生后，发包人和设计人应及时认真统计所造成的损失，收集不可抗力造成损失的证据。合同双方对是否属于不可抗力或其损失的意见不一致的，由合同双方协商确定。</w:t>
      </w:r>
    </w:p>
    <w:p w14:paraId="33FA350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13.2  不可抗力的通知</w:t>
      </w:r>
    </w:p>
    <w:p w14:paraId="7574A81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13.2.1 合同一方当事人遇到不可抗力事件，使其履行合同义务受到阻碍时，应立即通知合同另一方当事人，书面说明不可抗力和受阻碍的详细情况，并提供必要的证明。</w:t>
      </w:r>
    </w:p>
    <w:p w14:paraId="2C8218E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13.2.2 如不可抗力持续发生，合同一方当事人应及时向合同另一方当事人提交中间报告，说明不可抗力和履行合同受阻的情况，并于不可抗力事件结束后28天内提交最终报告及有关资料。</w:t>
      </w:r>
    </w:p>
    <w:p w14:paraId="6B1C67B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  不可抗力后果及其处理</w:t>
      </w:r>
    </w:p>
    <w:p w14:paraId="745290D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13.3.1 不可抗力引起的后果及其损失，应由合同当事人依据法律规定各自承担。不可抗力发生前已完成的设计工作，应当按照合同约定进行支付。</w:t>
      </w:r>
    </w:p>
    <w:p w14:paraId="61D3EAA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13.3.2 不可抗力发生后，合同当事人应当采取有效措施避免损失进一步扩大，如未采取有效措施致使损失扩大的，应当自行承担扩大部分的损失。</w:t>
      </w:r>
    </w:p>
    <w:p w14:paraId="06CAE5B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13.3.3 因一方当事人迟延履行合同义务，致使迟延履行期间遭遇不可抗力的，应由该当事人承担全部损失。</w:t>
      </w:r>
    </w:p>
    <w:p w14:paraId="03FB850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 违约</w:t>
      </w:r>
    </w:p>
    <w:p w14:paraId="0EA2B60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14.1  设计人违约</w:t>
      </w:r>
    </w:p>
    <w:p w14:paraId="3759E74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14.1.1 合同履行中发生下列情况之一的，属设计人违约：</w:t>
      </w:r>
    </w:p>
    <w:p w14:paraId="25A31AC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（1）设计文件不符合法律以及合同约定；</w:t>
      </w:r>
    </w:p>
    <w:p w14:paraId="01A8A1E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（2）设计人转包、违法分包或者未经发包人同意擅自分包；</w:t>
      </w:r>
    </w:p>
    <w:p w14:paraId="7488DB2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（3）设计人未按合同计划完成设计，从而造成工程损失；</w:t>
      </w:r>
    </w:p>
    <w:p w14:paraId="76D57E2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（4）设计人无法履行或停止履行合同；</w:t>
      </w:r>
    </w:p>
    <w:p w14:paraId="2D0775C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（5）设计人不履行合同约定的其他义务。</w:t>
      </w:r>
    </w:p>
    <w:p w14:paraId="2B45080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14.1.2 设计人发生违约情况时，发包人可向设计人发出整改通知，要求其在限定期限内纠正；逾期仍不纠正的，发包人有权解除合同并向设计人发出解除合同通知。设计人应当承担由 于违约所造成的费用增加、周期延误和发包人损失等。</w:t>
      </w:r>
    </w:p>
    <w:p w14:paraId="75AD4B1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14.2  发包人违约</w:t>
      </w:r>
    </w:p>
    <w:p w14:paraId="344DB86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14.2.1 合同履行中发生下列情况之一的，属发包人违约：</w:t>
      </w:r>
    </w:p>
    <w:p w14:paraId="0BE622F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（1）发包人未按合同约定支付设计费用；</w:t>
      </w:r>
    </w:p>
    <w:p w14:paraId="0F4457C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（2）发包人原因造成设计停止；</w:t>
      </w:r>
    </w:p>
    <w:p w14:paraId="2F37354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（3）发包人无法履行或停止履行合同；</w:t>
      </w:r>
    </w:p>
    <w:p w14:paraId="777AD19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（4）发包人不履行合同约定的其他义务。</w:t>
      </w:r>
    </w:p>
    <w:p w14:paraId="47C0D3E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14.2.2 发包人发生违约情况时，设计人可向发包人发出暂停设计通知，要求其在限定期限内纠正；逾期仍不纠正的，设计人有权解除合同并向发包人发出解除合同通知。发包人应当承担由于违约所造成的费用增加、周期延误和设计人损失等。</w:t>
      </w:r>
    </w:p>
    <w:p w14:paraId="1FA568F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14.3  第三人造成的违约</w:t>
      </w:r>
    </w:p>
    <w:p w14:paraId="3DB34E0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在履行合同过程中，一方当事人因第三人的原因造成违约的，应当向对方当事人承担违约责任。一方当事人和第三人之间的纠纷，依照法律规定或者按照约定解决。</w:t>
      </w:r>
    </w:p>
    <w:p w14:paraId="59DD411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15. 争议的解决</w:t>
      </w:r>
    </w:p>
    <w:p w14:paraId="3E77F79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发包人和设计人在履行合同中发生争议的，可以友好协商解决。合同当事人友好协商解决不成的，可在专用合同条款中约定下列一种方式解决：</w:t>
      </w:r>
    </w:p>
    <w:p w14:paraId="298A28D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（1）向约定的仲裁委员会申请仲裁；</w:t>
      </w:r>
    </w:p>
    <w:p w14:paraId="074D77C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（2）向有管辖权的人民法院提起诉讼。</w:t>
      </w:r>
    </w:p>
    <w:p w14:paraId="7215D6FC">
      <w:pPr>
        <w:spacing w:line="380" w:lineRule="exact"/>
        <w:ind w:firstLine="420" w:firstLineChars="200"/>
        <w:rPr>
          <w:rFonts w:ascii="宋体" w:hAnsi="宋体"/>
          <w:color w:val="auto"/>
          <w:szCs w:val="21"/>
          <w:highlight w:val="none"/>
        </w:rPr>
        <w:sectPr>
          <w:footerReference r:id="rId16" w:type="default"/>
          <w:pgSz w:w="11906" w:h="16838"/>
          <w:pgMar w:top="1440" w:right="1080" w:bottom="1440" w:left="1080" w:header="851" w:footer="992" w:gutter="0"/>
          <w:cols w:space="720" w:num="1"/>
          <w:docGrid w:linePitch="435" w:charSpace="0"/>
        </w:sectPr>
      </w:pPr>
    </w:p>
    <w:p w14:paraId="030D6158">
      <w:pPr>
        <w:bidi w:val="0"/>
        <w:rPr>
          <w:rFonts w:hint="eastAsia"/>
          <w:color w:val="auto"/>
          <w:highlight w:val="none"/>
        </w:rPr>
      </w:pPr>
      <w:bookmarkStart w:id="111" w:name="_Toc15646759"/>
      <w:bookmarkStart w:id="112" w:name="_Toc4634"/>
    </w:p>
    <w:p w14:paraId="78AC4250">
      <w:pPr>
        <w:bidi w:val="0"/>
        <w:rPr>
          <w:rFonts w:hint="eastAsia"/>
          <w:color w:val="auto"/>
          <w:highlight w:val="none"/>
        </w:rPr>
      </w:pPr>
    </w:p>
    <w:p w14:paraId="4C7B7270">
      <w:pPr>
        <w:bidi w:val="0"/>
        <w:rPr>
          <w:rFonts w:hint="eastAsia"/>
          <w:color w:val="auto"/>
          <w:highlight w:val="none"/>
        </w:rPr>
      </w:pPr>
    </w:p>
    <w:p w14:paraId="130B6C16">
      <w:pPr>
        <w:bidi w:val="0"/>
        <w:rPr>
          <w:rFonts w:hint="eastAsia"/>
          <w:color w:val="auto"/>
          <w:highlight w:val="none"/>
        </w:rPr>
      </w:pPr>
    </w:p>
    <w:p w14:paraId="2B46234E">
      <w:pPr>
        <w:bidi w:val="0"/>
        <w:rPr>
          <w:rFonts w:hint="eastAsia"/>
          <w:color w:val="auto"/>
          <w:highlight w:val="none"/>
        </w:rPr>
      </w:pPr>
    </w:p>
    <w:p w14:paraId="02B08B78">
      <w:pPr>
        <w:bidi w:val="0"/>
        <w:rPr>
          <w:rFonts w:hint="eastAsia"/>
          <w:color w:val="auto"/>
          <w:highlight w:val="none"/>
        </w:rPr>
      </w:pPr>
    </w:p>
    <w:p w14:paraId="5B9AAA2B">
      <w:pPr>
        <w:bidi w:val="0"/>
        <w:rPr>
          <w:rFonts w:hint="eastAsia"/>
          <w:color w:val="auto"/>
          <w:highlight w:val="none"/>
        </w:rPr>
      </w:pPr>
    </w:p>
    <w:p w14:paraId="4B28B396">
      <w:pPr>
        <w:bidi w:val="0"/>
        <w:rPr>
          <w:rFonts w:hint="eastAsia"/>
          <w:color w:val="auto"/>
          <w:highlight w:val="none"/>
        </w:rPr>
      </w:pPr>
    </w:p>
    <w:p w14:paraId="355F905B">
      <w:pPr>
        <w:bidi w:val="0"/>
        <w:rPr>
          <w:rFonts w:hint="eastAsia"/>
          <w:color w:val="auto"/>
          <w:highlight w:val="none"/>
        </w:rPr>
      </w:pPr>
    </w:p>
    <w:p w14:paraId="26A7A987">
      <w:pPr>
        <w:bidi w:val="0"/>
        <w:rPr>
          <w:rFonts w:hint="eastAsia"/>
          <w:color w:val="auto"/>
          <w:highlight w:val="none"/>
        </w:rPr>
      </w:pPr>
    </w:p>
    <w:p w14:paraId="3C2AFEEF">
      <w:pPr>
        <w:rPr>
          <w:rFonts w:hint="eastAsia" w:ascii="宋体" w:hAnsi="宋体"/>
          <w:b/>
          <w:color w:val="auto"/>
          <w:sz w:val="31"/>
          <w:highlight w:val="none"/>
        </w:rPr>
      </w:pPr>
      <w:r>
        <w:rPr>
          <w:rFonts w:hint="eastAsia" w:ascii="宋体" w:hAnsi="宋体"/>
          <w:b/>
          <w:color w:val="auto"/>
          <w:sz w:val="31"/>
          <w:highlight w:val="none"/>
        </w:rPr>
        <w:br w:type="page"/>
      </w:r>
    </w:p>
    <w:p w14:paraId="1A9C0642">
      <w:pPr>
        <w:spacing w:line="0" w:lineRule="atLeast"/>
        <w:jc w:val="center"/>
        <w:outlineLvl w:val="2"/>
        <w:rPr>
          <w:rFonts w:hint="eastAsia" w:ascii="宋体" w:hAnsi="宋体"/>
          <w:bCs/>
          <w:color w:val="auto"/>
          <w:sz w:val="24"/>
          <w:highlight w:val="none"/>
        </w:rPr>
      </w:pPr>
      <w:bookmarkStart w:id="113" w:name="_Toc29622"/>
      <w:r>
        <w:rPr>
          <w:rFonts w:hint="eastAsia" w:ascii="宋体" w:hAnsi="宋体"/>
          <w:b/>
          <w:color w:val="auto"/>
          <w:sz w:val="31"/>
          <w:highlight w:val="none"/>
        </w:rPr>
        <w:t>第</w:t>
      </w:r>
      <w:r>
        <w:rPr>
          <w:rFonts w:ascii="宋体" w:hAnsi="宋体"/>
          <w:b/>
          <w:color w:val="auto"/>
          <w:sz w:val="31"/>
          <w:highlight w:val="none"/>
        </w:rPr>
        <w:t>二节</w:t>
      </w:r>
      <w:r>
        <w:rPr>
          <w:rFonts w:hint="eastAsia" w:ascii="宋体" w:hAnsi="宋体"/>
          <w:b/>
          <w:color w:val="auto"/>
          <w:sz w:val="31"/>
          <w:highlight w:val="none"/>
        </w:rPr>
        <w:t xml:space="preserve"> </w:t>
      </w:r>
      <w:r>
        <w:rPr>
          <w:rFonts w:ascii="宋体" w:hAnsi="宋体"/>
          <w:b/>
          <w:color w:val="auto"/>
          <w:sz w:val="31"/>
          <w:highlight w:val="none"/>
        </w:rPr>
        <w:t>专用合同条款</w:t>
      </w:r>
      <w:bookmarkEnd w:id="109"/>
      <w:bookmarkEnd w:id="110"/>
      <w:bookmarkEnd w:id="111"/>
      <w:bookmarkEnd w:id="112"/>
      <w:bookmarkEnd w:id="113"/>
    </w:p>
    <w:p w14:paraId="3566C8E4">
      <w:pPr>
        <w:pStyle w:val="197"/>
        <w:spacing w:before="120" w:after="120" w:line="400" w:lineRule="exact"/>
        <w:ind w:left="0" w:firstLine="0"/>
        <w:jc w:val="center"/>
        <w:outlineLvl w:val="3"/>
        <w:rPr>
          <w:rFonts w:ascii="宋体" w:hAnsi="宋体"/>
          <w:bCs/>
          <w:color w:val="auto"/>
          <w:sz w:val="24"/>
          <w:highlight w:val="none"/>
        </w:rPr>
      </w:pPr>
      <w:r>
        <w:rPr>
          <w:rFonts w:hint="eastAsia" w:ascii="宋体" w:hAnsi="宋体"/>
          <w:bCs/>
          <w:color w:val="auto"/>
          <w:sz w:val="24"/>
          <w:highlight w:val="none"/>
          <w:lang w:val="en-US" w:eastAsia="zh-CN"/>
        </w:rPr>
        <w:t>一</w:t>
      </w:r>
      <w:r>
        <w:rPr>
          <w:rFonts w:hint="eastAsia" w:ascii="宋体" w:hAnsi="宋体"/>
          <w:bCs/>
          <w:color w:val="auto"/>
          <w:sz w:val="24"/>
          <w:highlight w:val="none"/>
        </w:rPr>
        <w:t>、勘察部分</w:t>
      </w:r>
    </w:p>
    <w:p w14:paraId="0F2C772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1.一般规定</w:t>
      </w:r>
    </w:p>
    <w:p w14:paraId="6D74D50F">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14" w:name="_Toc221951112"/>
      <w:bookmarkStart w:id="115" w:name="_Toc221951113"/>
      <w:bookmarkStart w:id="116" w:name="_Toc309533346"/>
      <w:bookmarkStart w:id="117" w:name="_Toc406150480"/>
      <w:bookmarkStart w:id="118" w:name="_Toc457826210"/>
      <w:r>
        <w:rPr>
          <w:rFonts w:hint="eastAsia" w:ascii="Times New Roman" w:hAnsi="Times New Roman" w:cs="Times New Roman"/>
          <w:color w:val="auto"/>
          <w:kern w:val="2"/>
          <w:sz w:val="22"/>
          <w:szCs w:val="24"/>
          <w:highlight w:val="none"/>
        </w:rPr>
        <w:t>1.1  词语定义</w:t>
      </w:r>
      <w:bookmarkEnd w:id="114"/>
    </w:p>
    <w:p w14:paraId="7B1A124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1.1.2  合同当事人和人员</w:t>
      </w:r>
      <w:bookmarkEnd w:id="115"/>
      <w:bookmarkEnd w:id="116"/>
    </w:p>
    <w:p w14:paraId="0A539F24">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19" w:name="_Toc221951114"/>
      <w:r>
        <w:rPr>
          <w:rFonts w:hint="eastAsia" w:ascii="Times New Roman" w:hAnsi="Times New Roman" w:cs="Times New Roman"/>
          <w:color w:val="auto"/>
          <w:kern w:val="2"/>
          <w:sz w:val="22"/>
          <w:szCs w:val="24"/>
          <w:highlight w:val="none"/>
        </w:rPr>
        <w:t>1.1.2.2 发包人：</w:t>
      </w:r>
      <w:bookmarkEnd w:id="119"/>
      <w:bookmarkStart w:id="120" w:name="_Toc221951115"/>
    </w:p>
    <w:p w14:paraId="13A295F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1.1.2.3 勘察人：(签约后填入勘察人的名称)</w:t>
      </w:r>
      <w:bookmarkEnd w:id="120"/>
    </w:p>
    <w:p w14:paraId="649E91D7">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21" w:name="_Toc221951116"/>
      <w:r>
        <w:rPr>
          <w:rFonts w:hint="eastAsia" w:ascii="Times New Roman" w:hAnsi="Times New Roman" w:cs="Times New Roman"/>
          <w:color w:val="auto"/>
          <w:kern w:val="2"/>
          <w:sz w:val="22"/>
          <w:szCs w:val="24"/>
          <w:highlight w:val="none"/>
        </w:rPr>
        <w:t xml:space="preserve">1.1.2.5 分包人：无。    </w:t>
      </w:r>
    </w:p>
    <w:bookmarkEnd w:id="121"/>
    <w:p w14:paraId="76647BA4">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22" w:name="_Toc221951127"/>
      <w:r>
        <w:rPr>
          <w:rFonts w:hint="eastAsia" w:ascii="Times New Roman" w:hAnsi="Times New Roman" w:cs="Times New Roman"/>
          <w:color w:val="auto"/>
          <w:kern w:val="2"/>
          <w:sz w:val="22"/>
          <w:szCs w:val="24"/>
          <w:highlight w:val="none"/>
        </w:rPr>
        <w:t>1.4  合同文件的优先顺序</w:t>
      </w:r>
      <w:bookmarkEnd w:id="122"/>
    </w:p>
    <w:p w14:paraId="6AD394D1">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23" w:name="_Toc221951128"/>
      <w:r>
        <w:rPr>
          <w:rFonts w:hint="eastAsia" w:ascii="Times New Roman" w:hAnsi="Times New Roman" w:cs="Times New Roman"/>
          <w:color w:val="auto"/>
          <w:kern w:val="2"/>
          <w:sz w:val="22"/>
          <w:szCs w:val="24"/>
          <w:highlight w:val="none"/>
        </w:rPr>
        <w:t>进入合同文件的各项文件及其优先顺序是</w:t>
      </w:r>
      <w:bookmarkEnd w:id="123"/>
      <w:r>
        <w:rPr>
          <w:rFonts w:hint="eastAsia" w:ascii="Times New Roman" w:hAnsi="Times New Roman" w:cs="Times New Roman"/>
          <w:color w:val="auto"/>
          <w:kern w:val="2"/>
          <w:sz w:val="22"/>
          <w:szCs w:val="24"/>
          <w:highlight w:val="none"/>
        </w:rPr>
        <w:t>：</w:t>
      </w:r>
    </w:p>
    <w:p w14:paraId="2BEDD65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（1）合同协议书及补充合同协议书；</w:t>
      </w:r>
    </w:p>
    <w:p w14:paraId="295C825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（2）中标通知书；</w:t>
      </w:r>
    </w:p>
    <w:p w14:paraId="571D2A0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（3）投标函及投标函附录；</w:t>
      </w:r>
    </w:p>
    <w:p w14:paraId="3D86A71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（4）专用合同条款；</w:t>
      </w:r>
    </w:p>
    <w:p w14:paraId="04DFD99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（5）通用合同条款；</w:t>
      </w:r>
    </w:p>
    <w:p w14:paraId="37B9186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（6）发包人要求；</w:t>
      </w:r>
    </w:p>
    <w:p w14:paraId="777498A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（7）勘察费用清单；</w:t>
      </w:r>
    </w:p>
    <w:p w14:paraId="60821C4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（8）勘察纲要；</w:t>
      </w:r>
    </w:p>
    <w:p w14:paraId="79F626F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（9）经双方确认进入合同的其他文件；</w:t>
      </w:r>
    </w:p>
    <w:p w14:paraId="1A262B08">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24" w:name="_Toc221951129"/>
      <w:r>
        <w:rPr>
          <w:rFonts w:hint="eastAsia" w:ascii="Times New Roman" w:hAnsi="Times New Roman" w:cs="Times New Roman"/>
          <w:color w:val="auto"/>
          <w:kern w:val="2"/>
          <w:sz w:val="22"/>
          <w:szCs w:val="24"/>
          <w:highlight w:val="none"/>
        </w:rPr>
        <w:t>1.7  联络</w:t>
      </w:r>
      <w:bookmarkEnd w:id="124"/>
    </w:p>
    <w:p w14:paraId="4DD6BACA">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25" w:name="_Toc309533347"/>
      <w:bookmarkStart w:id="126" w:name="_Toc221951130"/>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7</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2</w:t>
      </w:r>
      <w:r>
        <w:rPr>
          <w:rFonts w:hint="eastAsia" w:ascii="Times New Roman" w:hAnsi="Times New Roman" w:cs="Times New Roman"/>
          <w:color w:val="auto"/>
          <w:kern w:val="2"/>
          <w:sz w:val="22"/>
          <w:szCs w:val="24"/>
          <w:highlight w:val="none"/>
        </w:rPr>
        <w:t xml:space="preserve"> 来往函件均应按技术标准和要求（合同技术条款）约定的期限送达</w:t>
      </w:r>
      <w:bookmarkEnd w:id="117"/>
      <w:bookmarkEnd w:id="118"/>
      <w:bookmarkEnd w:id="125"/>
      <w:bookmarkEnd w:id="126"/>
      <w:bookmarkStart w:id="127" w:name="_Toc457826214"/>
      <w:r>
        <w:rPr>
          <w:rFonts w:hint="eastAsia" w:ascii="Times New Roman" w:hAnsi="Times New Roman" w:cs="Times New Roman"/>
          <w:color w:val="auto"/>
          <w:kern w:val="2"/>
          <w:sz w:val="22"/>
          <w:szCs w:val="24"/>
          <w:highlight w:val="none"/>
        </w:rPr>
        <w:t>。</w:t>
      </w:r>
    </w:p>
    <w:p w14:paraId="27165E7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11 保密</w:t>
      </w:r>
      <w:bookmarkEnd w:id="127"/>
    </w:p>
    <w:p w14:paraId="6F89983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合同当事人关于保密的约定：合同双方应遵守保密义务，除非相关信息进入公知领域或者另一方许可公开。</w:t>
      </w:r>
    </w:p>
    <w:p w14:paraId="63DEFA5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3.发包人管理</w:t>
      </w:r>
    </w:p>
    <w:p w14:paraId="4B045646">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28" w:name="_Toc457826217"/>
      <w:bookmarkStart w:id="129" w:name="_Toc406150486"/>
      <w:r>
        <w:rPr>
          <w:rFonts w:hint="eastAsia" w:ascii="Times New Roman" w:hAnsi="Times New Roman" w:cs="Times New Roman"/>
          <w:color w:val="auto"/>
          <w:kern w:val="2"/>
          <w:sz w:val="22"/>
          <w:szCs w:val="24"/>
          <w:highlight w:val="none"/>
        </w:rPr>
        <w:t>3.1发包人代表</w:t>
      </w:r>
      <w:bookmarkEnd w:id="128"/>
      <w:bookmarkEnd w:id="129"/>
    </w:p>
    <w:p w14:paraId="1ABA328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姓名：</w:t>
      </w:r>
      <w:r>
        <w:rPr>
          <w:rFonts w:ascii="Times New Roman" w:hAnsi="Times New Roman" w:cs="Times New Roman"/>
          <w:color w:val="auto"/>
          <w:kern w:val="2"/>
          <w:sz w:val="22"/>
          <w:szCs w:val="24"/>
          <w:highlight w:val="none"/>
        </w:rPr>
        <w:t xml:space="preserve">_______ </w:t>
      </w:r>
      <w:r>
        <w:rPr>
          <w:rFonts w:hint="eastAsia" w:ascii="Times New Roman" w:hAnsi="Times New Roman" w:cs="Times New Roman"/>
          <w:color w:val="auto"/>
          <w:kern w:val="2"/>
          <w:sz w:val="22"/>
          <w:szCs w:val="24"/>
          <w:highlight w:val="none"/>
        </w:rPr>
        <w:t>职务：</w:t>
      </w:r>
      <w:r>
        <w:rPr>
          <w:rFonts w:ascii="Times New Roman" w:hAnsi="Times New Roman" w:cs="Times New Roman"/>
          <w:color w:val="auto"/>
          <w:kern w:val="2"/>
          <w:sz w:val="22"/>
          <w:szCs w:val="24"/>
          <w:highlight w:val="none"/>
        </w:rPr>
        <w:t xml:space="preserve">__________ </w:t>
      </w:r>
      <w:r>
        <w:rPr>
          <w:rFonts w:hint="eastAsia" w:ascii="Times New Roman" w:hAnsi="Times New Roman" w:cs="Times New Roman"/>
          <w:color w:val="auto"/>
          <w:kern w:val="2"/>
          <w:sz w:val="22"/>
          <w:szCs w:val="24"/>
          <w:highlight w:val="none"/>
        </w:rPr>
        <w:t>联系方式：</w:t>
      </w:r>
      <w:r>
        <w:rPr>
          <w:rFonts w:ascii="Times New Roman" w:hAnsi="Times New Roman" w:cs="Times New Roman"/>
          <w:color w:val="auto"/>
          <w:kern w:val="2"/>
          <w:sz w:val="22"/>
          <w:szCs w:val="24"/>
          <w:highlight w:val="none"/>
        </w:rPr>
        <w:t>_________________</w:t>
      </w:r>
    </w:p>
    <w:p w14:paraId="40E6D7F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授权范围：</w:t>
      </w:r>
    </w:p>
    <w:p w14:paraId="6FC5B48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1）代表发包人发布工作指令。</w:t>
      </w:r>
    </w:p>
    <w:p w14:paraId="0D4D180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2）代表发包人负责施工现场与勘察工作有关的协调管理工作。</w:t>
      </w:r>
    </w:p>
    <w:p w14:paraId="1B28315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3）负责发承包双方往来的经济、技术文件的签发、审核工作。</w:t>
      </w:r>
    </w:p>
    <w:p w14:paraId="1712A2C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4）其他未约定事项。</w:t>
      </w:r>
    </w:p>
    <w:p w14:paraId="750CDE7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6.开始勘察和完成勘察</w:t>
      </w:r>
    </w:p>
    <w:p w14:paraId="229B0B2F">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30" w:name="_Toc457826223"/>
      <w:r>
        <w:rPr>
          <w:rFonts w:hint="eastAsia" w:ascii="Times New Roman" w:hAnsi="Times New Roman" w:cs="Times New Roman"/>
          <w:color w:val="auto"/>
          <w:kern w:val="2"/>
          <w:sz w:val="22"/>
          <w:szCs w:val="24"/>
          <w:highlight w:val="none"/>
        </w:rPr>
        <w:t>6.2发包人引起的周期延误</w:t>
      </w:r>
      <w:bookmarkEnd w:id="130"/>
    </w:p>
    <w:p w14:paraId="510C270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双方就勘察服务期延误的约定：因发包人要求变更，并事实上增加工程量的，工期相应顺延。</w:t>
      </w:r>
    </w:p>
    <w:p w14:paraId="3D0BC756">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31" w:name="_Toc457826224"/>
      <w:bookmarkStart w:id="132" w:name="_Toc406150493"/>
      <w:r>
        <w:rPr>
          <w:rFonts w:hint="eastAsia" w:ascii="Times New Roman" w:hAnsi="Times New Roman" w:cs="Times New Roman"/>
          <w:color w:val="auto"/>
          <w:kern w:val="2"/>
          <w:sz w:val="22"/>
          <w:szCs w:val="24"/>
          <w:highlight w:val="none"/>
        </w:rPr>
        <w:t>6.7提前完成勘察</w:t>
      </w:r>
    </w:p>
    <w:p w14:paraId="1E5284C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6.7.3勘察服务提前的奖金约定：无奖励。</w:t>
      </w:r>
    </w:p>
    <w:bookmarkEnd w:id="131"/>
    <w:bookmarkEnd w:id="132"/>
    <w:p w14:paraId="01181B6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12.合同价格与支付</w:t>
      </w:r>
    </w:p>
    <w:p w14:paraId="52034FF6">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33" w:name="_Toc457826230"/>
      <w:bookmarkStart w:id="134" w:name="_Toc406150498"/>
      <w:r>
        <w:rPr>
          <w:rFonts w:hint="eastAsia" w:ascii="Times New Roman" w:hAnsi="Times New Roman" w:cs="Times New Roman"/>
          <w:color w:val="auto"/>
          <w:kern w:val="2"/>
          <w:sz w:val="22"/>
          <w:szCs w:val="24"/>
          <w:highlight w:val="none"/>
        </w:rPr>
        <w:t>12.1</w:t>
      </w:r>
      <w:bookmarkEnd w:id="133"/>
      <w:bookmarkEnd w:id="134"/>
      <w:r>
        <w:rPr>
          <w:rFonts w:hint="eastAsia" w:ascii="Times New Roman" w:hAnsi="Times New Roman" w:cs="Times New Roman"/>
          <w:color w:val="auto"/>
          <w:kern w:val="2"/>
          <w:sz w:val="22"/>
          <w:szCs w:val="24"/>
          <w:highlight w:val="none"/>
        </w:rPr>
        <w:t>合同价格</w:t>
      </w:r>
    </w:p>
    <w:p w14:paraId="7147BFB8">
      <w:pPr>
        <w:widowControl w:val="0"/>
        <w:spacing w:line="440" w:lineRule="exact"/>
        <w:ind w:firstLine="440" w:firstLineChars="200"/>
        <w:jc w:val="both"/>
        <w:rPr>
          <w:rFonts w:hint="default" w:ascii="Times New Roman" w:hAnsi="Times New Roman" w:eastAsia="宋体" w:cs="Times New Roman"/>
          <w:color w:val="auto"/>
          <w:kern w:val="2"/>
          <w:sz w:val="22"/>
          <w:szCs w:val="24"/>
          <w:highlight w:val="none"/>
          <w:lang w:val="en-US" w:eastAsia="zh-CN"/>
        </w:rPr>
      </w:pPr>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.1.1</w:t>
      </w:r>
      <w:r>
        <w:rPr>
          <w:rFonts w:hint="eastAsia" w:ascii="Times New Roman" w:hAnsi="Times New Roman" w:cs="Times New Roman"/>
          <w:color w:val="auto"/>
          <w:kern w:val="2"/>
          <w:sz w:val="22"/>
          <w:szCs w:val="24"/>
          <w:highlight w:val="none"/>
        </w:rPr>
        <w:t>双方约定的合同价款调整方式：</w:t>
      </w:r>
      <w:r>
        <w:rPr>
          <w:rFonts w:hint="eastAsia" w:ascii="Times New Roman" w:hAnsi="Times New Roman" w:cs="Times New Roman"/>
          <w:color w:val="auto"/>
          <w:kern w:val="2"/>
          <w:sz w:val="22"/>
          <w:szCs w:val="24"/>
          <w:highlight w:val="none"/>
          <w:u w:val="single"/>
          <w:lang w:val="en-US" w:eastAsia="zh-CN"/>
        </w:rPr>
        <w:t xml:space="preserve">                                              。</w:t>
      </w:r>
    </w:p>
    <w:p w14:paraId="7172411F">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35" w:name="_Toc406150499"/>
      <w:bookmarkStart w:id="136" w:name="_Toc457826231"/>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 xml:space="preserve">.2 </w:t>
      </w:r>
      <w:r>
        <w:rPr>
          <w:rFonts w:hint="eastAsia" w:ascii="Times New Roman" w:hAnsi="Times New Roman" w:cs="Times New Roman"/>
          <w:color w:val="auto"/>
          <w:kern w:val="2"/>
          <w:sz w:val="22"/>
          <w:szCs w:val="24"/>
          <w:highlight w:val="none"/>
        </w:rPr>
        <w:t>定金或预付款</w:t>
      </w:r>
      <w:bookmarkEnd w:id="135"/>
      <w:bookmarkEnd w:id="136"/>
    </w:p>
    <w:p w14:paraId="513CF75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.2.1</w:t>
      </w:r>
      <w:r>
        <w:rPr>
          <w:rFonts w:hint="eastAsia" w:ascii="Times New Roman" w:hAnsi="Times New Roman" w:cs="Times New Roman"/>
          <w:color w:val="auto"/>
          <w:kern w:val="2"/>
          <w:sz w:val="22"/>
          <w:szCs w:val="24"/>
          <w:highlight w:val="none"/>
        </w:rPr>
        <w:t>发包人向勘察人支付定金金额</w:t>
      </w:r>
      <w:r>
        <w:rPr>
          <w:rFonts w:ascii="Times New Roman" w:hAnsi="Times New Roman" w:cs="Times New Roman"/>
          <w:color w:val="auto"/>
          <w:kern w:val="2"/>
          <w:sz w:val="22"/>
          <w:szCs w:val="24"/>
          <w:highlight w:val="none"/>
        </w:rPr>
        <w:t>:</w:t>
      </w:r>
      <w:r>
        <w:rPr>
          <w:rFonts w:hint="eastAsia" w:ascii="Times New Roman" w:hAnsi="Times New Roman" w:cs="Times New Roman"/>
          <w:color w:val="auto"/>
          <w:kern w:val="2"/>
          <w:sz w:val="22"/>
          <w:szCs w:val="24"/>
          <w:highlight w:val="none"/>
        </w:rPr>
        <w:t xml:space="preserve"> / 。或预付款的金额：/ 。</w:t>
      </w:r>
    </w:p>
    <w:p w14:paraId="392ACBA1">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37" w:name="_Toc457826233"/>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 xml:space="preserve">.4 </w:t>
      </w:r>
      <w:r>
        <w:rPr>
          <w:rFonts w:hint="eastAsia" w:ascii="Times New Roman" w:hAnsi="Times New Roman" w:cs="Times New Roman"/>
          <w:color w:val="auto"/>
          <w:kern w:val="2"/>
          <w:sz w:val="22"/>
          <w:szCs w:val="24"/>
          <w:highlight w:val="none"/>
        </w:rPr>
        <w:t>费用结算</w:t>
      </w:r>
      <w:bookmarkEnd w:id="137"/>
    </w:p>
    <w:p w14:paraId="1895890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最终合同价款支付的约定：</w:t>
      </w:r>
      <w:r>
        <w:rPr>
          <w:rFonts w:hint="eastAsia" w:cs="Times New Roman"/>
          <w:color w:val="auto"/>
          <w:kern w:val="2"/>
          <w:sz w:val="22"/>
          <w:szCs w:val="24"/>
          <w:highlight w:val="none"/>
          <w:lang w:val="en-US" w:eastAsia="zh-CN"/>
        </w:rPr>
        <w:t>工程初步设计批复后支付勘察费总额的50%</w:t>
      </w:r>
      <w:r>
        <w:rPr>
          <w:rFonts w:hint="eastAsia" w:ascii="Times New Roman" w:hAnsi="Times New Roman" w:eastAsia="宋体" w:cs="Times New Roman"/>
          <w:color w:val="auto"/>
          <w:kern w:val="2"/>
          <w:sz w:val="22"/>
          <w:szCs w:val="24"/>
          <w:highlight w:val="none"/>
          <w:lang w:val="en-US" w:eastAsia="zh-CN"/>
        </w:rPr>
        <w:t>，</w:t>
      </w:r>
      <w:r>
        <w:rPr>
          <w:rFonts w:hint="eastAsia" w:cs="Times New Roman"/>
          <w:color w:val="auto"/>
          <w:kern w:val="2"/>
          <w:sz w:val="22"/>
          <w:szCs w:val="24"/>
          <w:highlight w:val="none"/>
          <w:lang w:val="en-US" w:eastAsia="zh-CN"/>
        </w:rPr>
        <w:t>招标设计及施工图纸提供后支付勘察费总额的30%，</w:t>
      </w:r>
      <w:r>
        <w:rPr>
          <w:rFonts w:hint="eastAsia" w:ascii="Times New Roman" w:hAnsi="Times New Roman" w:eastAsia="宋体" w:cs="Times New Roman"/>
          <w:color w:val="auto"/>
          <w:kern w:val="2"/>
          <w:sz w:val="22"/>
          <w:szCs w:val="24"/>
          <w:highlight w:val="none"/>
          <w:lang w:val="en-US" w:eastAsia="zh-CN"/>
        </w:rPr>
        <w:t>剩余</w:t>
      </w:r>
      <w:r>
        <w:rPr>
          <w:rFonts w:hint="eastAsia" w:cs="Times New Roman"/>
          <w:color w:val="auto"/>
          <w:kern w:val="2"/>
          <w:sz w:val="22"/>
          <w:szCs w:val="24"/>
          <w:highlight w:val="none"/>
          <w:lang w:val="en-US" w:eastAsia="zh-CN"/>
        </w:rPr>
        <w:t>20%</w:t>
      </w:r>
      <w:r>
        <w:rPr>
          <w:rFonts w:hint="eastAsia" w:ascii="Times New Roman" w:hAnsi="Times New Roman" w:eastAsia="宋体" w:cs="Times New Roman"/>
          <w:color w:val="auto"/>
          <w:kern w:val="2"/>
          <w:sz w:val="22"/>
          <w:szCs w:val="24"/>
          <w:highlight w:val="none"/>
          <w:lang w:val="en-US" w:eastAsia="zh-CN"/>
        </w:rPr>
        <w:t>随工程进度支付</w:t>
      </w:r>
      <w:r>
        <w:rPr>
          <w:rFonts w:hint="eastAsia" w:cs="Times New Roman"/>
          <w:color w:val="auto"/>
          <w:kern w:val="2"/>
          <w:sz w:val="22"/>
          <w:szCs w:val="24"/>
          <w:highlight w:val="none"/>
          <w:lang w:val="en-US" w:eastAsia="zh-CN"/>
        </w:rPr>
        <w:t>。</w:t>
      </w:r>
    </w:p>
    <w:p w14:paraId="4C6ED3DE">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38" w:name="_Toc457826238"/>
      <w:bookmarkStart w:id="139" w:name="_Toc406150504"/>
      <w:r>
        <w:rPr>
          <w:rFonts w:hint="eastAsia" w:ascii="Times New Roman" w:hAnsi="Times New Roman" w:cs="Times New Roman"/>
          <w:color w:val="auto"/>
          <w:kern w:val="2"/>
          <w:sz w:val="22"/>
          <w:szCs w:val="24"/>
          <w:highlight w:val="none"/>
        </w:rPr>
        <w:t>13. 不可抗力</w:t>
      </w:r>
      <w:bookmarkEnd w:id="138"/>
      <w:bookmarkEnd w:id="139"/>
    </w:p>
    <w:p w14:paraId="71121575">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40" w:name="_Toc457826239"/>
      <w:bookmarkStart w:id="141" w:name="_Toc406150505"/>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3</w:t>
      </w:r>
      <w:r>
        <w:rPr>
          <w:rFonts w:ascii="Times New Roman" w:hAnsi="Times New Roman" w:cs="Times New Roman"/>
          <w:color w:val="auto"/>
          <w:kern w:val="2"/>
          <w:sz w:val="22"/>
          <w:szCs w:val="24"/>
          <w:highlight w:val="none"/>
        </w:rPr>
        <w:t xml:space="preserve">.1 </w:t>
      </w:r>
      <w:r>
        <w:rPr>
          <w:rFonts w:hint="eastAsia" w:ascii="Times New Roman" w:hAnsi="Times New Roman" w:cs="Times New Roman"/>
          <w:color w:val="auto"/>
          <w:kern w:val="2"/>
          <w:sz w:val="22"/>
          <w:szCs w:val="24"/>
          <w:highlight w:val="none"/>
        </w:rPr>
        <w:t>不可抗力的确认</w:t>
      </w:r>
      <w:bookmarkEnd w:id="140"/>
      <w:bookmarkEnd w:id="141"/>
    </w:p>
    <w:p w14:paraId="742048F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3</w:t>
      </w:r>
      <w:r>
        <w:rPr>
          <w:rFonts w:ascii="Times New Roman" w:hAnsi="Times New Roman" w:cs="Times New Roman"/>
          <w:color w:val="auto"/>
          <w:kern w:val="2"/>
          <w:sz w:val="22"/>
          <w:szCs w:val="24"/>
          <w:highlight w:val="none"/>
        </w:rPr>
        <w:t xml:space="preserve">.1.1 </w:t>
      </w:r>
      <w:r>
        <w:rPr>
          <w:rFonts w:hint="eastAsia" w:ascii="Times New Roman" w:hAnsi="Times New Roman" w:cs="Times New Roman"/>
          <w:color w:val="auto"/>
          <w:kern w:val="2"/>
          <w:sz w:val="22"/>
          <w:szCs w:val="24"/>
          <w:highlight w:val="none"/>
        </w:rPr>
        <w:t>双方关于不可抗力的其他约定：法律、法规及政策变更。</w:t>
      </w:r>
    </w:p>
    <w:p w14:paraId="5CF93399">
      <w:pPr>
        <w:widowControl w:val="0"/>
        <w:spacing w:line="440" w:lineRule="exact"/>
        <w:ind w:firstLine="440" w:firstLineChars="200"/>
        <w:jc w:val="both"/>
        <w:rPr>
          <w:rFonts w:ascii="Times New Roman" w:hAnsi="Times New Roman" w:cs="Times New Roman"/>
          <w:color w:val="auto"/>
          <w:kern w:val="2"/>
          <w:sz w:val="22"/>
          <w:szCs w:val="24"/>
          <w:highlight w:val="none"/>
        </w:rPr>
      </w:pPr>
      <w:bookmarkStart w:id="142" w:name="_Toc406150510"/>
      <w:bookmarkStart w:id="143" w:name="_Toc457826248"/>
      <w:r>
        <w:rPr>
          <w:rFonts w:hint="eastAsia" w:ascii="Times New Roman" w:hAnsi="Times New Roman" w:cs="Times New Roman"/>
          <w:color w:val="auto"/>
          <w:kern w:val="2"/>
          <w:sz w:val="22"/>
          <w:szCs w:val="24"/>
          <w:highlight w:val="none"/>
        </w:rPr>
        <w:t>15.争议的解决</w:t>
      </w:r>
      <w:bookmarkEnd w:id="142"/>
      <w:bookmarkEnd w:id="143"/>
    </w:p>
    <w:p w14:paraId="73937BF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双方约定在履行合同过程中产生争议时，采取下列第2种方式解决：</w:t>
      </w:r>
    </w:p>
    <w:p w14:paraId="53663F8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）向/ 仲裁委员会提请仲裁；</w:t>
      </w:r>
    </w:p>
    <w:p w14:paraId="0DFAF4D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2</w:t>
      </w:r>
      <w:r>
        <w:rPr>
          <w:rFonts w:hint="eastAsia" w:ascii="Times New Roman" w:hAnsi="Times New Roman" w:cs="Times New Roman"/>
          <w:color w:val="auto"/>
          <w:kern w:val="2"/>
          <w:sz w:val="22"/>
          <w:szCs w:val="24"/>
          <w:highlight w:val="none"/>
        </w:rPr>
        <w:t>）向工程所在地人民法院提起诉讼。</w:t>
      </w:r>
    </w:p>
    <w:p w14:paraId="61846394">
      <w:pPr>
        <w:tabs>
          <w:tab w:val="left" w:pos="1260"/>
        </w:tabs>
        <w:adjustRightInd w:val="0"/>
        <w:snapToGrid w:val="0"/>
        <w:spacing w:line="400" w:lineRule="exact"/>
        <w:rPr>
          <w:rFonts w:ascii="宋体" w:hAnsi="宋体" w:cs="宋体"/>
          <w:color w:val="auto"/>
          <w:szCs w:val="21"/>
          <w:highlight w:val="none"/>
        </w:rPr>
      </w:pPr>
    </w:p>
    <w:p w14:paraId="70DDD00C">
      <w:pPr>
        <w:pStyle w:val="16"/>
        <w:rPr>
          <w:rFonts w:ascii="宋体" w:hAnsi="宋体" w:cs="宋体"/>
          <w:color w:val="auto"/>
          <w:szCs w:val="21"/>
          <w:highlight w:val="none"/>
        </w:rPr>
      </w:pPr>
    </w:p>
    <w:p w14:paraId="36E796D5">
      <w:pPr>
        <w:rPr>
          <w:rFonts w:ascii="宋体" w:hAnsi="宋体" w:cs="宋体"/>
          <w:color w:val="auto"/>
          <w:szCs w:val="21"/>
          <w:highlight w:val="none"/>
        </w:rPr>
      </w:pPr>
    </w:p>
    <w:p w14:paraId="06EB8DA1">
      <w:pPr>
        <w:pStyle w:val="16"/>
        <w:rPr>
          <w:rFonts w:ascii="宋体" w:hAnsi="宋体" w:cs="宋体"/>
          <w:color w:val="auto"/>
          <w:szCs w:val="21"/>
          <w:highlight w:val="none"/>
        </w:rPr>
      </w:pPr>
    </w:p>
    <w:p w14:paraId="4CFDDC3B">
      <w:pPr>
        <w:rPr>
          <w:rFonts w:ascii="宋体" w:hAnsi="宋体" w:cs="宋体"/>
          <w:color w:val="auto"/>
          <w:szCs w:val="21"/>
          <w:highlight w:val="none"/>
        </w:rPr>
      </w:pPr>
    </w:p>
    <w:p w14:paraId="52C9CBAA">
      <w:pPr>
        <w:pStyle w:val="16"/>
        <w:rPr>
          <w:rFonts w:ascii="宋体" w:hAnsi="宋体" w:cs="宋体"/>
          <w:color w:val="auto"/>
          <w:szCs w:val="21"/>
          <w:highlight w:val="none"/>
        </w:rPr>
      </w:pPr>
    </w:p>
    <w:p w14:paraId="7FF9B3CE">
      <w:pPr>
        <w:rPr>
          <w:rFonts w:ascii="宋体" w:hAnsi="宋体" w:cs="宋体"/>
          <w:color w:val="auto"/>
          <w:szCs w:val="21"/>
          <w:highlight w:val="none"/>
        </w:rPr>
      </w:pPr>
    </w:p>
    <w:p w14:paraId="2F74B8DE">
      <w:pPr>
        <w:pStyle w:val="16"/>
        <w:rPr>
          <w:rFonts w:ascii="宋体" w:hAnsi="宋体" w:cs="宋体"/>
          <w:color w:val="auto"/>
          <w:szCs w:val="21"/>
          <w:highlight w:val="none"/>
        </w:rPr>
      </w:pPr>
    </w:p>
    <w:p w14:paraId="1B3BD510">
      <w:pPr>
        <w:rPr>
          <w:rFonts w:ascii="宋体" w:hAnsi="宋体" w:cs="宋体"/>
          <w:color w:val="auto"/>
          <w:szCs w:val="21"/>
          <w:highlight w:val="none"/>
        </w:rPr>
      </w:pPr>
    </w:p>
    <w:p w14:paraId="14E942DE">
      <w:pPr>
        <w:pStyle w:val="16"/>
        <w:rPr>
          <w:rFonts w:ascii="宋体" w:hAnsi="宋体" w:cs="宋体"/>
          <w:color w:val="auto"/>
          <w:szCs w:val="21"/>
          <w:highlight w:val="none"/>
        </w:rPr>
      </w:pPr>
    </w:p>
    <w:p w14:paraId="223E4F85">
      <w:pPr>
        <w:rPr>
          <w:rFonts w:ascii="宋体" w:hAnsi="宋体" w:cs="宋体"/>
          <w:color w:val="auto"/>
          <w:szCs w:val="21"/>
          <w:highlight w:val="none"/>
        </w:rPr>
      </w:pPr>
    </w:p>
    <w:p w14:paraId="0FE53309">
      <w:pPr>
        <w:pStyle w:val="16"/>
        <w:jc w:val="both"/>
        <w:rPr>
          <w:color w:val="auto"/>
          <w:highlight w:val="none"/>
        </w:rPr>
      </w:pPr>
    </w:p>
    <w:p w14:paraId="0761D11A">
      <w:pPr>
        <w:pStyle w:val="197"/>
        <w:spacing w:before="120" w:after="120" w:line="400" w:lineRule="exact"/>
        <w:ind w:left="0" w:firstLine="0"/>
        <w:jc w:val="center"/>
        <w:outlineLvl w:val="3"/>
        <w:rPr>
          <w:rFonts w:ascii="宋体" w:hAnsi="宋体"/>
          <w:bCs/>
          <w:color w:val="auto"/>
          <w:sz w:val="24"/>
          <w:highlight w:val="none"/>
        </w:rPr>
      </w:pPr>
      <w:r>
        <w:rPr>
          <w:rFonts w:hint="eastAsia" w:ascii="宋体" w:hAnsi="宋体"/>
          <w:bCs/>
          <w:color w:val="auto"/>
          <w:sz w:val="24"/>
          <w:highlight w:val="none"/>
          <w:lang w:val="en-US" w:eastAsia="zh-CN"/>
        </w:rPr>
        <w:t>二</w:t>
      </w:r>
      <w:r>
        <w:rPr>
          <w:rFonts w:hint="eastAsia" w:ascii="宋体" w:hAnsi="宋体"/>
          <w:bCs/>
          <w:color w:val="auto"/>
          <w:sz w:val="24"/>
          <w:highlight w:val="none"/>
        </w:rPr>
        <w:t>、设计部分</w:t>
      </w:r>
    </w:p>
    <w:p w14:paraId="77CEAEF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1.一般规定</w:t>
      </w:r>
    </w:p>
    <w:p w14:paraId="16658A1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1.1  词语定义</w:t>
      </w:r>
    </w:p>
    <w:p w14:paraId="07DAC6D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1.1.2  合同当事人和人员</w:t>
      </w:r>
    </w:p>
    <w:p w14:paraId="142DBBF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1.1.2.2 发包人：</w:t>
      </w:r>
    </w:p>
    <w:p w14:paraId="35DF12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1.1.2.3 设计人：(签约后填入设计人的名称)</w:t>
      </w:r>
    </w:p>
    <w:p w14:paraId="1234271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 xml:space="preserve">1.1.2.5 分包人：无。            </w:t>
      </w:r>
    </w:p>
    <w:p w14:paraId="7F28E6E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1.4  合同文件的优先顺序</w:t>
      </w:r>
    </w:p>
    <w:p w14:paraId="3F24E82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进入合同文件的各项文件及其优先顺序是：</w:t>
      </w:r>
    </w:p>
    <w:p w14:paraId="2BBB318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（1）合同协议书及补充合同协议书；</w:t>
      </w:r>
    </w:p>
    <w:p w14:paraId="048E7BE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（2）中标通知书；</w:t>
      </w:r>
    </w:p>
    <w:p w14:paraId="6102793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（3）投标函及投标函附录；</w:t>
      </w:r>
    </w:p>
    <w:p w14:paraId="41BE6E0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（4）专用合同条款；</w:t>
      </w:r>
    </w:p>
    <w:p w14:paraId="316ABD7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（5）通用合同条款；</w:t>
      </w:r>
    </w:p>
    <w:p w14:paraId="51F2D8A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（6）发包人要求；</w:t>
      </w:r>
    </w:p>
    <w:p w14:paraId="2B14FDC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（7）设计费用清单；</w:t>
      </w:r>
    </w:p>
    <w:p w14:paraId="3362834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（8）设计方；</w:t>
      </w:r>
    </w:p>
    <w:p w14:paraId="567042C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（9）经双方确认进入合同的其他文件；</w:t>
      </w:r>
    </w:p>
    <w:p w14:paraId="4493247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1.7  联络</w:t>
      </w:r>
    </w:p>
    <w:p w14:paraId="7E3B5C7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7</w:t>
      </w: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2</w:t>
      </w:r>
      <w:r>
        <w:rPr>
          <w:rFonts w:hint="eastAsia" w:ascii="Times New Roman" w:hAnsi="Times New Roman" w:cs="Times New Roman"/>
          <w:color w:val="auto"/>
          <w:kern w:val="2"/>
          <w:sz w:val="22"/>
          <w:szCs w:val="24"/>
          <w:highlight w:val="none"/>
        </w:rPr>
        <w:t xml:space="preserve">  来往函件均应按技术标准和要求（合同技术条款）约定的期限送达。</w:t>
      </w:r>
    </w:p>
    <w:p w14:paraId="62A30AD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11 保密</w:t>
      </w:r>
    </w:p>
    <w:p w14:paraId="6ED763E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合同当事人关于保密的约定：合同双方应遵守保密义务，除非相关信息进入公知领域或者另一方许可公开。</w:t>
      </w:r>
    </w:p>
    <w:p w14:paraId="0F08656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3.发包人管理</w:t>
      </w:r>
    </w:p>
    <w:p w14:paraId="3434D0B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3.1发包人代表</w:t>
      </w:r>
    </w:p>
    <w:p w14:paraId="39AE19C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姓名：</w:t>
      </w:r>
      <w:r>
        <w:rPr>
          <w:rFonts w:ascii="Times New Roman" w:hAnsi="Times New Roman" w:cs="Times New Roman"/>
          <w:color w:val="auto"/>
          <w:kern w:val="2"/>
          <w:sz w:val="22"/>
          <w:szCs w:val="24"/>
          <w:highlight w:val="none"/>
        </w:rPr>
        <w:t xml:space="preserve">_______ </w:t>
      </w:r>
      <w:r>
        <w:rPr>
          <w:rFonts w:hint="eastAsia" w:ascii="Times New Roman" w:hAnsi="Times New Roman" w:cs="Times New Roman"/>
          <w:color w:val="auto"/>
          <w:kern w:val="2"/>
          <w:sz w:val="22"/>
          <w:szCs w:val="24"/>
          <w:highlight w:val="none"/>
        </w:rPr>
        <w:t>职务：</w:t>
      </w:r>
      <w:r>
        <w:rPr>
          <w:rFonts w:ascii="Times New Roman" w:hAnsi="Times New Roman" w:cs="Times New Roman"/>
          <w:color w:val="auto"/>
          <w:kern w:val="2"/>
          <w:sz w:val="22"/>
          <w:szCs w:val="24"/>
          <w:highlight w:val="none"/>
        </w:rPr>
        <w:t xml:space="preserve">__________ </w:t>
      </w:r>
      <w:r>
        <w:rPr>
          <w:rFonts w:hint="eastAsia" w:ascii="Times New Roman" w:hAnsi="Times New Roman" w:cs="Times New Roman"/>
          <w:color w:val="auto"/>
          <w:kern w:val="2"/>
          <w:sz w:val="22"/>
          <w:szCs w:val="24"/>
          <w:highlight w:val="none"/>
        </w:rPr>
        <w:t>联系方式：</w:t>
      </w:r>
      <w:r>
        <w:rPr>
          <w:rFonts w:ascii="Times New Roman" w:hAnsi="Times New Roman" w:cs="Times New Roman"/>
          <w:color w:val="auto"/>
          <w:kern w:val="2"/>
          <w:sz w:val="22"/>
          <w:szCs w:val="24"/>
          <w:highlight w:val="none"/>
        </w:rPr>
        <w:t>_________________</w:t>
      </w:r>
    </w:p>
    <w:p w14:paraId="3D0090E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授权范围：</w:t>
      </w:r>
    </w:p>
    <w:p w14:paraId="464A36A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1）代表发包人发布工作指令。</w:t>
      </w:r>
    </w:p>
    <w:p w14:paraId="27750B0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2）代表发包人负责施工现场与设计工作有关的协调管理工作。</w:t>
      </w:r>
    </w:p>
    <w:p w14:paraId="6D07940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3）负责发承包双方往来的经济、技术文件的签发、审核工作。</w:t>
      </w:r>
    </w:p>
    <w:p w14:paraId="55C627A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4）其他未约定事项。</w:t>
      </w:r>
    </w:p>
    <w:p w14:paraId="07EE4CB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6.开始设计和完成设计</w:t>
      </w:r>
    </w:p>
    <w:p w14:paraId="48CE750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6.2发包人引起的周期延误</w:t>
      </w:r>
    </w:p>
    <w:p w14:paraId="0ABF738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双方就设计服务期延误的约定：因发包人要求变更，并事实上增加工程量的，工期相应顺延。</w:t>
      </w:r>
    </w:p>
    <w:p w14:paraId="102DC41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6.6提前完成设计</w:t>
      </w:r>
    </w:p>
    <w:p w14:paraId="5FAE52A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6.7.3设计服务提前的奖金约定：无奖励。</w:t>
      </w:r>
    </w:p>
    <w:p w14:paraId="056EEDC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12.合同价格与支付</w:t>
      </w:r>
    </w:p>
    <w:p w14:paraId="0E545EF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12.1合同价格</w:t>
      </w:r>
    </w:p>
    <w:p w14:paraId="2F43B9B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.1.1</w:t>
      </w:r>
      <w:r>
        <w:rPr>
          <w:rFonts w:hint="eastAsia" w:ascii="Times New Roman" w:hAnsi="Times New Roman" w:cs="Times New Roman"/>
          <w:color w:val="auto"/>
          <w:kern w:val="2"/>
          <w:sz w:val="22"/>
          <w:szCs w:val="24"/>
          <w:highlight w:val="none"/>
        </w:rPr>
        <w:t>双方约定的合同价款调整方式：</w:t>
      </w:r>
      <w:r>
        <w:rPr>
          <w:rFonts w:hint="eastAsia" w:ascii="Times New Roman" w:hAnsi="Times New Roman" w:cs="Times New Roman"/>
          <w:color w:val="auto"/>
          <w:kern w:val="2"/>
          <w:sz w:val="22"/>
          <w:szCs w:val="24"/>
          <w:highlight w:val="none"/>
          <w:u w:val="single"/>
          <w:lang w:val="en-US" w:eastAsia="zh-CN"/>
        </w:rPr>
        <w:t xml:space="preserve">                                              。</w:t>
      </w:r>
    </w:p>
    <w:p w14:paraId="74399AD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 xml:space="preserve">.2 </w:t>
      </w:r>
      <w:r>
        <w:rPr>
          <w:rFonts w:hint="eastAsia" w:ascii="Times New Roman" w:hAnsi="Times New Roman" w:cs="Times New Roman"/>
          <w:color w:val="auto"/>
          <w:kern w:val="2"/>
          <w:sz w:val="22"/>
          <w:szCs w:val="24"/>
          <w:highlight w:val="none"/>
        </w:rPr>
        <w:t>定金或预付款</w:t>
      </w:r>
    </w:p>
    <w:p w14:paraId="66A597E6">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.2.1</w:t>
      </w:r>
      <w:r>
        <w:rPr>
          <w:rFonts w:hint="eastAsia" w:ascii="Times New Roman" w:hAnsi="Times New Roman" w:cs="Times New Roman"/>
          <w:color w:val="auto"/>
          <w:kern w:val="2"/>
          <w:sz w:val="22"/>
          <w:szCs w:val="24"/>
          <w:highlight w:val="none"/>
        </w:rPr>
        <w:t>发包人向设计人支付定金金额</w:t>
      </w:r>
      <w:r>
        <w:rPr>
          <w:rFonts w:ascii="Times New Roman" w:hAnsi="Times New Roman" w:cs="Times New Roman"/>
          <w:color w:val="auto"/>
          <w:kern w:val="2"/>
          <w:sz w:val="22"/>
          <w:szCs w:val="24"/>
          <w:highlight w:val="none"/>
        </w:rPr>
        <w:t>:</w:t>
      </w:r>
      <w:r>
        <w:rPr>
          <w:rFonts w:hint="eastAsia" w:ascii="Times New Roman" w:hAnsi="Times New Roman" w:cs="Times New Roman"/>
          <w:color w:val="auto"/>
          <w:kern w:val="2"/>
          <w:sz w:val="22"/>
          <w:szCs w:val="24"/>
          <w:highlight w:val="none"/>
          <w:lang w:val="en-US" w:eastAsia="zh-CN"/>
        </w:rPr>
        <w:t>/</w:t>
      </w:r>
      <w:r>
        <w:rPr>
          <w:rFonts w:hint="eastAsia" w:ascii="Times New Roman" w:hAnsi="Times New Roman" w:cs="Times New Roman"/>
          <w:color w:val="auto"/>
          <w:kern w:val="2"/>
          <w:sz w:val="22"/>
          <w:szCs w:val="24"/>
          <w:highlight w:val="none"/>
        </w:rPr>
        <w:t xml:space="preserve"> 。或预付款的金额：</w:t>
      </w:r>
      <w:r>
        <w:rPr>
          <w:rFonts w:hint="eastAsia" w:ascii="Times New Roman" w:hAnsi="Times New Roman" w:cs="Times New Roman"/>
          <w:color w:val="auto"/>
          <w:kern w:val="2"/>
          <w:sz w:val="22"/>
          <w:szCs w:val="24"/>
          <w:highlight w:val="none"/>
          <w:lang w:val="en-US" w:eastAsia="zh-CN"/>
        </w:rPr>
        <w:t>/</w:t>
      </w:r>
      <w:r>
        <w:rPr>
          <w:rFonts w:hint="eastAsia" w:ascii="Times New Roman" w:hAnsi="Times New Roman" w:cs="Times New Roman"/>
          <w:color w:val="auto"/>
          <w:kern w:val="2"/>
          <w:sz w:val="22"/>
          <w:szCs w:val="24"/>
          <w:highlight w:val="none"/>
        </w:rPr>
        <w:t>。</w:t>
      </w:r>
    </w:p>
    <w:p w14:paraId="4F7151A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w:t>
      </w:r>
      <w:r>
        <w:rPr>
          <w:rFonts w:ascii="Times New Roman" w:hAnsi="Times New Roman" w:cs="Times New Roman"/>
          <w:color w:val="auto"/>
          <w:kern w:val="2"/>
          <w:sz w:val="22"/>
          <w:szCs w:val="24"/>
          <w:highlight w:val="none"/>
        </w:rPr>
        <w:t xml:space="preserve">.4 </w:t>
      </w:r>
      <w:r>
        <w:rPr>
          <w:rFonts w:hint="eastAsia" w:ascii="Times New Roman" w:hAnsi="Times New Roman" w:cs="Times New Roman"/>
          <w:color w:val="auto"/>
          <w:kern w:val="2"/>
          <w:sz w:val="22"/>
          <w:szCs w:val="24"/>
          <w:highlight w:val="none"/>
        </w:rPr>
        <w:t>费用结算</w:t>
      </w:r>
    </w:p>
    <w:p w14:paraId="02CFEFA4">
      <w:pPr>
        <w:widowControl w:val="0"/>
        <w:spacing w:line="440" w:lineRule="exact"/>
        <w:ind w:firstLine="440" w:firstLineChars="200"/>
        <w:jc w:val="both"/>
        <w:rPr>
          <w:rFonts w:hint="eastAsia" w:ascii="Times New Roman" w:hAnsi="Times New Roman" w:eastAsia="宋体" w:cs="Times New Roman"/>
          <w:color w:val="auto"/>
          <w:kern w:val="2"/>
          <w:sz w:val="22"/>
          <w:szCs w:val="24"/>
          <w:highlight w:val="none"/>
          <w:lang w:val="en-US" w:eastAsia="zh-CN"/>
        </w:rPr>
      </w:pPr>
      <w:r>
        <w:rPr>
          <w:rFonts w:hint="eastAsia" w:ascii="Times New Roman" w:hAnsi="Times New Roman" w:eastAsia="宋体" w:cs="Times New Roman"/>
          <w:color w:val="auto"/>
          <w:kern w:val="2"/>
          <w:sz w:val="22"/>
          <w:szCs w:val="24"/>
          <w:highlight w:val="none"/>
          <w:lang w:val="en-US" w:eastAsia="zh-CN"/>
        </w:rPr>
        <w:t>最终合同价款支付的约定：</w:t>
      </w:r>
      <w:r>
        <w:rPr>
          <w:rFonts w:hint="eastAsia" w:cs="Times New Roman"/>
          <w:color w:val="auto"/>
          <w:kern w:val="2"/>
          <w:sz w:val="22"/>
          <w:szCs w:val="24"/>
          <w:highlight w:val="none"/>
          <w:lang w:val="en-US" w:eastAsia="zh-CN"/>
        </w:rPr>
        <w:t>工程初步设计批复后支付设计费总额的50%</w:t>
      </w:r>
      <w:r>
        <w:rPr>
          <w:rFonts w:hint="eastAsia" w:ascii="Times New Roman" w:hAnsi="Times New Roman" w:eastAsia="宋体" w:cs="Times New Roman"/>
          <w:color w:val="auto"/>
          <w:kern w:val="2"/>
          <w:sz w:val="22"/>
          <w:szCs w:val="24"/>
          <w:highlight w:val="none"/>
          <w:lang w:val="en-US" w:eastAsia="zh-CN"/>
        </w:rPr>
        <w:t>，</w:t>
      </w:r>
      <w:r>
        <w:rPr>
          <w:rFonts w:hint="eastAsia" w:cs="Times New Roman"/>
          <w:color w:val="auto"/>
          <w:kern w:val="2"/>
          <w:sz w:val="22"/>
          <w:szCs w:val="24"/>
          <w:highlight w:val="none"/>
          <w:lang w:val="en-US" w:eastAsia="zh-CN"/>
        </w:rPr>
        <w:t>招标设计及施工图纸提供后支付设计费总额的30%，</w:t>
      </w:r>
      <w:r>
        <w:rPr>
          <w:rFonts w:hint="eastAsia" w:ascii="Times New Roman" w:hAnsi="Times New Roman" w:eastAsia="宋体" w:cs="Times New Roman"/>
          <w:color w:val="auto"/>
          <w:kern w:val="2"/>
          <w:sz w:val="22"/>
          <w:szCs w:val="24"/>
          <w:highlight w:val="none"/>
          <w:lang w:val="en-US" w:eastAsia="zh-CN"/>
        </w:rPr>
        <w:t>剩余</w:t>
      </w:r>
      <w:r>
        <w:rPr>
          <w:rFonts w:hint="eastAsia" w:cs="Times New Roman"/>
          <w:color w:val="auto"/>
          <w:kern w:val="2"/>
          <w:sz w:val="22"/>
          <w:szCs w:val="24"/>
          <w:highlight w:val="none"/>
          <w:lang w:val="en-US" w:eastAsia="zh-CN"/>
        </w:rPr>
        <w:t>20%</w:t>
      </w:r>
      <w:r>
        <w:rPr>
          <w:rFonts w:hint="eastAsia" w:ascii="Times New Roman" w:hAnsi="Times New Roman" w:eastAsia="宋体" w:cs="Times New Roman"/>
          <w:color w:val="auto"/>
          <w:kern w:val="2"/>
          <w:sz w:val="22"/>
          <w:szCs w:val="24"/>
          <w:highlight w:val="none"/>
          <w:lang w:val="en-US" w:eastAsia="zh-CN"/>
        </w:rPr>
        <w:t>随工程进度支付</w:t>
      </w:r>
      <w:r>
        <w:rPr>
          <w:rFonts w:hint="eastAsia" w:cs="Times New Roman"/>
          <w:color w:val="auto"/>
          <w:kern w:val="2"/>
          <w:sz w:val="22"/>
          <w:szCs w:val="24"/>
          <w:highlight w:val="none"/>
          <w:lang w:val="en-US" w:eastAsia="zh-CN"/>
        </w:rPr>
        <w:t>。</w:t>
      </w:r>
    </w:p>
    <w:p w14:paraId="07AD2D1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13. 不可抗力</w:t>
      </w:r>
    </w:p>
    <w:p w14:paraId="46507BBE">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3</w:t>
      </w:r>
      <w:r>
        <w:rPr>
          <w:rFonts w:ascii="Times New Roman" w:hAnsi="Times New Roman" w:cs="Times New Roman"/>
          <w:color w:val="auto"/>
          <w:kern w:val="2"/>
          <w:sz w:val="22"/>
          <w:szCs w:val="24"/>
          <w:highlight w:val="none"/>
        </w:rPr>
        <w:t xml:space="preserve">.1 </w:t>
      </w:r>
      <w:r>
        <w:rPr>
          <w:rFonts w:hint="eastAsia" w:ascii="Times New Roman" w:hAnsi="Times New Roman" w:cs="Times New Roman"/>
          <w:color w:val="auto"/>
          <w:kern w:val="2"/>
          <w:sz w:val="22"/>
          <w:szCs w:val="24"/>
          <w:highlight w:val="none"/>
        </w:rPr>
        <w:t>不可抗力的确认</w:t>
      </w:r>
    </w:p>
    <w:p w14:paraId="2D2FCA5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3</w:t>
      </w:r>
      <w:r>
        <w:rPr>
          <w:rFonts w:ascii="Times New Roman" w:hAnsi="Times New Roman" w:cs="Times New Roman"/>
          <w:color w:val="auto"/>
          <w:kern w:val="2"/>
          <w:sz w:val="22"/>
          <w:szCs w:val="24"/>
          <w:highlight w:val="none"/>
        </w:rPr>
        <w:t xml:space="preserve">.1.1 </w:t>
      </w:r>
      <w:r>
        <w:rPr>
          <w:rFonts w:hint="eastAsia" w:ascii="Times New Roman" w:hAnsi="Times New Roman" w:cs="Times New Roman"/>
          <w:color w:val="auto"/>
          <w:kern w:val="2"/>
          <w:sz w:val="22"/>
          <w:szCs w:val="24"/>
          <w:highlight w:val="none"/>
        </w:rPr>
        <w:t>双方关于不可抗力的其他约定：法律、法规及政策变更。</w:t>
      </w:r>
    </w:p>
    <w:p w14:paraId="7913FB8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15.争议的解决</w:t>
      </w:r>
    </w:p>
    <w:p w14:paraId="7B00303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双方约定在履行合同过程中产生争议时，采取下列第2种方式解决：</w:t>
      </w:r>
    </w:p>
    <w:p w14:paraId="19CE058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1</w:t>
      </w:r>
      <w:r>
        <w:rPr>
          <w:rFonts w:hint="eastAsia" w:ascii="Times New Roman" w:hAnsi="Times New Roman" w:cs="Times New Roman"/>
          <w:color w:val="auto"/>
          <w:kern w:val="2"/>
          <w:sz w:val="22"/>
          <w:szCs w:val="24"/>
          <w:highlight w:val="none"/>
        </w:rPr>
        <w:t>）向/ 仲裁委员会提请仲裁；</w:t>
      </w:r>
    </w:p>
    <w:p w14:paraId="4738CC1A">
      <w:pPr>
        <w:widowControl w:val="0"/>
        <w:spacing w:line="440" w:lineRule="exact"/>
        <w:ind w:firstLine="440" w:firstLineChars="200"/>
        <w:jc w:val="both"/>
        <w:rPr>
          <w:rFonts w:hint="eastAsia" w:ascii="宋体" w:hAnsi="宋体" w:eastAsia="宋体"/>
          <w:bCs/>
          <w:color w:val="auto"/>
          <w:sz w:val="28"/>
          <w:szCs w:val="28"/>
          <w:highlight w:val="none"/>
          <w:lang w:val="en-US" w:eastAsia="zh-CN"/>
        </w:rPr>
        <w:sectPr>
          <w:footerReference r:id="rId17" w:type="default"/>
          <w:type w:val="continuous"/>
          <w:pgSz w:w="11906" w:h="16838"/>
          <w:pgMar w:top="1440" w:right="1080" w:bottom="1440" w:left="1080" w:header="851" w:footer="992" w:gutter="0"/>
          <w:cols w:space="720" w:num="1"/>
          <w:docGrid w:linePitch="435" w:charSpace="0"/>
        </w:sectPr>
      </w:pPr>
      <w:r>
        <w:rPr>
          <w:rFonts w:hint="eastAsia" w:ascii="Times New Roman" w:hAnsi="Times New Roman" w:cs="Times New Roman"/>
          <w:color w:val="auto"/>
          <w:kern w:val="2"/>
          <w:sz w:val="22"/>
          <w:szCs w:val="24"/>
          <w:highlight w:val="none"/>
        </w:rPr>
        <w:t>（</w:t>
      </w:r>
      <w:r>
        <w:rPr>
          <w:rFonts w:ascii="Times New Roman" w:hAnsi="Times New Roman" w:cs="Times New Roman"/>
          <w:color w:val="auto"/>
          <w:kern w:val="2"/>
          <w:sz w:val="22"/>
          <w:szCs w:val="24"/>
          <w:highlight w:val="none"/>
        </w:rPr>
        <w:t>2</w:t>
      </w:r>
      <w:r>
        <w:rPr>
          <w:rFonts w:hint="eastAsia" w:ascii="Times New Roman" w:hAnsi="Times New Roman" w:cs="Times New Roman"/>
          <w:color w:val="auto"/>
          <w:kern w:val="2"/>
          <w:sz w:val="22"/>
          <w:szCs w:val="24"/>
          <w:highlight w:val="none"/>
        </w:rPr>
        <w:t>）向工程所在地人民法院提起诉讼</w:t>
      </w:r>
      <w:r>
        <w:rPr>
          <w:rFonts w:hint="eastAsia" w:ascii="Times New Roman" w:hAnsi="Times New Roman" w:cs="Times New Roman"/>
          <w:color w:val="auto"/>
          <w:kern w:val="2"/>
          <w:sz w:val="22"/>
          <w:szCs w:val="24"/>
          <w:highlight w:val="none"/>
          <w:lang w:eastAsia="zh-CN"/>
        </w:rPr>
        <w:t>。</w:t>
      </w:r>
    </w:p>
    <w:p w14:paraId="211F9B4C">
      <w:pPr>
        <w:spacing w:line="0" w:lineRule="atLeast"/>
        <w:jc w:val="center"/>
        <w:outlineLvl w:val="3"/>
        <w:rPr>
          <w:rFonts w:ascii="宋体" w:hAnsi="宋体"/>
          <w:b/>
          <w:color w:val="auto"/>
          <w:sz w:val="31"/>
          <w:highlight w:val="none"/>
        </w:rPr>
      </w:pPr>
      <w:r>
        <w:rPr>
          <w:rFonts w:ascii="宋体" w:hAnsi="宋体"/>
          <w:b/>
          <w:color w:val="auto"/>
          <w:sz w:val="31"/>
          <w:highlight w:val="none"/>
        </w:rPr>
        <w:t>第三节合同附件格式</w:t>
      </w:r>
    </w:p>
    <w:p w14:paraId="0B9A6369">
      <w:pPr>
        <w:spacing w:line="200" w:lineRule="exact"/>
        <w:rPr>
          <w:rFonts w:ascii="Times New Roman" w:hAnsi="Times New Roman" w:eastAsia="Times New Roman"/>
          <w:color w:val="auto"/>
          <w:highlight w:val="none"/>
        </w:rPr>
      </w:pPr>
    </w:p>
    <w:p w14:paraId="2A0DD264">
      <w:pPr>
        <w:spacing w:line="2" w:lineRule="exact"/>
        <w:rPr>
          <w:rFonts w:ascii="Times New Roman" w:hAnsi="Times New Roman" w:eastAsia="Times New Roman"/>
          <w:color w:val="auto"/>
          <w:highlight w:val="none"/>
        </w:rPr>
      </w:pPr>
    </w:p>
    <w:p w14:paraId="19725CBE">
      <w:pPr>
        <w:jc w:val="center"/>
        <w:rPr>
          <w:b/>
          <w:color w:val="auto"/>
          <w:sz w:val="40"/>
          <w:szCs w:val="21"/>
          <w:highlight w:val="none"/>
        </w:rPr>
      </w:pPr>
      <w:r>
        <w:rPr>
          <w:rFonts w:hint="eastAsia"/>
          <w:b/>
          <w:color w:val="auto"/>
          <w:sz w:val="40"/>
          <w:szCs w:val="21"/>
          <w:highlight w:val="none"/>
        </w:rPr>
        <w:t>合同协议书</w:t>
      </w:r>
    </w:p>
    <w:p w14:paraId="5B330322">
      <w:pPr>
        <w:spacing w:line="440" w:lineRule="exact"/>
        <w:ind w:firstLine="420" w:firstLineChars="200"/>
        <w:rPr>
          <w:color w:val="auto"/>
          <w:sz w:val="21"/>
          <w:szCs w:val="21"/>
          <w:highlight w:val="none"/>
        </w:rPr>
      </w:pPr>
      <w:r>
        <w:rPr>
          <w:rFonts w:hint="eastAsia"/>
          <w:color w:val="auto"/>
          <w:sz w:val="21"/>
          <w:szCs w:val="21"/>
          <w:highlight w:val="none"/>
        </w:rPr>
        <w:t>（发包人名称，以下简称“发包人”）_______为实施（项目名称）_____________________，已接受______________（勘察设计人名称，以下简称“勘察设计人”）对该项目勘察设计投标。发包人和勘察设计人共同达成如下协议。</w:t>
      </w:r>
    </w:p>
    <w:p w14:paraId="72BE723C">
      <w:pPr>
        <w:spacing w:line="440" w:lineRule="exact"/>
        <w:ind w:firstLine="420" w:firstLineChars="200"/>
        <w:rPr>
          <w:color w:val="auto"/>
          <w:sz w:val="21"/>
          <w:szCs w:val="21"/>
          <w:highlight w:val="none"/>
        </w:rPr>
      </w:pPr>
      <w:r>
        <w:rPr>
          <w:rFonts w:hint="eastAsia"/>
          <w:color w:val="auto"/>
          <w:sz w:val="21"/>
          <w:szCs w:val="21"/>
          <w:highlight w:val="none"/>
        </w:rPr>
        <w:t>1、本协议书与下列文件一起构成合同文件：</w:t>
      </w:r>
    </w:p>
    <w:p w14:paraId="6E3B8105">
      <w:pPr>
        <w:spacing w:line="440" w:lineRule="exact"/>
        <w:ind w:firstLine="420" w:firstLineChars="200"/>
        <w:rPr>
          <w:color w:val="auto"/>
          <w:sz w:val="21"/>
          <w:szCs w:val="21"/>
          <w:highlight w:val="none"/>
        </w:rPr>
      </w:pPr>
      <w:r>
        <w:rPr>
          <w:rFonts w:hint="eastAsia"/>
          <w:color w:val="auto"/>
          <w:sz w:val="21"/>
          <w:szCs w:val="21"/>
          <w:highlight w:val="none"/>
        </w:rPr>
        <w:t>（1）中标通知书；</w:t>
      </w:r>
    </w:p>
    <w:p w14:paraId="2C54931E">
      <w:pPr>
        <w:spacing w:line="440" w:lineRule="exact"/>
        <w:ind w:firstLine="420" w:firstLineChars="200"/>
        <w:rPr>
          <w:color w:val="auto"/>
          <w:sz w:val="21"/>
          <w:szCs w:val="21"/>
          <w:highlight w:val="none"/>
        </w:rPr>
      </w:pPr>
      <w:r>
        <w:rPr>
          <w:rFonts w:hint="eastAsia"/>
          <w:color w:val="auto"/>
          <w:sz w:val="21"/>
          <w:szCs w:val="21"/>
          <w:highlight w:val="none"/>
        </w:rPr>
        <w:t>（2）投标函、投标函附录及开标记录表；</w:t>
      </w:r>
    </w:p>
    <w:p w14:paraId="5226134A">
      <w:pPr>
        <w:spacing w:line="440" w:lineRule="exact"/>
        <w:ind w:firstLine="420" w:firstLineChars="200"/>
        <w:rPr>
          <w:color w:val="auto"/>
          <w:sz w:val="21"/>
          <w:szCs w:val="21"/>
          <w:highlight w:val="none"/>
        </w:rPr>
      </w:pPr>
      <w:r>
        <w:rPr>
          <w:rFonts w:hint="eastAsia"/>
          <w:color w:val="auto"/>
          <w:sz w:val="21"/>
          <w:szCs w:val="21"/>
          <w:highlight w:val="none"/>
        </w:rPr>
        <w:t>（3）专用合同条款；</w:t>
      </w:r>
    </w:p>
    <w:p w14:paraId="02BDF0D1">
      <w:pPr>
        <w:spacing w:line="440" w:lineRule="exact"/>
        <w:ind w:firstLine="420" w:firstLineChars="200"/>
        <w:rPr>
          <w:color w:val="auto"/>
          <w:sz w:val="21"/>
          <w:szCs w:val="21"/>
          <w:highlight w:val="none"/>
        </w:rPr>
      </w:pPr>
      <w:r>
        <w:rPr>
          <w:rFonts w:hint="eastAsia"/>
          <w:color w:val="auto"/>
          <w:sz w:val="21"/>
          <w:szCs w:val="21"/>
          <w:highlight w:val="none"/>
        </w:rPr>
        <w:t>（4）通用合同条款；</w:t>
      </w:r>
    </w:p>
    <w:p w14:paraId="2C624144">
      <w:pPr>
        <w:spacing w:line="440" w:lineRule="exact"/>
        <w:ind w:firstLine="420" w:firstLineChars="200"/>
        <w:rPr>
          <w:color w:val="auto"/>
          <w:sz w:val="21"/>
          <w:szCs w:val="21"/>
          <w:highlight w:val="none"/>
        </w:rPr>
      </w:pPr>
      <w:r>
        <w:rPr>
          <w:rFonts w:hint="eastAsia"/>
          <w:color w:val="auto"/>
          <w:sz w:val="21"/>
          <w:szCs w:val="21"/>
          <w:highlight w:val="none"/>
        </w:rPr>
        <w:t>（5）发包人要求；</w:t>
      </w:r>
    </w:p>
    <w:p w14:paraId="6461D73C">
      <w:pPr>
        <w:spacing w:line="440" w:lineRule="exact"/>
        <w:ind w:firstLine="420" w:firstLineChars="200"/>
        <w:rPr>
          <w:color w:val="auto"/>
          <w:sz w:val="21"/>
          <w:szCs w:val="21"/>
          <w:highlight w:val="none"/>
        </w:rPr>
      </w:pPr>
      <w:r>
        <w:rPr>
          <w:rFonts w:hint="eastAsia"/>
          <w:color w:val="auto"/>
          <w:sz w:val="21"/>
          <w:szCs w:val="21"/>
          <w:highlight w:val="none"/>
        </w:rPr>
        <w:t>（6）勘察</w:t>
      </w:r>
      <w:r>
        <w:rPr>
          <w:rFonts w:hint="eastAsia"/>
          <w:color w:val="auto"/>
          <w:sz w:val="21"/>
          <w:szCs w:val="21"/>
          <w:highlight w:val="none"/>
          <w:lang w:eastAsia="zh-CN"/>
        </w:rPr>
        <w:t>、</w:t>
      </w:r>
      <w:r>
        <w:rPr>
          <w:rFonts w:hint="eastAsia"/>
          <w:color w:val="auto"/>
          <w:sz w:val="21"/>
          <w:szCs w:val="21"/>
          <w:highlight w:val="none"/>
        </w:rPr>
        <w:t>设计费用清单；</w:t>
      </w:r>
    </w:p>
    <w:p w14:paraId="06B0161F">
      <w:pPr>
        <w:spacing w:line="440" w:lineRule="exact"/>
        <w:ind w:firstLine="420" w:firstLineChars="200"/>
        <w:rPr>
          <w:color w:val="auto"/>
          <w:sz w:val="21"/>
          <w:szCs w:val="21"/>
          <w:highlight w:val="none"/>
        </w:rPr>
      </w:pPr>
      <w:r>
        <w:rPr>
          <w:rFonts w:hint="eastAsia"/>
          <w:color w:val="auto"/>
          <w:sz w:val="21"/>
          <w:szCs w:val="21"/>
          <w:highlight w:val="none"/>
        </w:rPr>
        <w:t>（7）勘察设计方案；</w:t>
      </w:r>
    </w:p>
    <w:p w14:paraId="769E2926">
      <w:pPr>
        <w:spacing w:line="440" w:lineRule="exact"/>
        <w:ind w:firstLine="420" w:firstLineChars="200"/>
        <w:rPr>
          <w:color w:val="auto"/>
          <w:sz w:val="21"/>
          <w:szCs w:val="21"/>
          <w:highlight w:val="none"/>
        </w:rPr>
      </w:pPr>
      <w:r>
        <w:rPr>
          <w:rFonts w:hint="eastAsia"/>
          <w:color w:val="auto"/>
          <w:sz w:val="21"/>
          <w:szCs w:val="21"/>
          <w:highlight w:val="none"/>
        </w:rPr>
        <w:t>（8）其他合同文件。</w:t>
      </w:r>
    </w:p>
    <w:p w14:paraId="10CD1A8F">
      <w:pPr>
        <w:spacing w:line="440" w:lineRule="exact"/>
        <w:ind w:firstLine="420" w:firstLineChars="200"/>
        <w:rPr>
          <w:color w:val="auto"/>
          <w:sz w:val="21"/>
          <w:szCs w:val="21"/>
          <w:highlight w:val="none"/>
        </w:rPr>
      </w:pPr>
      <w:r>
        <w:rPr>
          <w:rFonts w:hint="eastAsia"/>
          <w:color w:val="auto"/>
          <w:sz w:val="21"/>
          <w:szCs w:val="21"/>
          <w:highlight w:val="none"/>
        </w:rPr>
        <w:t>2、上述合同文件互相补充和解释。如果合同文件之间存在矛盾或不一致之处，以上述文件的排列顺序在先者为准。</w:t>
      </w:r>
    </w:p>
    <w:p w14:paraId="09FECFC4">
      <w:pPr>
        <w:spacing w:line="440" w:lineRule="exact"/>
        <w:ind w:firstLine="420" w:firstLineChars="200"/>
        <w:rPr>
          <w:color w:val="auto"/>
          <w:sz w:val="21"/>
          <w:szCs w:val="21"/>
          <w:highlight w:val="none"/>
        </w:rPr>
      </w:pPr>
      <w:r>
        <w:rPr>
          <w:rFonts w:hint="eastAsia"/>
          <w:color w:val="auto"/>
          <w:sz w:val="21"/>
          <w:szCs w:val="21"/>
          <w:highlight w:val="none"/>
        </w:rPr>
        <w:t>3、签约合同价：</w:t>
      </w:r>
      <w:r>
        <w:rPr>
          <w:rFonts w:hint="eastAsia"/>
          <w:color w:val="auto"/>
          <w:sz w:val="21"/>
          <w:szCs w:val="21"/>
          <w:highlight w:val="none"/>
          <w:u w:val="single"/>
        </w:rPr>
        <w:t xml:space="preserve">                              </w:t>
      </w:r>
      <w:r>
        <w:rPr>
          <w:rFonts w:hint="eastAsia"/>
          <w:color w:val="auto"/>
          <w:sz w:val="21"/>
          <w:szCs w:val="21"/>
          <w:highlight w:val="none"/>
        </w:rPr>
        <w:t>。</w:t>
      </w:r>
    </w:p>
    <w:p w14:paraId="4CEA787C">
      <w:pPr>
        <w:spacing w:line="440" w:lineRule="exact"/>
        <w:ind w:firstLine="420" w:firstLineChars="200"/>
        <w:rPr>
          <w:color w:val="auto"/>
          <w:sz w:val="21"/>
          <w:szCs w:val="21"/>
          <w:highlight w:val="none"/>
          <w:u w:val="single"/>
        </w:rPr>
      </w:pPr>
      <w:r>
        <w:rPr>
          <w:rFonts w:hint="eastAsia"/>
          <w:color w:val="auto"/>
          <w:sz w:val="21"/>
          <w:szCs w:val="21"/>
          <w:highlight w:val="none"/>
        </w:rPr>
        <w:t>4、项目负责人：_______。</w:t>
      </w:r>
    </w:p>
    <w:p w14:paraId="02C31A43">
      <w:pPr>
        <w:spacing w:line="440" w:lineRule="exact"/>
        <w:ind w:firstLine="420" w:firstLineChars="200"/>
        <w:rPr>
          <w:color w:val="auto"/>
          <w:sz w:val="21"/>
          <w:szCs w:val="21"/>
          <w:highlight w:val="none"/>
        </w:rPr>
      </w:pPr>
      <w:r>
        <w:rPr>
          <w:rFonts w:hint="eastAsia"/>
          <w:color w:val="auto"/>
          <w:sz w:val="21"/>
          <w:szCs w:val="21"/>
          <w:highlight w:val="none"/>
        </w:rPr>
        <w:t>5、勘察设计工作质量符合的标准和要求：__________。</w:t>
      </w:r>
    </w:p>
    <w:p w14:paraId="403DC2CE">
      <w:pPr>
        <w:spacing w:line="440" w:lineRule="exact"/>
        <w:ind w:firstLine="420" w:firstLineChars="200"/>
        <w:rPr>
          <w:color w:val="auto"/>
          <w:sz w:val="21"/>
          <w:szCs w:val="21"/>
          <w:highlight w:val="none"/>
        </w:rPr>
      </w:pPr>
      <w:r>
        <w:rPr>
          <w:rFonts w:hint="eastAsia"/>
          <w:color w:val="auto"/>
          <w:sz w:val="21"/>
          <w:szCs w:val="21"/>
          <w:highlight w:val="none"/>
        </w:rPr>
        <w:t>6、勘察设计人承诺按合同约定承担工程的勘察设计工作。</w:t>
      </w:r>
    </w:p>
    <w:p w14:paraId="1C206E73">
      <w:pPr>
        <w:spacing w:line="440" w:lineRule="exact"/>
        <w:ind w:firstLine="420" w:firstLineChars="200"/>
        <w:rPr>
          <w:color w:val="auto"/>
          <w:sz w:val="21"/>
          <w:szCs w:val="21"/>
          <w:highlight w:val="none"/>
        </w:rPr>
      </w:pPr>
      <w:r>
        <w:rPr>
          <w:rFonts w:hint="eastAsia"/>
          <w:color w:val="auto"/>
          <w:sz w:val="21"/>
          <w:szCs w:val="21"/>
          <w:highlight w:val="none"/>
        </w:rPr>
        <w:t>7、发包人承诺按合同约定的条件、时间和方式向勘察设计人支付合同价款。</w:t>
      </w:r>
    </w:p>
    <w:p w14:paraId="3AEEA5DD">
      <w:pPr>
        <w:spacing w:line="440" w:lineRule="exact"/>
        <w:ind w:firstLine="420" w:firstLineChars="200"/>
        <w:rPr>
          <w:color w:val="auto"/>
          <w:sz w:val="21"/>
          <w:szCs w:val="21"/>
          <w:highlight w:val="none"/>
        </w:rPr>
      </w:pPr>
      <w:r>
        <w:rPr>
          <w:rFonts w:hint="eastAsia"/>
          <w:color w:val="auto"/>
          <w:sz w:val="21"/>
          <w:szCs w:val="21"/>
          <w:highlight w:val="none"/>
        </w:rPr>
        <w:t>8、勘察设计人计划开始勘察设计日期：_______，实际日期按照发包人在开始勘察设计通知中载明的开始勘察设计日期为准。勘察设计服务期限为天。</w:t>
      </w:r>
    </w:p>
    <w:p w14:paraId="64DD5179">
      <w:pPr>
        <w:spacing w:line="440" w:lineRule="exact"/>
        <w:ind w:firstLine="420" w:firstLineChars="200"/>
        <w:rPr>
          <w:color w:val="auto"/>
          <w:sz w:val="21"/>
          <w:szCs w:val="21"/>
          <w:highlight w:val="none"/>
        </w:rPr>
      </w:pPr>
      <w:r>
        <w:rPr>
          <w:rFonts w:hint="eastAsia"/>
          <w:color w:val="auto"/>
          <w:sz w:val="21"/>
          <w:szCs w:val="21"/>
          <w:highlight w:val="none"/>
        </w:rPr>
        <w:t>9、本合同协议书一式____份，合同双方各执_____份。</w:t>
      </w:r>
    </w:p>
    <w:p w14:paraId="3BCEAEEA">
      <w:pPr>
        <w:spacing w:line="440" w:lineRule="exact"/>
        <w:ind w:firstLine="420" w:firstLineChars="200"/>
        <w:rPr>
          <w:color w:val="auto"/>
          <w:sz w:val="21"/>
          <w:szCs w:val="21"/>
          <w:highlight w:val="none"/>
        </w:rPr>
      </w:pPr>
      <w:r>
        <w:rPr>
          <w:rFonts w:hint="eastAsia"/>
          <w:color w:val="auto"/>
          <w:sz w:val="21"/>
          <w:szCs w:val="21"/>
          <w:highlight w:val="none"/>
        </w:rPr>
        <w:t>10、合同未尽事宜，双方另行签订补充协议。补充协议是合同的组成部分。</w:t>
      </w:r>
    </w:p>
    <w:p w14:paraId="663B6A76">
      <w:pPr>
        <w:spacing w:line="440" w:lineRule="exact"/>
        <w:ind w:firstLine="420" w:firstLineChars="200"/>
        <w:rPr>
          <w:color w:val="auto"/>
          <w:sz w:val="21"/>
          <w:szCs w:val="21"/>
          <w:highlight w:val="none"/>
        </w:rPr>
      </w:pPr>
      <w:r>
        <w:rPr>
          <w:rFonts w:hint="eastAsia"/>
          <w:color w:val="auto"/>
          <w:sz w:val="21"/>
          <w:szCs w:val="21"/>
          <w:highlight w:val="none"/>
        </w:rPr>
        <w:t>发包人：___________________（盖单位章） 勘察设计人：____________________（盖单位章）</w:t>
      </w:r>
    </w:p>
    <w:p w14:paraId="23BB591A">
      <w:pPr>
        <w:spacing w:line="440" w:lineRule="exact"/>
        <w:ind w:firstLine="420" w:firstLineChars="200"/>
        <w:rPr>
          <w:color w:val="auto"/>
          <w:sz w:val="21"/>
          <w:szCs w:val="21"/>
          <w:highlight w:val="none"/>
        </w:rPr>
      </w:pPr>
      <w:r>
        <w:rPr>
          <w:rFonts w:hint="eastAsia"/>
          <w:color w:val="auto"/>
          <w:sz w:val="21"/>
          <w:szCs w:val="21"/>
          <w:highlight w:val="none"/>
        </w:rPr>
        <w:t>法定代表人或其委托代理人：_____（签字） 法定代表人或其委托代理人：____（签字）</w:t>
      </w:r>
    </w:p>
    <w:p w14:paraId="357F2FF5">
      <w:pPr>
        <w:tabs>
          <w:tab w:val="left" w:pos="680"/>
        </w:tabs>
        <w:spacing w:line="239" w:lineRule="auto"/>
        <w:ind w:left="420"/>
        <w:jc w:val="center"/>
        <w:rPr>
          <w:rFonts w:hint="eastAsia"/>
          <w:color w:val="auto"/>
          <w:sz w:val="21"/>
          <w:szCs w:val="21"/>
          <w:highlight w:val="none"/>
        </w:rPr>
      </w:pPr>
    </w:p>
    <w:p w14:paraId="1B467B44">
      <w:pPr>
        <w:tabs>
          <w:tab w:val="left" w:pos="680"/>
        </w:tabs>
        <w:spacing w:line="239" w:lineRule="auto"/>
        <w:ind w:left="420"/>
        <w:jc w:val="center"/>
        <w:rPr>
          <w:rFonts w:hint="eastAsia"/>
          <w:color w:val="auto"/>
          <w:sz w:val="21"/>
          <w:szCs w:val="21"/>
          <w:highlight w:val="none"/>
        </w:rPr>
      </w:pPr>
      <w:r>
        <w:rPr>
          <w:rFonts w:hint="eastAsia"/>
          <w:color w:val="auto"/>
          <w:sz w:val="21"/>
          <w:szCs w:val="21"/>
          <w:highlight w:val="none"/>
        </w:rPr>
        <w:t>___年___月___日</w:t>
      </w:r>
    </w:p>
    <w:p w14:paraId="24B40923">
      <w:pPr>
        <w:rPr>
          <w:rFonts w:hint="eastAsia"/>
          <w:color w:val="auto"/>
          <w:sz w:val="21"/>
          <w:szCs w:val="21"/>
          <w:highlight w:val="none"/>
        </w:rPr>
      </w:pPr>
      <w:r>
        <w:rPr>
          <w:rFonts w:hint="eastAsia"/>
          <w:color w:val="auto"/>
          <w:sz w:val="21"/>
          <w:szCs w:val="21"/>
          <w:highlight w:val="none"/>
        </w:rPr>
        <w:br w:type="page"/>
      </w:r>
    </w:p>
    <w:p w14:paraId="7E565242">
      <w:pPr>
        <w:pStyle w:val="3"/>
        <w:numPr>
          <w:ilvl w:val="0"/>
          <w:numId w:val="5"/>
        </w:numPr>
        <w:ind w:left="0" w:leftChars="0" w:firstLine="0" w:firstLineChars="0"/>
        <w:jc w:val="center"/>
        <w:outlineLvl w:val="0"/>
        <w:rPr>
          <w:rFonts w:hint="eastAsia"/>
          <w:color w:val="auto"/>
          <w:highlight w:val="none"/>
          <w:lang w:eastAsia="zh-CN"/>
        </w:rPr>
      </w:pPr>
      <w:bookmarkStart w:id="144" w:name="_Toc8507"/>
      <w:r>
        <w:rPr>
          <w:rFonts w:hint="eastAsia"/>
          <w:color w:val="auto"/>
          <w:highlight w:val="none"/>
          <w:lang w:eastAsia="zh-CN"/>
        </w:rPr>
        <w:t>采购人要求</w:t>
      </w:r>
      <w:bookmarkEnd w:id="144"/>
    </w:p>
    <w:p w14:paraId="5AACF148">
      <w:pPr>
        <w:widowControl w:val="0"/>
        <w:spacing w:line="440" w:lineRule="exact"/>
        <w:jc w:val="both"/>
        <w:rPr>
          <w:rFonts w:ascii="Times New Roman" w:hAnsi="Times New Roman" w:cs="Times New Roman"/>
          <w:b/>
          <w:color w:val="auto"/>
          <w:kern w:val="2"/>
          <w:sz w:val="22"/>
          <w:szCs w:val="24"/>
          <w:highlight w:val="none"/>
        </w:rPr>
      </w:pPr>
      <w:bookmarkStart w:id="145" w:name="_Toc24285"/>
      <w:bookmarkStart w:id="146" w:name="_Toc19654"/>
      <w:r>
        <w:rPr>
          <w:rFonts w:ascii="Times New Roman" w:hAnsi="Times New Roman" w:cs="Times New Roman"/>
          <w:b/>
          <w:color w:val="auto"/>
          <w:kern w:val="2"/>
          <w:sz w:val="22"/>
          <w:szCs w:val="24"/>
          <w:highlight w:val="none"/>
        </w:rPr>
        <w:t>一、</w:t>
      </w:r>
      <w:r>
        <w:rPr>
          <w:rFonts w:hint="eastAsia" w:ascii="Times New Roman" w:hAnsi="Times New Roman" w:cs="Times New Roman"/>
          <w:b/>
          <w:color w:val="auto"/>
          <w:kern w:val="2"/>
          <w:sz w:val="22"/>
          <w:szCs w:val="24"/>
          <w:highlight w:val="none"/>
        </w:rPr>
        <w:t>勘察、</w:t>
      </w:r>
      <w:r>
        <w:rPr>
          <w:rFonts w:ascii="Times New Roman" w:hAnsi="Times New Roman" w:cs="Times New Roman"/>
          <w:b/>
          <w:color w:val="auto"/>
          <w:kern w:val="2"/>
          <w:sz w:val="22"/>
          <w:szCs w:val="24"/>
          <w:highlight w:val="none"/>
        </w:rPr>
        <w:t>设计要求</w:t>
      </w:r>
      <w:bookmarkEnd w:id="145"/>
      <w:bookmarkEnd w:id="146"/>
    </w:p>
    <w:p w14:paraId="7793A64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ascii="Times New Roman" w:hAnsi="Times New Roman" w:cs="Times New Roman"/>
          <w:color w:val="auto"/>
          <w:kern w:val="2"/>
          <w:sz w:val="22"/>
          <w:szCs w:val="24"/>
          <w:highlight w:val="none"/>
        </w:rPr>
        <w:t>1.项目概况</w:t>
      </w:r>
    </w:p>
    <w:p w14:paraId="68AAA87A">
      <w:pPr>
        <w:widowControl w:val="0"/>
        <w:spacing w:line="440" w:lineRule="exact"/>
        <w:ind w:firstLine="440" w:firstLineChars="200"/>
        <w:jc w:val="both"/>
        <w:rPr>
          <w:rFonts w:hint="eastAsia" w:ascii="Times New Roman" w:hAnsi="Times New Roman" w:eastAsia="宋体" w:cs="Times New Roman"/>
          <w:color w:val="auto"/>
          <w:kern w:val="2"/>
          <w:sz w:val="22"/>
          <w:szCs w:val="24"/>
          <w:highlight w:val="none"/>
          <w:lang w:eastAsia="zh-CN"/>
        </w:rPr>
      </w:pPr>
      <w:r>
        <w:rPr>
          <w:rFonts w:hint="eastAsia" w:ascii="Times New Roman" w:hAnsi="Times New Roman" w:cs="Times New Roman"/>
          <w:color w:val="auto"/>
          <w:kern w:val="2"/>
          <w:sz w:val="22"/>
          <w:szCs w:val="24"/>
          <w:highlight w:val="none"/>
        </w:rPr>
        <w:t>1.1项目名称：</w:t>
      </w:r>
      <w:r>
        <w:rPr>
          <w:rFonts w:hint="eastAsia" w:ascii="宋体" w:hAnsi="宋体" w:cs="Times New Roman"/>
          <w:color w:val="auto"/>
          <w:highlight w:val="none"/>
          <w:lang w:eastAsia="zh-CN"/>
        </w:rPr>
        <w:t>延吉市依兰河“还河于河”项目勘察设计</w:t>
      </w:r>
    </w:p>
    <w:p w14:paraId="2679EBA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1.2建设单位：</w:t>
      </w:r>
      <w:r>
        <w:rPr>
          <w:rFonts w:hint="eastAsia" w:ascii="Times New Roman" w:hAnsi="Times New Roman" w:cs="Times New Roman"/>
          <w:color w:val="auto"/>
          <w:kern w:val="2"/>
          <w:sz w:val="22"/>
          <w:szCs w:val="24"/>
          <w:highlight w:val="none"/>
          <w:lang w:eastAsia="zh-CN"/>
        </w:rPr>
        <w:t>延吉市水利局</w:t>
      </w:r>
    </w:p>
    <w:p w14:paraId="5B96752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1.3工程规模及内容：</w:t>
      </w:r>
      <w:r>
        <w:rPr>
          <w:rFonts w:hint="eastAsia" w:ascii="宋体" w:hAnsi="宋体"/>
          <w:color w:val="auto"/>
          <w:sz w:val="21"/>
          <w:szCs w:val="21"/>
          <w:highlight w:val="none"/>
        </w:rPr>
        <w:t>主要对</w:t>
      </w:r>
      <w:r>
        <w:rPr>
          <w:rFonts w:hint="eastAsia" w:ascii="宋体" w:hAnsi="宋体" w:cs="Calibri"/>
          <w:color w:val="auto"/>
          <w:szCs w:val="21"/>
          <w:highlight w:val="none"/>
          <w:lang w:eastAsia="zh-CN"/>
        </w:rPr>
        <w:t>延吉市依兰河“还河于河”项目勘察设计</w:t>
      </w:r>
      <w:r>
        <w:rPr>
          <w:rFonts w:hint="eastAsia" w:ascii="宋体" w:hAnsi="宋体"/>
          <w:color w:val="auto"/>
          <w:sz w:val="21"/>
          <w:szCs w:val="21"/>
          <w:highlight w:val="none"/>
          <w:lang w:val="en-US" w:eastAsia="zh-CN"/>
        </w:rPr>
        <w:t>进行招标，建设内容河道清淤疏浚总长度25749m。</w:t>
      </w:r>
    </w:p>
    <w:p w14:paraId="3337A2F7">
      <w:pPr>
        <w:widowControl w:val="0"/>
        <w:spacing w:line="440" w:lineRule="exact"/>
        <w:ind w:firstLine="440" w:firstLineChars="200"/>
        <w:jc w:val="both"/>
        <w:rPr>
          <w:rFonts w:hint="eastAsia" w:ascii="Times New Roman" w:hAnsi="Times New Roman" w:eastAsia="宋体" w:cs="Times New Roman"/>
          <w:color w:val="auto"/>
          <w:kern w:val="2"/>
          <w:sz w:val="22"/>
          <w:szCs w:val="24"/>
          <w:highlight w:val="none"/>
          <w:lang w:eastAsia="zh-CN"/>
        </w:rPr>
      </w:pPr>
      <w:r>
        <w:rPr>
          <w:rFonts w:hint="eastAsia" w:ascii="Times New Roman" w:hAnsi="Times New Roman" w:cs="Times New Roman"/>
          <w:color w:val="auto"/>
          <w:kern w:val="2"/>
          <w:sz w:val="22"/>
          <w:szCs w:val="24"/>
          <w:highlight w:val="none"/>
        </w:rPr>
        <w:t>2.招标范围及内容：</w:t>
      </w:r>
      <w:r>
        <w:rPr>
          <w:rFonts w:hint="eastAsia" w:ascii="宋体" w:hAnsi="宋体"/>
          <w:color w:val="auto"/>
          <w:highlight w:val="none"/>
          <w:lang w:val="en-US" w:eastAsia="zh-CN"/>
        </w:rPr>
        <w:t>为本项目勘察、设计，编制初步设计报告、招标设计、施工图设计以及工程施工期间现场设计服务。</w:t>
      </w:r>
    </w:p>
    <w:p w14:paraId="663D78D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3.勘察、设计依据：本次勘察设计遵照（但不限于）以下规范、规程及标准执行：</w:t>
      </w:r>
    </w:p>
    <w:p w14:paraId="2836F86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3.0《水利水电工程可行性研究报告编制规程》（SL618-2021）</w:t>
      </w:r>
    </w:p>
    <w:p w14:paraId="3F2DA67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3.1《水利水电工程地质勘察规范》（GB50487-2008）；</w:t>
      </w:r>
    </w:p>
    <w:p w14:paraId="596EF65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3.2《堤防工程地质勘察规程》（SL188-2005）；</w:t>
      </w:r>
    </w:p>
    <w:p w14:paraId="37A9A10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3.3《水利水电工程天然建筑材料勘察规程》（SL251-2015）；</w:t>
      </w:r>
    </w:p>
    <w:p w14:paraId="0050510F">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3.4《水利水电工程钻探规程》（SL/T291-2020）；</w:t>
      </w:r>
    </w:p>
    <w:p w14:paraId="78FDB959">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3.5《土工试验方法标准》（GB/T50123-2019）；</w:t>
      </w:r>
    </w:p>
    <w:p w14:paraId="3D4AF0B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3.6《水利水电工程地质测绘规程》（SL299-2020）；</w:t>
      </w:r>
    </w:p>
    <w:p w14:paraId="69029BB2">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3.7《水利水电工程制图标准》（SL73.1-2013）；</w:t>
      </w:r>
    </w:p>
    <w:p w14:paraId="2BC1B7F3">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3.8《灌溉与排水工程设计规范》（GB50288-2018）；</w:t>
      </w:r>
    </w:p>
    <w:p w14:paraId="0DB41C7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3.9《水利水电工程等级划分及洪水标准》（SL252-2017）；</w:t>
      </w:r>
    </w:p>
    <w:p w14:paraId="0AA4B82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3.10《防洪标准》（GB50201-2014）；</w:t>
      </w:r>
    </w:p>
    <w:p w14:paraId="1EDC0B9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3.11《水利工程设计概（估）算编制规定》水利部文件水总〔2014〕429号；</w:t>
      </w:r>
    </w:p>
    <w:p w14:paraId="133C824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3.11《水利工程营业税改征增值税计价依据调整办法》（办水总〔2016〕132号；</w:t>
      </w:r>
    </w:p>
    <w:p w14:paraId="79498D1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3.12《水利建设项目经济评价规范》（SL72-2013）；</w:t>
      </w:r>
    </w:p>
    <w:p w14:paraId="28E3183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3.13《水工混凝土结构设计规范》（SL191-2008）；</w:t>
      </w:r>
    </w:p>
    <w:p w14:paraId="5D97D9A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3.14《水工建筑物荷载设计规范》（SL744-2016）；</w:t>
      </w:r>
    </w:p>
    <w:p w14:paraId="5B71EEE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3.15《水工建筑物抗震设计标准》（GB51247-2018）；</w:t>
      </w:r>
    </w:p>
    <w:p w14:paraId="0F126A7D">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3.16《水利水电工程设计工程量计算规定》（SL328-2005）；</w:t>
      </w:r>
    </w:p>
    <w:p w14:paraId="30E8E408">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3.17 《水利水电工程施工组织设计规范》（SL303-2017）；</w:t>
      </w:r>
    </w:p>
    <w:p w14:paraId="2071DB1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3.18《水闸设计规范》（SL265-2016）；</w:t>
      </w:r>
    </w:p>
    <w:p w14:paraId="1BB7D97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3.19《水工建筑物抗冰冻设计规范》（GB/T50662-2011）；</w:t>
      </w:r>
    </w:p>
    <w:p w14:paraId="6AF8A47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3.20《土工合成材料应用技术规范》（GB50290-2014）；</w:t>
      </w:r>
    </w:p>
    <w:p w14:paraId="33EF1B3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3.21《灌溉与排水渠系建筑物设计规范》（SL482-2011）；</w:t>
      </w:r>
    </w:p>
    <w:p w14:paraId="4A3C0EE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3.22《低压配电设计规范》（GB50054-2011）；</w:t>
      </w:r>
    </w:p>
    <w:p w14:paraId="19302CDC">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3.23《供配电系统设计规范》（GB50052-2009）；</w:t>
      </w:r>
    </w:p>
    <w:p w14:paraId="047E4A07">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3.24《水利水电工程劳动安全与工业卫生设计规范》（GB50706-2011）；</w:t>
      </w:r>
    </w:p>
    <w:p w14:paraId="31A67615">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3.25国家及地区相关法规、文件；</w:t>
      </w:r>
    </w:p>
    <w:p w14:paraId="4CFA1D0B">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3.26与本工程有关的其他资料。</w:t>
      </w:r>
    </w:p>
    <w:p w14:paraId="206E9455">
      <w:pPr>
        <w:widowControl w:val="0"/>
        <w:spacing w:line="440" w:lineRule="exact"/>
        <w:jc w:val="both"/>
        <w:rPr>
          <w:rFonts w:ascii="Times New Roman" w:hAnsi="Times New Roman" w:cs="Times New Roman"/>
          <w:b/>
          <w:bCs/>
          <w:color w:val="auto"/>
          <w:kern w:val="2"/>
          <w:sz w:val="22"/>
          <w:szCs w:val="24"/>
          <w:highlight w:val="none"/>
        </w:rPr>
      </w:pPr>
      <w:r>
        <w:rPr>
          <w:rFonts w:hint="eastAsia" w:ascii="Times New Roman" w:hAnsi="Times New Roman" w:cs="Times New Roman"/>
          <w:b/>
          <w:bCs/>
          <w:color w:val="auto"/>
          <w:kern w:val="2"/>
          <w:sz w:val="22"/>
          <w:szCs w:val="24"/>
          <w:highlight w:val="none"/>
        </w:rPr>
        <w:t>二、勘察、设计成果文件要求</w:t>
      </w:r>
    </w:p>
    <w:p w14:paraId="53C5B66B">
      <w:pPr>
        <w:widowControl w:val="0"/>
        <w:spacing w:line="440" w:lineRule="exact"/>
        <w:ind w:firstLine="440" w:firstLineChars="200"/>
        <w:jc w:val="both"/>
        <w:rPr>
          <w:rFonts w:hint="eastAsia" w:ascii="Times New Roman" w:hAnsi="Times New Roman" w:eastAsia="宋体" w:cs="Times New Roman"/>
          <w:color w:val="auto"/>
          <w:kern w:val="2"/>
          <w:sz w:val="22"/>
          <w:szCs w:val="24"/>
          <w:highlight w:val="none"/>
          <w:lang w:val="en-US" w:eastAsia="zh-CN"/>
        </w:rPr>
      </w:pPr>
      <w:r>
        <w:rPr>
          <w:rFonts w:hint="eastAsia" w:ascii="Times New Roman" w:hAnsi="Times New Roman" w:cs="Times New Roman"/>
          <w:color w:val="auto"/>
          <w:kern w:val="2"/>
          <w:sz w:val="22"/>
          <w:szCs w:val="24"/>
          <w:highlight w:val="none"/>
        </w:rPr>
        <w:t>1. 成果文件的组成：勘察说明、设计说明、图纸等</w:t>
      </w:r>
      <w:r>
        <w:rPr>
          <w:rFonts w:hint="eastAsia" w:cs="Times New Roman"/>
          <w:color w:val="auto"/>
          <w:kern w:val="2"/>
          <w:sz w:val="22"/>
          <w:szCs w:val="24"/>
          <w:highlight w:val="none"/>
          <w:lang w:val="en-US" w:eastAsia="zh-CN"/>
        </w:rPr>
        <w:t>。</w:t>
      </w:r>
    </w:p>
    <w:p w14:paraId="544A3F57">
      <w:pPr>
        <w:widowControl w:val="0"/>
        <w:spacing w:line="440" w:lineRule="exact"/>
        <w:ind w:firstLine="440" w:firstLineChars="200"/>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2. 成果文件的深度：本工程的勘察、设计过程和成果必须符合国家关于工程勘察、设计方面现行的标准、规范、规程、定额、办法、示例以及吉林省关于工程勘察、设计方面的文件、规定。在勘察、设计过程中，如果国家或有关部门颁布了新的技术标准或规范，则勘察、设计人应采用新的标准或规范进行勘察及设计。</w:t>
      </w:r>
      <w:r>
        <w:rPr>
          <w:rFonts w:hint="eastAsia" w:ascii="Times New Roman" w:hAnsi="Times New Roman" w:eastAsia="宋体" w:cs="Times New Roman"/>
          <w:color w:val="auto"/>
          <w:kern w:val="2"/>
          <w:sz w:val="22"/>
          <w:szCs w:val="24"/>
          <w:highlight w:val="none"/>
        </w:rPr>
        <w:br w:type="textWrapping"/>
      </w:r>
      <w:r>
        <w:rPr>
          <w:rFonts w:hint="eastAsia" w:ascii="Times New Roman" w:hAnsi="Times New Roman" w:eastAsia="宋体" w:cs="Times New Roman"/>
          <w:color w:val="auto"/>
          <w:kern w:val="2"/>
          <w:sz w:val="22"/>
          <w:szCs w:val="24"/>
          <w:highlight w:val="none"/>
        </w:rPr>
        <w:t xml:space="preserve"> </w:t>
      </w:r>
      <w:r>
        <w:rPr>
          <w:rFonts w:hint="eastAsia" w:ascii="Times New Roman" w:hAnsi="Times New Roman" w:eastAsia="宋体" w:cs="Times New Roman"/>
          <w:color w:val="auto"/>
          <w:kern w:val="2"/>
          <w:sz w:val="22"/>
          <w:szCs w:val="24"/>
          <w:highlight w:val="none"/>
          <w:lang w:val="en-US" w:eastAsia="zh-CN"/>
        </w:rPr>
        <w:t xml:space="preserve">   </w:t>
      </w:r>
      <w:r>
        <w:rPr>
          <w:rFonts w:hint="eastAsia" w:ascii="Times New Roman" w:hAnsi="Times New Roman" w:cs="Times New Roman"/>
          <w:color w:val="auto"/>
          <w:kern w:val="2"/>
          <w:sz w:val="22"/>
          <w:szCs w:val="24"/>
          <w:highlight w:val="none"/>
        </w:rPr>
        <w:t>3. 成果文件的格式要求：文字为WORD格式、图形为CAD格式。</w:t>
      </w:r>
    </w:p>
    <w:p w14:paraId="4CB4B0C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4. 成果文件的份数要求：纸质文件一式八份，电子文件用光盘或U盘二份。</w:t>
      </w:r>
    </w:p>
    <w:p w14:paraId="04D57F01">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5. 成果文件的载体要求：</w:t>
      </w:r>
    </w:p>
    <w:p w14:paraId="25181900">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（1）纸质版的要求：纸质文件应当加盖单位章和项目负责人注册执业印章。</w:t>
      </w:r>
    </w:p>
    <w:p w14:paraId="549437CA">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（2）电子版的要求:电子文件中的文字为WORD格式、图形为CAD格式，并应使用光盘或U盘分别贮存。</w:t>
      </w:r>
    </w:p>
    <w:p w14:paraId="7BDA9AE4">
      <w:pPr>
        <w:widowControl w:val="0"/>
        <w:spacing w:line="440" w:lineRule="exact"/>
        <w:jc w:val="both"/>
        <w:rPr>
          <w:rFonts w:ascii="Times New Roman" w:hAnsi="Times New Roman" w:cs="Times New Roman"/>
          <w:b/>
          <w:bCs/>
          <w:color w:val="auto"/>
          <w:kern w:val="2"/>
          <w:sz w:val="22"/>
          <w:szCs w:val="24"/>
          <w:highlight w:val="none"/>
        </w:rPr>
      </w:pPr>
      <w:r>
        <w:rPr>
          <w:rFonts w:hint="eastAsia" w:ascii="Times New Roman" w:hAnsi="Times New Roman" w:cs="Times New Roman"/>
          <w:b/>
          <w:bCs/>
          <w:color w:val="auto"/>
          <w:kern w:val="2"/>
          <w:sz w:val="22"/>
          <w:szCs w:val="24"/>
          <w:highlight w:val="none"/>
        </w:rPr>
        <w:t>三、发包人财产清单</w:t>
      </w:r>
    </w:p>
    <w:p w14:paraId="65EDDC1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（一）发包人提供的设备、设施：发包人不提供，由承包人自行解决。</w:t>
      </w:r>
    </w:p>
    <w:p w14:paraId="3D1F0534">
      <w:pPr>
        <w:widowControl w:val="0"/>
        <w:spacing w:line="440" w:lineRule="exact"/>
        <w:ind w:firstLine="440" w:firstLineChars="200"/>
        <w:jc w:val="both"/>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（二）发包人提供的资料</w:t>
      </w:r>
    </w:p>
    <w:p w14:paraId="33AF8974">
      <w:pPr>
        <w:keepNext w:val="0"/>
        <w:keepLines w:val="0"/>
        <w:pageBreakBefore w:val="0"/>
        <w:widowControl w:val="0"/>
        <w:kinsoku/>
        <w:wordWrap/>
        <w:overflowPunct/>
        <w:topLinePunct w:val="0"/>
        <w:autoSpaceDE/>
        <w:autoSpaceDN/>
        <w:bidi w:val="0"/>
        <w:adjustRightInd/>
        <w:snapToGrid/>
        <w:spacing w:line="312" w:lineRule="auto"/>
        <w:ind w:firstLine="440" w:firstLineChars="200"/>
        <w:jc w:val="both"/>
        <w:textAlignment w:val="auto"/>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170EB1A5">
      <w:pPr>
        <w:keepNext w:val="0"/>
        <w:keepLines w:val="0"/>
        <w:pageBreakBefore w:val="0"/>
        <w:widowControl w:val="0"/>
        <w:kinsoku/>
        <w:wordWrap/>
        <w:overflowPunct/>
        <w:topLinePunct w:val="0"/>
        <w:autoSpaceDE/>
        <w:autoSpaceDN/>
        <w:bidi w:val="0"/>
        <w:adjustRightInd/>
        <w:snapToGrid/>
        <w:spacing w:line="312" w:lineRule="auto"/>
        <w:ind w:firstLine="440" w:firstLineChars="200"/>
        <w:jc w:val="both"/>
        <w:textAlignment w:val="auto"/>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2. 定位放线的基准点、基准线和基准标高</w:t>
      </w:r>
    </w:p>
    <w:p w14:paraId="397089A4">
      <w:pPr>
        <w:keepNext w:val="0"/>
        <w:keepLines w:val="0"/>
        <w:pageBreakBefore w:val="0"/>
        <w:widowControl w:val="0"/>
        <w:kinsoku/>
        <w:wordWrap/>
        <w:overflowPunct/>
        <w:topLinePunct w:val="0"/>
        <w:autoSpaceDE/>
        <w:autoSpaceDN/>
        <w:bidi w:val="0"/>
        <w:adjustRightInd/>
        <w:snapToGrid/>
        <w:spacing w:line="312" w:lineRule="auto"/>
        <w:ind w:firstLine="440" w:firstLineChars="200"/>
        <w:jc w:val="both"/>
        <w:textAlignment w:val="auto"/>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3. 发包人取得的有关审批、核准和备案材料</w:t>
      </w:r>
    </w:p>
    <w:p w14:paraId="7B95CAB4">
      <w:pPr>
        <w:keepNext w:val="0"/>
        <w:keepLines w:val="0"/>
        <w:pageBreakBefore w:val="0"/>
        <w:widowControl w:val="0"/>
        <w:kinsoku/>
        <w:wordWrap/>
        <w:overflowPunct/>
        <w:topLinePunct w:val="0"/>
        <w:autoSpaceDE/>
        <w:autoSpaceDN/>
        <w:bidi w:val="0"/>
        <w:adjustRightInd/>
        <w:snapToGrid/>
        <w:spacing w:line="312" w:lineRule="auto"/>
        <w:ind w:firstLine="440" w:firstLineChars="200"/>
        <w:jc w:val="both"/>
        <w:textAlignment w:val="auto"/>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4. 发包人提供的勘察资料</w:t>
      </w:r>
    </w:p>
    <w:p w14:paraId="7D13321C">
      <w:pPr>
        <w:keepNext w:val="0"/>
        <w:keepLines w:val="0"/>
        <w:pageBreakBefore w:val="0"/>
        <w:widowControl w:val="0"/>
        <w:kinsoku/>
        <w:wordWrap/>
        <w:overflowPunct/>
        <w:topLinePunct w:val="0"/>
        <w:autoSpaceDE/>
        <w:autoSpaceDN/>
        <w:bidi w:val="0"/>
        <w:adjustRightInd/>
        <w:snapToGrid/>
        <w:spacing w:line="312" w:lineRule="auto"/>
        <w:ind w:firstLine="440" w:firstLineChars="200"/>
        <w:jc w:val="both"/>
        <w:textAlignment w:val="auto"/>
        <w:rPr>
          <w:rFonts w:ascii="Times New Roman" w:hAnsi="Times New Roman" w:cs="Times New Roman"/>
          <w:color w:val="auto"/>
          <w:kern w:val="2"/>
          <w:sz w:val="22"/>
          <w:szCs w:val="24"/>
          <w:highlight w:val="none"/>
        </w:rPr>
      </w:pPr>
      <w:r>
        <w:rPr>
          <w:rFonts w:hint="eastAsia" w:ascii="Times New Roman" w:hAnsi="Times New Roman" w:cs="Times New Roman"/>
          <w:color w:val="auto"/>
          <w:kern w:val="2"/>
          <w:sz w:val="22"/>
          <w:szCs w:val="24"/>
          <w:highlight w:val="none"/>
        </w:rPr>
        <w:t>5. 发包人提供的技术标准、规范</w:t>
      </w:r>
    </w:p>
    <w:p w14:paraId="7324470F">
      <w:pPr>
        <w:keepNext w:val="0"/>
        <w:keepLines w:val="0"/>
        <w:pageBreakBefore w:val="0"/>
        <w:widowControl w:val="0"/>
        <w:kinsoku/>
        <w:wordWrap/>
        <w:overflowPunct/>
        <w:topLinePunct w:val="0"/>
        <w:autoSpaceDE/>
        <w:autoSpaceDN/>
        <w:bidi w:val="0"/>
        <w:adjustRightInd/>
        <w:snapToGrid/>
        <w:spacing w:line="312" w:lineRule="auto"/>
        <w:ind w:firstLine="440" w:firstLineChars="200"/>
        <w:jc w:val="both"/>
        <w:textAlignment w:val="auto"/>
        <w:rPr>
          <w:rFonts w:hint="eastAsia" w:ascii="宋体" w:hAnsi="宋体" w:cs="宋体"/>
          <w:b/>
          <w:color w:val="auto"/>
          <w:kern w:val="2"/>
          <w:sz w:val="21"/>
          <w:szCs w:val="21"/>
          <w:highlight w:val="none"/>
          <w:lang w:val="en-US" w:eastAsia="zh-CN" w:bidi="ar-SA"/>
        </w:rPr>
      </w:pPr>
      <w:r>
        <w:rPr>
          <w:rFonts w:hint="eastAsia" w:ascii="Times New Roman" w:hAnsi="Times New Roman" w:cs="Times New Roman"/>
          <w:color w:val="auto"/>
          <w:kern w:val="2"/>
          <w:sz w:val="22"/>
          <w:szCs w:val="24"/>
          <w:highlight w:val="none"/>
        </w:rPr>
        <w:t>6. 其他资料</w:t>
      </w:r>
    </w:p>
    <w:p w14:paraId="27A70231">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4DA83A82">
      <w:pPr>
        <w:rPr>
          <w:color w:val="auto"/>
          <w:highlight w:val="none"/>
        </w:rPr>
      </w:pPr>
    </w:p>
    <w:p w14:paraId="6D8F3623">
      <w:pPr>
        <w:rPr>
          <w:color w:val="auto"/>
          <w:highlight w:val="none"/>
        </w:rPr>
      </w:pPr>
    </w:p>
    <w:p w14:paraId="0AAC57CB">
      <w:pPr>
        <w:rPr>
          <w:color w:val="auto"/>
          <w:highlight w:val="none"/>
        </w:rPr>
      </w:pPr>
    </w:p>
    <w:p w14:paraId="18935467">
      <w:pPr>
        <w:pStyle w:val="3"/>
        <w:jc w:val="center"/>
        <w:outlineLvl w:val="0"/>
        <w:rPr>
          <w:rFonts w:hint="eastAsia"/>
          <w:color w:val="auto"/>
          <w:highlight w:val="none"/>
        </w:rPr>
      </w:pPr>
    </w:p>
    <w:p w14:paraId="613DE021">
      <w:pPr>
        <w:pStyle w:val="3"/>
        <w:jc w:val="center"/>
        <w:outlineLvl w:val="0"/>
        <w:rPr>
          <w:color w:val="auto"/>
          <w:highlight w:val="none"/>
        </w:rPr>
      </w:pPr>
      <w:bookmarkStart w:id="147" w:name="_Toc31886"/>
      <w:r>
        <w:rPr>
          <w:rFonts w:hint="eastAsia"/>
          <w:color w:val="auto"/>
          <w:highlight w:val="none"/>
        </w:rPr>
        <w:t>第六章</w:t>
      </w:r>
      <w:bookmarkStart w:id="148" w:name="_Toc330018533"/>
      <w:bookmarkStart w:id="149" w:name="_Toc9803125"/>
      <w:r>
        <w:rPr>
          <w:rFonts w:hint="eastAsia"/>
          <w:color w:val="auto"/>
          <w:highlight w:val="none"/>
        </w:rPr>
        <w:t xml:space="preserve"> 竞争性磋商响应文件格式</w:t>
      </w:r>
      <w:bookmarkEnd w:id="147"/>
      <w:bookmarkEnd w:id="148"/>
      <w:bookmarkEnd w:id="149"/>
    </w:p>
    <w:p w14:paraId="751225CB">
      <w:pPr>
        <w:spacing w:line="360" w:lineRule="auto"/>
        <w:rPr>
          <w:rFonts w:ascii="宋体" w:hAnsi="宋体"/>
          <w:color w:val="auto"/>
          <w:szCs w:val="21"/>
          <w:highlight w:val="none"/>
        </w:rPr>
      </w:pPr>
    </w:p>
    <w:p w14:paraId="5D537F86">
      <w:pPr>
        <w:spacing w:line="360" w:lineRule="auto"/>
        <w:rPr>
          <w:rFonts w:ascii="宋体" w:hAnsi="宋体"/>
          <w:color w:val="auto"/>
          <w:szCs w:val="21"/>
          <w:highlight w:val="none"/>
        </w:rPr>
        <w:sectPr>
          <w:headerReference r:id="rId18" w:type="default"/>
          <w:footerReference r:id="rId19" w:type="default"/>
          <w:pgSz w:w="11906" w:h="16838"/>
          <w:pgMar w:top="1418" w:right="1418" w:bottom="1418" w:left="1418" w:header="851" w:footer="992" w:gutter="0"/>
          <w:cols w:space="720" w:num="1"/>
          <w:docGrid w:linePitch="312" w:charSpace="0"/>
        </w:sectPr>
      </w:pPr>
    </w:p>
    <w:p w14:paraId="669AA17D">
      <w:pPr>
        <w:spacing w:line="360" w:lineRule="auto"/>
        <w:ind w:firstLine="1440" w:firstLineChars="450"/>
        <w:jc w:val="right"/>
        <w:rPr>
          <w:rFonts w:ascii="宋体" w:hAnsi="宋体"/>
          <w:color w:val="auto"/>
          <w:sz w:val="32"/>
          <w:szCs w:val="32"/>
          <w:highlight w:val="none"/>
        </w:rPr>
      </w:pPr>
    </w:p>
    <w:p w14:paraId="1BC9A4C8">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1666EB10">
      <w:pPr>
        <w:rPr>
          <w:rFonts w:ascii="宋体" w:hAnsi="宋体"/>
          <w:b/>
          <w:color w:val="auto"/>
          <w:sz w:val="32"/>
          <w:szCs w:val="32"/>
          <w:highlight w:val="none"/>
          <w:u w:val="single"/>
        </w:rPr>
      </w:pPr>
    </w:p>
    <w:p w14:paraId="53989DDE">
      <w:pPr>
        <w:ind w:firstLine="1446" w:firstLineChars="450"/>
        <w:rPr>
          <w:rFonts w:ascii="宋体" w:hAnsi="宋体"/>
          <w:b/>
          <w:color w:val="auto"/>
          <w:sz w:val="32"/>
          <w:szCs w:val="32"/>
          <w:highlight w:val="none"/>
          <w:u w:val="single"/>
        </w:rPr>
      </w:pPr>
    </w:p>
    <w:p w14:paraId="3D6C565C">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27A02D3C">
      <w:pPr>
        <w:ind w:firstLine="420" w:firstLineChars="200"/>
        <w:rPr>
          <w:rFonts w:ascii="宋体" w:hAnsi="宋体"/>
          <w:color w:val="auto"/>
          <w:szCs w:val="21"/>
          <w:highlight w:val="none"/>
        </w:rPr>
      </w:pPr>
    </w:p>
    <w:p w14:paraId="13CBE976">
      <w:pPr>
        <w:jc w:val="center"/>
        <w:rPr>
          <w:b/>
          <w:bCs/>
          <w:color w:val="auto"/>
          <w:sz w:val="80"/>
          <w:highlight w:val="none"/>
        </w:rPr>
      </w:pPr>
      <w:bookmarkStart w:id="150" w:name="_Toc8932_WPSOffice_Level1"/>
      <w:bookmarkStart w:id="151" w:name="OLE_LINK19"/>
      <w:bookmarkStart w:id="152" w:name="_Toc31530_WPSOffice_Level1"/>
    </w:p>
    <w:p w14:paraId="75C7EBF8">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50"/>
      <w:bookmarkEnd w:id="151"/>
      <w:bookmarkEnd w:id="152"/>
    </w:p>
    <w:p w14:paraId="0A15FF10">
      <w:pPr>
        <w:ind w:firstLine="1890" w:firstLineChars="675"/>
        <w:rPr>
          <w:rFonts w:ascii="宋体" w:hAnsi="宋体" w:cs="宋体"/>
          <w:color w:val="auto"/>
          <w:sz w:val="28"/>
          <w:szCs w:val="28"/>
          <w:highlight w:val="none"/>
          <w:lang w:val="zh-CN"/>
        </w:rPr>
      </w:pPr>
      <w:bookmarkStart w:id="153" w:name="_Toc20780_WPSOffice_Level1"/>
      <w:bookmarkStart w:id="154" w:name="_Toc459_WPSOffice_Level1"/>
    </w:p>
    <w:p w14:paraId="54EE9BD0">
      <w:pPr>
        <w:ind w:firstLine="1890" w:firstLineChars="675"/>
        <w:rPr>
          <w:rFonts w:ascii="宋体" w:hAnsi="宋体" w:cs="宋体"/>
          <w:color w:val="auto"/>
          <w:sz w:val="28"/>
          <w:szCs w:val="28"/>
          <w:highlight w:val="none"/>
          <w:lang w:val="zh-CN"/>
        </w:rPr>
      </w:pPr>
    </w:p>
    <w:p w14:paraId="445A04DA">
      <w:pPr>
        <w:ind w:firstLine="1890" w:firstLineChars="675"/>
        <w:rPr>
          <w:rFonts w:ascii="宋体" w:hAnsi="宋体" w:cs="宋体"/>
          <w:color w:val="auto"/>
          <w:sz w:val="28"/>
          <w:szCs w:val="28"/>
          <w:highlight w:val="none"/>
          <w:lang w:val="zh-CN"/>
        </w:rPr>
      </w:pPr>
    </w:p>
    <w:p w14:paraId="3F405537">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53"/>
      <w:bookmarkEnd w:id="154"/>
    </w:p>
    <w:p w14:paraId="6884F59C">
      <w:pPr>
        <w:ind w:firstLine="420" w:firstLineChars="200"/>
        <w:rPr>
          <w:rFonts w:ascii="宋体" w:hAnsi="宋体"/>
          <w:color w:val="auto"/>
          <w:szCs w:val="21"/>
          <w:highlight w:val="none"/>
        </w:rPr>
      </w:pPr>
    </w:p>
    <w:p w14:paraId="1DCFD98C">
      <w:pPr>
        <w:jc w:val="center"/>
        <w:rPr>
          <w:rFonts w:ascii="宋体" w:hAnsi="宋体"/>
          <w:b/>
          <w:color w:val="auto"/>
          <w:sz w:val="44"/>
          <w:szCs w:val="44"/>
          <w:highlight w:val="none"/>
        </w:rPr>
      </w:pPr>
    </w:p>
    <w:p w14:paraId="3F3FCDD9">
      <w:pPr>
        <w:jc w:val="center"/>
        <w:rPr>
          <w:rFonts w:ascii="宋体" w:hAnsi="宋体"/>
          <w:b/>
          <w:color w:val="auto"/>
          <w:sz w:val="44"/>
          <w:szCs w:val="44"/>
          <w:highlight w:val="none"/>
        </w:rPr>
      </w:pPr>
    </w:p>
    <w:p w14:paraId="35ADA605">
      <w:pPr>
        <w:ind w:firstLine="420" w:firstLineChars="200"/>
        <w:rPr>
          <w:rFonts w:ascii="宋体" w:hAnsi="宋体"/>
          <w:color w:val="auto"/>
          <w:szCs w:val="21"/>
          <w:highlight w:val="none"/>
        </w:rPr>
      </w:pPr>
    </w:p>
    <w:p w14:paraId="05DD0D28">
      <w:pPr>
        <w:ind w:firstLine="420" w:firstLineChars="200"/>
        <w:rPr>
          <w:rFonts w:ascii="宋体" w:hAnsi="宋体"/>
          <w:color w:val="auto"/>
          <w:szCs w:val="21"/>
          <w:highlight w:val="none"/>
        </w:rPr>
      </w:pPr>
    </w:p>
    <w:p w14:paraId="28153AFB">
      <w:pPr>
        <w:ind w:firstLine="420" w:firstLineChars="200"/>
        <w:rPr>
          <w:rFonts w:ascii="宋体" w:hAnsi="宋体"/>
          <w:color w:val="auto"/>
          <w:szCs w:val="21"/>
          <w:highlight w:val="none"/>
        </w:rPr>
      </w:pPr>
    </w:p>
    <w:p w14:paraId="001A4064">
      <w:pPr>
        <w:ind w:firstLine="420" w:firstLineChars="200"/>
        <w:rPr>
          <w:rFonts w:ascii="宋体" w:hAnsi="宋体"/>
          <w:color w:val="auto"/>
          <w:szCs w:val="21"/>
          <w:highlight w:val="none"/>
        </w:rPr>
      </w:pPr>
    </w:p>
    <w:p w14:paraId="7289FE5D">
      <w:pPr>
        <w:ind w:firstLine="420" w:firstLineChars="200"/>
        <w:rPr>
          <w:rFonts w:ascii="宋体" w:hAnsi="宋体"/>
          <w:color w:val="auto"/>
          <w:szCs w:val="21"/>
          <w:highlight w:val="none"/>
        </w:rPr>
      </w:pPr>
    </w:p>
    <w:p w14:paraId="398C49A1">
      <w:pPr>
        <w:ind w:firstLine="420" w:firstLineChars="200"/>
        <w:rPr>
          <w:rFonts w:ascii="宋体" w:hAnsi="宋体"/>
          <w:color w:val="auto"/>
          <w:szCs w:val="21"/>
          <w:highlight w:val="none"/>
        </w:rPr>
      </w:pPr>
    </w:p>
    <w:p w14:paraId="48388349">
      <w:pPr>
        <w:rPr>
          <w:rFonts w:ascii="宋体" w:hAnsi="宋体"/>
          <w:color w:val="auto"/>
          <w:szCs w:val="21"/>
          <w:highlight w:val="none"/>
        </w:rPr>
      </w:pPr>
    </w:p>
    <w:p w14:paraId="4BBE6A08">
      <w:pPr>
        <w:ind w:firstLine="420" w:firstLineChars="200"/>
        <w:rPr>
          <w:rFonts w:ascii="宋体" w:hAnsi="宋体"/>
          <w:color w:val="auto"/>
          <w:szCs w:val="21"/>
          <w:highlight w:val="none"/>
        </w:rPr>
      </w:pPr>
    </w:p>
    <w:p w14:paraId="1C45CDE8">
      <w:pPr>
        <w:ind w:firstLine="420" w:firstLineChars="200"/>
        <w:rPr>
          <w:rFonts w:ascii="宋体" w:hAnsi="宋体"/>
          <w:color w:val="auto"/>
          <w:szCs w:val="21"/>
          <w:highlight w:val="none"/>
        </w:rPr>
      </w:pPr>
    </w:p>
    <w:p w14:paraId="452F7E33">
      <w:pPr>
        <w:ind w:firstLine="420" w:firstLineChars="200"/>
        <w:rPr>
          <w:rFonts w:ascii="宋体" w:hAnsi="宋体"/>
          <w:color w:val="auto"/>
          <w:szCs w:val="21"/>
          <w:highlight w:val="none"/>
        </w:rPr>
      </w:pPr>
    </w:p>
    <w:p w14:paraId="7416E246">
      <w:pPr>
        <w:ind w:firstLine="420" w:firstLineChars="200"/>
        <w:rPr>
          <w:rFonts w:ascii="宋体" w:hAnsi="宋体"/>
          <w:color w:val="auto"/>
          <w:szCs w:val="21"/>
          <w:highlight w:val="none"/>
        </w:rPr>
      </w:pPr>
    </w:p>
    <w:p w14:paraId="578ABA6A">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59599E15">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32C00F59">
      <w:pPr>
        <w:pStyle w:val="20"/>
        <w:spacing w:before="9"/>
        <w:jc w:val="center"/>
        <w:rPr>
          <w:color w:val="auto"/>
          <w:sz w:val="29"/>
          <w:highlight w:val="none"/>
        </w:rPr>
      </w:pPr>
    </w:p>
    <w:p w14:paraId="471B6395">
      <w:pPr>
        <w:spacing w:line="360" w:lineRule="auto"/>
        <w:jc w:val="center"/>
        <w:rPr>
          <w:rFonts w:ascii="宋体" w:hAnsi="宋体"/>
          <w:color w:val="auto"/>
          <w:szCs w:val="21"/>
          <w:highlight w:val="none"/>
        </w:rPr>
        <w:sectPr>
          <w:pgSz w:w="11906" w:h="16838"/>
          <w:pgMar w:top="1134" w:right="1134" w:bottom="1134" w:left="1701" w:header="851" w:footer="992" w:gutter="0"/>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4A7224DD">
      <w:pPr>
        <w:spacing w:line="360" w:lineRule="auto"/>
        <w:jc w:val="center"/>
        <w:rPr>
          <w:rFonts w:ascii="宋体" w:hAnsi="宋体"/>
          <w:b/>
          <w:color w:val="auto"/>
          <w:szCs w:val="21"/>
          <w:highlight w:val="none"/>
        </w:rPr>
      </w:pPr>
    </w:p>
    <w:p w14:paraId="5BF84000">
      <w:pPr>
        <w:spacing w:line="360" w:lineRule="auto"/>
        <w:jc w:val="center"/>
        <w:outlineLvl w:val="2"/>
        <w:rPr>
          <w:rFonts w:ascii="宋体" w:hAnsi="宋体"/>
          <w:b/>
          <w:color w:val="auto"/>
          <w:sz w:val="40"/>
          <w:szCs w:val="40"/>
          <w:highlight w:val="none"/>
        </w:rPr>
      </w:pPr>
      <w:bookmarkStart w:id="155" w:name="_Toc22951"/>
      <w:bookmarkStart w:id="156" w:name="_Toc4070"/>
      <w:r>
        <w:rPr>
          <w:rFonts w:hint="eastAsia" w:ascii="宋体" w:hAnsi="宋体"/>
          <w:b/>
          <w:color w:val="auto"/>
          <w:sz w:val="40"/>
          <w:szCs w:val="40"/>
          <w:highlight w:val="none"/>
        </w:rPr>
        <w:t>目  录</w:t>
      </w:r>
      <w:bookmarkEnd w:id="155"/>
      <w:bookmarkEnd w:id="156"/>
    </w:p>
    <w:p w14:paraId="40B1EF37">
      <w:pPr>
        <w:spacing w:line="360" w:lineRule="auto"/>
        <w:ind w:firstLine="480" w:firstLineChars="200"/>
        <w:jc w:val="left"/>
        <w:rPr>
          <w:rFonts w:hint="eastAsia" w:ascii="宋体" w:hAnsi="宋体" w:eastAsia="宋体"/>
          <w:bCs/>
          <w:color w:val="auto"/>
          <w:sz w:val="24"/>
          <w:highlight w:val="none"/>
          <w:lang w:eastAsia="zh-CN"/>
        </w:rPr>
      </w:pPr>
      <w:bookmarkStart w:id="157" w:name="_Toc259191075"/>
      <w:bookmarkStart w:id="158" w:name="_Toc208975014"/>
      <w:bookmarkStart w:id="159" w:name="_Toc262045236"/>
      <w:bookmarkStart w:id="160" w:name="_Toc228871315"/>
      <w:bookmarkStart w:id="161" w:name="_Toc199384394"/>
      <w:bookmarkStart w:id="162" w:name="_Toc208999275"/>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DE853A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609FD758">
      <w:pPr>
        <w:spacing w:line="360" w:lineRule="auto"/>
        <w:ind w:firstLine="480" w:firstLineChars="200"/>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三、联合体协议书（如有）</w:t>
      </w:r>
    </w:p>
    <w:p w14:paraId="6E3C6762">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四</w:t>
      </w:r>
      <w:r>
        <w:rPr>
          <w:rFonts w:ascii="宋体" w:hAnsi="宋体"/>
          <w:bCs/>
          <w:color w:val="auto"/>
          <w:sz w:val="24"/>
          <w:highlight w:val="none"/>
        </w:rPr>
        <w:t>、磋商响应保证金</w:t>
      </w:r>
    </w:p>
    <w:p w14:paraId="6D676CB8">
      <w:pPr>
        <w:spacing w:line="360" w:lineRule="auto"/>
        <w:ind w:firstLine="480" w:firstLineChars="200"/>
        <w:jc w:val="left"/>
        <w:rPr>
          <w:rFonts w:hint="eastAsia" w:ascii="宋体" w:hAnsi="宋体" w:eastAsia="宋体"/>
          <w:bCs/>
          <w:color w:val="auto"/>
          <w:sz w:val="24"/>
          <w:highlight w:val="none"/>
          <w:lang w:eastAsia="zh-CN"/>
        </w:rPr>
      </w:pPr>
      <w:r>
        <w:rPr>
          <w:rFonts w:hint="eastAsia" w:ascii="宋体" w:hAnsi="宋体"/>
          <w:bCs/>
          <w:color w:val="auto"/>
          <w:sz w:val="24"/>
          <w:highlight w:val="none"/>
          <w:lang w:val="en-US" w:eastAsia="zh-CN"/>
        </w:rPr>
        <w:t>五</w:t>
      </w:r>
      <w:r>
        <w:rPr>
          <w:rFonts w:ascii="宋体" w:hAnsi="宋体"/>
          <w:bCs/>
          <w:color w:val="auto"/>
          <w:sz w:val="24"/>
          <w:highlight w:val="none"/>
        </w:rPr>
        <w:t>、</w:t>
      </w:r>
      <w:r>
        <w:rPr>
          <w:rFonts w:hint="eastAsia" w:ascii="宋体" w:hAnsi="宋体"/>
          <w:bCs/>
          <w:color w:val="auto"/>
          <w:sz w:val="24"/>
          <w:highlight w:val="none"/>
          <w:lang w:eastAsia="zh-CN"/>
        </w:rPr>
        <w:t>磋商报价</w:t>
      </w:r>
    </w:p>
    <w:p w14:paraId="66D1DDFF">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六</w:t>
      </w:r>
      <w:r>
        <w:rPr>
          <w:rFonts w:ascii="宋体" w:hAnsi="宋体"/>
          <w:bCs/>
          <w:color w:val="auto"/>
          <w:sz w:val="24"/>
          <w:highlight w:val="none"/>
        </w:rPr>
        <w:t>、资格审查资料</w:t>
      </w:r>
    </w:p>
    <w:p w14:paraId="6F04A9AC">
      <w:pPr>
        <w:spacing w:line="360" w:lineRule="auto"/>
        <w:ind w:firstLine="480" w:firstLineChars="200"/>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七</w:t>
      </w:r>
      <w:r>
        <w:rPr>
          <w:rFonts w:ascii="宋体" w:hAnsi="宋体"/>
          <w:bCs/>
          <w:color w:val="auto"/>
          <w:sz w:val="24"/>
          <w:highlight w:val="none"/>
        </w:rPr>
        <w:t>、</w:t>
      </w:r>
      <w:r>
        <w:rPr>
          <w:rFonts w:hint="eastAsia" w:ascii="Times New Roman" w:hAnsi="Times New Roman"/>
          <w:color w:val="auto"/>
          <w:sz w:val="24"/>
          <w:szCs w:val="32"/>
          <w:highlight w:val="none"/>
          <w:lang w:val="en-US" w:eastAsia="zh-CN"/>
        </w:rPr>
        <w:t>勘察</w:t>
      </w:r>
      <w:r>
        <w:rPr>
          <w:rFonts w:hint="eastAsia"/>
          <w:color w:val="auto"/>
          <w:sz w:val="24"/>
          <w:szCs w:val="32"/>
          <w:highlight w:val="none"/>
          <w:lang w:val="en-US" w:eastAsia="zh-CN"/>
        </w:rPr>
        <w:t>纲要、</w:t>
      </w:r>
      <w:r>
        <w:rPr>
          <w:rFonts w:hint="eastAsia" w:ascii="Times New Roman" w:hAnsi="Times New Roman"/>
          <w:color w:val="auto"/>
          <w:sz w:val="24"/>
          <w:szCs w:val="32"/>
          <w:highlight w:val="none"/>
        </w:rPr>
        <w:t>设计方案</w:t>
      </w:r>
    </w:p>
    <w:p w14:paraId="268EB88B">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八</w:t>
      </w:r>
      <w:r>
        <w:rPr>
          <w:rFonts w:ascii="宋体" w:hAnsi="宋体"/>
          <w:bCs/>
          <w:color w:val="auto"/>
          <w:sz w:val="24"/>
          <w:highlight w:val="none"/>
        </w:rPr>
        <w:t>、承诺书</w:t>
      </w:r>
    </w:p>
    <w:p w14:paraId="5C8165F4">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九、</w:t>
      </w:r>
      <w:r>
        <w:rPr>
          <w:rFonts w:ascii="宋体" w:hAnsi="宋体"/>
          <w:bCs/>
          <w:color w:val="auto"/>
          <w:sz w:val="24"/>
          <w:highlight w:val="none"/>
        </w:rPr>
        <w:t>其他材料</w:t>
      </w:r>
    </w:p>
    <w:p w14:paraId="73ABAE77">
      <w:pPr>
        <w:spacing w:line="360" w:lineRule="auto"/>
        <w:ind w:firstLine="480" w:firstLineChars="200"/>
        <w:jc w:val="left"/>
        <w:rPr>
          <w:rFonts w:ascii="宋体" w:hAnsi="宋体"/>
          <w:bCs/>
          <w:color w:val="auto"/>
          <w:sz w:val="24"/>
          <w:highlight w:val="none"/>
        </w:rPr>
      </w:pPr>
    </w:p>
    <w:p w14:paraId="34F6DA89">
      <w:pPr>
        <w:spacing w:line="360" w:lineRule="auto"/>
        <w:jc w:val="center"/>
        <w:rPr>
          <w:rFonts w:ascii="宋体" w:hAnsi="宋体"/>
          <w:b/>
          <w:color w:val="auto"/>
          <w:szCs w:val="21"/>
          <w:highlight w:val="none"/>
        </w:rPr>
      </w:pPr>
    </w:p>
    <w:p w14:paraId="00787061">
      <w:pPr>
        <w:spacing w:line="360" w:lineRule="auto"/>
        <w:jc w:val="center"/>
        <w:rPr>
          <w:rFonts w:ascii="宋体" w:hAnsi="宋体"/>
          <w:b/>
          <w:color w:val="auto"/>
          <w:szCs w:val="21"/>
          <w:highlight w:val="none"/>
        </w:rPr>
      </w:pPr>
    </w:p>
    <w:p w14:paraId="01AA0E9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备注：响应文件及目录必应编制页码</w:t>
      </w:r>
    </w:p>
    <w:p w14:paraId="695FE4AB">
      <w:pPr>
        <w:spacing w:line="360" w:lineRule="auto"/>
        <w:jc w:val="center"/>
        <w:rPr>
          <w:rFonts w:ascii="宋体" w:hAnsi="宋体"/>
          <w:b/>
          <w:color w:val="auto"/>
          <w:szCs w:val="21"/>
          <w:highlight w:val="none"/>
        </w:rPr>
      </w:pPr>
    </w:p>
    <w:p w14:paraId="76CF68BE">
      <w:pPr>
        <w:spacing w:line="360" w:lineRule="auto"/>
        <w:jc w:val="center"/>
        <w:rPr>
          <w:rFonts w:ascii="宋体" w:hAnsi="宋体"/>
          <w:b/>
          <w:color w:val="auto"/>
          <w:szCs w:val="21"/>
          <w:highlight w:val="none"/>
        </w:rPr>
      </w:pPr>
    </w:p>
    <w:p w14:paraId="6E85EA62">
      <w:pPr>
        <w:spacing w:line="360" w:lineRule="auto"/>
        <w:jc w:val="center"/>
        <w:rPr>
          <w:rFonts w:ascii="宋体" w:hAnsi="宋体"/>
          <w:b/>
          <w:color w:val="auto"/>
          <w:szCs w:val="21"/>
          <w:highlight w:val="none"/>
        </w:rPr>
      </w:pPr>
    </w:p>
    <w:p w14:paraId="3C33AE91">
      <w:pPr>
        <w:spacing w:line="360" w:lineRule="auto"/>
        <w:jc w:val="center"/>
        <w:rPr>
          <w:rFonts w:ascii="宋体" w:hAnsi="宋体"/>
          <w:b/>
          <w:color w:val="auto"/>
          <w:szCs w:val="21"/>
          <w:highlight w:val="none"/>
        </w:rPr>
      </w:pPr>
    </w:p>
    <w:p w14:paraId="32DE0072">
      <w:pPr>
        <w:spacing w:line="360" w:lineRule="auto"/>
        <w:jc w:val="center"/>
        <w:rPr>
          <w:rFonts w:ascii="宋体" w:hAnsi="宋体"/>
          <w:b/>
          <w:color w:val="auto"/>
          <w:szCs w:val="21"/>
          <w:highlight w:val="none"/>
        </w:rPr>
      </w:pPr>
    </w:p>
    <w:p w14:paraId="6BF42590">
      <w:pPr>
        <w:spacing w:line="360" w:lineRule="auto"/>
        <w:jc w:val="center"/>
        <w:rPr>
          <w:rFonts w:ascii="宋体" w:hAnsi="宋体"/>
          <w:b/>
          <w:color w:val="auto"/>
          <w:szCs w:val="21"/>
          <w:highlight w:val="none"/>
        </w:rPr>
      </w:pPr>
    </w:p>
    <w:p w14:paraId="792681F3">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57"/>
    <w:bookmarkEnd w:id="158"/>
    <w:bookmarkEnd w:id="159"/>
    <w:bookmarkEnd w:id="160"/>
    <w:bookmarkEnd w:id="161"/>
    <w:bookmarkEnd w:id="162"/>
    <w:p w14:paraId="68260776">
      <w:pPr>
        <w:numPr>
          <w:ilvl w:val="0"/>
          <w:numId w:val="6"/>
        </w:numPr>
        <w:spacing w:line="360" w:lineRule="auto"/>
        <w:jc w:val="center"/>
        <w:outlineLvl w:val="2"/>
        <w:rPr>
          <w:rFonts w:ascii="宋体" w:hAnsi="宋体"/>
          <w:b/>
          <w:color w:val="auto"/>
          <w:sz w:val="28"/>
          <w:szCs w:val="28"/>
          <w:highlight w:val="none"/>
        </w:rPr>
      </w:pPr>
      <w:bookmarkStart w:id="163" w:name="_Toc13081"/>
      <w:r>
        <w:rPr>
          <w:rFonts w:hint="eastAsia" w:ascii="宋体" w:hAnsi="宋体"/>
          <w:b/>
          <w:color w:val="auto"/>
          <w:sz w:val="32"/>
          <w:szCs w:val="32"/>
          <w:highlight w:val="none"/>
          <w:lang w:eastAsia="zh-CN"/>
        </w:rPr>
        <w:t>投标函及投标函附录</w:t>
      </w:r>
      <w:bookmarkEnd w:id="163"/>
    </w:p>
    <w:p w14:paraId="7E47F5ED">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527C316">
      <w:pPr>
        <w:jc w:val="center"/>
        <w:rPr>
          <w:rFonts w:ascii="宋体" w:hAnsi="宋体"/>
          <w:b/>
          <w:color w:val="auto"/>
          <w:sz w:val="28"/>
          <w:szCs w:val="28"/>
          <w:highlight w:val="none"/>
        </w:rPr>
      </w:pPr>
    </w:p>
    <w:p w14:paraId="38A0A769">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E6906B3">
      <w:pPr>
        <w:bidi w:val="0"/>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rPr>
        <w:t>．我方已仔细研究了</w:t>
      </w:r>
      <w:r>
        <w:rPr>
          <w:rFonts w:hint="eastAsia" w:ascii="宋体" w:hAnsi="宋体" w:eastAsia="宋体" w:cs="宋体"/>
          <w:color w:val="auto"/>
          <w:u w:val="single"/>
        </w:rPr>
        <w:t xml:space="preserve">            </w:t>
      </w:r>
      <w:r>
        <w:rPr>
          <w:rFonts w:hint="eastAsia" w:ascii="宋体" w:hAnsi="宋体" w:eastAsia="宋体" w:cs="宋体"/>
          <w:color w:val="auto"/>
        </w:rPr>
        <w:t>（项目名称）招标项目</w:t>
      </w:r>
      <w:r>
        <w:rPr>
          <w:rFonts w:hint="eastAsia" w:ascii="宋体" w:hAnsi="宋体" w:eastAsia="宋体" w:cs="宋体"/>
          <w:color w:val="auto"/>
          <w:lang w:eastAsia="zh-CN"/>
        </w:rPr>
        <w:t>磋商文件</w:t>
      </w:r>
      <w:r>
        <w:rPr>
          <w:rFonts w:hint="eastAsia" w:ascii="宋体" w:hAnsi="宋体" w:eastAsia="宋体" w:cs="宋体"/>
          <w:color w:val="auto"/>
        </w:rPr>
        <w:t>的全部内容，愿意以</w:t>
      </w:r>
      <w:r>
        <w:rPr>
          <w:rFonts w:hint="eastAsia" w:ascii="宋体" w:hAnsi="宋体" w:eastAsia="宋体" w:cs="宋体"/>
          <w:color w:val="auto"/>
          <w:lang w:val="en-US" w:eastAsia="zh-CN"/>
        </w:rPr>
        <w:t>磋商</w:t>
      </w:r>
      <w:r>
        <w:rPr>
          <w:rFonts w:hint="eastAsia" w:ascii="宋体" w:hAnsi="宋体" w:eastAsia="宋体" w:cs="宋体"/>
          <w:color w:val="auto"/>
        </w:rPr>
        <w:t>报价</w:t>
      </w:r>
      <w:r>
        <w:rPr>
          <w:rFonts w:hint="eastAsia" w:ascii="宋体" w:hAnsi="宋体" w:eastAsia="宋体" w:cs="宋体"/>
          <w:color w:val="auto"/>
          <w:lang w:eastAsia="zh-CN"/>
        </w:rPr>
        <w:t>（</w:t>
      </w:r>
      <w:r>
        <w:rPr>
          <w:rFonts w:hint="eastAsia" w:ascii="宋体" w:hAnsi="宋体" w:eastAsia="宋体" w:cs="宋体"/>
          <w:color w:val="auto"/>
          <w:lang w:val="en-US" w:eastAsia="zh-CN"/>
        </w:rPr>
        <w:t>折扣率</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的投标总报价，</w:t>
      </w:r>
      <w:r>
        <w:rPr>
          <w:rFonts w:hint="eastAsia" w:ascii="宋体" w:hAnsi="宋体" w:eastAsia="宋体" w:cs="宋体"/>
          <w:color w:val="auto"/>
          <w:lang w:eastAsia="zh-CN"/>
        </w:rPr>
        <w:t>合同履行期限</w:t>
      </w:r>
      <w:r>
        <w:rPr>
          <w:rFonts w:hint="eastAsia" w:ascii="宋体" w:hAnsi="宋体" w:eastAsia="宋体" w:cs="宋体"/>
          <w:color w:val="auto"/>
        </w:rPr>
        <w:t>：</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，按合同约定完成工作。</w:t>
      </w:r>
    </w:p>
    <w:p w14:paraId="462521C8">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响应文件（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5789462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DF57D2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2DC13122">
      <w:pPr>
        <w:adjustRightInd w:val="0"/>
        <w:snapToGrid w:val="0"/>
        <w:spacing w:line="300" w:lineRule="auto"/>
        <w:ind w:left="4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联合体协议书（如有）</w:t>
      </w:r>
    </w:p>
    <w:p w14:paraId="3BDA140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）投标保证金；</w:t>
      </w:r>
    </w:p>
    <w:p w14:paraId="2F3F2D0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lang w:eastAsia="zh-CN"/>
        </w:rPr>
        <w:t>磋商报价</w:t>
      </w:r>
      <w:r>
        <w:rPr>
          <w:rFonts w:ascii="宋体" w:hAnsi="宋体"/>
          <w:color w:val="auto"/>
          <w:szCs w:val="21"/>
          <w:highlight w:val="none"/>
        </w:rPr>
        <w:t>；</w:t>
      </w:r>
    </w:p>
    <w:p w14:paraId="6C35029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）资格审查资料；</w:t>
      </w:r>
    </w:p>
    <w:p w14:paraId="18633031">
      <w:pPr>
        <w:adjustRightInd w:val="0"/>
        <w:snapToGrid w:val="0"/>
        <w:spacing w:line="300" w:lineRule="auto"/>
        <w:ind w:left="4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Times New Roman" w:hAnsi="Times New Roman"/>
          <w:color w:val="auto"/>
          <w:sz w:val="21"/>
          <w:szCs w:val="21"/>
          <w:highlight w:val="none"/>
          <w:lang w:val="en-US" w:eastAsia="zh-CN"/>
        </w:rPr>
        <w:t>勘察</w:t>
      </w:r>
      <w:r>
        <w:rPr>
          <w:rFonts w:hint="eastAsia" w:ascii="Times New Roman" w:hAnsi="Times New Roman"/>
          <w:color w:val="auto"/>
          <w:sz w:val="21"/>
          <w:szCs w:val="21"/>
          <w:highlight w:val="none"/>
        </w:rPr>
        <w:t>设计方案</w:t>
      </w:r>
    </w:p>
    <w:p w14:paraId="4E5C3EA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3AB73627">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A84E7F0">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641490DE">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3663E2BB">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1E471214">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F9E163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2CC791E1">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6A291862">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52E2284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6610C22">
      <w:pPr>
        <w:adjustRightInd w:val="0"/>
        <w:snapToGrid w:val="0"/>
        <w:spacing w:line="300" w:lineRule="auto"/>
        <w:jc w:val="left"/>
        <w:rPr>
          <w:rFonts w:ascii="宋体" w:hAnsi="宋体"/>
          <w:color w:val="auto"/>
          <w:szCs w:val="21"/>
          <w:highlight w:val="none"/>
        </w:rPr>
      </w:pPr>
      <w:bookmarkStart w:id="164" w:name="page73"/>
      <w:bookmarkEnd w:id="164"/>
    </w:p>
    <w:p w14:paraId="1AF5D84B">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8C3C964">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9FE8C43">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73889C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4E4B2C12">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57769E5">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563C13">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1C769039">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256BC15C">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163D4BAA">
      <w:pPr>
        <w:spacing w:line="239" w:lineRule="auto"/>
        <w:jc w:val="left"/>
        <w:rPr>
          <w:rFonts w:ascii="宋体" w:hAnsi="宋体"/>
          <w:color w:val="auto"/>
          <w:sz w:val="28"/>
          <w:highlight w:val="none"/>
        </w:rPr>
      </w:pPr>
    </w:p>
    <w:p w14:paraId="2A7D4CA8">
      <w:pPr>
        <w:spacing w:line="239" w:lineRule="auto"/>
        <w:jc w:val="left"/>
        <w:rPr>
          <w:rFonts w:ascii="宋体" w:hAnsi="宋体"/>
          <w:color w:val="auto"/>
          <w:sz w:val="28"/>
          <w:highlight w:val="none"/>
        </w:rPr>
      </w:pPr>
    </w:p>
    <w:tbl>
      <w:tblPr>
        <w:tblStyle w:val="5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07FF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58C77B3">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序号</w:t>
            </w:r>
          </w:p>
        </w:tc>
        <w:tc>
          <w:tcPr>
            <w:tcW w:w="2345" w:type="dxa"/>
            <w:noWrap w:val="0"/>
            <w:vAlign w:val="center"/>
          </w:tcPr>
          <w:p w14:paraId="462CC9C1">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条款名称</w:t>
            </w:r>
          </w:p>
        </w:tc>
        <w:tc>
          <w:tcPr>
            <w:tcW w:w="1778" w:type="dxa"/>
            <w:noWrap w:val="0"/>
            <w:vAlign w:val="center"/>
          </w:tcPr>
          <w:p w14:paraId="0FDBE39A">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合同条款号</w:t>
            </w:r>
          </w:p>
        </w:tc>
        <w:tc>
          <w:tcPr>
            <w:tcW w:w="1778" w:type="dxa"/>
            <w:noWrap w:val="0"/>
            <w:vAlign w:val="center"/>
          </w:tcPr>
          <w:p w14:paraId="6D22643A">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约定内容</w:t>
            </w:r>
          </w:p>
        </w:tc>
        <w:tc>
          <w:tcPr>
            <w:tcW w:w="1778" w:type="dxa"/>
            <w:noWrap w:val="0"/>
            <w:vAlign w:val="center"/>
          </w:tcPr>
          <w:p w14:paraId="0F80A0B2">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备注</w:t>
            </w:r>
          </w:p>
        </w:tc>
      </w:tr>
      <w:tr w14:paraId="2BEE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85AE411">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45" w:type="dxa"/>
            <w:noWrap w:val="0"/>
            <w:vAlign w:val="center"/>
          </w:tcPr>
          <w:p w14:paraId="66BD85D2">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s="Times New Roman"/>
                <w:color w:val="auto"/>
                <w:sz w:val="21"/>
                <w:szCs w:val="21"/>
                <w:highlight w:val="none"/>
                <w:lang w:eastAsia="zh-CN"/>
              </w:rPr>
              <w:t>项目负责人</w:t>
            </w:r>
          </w:p>
        </w:tc>
        <w:tc>
          <w:tcPr>
            <w:tcW w:w="1778" w:type="dxa"/>
            <w:noWrap w:val="0"/>
            <w:vAlign w:val="center"/>
          </w:tcPr>
          <w:p w14:paraId="2F752951">
            <w:pPr>
              <w:widowControl w:val="0"/>
              <w:spacing w:line="239" w:lineRule="auto"/>
              <w:jc w:val="center"/>
              <w:rPr>
                <w:rFonts w:ascii="宋体" w:hAnsi="宋体"/>
                <w:color w:val="auto"/>
                <w:sz w:val="21"/>
                <w:szCs w:val="21"/>
                <w:highlight w:val="none"/>
              </w:rPr>
            </w:pPr>
          </w:p>
        </w:tc>
        <w:tc>
          <w:tcPr>
            <w:tcW w:w="1778" w:type="dxa"/>
            <w:noWrap w:val="0"/>
            <w:vAlign w:val="center"/>
          </w:tcPr>
          <w:p w14:paraId="7BB736DD">
            <w:pPr>
              <w:widowControl w:val="0"/>
              <w:spacing w:line="239" w:lineRule="auto"/>
              <w:jc w:val="center"/>
              <w:rPr>
                <w:rFonts w:ascii="宋体" w:hAnsi="宋体"/>
                <w:color w:val="auto"/>
                <w:sz w:val="21"/>
                <w:szCs w:val="21"/>
                <w:highlight w:val="none"/>
              </w:rPr>
            </w:pPr>
          </w:p>
        </w:tc>
        <w:tc>
          <w:tcPr>
            <w:tcW w:w="1778" w:type="dxa"/>
            <w:noWrap w:val="0"/>
            <w:vAlign w:val="center"/>
          </w:tcPr>
          <w:p w14:paraId="711F16B2">
            <w:pPr>
              <w:widowControl w:val="0"/>
              <w:spacing w:line="239" w:lineRule="auto"/>
              <w:jc w:val="center"/>
              <w:rPr>
                <w:rFonts w:ascii="宋体" w:hAnsi="宋体"/>
                <w:color w:val="auto"/>
                <w:sz w:val="21"/>
                <w:szCs w:val="21"/>
                <w:highlight w:val="none"/>
              </w:rPr>
            </w:pPr>
          </w:p>
        </w:tc>
      </w:tr>
      <w:tr w14:paraId="35A22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FFEC394">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45" w:type="dxa"/>
            <w:noWrap w:val="0"/>
            <w:vAlign w:val="center"/>
          </w:tcPr>
          <w:p w14:paraId="3E1ED079">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合同履行期限</w:t>
            </w:r>
          </w:p>
        </w:tc>
        <w:tc>
          <w:tcPr>
            <w:tcW w:w="1778" w:type="dxa"/>
            <w:noWrap w:val="0"/>
            <w:vAlign w:val="center"/>
          </w:tcPr>
          <w:p w14:paraId="47CAA82A">
            <w:pPr>
              <w:widowControl w:val="0"/>
              <w:spacing w:line="239" w:lineRule="auto"/>
              <w:jc w:val="center"/>
              <w:rPr>
                <w:rFonts w:hint="eastAsia" w:ascii="宋体" w:hAnsi="宋体" w:eastAsia="宋体"/>
                <w:color w:val="auto"/>
                <w:sz w:val="21"/>
                <w:szCs w:val="21"/>
                <w:highlight w:val="none"/>
                <w:lang w:eastAsia="zh-CN"/>
              </w:rPr>
            </w:pPr>
          </w:p>
        </w:tc>
        <w:tc>
          <w:tcPr>
            <w:tcW w:w="1778" w:type="dxa"/>
            <w:noWrap w:val="0"/>
            <w:vAlign w:val="center"/>
          </w:tcPr>
          <w:p w14:paraId="19B4EC83">
            <w:pPr>
              <w:widowControl w:val="0"/>
              <w:ind w:firstLine="840" w:firstLineChars="400"/>
              <w:jc w:val="center"/>
              <w:rPr>
                <w:rFonts w:ascii="宋体" w:hAnsi="宋体"/>
                <w:color w:val="auto"/>
                <w:sz w:val="21"/>
                <w:szCs w:val="21"/>
                <w:highlight w:val="none"/>
              </w:rPr>
            </w:pPr>
          </w:p>
        </w:tc>
        <w:tc>
          <w:tcPr>
            <w:tcW w:w="1778" w:type="dxa"/>
            <w:noWrap w:val="0"/>
            <w:vAlign w:val="center"/>
          </w:tcPr>
          <w:p w14:paraId="179CA155">
            <w:pPr>
              <w:widowControl w:val="0"/>
              <w:spacing w:line="239" w:lineRule="exact"/>
              <w:jc w:val="center"/>
              <w:rPr>
                <w:rFonts w:ascii="宋体" w:hAnsi="宋体"/>
                <w:color w:val="auto"/>
                <w:sz w:val="21"/>
                <w:szCs w:val="21"/>
                <w:highlight w:val="none"/>
              </w:rPr>
            </w:pPr>
          </w:p>
        </w:tc>
      </w:tr>
      <w:tr w14:paraId="4D7D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52EB046E">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45" w:type="dxa"/>
            <w:noWrap w:val="0"/>
            <w:vAlign w:val="center"/>
          </w:tcPr>
          <w:p w14:paraId="0166125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合同价款确定方式</w:t>
            </w:r>
          </w:p>
        </w:tc>
        <w:tc>
          <w:tcPr>
            <w:tcW w:w="1778" w:type="dxa"/>
            <w:noWrap w:val="0"/>
            <w:vAlign w:val="center"/>
          </w:tcPr>
          <w:p w14:paraId="2D26F3EA">
            <w:pPr>
              <w:widowControl w:val="0"/>
              <w:spacing w:line="239" w:lineRule="auto"/>
              <w:jc w:val="center"/>
              <w:rPr>
                <w:rFonts w:ascii="宋体" w:hAnsi="宋体"/>
                <w:color w:val="auto"/>
                <w:sz w:val="21"/>
                <w:szCs w:val="21"/>
                <w:highlight w:val="none"/>
              </w:rPr>
            </w:pPr>
          </w:p>
        </w:tc>
        <w:tc>
          <w:tcPr>
            <w:tcW w:w="1778" w:type="dxa"/>
            <w:noWrap w:val="0"/>
            <w:vAlign w:val="center"/>
          </w:tcPr>
          <w:p w14:paraId="68AD6076">
            <w:pPr>
              <w:widowControl w:val="0"/>
              <w:spacing w:line="239" w:lineRule="auto"/>
              <w:jc w:val="center"/>
              <w:rPr>
                <w:rFonts w:hint="eastAsia" w:ascii="宋体" w:hAnsi="宋体"/>
                <w:color w:val="auto"/>
                <w:sz w:val="21"/>
                <w:szCs w:val="21"/>
                <w:highlight w:val="none"/>
              </w:rPr>
            </w:pPr>
          </w:p>
        </w:tc>
        <w:tc>
          <w:tcPr>
            <w:tcW w:w="1778" w:type="dxa"/>
            <w:noWrap w:val="0"/>
            <w:vAlign w:val="center"/>
          </w:tcPr>
          <w:p w14:paraId="5DDE75C5">
            <w:pPr>
              <w:widowControl w:val="0"/>
              <w:spacing w:line="239" w:lineRule="auto"/>
              <w:jc w:val="center"/>
              <w:rPr>
                <w:rFonts w:ascii="宋体" w:hAnsi="宋体"/>
                <w:color w:val="auto"/>
                <w:sz w:val="21"/>
                <w:szCs w:val="21"/>
                <w:highlight w:val="none"/>
              </w:rPr>
            </w:pPr>
          </w:p>
        </w:tc>
      </w:tr>
      <w:tr w14:paraId="25B8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exact"/>
        </w:trPr>
        <w:tc>
          <w:tcPr>
            <w:tcW w:w="1777" w:type="dxa"/>
            <w:noWrap w:val="0"/>
            <w:vAlign w:val="center"/>
          </w:tcPr>
          <w:p w14:paraId="35DAC6FF">
            <w:pPr>
              <w:spacing w:line="342"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345" w:type="dxa"/>
            <w:noWrap w:val="0"/>
            <w:vAlign w:val="center"/>
          </w:tcPr>
          <w:p w14:paraId="22AE4BB9">
            <w:pPr>
              <w:spacing w:line="342" w:lineRule="exact"/>
              <w:jc w:val="center"/>
              <w:rPr>
                <w:rFonts w:ascii="宋体" w:hAnsi="宋体"/>
                <w:color w:val="auto"/>
                <w:sz w:val="21"/>
                <w:szCs w:val="21"/>
                <w:highlight w:val="none"/>
              </w:rPr>
            </w:pPr>
            <w:r>
              <w:rPr>
                <w:rFonts w:hint="eastAsia" w:ascii="Times New Roman" w:hAnsi="Times New Roman" w:eastAsiaTheme="minorEastAsia"/>
                <w:color w:val="auto"/>
                <w:sz w:val="21"/>
                <w:szCs w:val="21"/>
                <w:highlight w:val="none"/>
              </w:rPr>
              <w:t>投标报价</w:t>
            </w:r>
          </w:p>
        </w:tc>
        <w:tc>
          <w:tcPr>
            <w:tcW w:w="1778" w:type="dxa"/>
            <w:noWrap w:val="0"/>
            <w:vAlign w:val="center"/>
          </w:tcPr>
          <w:p w14:paraId="47FC0762">
            <w:pPr>
              <w:spacing w:line="342" w:lineRule="exact"/>
              <w:jc w:val="center"/>
              <w:rPr>
                <w:rFonts w:ascii="宋体" w:hAnsi="宋体"/>
                <w:color w:val="auto"/>
                <w:sz w:val="21"/>
                <w:szCs w:val="21"/>
                <w:highlight w:val="none"/>
              </w:rPr>
            </w:pPr>
          </w:p>
        </w:tc>
        <w:tc>
          <w:tcPr>
            <w:tcW w:w="1778" w:type="dxa"/>
            <w:noWrap w:val="0"/>
            <w:vAlign w:val="center"/>
          </w:tcPr>
          <w:p w14:paraId="3E6FDE7D">
            <w:pPr>
              <w:spacing w:line="342" w:lineRule="exact"/>
              <w:jc w:val="center"/>
              <w:rPr>
                <w:rFonts w:hint="eastAsia" w:ascii="宋体" w:hAnsi="宋体"/>
                <w:color w:val="auto"/>
                <w:sz w:val="21"/>
                <w:szCs w:val="21"/>
                <w:highlight w:val="none"/>
              </w:rPr>
            </w:pPr>
            <w:r>
              <w:rPr>
                <w:rFonts w:hint="eastAsia" w:ascii="Times New Roman" w:hAnsi="Times New Roman" w:eastAsiaTheme="minorEastAsia"/>
                <w:color w:val="auto"/>
                <w:sz w:val="21"/>
                <w:szCs w:val="21"/>
                <w:highlight w:val="none"/>
              </w:rPr>
              <w:t>（折扣系数）</w:t>
            </w:r>
          </w:p>
        </w:tc>
        <w:tc>
          <w:tcPr>
            <w:tcW w:w="1778" w:type="dxa"/>
            <w:noWrap w:val="0"/>
            <w:vAlign w:val="center"/>
          </w:tcPr>
          <w:p w14:paraId="7C0A56AC">
            <w:pPr>
              <w:spacing w:line="342" w:lineRule="exact"/>
              <w:jc w:val="center"/>
              <w:rPr>
                <w:rFonts w:ascii="宋体" w:hAnsi="宋体"/>
                <w:color w:val="auto"/>
                <w:sz w:val="21"/>
                <w:szCs w:val="21"/>
                <w:highlight w:val="none"/>
              </w:rPr>
            </w:pPr>
            <w:r>
              <w:rPr>
                <w:rFonts w:hint="eastAsia" w:ascii="Times New Roman" w:hAnsi="Times New Roman" w:eastAsia="宋体"/>
                <w:b/>
                <w:bCs/>
                <w:color w:val="auto"/>
                <w:sz w:val="21"/>
                <w:szCs w:val="21"/>
                <w:highlight w:val="none"/>
                <w:lang w:val="en-US" w:eastAsia="zh-CN"/>
              </w:rPr>
              <w:t>勘察、设计按统一综合折扣系数报价</w:t>
            </w:r>
          </w:p>
        </w:tc>
      </w:tr>
      <w:tr w14:paraId="5F53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6693850">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610884AE">
            <w:pPr>
              <w:widowControl w:val="0"/>
              <w:spacing w:line="239"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6A274E17">
            <w:pPr>
              <w:widowControl w:val="0"/>
              <w:spacing w:line="239" w:lineRule="auto"/>
              <w:jc w:val="center"/>
              <w:rPr>
                <w:rFonts w:ascii="宋体" w:hAnsi="宋体"/>
                <w:color w:val="auto"/>
                <w:sz w:val="21"/>
                <w:szCs w:val="21"/>
                <w:highlight w:val="none"/>
              </w:rPr>
            </w:pPr>
          </w:p>
        </w:tc>
        <w:tc>
          <w:tcPr>
            <w:tcW w:w="1778" w:type="dxa"/>
            <w:noWrap w:val="0"/>
            <w:vAlign w:val="center"/>
          </w:tcPr>
          <w:p w14:paraId="56DE5126">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392B7E18">
            <w:pPr>
              <w:widowControl w:val="0"/>
              <w:spacing w:line="239" w:lineRule="auto"/>
              <w:jc w:val="center"/>
              <w:rPr>
                <w:rFonts w:ascii="宋体" w:hAnsi="宋体"/>
                <w:color w:val="auto"/>
                <w:sz w:val="21"/>
                <w:szCs w:val="21"/>
                <w:highlight w:val="none"/>
              </w:rPr>
            </w:pPr>
          </w:p>
        </w:tc>
      </w:tr>
    </w:tbl>
    <w:p w14:paraId="63504E70">
      <w:pPr>
        <w:spacing w:line="239" w:lineRule="auto"/>
        <w:jc w:val="left"/>
        <w:rPr>
          <w:rFonts w:ascii="宋体" w:hAnsi="宋体"/>
          <w:color w:val="auto"/>
          <w:sz w:val="28"/>
          <w:highlight w:val="none"/>
        </w:rPr>
      </w:pPr>
    </w:p>
    <w:p w14:paraId="5A09DD51">
      <w:pPr>
        <w:spacing w:line="200" w:lineRule="exact"/>
        <w:jc w:val="left"/>
        <w:rPr>
          <w:rFonts w:ascii="宋体" w:hAnsi="宋体"/>
          <w:color w:val="auto"/>
          <w:sz w:val="24"/>
          <w:highlight w:val="none"/>
        </w:rPr>
      </w:pPr>
    </w:p>
    <w:p w14:paraId="0287F315">
      <w:pPr>
        <w:spacing w:line="343" w:lineRule="exact"/>
        <w:jc w:val="left"/>
        <w:rPr>
          <w:rFonts w:ascii="宋体" w:hAnsi="宋体"/>
          <w:color w:val="auto"/>
          <w:sz w:val="24"/>
          <w:szCs w:val="24"/>
          <w:highlight w:val="none"/>
        </w:rPr>
      </w:pPr>
    </w:p>
    <w:p w14:paraId="61DF388A">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304A9FC1">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FF739E8">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C4D3852">
      <w:pPr>
        <w:pStyle w:val="49"/>
        <w:rPr>
          <w:rFonts w:hint="eastAsia" w:ascii="宋体" w:hAnsi="宋体"/>
          <w:color w:val="auto"/>
          <w:sz w:val="21"/>
          <w:szCs w:val="21"/>
          <w:highlight w:val="none"/>
        </w:rPr>
      </w:pPr>
    </w:p>
    <w:p w14:paraId="7A9DCA73">
      <w:pPr>
        <w:rPr>
          <w:rFonts w:hint="eastAsia" w:ascii="宋体" w:hAnsi="宋体"/>
          <w:color w:val="auto"/>
          <w:sz w:val="21"/>
          <w:szCs w:val="21"/>
          <w:highlight w:val="none"/>
        </w:rPr>
      </w:pPr>
    </w:p>
    <w:p w14:paraId="6160F628">
      <w:pPr>
        <w:pStyle w:val="49"/>
        <w:rPr>
          <w:rFonts w:hint="eastAsia" w:ascii="宋体" w:hAnsi="宋体"/>
          <w:color w:val="auto"/>
          <w:sz w:val="21"/>
          <w:szCs w:val="21"/>
          <w:highlight w:val="none"/>
        </w:rPr>
      </w:pPr>
    </w:p>
    <w:p w14:paraId="3C476580">
      <w:pPr>
        <w:rPr>
          <w:rFonts w:hint="eastAsia" w:ascii="宋体" w:hAnsi="宋体"/>
          <w:color w:val="auto"/>
          <w:sz w:val="21"/>
          <w:szCs w:val="21"/>
          <w:highlight w:val="none"/>
        </w:rPr>
      </w:pPr>
    </w:p>
    <w:p w14:paraId="30C3C9F9">
      <w:pPr>
        <w:pStyle w:val="49"/>
        <w:rPr>
          <w:rFonts w:hint="eastAsia" w:ascii="宋体" w:hAnsi="宋体"/>
          <w:color w:val="auto"/>
          <w:sz w:val="21"/>
          <w:szCs w:val="21"/>
          <w:highlight w:val="none"/>
        </w:rPr>
      </w:pPr>
    </w:p>
    <w:p w14:paraId="5CFBC5F8">
      <w:pPr>
        <w:rPr>
          <w:rFonts w:hint="eastAsia" w:ascii="宋体" w:hAnsi="宋体"/>
          <w:color w:val="auto"/>
          <w:sz w:val="21"/>
          <w:szCs w:val="21"/>
          <w:highlight w:val="none"/>
        </w:rPr>
      </w:pPr>
    </w:p>
    <w:p w14:paraId="4FCDA892">
      <w:pPr>
        <w:pStyle w:val="49"/>
        <w:rPr>
          <w:rFonts w:hint="eastAsia" w:ascii="宋体" w:hAnsi="宋体"/>
          <w:color w:val="auto"/>
          <w:sz w:val="21"/>
          <w:szCs w:val="21"/>
          <w:highlight w:val="none"/>
        </w:rPr>
      </w:pPr>
    </w:p>
    <w:p w14:paraId="02954751">
      <w:pPr>
        <w:rPr>
          <w:rFonts w:hint="eastAsia" w:ascii="宋体" w:hAnsi="宋体"/>
          <w:color w:val="auto"/>
          <w:sz w:val="21"/>
          <w:szCs w:val="21"/>
          <w:highlight w:val="none"/>
        </w:rPr>
      </w:pPr>
    </w:p>
    <w:p w14:paraId="6CD98002">
      <w:pPr>
        <w:pStyle w:val="49"/>
        <w:rPr>
          <w:rFonts w:hint="eastAsia" w:ascii="宋体" w:hAnsi="宋体"/>
          <w:color w:val="auto"/>
          <w:sz w:val="21"/>
          <w:szCs w:val="21"/>
          <w:highlight w:val="none"/>
        </w:rPr>
      </w:pPr>
    </w:p>
    <w:p w14:paraId="2E95F862">
      <w:pPr>
        <w:rPr>
          <w:rFonts w:hint="eastAsia" w:ascii="宋体" w:hAnsi="宋体"/>
          <w:color w:val="auto"/>
          <w:sz w:val="21"/>
          <w:szCs w:val="21"/>
          <w:highlight w:val="none"/>
        </w:rPr>
      </w:pPr>
    </w:p>
    <w:p w14:paraId="5AA99AE7">
      <w:pPr>
        <w:pStyle w:val="49"/>
        <w:rPr>
          <w:rFonts w:hint="eastAsia" w:ascii="宋体" w:hAnsi="宋体"/>
          <w:color w:val="auto"/>
          <w:sz w:val="21"/>
          <w:szCs w:val="21"/>
          <w:highlight w:val="none"/>
        </w:rPr>
      </w:pPr>
    </w:p>
    <w:p w14:paraId="261813F0">
      <w:pPr>
        <w:rPr>
          <w:rFonts w:hint="eastAsia" w:ascii="宋体" w:hAnsi="宋体"/>
          <w:color w:val="auto"/>
          <w:sz w:val="21"/>
          <w:szCs w:val="21"/>
          <w:highlight w:val="none"/>
        </w:rPr>
      </w:pPr>
    </w:p>
    <w:p w14:paraId="1754C3AB">
      <w:pPr>
        <w:pStyle w:val="49"/>
        <w:rPr>
          <w:rFonts w:hint="eastAsia" w:ascii="宋体" w:hAnsi="宋体"/>
          <w:color w:val="auto"/>
          <w:sz w:val="21"/>
          <w:szCs w:val="21"/>
          <w:highlight w:val="none"/>
        </w:rPr>
      </w:pPr>
    </w:p>
    <w:p w14:paraId="3B5A0865">
      <w:pPr>
        <w:rPr>
          <w:rFonts w:hint="eastAsia" w:ascii="宋体" w:hAnsi="宋体"/>
          <w:color w:val="auto"/>
          <w:sz w:val="21"/>
          <w:szCs w:val="21"/>
          <w:highlight w:val="none"/>
        </w:rPr>
      </w:pPr>
    </w:p>
    <w:p w14:paraId="21D462D6">
      <w:pPr>
        <w:pStyle w:val="49"/>
        <w:rPr>
          <w:rFonts w:hint="eastAsia" w:ascii="宋体" w:hAnsi="宋体"/>
          <w:color w:val="auto"/>
          <w:sz w:val="21"/>
          <w:szCs w:val="21"/>
          <w:highlight w:val="none"/>
        </w:rPr>
      </w:pPr>
    </w:p>
    <w:p w14:paraId="58151E3C">
      <w:pPr>
        <w:rPr>
          <w:rFonts w:hint="eastAsia" w:ascii="宋体" w:hAnsi="宋体"/>
          <w:color w:val="auto"/>
          <w:sz w:val="21"/>
          <w:szCs w:val="21"/>
          <w:highlight w:val="none"/>
        </w:rPr>
      </w:pPr>
    </w:p>
    <w:p w14:paraId="659C12C9">
      <w:pPr>
        <w:pStyle w:val="49"/>
        <w:rPr>
          <w:rFonts w:hint="eastAsia" w:ascii="宋体" w:hAnsi="宋体"/>
          <w:color w:val="auto"/>
          <w:sz w:val="21"/>
          <w:szCs w:val="21"/>
          <w:highlight w:val="none"/>
        </w:rPr>
      </w:pPr>
    </w:p>
    <w:p w14:paraId="7BCF44D6">
      <w:pPr>
        <w:rPr>
          <w:rFonts w:hint="eastAsia" w:ascii="宋体" w:hAnsi="宋体"/>
          <w:color w:val="auto"/>
          <w:sz w:val="21"/>
          <w:szCs w:val="21"/>
          <w:highlight w:val="none"/>
        </w:rPr>
      </w:pPr>
    </w:p>
    <w:p w14:paraId="22EE2362">
      <w:pPr>
        <w:pStyle w:val="49"/>
        <w:rPr>
          <w:rFonts w:hint="eastAsia"/>
          <w:color w:val="auto"/>
          <w:highlight w:val="none"/>
        </w:rPr>
      </w:pPr>
    </w:p>
    <w:p w14:paraId="1CB4A7D9">
      <w:pPr>
        <w:rPr>
          <w:rFonts w:hint="eastAsia" w:ascii="宋体" w:hAnsi="宋体"/>
          <w:color w:val="auto"/>
          <w:sz w:val="21"/>
          <w:szCs w:val="21"/>
          <w:highlight w:val="none"/>
        </w:rPr>
      </w:pPr>
    </w:p>
    <w:p w14:paraId="30AB86EB">
      <w:pPr>
        <w:pStyle w:val="49"/>
        <w:rPr>
          <w:rFonts w:hint="eastAsia" w:ascii="宋体" w:hAnsi="宋体"/>
          <w:color w:val="auto"/>
          <w:sz w:val="21"/>
          <w:szCs w:val="21"/>
          <w:highlight w:val="none"/>
        </w:rPr>
      </w:pPr>
    </w:p>
    <w:p w14:paraId="783649C6">
      <w:pPr>
        <w:rPr>
          <w:rFonts w:hint="eastAsia" w:ascii="宋体" w:hAnsi="宋体"/>
          <w:color w:val="auto"/>
          <w:sz w:val="21"/>
          <w:szCs w:val="21"/>
          <w:highlight w:val="none"/>
        </w:rPr>
      </w:pPr>
    </w:p>
    <w:p w14:paraId="0CB5DA2E">
      <w:pPr>
        <w:pStyle w:val="49"/>
        <w:rPr>
          <w:rFonts w:hint="eastAsia" w:ascii="宋体" w:hAnsi="宋体"/>
          <w:color w:val="auto"/>
          <w:sz w:val="21"/>
          <w:szCs w:val="21"/>
          <w:highlight w:val="none"/>
        </w:rPr>
      </w:pPr>
    </w:p>
    <w:p w14:paraId="365143AC">
      <w:pPr>
        <w:rPr>
          <w:rFonts w:hint="eastAsia" w:ascii="宋体" w:hAnsi="宋体"/>
          <w:color w:val="auto"/>
          <w:sz w:val="21"/>
          <w:szCs w:val="21"/>
          <w:highlight w:val="none"/>
        </w:rPr>
      </w:pPr>
    </w:p>
    <w:p w14:paraId="07DADB1A">
      <w:pPr>
        <w:spacing w:line="360" w:lineRule="auto"/>
        <w:jc w:val="center"/>
        <w:outlineLvl w:val="2"/>
        <w:rPr>
          <w:b/>
          <w:color w:val="auto"/>
          <w:sz w:val="32"/>
          <w:szCs w:val="32"/>
          <w:highlight w:val="none"/>
        </w:rPr>
      </w:pPr>
      <w:bookmarkStart w:id="165" w:name="_Toc2621"/>
      <w:r>
        <w:rPr>
          <w:rFonts w:hint="eastAsia"/>
          <w:b/>
          <w:color w:val="auto"/>
          <w:sz w:val="32"/>
          <w:szCs w:val="32"/>
          <w:highlight w:val="none"/>
        </w:rPr>
        <w:t>二、法定代表人身份证明及授权委托书</w:t>
      </w:r>
      <w:bookmarkEnd w:id="165"/>
    </w:p>
    <w:p w14:paraId="4C9F1B4D">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BFED68F">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22B01FD2">
      <w:pPr>
        <w:spacing w:line="360" w:lineRule="auto"/>
        <w:ind w:firstLine="420" w:firstLineChars="200"/>
        <w:rPr>
          <w:rFonts w:ascii="宋体" w:hAnsi="宋体"/>
          <w:color w:val="auto"/>
          <w:szCs w:val="21"/>
          <w:highlight w:val="none"/>
        </w:rPr>
      </w:pPr>
    </w:p>
    <w:p w14:paraId="73904D2E">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1874319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FE921D7">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3A9D31EA">
      <w:pPr>
        <w:spacing w:line="360" w:lineRule="auto"/>
        <w:jc w:val="left"/>
        <w:rPr>
          <w:rFonts w:ascii="宋体" w:hAnsi="宋体"/>
          <w:color w:val="auto"/>
          <w:szCs w:val="21"/>
          <w:highlight w:val="none"/>
        </w:rPr>
      </w:pPr>
    </w:p>
    <w:p w14:paraId="480FEBE2">
      <w:pPr>
        <w:spacing w:line="360" w:lineRule="auto"/>
        <w:jc w:val="left"/>
        <w:rPr>
          <w:rFonts w:ascii="宋体" w:hAnsi="宋体"/>
          <w:color w:val="auto"/>
          <w:szCs w:val="21"/>
          <w:highlight w:val="none"/>
        </w:rPr>
      </w:pPr>
    </w:p>
    <w:p w14:paraId="6691CFA5">
      <w:pPr>
        <w:spacing w:line="360" w:lineRule="auto"/>
        <w:jc w:val="left"/>
        <w:rPr>
          <w:rFonts w:ascii="宋体" w:hAnsi="宋体"/>
          <w:color w:val="auto"/>
          <w:szCs w:val="21"/>
          <w:highlight w:val="none"/>
        </w:rPr>
      </w:pPr>
    </w:p>
    <w:p w14:paraId="7B5ABBBE">
      <w:pPr>
        <w:spacing w:line="360" w:lineRule="auto"/>
        <w:jc w:val="left"/>
        <w:rPr>
          <w:rFonts w:ascii="宋体" w:hAnsi="宋体"/>
          <w:color w:val="auto"/>
          <w:szCs w:val="21"/>
          <w:highlight w:val="none"/>
        </w:rPr>
      </w:pPr>
    </w:p>
    <w:p w14:paraId="3B0FFBBB">
      <w:pPr>
        <w:spacing w:line="360" w:lineRule="auto"/>
        <w:jc w:val="left"/>
        <w:rPr>
          <w:rFonts w:ascii="宋体" w:hAnsi="宋体"/>
          <w:color w:val="auto"/>
          <w:szCs w:val="21"/>
          <w:highlight w:val="none"/>
        </w:rPr>
      </w:pPr>
    </w:p>
    <w:p w14:paraId="040880C1">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44B785CF">
      <w:pPr>
        <w:spacing w:line="360" w:lineRule="auto"/>
        <w:jc w:val="left"/>
        <w:rPr>
          <w:rFonts w:ascii="宋体" w:hAnsi="宋体"/>
          <w:color w:val="auto"/>
          <w:szCs w:val="21"/>
          <w:highlight w:val="none"/>
        </w:rPr>
      </w:pPr>
    </w:p>
    <w:p w14:paraId="3890DEE8">
      <w:pPr>
        <w:spacing w:line="360" w:lineRule="auto"/>
        <w:jc w:val="left"/>
        <w:rPr>
          <w:rFonts w:ascii="宋体" w:hAnsi="宋体"/>
          <w:color w:val="auto"/>
          <w:szCs w:val="21"/>
          <w:highlight w:val="none"/>
        </w:rPr>
      </w:pPr>
    </w:p>
    <w:p w14:paraId="4750905C">
      <w:pPr>
        <w:spacing w:line="360" w:lineRule="auto"/>
        <w:jc w:val="left"/>
        <w:rPr>
          <w:rFonts w:ascii="宋体" w:hAnsi="宋体"/>
          <w:color w:val="auto"/>
          <w:szCs w:val="21"/>
          <w:highlight w:val="none"/>
        </w:rPr>
      </w:pPr>
    </w:p>
    <w:p w14:paraId="7A7F17AA">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010115FB">
      <w:pPr>
        <w:spacing w:line="360" w:lineRule="auto"/>
        <w:jc w:val="left"/>
        <w:rPr>
          <w:rFonts w:ascii="宋体" w:hAnsi="宋体"/>
          <w:color w:val="auto"/>
          <w:szCs w:val="21"/>
          <w:highlight w:val="none"/>
        </w:rPr>
      </w:pPr>
    </w:p>
    <w:p w14:paraId="6B7976E4">
      <w:pPr>
        <w:spacing w:line="360" w:lineRule="auto"/>
        <w:jc w:val="left"/>
        <w:rPr>
          <w:rFonts w:ascii="宋体" w:hAnsi="宋体"/>
          <w:color w:val="auto"/>
          <w:szCs w:val="21"/>
          <w:highlight w:val="none"/>
        </w:rPr>
      </w:pPr>
    </w:p>
    <w:p w14:paraId="71EFDDD4">
      <w:pPr>
        <w:spacing w:line="360" w:lineRule="auto"/>
        <w:jc w:val="left"/>
        <w:rPr>
          <w:rFonts w:ascii="宋体" w:hAnsi="宋体"/>
          <w:color w:val="auto"/>
          <w:szCs w:val="21"/>
          <w:highlight w:val="none"/>
        </w:rPr>
      </w:pPr>
    </w:p>
    <w:p w14:paraId="6435505A">
      <w:pPr>
        <w:spacing w:line="360" w:lineRule="auto"/>
        <w:jc w:val="left"/>
        <w:rPr>
          <w:rFonts w:ascii="宋体" w:hAnsi="宋体"/>
          <w:color w:val="auto"/>
          <w:szCs w:val="21"/>
          <w:highlight w:val="none"/>
        </w:rPr>
      </w:pPr>
    </w:p>
    <w:p w14:paraId="660EA2B3">
      <w:pPr>
        <w:spacing w:line="360" w:lineRule="auto"/>
        <w:jc w:val="left"/>
        <w:rPr>
          <w:rFonts w:ascii="宋体" w:hAnsi="宋体"/>
          <w:color w:val="auto"/>
          <w:szCs w:val="21"/>
          <w:highlight w:val="none"/>
        </w:rPr>
      </w:pPr>
    </w:p>
    <w:p w14:paraId="533E8463">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18C2B1A1">
      <w:pPr>
        <w:snapToGrid w:val="0"/>
        <w:spacing w:line="360" w:lineRule="auto"/>
        <w:jc w:val="left"/>
        <w:rPr>
          <w:rFonts w:hint="eastAsia" w:ascii="宋体" w:hAnsi="宋体"/>
          <w:color w:val="auto"/>
          <w:sz w:val="21"/>
          <w:szCs w:val="21"/>
          <w:highlight w:val="none"/>
        </w:rPr>
      </w:pPr>
    </w:p>
    <w:p w14:paraId="63B09B13">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B073947">
      <w:pPr>
        <w:spacing w:line="360" w:lineRule="auto"/>
        <w:ind w:firstLine="420" w:firstLineChars="200"/>
        <w:rPr>
          <w:rFonts w:ascii="宋体" w:hAnsi="宋体"/>
          <w:color w:val="auto"/>
          <w:szCs w:val="21"/>
          <w:highlight w:val="none"/>
        </w:rPr>
      </w:pPr>
    </w:p>
    <w:p w14:paraId="471C08B3">
      <w:pPr>
        <w:spacing w:line="360" w:lineRule="auto"/>
        <w:ind w:firstLine="420" w:firstLineChars="200"/>
        <w:rPr>
          <w:rFonts w:ascii="宋体" w:hAnsi="宋体"/>
          <w:color w:val="auto"/>
          <w:szCs w:val="21"/>
          <w:highlight w:val="none"/>
        </w:rPr>
      </w:pPr>
    </w:p>
    <w:p w14:paraId="487814A7">
      <w:pPr>
        <w:spacing w:line="360" w:lineRule="auto"/>
        <w:rPr>
          <w:color w:val="auto"/>
          <w:highlight w:val="none"/>
        </w:rPr>
      </w:pPr>
    </w:p>
    <w:p w14:paraId="0BA2D45D">
      <w:pPr>
        <w:pStyle w:val="49"/>
        <w:rPr>
          <w:color w:val="auto"/>
          <w:highlight w:val="none"/>
        </w:rPr>
      </w:pPr>
    </w:p>
    <w:p w14:paraId="73B313A9">
      <w:pPr>
        <w:rPr>
          <w:color w:val="auto"/>
          <w:highlight w:val="none"/>
        </w:rPr>
      </w:pPr>
    </w:p>
    <w:p w14:paraId="3C8F9C3B">
      <w:pPr>
        <w:pStyle w:val="49"/>
        <w:rPr>
          <w:color w:val="auto"/>
          <w:highlight w:val="none"/>
        </w:rPr>
      </w:pPr>
    </w:p>
    <w:p w14:paraId="5E808ED5">
      <w:pPr>
        <w:rPr>
          <w:color w:val="auto"/>
          <w:highlight w:val="none"/>
        </w:rPr>
      </w:pPr>
    </w:p>
    <w:p w14:paraId="1D3465BF">
      <w:pPr>
        <w:pStyle w:val="49"/>
        <w:rPr>
          <w:color w:val="auto"/>
          <w:highlight w:val="none"/>
        </w:rPr>
      </w:pPr>
    </w:p>
    <w:p w14:paraId="36172A4A">
      <w:pPr>
        <w:rPr>
          <w:color w:val="auto"/>
          <w:highlight w:val="none"/>
        </w:rPr>
      </w:pPr>
    </w:p>
    <w:p w14:paraId="362CC7AD">
      <w:pPr>
        <w:spacing w:line="360" w:lineRule="auto"/>
        <w:jc w:val="center"/>
        <w:rPr>
          <w:b/>
          <w:color w:val="auto"/>
          <w:sz w:val="28"/>
          <w:szCs w:val="28"/>
          <w:highlight w:val="none"/>
        </w:rPr>
      </w:pPr>
      <w:r>
        <w:rPr>
          <w:rFonts w:hint="eastAsia"/>
          <w:b/>
          <w:color w:val="auto"/>
          <w:sz w:val="28"/>
          <w:szCs w:val="28"/>
          <w:highlight w:val="none"/>
        </w:rPr>
        <w:t>（二） 授权委托书</w:t>
      </w:r>
    </w:p>
    <w:p w14:paraId="35A2BC8A">
      <w:pPr>
        <w:spacing w:line="360" w:lineRule="auto"/>
        <w:ind w:firstLine="420" w:firstLineChars="200"/>
        <w:rPr>
          <w:rFonts w:ascii="宋体" w:hAnsi="宋体"/>
          <w:color w:val="auto"/>
          <w:szCs w:val="21"/>
          <w:highlight w:val="none"/>
        </w:rPr>
      </w:pPr>
    </w:p>
    <w:p w14:paraId="67B03B31">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4D2A107A">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C6FC58C">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475A0FBB">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22A40F80">
      <w:pPr>
        <w:spacing w:line="360" w:lineRule="auto"/>
        <w:ind w:firstLine="420" w:firstLineChars="200"/>
        <w:rPr>
          <w:rFonts w:ascii="宋体" w:hAnsi="宋体"/>
          <w:color w:val="auto"/>
          <w:szCs w:val="21"/>
          <w:highlight w:val="none"/>
        </w:rPr>
      </w:pPr>
    </w:p>
    <w:p w14:paraId="0B3C3506">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07CF7171">
      <w:pPr>
        <w:spacing w:line="360" w:lineRule="auto"/>
        <w:ind w:firstLine="420" w:firstLineChars="200"/>
        <w:rPr>
          <w:rFonts w:ascii="宋体" w:hAnsi="宋体"/>
          <w:color w:val="auto"/>
          <w:szCs w:val="21"/>
          <w:highlight w:val="none"/>
        </w:rPr>
      </w:pPr>
    </w:p>
    <w:p w14:paraId="05B4F992">
      <w:pPr>
        <w:spacing w:line="360" w:lineRule="auto"/>
        <w:ind w:firstLine="420" w:firstLineChars="200"/>
        <w:rPr>
          <w:rFonts w:ascii="宋体" w:hAnsi="宋体"/>
          <w:color w:val="auto"/>
          <w:szCs w:val="21"/>
          <w:highlight w:val="none"/>
        </w:rPr>
      </w:pPr>
    </w:p>
    <w:p w14:paraId="1C448B24">
      <w:pPr>
        <w:spacing w:line="360" w:lineRule="auto"/>
        <w:ind w:firstLine="420" w:firstLineChars="200"/>
        <w:rPr>
          <w:rFonts w:ascii="宋体" w:hAnsi="宋体"/>
          <w:color w:val="auto"/>
          <w:szCs w:val="21"/>
          <w:highlight w:val="none"/>
        </w:rPr>
      </w:pPr>
    </w:p>
    <w:p w14:paraId="469DDCAF">
      <w:pPr>
        <w:spacing w:line="360" w:lineRule="auto"/>
        <w:ind w:firstLine="420" w:firstLineChars="200"/>
        <w:rPr>
          <w:rFonts w:ascii="宋体" w:hAnsi="宋体"/>
          <w:color w:val="auto"/>
          <w:szCs w:val="21"/>
          <w:highlight w:val="none"/>
        </w:rPr>
      </w:pPr>
    </w:p>
    <w:p w14:paraId="37AE64AD">
      <w:pPr>
        <w:spacing w:line="360" w:lineRule="auto"/>
        <w:ind w:firstLine="420" w:firstLineChars="200"/>
        <w:rPr>
          <w:rFonts w:ascii="宋体" w:hAnsi="宋体"/>
          <w:color w:val="auto"/>
          <w:szCs w:val="21"/>
          <w:highlight w:val="none"/>
        </w:rPr>
      </w:pPr>
    </w:p>
    <w:p w14:paraId="2D015924">
      <w:pPr>
        <w:spacing w:line="360" w:lineRule="auto"/>
        <w:rPr>
          <w:rFonts w:ascii="宋体" w:hAnsi="宋体"/>
          <w:color w:val="auto"/>
          <w:szCs w:val="21"/>
          <w:highlight w:val="none"/>
        </w:rPr>
      </w:pPr>
    </w:p>
    <w:p w14:paraId="28E252F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B79D8C">
      <w:pPr>
        <w:spacing w:line="360" w:lineRule="auto"/>
        <w:ind w:firstLine="420" w:firstLineChars="200"/>
        <w:rPr>
          <w:rFonts w:ascii="宋体" w:hAnsi="宋体"/>
          <w:color w:val="auto"/>
          <w:szCs w:val="21"/>
          <w:highlight w:val="none"/>
        </w:rPr>
      </w:pPr>
    </w:p>
    <w:p w14:paraId="33120DCD">
      <w:pPr>
        <w:spacing w:line="360" w:lineRule="auto"/>
        <w:ind w:firstLine="420" w:firstLineChars="200"/>
        <w:rPr>
          <w:rFonts w:ascii="宋体" w:hAnsi="宋体"/>
          <w:color w:val="auto"/>
          <w:szCs w:val="21"/>
          <w:highlight w:val="none"/>
        </w:rPr>
      </w:pPr>
    </w:p>
    <w:p w14:paraId="4B6C2238">
      <w:pPr>
        <w:spacing w:line="360" w:lineRule="auto"/>
        <w:ind w:firstLine="420" w:firstLineChars="200"/>
        <w:rPr>
          <w:rFonts w:ascii="宋体" w:hAnsi="宋体"/>
          <w:color w:val="auto"/>
          <w:szCs w:val="21"/>
          <w:highlight w:val="none"/>
        </w:rPr>
      </w:pPr>
    </w:p>
    <w:p w14:paraId="7CFFD227">
      <w:pPr>
        <w:spacing w:line="360" w:lineRule="auto"/>
        <w:ind w:firstLine="420" w:firstLineChars="200"/>
        <w:rPr>
          <w:rFonts w:ascii="宋体" w:hAnsi="宋体"/>
          <w:color w:val="auto"/>
          <w:szCs w:val="21"/>
          <w:highlight w:val="none"/>
        </w:rPr>
      </w:pPr>
    </w:p>
    <w:p w14:paraId="47C6DF34">
      <w:pPr>
        <w:spacing w:line="360" w:lineRule="auto"/>
        <w:ind w:firstLine="420" w:firstLineChars="200"/>
        <w:rPr>
          <w:rFonts w:ascii="宋体" w:hAnsi="宋体"/>
          <w:color w:val="auto"/>
          <w:szCs w:val="21"/>
          <w:highlight w:val="none"/>
        </w:rPr>
      </w:pPr>
    </w:p>
    <w:p w14:paraId="58868E35">
      <w:pPr>
        <w:spacing w:line="360" w:lineRule="auto"/>
        <w:ind w:firstLine="420" w:firstLineChars="200"/>
        <w:rPr>
          <w:rFonts w:ascii="宋体" w:hAnsi="宋体"/>
          <w:color w:val="auto"/>
          <w:szCs w:val="21"/>
          <w:highlight w:val="none"/>
        </w:rPr>
      </w:pPr>
    </w:p>
    <w:p w14:paraId="349594F9">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1C5AD72">
      <w:pPr>
        <w:overflowPunct w:val="0"/>
        <w:spacing w:line="408" w:lineRule="auto"/>
        <w:ind w:right="100"/>
        <w:jc w:val="left"/>
        <w:rPr>
          <w:rFonts w:hint="eastAsia" w:ascii="宋体" w:hAnsi="宋体"/>
          <w:color w:val="auto"/>
          <w:highlight w:val="none"/>
        </w:rPr>
      </w:pPr>
    </w:p>
    <w:p w14:paraId="6CAE571B">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03E8F6EE">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5BB6ADBE">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AFA9BA6">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1A8BAF0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346BF12">
      <w:pPr>
        <w:spacing w:line="200" w:lineRule="exact"/>
        <w:jc w:val="left"/>
        <w:rPr>
          <w:rFonts w:ascii="宋体" w:hAnsi="宋体"/>
          <w:color w:val="auto"/>
          <w:sz w:val="24"/>
          <w:highlight w:val="none"/>
        </w:rPr>
      </w:pPr>
    </w:p>
    <w:p w14:paraId="7F656EF2">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832A04A">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cols w:space="720" w:num="1"/>
          <w:docGrid w:linePitch="312" w:charSpace="0"/>
        </w:sectPr>
      </w:pPr>
    </w:p>
    <w:p w14:paraId="02629B44">
      <w:pPr>
        <w:spacing w:line="360" w:lineRule="auto"/>
        <w:jc w:val="center"/>
        <w:outlineLvl w:val="2"/>
        <w:rPr>
          <w:rFonts w:hint="default" w:ascii="宋体" w:hAnsi="宋体" w:eastAsia="宋体" w:cs="Times New Roman"/>
          <w:b/>
          <w:bCs w:val="0"/>
          <w:color w:val="auto"/>
          <w:kern w:val="2"/>
          <w:sz w:val="32"/>
          <w:szCs w:val="32"/>
          <w:highlight w:val="none"/>
          <w:lang w:val="en-US" w:eastAsia="zh-CN" w:bidi="ar-SA"/>
        </w:rPr>
      </w:pPr>
      <w:bookmarkStart w:id="166" w:name="_Toc31048"/>
      <w:bookmarkStart w:id="167" w:name="_Toc228871319"/>
      <w:bookmarkStart w:id="168" w:name="_Toc208975018"/>
      <w:bookmarkStart w:id="169" w:name="_Toc259191079"/>
      <w:bookmarkStart w:id="170" w:name="_Toc262045240"/>
      <w:bookmarkStart w:id="171" w:name="_Toc199384398"/>
      <w:bookmarkStart w:id="172" w:name="_Toc208999279"/>
      <w:r>
        <w:rPr>
          <w:rFonts w:hint="eastAsia" w:ascii="宋体" w:hAnsi="宋体" w:eastAsia="宋体" w:cs="Times New Roman"/>
          <w:b/>
          <w:bCs w:val="0"/>
          <w:color w:val="auto"/>
          <w:kern w:val="2"/>
          <w:sz w:val="32"/>
          <w:szCs w:val="32"/>
          <w:highlight w:val="none"/>
          <w:lang w:val="en-US" w:eastAsia="zh-CN" w:bidi="ar-SA"/>
        </w:rPr>
        <w:t>三、联合体协议书（如有）</w:t>
      </w:r>
      <w:bookmarkEnd w:id="166"/>
    </w:p>
    <w:p w14:paraId="050B354D">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_________（所有成员单位名称）自愿组成___________（联合体名称）联合体，共同参加_______________（项目名称）招标项目投标。现就联合体投标事宜订立如下协议。</w:t>
      </w:r>
    </w:p>
    <w:p w14:paraId="2F505AB9">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1.______________（某成员单位名称）为_______________（联合体名称）牵头人。</w:t>
      </w:r>
    </w:p>
    <w:p w14:paraId="7208DB8A">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2555870D">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3.联合体牵头人在本项目中签署的一切文件和处理的一切事宜，联合体各成员均予以承认。联合体各成员将严格按照</w:t>
      </w:r>
      <w:r>
        <w:rPr>
          <w:rFonts w:hint="eastAsia" w:ascii="宋体" w:hAnsi="宋体" w:cs="宋体"/>
          <w:color w:val="auto"/>
          <w:sz w:val="22"/>
          <w:szCs w:val="22"/>
          <w:highlight w:val="none"/>
          <w:lang w:val="en-US" w:eastAsia="zh-CN"/>
        </w:rPr>
        <w:t>磋商</w:t>
      </w:r>
      <w:r>
        <w:rPr>
          <w:rFonts w:hint="eastAsia" w:ascii="宋体" w:hAnsi="宋体" w:cs="宋体"/>
          <w:color w:val="auto"/>
          <w:sz w:val="22"/>
          <w:szCs w:val="22"/>
          <w:highlight w:val="none"/>
        </w:rPr>
        <w:t>文件、</w:t>
      </w:r>
      <w:r>
        <w:rPr>
          <w:rFonts w:hint="eastAsia" w:ascii="宋体" w:hAnsi="宋体" w:cs="宋体"/>
          <w:color w:val="auto"/>
          <w:sz w:val="22"/>
          <w:szCs w:val="22"/>
          <w:highlight w:val="none"/>
          <w:lang w:val="en-US" w:eastAsia="zh-CN"/>
        </w:rPr>
        <w:t>响应</w:t>
      </w:r>
      <w:r>
        <w:rPr>
          <w:rFonts w:hint="eastAsia" w:ascii="宋体" w:hAnsi="宋体" w:cs="宋体"/>
          <w:color w:val="auto"/>
          <w:sz w:val="22"/>
          <w:szCs w:val="22"/>
          <w:highlight w:val="none"/>
        </w:rPr>
        <w:t>文件和合同的要求全面履行义务，并向</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人承担连带责任。</w:t>
      </w:r>
    </w:p>
    <w:p w14:paraId="3BC86288">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4. 联合体各成员单位内部的职责分工如下：</w:t>
      </w:r>
    </w:p>
    <w:p w14:paraId="3C3262D3">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5.本协议书自所有成员单位法定代表人或其委托代理人签字或盖单位章之日起生效，合同履行完毕后自动失效。</w:t>
      </w:r>
    </w:p>
    <w:p w14:paraId="4642F112">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6.本协议书一式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份，联合体成员和</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人各执一份。</w:t>
      </w:r>
    </w:p>
    <w:p w14:paraId="2489700D">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注：本协议书由法定代表人签字的，应附法定代表人身份证明；由委托代理人签字的，应</w:t>
      </w:r>
    </w:p>
    <w:p w14:paraId="3BA36BB4">
      <w:pPr>
        <w:widowControl w:val="0"/>
        <w:spacing w:line="520" w:lineRule="exact"/>
        <w:ind w:firstLine="550" w:firstLineChars="250"/>
        <w:jc w:val="both"/>
        <w:rPr>
          <w:rFonts w:ascii="宋体" w:hAnsi="宋体" w:cs="宋体"/>
          <w:color w:val="auto"/>
          <w:sz w:val="22"/>
          <w:szCs w:val="22"/>
          <w:highlight w:val="none"/>
        </w:rPr>
      </w:pPr>
      <w:r>
        <w:rPr>
          <w:rFonts w:hint="eastAsia" w:ascii="宋体" w:hAnsi="宋体" w:cs="宋体"/>
          <w:color w:val="auto"/>
          <w:sz w:val="22"/>
          <w:szCs w:val="22"/>
          <w:highlight w:val="none"/>
        </w:rPr>
        <w:t>附授权委托书。</w:t>
      </w:r>
    </w:p>
    <w:p w14:paraId="54F9C154">
      <w:pPr>
        <w:widowControl w:val="0"/>
        <w:spacing w:line="520" w:lineRule="exact"/>
        <w:ind w:firstLine="550" w:firstLineChars="250"/>
        <w:jc w:val="center"/>
        <w:rPr>
          <w:rFonts w:ascii="宋体" w:hAnsi="宋体" w:cs="宋体"/>
          <w:color w:val="auto"/>
          <w:sz w:val="22"/>
          <w:szCs w:val="22"/>
          <w:highlight w:val="none"/>
        </w:rPr>
      </w:pPr>
      <w:r>
        <w:rPr>
          <w:rFonts w:hint="eastAsia" w:ascii="宋体" w:hAnsi="宋体" w:cs="宋体"/>
          <w:color w:val="auto"/>
          <w:sz w:val="22"/>
          <w:szCs w:val="22"/>
          <w:highlight w:val="none"/>
        </w:rPr>
        <w:t>联合体牵头人名称：_________________（盖单位章）</w:t>
      </w:r>
    </w:p>
    <w:p w14:paraId="52E497C9">
      <w:pPr>
        <w:widowControl w:val="0"/>
        <w:spacing w:line="520" w:lineRule="exact"/>
        <w:ind w:firstLine="550" w:firstLineChars="250"/>
        <w:jc w:val="center"/>
        <w:rPr>
          <w:rFonts w:ascii="宋体" w:hAnsi="宋体" w:cs="宋体"/>
          <w:color w:val="auto"/>
          <w:sz w:val="22"/>
          <w:szCs w:val="22"/>
          <w:highlight w:val="none"/>
        </w:rPr>
      </w:pPr>
      <w:r>
        <w:rPr>
          <w:rFonts w:hint="eastAsia" w:ascii="宋体" w:hAnsi="宋体" w:cs="宋体"/>
          <w:color w:val="auto"/>
          <w:sz w:val="22"/>
          <w:szCs w:val="22"/>
          <w:highlight w:val="none"/>
        </w:rPr>
        <w:t>法定代表人或其委托代理人：_____________（签字）</w:t>
      </w:r>
    </w:p>
    <w:p w14:paraId="5F2610C2">
      <w:pPr>
        <w:widowControl w:val="0"/>
        <w:spacing w:line="520" w:lineRule="exact"/>
        <w:ind w:firstLine="550" w:firstLineChars="250"/>
        <w:jc w:val="center"/>
        <w:rPr>
          <w:rFonts w:ascii="宋体" w:hAnsi="宋体" w:cs="宋体"/>
          <w:color w:val="auto"/>
          <w:sz w:val="22"/>
          <w:szCs w:val="22"/>
          <w:highlight w:val="none"/>
        </w:rPr>
      </w:pPr>
      <w:r>
        <w:rPr>
          <w:rFonts w:hint="eastAsia" w:ascii="宋体" w:hAnsi="宋体" w:cs="宋体"/>
          <w:color w:val="auto"/>
          <w:sz w:val="22"/>
          <w:szCs w:val="22"/>
          <w:highlight w:val="none"/>
        </w:rPr>
        <w:t>联合体成员名称：___________________（盖单位章）</w:t>
      </w:r>
    </w:p>
    <w:p w14:paraId="3D660AE2">
      <w:pPr>
        <w:widowControl w:val="0"/>
        <w:spacing w:line="520" w:lineRule="exact"/>
        <w:ind w:firstLine="550" w:firstLineChars="250"/>
        <w:jc w:val="center"/>
        <w:rPr>
          <w:rFonts w:ascii="宋体" w:hAnsi="宋体" w:cs="宋体"/>
          <w:color w:val="auto"/>
          <w:sz w:val="22"/>
          <w:szCs w:val="22"/>
          <w:highlight w:val="none"/>
        </w:rPr>
      </w:pPr>
      <w:r>
        <w:rPr>
          <w:rFonts w:hint="eastAsia" w:ascii="宋体" w:hAnsi="宋体" w:cs="宋体"/>
          <w:color w:val="auto"/>
          <w:sz w:val="22"/>
          <w:szCs w:val="22"/>
          <w:highlight w:val="none"/>
        </w:rPr>
        <w:t>法定代表人或其委托代理人：_____________（签字）</w:t>
      </w:r>
    </w:p>
    <w:p w14:paraId="05640EF5">
      <w:pPr>
        <w:widowControl w:val="0"/>
        <w:spacing w:line="520" w:lineRule="exact"/>
        <w:ind w:firstLine="550" w:firstLineChars="250"/>
        <w:jc w:val="center"/>
        <w:rPr>
          <w:rFonts w:ascii="宋体" w:hAnsi="宋体" w:cs="宋体"/>
          <w:color w:val="auto"/>
          <w:sz w:val="22"/>
          <w:szCs w:val="22"/>
          <w:highlight w:val="none"/>
        </w:rPr>
      </w:pPr>
      <w:r>
        <w:rPr>
          <w:rFonts w:hint="eastAsia" w:ascii="宋体" w:hAnsi="宋体" w:cs="宋体"/>
          <w:color w:val="auto"/>
          <w:sz w:val="22"/>
          <w:szCs w:val="22"/>
          <w:highlight w:val="none"/>
        </w:rPr>
        <w:t>联合体成员名称：___________________（盖单位章）</w:t>
      </w:r>
    </w:p>
    <w:p w14:paraId="4954B591">
      <w:pPr>
        <w:widowControl w:val="0"/>
        <w:spacing w:line="520" w:lineRule="exact"/>
        <w:ind w:firstLine="550" w:firstLineChars="250"/>
        <w:jc w:val="center"/>
        <w:rPr>
          <w:rFonts w:ascii="宋体" w:hAnsi="宋体" w:cs="宋体"/>
          <w:color w:val="auto"/>
          <w:sz w:val="22"/>
          <w:szCs w:val="22"/>
          <w:highlight w:val="none"/>
        </w:rPr>
      </w:pPr>
      <w:r>
        <w:rPr>
          <w:rFonts w:hint="eastAsia" w:ascii="宋体" w:hAnsi="宋体" w:cs="宋体"/>
          <w:color w:val="auto"/>
          <w:sz w:val="22"/>
          <w:szCs w:val="22"/>
          <w:highlight w:val="none"/>
        </w:rPr>
        <w:t>法定代表人或其委托代理人：_____________（签字）</w:t>
      </w:r>
    </w:p>
    <w:p w14:paraId="4A263335">
      <w:pPr>
        <w:widowControl w:val="0"/>
        <w:spacing w:line="520" w:lineRule="exact"/>
        <w:ind w:firstLine="550" w:firstLineChars="250"/>
        <w:jc w:val="right"/>
        <w:rPr>
          <w:rFonts w:ascii="宋体" w:hAnsi="宋体" w:cs="宋体"/>
          <w:color w:val="auto"/>
          <w:sz w:val="22"/>
          <w:szCs w:val="22"/>
          <w:highlight w:val="none"/>
        </w:rPr>
      </w:pPr>
      <w:r>
        <w:rPr>
          <w:rFonts w:hint="eastAsia" w:ascii="宋体" w:hAnsi="宋体" w:cs="宋体"/>
          <w:color w:val="auto"/>
          <w:sz w:val="22"/>
          <w:szCs w:val="22"/>
          <w:highlight w:val="none"/>
        </w:rPr>
        <w:t>……</w:t>
      </w:r>
    </w:p>
    <w:p w14:paraId="22670A01">
      <w:pPr>
        <w:widowControl w:val="0"/>
        <w:spacing w:line="500" w:lineRule="exact"/>
        <w:ind w:firstLine="550" w:firstLineChars="250"/>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25C8CDE7">
      <w:pPr>
        <w:rPr>
          <w:rFonts w:hint="eastAsia" w:ascii="宋体" w:hAnsi="宋体" w:eastAsia="宋体" w:cs="Times New Roman"/>
          <w:b/>
          <w:bCs w:val="0"/>
          <w:color w:val="auto"/>
          <w:kern w:val="2"/>
          <w:sz w:val="32"/>
          <w:szCs w:val="32"/>
          <w:highlight w:val="none"/>
          <w:lang w:val="en-US" w:eastAsia="zh-CN" w:bidi="ar-SA"/>
        </w:rPr>
      </w:pPr>
    </w:p>
    <w:p w14:paraId="49F4B925">
      <w:pPr>
        <w:rPr>
          <w:rFonts w:hint="eastAsia" w:ascii="宋体" w:hAnsi="宋体" w:eastAsia="宋体" w:cs="Times New Roman"/>
          <w:b/>
          <w:bCs w:val="0"/>
          <w:color w:val="auto"/>
          <w:kern w:val="2"/>
          <w:sz w:val="32"/>
          <w:szCs w:val="32"/>
          <w:highlight w:val="none"/>
          <w:lang w:val="en-US" w:eastAsia="zh-CN" w:bidi="ar-SA"/>
        </w:rPr>
      </w:pPr>
      <w:r>
        <w:rPr>
          <w:rFonts w:hint="eastAsia" w:ascii="宋体" w:hAnsi="宋体" w:eastAsia="宋体" w:cs="Times New Roman"/>
          <w:b/>
          <w:bCs w:val="0"/>
          <w:color w:val="auto"/>
          <w:kern w:val="2"/>
          <w:sz w:val="32"/>
          <w:szCs w:val="32"/>
          <w:highlight w:val="none"/>
          <w:lang w:val="en-US" w:eastAsia="zh-CN" w:bidi="ar-SA"/>
        </w:rPr>
        <w:br w:type="page"/>
      </w:r>
    </w:p>
    <w:p w14:paraId="4E4E6AE4">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73" w:name="_Toc27317"/>
      <w:r>
        <w:rPr>
          <w:rFonts w:hint="eastAsia" w:ascii="宋体" w:hAnsi="宋体" w:cs="Times New Roman"/>
          <w:b/>
          <w:bCs w:val="0"/>
          <w:color w:val="auto"/>
          <w:kern w:val="2"/>
          <w:sz w:val="32"/>
          <w:szCs w:val="32"/>
          <w:highlight w:val="none"/>
          <w:lang w:val="en-US" w:eastAsia="zh-CN" w:bidi="ar-SA"/>
        </w:rPr>
        <w:t>四</w:t>
      </w:r>
      <w:r>
        <w:rPr>
          <w:rFonts w:hint="eastAsia" w:ascii="宋体" w:hAnsi="宋体" w:eastAsia="宋体" w:cs="Times New Roman"/>
          <w:b/>
          <w:bCs w:val="0"/>
          <w:color w:val="auto"/>
          <w:kern w:val="2"/>
          <w:sz w:val="32"/>
          <w:szCs w:val="32"/>
          <w:highlight w:val="none"/>
          <w:lang w:val="en-US" w:eastAsia="zh-CN" w:bidi="ar-SA"/>
        </w:rPr>
        <w:t>、磋商响应保证金</w:t>
      </w:r>
      <w:bookmarkEnd w:id="173"/>
    </w:p>
    <w:p w14:paraId="02F9792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0DB715CB">
      <w:pPr>
        <w:spacing w:line="276" w:lineRule="auto"/>
        <w:ind w:firstLine="420" w:firstLineChars="200"/>
        <w:rPr>
          <w:rFonts w:ascii="宋体" w:hAnsi="宋体" w:cs="MingLiU"/>
          <w:color w:val="auto"/>
          <w:kern w:val="0"/>
          <w:szCs w:val="21"/>
          <w:highlight w:val="none"/>
        </w:rPr>
      </w:pPr>
    </w:p>
    <w:p w14:paraId="6E72A7A0">
      <w:pPr>
        <w:spacing w:line="360" w:lineRule="auto"/>
        <w:rPr>
          <w:color w:val="auto"/>
          <w:highlight w:val="none"/>
        </w:rPr>
      </w:pPr>
    </w:p>
    <w:p w14:paraId="6734CF3F">
      <w:pPr>
        <w:pStyle w:val="5"/>
        <w:jc w:val="center"/>
        <w:outlineLvl w:val="2"/>
        <w:rPr>
          <w:rFonts w:ascii="宋体" w:hAnsi="宋体" w:eastAsia="宋体"/>
          <w:color w:val="auto"/>
          <w:highlight w:val="none"/>
        </w:rPr>
      </w:pPr>
      <w:r>
        <w:rPr>
          <w:color w:val="auto"/>
          <w:highlight w:val="none"/>
        </w:rPr>
        <w:br w:type="page"/>
      </w:r>
      <w:bookmarkStart w:id="174" w:name="_Toc18166"/>
      <w:r>
        <w:rPr>
          <w:rFonts w:hint="eastAsia" w:ascii="宋体" w:hAnsi="宋体" w:cs="Times New Roman"/>
          <w:b/>
          <w:bCs w:val="0"/>
          <w:color w:val="auto"/>
          <w:kern w:val="2"/>
          <w:sz w:val="32"/>
          <w:szCs w:val="32"/>
          <w:highlight w:val="none"/>
          <w:lang w:val="en-US" w:eastAsia="zh-CN" w:bidi="ar-SA"/>
        </w:rPr>
        <w:t>五</w:t>
      </w:r>
      <w:r>
        <w:rPr>
          <w:rFonts w:hint="eastAsia" w:ascii="宋体" w:hAnsi="宋体" w:eastAsia="宋体" w:cs="Times New Roman"/>
          <w:b/>
          <w:bCs w:val="0"/>
          <w:color w:val="auto"/>
          <w:kern w:val="2"/>
          <w:sz w:val="32"/>
          <w:szCs w:val="32"/>
          <w:highlight w:val="none"/>
          <w:lang w:val="en-US" w:eastAsia="zh-CN" w:bidi="ar-SA"/>
        </w:rPr>
        <w:t>、</w:t>
      </w:r>
      <w:r>
        <w:rPr>
          <w:rFonts w:hint="eastAsia" w:ascii="宋体" w:hAnsi="宋体" w:cs="Times New Roman"/>
          <w:b/>
          <w:bCs w:val="0"/>
          <w:color w:val="auto"/>
          <w:kern w:val="2"/>
          <w:sz w:val="32"/>
          <w:szCs w:val="32"/>
          <w:highlight w:val="none"/>
          <w:lang w:val="en-US" w:eastAsia="zh-CN" w:bidi="ar-SA"/>
        </w:rPr>
        <w:t>磋商报价</w:t>
      </w:r>
      <w:bookmarkEnd w:id="174"/>
    </w:p>
    <w:p w14:paraId="5EBE646F">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一</w:t>
      </w:r>
      <w:r>
        <w:rPr>
          <w:rFonts w:hint="eastAsia" w:ascii="宋体" w:hAnsi="宋体" w:eastAsia="宋体" w:cs="Times New Roman"/>
          <w:b/>
          <w:bCs/>
          <w:color w:val="auto"/>
          <w:sz w:val="28"/>
          <w:szCs w:val="28"/>
          <w:highlight w:val="none"/>
          <w:lang w:eastAsia="zh-CN"/>
        </w:rPr>
        <w:t>）</w:t>
      </w:r>
      <w:r>
        <w:rPr>
          <w:rFonts w:hint="eastAsia" w:hAnsi="宋体" w:cs="Times New Roman"/>
          <w:b/>
          <w:bCs/>
          <w:color w:val="auto"/>
          <w:sz w:val="28"/>
          <w:szCs w:val="28"/>
          <w:highlight w:val="none"/>
          <w:lang w:val="en-US" w:eastAsia="zh-CN"/>
        </w:rPr>
        <w:t>首次</w:t>
      </w:r>
      <w:r>
        <w:rPr>
          <w:rFonts w:ascii="宋体" w:hAnsi="宋体" w:eastAsia="宋体" w:cs="Times New Roman"/>
          <w:b/>
          <w:bCs/>
          <w:color w:val="auto"/>
          <w:sz w:val="28"/>
          <w:szCs w:val="28"/>
          <w:highlight w:val="none"/>
        </w:rPr>
        <w:t>报价一览表</w:t>
      </w:r>
    </w:p>
    <w:tbl>
      <w:tblPr>
        <w:tblStyle w:val="50"/>
        <w:tblpPr w:leftFromText="180" w:rightFromText="180" w:vertAnchor="text" w:horzAnchor="page" w:tblpX="1718" w:tblpY="271"/>
        <w:tblOverlap w:val="never"/>
        <w:tblW w:w="0" w:type="auto"/>
        <w:tblInd w:w="0" w:type="dxa"/>
        <w:tblLayout w:type="fixed"/>
        <w:tblCellMar>
          <w:top w:w="0" w:type="dxa"/>
          <w:left w:w="0" w:type="dxa"/>
          <w:bottom w:w="0" w:type="dxa"/>
          <w:right w:w="0" w:type="dxa"/>
        </w:tblCellMar>
      </w:tblPr>
      <w:tblGrid>
        <w:gridCol w:w="722"/>
        <w:gridCol w:w="2307"/>
        <w:gridCol w:w="2386"/>
        <w:gridCol w:w="1444"/>
        <w:gridCol w:w="1531"/>
      </w:tblGrid>
      <w:tr w14:paraId="623FB8AA">
        <w:tblPrEx>
          <w:tblCellMar>
            <w:top w:w="0" w:type="dxa"/>
            <w:left w:w="0" w:type="dxa"/>
            <w:bottom w:w="0" w:type="dxa"/>
            <w:right w:w="0" w:type="dxa"/>
          </w:tblCellMar>
        </w:tblPrEx>
        <w:trPr>
          <w:trHeight w:val="701" w:hRule="exact"/>
        </w:trPr>
        <w:tc>
          <w:tcPr>
            <w:tcW w:w="722" w:type="dxa"/>
            <w:tcBorders>
              <w:top w:val="single" w:color="000000" w:sz="6" w:space="0"/>
              <w:left w:val="single" w:color="000000" w:sz="6" w:space="0"/>
              <w:bottom w:val="single" w:color="000000" w:sz="2" w:space="0"/>
              <w:right w:val="single" w:color="000000" w:sz="2" w:space="0"/>
            </w:tcBorders>
            <w:noWrap w:val="0"/>
            <w:vAlign w:val="center"/>
          </w:tcPr>
          <w:p w14:paraId="545AD583">
            <w:pPr>
              <w:pStyle w:val="186"/>
              <w:keepNext w:val="0"/>
              <w:keepLines w:val="0"/>
              <w:pageBreakBefore w:val="0"/>
              <w:kinsoku/>
              <w:wordWrap/>
              <w:overflowPunct/>
              <w:topLinePunct w:val="0"/>
              <w:autoSpaceDE/>
              <w:autoSpaceDN/>
              <w:bidi w:val="0"/>
              <w:adjustRightInd/>
              <w:snapToGrid/>
              <w:spacing w:line="240" w:lineRule="auto"/>
              <w:ind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tcBorders>
              <w:top w:val="single" w:color="000000" w:sz="6" w:space="0"/>
              <w:left w:val="single" w:color="000000" w:sz="2" w:space="0"/>
              <w:bottom w:val="single" w:color="000000" w:sz="2" w:space="0"/>
              <w:right w:val="single" w:color="000000" w:sz="2" w:space="0"/>
            </w:tcBorders>
            <w:noWrap w:val="0"/>
            <w:vAlign w:val="center"/>
          </w:tcPr>
          <w:p w14:paraId="2DFB50A6">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386" w:type="dxa"/>
            <w:tcBorders>
              <w:top w:val="single" w:color="000000" w:sz="6" w:space="0"/>
              <w:left w:val="single" w:color="000000" w:sz="2" w:space="0"/>
              <w:bottom w:val="single" w:color="000000" w:sz="2" w:space="0"/>
              <w:right w:val="single" w:color="000000" w:sz="2" w:space="0"/>
            </w:tcBorders>
            <w:noWrap w:val="0"/>
            <w:vAlign w:val="center"/>
          </w:tcPr>
          <w:p w14:paraId="2FDA0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44" w:type="dxa"/>
            <w:tcBorders>
              <w:top w:val="single" w:color="000000" w:sz="6" w:space="0"/>
              <w:left w:val="single" w:color="000000" w:sz="2" w:space="0"/>
              <w:bottom w:val="single" w:color="000000" w:sz="2" w:space="0"/>
              <w:right w:val="single" w:color="000000" w:sz="2" w:space="0"/>
            </w:tcBorders>
            <w:noWrap w:val="0"/>
            <w:vAlign w:val="center"/>
          </w:tcPr>
          <w:p w14:paraId="5DADA8BE">
            <w:pPr>
              <w:pStyle w:val="18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1531" w:type="dxa"/>
            <w:tcBorders>
              <w:top w:val="single" w:color="000000" w:sz="6" w:space="0"/>
              <w:left w:val="single" w:color="000000" w:sz="2" w:space="0"/>
              <w:bottom w:val="single" w:color="000000" w:sz="2" w:space="0"/>
              <w:right w:val="single" w:color="000000" w:sz="6" w:space="0"/>
            </w:tcBorders>
            <w:noWrap w:val="0"/>
            <w:vAlign w:val="center"/>
          </w:tcPr>
          <w:p w14:paraId="3E65AB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EFF627">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444E9577">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972570">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3643DA0">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54347166">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7EF23386">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0537B73C">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w:t>
            </w:r>
          </w:p>
          <w:p w14:paraId="01C8032C">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折扣率</w:t>
            </w:r>
            <w:r>
              <w:rPr>
                <w:rFonts w:hint="eastAsia" w:ascii="宋体" w:hAnsi="宋体" w:cs="宋体"/>
                <w:color w:val="auto"/>
                <w:sz w:val="21"/>
                <w:szCs w:val="21"/>
                <w:highlight w:val="none"/>
                <w:lang w:eastAsia="zh-CN"/>
              </w:rPr>
              <w:t>）</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3647339D">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15048EE5">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5E2AAEB0">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342631A4">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0539FE8C">
            <w:pPr>
              <w:pStyle w:val="20"/>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627C157A">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28C89072">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5FB42B">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服务</w:t>
            </w:r>
            <w:r>
              <w:rPr>
                <w:rFonts w:hint="eastAsia" w:ascii="宋体" w:hAnsi="宋体" w:cs="宋体"/>
                <w:color w:val="auto"/>
                <w:sz w:val="21"/>
                <w:szCs w:val="21"/>
                <w:highlight w:val="none"/>
                <w:lang w:val="en-US" w:eastAsia="zh-CN"/>
              </w:rPr>
              <w:t>标准</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18AB5195">
            <w:pPr>
              <w:pStyle w:val="20"/>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5FD9DF05">
        <w:tblPrEx>
          <w:tblCellMar>
            <w:top w:w="0" w:type="dxa"/>
            <w:left w:w="0" w:type="dxa"/>
            <w:bottom w:w="0" w:type="dxa"/>
            <w:right w:w="0" w:type="dxa"/>
          </w:tblCellMar>
        </w:tblPrEx>
        <w:trPr>
          <w:trHeight w:val="752"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6BAD471D">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72C8A942">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0EFB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94E0E3">
        <w:tblPrEx>
          <w:tblCellMar>
            <w:top w:w="0" w:type="dxa"/>
            <w:left w:w="0" w:type="dxa"/>
            <w:bottom w:w="0" w:type="dxa"/>
            <w:right w:w="0" w:type="dxa"/>
          </w:tblCellMar>
        </w:tblPrEx>
        <w:trPr>
          <w:trHeight w:val="541" w:hRule="exact"/>
        </w:trPr>
        <w:tc>
          <w:tcPr>
            <w:tcW w:w="722" w:type="dxa"/>
            <w:tcBorders>
              <w:top w:val="single" w:color="000000" w:sz="2" w:space="0"/>
              <w:left w:val="single" w:color="000000" w:sz="6" w:space="0"/>
              <w:bottom w:val="single" w:color="000000" w:sz="6" w:space="0"/>
              <w:right w:val="single" w:color="000000" w:sz="2" w:space="0"/>
            </w:tcBorders>
            <w:noWrap w:val="0"/>
            <w:vAlign w:val="center"/>
          </w:tcPr>
          <w:p w14:paraId="0FF23E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07" w:type="dxa"/>
            <w:tcBorders>
              <w:top w:val="single" w:color="000000" w:sz="2" w:space="0"/>
              <w:left w:val="single" w:color="000000" w:sz="2" w:space="0"/>
              <w:bottom w:val="single" w:color="000000" w:sz="6" w:space="0"/>
              <w:right w:val="single" w:color="000000" w:sz="2" w:space="0"/>
            </w:tcBorders>
            <w:noWrap w:val="0"/>
            <w:vAlign w:val="center"/>
          </w:tcPr>
          <w:p w14:paraId="44125F89">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361" w:type="dxa"/>
            <w:gridSpan w:val="3"/>
            <w:tcBorders>
              <w:top w:val="single" w:color="000000" w:sz="2" w:space="0"/>
              <w:left w:val="single" w:color="000000" w:sz="2" w:space="0"/>
              <w:bottom w:val="single" w:color="000000" w:sz="6" w:space="0"/>
              <w:right w:val="single" w:color="000000" w:sz="6" w:space="0"/>
            </w:tcBorders>
            <w:noWrap w:val="0"/>
            <w:vAlign w:val="center"/>
          </w:tcPr>
          <w:p w14:paraId="061F37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49A2AF95">
      <w:pPr>
        <w:keepNext w:val="0"/>
        <w:keepLines w:val="0"/>
        <w:pageBreakBefore w:val="0"/>
        <w:kinsoku/>
        <w:wordWrap/>
        <w:overflowPunct/>
        <w:topLinePunct w:val="0"/>
        <w:autoSpaceDE/>
        <w:autoSpaceDN/>
        <w:bidi w:val="0"/>
        <w:adjustRightInd/>
        <w:snapToGrid/>
        <w:spacing w:before="5" w:line="240" w:lineRule="auto"/>
        <w:textAlignment w:val="auto"/>
        <w:rPr>
          <w:rFonts w:ascii="宋体" w:hAnsi="宋体" w:cs="Arial Unicode MS"/>
          <w:color w:val="auto"/>
          <w:sz w:val="24"/>
          <w:szCs w:val="24"/>
          <w:highlight w:val="none"/>
        </w:rPr>
      </w:pPr>
    </w:p>
    <w:p w14:paraId="583418B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Arial Unicode MS"/>
          <w:color w:val="auto"/>
          <w:sz w:val="24"/>
          <w:szCs w:val="24"/>
          <w:highlight w:val="none"/>
        </w:rPr>
      </w:pPr>
    </w:p>
    <w:p w14:paraId="4E4F60B7">
      <w:pPr>
        <w:keepNext w:val="0"/>
        <w:keepLines w:val="0"/>
        <w:pageBreakBefore w:val="0"/>
        <w:kinsoku/>
        <w:wordWrap/>
        <w:overflowPunct/>
        <w:topLinePunct w:val="0"/>
        <w:autoSpaceDE/>
        <w:autoSpaceDN/>
        <w:bidi w:val="0"/>
        <w:adjustRightInd/>
        <w:snapToGrid/>
        <w:spacing w:line="240" w:lineRule="auto"/>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43D3DB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539D6E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009381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2B49B7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ECC7B1">
      <w:pPr>
        <w:pStyle w:val="20"/>
        <w:spacing w:line="390" w:lineRule="exact"/>
        <w:rPr>
          <w:rFonts w:ascii="宋体" w:hAnsi="宋体" w:eastAsia="宋体"/>
          <w:color w:val="auto"/>
          <w:sz w:val="24"/>
          <w:szCs w:val="24"/>
          <w:highlight w:val="none"/>
        </w:rPr>
      </w:pPr>
    </w:p>
    <w:p w14:paraId="216C61F8">
      <w:pPr>
        <w:spacing w:line="390" w:lineRule="exact"/>
        <w:rPr>
          <w:rFonts w:ascii="宋体" w:hAnsi="宋体"/>
          <w:color w:val="auto"/>
          <w:sz w:val="24"/>
          <w:szCs w:val="24"/>
          <w:highlight w:val="none"/>
        </w:rPr>
      </w:pPr>
    </w:p>
    <w:p w14:paraId="4AD710F7">
      <w:pPr>
        <w:pStyle w:val="20"/>
        <w:tabs>
          <w:tab w:val="left" w:pos="0"/>
        </w:tabs>
        <w:spacing w:line="390" w:lineRule="exact"/>
        <w:ind w:left="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注：1</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zh-CN"/>
        </w:rPr>
        <w:t>投标报价不应高于</w:t>
      </w:r>
      <w:r>
        <w:rPr>
          <w:rFonts w:hint="eastAsia" w:ascii="宋体" w:eastAsia="宋体"/>
          <w:color w:val="auto"/>
          <w:sz w:val="21"/>
          <w:szCs w:val="21"/>
          <w:highlight w:val="none"/>
          <w:lang w:val="en-US" w:eastAsia="zh-CN"/>
        </w:rPr>
        <w:t>预算</w:t>
      </w:r>
      <w:r>
        <w:rPr>
          <w:rFonts w:hint="eastAsia" w:ascii="宋体" w:hAnsi="宋体" w:eastAsia="宋体"/>
          <w:color w:val="auto"/>
          <w:sz w:val="21"/>
          <w:szCs w:val="21"/>
          <w:highlight w:val="none"/>
          <w:lang w:val="zh-CN"/>
        </w:rPr>
        <w:t>价</w:t>
      </w:r>
      <w:r>
        <w:rPr>
          <w:rFonts w:hint="eastAsia" w:ascii="宋体" w:eastAsia="宋体"/>
          <w:color w:val="auto"/>
          <w:sz w:val="21"/>
          <w:szCs w:val="21"/>
          <w:highlight w:val="none"/>
          <w:lang w:val="en-US" w:eastAsia="zh-CN"/>
        </w:rPr>
        <w:t>折扣系数：1</w:t>
      </w:r>
      <w:r>
        <w:rPr>
          <w:rFonts w:hint="eastAsia" w:ascii="宋体" w:hAnsi="宋体" w:eastAsia="宋体"/>
          <w:color w:val="auto"/>
          <w:sz w:val="21"/>
          <w:szCs w:val="21"/>
          <w:highlight w:val="none"/>
          <w:lang w:val="zh-CN"/>
        </w:rPr>
        <w:t>，否则将导致否决投标；</w:t>
      </w:r>
    </w:p>
    <w:p w14:paraId="23D10A8D">
      <w:pPr>
        <w:pStyle w:val="20"/>
        <w:spacing w:line="390" w:lineRule="exact"/>
        <w:ind w:left="0" w:firstLine="438" w:firstLineChars="200"/>
        <w:rPr>
          <w:color w:val="auto"/>
          <w:sz w:val="24"/>
          <w:szCs w:val="24"/>
          <w:highlight w:val="none"/>
        </w:rPr>
      </w:pPr>
      <w:r>
        <w:rPr>
          <w:rFonts w:hint="eastAsia" w:ascii="宋体" w:hAnsi="宋体" w:eastAsia="宋体"/>
          <w:color w:val="auto"/>
          <w:sz w:val="21"/>
          <w:szCs w:val="21"/>
          <w:highlight w:val="none"/>
        </w:rPr>
        <w:t>2.投标总报价为招标范围所列全部项目的报价总和，并应与分项报价明细表中总价保持一致。</w:t>
      </w:r>
    </w:p>
    <w:p w14:paraId="445AB2A8">
      <w:pPr>
        <w:pStyle w:val="27"/>
        <w:ind w:firstLine="438" w:firstLineChars="200"/>
        <w:rPr>
          <w:rFonts w:hint="eastAsia" w:ascii="宋体" w:hAnsi="宋体" w:eastAsia="宋体" w:cs="Times New Roman"/>
          <w:b/>
          <w:bCs/>
          <w:color w:val="auto"/>
          <w:spacing w:val="4"/>
          <w:kern w:val="2"/>
          <w:sz w:val="21"/>
          <w:szCs w:val="21"/>
          <w:highlight w:val="none"/>
          <w:lang w:val="en-US" w:eastAsia="zh-CN" w:bidi="ar-SA"/>
        </w:rPr>
        <w:sectPr>
          <w:footerReference r:id="rId20" w:type="default"/>
          <w:footerReference r:id="rId21" w:type="even"/>
          <w:pgSz w:w="11910" w:h="16840"/>
          <w:pgMar w:top="1300" w:right="1640" w:bottom="1100" w:left="1640" w:header="1092" w:footer="905" w:gutter="0"/>
          <w:pgNumType w:fmt="decimal"/>
          <w:cols w:space="720" w:num="1"/>
        </w:sectPr>
      </w:pPr>
      <w:r>
        <w:rPr>
          <w:rFonts w:hint="eastAsia" w:hAnsi="宋体" w:cs="Times New Roman"/>
          <w:b/>
          <w:bCs/>
          <w:color w:val="auto"/>
          <w:spacing w:val="4"/>
          <w:kern w:val="2"/>
          <w:sz w:val="21"/>
          <w:szCs w:val="21"/>
          <w:highlight w:val="none"/>
          <w:lang w:val="en-US" w:eastAsia="zh-CN" w:bidi="ar-SA"/>
        </w:rPr>
        <w:t>3.</w:t>
      </w:r>
      <w:r>
        <w:rPr>
          <w:rFonts w:hint="eastAsia" w:ascii="宋体" w:hAnsi="宋体" w:eastAsia="宋体" w:cs="Times New Roman"/>
          <w:b/>
          <w:bCs/>
          <w:color w:val="auto"/>
          <w:spacing w:val="4"/>
          <w:kern w:val="2"/>
          <w:sz w:val="21"/>
          <w:szCs w:val="21"/>
          <w:highlight w:val="none"/>
          <w:lang w:val="en-US" w:eastAsia="zh-CN" w:bidi="ar-SA"/>
        </w:rPr>
        <w:t>本项目的二次磋商报价按照电子标系统提示进行填报。</w:t>
      </w:r>
    </w:p>
    <w:p w14:paraId="49B5D171">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32"/>
          <w:szCs w:val="32"/>
          <w:highlight w:val="none"/>
          <w:lang w:eastAsia="zh-CN"/>
        </w:rPr>
      </w:pPr>
      <w:r>
        <w:rPr>
          <w:rFonts w:hint="eastAsia" w:ascii="宋体" w:hAnsi="宋体" w:eastAsia="宋体" w:cs="Times New Roman"/>
          <w:b/>
          <w:bCs/>
          <w:color w:val="auto"/>
          <w:sz w:val="32"/>
          <w:szCs w:val="32"/>
          <w:highlight w:val="none"/>
          <w:lang w:eastAsia="zh-CN"/>
        </w:rPr>
        <w:t>（</w:t>
      </w:r>
      <w:r>
        <w:rPr>
          <w:rFonts w:hint="eastAsia" w:ascii="宋体" w:hAnsi="宋体" w:eastAsia="宋体" w:cs="Times New Roman"/>
          <w:b/>
          <w:bCs/>
          <w:color w:val="auto"/>
          <w:sz w:val="32"/>
          <w:szCs w:val="32"/>
          <w:highlight w:val="none"/>
          <w:lang w:val="en-US" w:eastAsia="zh-CN"/>
        </w:rPr>
        <w:t>二</w:t>
      </w:r>
      <w:r>
        <w:rPr>
          <w:rFonts w:hint="eastAsia" w:ascii="宋体" w:hAnsi="宋体" w:eastAsia="宋体" w:cs="Times New Roman"/>
          <w:b/>
          <w:bCs/>
          <w:color w:val="auto"/>
          <w:sz w:val="32"/>
          <w:szCs w:val="32"/>
          <w:highlight w:val="none"/>
          <w:lang w:eastAsia="zh-CN"/>
        </w:rPr>
        <w:t>）分项价格表</w:t>
      </w:r>
    </w:p>
    <w:p w14:paraId="40D1A697">
      <w:pPr>
        <w:tabs>
          <w:tab w:val="left" w:pos="7246"/>
        </w:tabs>
        <w:spacing w:before="18"/>
        <w:ind w:firstLine="281" w:firstLineChars="100"/>
        <w:jc w:val="center"/>
        <w:rPr>
          <w:rFonts w:hint="eastAsia" w:ascii="宋体" w:hAnsi="宋体" w:cs="宋体"/>
          <w:b/>
          <w:color w:val="auto"/>
          <w:position w:val="-2"/>
          <w:sz w:val="28"/>
          <w:szCs w:val="28"/>
          <w:highlight w:val="none"/>
        </w:rPr>
      </w:pPr>
    </w:p>
    <w:p w14:paraId="36BF37EA">
      <w:pPr>
        <w:tabs>
          <w:tab w:val="left" w:pos="7246"/>
        </w:tabs>
        <w:spacing w:before="18"/>
        <w:ind w:firstLine="281" w:firstLineChars="100"/>
        <w:jc w:val="center"/>
        <w:rPr>
          <w:rFonts w:hint="eastAsia"/>
          <w:color w:val="auto"/>
          <w:highlight w:val="none"/>
        </w:rPr>
      </w:pPr>
      <w:r>
        <w:rPr>
          <w:rFonts w:hint="eastAsia" w:ascii="宋体" w:hAnsi="宋体" w:cs="宋体"/>
          <w:b/>
          <w:color w:val="auto"/>
          <w:position w:val="-2"/>
          <w:sz w:val="28"/>
          <w:szCs w:val="28"/>
          <w:highlight w:val="none"/>
          <w:lang w:val="en-US" w:eastAsia="zh-CN"/>
        </w:rPr>
        <w:t>勘察</w:t>
      </w:r>
      <w:r>
        <w:rPr>
          <w:rFonts w:hint="eastAsia" w:ascii="宋体" w:hAnsi="宋体" w:cs="宋体"/>
          <w:b/>
          <w:color w:val="auto"/>
          <w:position w:val="-2"/>
          <w:sz w:val="28"/>
          <w:szCs w:val="28"/>
          <w:highlight w:val="none"/>
        </w:rPr>
        <w:t>费用清单</w:t>
      </w:r>
    </w:p>
    <w:p w14:paraId="214B7A61">
      <w:pPr>
        <w:tabs>
          <w:tab w:val="left" w:pos="7246"/>
        </w:tabs>
        <w:spacing w:before="18"/>
        <w:ind w:firstLine="240" w:firstLineChars="100"/>
        <w:jc w:val="left"/>
        <w:rPr>
          <w:rFonts w:ascii="宋体" w:hAnsi="宋体" w:cs="宋体"/>
          <w:b/>
          <w:color w:val="auto"/>
          <w:position w:val="-2"/>
          <w:sz w:val="24"/>
          <w:szCs w:val="24"/>
          <w:highlight w:val="none"/>
        </w:rPr>
      </w:pPr>
      <w:r>
        <w:rPr>
          <w:rFonts w:ascii="宋体" w:hAnsi="宋体"/>
          <w:color w:val="auto"/>
          <w:sz w:val="24"/>
          <w:szCs w:val="24"/>
          <w:highlight w:val="none"/>
        </w:rPr>
        <w:t>项目名称</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r>
        <w:rPr>
          <w:rFonts w:ascii="宋体" w:hAnsi="宋体"/>
          <w:color w:val="auto"/>
          <w:sz w:val="24"/>
          <w:szCs w:val="24"/>
          <w:highlight w:val="none"/>
        </w:rPr>
        <w:t>项目编号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金额单位</w:t>
      </w:r>
      <w:r>
        <w:rPr>
          <w:rFonts w:hint="eastAsia" w:ascii="宋体" w:hAnsi="宋体"/>
          <w:color w:val="auto"/>
          <w:sz w:val="24"/>
          <w:szCs w:val="24"/>
          <w:highlight w:val="none"/>
          <w:lang w:eastAsia="zh-CN"/>
        </w:rPr>
        <w:t>：</w:t>
      </w:r>
      <w:r>
        <w:rPr>
          <w:rFonts w:hint="eastAsia" w:ascii="宋体" w:hAnsi="宋体" w:cs="宋体"/>
          <w:color w:val="auto"/>
          <w:sz w:val="22"/>
          <w:szCs w:val="22"/>
          <w:highlight w:val="none"/>
        </w:rPr>
        <w:t>%</w:t>
      </w:r>
    </w:p>
    <w:tbl>
      <w:tblPr>
        <w:tblStyle w:val="50"/>
        <w:tblW w:w="8897" w:type="dxa"/>
        <w:jc w:val="center"/>
        <w:tblLayout w:type="fixed"/>
        <w:tblCellMar>
          <w:top w:w="0" w:type="dxa"/>
          <w:left w:w="0" w:type="dxa"/>
          <w:bottom w:w="0" w:type="dxa"/>
          <w:right w:w="0" w:type="dxa"/>
        </w:tblCellMar>
      </w:tblPr>
      <w:tblGrid>
        <w:gridCol w:w="908"/>
        <w:gridCol w:w="2638"/>
        <w:gridCol w:w="2141"/>
        <w:gridCol w:w="1875"/>
        <w:gridCol w:w="1335"/>
      </w:tblGrid>
      <w:tr w14:paraId="67EB1480">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0666171C">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70108139">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勘察</w:t>
            </w:r>
            <w:r>
              <w:rPr>
                <w:rFonts w:hint="eastAsia" w:ascii="宋体" w:hAnsi="宋体" w:cs="宋体"/>
                <w:color w:val="auto"/>
                <w:sz w:val="24"/>
                <w:szCs w:val="24"/>
                <w:highlight w:val="none"/>
              </w:rPr>
              <w:t>费用分项名称</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50B3A715">
            <w:pPr>
              <w:jc w:val="center"/>
              <w:rPr>
                <w:rFonts w:ascii="宋体" w:hAnsi="宋体" w:cs="宋体"/>
                <w:color w:val="auto"/>
                <w:sz w:val="24"/>
                <w:szCs w:val="24"/>
                <w:highlight w:val="none"/>
              </w:rPr>
            </w:pPr>
            <w:r>
              <w:rPr>
                <w:rFonts w:hint="eastAsia" w:ascii="宋体" w:hAnsi="宋体" w:cs="宋体"/>
                <w:color w:val="auto"/>
                <w:sz w:val="24"/>
                <w:szCs w:val="24"/>
                <w:highlight w:val="none"/>
              </w:rPr>
              <w:t>计算依据</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287BBC7">
            <w:pPr>
              <w:jc w:val="center"/>
              <w:rPr>
                <w:rFonts w:ascii="宋体" w:hAnsi="宋体" w:cs="宋体"/>
                <w:color w:val="auto"/>
                <w:sz w:val="24"/>
                <w:szCs w:val="24"/>
                <w:highlight w:val="none"/>
              </w:rPr>
            </w:pPr>
            <w:r>
              <w:rPr>
                <w:rFonts w:hint="eastAsia" w:ascii="宋体" w:hAnsi="宋体" w:cs="宋体"/>
                <w:color w:val="auto"/>
                <w:sz w:val="22"/>
                <w:szCs w:val="22"/>
                <w:highlight w:val="none"/>
              </w:rPr>
              <w:t>折扣系数（%）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F612BB1">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74916D1A">
        <w:tblPrEx>
          <w:tblCellMar>
            <w:top w:w="0" w:type="dxa"/>
            <w:left w:w="0" w:type="dxa"/>
            <w:bottom w:w="0" w:type="dxa"/>
            <w:right w:w="0" w:type="dxa"/>
          </w:tblCellMar>
        </w:tblPrEx>
        <w:trPr>
          <w:trHeight w:val="456"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267C5D7C">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52EACFF9">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4BADA934">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1528D01">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C219EC">
            <w:pPr>
              <w:widowControl w:val="0"/>
              <w:spacing w:line="360" w:lineRule="auto"/>
              <w:jc w:val="center"/>
              <w:rPr>
                <w:rFonts w:ascii="宋体" w:hAnsi="宋体" w:cs="宋体"/>
                <w:color w:val="auto"/>
                <w:sz w:val="24"/>
                <w:szCs w:val="24"/>
                <w:highlight w:val="none"/>
              </w:rPr>
            </w:pPr>
          </w:p>
        </w:tc>
      </w:tr>
      <w:tr w14:paraId="70A6875F">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67BD16BC">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045659CB">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224F768D">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8DAA45A">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22AE67">
            <w:pPr>
              <w:widowControl w:val="0"/>
              <w:spacing w:line="360" w:lineRule="auto"/>
              <w:jc w:val="center"/>
              <w:rPr>
                <w:rFonts w:ascii="宋体" w:hAnsi="宋体" w:cs="宋体"/>
                <w:color w:val="auto"/>
                <w:sz w:val="24"/>
                <w:szCs w:val="24"/>
                <w:highlight w:val="none"/>
              </w:rPr>
            </w:pPr>
          </w:p>
        </w:tc>
      </w:tr>
      <w:tr w14:paraId="79B24139">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171EDF04">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4BD51AB3">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6E781F8D">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6BEA4E1">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8FC4DC">
            <w:pPr>
              <w:widowControl w:val="0"/>
              <w:spacing w:line="360" w:lineRule="auto"/>
              <w:jc w:val="center"/>
              <w:rPr>
                <w:rFonts w:ascii="宋体" w:hAnsi="宋体" w:cs="宋体"/>
                <w:color w:val="auto"/>
                <w:sz w:val="24"/>
                <w:szCs w:val="24"/>
                <w:highlight w:val="none"/>
              </w:rPr>
            </w:pPr>
          </w:p>
        </w:tc>
      </w:tr>
      <w:tr w14:paraId="67CCE420">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496DB47F">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1380BFAA">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4B3B6B8D">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9B184E4">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024CEF">
            <w:pPr>
              <w:widowControl w:val="0"/>
              <w:spacing w:line="360" w:lineRule="auto"/>
              <w:jc w:val="center"/>
              <w:rPr>
                <w:rFonts w:ascii="宋体" w:hAnsi="宋体" w:cs="宋体"/>
                <w:color w:val="auto"/>
                <w:sz w:val="24"/>
                <w:szCs w:val="24"/>
                <w:highlight w:val="none"/>
              </w:rPr>
            </w:pPr>
          </w:p>
        </w:tc>
      </w:tr>
      <w:tr w14:paraId="484C4DA8">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1D2449B7">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4E162EEE">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26FB654B">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A8978D3">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6E647BE">
            <w:pPr>
              <w:widowControl w:val="0"/>
              <w:spacing w:line="360" w:lineRule="auto"/>
              <w:jc w:val="center"/>
              <w:rPr>
                <w:rFonts w:ascii="宋体" w:hAnsi="宋体" w:cs="宋体"/>
                <w:color w:val="auto"/>
                <w:sz w:val="24"/>
                <w:szCs w:val="24"/>
                <w:highlight w:val="none"/>
              </w:rPr>
            </w:pPr>
          </w:p>
        </w:tc>
      </w:tr>
    </w:tbl>
    <w:p w14:paraId="0E8212DA">
      <w:pPr>
        <w:tabs>
          <w:tab w:val="left" w:pos="7246"/>
        </w:tabs>
        <w:spacing w:before="18"/>
        <w:ind w:firstLine="210" w:firstLineChars="100"/>
        <w:rPr>
          <w:rFonts w:ascii="宋体" w:hAnsi="宋体"/>
          <w:color w:val="auto"/>
          <w:szCs w:val="21"/>
          <w:highlight w:val="none"/>
        </w:rPr>
      </w:pPr>
    </w:p>
    <w:p w14:paraId="20EDB23F">
      <w:pPr>
        <w:tabs>
          <w:tab w:val="left" w:pos="7246"/>
        </w:tabs>
        <w:spacing w:before="18"/>
        <w:ind w:firstLine="281" w:firstLineChars="100"/>
        <w:jc w:val="center"/>
        <w:rPr>
          <w:rFonts w:hint="eastAsia" w:ascii="宋体" w:hAnsi="宋体" w:cs="宋体"/>
          <w:b/>
          <w:color w:val="auto"/>
          <w:position w:val="-2"/>
          <w:sz w:val="28"/>
          <w:szCs w:val="28"/>
          <w:highlight w:val="none"/>
        </w:rPr>
      </w:pPr>
    </w:p>
    <w:p w14:paraId="3F362E8C">
      <w:pPr>
        <w:tabs>
          <w:tab w:val="left" w:pos="7246"/>
        </w:tabs>
        <w:spacing w:before="18"/>
        <w:ind w:firstLine="281" w:firstLineChars="100"/>
        <w:jc w:val="center"/>
        <w:rPr>
          <w:rFonts w:hint="eastAsia"/>
          <w:color w:val="auto"/>
          <w:highlight w:val="none"/>
        </w:rPr>
      </w:pPr>
      <w:r>
        <w:rPr>
          <w:rFonts w:hint="eastAsia" w:ascii="宋体" w:hAnsi="宋体" w:cs="宋体"/>
          <w:b/>
          <w:color w:val="auto"/>
          <w:position w:val="-2"/>
          <w:sz w:val="28"/>
          <w:szCs w:val="28"/>
          <w:highlight w:val="none"/>
        </w:rPr>
        <w:t>设计费用清单</w:t>
      </w:r>
    </w:p>
    <w:p w14:paraId="167BE0FF">
      <w:pPr>
        <w:tabs>
          <w:tab w:val="left" w:pos="7246"/>
        </w:tabs>
        <w:spacing w:before="18"/>
        <w:ind w:firstLine="240" w:firstLineChars="100"/>
        <w:jc w:val="left"/>
        <w:rPr>
          <w:rFonts w:ascii="宋体" w:hAnsi="宋体" w:cs="宋体"/>
          <w:b/>
          <w:color w:val="auto"/>
          <w:position w:val="-2"/>
          <w:sz w:val="24"/>
          <w:szCs w:val="24"/>
          <w:highlight w:val="none"/>
        </w:rPr>
      </w:pPr>
      <w:r>
        <w:rPr>
          <w:rFonts w:ascii="宋体" w:hAnsi="宋体"/>
          <w:color w:val="auto"/>
          <w:sz w:val="24"/>
          <w:szCs w:val="24"/>
          <w:highlight w:val="none"/>
        </w:rPr>
        <w:t>项目名称</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r>
        <w:rPr>
          <w:rFonts w:ascii="宋体" w:hAnsi="宋体"/>
          <w:color w:val="auto"/>
          <w:sz w:val="24"/>
          <w:szCs w:val="24"/>
          <w:highlight w:val="none"/>
        </w:rPr>
        <w:t>项目编号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金额单位</w:t>
      </w:r>
      <w:r>
        <w:rPr>
          <w:rFonts w:hint="eastAsia" w:ascii="宋体" w:hAnsi="宋体"/>
          <w:color w:val="auto"/>
          <w:sz w:val="24"/>
          <w:szCs w:val="24"/>
          <w:highlight w:val="none"/>
          <w:lang w:eastAsia="zh-CN"/>
        </w:rPr>
        <w:t>：</w:t>
      </w:r>
      <w:r>
        <w:rPr>
          <w:rFonts w:hint="eastAsia" w:ascii="宋体" w:hAnsi="宋体" w:cs="宋体"/>
          <w:color w:val="auto"/>
          <w:sz w:val="22"/>
          <w:szCs w:val="22"/>
          <w:highlight w:val="none"/>
        </w:rPr>
        <w:t>%</w:t>
      </w:r>
    </w:p>
    <w:tbl>
      <w:tblPr>
        <w:tblStyle w:val="50"/>
        <w:tblW w:w="8897" w:type="dxa"/>
        <w:jc w:val="center"/>
        <w:tblLayout w:type="fixed"/>
        <w:tblCellMar>
          <w:top w:w="0" w:type="dxa"/>
          <w:left w:w="0" w:type="dxa"/>
          <w:bottom w:w="0" w:type="dxa"/>
          <w:right w:w="0" w:type="dxa"/>
        </w:tblCellMar>
      </w:tblPr>
      <w:tblGrid>
        <w:gridCol w:w="908"/>
        <w:gridCol w:w="2638"/>
        <w:gridCol w:w="2141"/>
        <w:gridCol w:w="1875"/>
        <w:gridCol w:w="1335"/>
      </w:tblGrid>
      <w:tr w14:paraId="5C38EE1A">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0B7447A0">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0229E2F3">
            <w:pPr>
              <w:jc w:val="center"/>
              <w:rPr>
                <w:rFonts w:ascii="宋体" w:hAnsi="宋体" w:cs="宋体"/>
                <w:color w:val="auto"/>
                <w:sz w:val="24"/>
                <w:szCs w:val="24"/>
                <w:highlight w:val="none"/>
              </w:rPr>
            </w:pPr>
            <w:r>
              <w:rPr>
                <w:rFonts w:hint="eastAsia" w:ascii="宋体" w:hAnsi="宋体" w:cs="宋体"/>
                <w:color w:val="auto"/>
                <w:sz w:val="24"/>
                <w:szCs w:val="24"/>
                <w:highlight w:val="none"/>
              </w:rPr>
              <w:t>设计费用分项名称</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18B7B5DE">
            <w:pPr>
              <w:jc w:val="center"/>
              <w:rPr>
                <w:rFonts w:ascii="宋体" w:hAnsi="宋体" w:cs="宋体"/>
                <w:color w:val="auto"/>
                <w:sz w:val="24"/>
                <w:szCs w:val="24"/>
                <w:highlight w:val="none"/>
              </w:rPr>
            </w:pPr>
            <w:r>
              <w:rPr>
                <w:rFonts w:hint="eastAsia" w:ascii="宋体" w:hAnsi="宋体" w:cs="宋体"/>
                <w:color w:val="auto"/>
                <w:sz w:val="24"/>
                <w:szCs w:val="24"/>
                <w:highlight w:val="none"/>
              </w:rPr>
              <w:t>计算依据</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E34C783">
            <w:pPr>
              <w:jc w:val="center"/>
              <w:rPr>
                <w:rFonts w:ascii="宋体" w:hAnsi="宋体" w:cs="宋体"/>
                <w:color w:val="auto"/>
                <w:sz w:val="24"/>
                <w:szCs w:val="24"/>
                <w:highlight w:val="none"/>
              </w:rPr>
            </w:pPr>
            <w:r>
              <w:rPr>
                <w:rFonts w:hint="eastAsia" w:ascii="宋体" w:hAnsi="宋体" w:cs="宋体"/>
                <w:color w:val="auto"/>
                <w:sz w:val="22"/>
                <w:szCs w:val="22"/>
                <w:highlight w:val="none"/>
              </w:rPr>
              <w:t>折扣系数（%）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B39684">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3F2313E1">
        <w:tblPrEx>
          <w:tblCellMar>
            <w:top w:w="0" w:type="dxa"/>
            <w:left w:w="0" w:type="dxa"/>
            <w:bottom w:w="0" w:type="dxa"/>
            <w:right w:w="0" w:type="dxa"/>
          </w:tblCellMar>
        </w:tblPrEx>
        <w:trPr>
          <w:trHeight w:val="456"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3BC57F94">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09623A61">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51FC66BF">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D186F2F">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74ABD80">
            <w:pPr>
              <w:widowControl w:val="0"/>
              <w:spacing w:line="360" w:lineRule="auto"/>
              <w:jc w:val="center"/>
              <w:rPr>
                <w:rFonts w:ascii="宋体" w:hAnsi="宋体" w:cs="宋体"/>
                <w:color w:val="auto"/>
                <w:sz w:val="24"/>
                <w:szCs w:val="24"/>
                <w:highlight w:val="none"/>
              </w:rPr>
            </w:pPr>
          </w:p>
        </w:tc>
      </w:tr>
      <w:tr w14:paraId="5C56B9EE">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21CDA200">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4DAE9527">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05BA32C8">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CB6D8D8">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BA10E87">
            <w:pPr>
              <w:widowControl w:val="0"/>
              <w:spacing w:line="360" w:lineRule="auto"/>
              <w:jc w:val="center"/>
              <w:rPr>
                <w:rFonts w:ascii="宋体" w:hAnsi="宋体" w:cs="宋体"/>
                <w:color w:val="auto"/>
                <w:sz w:val="24"/>
                <w:szCs w:val="24"/>
                <w:highlight w:val="none"/>
              </w:rPr>
            </w:pPr>
          </w:p>
        </w:tc>
      </w:tr>
      <w:tr w14:paraId="4E1D6047">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10223E21">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2F729C14">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67EF8675">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912B0FF">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89B167">
            <w:pPr>
              <w:widowControl w:val="0"/>
              <w:spacing w:line="360" w:lineRule="auto"/>
              <w:jc w:val="center"/>
              <w:rPr>
                <w:rFonts w:ascii="宋体" w:hAnsi="宋体" w:cs="宋体"/>
                <w:color w:val="auto"/>
                <w:sz w:val="24"/>
                <w:szCs w:val="24"/>
                <w:highlight w:val="none"/>
              </w:rPr>
            </w:pPr>
          </w:p>
        </w:tc>
      </w:tr>
      <w:tr w14:paraId="0A527309">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39DBC04A">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63AD4D03">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325A48D0">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46F4C4B">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F37FD19">
            <w:pPr>
              <w:widowControl w:val="0"/>
              <w:spacing w:line="360" w:lineRule="auto"/>
              <w:jc w:val="center"/>
              <w:rPr>
                <w:rFonts w:ascii="宋体" w:hAnsi="宋体" w:cs="宋体"/>
                <w:color w:val="auto"/>
                <w:sz w:val="24"/>
                <w:szCs w:val="24"/>
                <w:highlight w:val="none"/>
              </w:rPr>
            </w:pPr>
          </w:p>
        </w:tc>
      </w:tr>
      <w:tr w14:paraId="77113EE4">
        <w:tblPrEx>
          <w:tblCellMar>
            <w:top w:w="0" w:type="dxa"/>
            <w:left w:w="0" w:type="dxa"/>
            <w:bottom w:w="0" w:type="dxa"/>
            <w:right w:w="0"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5FF20F59">
            <w:pPr>
              <w:widowControl w:val="0"/>
              <w:spacing w:line="360" w:lineRule="auto"/>
              <w:ind w:left="366" w:right="351"/>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14:paraId="3818C554">
            <w:pPr>
              <w:widowControl w:val="0"/>
              <w:spacing w:line="360" w:lineRule="auto"/>
              <w:jc w:val="center"/>
              <w:rPr>
                <w:rFonts w:ascii="宋体" w:hAnsi="宋体" w:cs="宋体"/>
                <w:color w:val="auto"/>
                <w:sz w:val="24"/>
                <w:szCs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31A4AB9F">
            <w:pPr>
              <w:widowControl w:val="0"/>
              <w:spacing w:line="360" w:lineRule="auto"/>
              <w:jc w:val="center"/>
              <w:rPr>
                <w:rFonts w:ascii="宋体" w:hAnsi="宋体" w:cs="宋体"/>
                <w:color w:val="auto"/>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47C8E28">
            <w:pPr>
              <w:widowControl w:val="0"/>
              <w:spacing w:line="360" w:lineRule="auto"/>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49A7A3E">
            <w:pPr>
              <w:widowControl w:val="0"/>
              <w:spacing w:line="360" w:lineRule="auto"/>
              <w:jc w:val="center"/>
              <w:rPr>
                <w:rFonts w:ascii="宋体" w:hAnsi="宋体" w:cs="宋体"/>
                <w:color w:val="auto"/>
                <w:sz w:val="24"/>
                <w:szCs w:val="24"/>
                <w:highlight w:val="none"/>
              </w:rPr>
            </w:pPr>
          </w:p>
        </w:tc>
      </w:tr>
    </w:tbl>
    <w:p w14:paraId="454C8DAA">
      <w:pPr>
        <w:spacing w:before="5"/>
        <w:rPr>
          <w:rFonts w:ascii="宋体" w:hAnsi="宋体" w:cs="Arial Unicode MS"/>
          <w:color w:val="auto"/>
          <w:sz w:val="24"/>
          <w:szCs w:val="24"/>
          <w:highlight w:val="none"/>
        </w:rPr>
      </w:pPr>
    </w:p>
    <w:p w14:paraId="13241A20">
      <w:pPr>
        <w:spacing w:before="10"/>
        <w:rPr>
          <w:rFonts w:ascii="宋体" w:hAnsi="宋体" w:cs="Arial Unicode MS"/>
          <w:color w:val="auto"/>
          <w:sz w:val="24"/>
          <w:szCs w:val="24"/>
          <w:highlight w:val="none"/>
        </w:rPr>
      </w:pPr>
    </w:p>
    <w:p w14:paraId="54FAABA4">
      <w:pPr>
        <w:keepNext w:val="0"/>
        <w:keepLines w:val="0"/>
        <w:pageBreakBefore w:val="0"/>
        <w:kinsoku/>
        <w:wordWrap/>
        <w:overflowPunct/>
        <w:topLinePunct w:val="0"/>
        <w:autoSpaceDE/>
        <w:autoSpaceDN/>
        <w:bidi w:val="0"/>
        <w:adjustRightInd/>
        <w:snapToGrid/>
        <w:spacing w:line="500" w:lineRule="exact"/>
        <w:ind w:left="0" w:leftChars="0" w:firstLine="420" w:firstLineChars="175"/>
        <w:jc w:val="right"/>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5C59596A">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1AE4657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szCs w:val="24"/>
          <w:highlight w:val="none"/>
        </w:rPr>
      </w:pPr>
    </w:p>
    <w:p w14:paraId="7986972E">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772E5DCB">
      <w:pPr>
        <w:spacing w:line="390" w:lineRule="exact"/>
        <w:rPr>
          <w:rFonts w:ascii="宋体" w:hAnsi="宋体"/>
          <w:color w:val="auto"/>
          <w:szCs w:val="21"/>
          <w:highlight w:val="none"/>
        </w:rPr>
      </w:pPr>
    </w:p>
    <w:p w14:paraId="66BA702A">
      <w:pPr>
        <w:pStyle w:val="20"/>
        <w:spacing w:line="39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如果按单价计算的结果与总价不一致，以单价为准修正总价。</w:t>
      </w:r>
    </w:p>
    <w:p w14:paraId="3F550B40">
      <w:pPr>
        <w:numPr>
          <w:ilvl w:val="0"/>
          <w:numId w:val="0"/>
        </w:numPr>
        <w:bidi w:val="0"/>
        <w:ind w:firstLine="438" w:firstLineChars="200"/>
        <w:rPr>
          <w:rFonts w:hint="eastAsia" w:ascii="宋体" w:hAnsi="宋体" w:eastAsia="宋体" w:cs="Times New Roman"/>
          <w:b/>
          <w:bCs/>
          <w:color w:val="auto"/>
          <w:spacing w:val="4"/>
          <w:kern w:val="2"/>
          <w:sz w:val="21"/>
          <w:szCs w:val="21"/>
          <w:highlight w:val="none"/>
          <w:lang w:val="en-US" w:eastAsia="zh-CN" w:bidi="ar-SA"/>
        </w:rPr>
      </w:pPr>
      <w:r>
        <w:rPr>
          <w:rFonts w:hint="eastAsia" w:ascii="宋体" w:hAnsi="宋体" w:eastAsia="宋体" w:cs="Times New Roman"/>
          <w:b/>
          <w:bCs/>
          <w:color w:val="auto"/>
          <w:spacing w:val="4"/>
          <w:kern w:val="2"/>
          <w:sz w:val="21"/>
          <w:szCs w:val="21"/>
          <w:highlight w:val="none"/>
          <w:lang w:val="en-US" w:eastAsia="zh-CN" w:bidi="ar-SA"/>
        </w:rPr>
        <w:t>2.如果不提供详细分项报价将视为没有实质性响应磋商文件。</w:t>
      </w:r>
    </w:p>
    <w:p w14:paraId="1147BA47">
      <w:pPr>
        <w:pStyle w:val="20"/>
        <w:numPr>
          <w:ilvl w:val="0"/>
          <w:numId w:val="0"/>
        </w:numPr>
        <w:spacing w:line="390" w:lineRule="exact"/>
        <w:ind w:firstLine="438" w:firstLineChars="200"/>
        <w:rPr>
          <w:rFonts w:hint="eastAsia" w:ascii="宋体" w:hAnsi="宋体" w:eastAsia="宋体" w:cs="Times New Roman"/>
          <w:b/>
          <w:bCs/>
          <w:color w:val="auto"/>
          <w:spacing w:val="4"/>
          <w:kern w:val="2"/>
          <w:sz w:val="21"/>
          <w:szCs w:val="21"/>
          <w:highlight w:val="none"/>
          <w:lang w:val="en-US" w:eastAsia="zh-CN" w:bidi="ar-SA"/>
        </w:rPr>
      </w:pPr>
      <w:r>
        <w:rPr>
          <w:rFonts w:hint="eastAsia" w:ascii="宋体" w:hAnsi="宋体" w:eastAsia="宋体" w:cs="Times New Roman"/>
          <w:b/>
          <w:bCs/>
          <w:color w:val="auto"/>
          <w:spacing w:val="4"/>
          <w:kern w:val="2"/>
          <w:sz w:val="21"/>
          <w:szCs w:val="21"/>
          <w:highlight w:val="none"/>
          <w:lang w:val="en-US" w:eastAsia="zh-CN" w:bidi="ar-SA"/>
        </w:rPr>
        <w:t>3.供应商所投小型、微型企业产品应当在分项报价表中单独列出产品报价，否则将被视为无法计算价格而不予以价格扣除。</w:t>
      </w:r>
    </w:p>
    <w:p w14:paraId="1C3A8592">
      <w:pPr>
        <w:pStyle w:val="5"/>
        <w:jc w:val="center"/>
        <w:outlineLvl w:val="2"/>
        <w:rPr>
          <w:rFonts w:hint="eastAsia" w:ascii="宋体" w:hAnsi="宋体" w:cs="Times New Roman"/>
          <w:b/>
          <w:bCs w:val="0"/>
          <w:color w:val="auto"/>
          <w:kern w:val="2"/>
          <w:sz w:val="32"/>
          <w:szCs w:val="32"/>
          <w:highlight w:val="none"/>
          <w:lang w:val="en-US" w:eastAsia="zh-CN" w:bidi="ar-SA"/>
        </w:rPr>
      </w:pPr>
      <w:r>
        <w:rPr>
          <w:rFonts w:hint="eastAsia" w:ascii="宋体" w:hAnsi="宋体"/>
          <w:b/>
          <w:color w:val="auto"/>
          <w:sz w:val="32"/>
          <w:szCs w:val="32"/>
          <w:highlight w:val="none"/>
        </w:rPr>
        <w:br w:type="page"/>
      </w:r>
      <w:bookmarkStart w:id="175" w:name="_Toc7178"/>
      <w:r>
        <w:rPr>
          <w:rFonts w:hint="eastAsia" w:ascii="宋体" w:hAnsi="宋体" w:cs="Times New Roman"/>
          <w:b/>
          <w:bCs w:val="0"/>
          <w:color w:val="auto"/>
          <w:kern w:val="2"/>
          <w:sz w:val="32"/>
          <w:szCs w:val="32"/>
          <w:highlight w:val="none"/>
          <w:lang w:val="en-US" w:eastAsia="zh-CN" w:bidi="ar-SA"/>
        </w:rPr>
        <w:t>六、</w:t>
      </w:r>
      <w:bookmarkStart w:id="176" w:name="_Toc20757_WPSOffice_Level1"/>
      <w:bookmarkStart w:id="177" w:name="_Toc14064_WPSOffice_Level1"/>
      <w:r>
        <w:rPr>
          <w:rFonts w:hint="eastAsia" w:ascii="宋体" w:hAnsi="宋体" w:cs="Times New Roman"/>
          <w:b/>
          <w:bCs w:val="0"/>
          <w:color w:val="auto"/>
          <w:kern w:val="2"/>
          <w:sz w:val="32"/>
          <w:szCs w:val="32"/>
          <w:highlight w:val="none"/>
          <w:lang w:val="en-US" w:eastAsia="zh-CN" w:bidi="ar-SA"/>
        </w:rPr>
        <w:t>资格审查资料</w:t>
      </w:r>
      <w:bookmarkEnd w:id="175"/>
    </w:p>
    <w:p w14:paraId="63445FED">
      <w:pPr>
        <w:spacing w:line="360" w:lineRule="auto"/>
        <w:jc w:val="center"/>
        <w:rPr>
          <w:rFonts w:ascii="宋体" w:hAnsi="宋体"/>
          <w:color w:val="auto"/>
          <w:szCs w:val="21"/>
          <w:highlight w:val="none"/>
        </w:rPr>
      </w:pPr>
      <w:r>
        <w:rPr>
          <w:rFonts w:hint="eastAsia"/>
          <w:b/>
          <w:color w:val="auto"/>
          <w:sz w:val="28"/>
          <w:szCs w:val="28"/>
          <w:highlight w:val="none"/>
        </w:rPr>
        <w:t>（一）供应商基本情况表</w:t>
      </w:r>
    </w:p>
    <w:tbl>
      <w:tblPr>
        <w:tblStyle w:val="50"/>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0C81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9800396">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供应商名称</w:t>
            </w:r>
          </w:p>
        </w:tc>
        <w:tc>
          <w:tcPr>
            <w:tcW w:w="6753" w:type="dxa"/>
            <w:gridSpan w:val="8"/>
          </w:tcPr>
          <w:p w14:paraId="4D8AE010">
            <w:pPr>
              <w:spacing w:line="360" w:lineRule="auto"/>
              <w:rPr>
                <w:rFonts w:ascii="宋体" w:hAnsi="宋体"/>
                <w:color w:val="auto"/>
                <w:szCs w:val="21"/>
                <w:highlight w:val="none"/>
              </w:rPr>
            </w:pPr>
          </w:p>
        </w:tc>
      </w:tr>
      <w:tr w14:paraId="401C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5698A6E">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注册地址</w:t>
            </w:r>
          </w:p>
        </w:tc>
        <w:tc>
          <w:tcPr>
            <w:tcW w:w="3037" w:type="dxa"/>
            <w:gridSpan w:val="3"/>
          </w:tcPr>
          <w:p w14:paraId="5C63839A">
            <w:pPr>
              <w:spacing w:line="360" w:lineRule="auto"/>
              <w:rPr>
                <w:rFonts w:ascii="宋体" w:hAnsi="宋体"/>
                <w:color w:val="auto"/>
                <w:szCs w:val="21"/>
                <w:highlight w:val="none"/>
              </w:rPr>
            </w:pPr>
          </w:p>
        </w:tc>
        <w:tc>
          <w:tcPr>
            <w:tcW w:w="1286" w:type="dxa"/>
            <w:gridSpan w:val="2"/>
          </w:tcPr>
          <w:p w14:paraId="2D3FA89E">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邮政编码</w:t>
            </w:r>
          </w:p>
        </w:tc>
        <w:tc>
          <w:tcPr>
            <w:tcW w:w="2430" w:type="dxa"/>
            <w:gridSpan w:val="3"/>
          </w:tcPr>
          <w:p w14:paraId="6F6944AA">
            <w:pPr>
              <w:spacing w:line="360" w:lineRule="auto"/>
              <w:rPr>
                <w:rFonts w:ascii="宋体" w:hAnsi="宋体"/>
                <w:color w:val="auto"/>
                <w:szCs w:val="21"/>
                <w:highlight w:val="none"/>
              </w:rPr>
            </w:pPr>
          </w:p>
        </w:tc>
      </w:tr>
      <w:tr w14:paraId="0DEB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645722B2">
            <w:pPr>
              <w:pStyle w:val="186"/>
              <w:spacing w:line="360" w:lineRule="auto"/>
              <w:ind w:left="597"/>
              <w:rPr>
                <w:rFonts w:ascii="宋体" w:hAnsi="宋体"/>
                <w:color w:val="auto"/>
                <w:szCs w:val="21"/>
                <w:highlight w:val="none"/>
              </w:rPr>
            </w:pPr>
          </w:p>
          <w:p w14:paraId="5BE8B963">
            <w:pPr>
              <w:pStyle w:val="186"/>
              <w:spacing w:line="360" w:lineRule="auto"/>
              <w:ind w:left="597"/>
              <w:rPr>
                <w:rFonts w:ascii="宋体" w:hAnsi="宋体"/>
                <w:color w:val="auto"/>
                <w:szCs w:val="21"/>
                <w:highlight w:val="none"/>
              </w:rPr>
            </w:pPr>
            <w:r>
              <w:rPr>
                <w:rFonts w:hint="eastAsia" w:ascii="宋体" w:hAnsi="宋体"/>
                <w:color w:val="auto"/>
                <w:szCs w:val="21"/>
                <w:highlight w:val="none"/>
              </w:rPr>
              <w:t>联系方式</w:t>
            </w:r>
          </w:p>
        </w:tc>
        <w:tc>
          <w:tcPr>
            <w:tcW w:w="723" w:type="dxa"/>
          </w:tcPr>
          <w:p w14:paraId="1611FC11">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314" w:type="dxa"/>
            <w:gridSpan w:val="2"/>
          </w:tcPr>
          <w:p w14:paraId="2F5A4FAD">
            <w:pPr>
              <w:spacing w:line="360" w:lineRule="auto"/>
              <w:rPr>
                <w:rFonts w:ascii="宋体" w:hAnsi="宋体"/>
                <w:color w:val="auto"/>
                <w:szCs w:val="21"/>
                <w:highlight w:val="none"/>
              </w:rPr>
            </w:pPr>
          </w:p>
        </w:tc>
        <w:tc>
          <w:tcPr>
            <w:tcW w:w="1286" w:type="dxa"/>
            <w:gridSpan w:val="2"/>
          </w:tcPr>
          <w:p w14:paraId="5B49B0C4">
            <w:pPr>
              <w:pStyle w:val="186"/>
              <w:spacing w:before="107" w:line="360" w:lineRule="auto"/>
              <w:ind w:left="374"/>
              <w:rPr>
                <w:rFonts w:ascii="宋体" w:hAnsi="宋体"/>
                <w:color w:val="auto"/>
                <w:szCs w:val="21"/>
                <w:highlight w:val="none"/>
              </w:rPr>
            </w:pPr>
            <w:r>
              <w:rPr>
                <w:rFonts w:hint="eastAsia" w:ascii="宋体" w:hAnsi="宋体"/>
                <w:color w:val="auto"/>
                <w:szCs w:val="21"/>
                <w:highlight w:val="none"/>
              </w:rPr>
              <w:t>电 话</w:t>
            </w:r>
          </w:p>
        </w:tc>
        <w:tc>
          <w:tcPr>
            <w:tcW w:w="2430" w:type="dxa"/>
            <w:gridSpan w:val="3"/>
          </w:tcPr>
          <w:p w14:paraId="11F4CC37">
            <w:pPr>
              <w:spacing w:line="360" w:lineRule="auto"/>
              <w:rPr>
                <w:rFonts w:ascii="宋体" w:hAnsi="宋体"/>
                <w:color w:val="auto"/>
                <w:szCs w:val="21"/>
                <w:highlight w:val="none"/>
              </w:rPr>
            </w:pPr>
          </w:p>
        </w:tc>
      </w:tr>
      <w:tr w14:paraId="0E8F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13D02D91">
            <w:pPr>
              <w:spacing w:line="360" w:lineRule="auto"/>
              <w:rPr>
                <w:rFonts w:ascii="宋体" w:hAnsi="宋体"/>
                <w:color w:val="auto"/>
                <w:szCs w:val="21"/>
                <w:highlight w:val="none"/>
              </w:rPr>
            </w:pPr>
          </w:p>
        </w:tc>
        <w:tc>
          <w:tcPr>
            <w:tcW w:w="723" w:type="dxa"/>
          </w:tcPr>
          <w:p w14:paraId="6D0F74AC">
            <w:pPr>
              <w:pStyle w:val="186"/>
              <w:tabs>
                <w:tab w:val="left" w:pos="422"/>
              </w:tabs>
              <w:spacing w:before="108" w:line="360" w:lineRule="auto"/>
              <w:jc w:val="center"/>
              <w:rPr>
                <w:rFonts w:ascii="宋体" w:hAnsi="宋体"/>
                <w:color w:val="auto"/>
                <w:szCs w:val="21"/>
                <w:highlight w:val="none"/>
              </w:rPr>
            </w:pPr>
            <w:r>
              <w:rPr>
                <w:rFonts w:hint="eastAsia" w:ascii="宋体" w:hAnsi="宋体"/>
                <w:color w:val="auto"/>
                <w:szCs w:val="21"/>
                <w:highlight w:val="none"/>
              </w:rPr>
              <w:t>传</w:t>
            </w:r>
            <w:r>
              <w:rPr>
                <w:rFonts w:hint="eastAsia" w:ascii="宋体" w:hAnsi="宋体"/>
                <w:color w:val="auto"/>
                <w:szCs w:val="21"/>
                <w:highlight w:val="none"/>
              </w:rPr>
              <w:tab/>
            </w:r>
            <w:r>
              <w:rPr>
                <w:rFonts w:hint="eastAsia" w:ascii="宋体" w:hAnsi="宋体"/>
                <w:color w:val="auto"/>
                <w:szCs w:val="21"/>
                <w:highlight w:val="none"/>
              </w:rPr>
              <w:t>真</w:t>
            </w:r>
          </w:p>
        </w:tc>
        <w:tc>
          <w:tcPr>
            <w:tcW w:w="2314" w:type="dxa"/>
            <w:gridSpan w:val="2"/>
          </w:tcPr>
          <w:p w14:paraId="279C0516">
            <w:pPr>
              <w:spacing w:line="360" w:lineRule="auto"/>
              <w:rPr>
                <w:rFonts w:ascii="宋体" w:hAnsi="宋体"/>
                <w:color w:val="auto"/>
                <w:szCs w:val="21"/>
                <w:highlight w:val="none"/>
              </w:rPr>
            </w:pPr>
          </w:p>
        </w:tc>
        <w:tc>
          <w:tcPr>
            <w:tcW w:w="1286" w:type="dxa"/>
            <w:gridSpan w:val="2"/>
          </w:tcPr>
          <w:p w14:paraId="437B7290">
            <w:pPr>
              <w:pStyle w:val="186"/>
              <w:spacing w:before="108" w:line="360" w:lineRule="auto"/>
              <w:ind w:left="374"/>
              <w:rPr>
                <w:rFonts w:ascii="宋体" w:hAnsi="宋体"/>
                <w:color w:val="auto"/>
                <w:szCs w:val="21"/>
                <w:highlight w:val="none"/>
              </w:rPr>
            </w:pPr>
            <w:r>
              <w:rPr>
                <w:rFonts w:hint="eastAsia" w:ascii="宋体" w:hAnsi="宋体"/>
                <w:color w:val="auto"/>
                <w:szCs w:val="21"/>
                <w:highlight w:val="none"/>
              </w:rPr>
              <w:t>网 址</w:t>
            </w:r>
          </w:p>
        </w:tc>
        <w:tc>
          <w:tcPr>
            <w:tcW w:w="2430" w:type="dxa"/>
            <w:gridSpan w:val="3"/>
          </w:tcPr>
          <w:p w14:paraId="399091C2">
            <w:pPr>
              <w:spacing w:line="360" w:lineRule="auto"/>
              <w:rPr>
                <w:rFonts w:ascii="宋体" w:hAnsi="宋体"/>
                <w:color w:val="auto"/>
                <w:szCs w:val="21"/>
                <w:highlight w:val="none"/>
              </w:rPr>
            </w:pPr>
          </w:p>
        </w:tc>
      </w:tr>
      <w:tr w14:paraId="5276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7D826E10">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法定代表人</w:t>
            </w:r>
          </w:p>
        </w:tc>
        <w:tc>
          <w:tcPr>
            <w:tcW w:w="723" w:type="dxa"/>
          </w:tcPr>
          <w:p w14:paraId="04897AEE">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6D578EB2">
            <w:pPr>
              <w:spacing w:line="360" w:lineRule="auto"/>
              <w:rPr>
                <w:rFonts w:ascii="宋体" w:hAnsi="宋体"/>
                <w:color w:val="auto"/>
                <w:szCs w:val="21"/>
                <w:highlight w:val="none"/>
              </w:rPr>
            </w:pPr>
          </w:p>
        </w:tc>
        <w:tc>
          <w:tcPr>
            <w:tcW w:w="1287" w:type="dxa"/>
          </w:tcPr>
          <w:p w14:paraId="47F670DB">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1855D866">
            <w:pPr>
              <w:spacing w:line="360" w:lineRule="auto"/>
              <w:rPr>
                <w:rFonts w:ascii="宋体" w:hAnsi="宋体"/>
                <w:color w:val="auto"/>
                <w:szCs w:val="21"/>
                <w:highlight w:val="none"/>
              </w:rPr>
            </w:pPr>
          </w:p>
        </w:tc>
        <w:tc>
          <w:tcPr>
            <w:tcW w:w="1114" w:type="dxa"/>
            <w:gridSpan w:val="2"/>
          </w:tcPr>
          <w:p w14:paraId="3F3FBEE1">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037A9F54">
            <w:pPr>
              <w:spacing w:line="360" w:lineRule="auto"/>
              <w:rPr>
                <w:rFonts w:ascii="宋体" w:hAnsi="宋体"/>
                <w:color w:val="auto"/>
                <w:szCs w:val="21"/>
                <w:highlight w:val="none"/>
              </w:rPr>
            </w:pPr>
          </w:p>
        </w:tc>
      </w:tr>
      <w:tr w14:paraId="758F1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622B621">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技术负责人</w:t>
            </w:r>
          </w:p>
        </w:tc>
        <w:tc>
          <w:tcPr>
            <w:tcW w:w="723" w:type="dxa"/>
          </w:tcPr>
          <w:p w14:paraId="50F7F477">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396D243F">
            <w:pPr>
              <w:spacing w:line="360" w:lineRule="auto"/>
              <w:rPr>
                <w:rFonts w:ascii="宋体" w:hAnsi="宋体"/>
                <w:color w:val="auto"/>
                <w:szCs w:val="21"/>
                <w:highlight w:val="none"/>
              </w:rPr>
            </w:pPr>
          </w:p>
        </w:tc>
        <w:tc>
          <w:tcPr>
            <w:tcW w:w="1287" w:type="dxa"/>
          </w:tcPr>
          <w:p w14:paraId="629D1B99">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3E702706">
            <w:pPr>
              <w:spacing w:line="360" w:lineRule="auto"/>
              <w:rPr>
                <w:rFonts w:ascii="宋体" w:hAnsi="宋体"/>
                <w:color w:val="auto"/>
                <w:szCs w:val="21"/>
                <w:highlight w:val="none"/>
              </w:rPr>
            </w:pPr>
          </w:p>
        </w:tc>
        <w:tc>
          <w:tcPr>
            <w:tcW w:w="1114" w:type="dxa"/>
            <w:gridSpan w:val="2"/>
          </w:tcPr>
          <w:p w14:paraId="757295DB">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647684E0">
            <w:pPr>
              <w:spacing w:line="360" w:lineRule="auto"/>
              <w:rPr>
                <w:rFonts w:ascii="宋体" w:hAnsi="宋体"/>
                <w:color w:val="auto"/>
                <w:szCs w:val="21"/>
                <w:highlight w:val="none"/>
              </w:rPr>
            </w:pPr>
          </w:p>
        </w:tc>
      </w:tr>
      <w:tr w14:paraId="798D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184DCFBA">
            <w:pPr>
              <w:pStyle w:val="186"/>
              <w:spacing w:before="107" w:line="360" w:lineRule="auto"/>
              <w:ind w:left="158" w:right="156"/>
              <w:jc w:val="center"/>
              <w:rPr>
                <w:rFonts w:ascii="宋体" w:hAnsi="宋体"/>
                <w:color w:val="auto"/>
                <w:szCs w:val="21"/>
                <w:highlight w:val="none"/>
              </w:rPr>
            </w:pPr>
            <w:r>
              <w:rPr>
                <w:rFonts w:hint="eastAsia" w:ascii="宋体" w:hAnsi="宋体"/>
                <w:color w:val="auto"/>
                <w:szCs w:val="21"/>
                <w:highlight w:val="none"/>
              </w:rPr>
              <w:t>质量管理体系证书（如有）</w:t>
            </w:r>
          </w:p>
        </w:tc>
        <w:tc>
          <w:tcPr>
            <w:tcW w:w="6753" w:type="dxa"/>
            <w:gridSpan w:val="8"/>
          </w:tcPr>
          <w:p w14:paraId="4D7F353F">
            <w:pPr>
              <w:pStyle w:val="186"/>
              <w:tabs>
                <w:tab w:val="left" w:pos="3785"/>
                <w:tab w:val="left" w:pos="5045"/>
              </w:tabs>
              <w:spacing w:line="360" w:lineRule="auto"/>
              <w:ind w:left="1054"/>
              <w:rPr>
                <w:rFonts w:ascii="宋体" w:hAnsi="宋体"/>
                <w:color w:val="auto"/>
                <w:szCs w:val="21"/>
                <w:highlight w:val="none"/>
              </w:rPr>
            </w:pPr>
            <w:r>
              <w:rPr>
                <w:rFonts w:hint="eastAsia" w:ascii="宋体" w:hAnsi="宋体"/>
                <w:color w:val="auto"/>
                <w:szCs w:val="21"/>
                <w:highlight w:val="none"/>
              </w:rPr>
              <w:t>类型：       等级：</w:t>
            </w:r>
            <w:r>
              <w:rPr>
                <w:rFonts w:hint="eastAsia" w:ascii="宋体" w:hAnsi="宋体"/>
                <w:color w:val="auto"/>
                <w:szCs w:val="21"/>
                <w:highlight w:val="none"/>
              </w:rPr>
              <w:tab/>
            </w:r>
            <w:r>
              <w:rPr>
                <w:rFonts w:hint="eastAsia" w:ascii="宋体" w:hAnsi="宋体"/>
                <w:color w:val="auto"/>
                <w:szCs w:val="21"/>
                <w:highlight w:val="none"/>
              </w:rPr>
              <w:t>证书号：</w:t>
            </w:r>
          </w:p>
        </w:tc>
      </w:tr>
      <w:tr w14:paraId="1AEF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11BCB39E">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营业执照号</w:t>
            </w:r>
          </w:p>
        </w:tc>
        <w:tc>
          <w:tcPr>
            <w:tcW w:w="3037" w:type="dxa"/>
            <w:gridSpan w:val="3"/>
          </w:tcPr>
          <w:p w14:paraId="3EFADFE0">
            <w:pPr>
              <w:spacing w:line="360" w:lineRule="auto"/>
              <w:rPr>
                <w:rFonts w:ascii="宋体" w:hAnsi="宋体"/>
                <w:color w:val="auto"/>
                <w:szCs w:val="21"/>
                <w:highlight w:val="none"/>
              </w:rPr>
            </w:pPr>
          </w:p>
        </w:tc>
        <w:tc>
          <w:tcPr>
            <w:tcW w:w="3716" w:type="dxa"/>
            <w:gridSpan w:val="5"/>
          </w:tcPr>
          <w:p w14:paraId="554DBF8C">
            <w:pPr>
              <w:pStyle w:val="186"/>
              <w:spacing w:before="107" w:line="360" w:lineRule="auto"/>
              <w:ind w:left="1178"/>
              <w:rPr>
                <w:rFonts w:ascii="宋体" w:hAnsi="宋体"/>
                <w:color w:val="auto"/>
                <w:szCs w:val="21"/>
                <w:highlight w:val="none"/>
              </w:rPr>
            </w:pPr>
            <w:r>
              <w:rPr>
                <w:rFonts w:hint="eastAsia" w:ascii="宋体" w:hAnsi="宋体"/>
                <w:color w:val="auto"/>
                <w:szCs w:val="21"/>
                <w:highlight w:val="none"/>
              </w:rPr>
              <w:t>员工总人数：</w:t>
            </w:r>
          </w:p>
        </w:tc>
      </w:tr>
      <w:tr w14:paraId="7C0C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648A2FA">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注册资本</w:t>
            </w:r>
          </w:p>
        </w:tc>
        <w:tc>
          <w:tcPr>
            <w:tcW w:w="3037" w:type="dxa"/>
            <w:gridSpan w:val="3"/>
          </w:tcPr>
          <w:p w14:paraId="2243872E">
            <w:pPr>
              <w:spacing w:line="360" w:lineRule="auto"/>
              <w:rPr>
                <w:rFonts w:ascii="宋体" w:hAnsi="宋体"/>
                <w:color w:val="auto"/>
                <w:szCs w:val="21"/>
                <w:highlight w:val="none"/>
              </w:rPr>
            </w:pPr>
          </w:p>
        </w:tc>
        <w:tc>
          <w:tcPr>
            <w:tcW w:w="415" w:type="dxa"/>
            <w:vMerge w:val="restart"/>
          </w:tcPr>
          <w:p w14:paraId="44264347">
            <w:pPr>
              <w:pStyle w:val="186"/>
              <w:spacing w:before="1" w:line="360" w:lineRule="auto"/>
              <w:ind w:left="103" w:right="72"/>
              <w:rPr>
                <w:rFonts w:ascii="宋体" w:hAnsi="宋体"/>
                <w:color w:val="auto"/>
                <w:szCs w:val="21"/>
                <w:highlight w:val="none"/>
              </w:rPr>
            </w:pPr>
          </w:p>
          <w:p w14:paraId="45DDBDCC">
            <w:pPr>
              <w:pStyle w:val="186"/>
              <w:spacing w:before="1" w:line="360" w:lineRule="auto"/>
              <w:ind w:left="103" w:right="72"/>
              <w:rPr>
                <w:rFonts w:ascii="宋体" w:hAnsi="宋体"/>
                <w:color w:val="auto"/>
                <w:szCs w:val="21"/>
                <w:highlight w:val="none"/>
              </w:rPr>
            </w:pPr>
            <w:r>
              <w:rPr>
                <w:rFonts w:hint="eastAsia" w:ascii="宋体" w:hAnsi="宋体"/>
                <w:color w:val="auto"/>
                <w:szCs w:val="21"/>
                <w:highlight w:val="none"/>
              </w:rPr>
              <w:t>其 中</w:t>
            </w:r>
          </w:p>
        </w:tc>
        <w:tc>
          <w:tcPr>
            <w:tcW w:w="1699" w:type="dxa"/>
            <w:gridSpan w:val="2"/>
          </w:tcPr>
          <w:p w14:paraId="1D0E30D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高级职称人员</w:t>
            </w:r>
          </w:p>
        </w:tc>
        <w:tc>
          <w:tcPr>
            <w:tcW w:w="1602" w:type="dxa"/>
            <w:gridSpan w:val="2"/>
          </w:tcPr>
          <w:p w14:paraId="3A045F02">
            <w:pPr>
              <w:spacing w:line="360" w:lineRule="auto"/>
              <w:rPr>
                <w:rFonts w:ascii="宋体" w:hAnsi="宋体"/>
                <w:color w:val="auto"/>
                <w:szCs w:val="21"/>
                <w:highlight w:val="none"/>
              </w:rPr>
            </w:pPr>
          </w:p>
        </w:tc>
      </w:tr>
      <w:tr w14:paraId="5F3D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56CF77C0">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成立日期</w:t>
            </w:r>
          </w:p>
        </w:tc>
        <w:tc>
          <w:tcPr>
            <w:tcW w:w="3037" w:type="dxa"/>
            <w:gridSpan w:val="3"/>
          </w:tcPr>
          <w:p w14:paraId="4046D9A3">
            <w:pPr>
              <w:spacing w:line="360" w:lineRule="auto"/>
              <w:rPr>
                <w:rFonts w:ascii="宋体" w:hAnsi="宋体"/>
                <w:color w:val="auto"/>
                <w:szCs w:val="21"/>
                <w:highlight w:val="none"/>
              </w:rPr>
            </w:pPr>
          </w:p>
        </w:tc>
        <w:tc>
          <w:tcPr>
            <w:tcW w:w="415" w:type="dxa"/>
            <w:vMerge w:val="continue"/>
          </w:tcPr>
          <w:p w14:paraId="65ADB8ED">
            <w:pPr>
              <w:spacing w:line="360" w:lineRule="auto"/>
              <w:rPr>
                <w:rFonts w:ascii="宋体" w:hAnsi="宋体"/>
                <w:color w:val="auto"/>
                <w:szCs w:val="21"/>
                <w:highlight w:val="none"/>
              </w:rPr>
            </w:pPr>
          </w:p>
        </w:tc>
        <w:tc>
          <w:tcPr>
            <w:tcW w:w="1699" w:type="dxa"/>
            <w:gridSpan w:val="2"/>
          </w:tcPr>
          <w:p w14:paraId="0FC3E628">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中级职称人员</w:t>
            </w:r>
          </w:p>
        </w:tc>
        <w:tc>
          <w:tcPr>
            <w:tcW w:w="1602" w:type="dxa"/>
            <w:gridSpan w:val="2"/>
          </w:tcPr>
          <w:p w14:paraId="20F88C4A">
            <w:pPr>
              <w:spacing w:line="360" w:lineRule="auto"/>
              <w:rPr>
                <w:rFonts w:ascii="宋体" w:hAnsi="宋体"/>
                <w:color w:val="auto"/>
                <w:szCs w:val="21"/>
                <w:highlight w:val="none"/>
              </w:rPr>
            </w:pPr>
          </w:p>
        </w:tc>
      </w:tr>
      <w:tr w14:paraId="20DD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51160E12">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基本账户开户银行</w:t>
            </w:r>
          </w:p>
        </w:tc>
        <w:tc>
          <w:tcPr>
            <w:tcW w:w="3037" w:type="dxa"/>
            <w:gridSpan w:val="3"/>
          </w:tcPr>
          <w:p w14:paraId="50DB351D">
            <w:pPr>
              <w:spacing w:line="360" w:lineRule="auto"/>
              <w:rPr>
                <w:rFonts w:ascii="宋体" w:hAnsi="宋体"/>
                <w:color w:val="auto"/>
                <w:szCs w:val="21"/>
                <w:highlight w:val="none"/>
              </w:rPr>
            </w:pPr>
          </w:p>
        </w:tc>
        <w:tc>
          <w:tcPr>
            <w:tcW w:w="415" w:type="dxa"/>
            <w:vMerge w:val="continue"/>
          </w:tcPr>
          <w:p w14:paraId="0C231A6D">
            <w:pPr>
              <w:spacing w:line="360" w:lineRule="auto"/>
              <w:rPr>
                <w:rFonts w:ascii="宋体" w:hAnsi="宋体"/>
                <w:color w:val="auto"/>
                <w:szCs w:val="21"/>
                <w:highlight w:val="none"/>
              </w:rPr>
            </w:pPr>
          </w:p>
        </w:tc>
        <w:tc>
          <w:tcPr>
            <w:tcW w:w="1699" w:type="dxa"/>
            <w:gridSpan w:val="2"/>
          </w:tcPr>
          <w:p w14:paraId="55F96B8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技术人员数量</w:t>
            </w:r>
          </w:p>
        </w:tc>
        <w:tc>
          <w:tcPr>
            <w:tcW w:w="1602" w:type="dxa"/>
            <w:gridSpan w:val="2"/>
          </w:tcPr>
          <w:p w14:paraId="4A9D54B7">
            <w:pPr>
              <w:spacing w:line="360" w:lineRule="auto"/>
              <w:rPr>
                <w:rFonts w:ascii="宋体" w:hAnsi="宋体"/>
                <w:color w:val="auto"/>
                <w:szCs w:val="21"/>
                <w:highlight w:val="none"/>
              </w:rPr>
            </w:pPr>
          </w:p>
        </w:tc>
      </w:tr>
      <w:tr w14:paraId="6C53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DDE30B8">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基本账户银行账号</w:t>
            </w:r>
          </w:p>
        </w:tc>
        <w:tc>
          <w:tcPr>
            <w:tcW w:w="3037" w:type="dxa"/>
            <w:gridSpan w:val="3"/>
          </w:tcPr>
          <w:p w14:paraId="2C624776">
            <w:pPr>
              <w:spacing w:line="360" w:lineRule="auto"/>
              <w:rPr>
                <w:rFonts w:ascii="宋体" w:hAnsi="宋体"/>
                <w:color w:val="auto"/>
                <w:szCs w:val="21"/>
                <w:highlight w:val="none"/>
              </w:rPr>
            </w:pPr>
          </w:p>
        </w:tc>
        <w:tc>
          <w:tcPr>
            <w:tcW w:w="415" w:type="dxa"/>
            <w:vMerge w:val="continue"/>
          </w:tcPr>
          <w:p w14:paraId="1F2BCE23">
            <w:pPr>
              <w:spacing w:line="360" w:lineRule="auto"/>
              <w:rPr>
                <w:rFonts w:ascii="宋体" w:hAnsi="宋体"/>
                <w:color w:val="auto"/>
                <w:szCs w:val="21"/>
                <w:highlight w:val="none"/>
              </w:rPr>
            </w:pPr>
          </w:p>
        </w:tc>
        <w:tc>
          <w:tcPr>
            <w:tcW w:w="1699" w:type="dxa"/>
            <w:gridSpan w:val="2"/>
          </w:tcPr>
          <w:p w14:paraId="60841716">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各类注册人员</w:t>
            </w:r>
          </w:p>
        </w:tc>
        <w:tc>
          <w:tcPr>
            <w:tcW w:w="1602" w:type="dxa"/>
            <w:gridSpan w:val="2"/>
          </w:tcPr>
          <w:p w14:paraId="0545C513">
            <w:pPr>
              <w:spacing w:line="360" w:lineRule="auto"/>
              <w:rPr>
                <w:rFonts w:ascii="宋体" w:hAnsi="宋体"/>
                <w:color w:val="auto"/>
                <w:szCs w:val="21"/>
                <w:highlight w:val="none"/>
              </w:rPr>
            </w:pPr>
          </w:p>
        </w:tc>
      </w:tr>
      <w:tr w14:paraId="46F3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7D142DC">
            <w:pPr>
              <w:pStyle w:val="186"/>
              <w:spacing w:before="107" w:line="360" w:lineRule="auto"/>
              <w:ind w:left="703"/>
              <w:rPr>
                <w:rFonts w:ascii="宋体" w:hAnsi="宋体"/>
                <w:color w:val="auto"/>
                <w:szCs w:val="21"/>
                <w:highlight w:val="none"/>
              </w:rPr>
            </w:pPr>
            <w:r>
              <w:rPr>
                <w:rFonts w:hint="eastAsia" w:ascii="宋体" w:hAnsi="宋体"/>
                <w:color w:val="auto"/>
                <w:szCs w:val="21"/>
                <w:highlight w:val="none"/>
              </w:rPr>
              <w:t>经营范围</w:t>
            </w:r>
          </w:p>
        </w:tc>
        <w:tc>
          <w:tcPr>
            <w:tcW w:w="6753" w:type="dxa"/>
            <w:gridSpan w:val="8"/>
          </w:tcPr>
          <w:p w14:paraId="07FD3C61">
            <w:pPr>
              <w:spacing w:line="360" w:lineRule="auto"/>
              <w:rPr>
                <w:rFonts w:ascii="宋体" w:hAnsi="宋体"/>
                <w:color w:val="auto"/>
                <w:szCs w:val="21"/>
                <w:highlight w:val="none"/>
              </w:rPr>
            </w:pPr>
          </w:p>
        </w:tc>
      </w:tr>
      <w:tr w14:paraId="540F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0D90C44A">
            <w:pPr>
              <w:pStyle w:val="186"/>
              <w:spacing w:before="107" w:line="360" w:lineRule="auto"/>
              <w:ind w:left="103" w:right="96" w:hanging="3"/>
              <w:jc w:val="center"/>
              <w:rPr>
                <w:rFonts w:ascii="宋体" w:hAnsi="宋体"/>
                <w:color w:val="auto"/>
                <w:szCs w:val="21"/>
                <w:highlight w:val="none"/>
              </w:rPr>
            </w:pPr>
            <w:r>
              <w:rPr>
                <w:rFonts w:hint="eastAsia" w:ascii="宋体" w:hAnsi="宋体"/>
                <w:color w:val="auto"/>
                <w:szCs w:val="21"/>
                <w:highlight w:val="none"/>
              </w:rPr>
              <w:t>供应商关联企业情</w:t>
            </w:r>
            <w:r>
              <w:rPr>
                <w:rFonts w:hint="eastAsia" w:ascii="宋体" w:hAnsi="宋体"/>
                <w:color w:val="auto"/>
                <w:spacing w:val="-8"/>
                <w:szCs w:val="21"/>
                <w:highlight w:val="none"/>
              </w:rPr>
              <w:t xml:space="preserve">况（包括但不限于与 </w:t>
            </w:r>
            <w:r>
              <w:rPr>
                <w:rFonts w:hint="eastAsia" w:ascii="宋体" w:hAnsi="宋体"/>
                <w:color w:val="auto"/>
                <w:szCs w:val="21"/>
                <w:highlight w:val="none"/>
              </w:rPr>
              <w:t xml:space="preserve">供应商法定代表人为同一人或者存在 </w:t>
            </w:r>
            <w:r>
              <w:rPr>
                <w:rFonts w:hint="eastAsia" w:ascii="宋体" w:hAnsi="宋体"/>
                <w:color w:val="auto"/>
                <w:spacing w:val="-8"/>
                <w:szCs w:val="21"/>
                <w:highlight w:val="none"/>
              </w:rPr>
              <w:t>控股、管理关系的不</w:t>
            </w:r>
            <w:r>
              <w:rPr>
                <w:rFonts w:hint="eastAsia" w:ascii="宋体" w:hAnsi="宋体"/>
                <w:color w:val="auto"/>
                <w:szCs w:val="21"/>
                <w:highlight w:val="none"/>
              </w:rPr>
              <w:t>同单位）</w:t>
            </w:r>
          </w:p>
        </w:tc>
        <w:tc>
          <w:tcPr>
            <w:tcW w:w="6753" w:type="dxa"/>
            <w:gridSpan w:val="8"/>
          </w:tcPr>
          <w:p w14:paraId="03B1C57C">
            <w:pPr>
              <w:spacing w:line="360" w:lineRule="auto"/>
              <w:rPr>
                <w:rFonts w:ascii="宋体" w:hAnsi="宋体"/>
                <w:color w:val="auto"/>
                <w:szCs w:val="21"/>
                <w:highlight w:val="none"/>
              </w:rPr>
            </w:pPr>
          </w:p>
        </w:tc>
      </w:tr>
      <w:tr w14:paraId="2327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14BB1F44">
            <w:pPr>
              <w:pStyle w:val="186"/>
              <w:spacing w:before="107" w:line="360" w:lineRule="auto"/>
              <w:ind w:left="158" w:right="154"/>
              <w:jc w:val="center"/>
              <w:rPr>
                <w:rFonts w:ascii="宋体" w:hAnsi="宋体"/>
                <w:color w:val="auto"/>
                <w:szCs w:val="21"/>
                <w:highlight w:val="none"/>
              </w:rPr>
            </w:pPr>
            <w:r>
              <w:rPr>
                <w:rFonts w:hint="eastAsia" w:ascii="宋体" w:hAnsi="宋体"/>
                <w:color w:val="auto"/>
                <w:szCs w:val="21"/>
                <w:highlight w:val="none"/>
              </w:rPr>
              <w:t>备注</w:t>
            </w:r>
          </w:p>
        </w:tc>
        <w:tc>
          <w:tcPr>
            <w:tcW w:w="6753" w:type="dxa"/>
            <w:gridSpan w:val="8"/>
          </w:tcPr>
          <w:p w14:paraId="06716535">
            <w:pPr>
              <w:spacing w:line="360" w:lineRule="auto"/>
              <w:rPr>
                <w:rFonts w:ascii="宋体" w:hAnsi="宋体"/>
                <w:color w:val="auto"/>
                <w:szCs w:val="21"/>
                <w:highlight w:val="none"/>
              </w:rPr>
            </w:pPr>
          </w:p>
        </w:tc>
      </w:tr>
    </w:tbl>
    <w:p w14:paraId="7F132C01">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备注：应附企业法人营业执照、企业基本账户开户证明等材料的</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。所有</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必应要清晰、字迹清楚，所提供的材料如发现为虚假材料，投标将被否决。</w:t>
      </w:r>
    </w:p>
    <w:p w14:paraId="067DB5D4">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cols w:space="720" w:num="1"/>
          <w:docGrid w:linePitch="312" w:charSpace="0"/>
        </w:sectPr>
      </w:pPr>
    </w:p>
    <w:p w14:paraId="0B6A651E">
      <w:pPr>
        <w:pStyle w:val="27"/>
        <w:spacing w:line="360" w:lineRule="auto"/>
        <w:jc w:val="center"/>
        <w:rPr>
          <w:b/>
          <w:bCs/>
          <w:color w:val="auto"/>
          <w:sz w:val="28"/>
          <w:szCs w:val="28"/>
          <w:highlight w:val="none"/>
        </w:rPr>
      </w:pPr>
      <w:r>
        <w:rPr>
          <w:rFonts w:hint="eastAsia"/>
          <w:b/>
          <w:bCs/>
          <w:color w:val="auto"/>
          <w:sz w:val="28"/>
          <w:szCs w:val="28"/>
          <w:highlight w:val="none"/>
        </w:rPr>
        <w:t>（二）近年财务状况</w:t>
      </w:r>
    </w:p>
    <w:p w14:paraId="0AFC092B">
      <w:pPr>
        <w:rPr>
          <w:color w:val="auto"/>
          <w:highlight w:val="none"/>
        </w:rPr>
      </w:pPr>
    </w:p>
    <w:p w14:paraId="68738BAF">
      <w:pPr>
        <w:widowControl/>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具有良好的商业信誉和健全的财务会计制度，提供202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度财务报表</w:t>
      </w:r>
      <w:r>
        <w:rPr>
          <w:rFonts w:hint="eastAsia" w:ascii="宋体" w:hAnsi="宋体" w:eastAsia="宋体" w:cs="宋体"/>
          <w:color w:val="auto"/>
          <w:kern w:val="0"/>
          <w:sz w:val="21"/>
          <w:szCs w:val="21"/>
          <w:highlight w:val="none"/>
          <w:lang w:val="en-US" w:eastAsia="zh-CN"/>
        </w:rPr>
        <w:t>扫描件，</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年至今成立的企业需提供银行资信证明</w:t>
      </w:r>
      <w:r>
        <w:rPr>
          <w:rFonts w:hint="eastAsia" w:ascii="宋体" w:hAnsi="宋体" w:eastAsia="宋体" w:cs="宋体"/>
          <w:color w:val="auto"/>
          <w:sz w:val="21"/>
          <w:szCs w:val="21"/>
          <w:highlight w:val="none"/>
          <w:lang w:val="en-US" w:eastAsia="zh-CN"/>
        </w:rPr>
        <w:t>或财务状况良好承诺书</w:t>
      </w:r>
      <w:r>
        <w:rPr>
          <w:rFonts w:hint="eastAsia" w:ascii="宋体" w:hAnsi="宋体" w:eastAsia="宋体" w:cs="宋体"/>
          <w:color w:val="auto"/>
          <w:kern w:val="2"/>
          <w:sz w:val="21"/>
          <w:szCs w:val="21"/>
          <w:highlight w:val="none"/>
          <w:lang w:val="en-US" w:eastAsia="zh-CN" w:bidi="ar-SA"/>
        </w:rPr>
        <w:t>；</w:t>
      </w:r>
    </w:p>
    <w:p w14:paraId="33B687B8">
      <w:pPr>
        <w:pStyle w:val="27"/>
        <w:jc w:val="center"/>
        <w:rPr>
          <w:color w:val="auto"/>
          <w:szCs w:val="24"/>
          <w:highlight w:val="none"/>
        </w:rPr>
      </w:pPr>
      <w:r>
        <w:rPr>
          <w:color w:val="auto"/>
          <w:szCs w:val="24"/>
          <w:highlight w:val="none"/>
        </w:rPr>
        <w:br w:type="page"/>
      </w:r>
    </w:p>
    <w:p w14:paraId="1C1D7CE1">
      <w:pPr>
        <w:pStyle w:val="27"/>
        <w:jc w:val="center"/>
        <w:rPr>
          <w:b/>
          <w:bCs/>
          <w:color w:val="auto"/>
          <w:sz w:val="24"/>
          <w:szCs w:val="24"/>
          <w:highlight w:val="none"/>
        </w:rPr>
      </w:pPr>
      <w:r>
        <w:rPr>
          <w:rFonts w:hint="eastAsia"/>
          <w:b/>
          <w:bCs/>
          <w:color w:val="auto"/>
          <w:sz w:val="28"/>
          <w:szCs w:val="28"/>
          <w:highlight w:val="none"/>
        </w:rPr>
        <w:t>（三）依法缴纳税收和社会保障资金的相关证明</w:t>
      </w:r>
    </w:p>
    <w:p w14:paraId="3608899B">
      <w:pPr>
        <w:widowControl/>
        <w:jc w:val="left"/>
        <w:rPr>
          <w:color w:val="auto"/>
          <w:sz w:val="24"/>
          <w:highlight w:val="none"/>
        </w:rPr>
      </w:pPr>
    </w:p>
    <w:p w14:paraId="4460CE51">
      <w:pPr>
        <w:spacing w:line="380" w:lineRule="exact"/>
        <w:rPr>
          <w:rFonts w:ascii="宋体" w:hAnsi="宋体" w:cs="宋体"/>
          <w:color w:val="auto"/>
          <w:sz w:val="24"/>
          <w:highlight w:val="none"/>
        </w:rPr>
      </w:pPr>
    </w:p>
    <w:p w14:paraId="5FE8976E">
      <w:pPr>
        <w:spacing w:line="380" w:lineRule="exact"/>
        <w:ind w:firstLine="480" w:firstLineChars="200"/>
        <w:rPr>
          <w:rFonts w:ascii="宋体" w:hAnsi="宋体" w:cs="宋体"/>
          <w:color w:val="auto"/>
          <w:sz w:val="24"/>
          <w:highlight w:val="none"/>
        </w:rPr>
      </w:pPr>
    </w:p>
    <w:p w14:paraId="3DADBC09">
      <w:pPr>
        <w:spacing w:line="38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w:t>
      </w:r>
    </w:p>
    <w:p w14:paraId="07945DB9">
      <w:pPr>
        <w:spacing w:line="38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Times New Roman"/>
          <w:color w:val="auto"/>
          <w:kern w:val="2"/>
          <w:sz w:val="21"/>
          <w:szCs w:val="21"/>
          <w:highlight w:val="none"/>
          <w:lang w:val="en-US" w:eastAsia="zh-CN" w:bidi="ar-SA"/>
        </w:rPr>
        <w:t>供应商具有依法缴纳税收和依法缴纳社会保障资金的良好记录，</w:t>
      </w:r>
      <w:r>
        <w:rPr>
          <w:rFonts w:hint="eastAsia" w:ascii="宋体" w:hAnsi="宋体" w:cs="Times New Roman"/>
          <w:color w:val="auto"/>
          <w:kern w:val="2"/>
          <w:sz w:val="21"/>
          <w:szCs w:val="21"/>
          <w:highlight w:val="none"/>
          <w:lang w:val="en-US" w:eastAsia="zh-CN" w:bidi="ar-SA"/>
        </w:rPr>
        <w:t>需提供近年内连续三个月</w:t>
      </w:r>
      <w:r>
        <w:rPr>
          <w:rFonts w:hint="eastAsia" w:ascii="宋体" w:hAnsi="宋体" w:eastAsia="宋体" w:cs="Times New Roman"/>
          <w:color w:val="auto"/>
          <w:kern w:val="2"/>
          <w:sz w:val="21"/>
          <w:szCs w:val="21"/>
          <w:highlight w:val="none"/>
          <w:lang w:val="en-US" w:eastAsia="zh-CN" w:bidi="ar-SA"/>
        </w:rPr>
        <w:t>依法缴纳税收和依法缴纳社会保障资金证明；</w:t>
      </w:r>
    </w:p>
    <w:p w14:paraId="5E4AA367">
      <w:pPr>
        <w:spacing w:line="380" w:lineRule="exact"/>
        <w:ind w:firstLine="440" w:firstLineChars="200"/>
        <w:rPr>
          <w:rFonts w:ascii="宋体" w:hAnsi="宋体" w:cs="宋体"/>
          <w:color w:val="auto"/>
          <w:sz w:val="22"/>
          <w:szCs w:val="20"/>
          <w:highlight w:val="none"/>
        </w:rPr>
      </w:pPr>
    </w:p>
    <w:p w14:paraId="612B42CB">
      <w:pPr>
        <w:spacing w:line="360" w:lineRule="auto"/>
        <w:jc w:val="center"/>
        <w:rPr>
          <w:color w:val="auto"/>
          <w:szCs w:val="21"/>
          <w:highlight w:val="none"/>
        </w:rPr>
      </w:pPr>
      <w:r>
        <w:rPr>
          <w:rFonts w:ascii="宋体" w:hAnsi="宋体" w:cs="宋体"/>
          <w:color w:val="auto"/>
          <w:sz w:val="22"/>
          <w:szCs w:val="20"/>
          <w:highlight w:val="none"/>
        </w:rPr>
        <w:br w:type="page"/>
      </w:r>
      <w:r>
        <w:rPr>
          <w:rFonts w:hint="eastAsia"/>
          <w:b/>
          <w:bCs/>
          <w:color w:val="auto"/>
          <w:sz w:val="28"/>
          <w:szCs w:val="28"/>
          <w:highlight w:val="none"/>
          <w:lang w:val="zh-CN"/>
        </w:rPr>
        <w:t>（四）</w:t>
      </w:r>
      <w:r>
        <w:rPr>
          <w:rFonts w:hint="eastAsia"/>
          <w:b/>
          <w:bCs/>
          <w:color w:val="auto"/>
          <w:sz w:val="28"/>
          <w:szCs w:val="28"/>
          <w:highlight w:val="none"/>
        </w:rPr>
        <w:t>近年完成的类似项目情况表</w:t>
      </w:r>
    </w:p>
    <w:tbl>
      <w:tblPr>
        <w:tblStyle w:val="50"/>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575"/>
        <w:gridCol w:w="2198"/>
        <w:gridCol w:w="3291"/>
      </w:tblGrid>
      <w:tr w14:paraId="00FD6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0615433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序号</w:t>
            </w:r>
          </w:p>
        </w:tc>
        <w:tc>
          <w:tcPr>
            <w:tcW w:w="2575" w:type="dxa"/>
            <w:noWrap w:val="0"/>
            <w:vAlign w:val="center"/>
          </w:tcPr>
          <w:p w14:paraId="2C708CE2">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合同名称/内容</w:t>
            </w:r>
          </w:p>
        </w:tc>
        <w:tc>
          <w:tcPr>
            <w:tcW w:w="2198" w:type="dxa"/>
            <w:noWrap w:val="0"/>
            <w:vAlign w:val="center"/>
          </w:tcPr>
          <w:p w14:paraId="206DE7A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合同金额</w:t>
            </w:r>
          </w:p>
        </w:tc>
        <w:tc>
          <w:tcPr>
            <w:tcW w:w="3291" w:type="dxa"/>
            <w:noWrap w:val="0"/>
            <w:vAlign w:val="center"/>
          </w:tcPr>
          <w:p w14:paraId="4B81EBE1">
            <w:pPr>
              <w:spacing w:before="240" w:beforeLines="100" w:line="480" w:lineRule="auto"/>
              <w:jc w:val="center"/>
              <w:rPr>
                <w:rFonts w:ascii="宋体" w:hAnsi="宋体"/>
                <w:color w:val="auto"/>
                <w:sz w:val="21"/>
                <w:szCs w:val="21"/>
                <w:highlight w:val="none"/>
              </w:rPr>
            </w:pPr>
            <w:r>
              <w:rPr>
                <w:rFonts w:hint="eastAsia" w:ascii="宋体"/>
                <w:color w:val="auto"/>
                <w:sz w:val="21"/>
                <w:szCs w:val="21"/>
                <w:highlight w:val="none"/>
              </w:rPr>
              <w:t>合同签订日期（年）</w:t>
            </w:r>
          </w:p>
        </w:tc>
      </w:tr>
      <w:tr w14:paraId="283B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7193E9C4">
            <w:pPr>
              <w:widowControl w:val="0"/>
              <w:rPr>
                <w:rFonts w:ascii="宋体" w:hAnsi="宋体"/>
                <w:color w:val="auto"/>
                <w:szCs w:val="21"/>
                <w:highlight w:val="none"/>
              </w:rPr>
            </w:pPr>
          </w:p>
        </w:tc>
        <w:tc>
          <w:tcPr>
            <w:tcW w:w="2575" w:type="dxa"/>
            <w:noWrap w:val="0"/>
            <w:vAlign w:val="top"/>
          </w:tcPr>
          <w:p w14:paraId="13FE8FC8">
            <w:pPr>
              <w:widowControl w:val="0"/>
              <w:rPr>
                <w:rFonts w:ascii="宋体" w:hAnsi="宋体"/>
                <w:color w:val="auto"/>
                <w:szCs w:val="21"/>
                <w:highlight w:val="none"/>
              </w:rPr>
            </w:pPr>
          </w:p>
        </w:tc>
        <w:tc>
          <w:tcPr>
            <w:tcW w:w="2198" w:type="dxa"/>
            <w:noWrap w:val="0"/>
            <w:vAlign w:val="top"/>
          </w:tcPr>
          <w:p w14:paraId="471EBDC5">
            <w:pPr>
              <w:widowControl w:val="0"/>
              <w:rPr>
                <w:rFonts w:ascii="宋体" w:hAnsi="宋体"/>
                <w:color w:val="auto"/>
                <w:szCs w:val="21"/>
                <w:highlight w:val="none"/>
              </w:rPr>
            </w:pPr>
          </w:p>
        </w:tc>
        <w:tc>
          <w:tcPr>
            <w:tcW w:w="3291" w:type="dxa"/>
            <w:noWrap w:val="0"/>
            <w:vAlign w:val="top"/>
          </w:tcPr>
          <w:p w14:paraId="3D024ACD">
            <w:pPr>
              <w:widowControl w:val="0"/>
              <w:spacing w:line="200" w:lineRule="exact"/>
              <w:jc w:val="left"/>
              <w:rPr>
                <w:rFonts w:ascii="宋体" w:hAnsi="宋体"/>
                <w:color w:val="auto"/>
                <w:sz w:val="24"/>
                <w:highlight w:val="none"/>
              </w:rPr>
            </w:pPr>
          </w:p>
        </w:tc>
      </w:tr>
      <w:tr w14:paraId="36C3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880" w:type="dxa"/>
            <w:noWrap w:val="0"/>
            <w:vAlign w:val="center"/>
          </w:tcPr>
          <w:p w14:paraId="7BE89089">
            <w:pPr>
              <w:widowControl w:val="0"/>
              <w:rPr>
                <w:rFonts w:ascii="宋体" w:hAnsi="宋体"/>
                <w:color w:val="auto"/>
                <w:szCs w:val="21"/>
                <w:highlight w:val="none"/>
              </w:rPr>
            </w:pPr>
          </w:p>
        </w:tc>
        <w:tc>
          <w:tcPr>
            <w:tcW w:w="2575" w:type="dxa"/>
            <w:noWrap w:val="0"/>
            <w:vAlign w:val="top"/>
          </w:tcPr>
          <w:p w14:paraId="51985339">
            <w:pPr>
              <w:widowControl w:val="0"/>
              <w:rPr>
                <w:rFonts w:ascii="宋体" w:hAnsi="宋体"/>
                <w:color w:val="auto"/>
                <w:szCs w:val="21"/>
                <w:highlight w:val="none"/>
              </w:rPr>
            </w:pPr>
          </w:p>
        </w:tc>
        <w:tc>
          <w:tcPr>
            <w:tcW w:w="2198" w:type="dxa"/>
            <w:noWrap w:val="0"/>
            <w:vAlign w:val="top"/>
          </w:tcPr>
          <w:p w14:paraId="6285C73C">
            <w:pPr>
              <w:widowControl w:val="0"/>
              <w:rPr>
                <w:rFonts w:ascii="宋体" w:hAnsi="宋体"/>
                <w:color w:val="auto"/>
                <w:szCs w:val="21"/>
                <w:highlight w:val="none"/>
              </w:rPr>
            </w:pPr>
          </w:p>
        </w:tc>
        <w:tc>
          <w:tcPr>
            <w:tcW w:w="3291" w:type="dxa"/>
            <w:noWrap w:val="0"/>
            <w:vAlign w:val="top"/>
          </w:tcPr>
          <w:p w14:paraId="287BB303">
            <w:pPr>
              <w:widowControl w:val="0"/>
              <w:spacing w:line="200" w:lineRule="exact"/>
              <w:jc w:val="left"/>
              <w:rPr>
                <w:rFonts w:ascii="宋体" w:hAnsi="宋体"/>
                <w:color w:val="auto"/>
                <w:sz w:val="24"/>
                <w:highlight w:val="none"/>
              </w:rPr>
            </w:pPr>
          </w:p>
        </w:tc>
      </w:tr>
      <w:tr w14:paraId="6EB7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6D6B7508">
            <w:pPr>
              <w:widowControl w:val="0"/>
              <w:rPr>
                <w:rFonts w:ascii="宋体" w:hAnsi="宋体"/>
                <w:color w:val="auto"/>
                <w:szCs w:val="21"/>
                <w:highlight w:val="none"/>
              </w:rPr>
            </w:pPr>
          </w:p>
        </w:tc>
        <w:tc>
          <w:tcPr>
            <w:tcW w:w="2575" w:type="dxa"/>
            <w:noWrap w:val="0"/>
            <w:vAlign w:val="top"/>
          </w:tcPr>
          <w:p w14:paraId="0ABBB386">
            <w:pPr>
              <w:widowControl w:val="0"/>
              <w:rPr>
                <w:rFonts w:ascii="宋体" w:hAnsi="宋体"/>
                <w:color w:val="auto"/>
                <w:szCs w:val="21"/>
                <w:highlight w:val="none"/>
              </w:rPr>
            </w:pPr>
          </w:p>
        </w:tc>
        <w:tc>
          <w:tcPr>
            <w:tcW w:w="2198" w:type="dxa"/>
            <w:noWrap w:val="0"/>
            <w:vAlign w:val="top"/>
          </w:tcPr>
          <w:p w14:paraId="55C51435">
            <w:pPr>
              <w:widowControl w:val="0"/>
              <w:rPr>
                <w:rFonts w:ascii="宋体" w:hAnsi="宋体"/>
                <w:color w:val="auto"/>
                <w:szCs w:val="21"/>
                <w:highlight w:val="none"/>
              </w:rPr>
            </w:pPr>
          </w:p>
        </w:tc>
        <w:tc>
          <w:tcPr>
            <w:tcW w:w="3291" w:type="dxa"/>
            <w:noWrap w:val="0"/>
            <w:vAlign w:val="top"/>
          </w:tcPr>
          <w:p w14:paraId="0CBA1F11">
            <w:pPr>
              <w:widowControl w:val="0"/>
              <w:spacing w:line="200" w:lineRule="exact"/>
              <w:jc w:val="left"/>
              <w:rPr>
                <w:rFonts w:ascii="宋体" w:hAnsi="宋体"/>
                <w:color w:val="auto"/>
                <w:sz w:val="24"/>
                <w:highlight w:val="none"/>
              </w:rPr>
            </w:pPr>
          </w:p>
        </w:tc>
      </w:tr>
      <w:tr w14:paraId="6E23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3B4DD11C">
            <w:pPr>
              <w:widowControl w:val="0"/>
              <w:rPr>
                <w:rFonts w:ascii="宋体" w:hAnsi="宋体"/>
                <w:color w:val="auto"/>
                <w:szCs w:val="21"/>
                <w:highlight w:val="none"/>
              </w:rPr>
            </w:pPr>
          </w:p>
        </w:tc>
        <w:tc>
          <w:tcPr>
            <w:tcW w:w="2575" w:type="dxa"/>
            <w:noWrap w:val="0"/>
            <w:vAlign w:val="top"/>
          </w:tcPr>
          <w:p w14:paraId="2F833BE3">
            <w:pPr>
              <w:widowControl w:val="0"/>
              <w:rPr>
                <w:rFonts w:ascii="宋体" w:hAnsi="宋体"/>
                <w:color w:val="auto"/>
                <w:szCs w:val="21"/>
                <w:highlight w:val="none"/>
              </w:rPr>
            </w:pPr>
          </w:p>
        </w:tc>
        <w:tc>
          <w:tcPr>
            <w:tcW w:w="2198" w:type="dxa"/>
            <w:noWrap w:val="0"/>
            <w:vAlign w:val="top"/>
          </w:tcPr>
          <w:p w14:paraId="236EC344">
            <w:pPr>
              <w:widowControl w:val="0"/>
              <w:rPr>
                <w:rFonts w:ascii="宋体" w:hAnsi="宋体"/>
                <w:color w:val="auto"/>
                <w:szCs w:val="21"/>
                <w:highlight w:val="none"/>
              </w:rPr>
            </w:pPr>
          </w:p>
        </w:tc>
        <w:tc>
          <w:tcPr>
            <w:tcW w:w="3291" w:type="dxa"/>
            <w:noWrap w:val="0"/>
            <w:vAlign w:val="top"/>
          </w:tcPr>
          <w:p w14:paraId="425269BD">
            <w:pPr>
              <w:widowControl w:val="0"/>
              <w:rPr>
                <w:rFonts w:ascii="宋体" w:hAnsi="宋体"/>
                <w:color w:val="auto"/>
                <w:szCs w:val="21"/>
                <w:highlight w:val="none"/>
              </w:rPr>
            </w:pPr>
          </w:p>
        </w:tc>
      </w:tr>
      <w:tr w14:paraId="3F9D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B1BDAAB">
            <w:pPr>
              <w:widowControl w:val="0"/>
              <w:rPr>
                <w:rFonts w:ascii="宋体" w:hAnsi="宋体"/>
                <w:color w:val="auto"/>
                <w:szCs w:val="21"/>
                <w:highlight w:val="none"/>
              </w:rPr>
            </w:pPr>
          </w:p>
        </w:tc>
        <w:tc>
          <w:tcPr>
            <w:tcW w:w="2575" w:type="dxa"/>
            <w:noWrap w:val="0"/>
            <w:vAlign w:val="top"/>
          </w:tcPr>
          <w:p w14:paraId="7B22945A">
            <w:pPr>
              <w:widowControl w:val="0"/>
              <w:rPr>
                <w:rFonts w:ascii="宋体" w:hAnsi="宋体"/>
                <w:color w:val="auto"/>
                <w:szCs w:val="21"/>
                <w:highlight w:val="none"/>
              </w:rPr>
            </w:pPr>
          </w:p>
        </w:tc>
        <w:tc>
          <w:tcPr>
            <w:tcW w:w="2198" w:type="dxa"/>
            <w:noWrap w:val="0"/>
            <w:vAlign w:val="top"/>
          </w:tcPr>
          <w:p w14:paraId="66879ACA">
            <w:pPr>
              <w:widowControl w:val="0"/>
              <w:rPr>
                <w:rFonts w:ascii="宋体" w:hAnsi="宋体"/>
                <w:color w:val="auto"/>
                <w:szCs w:val="21"/>
                <w:highlight w:val="none"/>
              </w:rPr>
            </w:pPr>
          </w:p>
        </w:tc>
        <w:tc>
          <w:tcPr>
            <w:tcW w:w="3291" w:type="dxa"/>
            <w:noWrap w:val="0"/>
            <w:vAlign w:val="top"/>
          </w:tcPr>
          <w:p w14:paraId="4ED00C02">
            <w:pPr>
              <w:widowControl w:val="0"/>
              <w:rPr>
                <w:rFonts w:ascii="宋体" w:hAnsi="宋体"/>
                <w:color w:val="auto"/>
                <w:szCs w:val="21"/>
                <w:highlight w:val="none"/>
              </w:rPr>
            </w:pPr>
          </w:p>
        </w:tc>
      </w:tr>
      <w:tr w14:paraId="3F9D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702FB23">
            <w:pPr>
              <w:widowControl w:val="0"/>
              <w:rPr>
                <w:rFonts w:ascii="宋体" w:hAnsi="宋体"/>
                <w:color w:val="auto"/>
                <w:szCs w:val="21"/>
                <w:highlight w:val="none"/>
              </w:rPr>
            </w:pPr>
          </w:p>
        </w:tc>
        <w:tc>
          <w:tcPr>
            <w:tcW w:w="2575" w:type="dxa"/>
            <w:noWrap w:val="0"/>
            <w:vAlign w:val="top"/>
          </w:tcPr>
          <w:p w14:paraId="0AD92665">
            <w:pPr>
              <w:widowControl w:val="0"/>
              <w:rPr>
                <w:rFonts w:ascii="宋体" w:hAnsi="宋体"/>
                <w:color w:val="auto"/>
                <w:szCs w:val="21"/>
                <w:highlight w:val="none"/>
              </w:rPr>
            </w:pPr>
          </w:p>
        </w:tc>
        <w:tc>
          <w:tcPr>
            <w:tcW w:w="2198" w:type="dxa"/>
            <w:noWrap w:val="0"/>
            <w:vAlign w:val="top"/>
          </w:tcPr>
          <w:p w14:paraId="796C6FB1">
            <w:pPr>
              <w:widowControl w:val="0"/>
              <w:rPr>
                <w:rFonts w:ascii="宋体" w:hAnsi="宋体"/>
                <w:color w:val="auto"/>
                <w:szCs w:val="21"/>
                <w:highlight w:val="none"/>
              </w:rPr>
            </w:pPr>
          </w:p>
        </w:tc>
        <w:tc>
          <w:tcPr>
            <w:tcW w:w="3291" w:type="dxa"/>
            <w:noWrap w:val="0"/>
            <w:vAlign w:val="top"/>
          </w:tcPr>
          <w:p w14:paraId="7AF2B9CF">
            <w:pPr>
              <w:widowControl w:val="0"/>
              <w:rPr>
                <w:rFonts w:ascii="宋体" w:hAnsi="宋体"/>
                <w:color w:val="auto"/>
                <w:szCs w:val="21"/>
                <w:highlight w:val="none"/>
              </w:rPr>
            </w:pPr>
          </w:p>
        </w:tc>
      </w:tr>
      <w:tr w14:paraId="08B4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D2F6162">
            <w:pPr>
              <w:widowControl w:val="0"/>
              <w:rPr>
                <w:rFonts w:ascii="宋体" w:hAnsi="宋体"/>
                <w:color w:val="auto"/>
                <w:szCs w:val="21"/>
                <w:highlight w:val="none"/>
              </w:rPr>
            </w:pPr>
          </w:p>
        </w:tc>
        <w:tc>
          <w:tcPr>
            <w:tcW w:w="2575" w:type="dxa"/>
            <w:noWrap w:val="0"/>
            <w:vAlign w:val="top"/>
          </w:tcPr>
          <w:p w14:paraId="485DA7FC">
            <w:pPr>
              <w:widowControl w:val="0"/>
              <w:rPr>
                <w:rFonts w:ascii="宋体" w:hAnsi="宋体"/>
                <w:color w:val="auto"/>
                <w:szCs w:val="21"/>
                <w:highlight w:val="none"/>
              </w:rPr>
            </w:pPr>
          </w:p>
        </w:tc>
        <w:tc>
          <w:tcPr>
            <w:tcW w:w="2198" w:type="dxa"/>
            <w:noWrap w:val="0"/>
            <w:vAlign w:val="top"/>
          </w:tcPr>
          <w:p w14:paraId="47C63E23">
            <w:pPr>
              <w:widowControl w:val="0"/>
              <w:rPr>
                <w:rFonts w:ascii="宋体" w:hAnsi="宋体"/>
                <w:color w:val="auto"/>
                <w:szCs w:val="21"/>
                <w:highlight w:val="none"/>
              </w:rPr>
            </w:pPr>
          </w:p>
        </w:tc>
        <w:tc>
          <w:tcPr>
            <w:tcW w:w="3291" w:type="dxa"/>
            <w:noWrap w:val="0"/>
            <w:vAlign w:val="top"/>
          </w:tcPr>
          <w:p w14:paraId="4D2B569C">
            <w:pPr>
              <w:widowControl w:val="0"/>
              <w:rPr>
                <w:rFonts w:ascii="宋体" w:hAnsi="宋体"/>
                <w:color w:val="auto"/>
                <w:szCs w:val="21"/>
                <w:highlight w:val="none"/>
              </w:rPr>
            </w:pPr>
          </w:p>
        </w:tc>
      </w:tr>
      <w:tr w14:paraId="400E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79E069CD">
            <w:pPr>
              <w:widowControl w:val="0"/>
              <w:rPr>
                <w:rFonts w:ascii="宋体" w:hAnsi="宋体"/>
                <w:color w:val="auto"/>
                <w:szCs w:val="21"/>
                <w:highlight w:val="none"/>
              </w:rPr>
            </w:pPr>
          </w:p>
        </w:tc>
        <w:tc>
          <w:tcPr>
            <w:tcW w:w="2575" w:type="dxa"/>
            <w:noWrap w:val="0"/>
            <w:vAlign w:val="top"/>
          </w:tcPr>
          <w:p w14:paraId="0927AFCA">
            <w:pPr>
              <w:widowControl w:val="0"/>
              <w:rPr>
                <w:rFonts w:ascii="宋体" w:hAnsi="宋体"/>
                <w:color w:val="auto"/>
                <w:szCs w:val="21"/>
                <w:highlight w:val="none"/>
              </w:rPr>
            </w:pPr>
          </w:p>
        </w:tc>
        <w:tc>
          <w:tcPr>
            <w:tcW w:w="2198" w:type="dxa"/>
            <w:noWrap w:val="0"/>
            <w:vAlign w:val="top"/>
          </w:tcPr>
          <w:p w14:paraId="1E0AFE21">
            <w:pPr>
              <w:widowControl w:val="0"/>
              <w:rPr>
                <w:rFonts w:ascii="宋体" w:hAnsi="宋体"/>
                <w:color w:val="auto"/>
                <w:szCs w:val="21"/>
                <w:highlight w:val="none"/>
              </w:rPr>
            </w:pPr>
          </w:p>
        </w:tc>
        <w:tc>
          <w:tcPr>
            <w:tcW w:w="3291" w:type="dxa"/>
            <w:noWrap w:val="0"/>
            <w:vAlign w:val="top"/>
          </w:tcPr>
          <w:p w14:paraId="38C10F51">
            <w:pPr>
              <w:widowControl w:val="0"/>
              <w:rPr>
                <w:rFonts w:ascii="宋体" w:hAnsi="宋体"/>
                <w:color w:val="auto"/>
                <w:szCs w:val="21"/>
                <w:highlight w:val="none"/>
              </w:rPr>
            </w:pPr>
          </w:p>
        </w:tc>
      </w:tr>
      <w:tr w14:paraId="2C36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880" w:type="dxa"/>
            <w:noWrap w:val="0"/>
            <w:vAlign w:val="center"/>
          </w:tcPr>
          <w:p w14:paraId="06D75430">
            <w:pPr>
              <w:widowControl w:val="0"/>
              <w:rPr>
                <w:rFonts w:ascii="宋体" w:hAnsi="宋体"/>
                <w:color w:val="auto"/>
                <w:szCs w:val="21"/>
                <w:highlight w:val="none"/>
              </w:rPr>
            </w:pPr>
          </w:p>
        </w:tc>
        <w:tc>
          <w:tcPr>
            <w:tcW w:w="2575" w:type="dxa"/>
            <w:noWrap w:val="0"/>
            <w:vAlign w:val="top"/>
          </w:tcPr>
          <w:p w14:paraId="46D4C653">
            <w:pPr>
              <w:widowControl w:val="0"/>
              <w:rPr>
                <w:rFonts w:ascii="宋体" w:hAnsi="宋体"/>
                <w:color w:val="auto"/>
                <w:szCs w:val="21"/>
                <w:highlight w:val="none"/>
              </w:rPr>
            </w:pPr>
          </w:p>
        </w:tc>
        <w:tc>
          <w:tcPr>
            <w:tcW w:w="2198" w:type="dxa"/>
            <w:noWrap w:val="0"/>
            <w:vAlign w:val="top"/>
          </w:tcPr>
          <w:p w14:paraId="62EC69DE">
            <w:pPr>
              <w:widowControl w:val="0"/>
              <w:rPr>
                <w:rFonts w:ascii="宋体" w:hAnsi="宋体"/>
                <w:color w:val="auto"/>
                <w:szCs w:val="21"/>
                <w:highlight w:val="none"/>
              </w:rPr>
            </w:pPr>
          </w:p>
        </w:tc>
        <w:tc>
          <w:tcPr>
            <w:tcW w:w="3291" w:type="dxa"/>
            <w:noWrap w:val="0"/>
            <w:vAlign w:val="top"/>
          </w:tcPr>
          <w:p w14:paraId="286359E2">
            <w:pPr>
              <w:widowControl w:val="0"/>
              <w:spacing w:line="200" w:lineRule="exact"/>
              <w:jc w:val="left"/>
              <w:rPr>
                <w:rFonts w:ascii="宋体" w:hAnsi="宋体"/>
                <w:color w:val="auto"/>
                <w:sz w:val="24"/>
                <w:highlight w:val="none"/>
              </w:rPr>
            </w:pPr>
          </w:p>
        </w:tc>
      </w:tr>
      <w:tr w14:paraId="4ABF1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80" w:type="dxa"/>
            <w:noWrap w:val="0"/>
            <w:vAlign w:val="center"/>
          </w:tcPr>
          <w:p w14:paraId="4F68218E">
            <w:pPr>
              <w:widowControl w:val="0"/>
              <w:rPr>
                <w:rFonts w:ascii="宋体" w:hAnsi="宋体"/>
                <w:color w:val="auto"/>
                <w:szCs w:val="21"/>
                <w:highlight w:val="none"/>
              </w:rPr>
            </w:pPr>
          </w:p>
        </w:tc>
        <w:tc>
          <w:tcPr>
            <w:tcW w:w="2575" w:type="dxa"/>
            <w:noWrap w:val="0"/>
            <w:vAlign w:val="top"/>
          </w:tcPr>
          <w:p w14:paraId="7292EC3D">
            <w:pPr>
              <w:widowControl w:val="0"/>
              <w:rPr>
                <w:rFonts w:ascii="宋体" w:hAnsi="宋体"/>
                <w:color w:val="auto"/>
                <w:szCs w:val="21"/>
                <w:highlight w:val="none"/>
              </w:rPr>
            </w:pPr>
          </w:p>
        </w:tc>
        <w:tc>
          <w:tcPr>
            <w:tcW w:w="2198" w:type="dxa"/>
            <w:noWrap w:val="0"/>
            <w:vAlign w:val="top"/>
          </w:tcPr>
          <w:p w14:paraId="0D34461D">
            <w:pPr>
              <w:widowControl w:val="0"/>
              <w:rPr>
                <w:rFonts w:ascii="宋体" w:hAnsi="宋体"/>
                <w:color w:val="auto"/>
                <w:szCs w:val="21"/>
                <w:highlight w:val="none"/>
              </w:rPr>
            </w:pPr>
          </w:p>
        </w:tc>
        <w:tc>
          <w:tcPr>
            <w:tcW w:w="3291" w:type="dxa"/>
            <w:noWrap w:val="0"/>
            <w:vAlign w:val="top"/>
          </w:tcPr>
          <w:p w14:paraId="58C90124">
            <w:pPr>
              <w:widowControl w:val="0"/>
              <w:spacing w:line="200" w:lineRule="exact"/>
              <w:jc w:val="left"/>
              <w:rPr>
                <w:rFonts w:ascii="宋体" w:hAnsi="宋体"/>
                <w:color w:val="auto"/>
                <w:sz w:val="24"/>
                <w:highlight w:val="none"/>
              </w:rPr>
            </w:pPr>
          </w:p>
        </w:tc>
      </w:tr>
    </w:tbl>
    <w:p w14:paraId="636CBE29">
      <w:pPr>
        <w:spacing w:line="440" w:lineRule="exact"/>
        <w:ind w:left="630" w:hanging="630" w:hangingChars="300"/>
        <w:rPr>
          <w:rFonts w:hint="eastAsia" w:ascii="宋体" w:hAnsi="宋体"/>
          <w:color w:val="auto"/>
          <w:szCs w:val="21"/>
          <w:highlight w:val="none"/>
        </w:rPr>
      </w:pPr>
    </w:p>
    <w:p w14:paraId="64D50B73">
      <w:pPr>
        <w:spacing w:line="440" w:lineRule="exact"/>
        <w:ind w:left="630" w:hanging="630" w:hangingChars="300"/>
        <w:rPr>
          <w:rFonts w:hint="eastAsia" w:ascii="宋体" w:hAnsi="宋体"/>
          <w:color w:val="auto"/>
          <w:szCs w:val="21"/>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w:t>
      </w:r>
    </w:p>
    <w:p w14:paraId="4A5C1A7B">
      <w:pPr>
        <w:spacing w:line="440" w:lineRule="exact"/>
        <w:ind w:left="630" w:hanging="630" w:hangingChars="300"/>
        <w:rPr>
          <w:rFonts w:hint="eastAsia" w:ascii="宋体" w:hAnsi="宋体"/>
          <w:color w:val="auto"/>
          <w:szCs w:val="21"/>
          <w:highlight w:val="none"/>
        </w:rPr>
      </w:pPr>
    </w:p>
    <w:p w14:paraId="5D2E1B3E">
      <w:pPr>
        <w:pStyle w:val="20"/>
        <w:spacing w:before="37" w:line="360" w:lineRule="auto"/>
        <w:ind w:firstLine="591" w:firstLineChars="270"/>
        <w:rPr>
          <w:color w:val="auto"/>
          <w:sz w:val="21"/>
          <w:szCs w:val="21"/>
          <w:highlight w:val="none"/>
        </w:rPr>
      </w:pPr>
    </w:p>
    <w:p w14:paraId="6B8CC2CD">
      <w:pPr>
        <w:pStyle w:val="20"/>
        <w:spacing w:before="37" w:line="360" w:lineRule="auto"/>
        <w:ind w:firstLine="591" w:firstLineChars="270"/>
        <w:rPr>
          <w:color w:val="auto"/>
          <w:sz w:val="21"/>
          <w:szCs w:val="21"/>
          <w:highlight w:val="none"/>
        </w:rPr>
      </w:pPr>
    </w:p>
    <w:p w14:paraId="18AC3A92">
      <w:pPr>
        <w:pStyle w:val="20"/>
        <w:spacing w:before="37" w:line="360" w:lineRule="auto"/>
        <w:rPr>
          <w:color w:val="auto"/>
          <w:sz w:val="21"/>
          <w:szCs w:val="21"/>
          <w:highlight w:val="none"/>
        </w:rPr>
      </w:pPr>
    </w:p>
    <w:p w14:paraId="79766EE5">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zh-CN"/>
        </w:rPr>
        <w:t>）拟委任的主要人员汇总表</w:t>
      </w:r>
    </w:p>
    <w:tbl>
      <w:tblPr>
        <w:tblStyle w:val="50"/>
        <w:tblpPr w:leftFromText="180" w:rightFromText="180" w:vertAnchor="text" w:horzAnchor="page" w:tblpX="1540" w:tblpY="19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96"/>
        <w:gridCol w:w="996"/>
        <w:gridCol w:w="996"/>
        <w:gridCol w:w="996"/>
        <w:gridCol w:w="1292"/>
        <w:gridCol w:w="996"/>
        <w:gridCol w:w="996"/>
        <w:gridCol w:w="987"/>
      </w:tblGrid>
      <w:tr w14:paraId="6525C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88" w:type="dxa"/>
            <w:vMerge w:val="restart"/>
            <w:noWrap w:val="0"/>
            <w:vAlign w:val="center"/>
          </w:tcPr>
          <w:p w14:paraId="78971DD1">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96" w:type="dxa"/>
            <w:vMerge w:val="restart"/>
            <w:noWrap w:val="0"/>
            <w:vAlign w:val="center"/>
          </w:tcPr>
          <w:p w14:paraId="109827C5">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本项目任职</w:t>
            </w:r>
          </w:p>
        </w:tc>
        <w:tc>
          <w:tcPr>
            <w:tcW w:w="996" w:type="dxa"/>
            <w:vMerge w:val="restart"/>
            <w:noWrap w:val="0"/>
            <w:vAlign w:val="center"/>
          </w:tcPr>
          <w:p w14:paraId="284C6050">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姓名</w:t>
            </w:r>
          </w:p>
        </w:tc>
        <w:tc>
          <w:tcPr>
            <w:tcW w:w="996" w:type="dxa"/>
            <w:vMerge w:val="restart"/>
            <w:noWrap w:val="0"/>
            <w:vAlign w:val="center"/>
          </w:tcPr>
          <w:p w14:paraId="2BC5F6E2">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职称</w:t>
            </w:r>
          </w:p>
        </w:tc>
        <w:tc>
          <w:tcPr>
            <w:tcW w:w="996" w:type="dxa"/>
            <w:vMerge w:val="restart"/>
            <w:noWrap w:val="0"/>
            <w:vAlign w:val="center"/>
          </w:tcPr>
          <w:p w14:paraId="1037642F">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专业</w:t>
            </w:r>
          </w:p>
        </w:tc>
        <w:tc>
          <w:tcPr>
            <w:tcW w:w="3284" w:type="dxa"/>
            <w:gridSpan w:val="3"/>
            <w:noWrap w:val="0"/>
            <w:vAlign w:val="center"/>
          </w:tcPr>
          <w:p w14:paraId="15EEDA44">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987" w:type="dxa"/>
            <w:vMerge w:val="restart"/>
            <w:noWrap w:val="0"/>
            <w:vAlign w:val="center"/>
          </w:tcPr>
          <w:p w14:paraId="080AEDB5">
            <w:pPr>
              <w:adjustRightInd w:val="0"/>
              <w:snapToGrid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备注</w:t>
            </w:r>
            <w:r>
              <w:rPr>
                <w:rFonts w:hint="eastAsia" w:ascii="宋体" w:hAnsi="宋体"/>
                <w:color w:val="auto"/>
                <w:sz w:val="21"/>
                <w:szCs w:val="21"/>
                <w:highlight w:val="none"/>
                <w:lang w:eastAsia="zh-CN"/>
              </w:rPr>
              <w:t>（</w:t>
            </w:r>
            <w:r>
              <w:rPr>
                <w:rFonts w:hint="eastAsia"/>
                <w:color w:val="auto"/>
                <w:sz w:val="21"/>
                <w:szCs w:val="21"/>
                <w:highlight w:val="none"/>
                <w:lang w:val="en-US" w:eastAsia="zh-CN"/>
              </w:rPr>
              <w:t>本行业从事年</w:t>
            </w:r>
            <w:r>
              <w:rPr>
                <w:rFonts w:hint="eastAsia" w:ascii="宋体" w:hAnsi="宋体"/>
                <w:color w:val="auto"/>
                <w:sz w:val="21"/>
                <w:szCs w:val="21"/>
                <w:highlight w:val="none"/>
                <w:lang w:val="en-US" w:eastAsia="zh-CN"/>
              </w:rPr>
              <w:t>限</w:t>
            </w:r>
            <w:r>
              <w:rPr>
                <w:rFonts w:hint="eastAsia" w:ascii="宋体" w:hAnsi="宋体"/>
                <w:color w:val="auto"/>
                <w:sz w:val="21"/>
                <w:szCs w:val="21"/>
                <w:highlight w:val="none"/>
                <w:lang w:eastAsia="zh-CN"/>
              </w:rPr>
              <w:t>）</w:t>
            </w:r>
          </w:p>
        </w:tc>
      </w:tr>
      <w:tr w14:paraId="48290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88" w:type="dxa"/>
            <w:vMerge w:val="continue"/>
            <w:noWrap w:val="0"/>
            <w:vAlign w:val="top"/>
          </w:tcPr>
          <w:p w14:paraId="6C44752F">
            <w:pPr>
              <w:adjustRightInd w:val="0"/>
              <w:snapToGrid w:val="0"/>
              <w:jc w:val="left"/>
              <w:rPr>
                <w:rFonts w:hint="eastAsia" w:ascii="宋体" w:hAnsi="宋体"/>
                <w:color w:val="auto"/>
                <w:highlight w:val="none"/>
              </w:rPr>
            </w:pPr>
          </w:p>
        </w:tc>
        <w:tc>
          <w:tcPr>
            <w:tcW w:w="996" w:type="dxa"/>
            <w:vMerge w:val="continue"/>
            <w:noWrap w:val="0"/>
            <w:vAlign w:val="top"/>
          </w:tcPr>
          <w:p w14:paraId="10DC2A6C">
            <w:pPr>
              <w:adjustRightInd w:val="0"/>
              <w:snapToGrid w:val="0"/>
              <w:jc w:val="left"/>
              <w:rPr>
                <w:rFonts w:hint="eastAsia" w:ascii="宋体" w:hAnsi="宋体"/>
                <w:color w:val="auto"/>
                <w:highlight w:val="none"/>
              </w:rPr>
            </w:pPr>
          </w:p>
        </w:tc>
        <w:tc>
          <w:tcPr>
            <w:tcW w:w="996" w:type="dxa"/>
            <w:vMerge w:val="continue"/>
            <w:noWrap w:val="0"/>
            <w:vAlign w:val="top"/>
          </w:tcPr>
          <w:p w14:paraId="713BF448">
            <w:pPr>
              <w:adjustRightInd w:val="0"/>
              <w:snapToGrid w:val="0"/>
              <w:jc w:val="left"/>
              <w:rPr>
                <w:rFonts w:hint="eastAsia" w:ascii="宋体" w:hAnsi="宋体"/>
                <w:color w:val="auto"/>
                <w:sz w:val="24"/>
                <w:highlight w:val="none"/>
              </w:rPr>
            </w:pPr>
          </w:p>
        </w:tc>
        <w:tc>
          <w:tcPr>
            <w:tcW w:w="996" w:type="dxa"/>
            <w:vMerge w:val="continue"/>
            <w:noWrap w:val="0"/>
            <w:vAlign w:val="top"/>
          </w:tcPr>
          <w:p w14:paraId="24973221">
            <w:pPr>
              <w:adjustRightInd w:val="0"/>
              <w:snapToGrid w:val="0"/>
              <w:jc w:val="left"/>
              <w:rPr>
                <w:rFonts w:hint="eastAsia" w:ascii="宋体" w:hAnsi="宋体"/>
                <w:color w:val="auto"/>
                <w:sz w:val="24"/>
                <w:highlight w:val="none"/>
              </w:rPr>
            </w:pPr>
          </w:p>
        </w:tc>
        <w:tc>
          <w:tcPr>
            <w:tcW w:w="996" w:type="dxa"/>
            <w:vMerge w:val="continue"/>
            <w:noWrap w:val="0"/>
            <w:vAlign w:val="top"/>
          </w:tcPr>
          <w:p w14:paraId="2857BE51">
            <w:pPr>
              <w:adjustRightInd w:val="0"/>
              <w:snapToGrid w:val="0"/>
              <w:jc w:val="left"/>
              <w:rPr>
                <w:rFonts w:hint="eastAsia" w:ascii="宋体" w:hAnsi="宋体"/>
                <w:color w:val="auto"/>
                <w:sz w:val="24"/>
                <w:highlight w:val="none"/>
              </w:rPr>
            </w:pPr>
          </w:p>
        </w:tc>
        <w:tc>
          <w:tcPr>
            <w:tcW w:w="1292" w:type="dxa"/>
            <w:noWrap w:val="0"/>
            <w:vAlign w:val="center"/>
          </w:tcPr>
          <w:p w14:paraId="624AB11C">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证书名称</w:t>
            </w:r>
          </w:p>
        </w:tc>
        <w:tc>
          <w:tcPr>
            <w:tcW w:w="996" w:type="dxa"/>
            <w:noWrap w:val="0"/>
            <w:vAlign w:val="center"/>
          </w:tcPr>
          <w:p w14:paraId="5A9584EA">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级别</w:t>
            </w:r>
          </w:p>
        </w:tc>
        <w:tc>
          <w:tcPr>
            <w:tcW w:w="996" w:type="dxa"/>
            <w:noWrap w:val="0"/>
            <w:vAlign w:val="center"/>
          </w:tcPr>
          <w:p w14:paraId="6D9685F7">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证号</w:t>
            </w:r>
          </w:p>
        </w:tc>
        <w:tc>
          <w:tcPr>
            <w:tcW w:w="987" w:type="dxa"/>
            <w:vMerge w:val="continue"/>
            <w:noWrap w:val="0"/>
            <w:vAlign w:val="center"/>
          </w:tcPr>
          <w:p w14:paraId="712592DB">
            <w:pPr>
              <w:adjustRightInd w:val="0"/>
              <w:snapToGrid w:val="0"/>
              <w:jc w:val="center"/>
              <w:rPr>
                <w:rFonts w:ascii="宋体" w:hAnsi="宋体"/>
                <w:color w:val="auto"/>
                <w:sz w:val="24"/>
                <w:highlight w:val="none"/>
              </w:rPr>
            </w:pPr>
          </w:p>
        </w:tc>
      </w:tr>
      <w:tr w14:paraId="1248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7D9C0D5">
            <w:pPr>
              <w:adjustRightInd w:val="0"/>
              <w:snapToGrid w:val="0"/>
              <w:jc w:val="center"/>
              <w:rPr>
                <w:rFonts w:ascii="宋体" w:hAnsi="宋体"/>
                <w:color w:val="auto"/>
                <w:sz w:val="24"/>
                <w:highlight w:val="none"/>
              </w:rPr>
            </w:pPr>
          </w:p>
        </w:tc>
        <w:tc>
          <w:tcPr>
            <w:tcW w:w="996" w:type="dxa"/>
            <w:noWrap w:val="0"/>
            <w:vAlign w:val="center"/>
          </w:tcPr>
          <w:p w14:paraId="6FF3C318">
            <w:pPr>
              <w:adjustRightInd w:val="0"/>
              <w:snapToGrid w:val="0"/>
              <w:jc w:val="center"/>
              <w:rPr>
                <w:rFonts w:ascii="宋体" w:hAnsi="宋体"/>
                <w:color w:val="auto"/>
                <w:sz w:val="24"/>
                <w:highlight w:val="none"/>
              </w:rPr>
            </w:pPr>
          </w:p>
        </w:tc>
        <w:tc>
          <w:tcPr>
            <w:tcW w:w="996" w:type="dxa"/>
            <w:noWrap w:val="0"/>
            <w:vAlign w:val="center"/>
          </w:tcPr>
          <w:p w14:paraId="6A397CFD">
            <w:pPr>
              <w:adjustRightInd w:val="0"/>
              <w:snapToGrid w:val="0"/>
              <w:jc w:val="center"/>
              <w:rPr>
                <w:rFonts w:ascii="宋体" w:hAnsi="宋体"/>
                <w:color w:val="auto"/>
                <w:sz w:val="24"/>
                <w:highlight w:val="none"/>
              </w:rPr>
            </w:pPr>
          </w:p>
        </w:tc>
        <w:tc>
          <w:tcPr>
            <w:tcW w:w="996" w:type="dxa"/>
            <w:noWrap w:val="0"/>
            <w:vAlign w:val="center"/>
          </w:tcPr>
          <w:p w14:paraId="7300FE15">
            <w:pPr>
              <w:adjustRightInd w:val="0"/>
              <w:snapToGrid w:val="0"/>
              <w:jc w:val="center"/>
              <w:rPr>
                <w:rFonts w:ascii="宋体" w:hAnsi="宋体"/>
                <w:color w:val="auto"/>
                <w:sz w:val="24"/>
                <w:highlight w:val="none"/>
              </w:rPr>
            </w:pPr>
          </w:p>
        </w:tc>
        <w:tc>
          <w:tcPr>
            <w:tcW w:w="996" w:type="dxa"/>
            <w:noWrap w:val="0"/>
            <w:vAlign w:val="center"/>
          </w:tcPr>
          <w:p w14:paraId="59E897E3">
            <w:pPr>
              <w:adjustRightInd w:val="0"/>
              <w:snapToGrid w:val="0"/>
              <w:jc w:val="center"/>
              <w:rPr>
                <w:rFonts w:ascii="宋体" w:hAnsi="宋体"/>
                <w:color w:val="auto"/>
                <w:sz w:val="24"/>
                <w:highlight w:val="none"/>
              </w:rPr>
            </w:pPr>
          </w:p>
        </w:tc>
        <w:tc>
          <w:tcPr>
            <w:tcW w:w="1292" w:type="dxa"/>
            <w:noWrap w:val="0"/>
            <w:vAlign w:val="center"/>
          </w:tcPr>
          <w:p w14:paraId="6B2C4110">
            <w:pPr>
              <w:adjustRightInd w:val="0"/>
              <w:snapToGrid w:val="0"/>
              <w:jc w:val="center"/>
              <w:rPr>
                <w:rFonts w:ascii="宋体" w:hAnsi="宋体"/>
                <w:color w:val="auto"/>
                <w:sz w:val="24"/>
                <w:highlight w:val="none"/>
              </w:rPr>
            </w:pPr>
          </w:p>
        </w:tc>
        <w:tc>
          <w:tcPr>
            <w:tcW w:w="996" w:type="dxa"/>
            <w:noWrap w:val="0"/>
            <w:vAlign w:val="center"/>
          </w:tcPr>
          <w:p w14:paraId="3BAE6403">
            <w:pPr>
              <w:adjustRightInd w:val="0"/>
              <w:snapToGrid w:val="0"/>
              <w:jc w:val="center"/>
              <w:rPr>
                <w:rFonts w:ascii="宋体" w:hAnsi="宋体"/>
                <w:color w:val="auto"/>
                <w:sz w:val="24"/>
                <w:highlight w:val="none"/>
              </w:rPr>
            </w:pPr>
          </w:p>
        </w:tc>
        <w:tc>
          <w:tcPr>
            <w:tcW w:w="996" w:type="dxa"/>
            <w:noWrap w:val="0"/>
            <w:vAlign w:val="center"/>
          </w:tcPr>
          <w:p w14:paraId="30CBC980">
            <w:pPr>
              <w:adjustRightInd w:val="0"/>
              <w:snapToGrid w:val="0"/>
              <w:jc w:val="center"/>
              <w:rPr>
                <w:rFonts w:ascii="宋体" w:hAnsi="宋体"/>
                <w:color w:val="auto"/>
                <w:sz w:val="24"/>
                <w:highlight w:val="none"/>
              </w:rPr>
            </w:pPr>
          </w:p>
        </w:tc>
        <w:tc>
          <w:tcPr>
            <w:tcW w:w="987" w:type="dxa"/>
            <w:noWrap w:val="0"/>
            <w:vAlign w:val="center"/>
          </w:tcPr>
          <w:p w14:paraId="3A879CF2">
            <w:pPr>
              <w:adjustRightInd w:val="0"/>
              <w:snapToGrid w:val="0"/>
              <w:jc w:val="center"/>
              <w:rPr>
                <w:rFonts w:ascii="宋体" w:hAnsi="宋体"/>
                <w:color w:val="auto"/>
                <w:sz w:val="24"/>
                <w:highlight w:val="none"/>
              </w:rPr>
            </w:pPr>
          </w:p>
        </w:tc>
      </w:tr>
      <w:tr w14:paraId="565C6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0D88FEDE">
            <w:pPr>
              <w:widowControl w:val="0"/>
              <w:spacing w:line="200" w:lineRule="exact"/>
              <w:jc w:val="center"/>
              <w:rPr>
                <w:rFonts w:ascii="宋体" w:hAnsi="宋体"/>
                <w:color w:val="auto"/>
                <w:sz w:val="24"/>
                <w:highlight w:val="none"/>
              </w:rPr>
            </w:pPr>
          </w:p>
        </w:tc>
        <w:tc>
          <w:tcPr>
            <w:tcW w:w="996" w:type="dxa"/>
            <w:noWrap w:val="0"/>
            <w:vAlign w:val="center"/>
          </w:tcPr>
          <w:p w14:paraId="4BBBBB6B">
            <w:pPr>
              <w:widowControl w:val="0"/>
              <w:spacing w:line="200" w:lineRule="exact"/>
              <w:jc w:val="center"/>
              <w:rPr>
                <w:rFonts w:ascii="宋体" w:hAnsi="宋体"/>
                <w:color w:val="auto"/>
                <w:sz w:val="24"/>
                <w:highlight w:val="none"/>
              </w:rPr>
            </w:pPr>
          </w:p>
        </w:tc>
        <w:tc>
          <w:tcPr>
            <w:tcW w:w="996" w:type="dxa"/>
            <w:noWrap w:val="0"/>
            <w:vAlign w:val="center"/>
          </w:tcPr>
          <w:p w14:paraId="7B6D0A8F">
            <w:pPr>
              <w:widowControl w:val="0"/>
              <w:spacing w:line="200" w:lineRule="exact"/>
              <w:jc w:val="center"/>
              <w:rPr>
                <w:rFonts w:ascii="宋体" w:hAnsi="宋体"/>
                <w:color w:val="auto"/>
                <w:sz w:val="24"/>
                <w:highlight w:val="none"/>
              </w:rPr>
            </w:pPr>
          </w:p>
        </w:tc>
        <w:tc>
          <w:tcPr>
            <w:tcW w:w="996" w:type="dxa"/>
            <w:noWrap w:val="0"/>
            <w:vAlign w:val="center"/>
          </w:tcPr>
          <w:p w14:paraId="3AC849C0">
            <w:pPr>
              <w:widowControl w:val="0"/>
              <w:spacing w:line="200" w:lineRule="exact"/>
              <w:jc w:val="center"/>
              <w:rPr>
                <w:rFonts w:ascii="宋体" w:hAnsi="宋体"/>
                <w:color w:val="auto"/>
                <w:sz w:val="24"/>
                <w:highlight w:val="none"/>
              </w:rPr>
            </w:pPr>
          </w:p>
        </w:tc>
        <w:tc>
          <w:tcPr>
            <w:tcW w:w="996" w:type="dxa"/>
            <w:noWrap w:val="0"/>
            <w:vAlign w:val="center"/>
          </w:tcPr>
          <w:p w14:paraId="39EAFC0B">
            <w:pPr>
              <w:widowControl w:val="0"/>
              <w:spacing w:line="200" w:lineRule="exact"/>
              <w:jc w:val="center"/>
              <w:rPr>
                <w:rFonts w:ascii="宋体" w:hAnsi="宋体"/>
                <w:color w:val="auto"/>
                <w:sz w:val="24"/>
                <w:highlight w:val="none"/>
              </w:rPr>
            </w:pPr>
          </w:p>
        </w:tc>
        <w:tc>
          <w:tcPr>
            <w:tcW w:w="1292" w:type="dxa"/>
            <w:noWrap w:val="0"/>
            <w:vAlign w:val="center"/>
          </w:tcPr>
          <w:p w14:paraId="7F72431D">
            <w:pPr>
              <w:widowControl w:val="0"/>
              <w:spacing w:line="200" w:lineRule="exact"/>
              <w:jc w:val="center"/>
              <w:rPr>
                <w:rFonts w:ascii="宋体" w:hAnsi="宋体"/>
                <w:color w:val="auto"/>
                <w:sz w:val="24"/>
                <w:highlight w:val="none"/>
              </w:rPr>
            </w:pPr>
          </w:p>
        </w:tc>
        <w:tc>
          <w:tcPr>
            <w:tcW w:w="996" w:type="dxa"/>
            <w:noWrap w:val="0"/>
            <w:vAlign w:val="center"/>
          </w:tcPr>
          <w:p w14:paraId="60F0109D">
            <w:pPr>
              <w:widowControl w:val="0"/>
              <w:spacing w:line="200" w:lineRule="exact"/>
              <w:jc w:val="center"/>
              <w:rPr>
                <w:rFonts w:ascii="宋体" w:hAnsi="宋体"/>
                <w:color w:val="auto"/>
                <w:sz w:val="24"/>
                <w:highlight w:val="none"/>
              </w:rPr>
            </w:pPr>
          </w:p>
        </w:tc>
        <w:tc>
          <w:tcPr>
            <w:tcW w:w="996" w:type="dxa"/>
            <w:noWrap w:val="0"/>
            <w:vAlign w:val="center"/>
          </w:tcPr>
          <w:p w14:paraId="0184A060">
            <w:pPr>
              <w:widowControl w:val="0"/>
              <w:spacing w:line="200" w:lineRule="exact"/>
              <w:jc w:val="center"/>
              <w:rPr>
                <w:rFonts w:ascii="宋体" w:hAnsi="宋体"/>
                <w:color w:val="auto"/>
                <w:sz w:val="24"/>
                <w:highlight w:val="none"/>
              </w:rPr>
            </w:pPr>
          </w:p>
        </w:tc>
        <w:tc>
          <w:tcPr>
            <w:tcW w:w="987" w:type="dxa"/>
            <w:noWrap w:val="0"/>
            <w:vAlign w:val="center"/>
          </w:tcPr>
          <w:p w14:paraId="0FBADE57">
            <w:pPr>
              <w:widowControl w:val="0"/>
              <w:spacing w:line="200" w:lineRule="exact"/>
              <w:jc w:val="center"/>
              <w:rPr>
                <w:rFonts w:ascii="宋体" w:hAnsi="宋体"/>
                <w:color w:val="auto"/>
                <w:sz w:val="24"/>
                <w:highlight w:val="none"/>
              </w:rPr>
            </w:pPr>
          </w:p>
        </w:tc>
      </w:tr>
      <w:tr w14:paraId="57C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41B09419">
            <w:pPr>
              <w:widowControl w:val="0"/>
              <w:spacing w:line="200" w:lineRule="exact"/>
              <w:jc w:val="center"/>
              <w:rPr>
                <w:rFonts w:ascii="宋体" w:hAnsi="宋体"/>
                <w:color w:val="auto"/>
                <w:sz w:val="24"/>
                <w:highlight w:val="none"/>
              </w:rPr>
            </w:pPr>
          </w:p>
        </w:tc>
        <w:tc>
          <w:tcPr>
            <w:tcW w:w="996" w:type="dxa"/>
            <w:noWrap w:val="0"/>
            <w:vAlign w:val="center"/>
          </w:tcPr>
          <w:p w14:paraId="69CD621A">
            <w:pPr>
              <w:widowControl w:val="0"/>
              <w:spacing w:line="200" w:lineRule="exact"/>
              <w:jc w:val="center"/>
              <w:rPr>
                <w:rFonts w:ascii="宋体" w:hAnsi="宋体"/>
                <w:color w:val="auto"/>
                <w:sz w:val="24"/>
                <w:highlight w:val="none"/>
              </w:rPr>
            </w:pPr>
          </w:p>
        </w:tc>
        <w:tc>
          <w:tcPr>
            <w:tcW w:w="996" w:type="dxa"/>
            <w:noWrap w:val="0"/>
            <w:vAlign w:val="center"/>
          </w:tcPr>
          <w:p w14:paraId="22E633D0">
            <w:pPr>
              <w:widowControl w:val="0"/>
              <w:spacing w:line="200" w:lineRule="exact"/>
              <w:jc w:val="center"/>
              <w:rPr>
                <w:rFonts w:ascii="宋体" w:hAnsi="宋体"/>
                <w:color w:val="auto"/>
                <w:sz w:val="24"/>
                <w:highlight w:val="none"/>
              </w:rPr>
            </w:pPr>
          </w:p>
        </w:tc>
        <w:tc>
          <w:tcPr>
            <w:tcW w:w="996" w:type="dxa"/>
            <w:noWrap w:val="0"/>
            <w:vAlign w:val="center"/>
          </w:tcPr>
          <w:p w14:paraId="345CF629">
            <w:pPr>
              <w:widowControl w:val="0"/>
              <w:spacing w:line="200" w:lineRule="exact"/>
              <w:jc w:val="center"/>
              <w:rPr>
                <w:rFonts w:ascii="宋体" w:hAnsi="宋体"/>
                <w:color w:val="auto"/>
                <w:sz w:val="24"/>
                <w:highlight w:val="none"/>
              </w:rPr>
            </w:pPr>
          </w:p>
        </w:tc>
        <w:tc>
          <w:tcPr>
            <w:tcW w:w="996" w:type="dxa"/>
            <w:noWrap w:val="0"/>
            <w:vAlign w:val="center"/>
          </w:tcPr>
          <w:p w14:paraId="6E884DC4">
            <w:pPr>
              <w:widowControl w:val="0"/>
              <w:spacing w:line="200" w:lineRule="exact"/>
              <w:jc w:val="center"/>
              <w:rPr>
                <w:rFonts w:ascii="宋体" w:hAnsi="宋体"/>
                <w:color w:val="auto"/>
                <w:sz w:val="24"/>
                <w:highlight w:val="none"/>
              </w:rPr>
            </w:pPr>
          </w:p>
        </w:tc>
        <w:tc>
          <w:tcPr>
            <w:tcW w:w="1292" w:type="dxa"/>
            <w:noWrap w:val="0"/>
            <w:vAlign w:val="center"/>
          </w:tcPr>
          <w:p w14:paraId="412B4910">
            <w:pPr>
              <w:widowControl w:val="0"/>
              <w:spacing w:line="200" w:lineRule="exact"/>
              <w:jc w:val="center"/>
              <w:rPr>
                <w:rFonts w:ascii="宋体" w:hAnsi="宋体"/>
                <w:color w:val="auto"/>
                <w:sz w:val="24"/>
                <w:highlight w:val="none"/>
              </w:rPr>
            </w:pPr>
          </w:p>
        </w:tc>
        <w:tc>
          <w:tcPr>
            <w:tcW w:w="996" w:type="dxa"/>
            <w:noWrap w:val="0"/>
            <w:vAlign w:val="center"/>
          </w:tcPr>
          <w:p w14:paraId="72209472">
            <w:pPr>
              <w:widowControl w:val="0"/>
              <w:spacing w:line="200" w:lineRule="exact"/>
              <w:jc w:val="center"/>
              <w:rPr>
                <w:rFonts w:ascii="宋体" w:hAnsi="宋体"/>
                <w:color w:val="auto"/>
                <w:sz w:val="24"/>
                <w:highlight w:val="none"/>
              </w:rPr>
            </w:pPr>
          </w:p>
        </w:tc>
        <w:tc>
          <w:tcPr>
            <w:tcW w:w="996" w:type="dxa"/>
            <w:noWrap w:val="0"/>
            <w:vAlign w:val="center"/>
          </w:tcPr>
          <w:p w14:paraId="3E0C0762">
            <w:pPr>
              <w:widowControl w:val="0"/>
              <w:spacing w:line="200" w:lineRule="exact"/>
              <w:jc w:val="center"/>
              <w:rPr>
                <w:rFonts w:ascii="宋体" w:hAnsi="宋体"/>
                <w:color w:val="auto"/>
                <w:sz w:val="24"/>
                <w:highlight w:val="none"/>
              </w:rPr>
            </w:pPr>
          </w:p>
        </w:tc>
        <w:tc>
          <w:tcPr>
            <w:tcW w:w="987" w:type="dxa"/>
            <w:noWrap w:val="0"/>
            <w:vAlign w:val="center"/>
          </w:tcPr>
          <w:p w14:paraId="7CE12CF0">
            <w:pPr>
              <w:widowControl w:val="0"/>
              <w:spacing w:line="200" w:lineRule="exact"/>
              <w:jc w:val="center"/>
              <w:rPr>
                <w:rFonts w:ascii="宋体" w:hAnsi="宋体"/>
                <w:color w:val="auto"/>
                <w:sz w:val="24"/>
                <w:highlight w:val="none"/>
              </w:rPr>
            </w:pPr>
          </w:p>
        </w:tc>
      </w:tr>
      <w:tr w14:paraId="3A1AF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9E470B6">
            <w:pPr>
              <w:widowControl w:val="0"/>
              <w:spacing w:line="200" w:lineRule="exact"/>
              <w:jc w:val="center"/>
              <w:rPr>
                <w:rFonts w:ascii="宋体" w:hAnsi="宋体"/>
                <w:color w:val="auto"/>
                <w:sz w:val="24"/>
                <w:highlight w:val="none"/>
              </w:rPr>
            </w:pPr>
          </w:p>
        </w:tc>
        <w:tc>
          <w:tcPr>
            <w:tcW w:w="996" w:type="dxa"/>
            <w:noWrap w:val="0"/>
            <w:vAlign w:val="center"/>
          </w:tcPr>
          <w:p w14:paraId="0876781E">
            <w:pPr>
              <w:widowControl w:val="0"/>
              <w:spacing w:line="200" w:lineRule="exact"/>
              <w:jc w:val="center"/>
              <w:rPr>
                <w:rFonts w:ascii="宋体" w:hAnsi="宋体"/>
                <w:color w:val="auto"/>
                <w:sz w:val="24"/>
                <w:highlight w:val="none"/>
              </w:rPr>
            </w:pPr>
          </w:p>
        </w:tc>
        <w:tc>
          <w:tcPr>
            <w:tcW w:w="996" w:type="dxa"/>
            <w:noWrap w:val="0"/>
            <w:vAlign w:val="center"/>
          </w:tcPr>
          <w:p w14:paraId="1AADFF1C">
            <w:pPr>
              <w:widowControl w:val="0"/>
              <w:spacing w:line="200" w:lineRule="exact"/>
              <w:jc w:val="center"/>
              <w:rPr>
                <w:rFonts w:ascii="宋体" w:hAnsi="宋体"/>
                <w:color w:val="auto"/>
                <w:sz w:val="24"/>
                <w:highlight w:val="none"/>
              </w:rPr>
            </w:pPr>
          </w:p>
        </w:tc>
        <w:tc>
          <w:tcPr>
            <w:tcW w:w="996" w:type="dxa"/>
            <w:noWrap w:val="0"/>
            <w:vAlign w:val="center"/>
          </w:tcPr>
          <w:p w14:paraId="20A9D04C">
            <w:pPr>
              <w:widowControl w:val="0"/>
              <w:spacing w:line="200" w:lineRule="exact"/>
              <w:jc w:val="center"/>
              <w:rPr>
                <w:rFonts w:ascii="宋体" w:hAnsi="宋体"/>
                <w:color w:val="auto"/>
                <w:sz w:val="24"/>
                <w:highlight w:val="none"/>
              </w:rPr>
            </w:pPr>
          </w:p>
        </w:tc>
        <w:tc>
          <w:tcPr>
            <w:tcW w:w="996" w:type="dxa"/>
            <w:noWrap w:val="0"/>
            <w:vAlign w:val="center"/>
          </w:tcPr>
          <w:p w14:paraId="0A560074">
            <w:pPr>
              <w:widowControl w:val="0"/>
              <w:spacing w:line="200" w:lineRule="exact"/>
              <w:jc w:val="center"/>
              <w:rPr>
                <w:rFonts w:ascii="宋体" w:hAnsi="宋体"/>
                <w:color w:val="auto"/>
                <w:sz w:val="24"/>
                <w:highlight w:val="none"/>
              </w:rPr>
            </w:pPr>
          </w:p>
        </w:tc>
        <w:tc>
          <w:tcPr>
            <w:tcW w:w="1292" w:type="dxa"/>
            <w:noWrap w:val="0"/>
            <w:vAlign w:val="center"/>
          </w:tcPr>
          <w:p w14:paraId="64E50D33">
            <w:pPr>
              <w:widowControl w:val="0"/>
              <w:spacing w:line="200" w:lineRule="exact"/>
              <w:jc w:val="center"/>
              <w:rPr>
                <w:rFonts w:ascii="宋体" w:hAnsi="宋体"/>
                <w:color w:val="auto"/>
                <w:sz w:val="24"/>
                <w:highlight w:val="none"/>
              </w:rPr>
            </w:pPr>
          </w:p>
        </w:tc>
        <w:tc>
          <w:tcPr>
            <w:tcW w:w="996" w:type="dxa"/>
            <w:noWrap w:val="0"/>
            <w:vAlign w:val="center"/>
          </w:tcPr>
          <w:p w14:paraId="2EAE3448">
            <w:pPr>
              <w:widowControl w:val="0"/>
              <w:spacing w:line="200" w:lineRule="exact"/>
              <w:jc w:val="center"/>
              <w:rPr>
                <w:rFonts w:ascii="宋体" w:hAnsi="宋体"/>
                <w:color w:val="auto"/>
                <w:sz w:val="24"/>
                <w:highlight w:val="none"/>
              </w:rPr>
            </w:pPr>
          </w:p>
        </w:tc>
        <w:tc>
          <w:tcPr>
            <w:tcW w:w="996" w:type="dxa"/>
            <w:noWrap w:val="0"/>
            <w:vAlign w:val="center"/>
          </w:tcPr>
          <w:p w14:paraId="32FE04C0">
            <w:pPr>
              <w:widowControl w:val="0"/>
              <w:spacing w:line="200" w:lineRule="exact"/>
              <w:jc w:val="center"/>
              <w:rPr>
                <w:rFonts w:ascii="宋体" w:hAnsi="宋体"/>
                <w:color w:val="auto"/>
                <w:sz w:val="24"/>
                <w:highlight w:val="none"/>
              </w:rPr>
            </w:pPr>
          </w:p>
        </w:tc>
        <w:tc>
          <w:tcPr>
            <w:tcW w:w="987" w:type="dxa"/>
            <w:noWrap w:val="0"/>
            <w:vAlign w:val="center"/>
          </w:tcPr>
          <w:p w14:paraId="2C25AE8A">
            <w:pPr>
              <w:widowControl w:val="0"/>
              <w:spacing w:line="200" w:lineRule="exact"/>
              <w:jc w:val="center"/>
              <w:rPr>
                <w:rFonts w:ascii="宋体" w:hAnsi="宋体"/>
                <w:color w:val="auto"/>
                <w:sz w:val="24"/>
                <w:highlight w:val="none"/>
              </w:rPr>
            </w:pPr>
          </w:p>
        </w:tc>
      </w:tr>
      <w:tr w14:paraId="38A8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788D3F3">
            <w:pPr>
              <w:widowControl w:val="0"/>
              <w:spacing w:line="200" w:lineRule="exact"/>
              <w:jc w:val="center"/>
              <w:rPr>
                <w:rFonts w:ascii="宋体" w:hAnsi="宋体"/>
                <w:color w:val="auto"/>
                <w:sz w:val="24"/>
                <w:highlight w:val="none"/>
              </w:rPr>
            </w:pPr>
          </w:p>
        </w:tc>
        <w:tc>
          <w:tcPr>
            <w:tcW w:w="996" w:type="dxa"/>
            <w:noWrap w:val="0"/>
            <w:vAlign w:val="center"/>
          </w:tcPr>
          <w:p w14:paraId="24B2EA0F">
            <w:pPr>
              <w:widowControl w:val="0"/>
              <w:spacing w:line="200" w:lineRule="exact"/>
              <w:jc w:val="center"/>
              <w:rPr>
                <w:rFonts w:ascii="宋体" w:hAnsi="宋体"/>
                <w:color w:val="auto"/>
                <w:sz w:val="24"/>
                <w:highlight w:val="none"/>
              </w:rPr>
            </w:pPr>
          </w:p>
        </w:tc>
        <w:tc>
          <w:tcPr>
            <w:tcW w:w="996" w:type="dxa"/>
            <w:noWrap w:val="0"/>
            <w:vAlign w:val="center"/>
          </w:tcPr>
          <w:p w14:paraId="67C2AC6A">
            <w:pPr>
              <w:widowControl w:val="0"/>
              <w:spacing w:line="200" w:lineRule="exact"/>
              <w:jc w:val="center"/>
              <w:rPr>
                <w:rFonts w:ascii="宋体" w:hAnsi="宋体"/>
                <w:color w:val="auto"/>
                <w:sz w:val="24"/>
                <w:highlight w:val="none"/>
              </w:rPr>
            </w:pPr>
          </w:p>
        </w:tc>
        <w:tc>
          <w:tcPr>
            <w:tcW w:w="996" w:type="dxa"/>
            <w:noWrap w:val="0"/>
            <w:vAlign w:val="center"/>
          </w:tcPr>
          <w:p w14:paraId="1D3B56DB">
            <w:pPr>
              <w:widowControl w:val="0"/>
              <w:spacing w:line="200" w:lineRule="exact"/>
              <w:jc w:val="center"/>
              <w:rPr>
                <w:rFonts w:ascii="宋体" w:hAnsi="宋体"/>
                <w:color w:val="auto"/>
                <w:sz w:val="24"/>
                <w:highlight w:val="none"/>
              </w:rPr>
            </w:pPr>
          </w:p>
        </w:tc>
        <w:tc>
          <w:tcPr>
            <w:tcW w:w="996" w:type="dxa"/>
            <w:noWrap w:val="0"/>
            <w:vAlign w:val="center"/>
          </w:tcPr>
          <w:p w14:paraId="483376A6">
            <w:pPr>
              <w:widowControl w:val="0"/>
              <w:spacing w:line="200" w:lineRule="exact"/>
              <w:jc w:val="center"/>
              <w:rPr>
                <w:rFonts w:ascii="宋体" w:hAnsi="宋体"/>
                <w:color w:val="auto"/>
                <w:sz w:val="24"/>
                <w:highlight w:val="none"/>
              </w:rPr>
            </w:pPr>
          </w:p>
        </w:tc>
        <w:tc>
          <w:tcPr>
            <w:tcW w:w="1292" w:type="dxa"/>
            <w:noWrap w:val="0"/>
            <w:vAlign w:val="center"/>
          </w:tcPr>
          <w:p w14:paraId="18DEDDED">
            <w:pPr>
              <w:widowControl w:val="0"/>
              <w:spacing w:line="200" w:lineRule="exact"/>
              <w:jc w:val="center"/>
              <w:rPr>
                <w:rFonts w:ascii="宋体" w:hAnsi="宋体"/>
                <w:color w:val="auto"/>
                <w:sz w:val="24"/>
                <w:highlight w:val="none"/>
              </w:rPr>
            </w:pPr>
          </w:p>
        </w:tc>
        <w:tc>
          <w:tcPr>
            <w:tcW w:w="996" w:type="dxa"/>
            <w:noWrap w:val="0"/>
            <w:vAlign w:val="center"/>
          </w:tcPr>
          <w:p w14:paraId="353ABF29">
            <w:pPr>
              <w:widowControl w:val="0"/>
              <w:spacing w:line="200" w:lineRule="exact"/>
              <w:jc w:val="center"/>
              <w:rPr>
                <w:rFonts w:ascii="宋体" w:hAnsi="宋体"/>
                <w:color w:val="auto"/>
                <w:sz w:val="24"/>
                <w:highlight w:val="none"/>
              </w:rPr>
            </w:pPr>
          </w:p>
        </w:tc>
        <w:tc>
          <w:tcPr>
            <w:tcW w:w="996" w:type="dxa"/>
            <w:noWrap w:val="0"/>
            <w:vAlign w:val="center"/>
          </w:tcPr>
          <w:p w14:paraId="369F406E">
            <w:pPr>
              <w:widowControl w:val="0"/>
              <w:spacing w:line="200" w:lineRule="exact"/>
              <w:jc w:val="center"/>
              <w:rPr>
                <w:rFonts w:ascii="宋体" w:hAnsi="宋体"/>
                <w:color w:val="auto"/>
                <w:sz w:val="24"/>
                <w:highlight w:val="none"/>
              </w:rPr>
            </w:pPr>
          </w:p>
        </w:tc>
        <w:tc>
          <w:tcPr>
            <w:tcW w:w="987" w:type="dxa"/>
            <w:noWrap w:val="0"/>
            <w:vAlign w:val="center"/>
          </w:tcPr>
          <w:p w14:paraId="0BBAD113">
            <w:pPr>
              <w:widowControl w:val="0"/>
              <w:spacing w:line="200" w:lineRule="exact"/>
              <w:jc w:val="center"/>
              <w:rPr>
                <w:rFonts w:ascii="宋体" w:hAnsi="宋体"/>
                <w:color w:val="auto"/>
                <w:sz w:val="24"/>
                <w:highlight w:val="none"/>
              </w:rPr>
            </w:pPr>
          </w:p>
        </w:tc>
      </w:tr>
      <w:tr w14:paraId="6CA14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8D718FF">
            <w:pPr>
              <w:widowControl w:val="0"/>
              <w:spacing w:line="200" w:lineRule="exact"/>
              <w:jc w:val="center"/>
              <w:rPr>
                <w:rFonts w:ascii="宋体" w:hAnsi="宋体"/>
                <w:color w:val="auto"/>
                <w:sz w:val="24"/>
                <w:highlight w:val="none"/>
              </w:rPr>
            </w:pPr>
          </w:p>
        </w:tc>
        <w:tc>
          <w:tcPr>
            <w:tcW w:w="996" w:type="dxa"/>
            <w:noWrap w:val="0"/>
            <w:vAlign w:val="center"/>
          </w:tcPr>
          <w:p w14:paraId="69C64571">
            <w:pPr>
              <w:widowControl w:val="0"/>
              <w:spacing w:line="200" w:lineRule="exact"/>
              <w:jc w:val="center"/>
              <w:rPr>
                <w:rFonts w:ascii="宋体" w:hAnsi="宋体"/>
                <w:color w:val="auto"/>
                <w:sz w:val="24"/>
                <w:highlight w:val="none"/>
              </w:rPr>
            </w:pPr>
          </w:p>
        </w:tc>
        <w:tc>
          <w:tcPr>
            <w:tcW w:w="996" w:type="dxa"/>
            <w:noWrap w:val="0"/>
            <w:vAlign w:val="center"/>
          </w:tcPr>
          <w:p w14:paraId="6E5BD43C">
            <w:pPr>
              <w:widowControl w:val="0"/>
              <w:spacing w:line="200" w:lineRule="exact"/>
              <w:jc w:val="center"/>
              <w:rPr>
                <w:rFonts w:ascii="宋体" w:hAnsi="宋体"/>
                <w:color w:val="auto"/>
                <w:sz w:val="24"/>
                <w:highlight w:val="none"/>
              </w:rPr>
            </w:pPr>
          </w:p>
        </w:tc>
        <w:tc>
          <w:tcPr>
            <w:tcW w:w="996" w:type="dxa"/>
            <w:noWrap w:val="0"/>
            <w:vAlign w:val="center"/>
          </w:tcPr>
          <w:p w14:paraId="75F9641D">
            <w:pPr>
              <w:widowControl w:val="0"/>
              <w:spacing w:line="200" w:lineRule="exact"/>
              <w:jc w:val="center"/>
              <w:rPr>
                <w:rFonts w:ascii="宋体" w:hAnsi="宋体"/>
                <w:color w:val="auto"/>
                <w:sz w:val="24"/>
                <w:highlight w:val="none"/>
              </w:rPr>
            </w:pPr>
          </w:p>
        </w:tc>
        <w:tc>
          <w:tcPr>
            <w:tcW w:w="996" w:type="dxa"/>
            <w:noWrap w:val="0"/>
            <w:vAlign w:val="center"/>
          </w:tcPr>
          <w:p w14:paraId="66185809">
            <w:pPr>
              <w:widowControl w:val="0"/>
              <w:spacing w:line="200" w:lineRule="exact"/>
              <w:jc w:val="center"/>
              <w:rPr>
                <w:rFonts w:ascii="宋体" w:hAnsi="宋体"/>
                <w:color w:val="auto"/>
                <w:sz w:val="24"/>
                <w:highlight w:val="none"/>
              </w:rPr>
            </w:pPr>
          </w:p>
        </w:tc>
        <w:tc>
          <w:tcPr>
            <w:tcW w:w="1292" w:type="dxa"/>
            <w:noWrap w:val="0"/>
            <w:vAlign w:val="center"/>
          </w:tcPr>
          <w:p w14:paraId="4FAF9E8A">
            <w:pPr>
              <w:widowControl w:val="0"/>
              <w:spacing w:line="200" w:lineRule="exact"/>
              <w:jc w:val="center"/>
              <w:rPr>
                <w:rFonts w:ascii="宋体" w:hAnsi="宋体"/>
                <w:color w:val="auto"/>
                <w:sz w:val="24"/>
                <w:highlight w:val="none"/>
              </w:rPr>
            </w:pPr>
          </w:p>
        </w:tc>
        <w:tc>
          <w:tcPr>
            <w:tcW w:w="996" w:type="dxa"/>
            <w:noWrap w:val="0"/>
            <w:vAlign w:val="center"/>
          </w:tcPr>
          <w:p w14:paraId="5FE5CDAC">
            <w:pPr>
              <w:widowControl w:val="0"/>
              <w:spacing w:line="200" w:lineRule="exact"/>
              <w:jc w:val="center"/>
              <w:rPr>
                <w:rFonts w:ascii="宋体" w:hAnsi="宋体"/>
                <w:color w:val="auto"/>
                <w:sz w:val="24"/>
                <w:highlight w:val="none"/>
              </w:rPr>
            </w:pPr>
          </w:p>
        </w:tc>
        <w:tc>
          <w:tcPr>
            <w:tcW w:w="996" w:type="dxa"/>
            <w:noWrap w:val="0"/>
            <w:vAlign w:val="center"/>
          </w:tcPr>
          <w:p w14:paraId="48DF8216">
            <w:pPr>
              <w:widowControl w:val="0"/>
              <w:spacing w:line="200" w:lineRule="exact"/>
              <w:jc w:val="center"/>
              <w:rPr>
                <w:rFonts w:ascii="宋体" w:hAnsi="宋体"/>
                <w:color w:val="auto"/>
                <w:sz w:val="24"/>
                <w:highlight w:val="none"/>
              </w:rPr>
            </w:pPr>
          </w:p>
        </w:tc>
        <w:tc>
          <w:tcPr>
            <w:tcW w:w="987" w:type="dxa"/>
            <w:noWrap w:val="0"/>
            <w:vAlign w:val="center"/>
          </w:tcPr>
          <w:p w14:paraId="75E9EA8A">
            <w:pPr>
              <w:widowControl w:val="0"/>
              <w:spacing w:line="200" w:lineRule="exact"/>
              <w:jc w:val="center"/>
              <w:rPr>
                <w:rFonts w:ascii="宋体" w:hAnsi="宋体"/>
                <w:color w:val="auto"/>
                <w:sz w:val="24"/>
                <w:highlight w:val="none"/>
              </w:rPr>
            </w:pPr>
          </w:p>
        </w:tc>
      </w:tr>
      <w:tr w14:paraId="3AEA6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3862C45">
            <w:pPr>
              <w:widowControl w:val="0"/>
              <w:spacing w:line="200" w:lineRule="exact"/>
              <w:jc w:val="center"/>
              <w:rPr>
                <w:rFonts w:ascii="宋体" w:hAnsi="宋体"/>
                <w:color w:val="auto"/>
                <w:sz w:val="24"/>
                <w:highlight w:val="none"/>
              </w:rPr>
            </w:pPr>
          </w:p>
        </w:tc>
        <w:tc>
          <w:tcPr>
            <w:tcW w:w="996" w:type="dxa"/>
            <w:noWrap w:val="0"/>
            <w:vAlign w:val="center"/>
          </w:tcPr>
          <w:p w14:paraId="0610B0FE">
            <w:pPr>
              <w:widowControl w:val="0"/>
              <w:spacing w:line="200" w:lineRule="exact"/>
              <w:jc w:val="center"/>
              <w:rPr>
                <w:rFonts w:ascii="宋体" w:hAnsi="宋体"/>
                <w:color w:val="auto"/>
                <w:sz w:val="24"/>
                <w:highlight w:val="none"/>
              </w:rPr>
            </w:pPr>
          </w:p>
        </w:tc>
        <w:tc>
          <w:tcPr>
            <w:tcW w:w="996" w:type="dxa"/>
            <w:noWrap w:val="0"/>
            <w:vAlign w:val="center"/>
          </w:tcPr>
          <w:p w14:paraId="39087730">
            <w:pPr>
              <w:widowControl w:val="0"/>
              <w:spacing w:line="200" w:lineRule="exact"/>
              <w:jc w:val="center"/>
              <w:rPr>
                <w:rFonts w:ascii="宋体" w:hAnsi="宋体"/>
                <w:color w:val="auto"/>
                <w:sz w:val="24"/>
                <w:highlight w:val="none"/>
              </w:rPr>
            </w:pPr>
          </w:p>
        </w:tc>
        <w:tc>
          <w:tcPr>
            <w:tcW w:w="996" w:type="dxa"/>
            <w:noWrap w:val="0"/>
            <w:vAlign w:val="center"/>
          </w:tcPr>
          <w:p w14:paraId="6EDD4986">
            <w:pPr>
              <w:widowControl w:val="0"/>
              <w:spacing w:line="200" w:lineRule="exact"/>
              <w:jc w:val="center"/>
              <w:rPr>
                <w:rFonts w:ascii="宋体" w:hAnsi="宋体"/>
                <w:color w:val="auto"/>
                <w:sz w:val="24"/>
                <w:highlight w:val="none"/>
              </w:rPr>
            </w:pPr>
          </w:p>
        </w:tc>
        <w:tc>
          <w:tcPr>
            <w:tcW w:w="996" w:type="dxa"/>
            <w:noWrap w:val="0"/>
            <w:vAlign w:val="center"/>
          </w:tcPr>
          <w:p w14:paraId="79BCD691">
            <w:pPr>
              <w:widowControl w:val="0"/>
              <w:spacing w:line="200" w:lineRule="exact"/>
              <w:jc w:val="center"/>
              <w:rPr>
                <w:rFonts w:ascii="宋体" w:hAnsi="宋体"/>
                <w:color w:val="auto"/>
                <w:sz w:val="24"/>
                <w:highlight w:val="none"/>
              </w:rPr>
            </w:pPr>
          </w:p>
        </w:tc>
        <w:tc>
          <w:tcPr>
            <w:tcW w:w="1292" w:type="dxa"/>
            <w:noWrap w:val="0"/>
            <w:vAlign w:val="center"/>
          </w:tcPr>
          <w:p w14:paraId="6154AFE2">
            <w:pPr>
              <w:widowControl w:val="0"/>
              <w:spacing w:line="200" w:lineRule="exact"/>
              <w:jc w:val="center"/>
              <w:rPr>
                <w:rFonts w:ascii="宋体" w:hAnsi="宋体"/>
                <w:color w:val="auto"/>
                <w:sz w:val="24"/>
                <w:highlight w:val="none"/>
              </w:rPr>
            </w:pPr>
          </w:p>
        </w:tc>
        <w:tc>
          <w:tcPr>
            <w:tcW w:w="996" w:type="dxa"/>
            <w:noWrap w:val="0"/>
            <w:vAlign w:val="center"/>
          </w:tcPr>
          <w:p w14:paraId="3C699357">
            <w:pPr>
              <w:widowControl w:val="0"/>
              <w:spacing w:line="200" w:lineRule="exact"/>
              <w:jc w:val="center"/>
              <w:rPr>
                <w:rFonts w:ascii="宋体" w:hAnsi="宋体"/>
                <w:color w:val="auto"/>
                <w:sz w:val="24"/>
                <w:highlight w:val="none"/>
              </w:rPr>
            </w:pPr>
          </w:p>
        </w:tc>
        <w:tc>
          <w:tcPr>
            <w:tcW w:w="996" w:type="dxa"/>
            <w:noWrap w:val="0"/>
            <w:vAlign w:val="center"/>
          </w:tcPr>
          <w:p w14:paraId="24CCEB28">
            <w:pPr>
              <w:widowControl w:val="0"/>
              <w:spacing w:line="200" w:lineRule="exact"/>
              <w:jc w:val="center"/>
              <w:rPr>
                <w:rFonts w:ascii="宋体" w:hAnsi="宋体"/>
                <w:color w:val="auto"/>
                <w:sz w:val="24"/>
                <w:highlight w:val="none"/>
              </w:rPr>
            </w:pPr>
          </w:p>
        </w:tc>
        <w:tc>
          <w:tcPr>
            <w:tcW w:w="987" w:type="dxa"/>
            <w:noWrap w:val="0"/>
            <w:vAlign w:val="center"/>
          </w:tcPr>
          <w:p w14:paraId="3F0480A0">
            <w:pPr>
              <w:widowControl w:val="0"/>
              <w:spacing w:line="200" w:lineRule="exact"/>
              <w:jc w:val="center"/>
              <w:rPr>
                <w:rFonts w:ascii="宋体" w:hAnsi="宋体"/>
                <w:color w:val="auto"/>
                <w:sz w:val="24"/>
                <w:highlight w:val="none"/>
              </w:rPr>
            </w:pPr>
          </w:p>
        </w:tc>
      </w:tr>
      <w:tr w14:paraId="2CC12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7B2570F">
            <w:pPr>
              <w:widowControl w:val="0"/>
              <w:spacing w:line="200" w:lineRule="exact"/>
              <w:jc w:val="center"/>
              <w:rPr>
                <w:rFonts w:ascii="宋体" w:hAnsi="宋体"/>
                <w:color w:val="auto"/>
                <w:sz w:val="24"/>
                <w:highlight w:val="none"/>
              </w:rPr>
            </w:pPr>
          </w:p>
        </w:tc>
        <w:tc>
          <w:tcPr>
            <w:tcW w:w="996" w:type="dxa"/>
            <w:noWrap w:val="0"/>
            <w:vAlign w:val="center"/>
          </w:tcPr>
          <w:p w14:paraId="7E981631">
            <w:pPr>
              <w:widowControl w:val="0"/>
              <w:spacing w:line="200" w:lineRule="exact"/>
              <w:jc w:val="center"/>
              <w:rPr>
                <w:rFonts w:ascii="宋体" w:hAnsi="宋体"/>
                <w:color w:val="auto"/>
                <w:sz w:val="24"/>
                <w:highlight w:val="none"/>
              </w:rPr>
            </w:pPr>
          </w:p>
        </w:tc>
        <w:tc>
          <w:tcPr>
            <w:tcW w:w="996" w:type="dxa"/>
            <w:noWrap w:val="0"/>
            <w:vAlign w:val="center"/>
          </w:tcPr>
          <w:p w14:paraId="1E6867F4">
            <w:pPr>
              <w:widowControl w:val="0"/>
              <w:spacing w:line="200" w:lineRule="exact"/>
              <w:jc w:val="center"/>
              <w:rPr>
                <w:rFonts w:ascii="宋体" w:hAnsi="宋体"/>
                <w:color w:val="auto"/>
                <w:sz w:val="24"/>
                <w:highlight w:val="none"/>
              </w:rPr>
            </w:pPr>
          </w:p>
        </w:tc>
        <w:tc>
          <w:tcPr>
            <w:tcW w:w="996" w:type="dxa"/>
            <w:noWrap w:val="0"/>
            <w:vAlign w:val="center"/>
          </w:tcPr>
          <w:p w14:paraId="1FCB3994">
            <w:pPr>
              <w:widowControl w:val="0"/>
              <w:spacing w:line="200" w:lineRule="exact"/>
              <w:jc w:val="center"/>
              <w:rPr>
                <w:rFonts w:ascii="宋体" w:hAnsi="宋体"/>
                <w:color w:val="auto"/>
                <w:sz w:val="24"/>
                <w:highlight w:val="none"/>
              </w:rPr>
            </w:pPr>
          </w:p>
        </w:tc>
        <w:tc>
          <w:tcPr>
            <w:tcW w:w="996" w:type="dxa"/>
            <w:noWrap w:val="0"/>
            <w:vAlign w:val="center"/>
          </w:tcPr>
          <w:p w14:paraId="3C9D3F48">
            <w:pPr>
              <w:widowControl w:val="0"/>
              <w:spacing w:line="200" w:lineRule="exact"/>
              <w:jc w:val="center"/>
              <w:rPr>
                <w:rFonts w:ascii="宋体" w:hAnsi="宋体"/>
                <w:color w:val="auto"/>
                <w:sz w:val="24"/>
                <w:highlight w:val="none"/>
              </w:rPr>
            </w:pPr>
          </w:p>
        </w:tc>
        <w:tc>
          <w:tcPr>
            <w:tcW w:w="1292" w:type="dxa"/>
            <w:noWrap w:val="0"/>
            <w:vAlign w:val="center"/>
          </w:tcPr>
          <w:p w14:paraId="05F48E49">
            <w:pPr>
              <w:widowControl w:val="0"/>
              <w:spacing w:line="200" w:lineRule="exact"/>
              <w:jc w:val="center"/>
              <w:rPr>
                <w:rFonts w:ascii="宋体" w:hAnsi="宋体"/>
                <w:color w:val="auto"/>
                <w:sz w:val="24"/>
                <w:highlight w:val="none"/>
              </w:rPr>
            </w:pPr>
          </w:p>
        </w:tc>
        <w:tc>
          <w:tcPr>
            <w:tcW w:w="996" w:type="dxa"/>
            <w:noWrap w:val="0"/>
            <w:vAlign w:val="center"/>
          </w:tcPr>
          <w:p w14:paraId="78ED56EE">
            <w:pPr>
              <w:widowControl w:val="0"/>
              <w:spacing w:line="200" w:lineRule="exact"/>
              <w:jc w:val="center"/>
              <w:rPr>
                <w:rFonts w:ascii="宋体" w:hAnsi="宋体"/>
                <w:color w:val="auto"/>
                <w:sz w:val="24"/>
                <w:highlight w:val="none"/>
              </w:rPr>
            </w:pPr>
          </w:p>
        </w:tc>
        <w:tc>
          <w:tcPr>
            <w:tcW w:w="996" w:type="dxa"/>
            <w:noWrap w:val="0"/>
            <w:vAlign w:val="center"/>
          </w:tcPr>
          <w:p w14:paraId="01C6B81C">
            <w:pPr>
              <w:widowControl w:val="0"/>
              <w:spacing w:line="200" w:lineRule="exact"/>
              <w:jc w:val="center"/>
              <w:rPr>
                <w:rFonts w:ascii="宋体" w:hAnsi="宋体"/>
                <w:color w:val="auto"/>
                <w:sz w:val="24"/>
                <w:highlight w:val="none"/>
              </w:rPr>
            </w:pPr>
          </w:p>
        </w:tc>
        <w:tc>
          <w:tcPr>
            <w:tcW w:w="987" w:type="dxa"/>
            <w:noWrap w:val="0"/>
            <w:vAlign w:val="center"/>
          </w:tcPr>
          <w:p w14:paraId="35C13D23">
            <w:pPr>
              <w:widowControl w:val="0"/>
              <w:spacing w:line="200" w:lineRule="exact"/>
              <w:jc w:val="center"/>
              <w:rPr>
                <w:rFonts w:ascii="宋体" w:hAnsi="宋体"/>
                <w:color w:val="auto"/>
                <w:sz w:val="24"/>
                <w:highlight w:val="none"/>
              </w:rPr>
            </w:pPr>
          </w:p>
        </w:tc>
      </w:tr>
      <w:tr w14:paraId="5288C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4DA05560">
            <w:pPr>
              <w:widowControl w:val="0"/>
              <w:spacing w:line="200" w:lineRule="exact"/>
              <w:jc w:val="center"/>
              <w:rPr>
                <w:rFonts w:ascii="宋体" w:hAnsi="宋体"/>
                <w:color w:val="auto"/>
                <w:sz w:val="24"/>
                <w:highlight w:val="none"/>
              </w:rPr>
            </w:pPr>
          </w:p>
        </w:tc>
        <w:tc>
          <w:tcPr>
            <w:tcW w:w="996" w:type="dxa"/>
            <w:noWrap w:val="0"/>
            <w:vAlign w:val="center"/>
          </w:tcPr>
          <w:p w14:paraId="56D619B1">
            <w:pPr>
              <w:widowControl w:val="0"/>
              <w:spacing w:line="200" w:lineRule="exact"/>
              <w:jc w:val="center"/>
              <w:rPr>
                <w:rFonts w:ascii="宋体" w:hAnsi="宋体"/>
                <w:color w:val="auto"/>
                <w:sz w:val="24"/>
                <w:highlight w:val="none"/>
              </w:rPr>
            </w:pPr>
          </w:p>
        </w:tc>
        <w:tc>
          <w:tcPr>
            <w:tcW w:w="996" w:type="dxa"/>
            <w:noWrap w:val="0"/>
            <w:vAlign w:val="center"/>
          </w:tcPr>
          <w:p w14:paraId="6C64444E">
            <w:pPr>
              <w:widowControl w:val="0"/>
              <w:spacing w:line="200" w:lineRule="exact"/>
              <w:jc w:val="center"/>
              <w:rPr>
                <w:rFonts w:ascii="宋体" w:hAnsi="宋体"/>
                <w:color w:val="auto"/>
                <w:sz w:val="24"/>
                <w:highlight w:val="none"/>
              </w:rPr>
            </w:pPr>
          </w:p>
        </w:tc>
        <w:tc>
          <w:tcPr>
            <w:tcW w:w="996" w:type="dxa"/>
            <w:noWrap w:val="0"/>
            <w:vAlign w:val="center"/>
          </w:tcPr>
          <w:p w14:paraId="36F63D83">
            <w:pPr>
              <w:widowControl w:val="0"/>
              <w:spacing w:line="200" w:lineRule="exact"/>
              <w:jc w:val="center"/>
              <w:rPr>
                <w:rFonts w:ascii="宋体" w:hAnsi="宋体"/>
                <w:color w:val="auto"/>
                <w:sz w:val="24"/>
                <w:highlight w:val="none"/>
              </w:rPr>
            </w:pPr>
          </w:p>
        </w:tc>
        <w:tc>
          <w:tcPr>
            <w:tcW w:w="996" w:type="dxa"/>
            <w:noWrap w:val="0"/>
            <w:vAlign w:val="center"/>
          </w:tcPr>
          <w:p w14:paraId="23BBBF88">
            <w:pPr>
              <w:widowControl w:val="0"/>
              <w:spacing w:line="200" w:lineRule="exact"/>
              <w:jc w:val="center"/>
              <w:rPr>
                <w:rFonts w:ascii="宋体" w:hAnsi="宋体"/>
                <w:color w:val="auto"/>
                <w:sz w:val="24"/>
                <w:highlight w:val="none"/>
              </w:rPr>
            </w:pPr>
          </w:p>
        </w:tc>
        <w:tc>
          <w:tcPr>
            <w:tcW w:w="1292" w:type="dxa"/>
            <w:noWrap w:val="0"/>
            <w:vAlign w:val="center"/>
          </w:tcPr>
          <w:p w14:paraId="225C8E37">
            <w:pPr>
              <w:widowControl w:val="0"/>
              <w:spacing w:line="200" w:lineRule="exact"/>
              <w:jc w:val="center"/>
              <w:rPr>
                <w:rFonts w:ascii="宋体" w:hAnsi="宋体"/>
                <w:color w:val="auto"/>
                <w:sz w:val="24"/>
                <w:highlight w:val="none"/>
              </w:rPr>
            </w:pPr>
          </w:p>
        </w:tc>
        <w:tc>
          <w:tcPr>
            <w:tcW w:w="996" w:type="dxa"/>
            <w:noWrap w:val="0"/>
            <w:vAlign w:val="center"/>
          </w:tcPr>
          <w:p w14:paraId="3C023723">
            <w:pPr>
              <w:widowControl w:val="0"/>
              <w:spacing w:line="200" w:lineRule="exact"/>
              <w:jc w:val="center"/>
              <w:rPr>
                <w:rFonts w:ascii="宋体" w:hAnsi="宋体"/>
                <w:color w:val="auto"/>
                <w:sz w:val="24"/>
                <w:highlight w:val="none"/>
              </w:rPr>
            </w:pPr>
          </w:p>
        </w:tc>
        <w:tc>
          <w:tcPr>
            <w:tcW w:w="996" w:type="dxa"/>
            <w:noWrap w:val="0"/>
            <w:vAlign w:val="center"/>
          </w:tcPr>
          <w:p w14:paraId="3E47CD76">
            <w:pPr>
              <w:widowControl w:val="0"/>
              <w:spacing w:line="200" w:lineRule="exact"/>
              <w:jc w:val="center"/>
              <w:rPr>
                <w:rFonts w:ascii="宋体" w:hAnsi="宋体"/>
                <w:color w:val="auto"/>
                <w:sz w:val="24"/>
                <w:highlight w:val="none"/>
              </w:rPr>
            </w:pPr>
          </w:p>
        </w:tc>
        <w:tc>
          <w:tcPr>
            <w:tcW w:w="987" w:type="dxa"/>
            <w:noWrap w:val="0"/>
            <w:vAlign w:val="center"/>
          </w:tcPr>
          <w:p w14:paraId="3D416D75">
            <w:pPr>
              <w:widowControl w:val="0"/>
              <w:spacing w:line="200" w:lineRule="exact"/>
              <w:jc w:val="center"/>
              <w:rPr>
                <w:rFonts w:ascii="宋体" w:hAnsi="宋体"/>
                <w:color w:val="auto"/>
                <w:sz w:val="24"/>
                <w:highlight w:val="none"/>
              </w:rPr>
            </w:pPr>
          </w:p>
        </w:tc>
      </w:tr>
      <w:tr w14:paraId="4CD4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64574388">
            <w:pPr>
              <w:widowControl w:val="0"/>
              <w:spacing w:line="200" w:lineRule="exact"/>
              <w:jc w:val="center"/>
              <w:rPr>
                <w:rFonts w:ascii="宋体" w:hAnsi="宋体"/>
                <w:color w:val="auto"/>
                <w:sz w:val="24"/>
                <w:highlight w:val="none"/>
              </w:rPr>
            </w:pPr>
          </w:p>
        </w:tc>
        <w:tc>
          <w:tcPr>
            <w:tcW w:w="996" w:type="dxa"/>
            <w:noWrap w:val="0"/>
            <w:vAlign w:val="center"/>
          </w:tcPr>
          <w:p w14:paraId="3BB422C0">
            <w:pPr>
              <w:widowControl w:val="0"/>
              <w:spacing w:line="200" w:lineRule="exact"/>
              <w:jc w:val="center"/>
              <w:rPr>
                <w:rFonts w:ascii="宋体" w:hAnsi="宋体"/>
                <w:color w:val="auto"/>
                <w:sz w:val="24"/>
                <w:highlight w:val="none"/>
              </w:rPr>
            </w:pPr>
          </w:p>
        </w:tc>
        <w:tc>
          <w:tcPr>
            <w:tcW w:w="996" w:type="dxa"/>
            <w:noWrap w:val="0"/>
            <w:vAlign w:val="center"/>
          </w:tcPr>
          <w:p w14:paraId="732F39BF">
            <w:pPr>
              <w:widowControl w:val="0"/>
              <w:spacing w:line="200" w:lineRule="exact"/>
              <w:jc w:val="center"/>
              <w:rPr>
                <w:rFonts w:ascii="宋体" w:hAnsi="宋体"/>
                <w:color w:val="auto"/>
                <w:sz w:val="24"/>
                <w:highlight w:val="none"/>
              </w:rPr>
            </w:pPr>
          </w:p>
        </w:tc>
        <w:tc>
          <w:tcPr>
            <w:tcW w:w="996" w:type="dxa"/>
            <w:noWrap w:val="0"/>
            <w:vAlign w:val="center"/>
          </w:tcPr>
          <w:p w14:paraId="1DCA64A4">
            <w:pPr>
              <w:widowControl w:val="0"/>
              <w:spacing w:line="200" w:lineRule="exact"/>
              <w:jc w:val="center"/>
              <w:rPr>
                <w:rFonts w:ascii="宋体" w:hAnsi="宋体"/>
                <w:color w:val="auto"/>
                <w:sz w:val="24"/>
                <w:highlight w:val="none"/>
              </w:rPr>
            </w:pPr>
          </w:p>
        </w:tc>
        <w:tc>
          <w:tcPr>
            <w:tcW w:w="996" w:type="dxa"/>
            <w:noWrap w:val="0"/>
            <w:vAlign w:val="center"/>
          </w:tcPr>
          <w:p w14:paraId="06AE9ADB">
            <w:pPr>
              <w:widowControl w:val="0"/>
              <w:spacing w:line="200" w:lineRule="exact"/>
              <w:jc w:val="center"/>
              <w:rPr>
                <w:rFonts w:ascii="宋体" w:hAnsi="宋体"/>
                <w:color w:val="auto"/>
                <w:sz w:val="24"/>
                <w:highlight w:val="none"/>
              </w:rPr>
            </w:pPr>
          </w:p>
        </w:tc>
        <w:tc>
          <w:tcPr>
            <w:tcW w:w="1292" w:type="dxa"/>
            <w:noWrap w:val="0"/>
            <w:vAlign w:val="center"/>
          </w:tcPr>
          <w:p w14:paraId="089FC2E9">
            <w:pPr>
              <w:widowControl w:val="0"/>
              <w:spacing w:line="200" w:lineRule="exact"/>
              <w:jc w:val="center"/>
              <w:rPr>
                <w:rFonts w:ascii="宋体" w:hAnsi="宋体"/>
                <w:color w:val="auto"/>
                <w:sz w:val="24"/>
                <w:highlight w:val="none"/>
              </w:rPr>
            </w:pPr>
          </w:p>
        </w:tc>
        <w:tc>
          <w:tcPr>
            <w:tcW w:w="996" w:type="dxa"/>
            <w:noWrap w:val="0"/>
            <w:vAlign w:val="center"/>
          </w:tcPr>
          <w:p w14:paraId="080B1908">
            <w:pPr>
              <w:widowControl w:val="0"/>
              <w:spacing w:line="200" w:lineRule="exact"/>
              <w:jc w:val="center"/>
              <w:rPr>
                <w:rFonts w:ascii="宋体" w:hAnsi="宋体"/>
                <w:color w:val="auto"/>
                <w:sz w:val="24"/>
                <w:highlight w:val="none"/>
              </w:rPr>
            </w:pPr>
          </w:p>
        </w:tc>
        <w:tc>
          <w:tcPr>
            <w:tcW w:w="996" w:type="dxa"/>
            <w:noWrap w:val="0"/>
            <w:vAlign w:val="center"/>
          </w:tcPr>
          <w:p w14:paraId="2A220B14">
            <w:pPr>
              <w:widowControl w:val="0"/>
              <w:spacing w:line="200" w:lineRule="exact"/>
              <w:jc w:val="center"/>
              <w:rPr>
                <w:rFonts w:ascii="宋体" w:hAnsi="宋体"/>
                <w:color w:val="auto"/>
                <w:sz w:val="24"/>
                <w:highlight w:val="none"/>
              </w:rPr>
            </w:pPr>
          </w:p>
        </w:tc>
        <w:tc>
          <w:tcPr>
            <w:tcW w:w="987" w:type="dxa"/>
            <w:noWrap w:val="0"/>
            <w:vAlign w:val="center"/>
          </w:tcPr>
          <w:p w14:paraId="0837C84E">
            <w:pPr>
              <w:widowControl w:val="0"/>
              <w:spacing w:line="200" w:lineRule="exact"/>
              <w:jc w:val="center"/>
              <w:rPr>
                <w:rFonts w:ascii="宋体" w:hAnsi="宋体"/>
                <w:color w:val="auto"/>
                <w:sz w:val="24"/>
                <w:highlight w:val="none"/>
              </w:rPr>
            </w:pPr>
          </w:p>
        </w:tc>
      </w:tr>
    </w:tbl>
    <w:p w14:paraId="7D2C0914">
      <w:pPr>
        <w:spacing w:line="440" w:lineRule="exact"/>
        <w:ind w:left="630" w:hanging="630" w:hanging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提供技术人员（专家）对应的资格证书、</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lang w:val="en-US" w:eastAsia="zh-CN"/>
        </w:rPr>
        <w:t>为</w:t>
      </w:r>
      <w:r>
        <w:rPr>
          <w:rFonts w:hint="eastAsia" w:ascii="宋体" w:hAnsi="宋体" w:cs="Times New Roman"/>
          <w:color w:val="auto"/>
          <w:szCs w:val="21"/>
          <w:highlight w:val="none"/>
          <w:lang w:val="en-US" w:eastAsia="zh-CN"/>
        </w:rPr>
        <w:t>其</w:t>
      </w:r>
      <w:r>
        <w:rPr>
          <w:rFonts w:hint="eastAsia" w:ascii="宋体" w:hAnsi="宋体" w:eastAsia="宋体" w:cs="Times New Roman"/>
          <w:color w:val="auto"/>
          <w:szCs w:val="21"/>
          <w:highlight w:val="none"/>
          <w:lang w:val="en-US" w:eastAsia="zh-CN"/>
        </w:rPr>
        <w:t>缴纳社保证明材料</w:t>
      </w:r>
      <w:r>
        <w:rPr>
          <w:rFonts w:hint="eastAsia" w:ascii="宋体" w:hAnsi="宋体" w:cs="Times New Roman"/>
          <w:color w:val="auto"/>
          <w:szCs w:val="21"/>
          <w:highlight w:val="none"/>
          <w:lang w:eastAsia="zh-CN"/>
        </w:rPr>
        <w:t>。</w:t>
      </w:r>
    </w:p>
    <w:p w14:paraId="1C4A1B50">
      <w:pPr>
        <w:rPr>
          <w:rFonts w:hint="eastAsia" w:ascii="宋体" w:hAnsi="宋体"/>
          <w:color w:val="auto"/>
          <w:highlight w:val="none"/>
        </w:rPr>
      </w:pPr>
    </w:p>
    <w:p w14:paraId="70F0EA21">
      <w:pPr>
        <w:pStyle w:val="49"/>
        <w:rPr>
          <w:rFonts w:hint="eastAsia" w:ascii="宋体" w:hAnsi="宋体"/>
          <w:color w:val="auto"/>
          <w:highlight w:val="none"/>
        </w:rPr>
      </w:pPr>
    </w:p>
    <w:p w14:paraId="3AF42CEF">
      <w:pPr>
        <w:rPr>
          <w:rFonts w:hint="eastAsia" w:ascii="宋体" w:hAnsi="宋体"/>
          <w:color w:val="auto"/>
          <w:highlight w:val="none"/>
        </w:rPr>
      </w:pPr>
    </w:p>
    <w:p w14:paraId="6DCF3E52">
      <w:pPr>
        <w:pStyle w:val="49"/>
        <w:rPr>
          <w:rFonts w:hint="eastAsia"/>
          <w:color w:val="auto"/>
          <w:highlight w:val="none"/>
        </w:rPr>
      </w:pPr>
    </w:p>
    <w:p w14:paraId="5AE709D6">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拟投入本项目的设备情况表</w:t>
      </w:r>
    </w:p>
    <w:p w14:paraId="67A31676">
      <w:pPr>
        <w:jc w:val="left"/>
        <w:rPr>
          <w:rFonts w:ascii="宋体" w:hAnsi="宋体"/>
          <w:color w:val="auto"/>
          <w:sz w:val="24"/>
          <w:highlight w:val="none"/>
        </w:rPr>
      </w:pPr>
    </w:p>
    <w:p w14:paraId="1B315895">
      <w:pPr>
        <w:jc w:val="left"/>
        <w:rPr>
          <w:rFonts w:ascii="宋体" w:hAnsi="宋体"/>
          <w:color w:val="auto"/>
          <w:sz w:val="24"/>
          <w:highlight w:val="none"/>
        </w:rPr>
      </w:pPr>
    </w:p>
    <w:p w14:paraId="5A414643">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1BF6F97D">
      <w:pPr>
        <w:pStyle w:val="49"/>
        <w:rPr>
          <w:rFonts w:ascii="宋体" w:hAnsi="宋体"/>
          <w:color w:val="auto"/>
          <w:sz w:val="24"/>
          <w:highlight w:val="none"/>
        </w:rPr>
      </w:pPr>
    </w:p>
    <w:p w14:paraId="4AA175AF">
      <w:pPr>
        <w:rPr>
          <w:rFonts w:ascii="宋体" w:hAnsi="宋体"/>
          <w:color w:val="auto"/>
          <w:sz w:val="24"/>
          <w:highlight w:val="none"/>
        </w:rPr>
      </w:pPr>
    </w:p>
    <w:p w14:paraId="4C7023C5">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1FED6FF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DE9F77">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361332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528C26E">
      <w:pPr>
        <w:pStyle w:val="49"/>
        <w:ind w:firstLine="4620" w:firstLineChars="2200"/>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2D1B3B">
      <w:pPr>
        <w:rPr>
          <w:rFonts w:hint="eastAsia" w:ascii="宋体" w:hAnsi="宋体"/>
          <w:color w:val="auto"/>
          <w:sz w:val="21"/>
          <w:szCs w:val="21"/>
          <w:highlight w:val="none"/>
        </w:rPr>
      </w:pPr>
    </w:p>
    <w:p w14:paraId="4E04670B">
      <w:pPr>
        <w:jc w:val="center"/>
        <w:rPr>
          <w:rFonts w:hint="eastAsia" w:ascii="Times New Roman" w:hAnsi="Times New Roman" w:eastAsia="宋体" w:cs="Times New Roman"/>
          <w:b/>
          <w:bCs/>
          <w:color w:val="auto"/>
          <w:sz w:val="28"/>
          <w:szCs w:val="28"/>
          <w:highlight w:val="none"/>
          <w:lang w:val="zh-CN"/>
        </w:rPr>
      </w:pPr>
    </w:p>
    <w:p w14:paraId="1E7FEFAE">
      <w:pPr>
        <w:jc w:val="center"/>
        <w:rPr>
          <w:rFonts w:hint="eastAsia" w:ascii="Times New Roman" w:hAnsi="Times New Roman" w:eastAsia="宋体" w:cs="Times New Roman"/>
          <w:b/>
          <w:bCs/>
          <w:color w:val="auto"/>
          <w:sz w:val="28"/>
          <w:szCs w:val="28"/>
          <w:highlight w:val="none"/>
          <w:lang w:val="zh-CN"/>
        </w:rPr>
      </w:pPr>
    </w:p>
    <w:p w14:paraId="520DFC93">
      <w:pPr>
        <w:jc w:val="center"/>
        <w:rPr>
          <w:rFonts w:hint="eastAsia" w:ascii="Times New Roman" w:hAnsi="Times New Roman" w:eastAsia="宋体" w:cs="Times New Roman"/>
          <w:b/>
          <w:bCs/>
          <w:color w:val="auto"/>
          <w:sz w:val="28"/>
          <w:szCs w:val="28"/>
          <w:highlight w:val="none"/>
          <w:lang w:val="zh-CN"/>
        </w:rPr>
      </w:pPr>
    </w:p>
    <w:p w14:paraId="0AF6D94D">
      <w:pPr>
        <w:jc w:val="center"/>
        <w:rPr>
          <w:rFonts w:hint="eastAsia" w:ascii="Times New Roman" w:hAnsi="Times New Roman" w:eastAsia="宋体" w:cs="Times New Roman"/>
          <w:b/>
          <w:bCs/>
          <w:color w:val="auto"/>
          <w:sz w:val="28"/>
          <w:szCs w:val="28"/>
          <w:highlight w:val="none"/>
          <w:lang w:val="zh-CN"/>
        </w:rPr>
      </w:pPr>
    </w:p>
    <w:p w14:paraId="5904595B">
      <w:pPr>
        <w:jc w:val="center"/>
        <w:rPr>
          <w:rFonts w:hint="eastAsia" w:ascii="Times New Roman" w:hAnsi="Times New Roman" w:eastAsia="宋体" w:cs="Times New Roman"/>
          <w:b/>
          <w:bCs/>
          <w:color w:val="auto"/>
          <w:sz w:val="28"/>
          <w:szCs w:val="28"/>
          <w:highlight w:val="none"/>
          <w:lang w:val="zh-CN"/>
        </w:rPr>
      </w:pPr>
    </w:p>
    <w:p w14:paraId="6671BF37">
      <w:pPr>
        <w:jc w:val="center"/>
        <w:rPr>
          <w:rFonts w:hint="eastAsia" w:ascii="Times New Roman" w:hAnsi="Times New Roman" w:eastAsia="宋体" w:cs="Times New Roman"/>
          <w:b/>
          <w:bCs/>
          <w:color w:val="auto"/>
          <w:sz w:val="28"/>
          <w:szCs w:val="28"/>
          <w:highlight w:val="none"/>
          <w:lang w:val="zh-CN"/>
        </w:rPr>
      </w:pPr>
    </w:p>
    <w:p w14:paraId="00BBAACB">
      <w:pPr>
        <w:jc w:val="center"/>
        <w:rPr>
          <w:rFonts w:hint="eastAsia" w:ascii="Times New Roman" w:hAnsi="Times New Roman" w:eastAsia="宋体" w:cs="Times New Roman"/>
          <w:b/>
          <w:bCs/>
          <w:color w:val="auto"/>
          <w:sz w:val="28"/>
          <w:szCs w:val="28"/>
          <w:highlight w:val="none"/>
          <w:lang w:val="zh-CN"/>
        </w:rPr>
      </w:pPr>
    </w:p>
    <w:p w14:paraId="20C26203">
      <w:pPr>
        <w:jc w:val="center"/>
        <w:rPr>
          <w:rFonts w:hint="eastAsia" w:ascii="Times New Roman" w:hAnsi="Times New Roman" w:eastAsia="宋体" w:cs="Times New Roman"/>
          <w:b/>
          <w:bCs/>
          <w:color w:val="auto"/>
          <w:sz w:val="28"/>
          <w:szCs w:val="28"/>
          <w:highlight w:val="none"/>
          <w:lang w:val="zh-CN"/>
        </w:rPr>
      </w:pPr>
    </w:p>
    <w:p w14:paraId="77E8FBA2">
      <w:pPr>
        <w:jc w:val="center"/>
        <w:rPr>
          <w:rFonts w:hint="eastAsia" w:ascii="Times New Roman" w:hAnsi="Times New Roman" w:eastAsia="宋体" w:cs="Times New Roman"/>
          <w:b/>
          <w:bCs/>
          <w:color w:val="auto"/>
          <w:sz w:val="28"/>
          <w:szCs w:val="28"/>
          <w:highlight w:val="none"/>
          <w:lang w:val="zh-CN"/>
        </w:rPr>
      </w:pPr>
    </w:p>
    <w:p w14:paraId="01CA86CC">
      <w:pPr>
        <w:jc w:val="center"/>
        <w:rPr>
          <w:rFonts w:hint="eastAsia" w:ascii="Times New Roman" w:hAnsi="Times New Roman" w:eastAsia="宋体" w:cs="Times New Roman"/>
          <w:b/>
          <w:bCs/>
          <w:color w:val="auto"/>
          <w:sz w:val="28"/>
          <w:szCs w:val="28"/>
          <w:highlight w:val="none"/>
          <w:lang w:val="zh-CN"/>
        </w:rPr>
      </w:pPr>
    </w:p>
    <w:p w14:paraId="730FE9E4">
      <w:pP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br w:type="page"/>
      </w:r>
    </w:p>
    <w:p w14:paraId="3226F7BB">
      <w:pPr>
        <w:spacing w:line="360" w:lineRule="auto"/>
        <w:jc w:val="center"/>
        <w:rPr>
          <w:rFonts w:hint="eastAsia" w:ascii="Times New Roman" w:hAnsi="Times New Roman" w:eastAsia="宋体" w:cs="Times New Roman"/>
          <w:b/>
          <w:bCs/>
          <w:color w:val="auto"/>
          <w:sz w:val="28"/>
          <w:szCs w:val="28"/>
          <w:highlight w:val="none"/>
          <w:lang w:val="zh-CN" w:eastAsia="zh-CN"/>
        </w:rPr>
      </w:pPr>
      <w:r>
        <w:rPr>
          <w:rFonts w:hint="eastAsia" w:ascii="Times New Roman" w:hAnsi="Times New Roman" w:eastAsia="宋体" w:cs="Times New Roman"/>
          <w:b/>
          <w:bCs/>
          <w:color w:val="auto"/>
          <w:sz w:val="28"/>
          <w:szCs w:val="28"/>
          <w:highlight w:val="none"/>
          <w:lang w:val="zh-CN" w:eastAsia="zh-CN"/>
        </w:rPr>
        <w:t>（</w:t>
      </w:r>
      <w:r>
        <w:rPr>
          <w:rFonts w:hint="eastAsia" w:ascii="Times New Roman" w:hAnsi="Times New Roman" w:cs="Times New Roman"/>
          <w:b/>
          <w:bCs/>
          <w:color w:val="auto"/>
          <w:sz w:val="28"/>
          <w:szCs w:val="28"/>
          <w:highlight w:val="none"/>
          <w:lang w:val="en-US" w:eastAsia="zh-CN"/>
        </w:rPr>
        <w:t>七</w:t>
      </w:r>
      <w:r>
        <w:rPr>
          <w:rFonts w:hint="eastAsia" w:ascii="Times New Roman" w:hAnsi="Times New Roman" w:eastAsia="宋体" w:cs="Times New Roman"/>
          <w:b/>
          <w:bCs/>
          <w:color w:val="auto"/>
          <w:sz w:val="28"/>
          <w:szCs w:val="28"/>
          <w:highlight w:val="none"/>
          <w:lang w:val="zh-CN" w:eastAsia="zh-CN"/>
        </w:rPr>
        <w:t>）技术响应与偏离表</w:t>
      </w:r>
    </w:p>
    <w:p w14:paraId="55DA83FA">
      <w:pPr>
        <w:rPr>
          <w:rFonts w:hint="eastAsia"/>
          <w:color w:val="auto"/>
          <w:highlight w:val="none"/>
          <w:lang w:eastAsia="zh-CN"/>
        </w:rPr>
      </w:pPr>
    </w:p>
    <w:p w14:paraId="53E1B617">
      <w:pPr>
        <w:tabs>
          <w:tab w:val="left" w:pos="6975"/>
        </w:tabs>
        <w:spacing w:before="14"/>
        <w:ind w:left="299"/>
        <w:rPr>
          <w:rFonts w:hint="eastAsia" w:ascii="宋体" w:hAnsi="宋体" w:eastAsia="宋体"/>
          <w:color w:val="auto"/>
          <w:sz w:val="24"/>
          <w:szCs w:val="24"/>
          <w:highlight w:val="none"/>
          <w:lang w:eastAsia="zh-CN"/>
        </w:rPr>
      </w:pPr>
      <w:r>
        <w:rPr>
          <w:rFonts w:ascii="宋体" w:hAnsi="宋体"/>
          <w:color w:val="auto"/>
          <w:sz w:val="24"/>
          <w:szCs w:val="24"/>
          <w:highlight w:val="none"/>
        </w:rPr>
        <w:t>项目名称</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r>
        <w:rPr>
          <w:rFonts w:ascii="宋体" w:hAnsi="宋体"/>
          <w:color w:val="auto"/>
          <w:sz w:val="24"/>
          <w:szCs w:val="24"/>
          <w:highlight w:val="none"/>
        </w:rPr>
        <w:t>项目编号</w:t>
      </w:r>
      <w:r>
        <w:rPr>
          <w:rFonts w:hint="eastAsia" w:ascii="宋体" w:hAnsi="宋体"/>
          <w:color w:val="auto"/>
          <w:sz w:val="24"/>
          <w:szCs w:val="24"/>
          <w:highlight w:val="none"/>
          <w:lang w:eastAsia="zh-CN"/>
        </w:rPr>
        <w:t>：</w:t>
      </w:r>
    </w:p>
    <w:tbl>
      <w:tblPr>
        <w:tblStyle w:val="50"/>
        <w:tblW w:w="0" w:type="auto"/>
        <w:tblInd w:w="109" w:type="dxa"/>
        <w:tblLayout w:type="fixed"/>
        <w:tblCellMar>
          <w:top w:w="0" w:type="dxa"/>
          <w:left w:w="0" w:type="dxa"/>
          <w:bottom w:w="0" w:type="dxa"/>
          <w:right w:w="0" w:type="dxa"/>
        </w:tblCellMar>
      </w:tblPr>
      <w:tblGrid>
        <w:gridCol w:w="629"/>
        <w:gridCol w:w="1717"/>
        <w:gridCol w:w="2166"/>
        <w:gridCol w:w="2166"/>
        <w:gridCol w:w="902"/>
        <w:gridCol w:w="809"/>
      </w:tblGrid>
      <w:tr w14:paraId="31AAB029">
        <w:tblPrEx>
          <w:tblCellMar>
            <w:top w:w="0" w:type="dxa"/>
            <w:left w:w="0" w:type="dxa"/>
            <w:bottom w:w="0" w:type="dxa"/>
            <w:right w:w="0" w:type="dxa"/>
          </w:tblCellMar>
        </w:tblPrEx>
        <w:trPr>
          <w:trHeight w:val="672" w:hRule="exact"/>
        </w:trPr>
        <w:tc>
          <w:tcPr>
            <w:tcW w:w="629" w:type="dxa"/>
            <w:tcBorders>
              <w:top w:val="single" w:color="000000" w:sz="6" w:space="0"/>
              <w:left w:val="single" w:color="000000" w:sz="6" w:space="0"/>
              <w:bottom w:val="single" w:color="000000" w:sz="2" w:space="0"/>
              <w:right w:val="single" w:color="000000" w:sz="2" w:space="0"/>
            </w:tcBorders>
            <w:noWrap w:val="0"/>
            <w:vAlign w:val="top"/>
          </w:tcPr>
          <w:p w14:paraId="4DD5225D">
            <w:pPr>
              <w:pStyle w:val="186"/>
              <w:spacing w:before="73"/>
              <w:ind w:left="174"/>
              <w:rPr>
                <w:rFonts w:ascii="宋体" w:hAnsi="宋体" w:cs="Arial Unicode MS"/>
                <w:color w:val="auto"/>
                <w:sz w:val="24"/>
                <w:szCs w:val="24"/>
                <w:highlight w:val="none"/>
              </w:rPr>
            </w:pPr>
            <w:r>
              <w:rPr>
                <w:rFonts w:ascii="宋体" w:hAnsi="宋体" w:cs="Arial Unicode MS"/>
                <w:color w:val="auto"/>
                <w:sz w:val="24"/>
                <w:szCs w:val="24"/>
                <w:highlight w:val="none"/>
              </w:rPr>
              <w:t>序号</w:t>
            </w:r>
          </w:p>
        </w:tc>
        <w:tc>
          <w:tcPr>
            <w:tcW w:w="1717" w:type="dxa"/>
            <w:tcBorders>
              <w:top w:val="single" w:color="000000" w:sz="6" w:space="0"/>
              <w:left w:val="single" w:color="000000" w:sz="2" w:space="0"/>
              <w:bottom w:val="single" w:color="000000" w:sz="2" w:space="0"/>
              <w:right w:val="single" w:color="000000" w:sz="2" w:space="0"/>
            </w:tcBorders>
            <w:noWrap w:val="0"/>
            <w:vAlign w:val="top"/>
          </w:tcPr>
          <w:p w14:paraId="3D2EC61D">
            <w:pPr>
              <w:pStyle w:val="186"/>
              <w:spacing w:before="73"/>
              <w:ind w:left="179"/>
              <w:rPr>
                <w:rFonts w:ascii="宋体" w:hAnsi="宋体" w:cs="Arial Unicode MS"/>
                <w:color w:val="auto"/>
                <w:sz w:val="24"/>
                <w:szCs w:val="24"/>
                <w:highlight w:val="none"/>
              </w:rPr>
            </w:pPr>
            <w:r>
              <w:rPr>
                <w:rFonts w:ascii="宋体" w:hAnsi="宋体" w:cs="Arial Unicode MS"/>
                <w:color w:val="auto"/>
                <w:sz w:val="24"/>
                <w:szCs w:val="24"/>
                <w:highlight w:val="none"/>
              </w:rPr>
              <w:t>磋商文件条目号</w:t>
            </w:r>
          </w:p>
        </w:tc>
        <w:tc>
          <w:tcPr>
            <w:tcW w:w="2166" w:type="dxa"/>
            <w:tcBorders>
              <w:top w:val="single" w:color="000000" w:sz="6" w:space="0"/>
              <w:left w:val="single" w:color="000000" w:sz="2" w:space="0"/>
              <w:bottom w:val="single" w:color="000000" w:sz="2" w:space="0"/>
              <w:right w:val="single" w:color="000000" w:sz="2" w:space="0"/>
            </w:tcBorders>
            <w:noWrap w:val="0"/>
            <w:vAlign w:val="top"/>
          </w:tcPr>
          <w:p w14:paraId="291DF853">
            <w:pPr>
              <w:pStyle w:val="186"/>
              <w:spacing w:before="73"/>
              <w:rPr>
                <w:rFonts w:ascii="宋体" w:hAnsi="宋体" w:cs="Arial Unicode MS"/>
                <w:color w:val="auto"/>
                <w:sz w:val="24"/>
                <w:szCs w:val="24"/>
                <w:highlight w:val="none"/>
              </w:rPr>
            </w:pPr>
            <w:r>
              <w:rPr>
                <w:rFonts w:ascii="宋体" w:hAnsi="宋体" w:cs="Arial Unicode MS"/>
                <w:color w:val="auto"/>
                <w:sz w:val="24"/>
                <w:szCs w:val="24"/>
                <w:highlight w:val="none"/>
              </w:rPr>
              <w:t>磋商文件的</w:t>
            </w:r>
            <w:r>
              <w:rPr>
                <w:rFonts w:hint="eastAsia" w:ascii="宋体" w:hAnsi="宋体" w:cs="Arial Unicode MS"/>
                <w:color w:val="auto"/>
                <w:sz w:val="24"/>
                <w:szCs w:val="24"/>
                <w:highlight w:val="none"/>
              </w:rPr>
              <w:t>技术</w:t>
            </w:r>
            <w:r>
              <w:rPr>
                <w:rFonts w:ascii="宋体" w:hAnsi="宋体" w:cs="Arial Unicode MS"/>
                <w:color w:val="auto"/>
                <w:sz w:val="24"/>
                <w:szCs w:val="24"/>
                <w:highlight w:val="none"/>
              </w:rPr>
              <w:t>条款</w:t>
            </w:r>
          </w:p>
        </w:tc>
        <w:tc>
          <w:tcPr>
            <w:tcW w:w="2166" w:type="dxa"/>
            <w:tcBorders>
              <w:top w:val="single" w:color="000000" w:sz="6" w:space="0"/>
              <w:left w:val="single" w:color="000000" w:sz="2" w:space="0"/>
              <w:bottom w:val="single" w:color="000000" w:sz="2" w:space="0"/>
              <w:right w:val="single" w:color="000000" w:sz="2" w:space="0"/>
            </w:tcBorders>
            <w:noWrap w:val="0"/>
            <w:vAlign w:val="top"/>
          </w:tcPr>
          <w:p w14:paraId="51085542">
            <w:pPr>
              <w:pStyle w:val="186"/>
              <w:spacing w:before="73"/>
              <w:rPr>
                <w:rFonts w:ascii="宋体" w:hAnsi="宋体" w:cs="Arial Unicode MS"/>
                <w:color w:val="auto"/>
                <w:sz w:val="24"/>
                <w:szCs w:val="24"/>
                <w:highlight w:val="none"/>
              </w:rPr>
            </w:pPr>
            <w:r>
              <w:rPr>
                <w:rFonts w:ascii="宋体" w:hAnsi="宋体" w:cs="Arial Unicode MS"/>
                <w:color w:val="auto"/>
                <w:sz w:val="24"/>
                <w:szCs w:val="24"/>
                <w:highlight w:val="none"/>
              </w:rPr>
              <w:t>响应文件的</w:t>
            </w:r>
            <w:r>
              <w:rPr>
                <w:rFonts w:hint="eastAsia" w:ascii="宋体" w:hAnsi="宋体" w:cs="Arial Unicode MS"/>
                <w:color w:val="auto"/>
                <w:sz w:val="24"/>
                <w:szCs w:val="24"/>
                <w:highlight w:val="none"/>
              </w:rPr>
              <w:t>技术</w:t>
            </w:r>
            <w:r>
              <w:rPr>
                <w:rFonts w:ascii="宋体" w:hAnsi="宋体" w:cs="Arial Unicode MS"/>
                <w:color w:val="auto"/>
                <w:sz w:val="24"/>
                <w:szCs w:val="24"/>
                <w:highlight w:val="none"/>
              </w:rPr>
              <w:t>条款</w:t>
            </w:r>
          </w:p>
        </w:tc>
        <w:tc>
          <w:tcPr>
            <w:tcW w:w="902" w:type="dxa"/>
            <w:tcBorders>
              <w:top w:val="single" w:color="000000" w:sz="6" w:space="0"/>
              <w:left w:val="single" w:color="000000" w:sz="2" w:space="0"/>
              <w:bottom w:val="single" w:color="000000" w:sz="2" w:space="0"/>
              <w:right w:val="single" w:color="000000" w:sz="2" w:space="0"/>
            </w:tcBorders>
            <w:noWrap w:val="0"/>
            <w:vAlign w:val="top"/>
          </w:tcPr>
          <w:p w14:paraId="4F7B3C16">
            <w:pPr>
              <w:pStyle w:val="186"/>
              <w:spacing w:before="73"/>
              <w:ind w:left="268"/>
              <w:rPr>
                <w:rFonts w:ascii="宋体" w:hAnsi="宋体" w:cs="Arial Unicode MS"/>
                <w:color w:val="auto"/>
                <w:sz w:val="24"/>
                <w:szCs w:val="24"/>
                <w:highlight w:val="none"/>
              </w:rPr>
            </w:pPr>
            <w:r>
              <w:rPr>
                <w:rFonts w:ascii="宋体" w:hAnsi="宋体" w:cs="Arial Unicode MS"/>
                <w:color w:val="auto"/>
                <w:sz w:val="24"/>
                <w:szCs w:val="24"/>
                <w:highlight w:val="none"/>
              </w:rPr>
              <w:t>偏离</w:t>
            </w:r>
          </w:p>
        </w:tc>
        <w:tc>
          <w:tcPr>
            <w:tcW w:w="809" w:type="dxa"/>
            <w:tcBorders>
              <w:top w:val="single" w:color="000000" w:sz="6" w:space="0"/>
              <w:left w:val="single" w:color="000000" w:sz="2" w:space="0"/>
              <w:bottom w:val="single" w:color="000000" w:sz="2" w:space="0"/>
              <w:right w:val="single" w:color="000000" w:sz="6" w:space="0"/>
            </w:tcBorders>
            <w:noWrap w:val="0"/>
            <w:vAlign w:val="top"/>
          </w:tcPr>
          <w:p w14:paraId="7012E94C">
            <w:pPr>
              <w:pStyle w:val="186"/>
              <w:spacing w:before="73"/>
              <w:ind w:left="221"/>
              <w:rPr>
                <w:rFonts w:ascii="宋体" w:hAnsi="宋体" w:cs="Arial Unicode MS"/>
                <w:color w:val="auto"/>
                <w:sz w:val="24"/>
                <w:szCs w:val="24"/>
                <w:highlight w:val="none"/>
              </w:rPr>
            </w:pPr>
            <w:r>
              <w:rPr>
                <w:rFonts w:ascii="宋体" w:hAnsi="宋体" w:cs="Arial Unicode MS"/>
                <w:color w:val="auto"/>
                <w:sz w:val="24"/>
                <w:szCs w:val="24"/>
                <w:highlight w:val="none"/>
              </w:rPr>
              <w:t>说明</w:t>
            </w:r>
          </w:p>
        </w:tc>
      </w:tr>
      <w:tr w14:paraId="5D534392">
        <w:tblPrEx>
          <w:tblCellMar>
            <w:top w:w="0" w:type="dxa"/>
            <w:left w:w="0" w:type="dxa"/>
            <w:bottom w:w="0" w:type="dxa"/>
            <w:right w:w="0" w:type="dxa"/>
          </w:tblCellMar>
        </w:tblPrEx>
        <w:trPr>
          <w:trHeight w:val="541" w:hRule="exact"/>
        </w:trPr>
        <w:tc>
          <w:tcPr>
            <w:tcW w:w="629" w:type="dxa"/>
            <w:tcBorders>
              <w:top w:val="single" w:color="000000" w:sz="2" w:space="0"/>
              <w:left w:val="single" w:color="000000" w:sz="6" w:space="0"/>
              <w:bottom w:val="single" w:color="000000" w:sz="2" w:space="0"/>
              <w:right w:val="single" w:color="000000" w:sz="2" w:space="0"/>
            </w:tcBorders>
            <w:noWrap w:val="0"/>
            <w:vAlign w:val="top"/>
          </w:tcPr>
          <w:p w14:paraId="75EFD742">
            <w:pPr>
              <w:rPr>
                <w:rFonts w:ascii="宋体" w:hAnsi="宋体"/>
                <w:color w:val="auto"/>
                <w:sz w:val="24"/>
                <w:szCs w:val="24"/>
                <w:highlight w:val="none"/>
              </w:rPr>
            </w:pPr>
          </w:p>
        </w:tc>
        <w:tc>
          <w:tcPr>
            <w:tcW w:w="1717" w:type="dxa"/>
            <w:tcBorders>
              <w:top w:val="single" w:color="000000" w:sz="2" w:space="0"/>
              <w:left w:val="single" w:color="000000" w:sz="2" w:space="0"/>
              <w:bottom w:val="single" w:color="000000" w:sz="2" w:space="0"/>
              <w:right w:val="single" w:color="000000" w:sz="2" w:space="0"/>
            </w:tcBorders>
            <w:noWrap w:val="0"/>
            <w:vAlign w:val="top"/>
          </w:tcPr>
          <w:p w14:paraId="0654A3AC">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4B5370FF">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3457B6BA">
            <w:pPr>
              <w:rPr>
                <w:rFonts w:ascii="宋体" w:hAnsi="宋体"/>
                <w:color w:val="auto"/>
                <w:sz w:val="24"/>
                <w:szCs w:val="24"/>
                <w:highlight w:val="none"/>
              </w:rPr>
            </w:pPr>
          </w:p>
        </w:tc>
        <w:tc>
          <w:tcPr>
            <w:tcW w:w="902" w:type="dxa"/>
            <w:tcBorders>
              <w:top w:val="single" w:color="000000" w:sz="2" w:space="0"/>
              <w:left w:val="single" w:color="000000" w:sz="2" w:space="0"/>
              <w:bottom w:val="single" w:color="000000" w:sz="2" w:space="0"/>
              <w:right w:val="single" w:color="000000" w:sz="2" w:space="0"/>
            </w:tcBorders>
            <w:noWrap w:val="0"/>
            <w:vAlign w:val="top"/>
          </w:tcPr>
          <w:p w14:paraId="699068D0">
            <w:pPr>
              <w:rPr>
                <w:rFonts w:ascii="宋体" w:hAnsi="宋体"/>
                <w:color w:val="auto"/>
                <w:sz w:val="24"/>
                <w:szCs w:val="24"/>
                <w:highlight w:val="none"/>
              </w:rPr>
            </w:pPr>
          </w:p>
        </w:tc>
        <w:tc>
          <w:tcPr>
            <w:tcW w:w="809" w:type="dxa"/>
            <w:tcBorders>
              <w:top w:val="single" w:color="000000" w:sz="2" w:space="0"/>
              <w:left w:val="single" w:color="000000" w:sz="2" w:space="0"/>
              <w:bottom w:val="single" w:color="000000" w:sz="2" w:space="0"/>
              <w:right w:val="single" w:color="000000" w:sz="6" w:space="0"/>
            </w:tcBorders>
            <w:noWrap w:val="0"/>
            <w:vAlign w:val="top"/>
          </w:tcPr>
          <w:p w14:paraId="4CF12C7E">
            <w:pPr>
              <w:rPr>
                <w:rFonts w:ascii="宋体" w:hAnsi="宋体"/>
                <w:color w:val="auto"/>
                <w:sz w:val="24"/>
                <w:szCs w:val="24"/>
                <w:highlight w:val="none"/>
              </w:rPr>
            </w:pPr>
          </w:p>
        </w:tc>
      </w:tr>
      <w:tr w14:paraId="20C669F1">
        <w:tblPrEx>
          <w:tblCellMar>
            <w:top w:w="0" w:type="dxa"/>
            <w:left w:w="0" w:type="dxa"/>
            <w:bottom w:w="0" w:type="dxa"/>
            <w:right w:w="0" w:type="dxa"/>
          </w:tblCellMar>
        </w:tblPrEx>
        <w:trPr>
          <w:trHeight w:val="541" w:hRule="exact"/>
        </w:trPr>
        <w:tc>
          <w:tcPr>
            <w:tcW w:w="629" w:type="dxa"/>
            <w:tcBorders>
              <w:top w:val="single" w:color="000000" w:sz="2" w:space="0"/>
              <w:left w:val="single" w:color="000000" w:sz="6" w:space="0"/>
              <w:bottom w:val="single" w:color="000000" w:sz="2" w:space="0"/>
              <w:right w:val="single" w:color="000000" w:sz="2" w:space="0"/>
            </w:tcBorders>
            <w:noWrap w:val="0"/>
            <w:vAlign w:val="top"/>
          </w:tcPr>
          <w:p w14:paraId="7A6EBFF4">
            <w:pPr>
              <w:rPr>
                <w:rFonts w:ascii="宋体" w:hAnsi="宋体"/>
                <w:color w:val="auto"/>
                <w:sz w:val="24"/>
                <w:szCs w:val="24"/>
                <w:highlight w:val="none"/>
              </w:rPr>
            </w:pPr>
          </w:p>
        </w:tc>
        <w:tc>
          <w:tcPr>
            <w:tcW w:w="1717" w:type="dxa"/>
            <w:tcBorders>
              <w:top w:val="single" w:color="000000" w:sz="2" w:space="0"/>
              <w:left w:val="single" w:color="000000" w:sz="2" w:space="0"/>
              <w:bottom w:val="single" w:color="000000" w:sz="2" w:space="0"/>
              <w:right w:val="single" w:color="000000" w:sz="2" w:space="0"/>
            </w:tcBorders>
            <w:noWrap w:val="0"/>
            <w:vAlign w:val="top"/>
          </w:tcPr>
          <w:p w14:paraId="186B310E">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21D38E2F">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65B7A391">
            <w:pPr>
              <w:rPr>
                <w:rFonts w:ascii="宋体" w:hAnsi="宋体"/>
                <w:color w:val="auto"/>
                <w:sz w:val="24"/>
                <w:szCs w:val="24"/>
                <w:highlight w:val="none"/>
              </w:rPr>
            </w:pPr>
          </w:p>
        </w:tc>
        <w:tc>
          <w:tcPr>
            <w:tcW w:w="902" w:type="dxa"/>
            <w:tcBorders>
              <w:top w:val="single" w:color="000000" w:sz="2" w:space="0"/>
              <w:left w:val="single" w:color="000000" w:sz="2" w:space="0"/>
              <w:bottom w:val="single" w:color="000000" w:sz="2" w:space="0"/>
              <w:right w:val="single" w:color="000000" w:sz="2" w:space="0"/>
            </w:tcBorders>
            <w:noWrap w:val="0"/>
            <w:vAlign w:val="top"/>
          </w:tcPr>
          <w:p w14:paraId="62B3D3E3">
            <w:pPr>
              <w:rPr>
                <w:rFonts w:ascii="宋体" w:hAnsi="宋体"/>
                <w:color w:val="auto"/>
                <w:sz w:val="24"/>
                <w:szCs w:val="24"/>
                <w:highlight w:val="none"/>
              </w:rPr>
            </w:pPr>
          </w:p>
        </w:tc>
        <w:tc>
          <w:tcPr>
            <w:tcW w:w="809" w:type="dxa"/>
            <w:tcBorders>
              <w:top w:val="single" w:color="000000" w:sz="2" w:space="0"/>
              <w:left w:val="single" w:color="000000" w:sz="2" w:space="0"/>
              <w:bottom w:val="single" w:color="000000" w:sz="2" w:space="0"/>
              <w:right w:val="single" w:color="000000" w:sz="6" w:space="0"/>
            </w:tcBorders>
            <w:noWrap w:val="0"/>
            <w:vAlign w:val="top"/>
          </w:tcPr>
          <w:p w14:paraId="614E8E95">
            <w:pPr>
              <w:rPr>
                <w:rFonts w:ascii="宋体" w:hAnsi="宋体"/>
                <w:color w:val="auto"/>
                <w:sz w:val="24"/>
                <w:szCs w:val="24"/>
                <w:highlight w:val="none"/>
              </w:rPr>
            </w:pPr>
          </w:p>
        </w:tc>
      </w:tr>
      <w:tr w14:paraId="5A863205">
        <w:tblPrEx>
          <w:tblCellMar>
            <w:top w:w="0" w:type="dxa"/>
            <w:left w:w="0" w:type="dxa"/>
            <w:bottom w:w="0" w:type="dxa"/>
            <w:right w:w="0" w:type="dxa"/>
          </w:tblCellMar>
        </w:tblPrEx>
        <w:trPr>
          <w:trHeight w:val="541" w:hRule="exact"/>
        </w:trPr>
        <w:tc>
          <w:tcPr>
            <w:tcW w:w="629" w:type="dxa"/>
            <w:tcBorders>
              <w:top w:val="single" w:color="000000" w:sz="2" w:space="0"/>
              <w:left w:val="single" w:color="000000" w:sz="6" w:space="0"/>
              <w:bottom w:val="single" w:color="000000" w:sz="2" w:space="0"/>
              <w:right w:val="single" w:color="000000" w:sz="2" w:space="0"/>
            </w:tcBorders>
            <w:noWrap w:val="0"/>
            <w:vAlign w:val="top"/>
          </w:tcPr>
          <w:p w14:paraId="4D662656">
            <w:pPr>
              <w:rPr>
                <w:rFonts w:ascii="宋体" w:hAnsi="宋体"/>
                <w:color w:val="auto"/>
                <w:sz w:val="24"/>
                <w:szCs w:val="24"/>
                <w:highlight w:val="none"/>
              </w:rPr>
            </w:pPr>
          </w:p>
        </w:tc>
        <w:tc>
          <w:tcPr>
            <w:tcW w:w="1717" w:type="dxa"/>
            <w:tcBorders>
              <w:top w:val="single" w:color="000000" w:sz="2" w:space="0"/>
              <w:left w:val="single" w:color="000000" w:sz="2" w:space="0"/>
              <w:bottom w:val="single" w:color="000000" w:sz="2" w:space="0"/>
              <w:right w:val="single" w:color="000000" w:sz="2" w:space="0"/>
            </w:tcBorders>
            <w:noWrap w:val="0"/>
            <w:vAlign w:val="top"/>
          </w:tcPr>
          <w:p w14:paraId="0D93F8B6">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66598E87">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3229A4E3">
            <w:pPr>
              <w:rPr>
                <w:rFonts w:ascii="宋体" w:hAnsi="宋体"/>
                <w:color w:val="auto"/>
                <w:sz w:val="24"/>
                <w:szCs w:val="24"/>
                <w:highlight w:val="none"/>
              </w:rPr>
            </w:pPr>
          </w:p>
        </w:tc>
        <w:tc>
          <w:tcPr>
            <w:tcW w:w="902" w:type="dxa"/>
            <w:tcBorders>
              <w:top w:val="single" w:color="000000" w:sz="2" w:space="0"/>
              <w:left w:val="single" w:color="000000" w:sz="2" w:space="0"/>
              <w:bottom w:val="single" w:color="000000" w:sz="2" w:space="0"/>
              <w:right w:val="single" w:color="000000" w:sz="2" w:space="0"/>
            </w:tcBorders>
            <w:noWrap w:val="0"/>
            <w:vAlign w:val="top"/>
          </w:tcPr>
          <w:p w14:paraId="554D3CB4">
            <w:pPr>
              <w:rPr>
                <w:rFonts w:ascii="宋体" w:hAnsi="宋体"/>
                <w:color w:val="auto"/>
                <w:sz w:val="24"/>
                <w:szCs w:val="24"/>
                <w:highlight w:val="none"/>
              </w:rPr>
            </w:pPr>
          </w:p>
        </w:tc>
        <w:tc>
          <w:tcPr>
            <w:tcW w:w="809" w:type="dxa"/>
            <w:tcBorders>
              <w:top w:val="single" w:color="000000" w:sz="2" w:space="0"/>
              <w:left w:val="single" w:color="000000" w:sz="2" w:space="0"/>
              <w:bottom w:val="single" w:color="000000" w:sz="2" w:space="0"/>
              <w:right w:val="single" w:color="000000" w:sz="6" w:space="0"/>
            </w:tcBorders>
            <w:noWrap w:val="0"/>
            <w:vAlign w:val="top"/>
          </w:tcPr>
          <w:p w14:paraId="2869C2D4">
            <w:pPr>
              <w:rPr>
                <w:rFonts w:ascii="宋体" w:hAnsi="宋体"/>
                <w:color w:val="auto"/>
                <w:sz w:val="24"/>
                <w:szCs w:val="24"/>
                <w:highlight w:val="none"/>
              </w:rPr>
            </w:pPr>
          </w:p>
        </w:tc>
      </w:tr>
      <w:tr w14:paraId="6D039CF2">
        <w:tblPrEx>
          <w:tblCellMar>
            <w:top w:w="0" w:type="dxa"/>
            <w:left w:w="0" w:type="dxa"/>
            <w:bottom w:w="0" w:type="dxa"/>
            <w:right w:w="0" w:type="dxa"/>
          </w:tblCellMar>
        </w:tblPrEx>
        <w:trPr>
          <w:trHeight w:val="541" w:hRule="exact"/>
        </w:trPr>
        <w:tc>
          <w:tcPr>
            <w:tcW w:w="629" w:type="dxa"/>
            <w:tcBorders>
              <w:top w:val="single" w:color="000000" w:sz="2" w:space="0"/>
              <w:left w:val="single" w:color="000000" w:sz="6" w:space="0"/>
              <w:bottom w:val="single" w:color="000000" w:sz="2" w:space="0"/>
              <w:right w:val="single" w:color="000000" w:sz="2" w:space="0"/>
            </w:tcBorders>
            <w:noWrap w:val="0"/>
            <w:vAlign w:val="top"/>
          </w:tcPr>
          <w:p w14:paraId="22CFA1BF">
            <w:pPr>
              <w:rPr>
                <w:rFonts w:ascii="宋体" w:hAnsi="宋体"/>
                <w:color w:val="auto"/>
                <w:sz w:val="24"/>
                <w:szCs w:val="24"/>
                <w:highlight w:val="none"/>
              </w:rPr>
            </w:pPr>
          </w:p>
        </w:tc>
        <w:tc>
          <w:tcPr>
            <w:tcW w:w="1717" w:type="dxa"/>
            <w:tcBorders>
              <w:top w:val="single" w:color="000000" w:sz="2" w:space="0"/>
              <w:left w:val="single" w:color="000000" w:sz="2" w:space="0"/>
              <w:bottom w:val="single" w:color="000000" w:sz="2" w:space="0"/>
              <w:right w:val="single" w:color="000000" w:sz="2" w:space="0"/>
            </w:tcBorders>
            <w:noWrap w:val="0"/>
            <w:vAlign w:val="top"/>
          </w:tcPr>
          <w:p w14:paraId="55E78E24">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2BE44ADF">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2" w:space="0"/>
              <w:right w:val="single" w:color="000000" w:sz="2" w:space="0"/>
            </w:tcBorders>
            <w:noWrap w:val="0"/>
            <w:vAlign w:val="top"/>
          </w:tcPr>
          <w:p w14:paraId="788D0340">
            <w:pPr>
              <w:rPr>
                <w:rFonts w:ascii="宋体" w:hAnsi="宋体"/>
                <w:color w:val="auto"/>
                <w:sz w:val="24"/>
                <w:szCs w:val="24"/>
                <w:highlight w:val="none"/>
              </w:rPr>
            </w:pPr>
          </w:p>
        </w:tc>
        <w:tc>
          <w:tcPr>
            <w:tcW w:w="902" w:type="dxa"/>
            <w:tcBorders>
              <w:top w:val="single" w:color="000000" w:sz="2" w:space="0"/>
              <w:left w:val="single" w:color="000000" w:sz="2" w:space="0"/>
              <w:bottom w:val="single" w:color="000000" w:sz="2" w:space="0"/>
              <w:right w:val="single" w:color="000000" w:sz="2" w:space="0"/>
            </w:tcBorders>
            <w:noWrap w:val="0"/>
            <w:vAlign w:val="top"/>
          </w:tcPr>
          <w:p w14:paraId="3AFD31B1">
            <w:pPr>
              <w:rPr>
                <w:rFonts w:ascii="宋体" w:hAnsi="宋体"/>
                <w:color w:val="auto"/>
                <w:sz w:val="24"/>
                <w:szCs w:val="24"/>
                <w:highlight w:val="none"/>
              </w:rPr>
            </w:pPr>
          </w:p>
        </w:tc>
        <w:tc>
          <w:tcPr>
            <w:tcW w:w="809" w:type="dxa"/>
            <w:tcBorders>
              <w:top w:val="single" w:color="000000" w:sz="2" w:space="0"/>
              <w:left w:val="single" w:color="000000" w:sz="2" w:space="0"/>
              <w:bottom w:val="single" w:color="000000" w:sz="2" w:space="0"/>
              <w:right w:val="single" w:color="000000" w:sz="6" w:space="0"/>
            </w:tcBorders>
            <w:noWrap w:val="0"/>
            <w:vAlign w:val="top"/>
          </w:tcPr>
          <w:p w14:paraId="0A84EF92">
            <w:pPr>
              <w:rPr>
                <w:rFonts w:ascii="宋体" w:hAnsi="宋体"/>
                <w:color w:val="auto"/>
                <w:sz w:val="24"/>
                <w:szCs w:val="24"/>
                <w:highlight w:val="none"/>
              </w:rPr>
            </w:pPr>
          </w:p>
        </w:tc>
      </w:tr>
      <w:tr w14:paraId="3C0357BC">
        <w:tblPrEx>
          <w:tblCellMar>
            <w:top w:w="0" w:type="dxa"/>
            <w:left w:w="0" w:type="dxa"/>
            <w:bottom w:w="0" w:type="dxa"/>
            <w:right w:w="0" w:type="dxa"/>
          </w:tblCellMar>
        </w:tblPrEx>
        <w:trPr>
          <w:trHeight w:val="541" w:hRule="exact"/>
        </w:trPr>
        <w:tc>
          <w:tcPr>
            <w:tcW w:w="629" w:type="dxa"/>
            <w:tcBorders>
              <w:top w:val="single" w:color="000000" w:sz="2" w:space="0"/>
              <w:left w:val="single" w:color="000000" w:sz="6" w:space="0"/>
              <w:bottom w:val="single" w:color="000000" w:sz="6" w:space="0"/>
              <w:right w:val="single" w:color="000000" w:sz="2" w:space="0"/>
            </w:tcBorders>
            <w:noWrap w:val="0"/>
            <w:vAlign w:val="top"/>
          </w:tcPr>
          <w:p w14:paraId="5F20EEC5">
            <w:pPr>
              <w:rPr>
                <w:rFonts w:ascii="宋体" w:hAnsi="宋体"/>
                <w:color w:val="auto"/>
                <w:sz w:val="24"/>
                <w:szCs w:val="24"/>
                <w:highlight w:val="none"/>
              </w:rPr>
            </w:pPr>
          </w:p>
        </w:tc>
        <w:tc>
          <w:tcPr>
            <w:tcW w:w="1717" w:type="dxa"/>
            <w:tcBorders>
              <w:top w:val="single" w:color="000000" w:sz="2" w:space="0"/>
              <w:left w:val="single" w:color="000000" w:sz="2" w:space="0"/>
              <w:bottom w:val="single" w:color="000000" w:sz="6" w:space="0"/>
              <w:right w:val="single" w:color="000000" w:sz="2" w:space="0"/>
            </w:tcBorders>
            <w:noWrap w:val="0"/>
            <w:vAlign w:val="top"/>
          </w:tcPr>
          <w:p w14:paraId="73C608CD">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6" w:space="0"/>
              <w:right w:val="single" w:color="000000" w:sz="2" w:space="0"/>
            </w:tcBorders>
            <w:noWrap w:val="0"/>
            <w:vAlign w:val="top"/>
          </w:tcPr>
          <w:p w14:paraId="1362E8A6">
            <w:pPr>
              <w:rPr>
                <w:rFonts w:ascii="宋体" w:hAnsi="宋体"/>
                <w:color w:val="auto"/>
                <w:sz w:val="24"/>
                <w:szCs w:val="24"/>
                <w:highlight w:val="none"/>
              </w:rPr>
            </w:pPr>
          </w:p>
        </w:tc>
        <w:tc>
          <w:tcPr>
            <w:tcW w:w="2166" w:type="dxa"/>
            <w:tcBorders>
              <w:top w:val="single" w:color="000000" w:sz="2" w:space="0"/>
              <w:left w:val="single" w:color="000000" w:sz="2" w:space="0"/>
              <w:bottom w:val="single" w:color="000000" w:sz="6" w:space="0"/>
              <w:right w:val="single" w:color="000000" w:sz="2" w:space="0"/>
            </w:tcBorders>
            <w:noWrap w:val="0"/>
            <w:vAlign w:val="top"/>
          </w:tcPr>
          <w:p w14:paraId="795A9D4C">
            <w:pPr>
              <w:rPr>
                <w:rFonts w:ascii="宋体" w:hAnsi="宋体"/>
                <w:color w:val="auto"/>
                <w:sz w:val="24"/>
                <w:szCs w:val="24"/>
                <w:highlight w:val="none"/>
              </w:rPr>
            </w:pPr>
          </w:p>
        </w:tc>
        <w:tc>
          <w:tcPr>
            <w:tcW w:w="902" w:type="dxa"/>
            <w:tcBorders>
              <w:top w:val="single" w:color="000000" w:sz="2" w:space="0"/>
              <w:left w:val="single" w:color="000000" w:sz="2" w:space="0"/>
              <w:bottom w:val="single" w:color="000000" w:sz="6" w:space="0"/>
              <w:right w:val="single" w:color="000000" w:sz="2" w:space="0"/>
            </w:tcBorders>
            <w:noWrap w:val="0"/>
            <w:vAlign w:val="top"/>
          </w:tcPr>
          <w:p w14:paraId="7B49DA6B">
            <w:pPr>
              <w:rPr>
                <w:rFonts w:ascii="宋体" w:hAnsi="宋体"/>
                <w:color w:val="auto"/>
                <w:sz w:val="24"/>
                <w:szCs w:val="24"/>
                <w:highlight w:val="none"/>
              </w:rPr>
            </w:pPr>
          </w:p>
        </w:tc>
        <w:tc>
          <w:tcPr>
            <w:tcW w:w="809" w:type="dxa"/>
            <w:tcBorders>
              <w:top w:val="single" w:color="000000" w:sz="2" w:space="0"/>
              <w:left w:val="single" w:color="000000" w:sz="2" w:space="0"/>
              <w:bottom w:val="single" w:color="000000" w:sz="6" w:space="0"/>
              <w:right w:val="single" w:color="000000" w:sz="6" w:space="0"/>
            </w:tcBorders>
            <w:noWrap w:val="0"/>
            <w:vAlign w:val="top"/>
          </w:tcPr>
          <w:p w14:paraId="6FF62AD5">
            <w:pPr>
              <w:rPr>
                <w:rFonts w:ascii="宋体" w:hAnsi="宋体"/>
                <w:color w:val="auto"/>
                <w:sz w:val="24"/>
                <w:szCs w:val="24"/>
                <w:highlight w:val="none"/>
              </w:rPr>
            </w:pPr>
          </w:p>
        </w:tc>
      </w:tr>
    </w:tbl>
    <w:p w14:paraId="29729920">
      <w:pPr>
        <w:spacing w:before="28"/>
        <w:ind w:right="10" w:rightChars="0"/>
        <w:jc w:val="left"/>
        <w:rPr>
          <w:rFonts w:ascii="宋体" w:hAnsi="宋体" w:cs="Arial Unicode MS"/>
          <w:color w:val="auto"/>
          <w:sz w:val="24"/>
          <w:szCs w:val="24"/>
          <w:highlight w:val="none"/>
        </w:rPr>
      </w:pPr>
      <w:r>
        <w:rPr>
          <w:rFonts w:ascii="宋体" w:hAnsi="宋体" w:cs="Arial Unicode MS"/>
          <w:color w:val="auto"/>
          <w:sz w:val="24"/>
          <w:szCs w:val="24"/>
          <w:highlight w:val="none"/>
        </w:rPr>
        <w:t>说明</w:t>
      </w:r>
      <w:r>
        <w:rPr>
          <w:rFonts w:hint="eastAsia" w:ascii="宋体" w:hAnsi="宋体" w:cs="Arial Unicode MS"/>
          <w:color w:val="auto"/>
          <w:sz w:val="24"/>
          <w:szCs w:val="24"/>
          <w:highlight w:val="none"/>
          <w:lang w:eastAsia="zh-CN"/>
        </w:rPr>
        <w:t>：</w:t>
      </w:r>
      <w:r>
        <w:rPr>
          <w:rFonts w:ascii="宋体" w:hAnsi="宋体" w:cs="Arial Unicode MS"/>
          <w:color w:val="auto"/>
          <w:sz w:val="24"/>
          <w:szCs w:val="24"/>
          <w:highlight w:val="none"/>
        </w:rPr>
        <w:t>在偏离项必须注明正偏离、负偏离或无偏离。</w:t>
      </w:r>
    </w:p>
    <w:p w14:paraId="0FD8C832">
      <w:pPr>
        <w:spacing w:before="6"/>
        <w:rPr>
          <w:rFonts w:ascii="宋体" w:hAnsi="宋体" w:cs="Arial Unicode MS"/>
          <w:color w:val="auto"/>
          <w:sz w:val="24"/>
          <w:szCs w:val="24"/>
          <w:highlight w:val="none"/>
        </w:rPr>
      </w:pPr>
    </w:p>
    <w:p w14:paraId="7A28D765">
      <w:pPr>
        <w:tabs>
          <w:tab w:val="left" w:pos="2981"/>
        </w:tabs>
        <w:spacing w:line="254" w:lineRule="auto"/>
        <w:rPr>
          <w:rFonts w:ascii="宋体" w:hAnsi="宋体" w:eastAsia="宋体"/>
          <w:color w:val="auto"/>
          <w:sz w:val="24"/>
          <w:szCs w:val="24"/>
          <w:highlight w:val="none"/>
        </w:rPr>
      </w:pPr>
    </w:p>
    <w:p w14:paraId="0D2E998B">
      <w:pPr>
        <w:tabs>
          <w:tab w:val="left" w:pos="2981"/>
        </w:tabs>
        <w:spacing w:line="254" w:lineRule="auto"/>
        <w:rPr>
          <w:rFonts w:ascii="宋体" w:hAnsi="宋体" w:eastAsia="宋体"/>
          <w:color w:val="auto"/>
          <w:sz w:val="24"/>
          <w:szCs w:val="24"/>
          <w:highlight w:val="none"/>
        </w:rPr>
      </w:pPr>
    </w:p>
    <w:p w14:paraId="0657AFF8">
      <w:pPr>
        <w:tabs>
          <w:tab w:val="left" w:pos="2981"/>
        </w:tabs>
        <w:spacing w:line="254" w:lineRule="auto"/>
        <w:rPr>
          <w:rFonts w:ascii="宋体" w:hAnsi="宋体" w:eastAsia="宋体"/>
          <w:color w:val="auto"/>
          <w:sz w:val="24"/>
          <w:szCs w:val="24"/>
          <w:highlight w:val="none"/>
        </w:rPr>
      </w:pPr>
    </w:p>
    <w:p w14:paraId="61917EFF">
      <w:pPr>
        <w:keepNext w:val="0"/>
        <w:keepLines w:val="0"/>
        <w:pageBreakBefore w:val="0"/>
        <w:kinsoku/>
        <w:wordWrap/>
        <w:overflowPunct/>
        <w:topLinePunct w:val="0"/>
        <w:autoSpaceDE/>
        <w:autoSpaceDN/>
        <w:bidi w:val="0"/>
        <w:adjustRightInd/>
        <w:snapToGrid/>
        <w:spacing w:line="500" w:lineRule="exact"/>
        <w:ind w:left="0" w:leftChars="0" w:firstLine="420" w:firstLineChars="175"/>
        <w:jc w:val="right"/>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7AADE60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szCs w:val="24"/>
          <w:highlight w:val="none"/>
        </w:rPr>
      </w:pPr>
    </w:p>
    <w:p w14:paraId="4A297F3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0D14CEE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szCs w:val="24"/>
          <w:highlight w:val="none"/>
        </w:rPr>
      </w:pPr>
    </w:p>
    <w:p w14:paraId="64EE754F">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6F996A18">
      <w:pPr>
        <w:spacing w:before="17"/>
        <w:rPr>
          <w:rFonts w:ascii="宋体" w:hAnsi="宋体" w:cs="Arial Unicode MS"/>
          <w:color w:val="auto"/>
          <w:szCs w:val="21"/>
          <w:highlight w:val="none"/>
        </w:rPr>
      </w:pPr>
    </w:p>
    <w:p w14:paraId="586E4664">
      <w:pPr>
        <w:pStyle w:val="27"/>
        <w:ind w:firstLine="560" w:firstLineChars="200"/>
        <w:rPr>
          <w:rFonts w:hint="eastAsia" w:hAnsi="宋体" w:cs="Courier New"/>
          <w:color w:val="auto"/>
          <w:sz w:val="28"/>
          <w:szCs w:val="28"/>
          <w:highlight w:val="none"/>
        </w:rPr>
      </w:pPr>
    </w:p>
    <w:p w14:paraId="771174F7">
      <w:pPr>
        <w:rPr>
          <w:rFonts w:hint="eastAsia" w:hAnsi="宋体" w:cs="Courier New"/>
          <w:color w:val="auto"/>
          <w:sz w:val="28"/>
          <w:szCs w:val="28"/>
          <w:highlight w:val="none"/>
        </w:rPr>
      </w:pPr>
    </w:p>
    <w:p w14:paraId="4385EF08">
      <w:pPr>
        <w:pStyle w:val="49"/>
        <w:rPr>
          <w:rFonts w:hint="eastAsia" w:hAnsi="宋体" w:cs="Courier New"/>
          <w:color w:val="auto"/>
          <w:sz w:val="28"/>
          <w:szCs w:val="28"/>
          <w:highlight w:val="none"/>
        </w:rPr>
      </w:pPr>
    </w:p>
    <w:p w14:paraId="3EBF8D18">
      <w:pPr>
        <w:rPr>
          <w:rFonts w:hint="eastAsia" w:hAnsi="宋体" w:cs="Courier New"/>
          <w:color w:val="auto"/>
          <w:sz w:val="28"/>
          <w:szCs w:val="28"/>
          <w:highlight w:val="none"/>
        </w:rPr>
      </w:pPr>
    </w:p>
    <w:p w14:paraId="3CD8A9AC">
      <w:pPr>
        <w:pStyle w:val="49"/>
        <w:rPr>
          <w:rFonts w:hint="eastAsia" w:hAnsi="宋体" w:cs="Courier New"/>
          <w:color w:val="auto"/>
          <w:sz w:val="28"/>
          <w:szCs w:val="28"/>
          <w:highlight w:val="none"/>
        </w:rPr>
      </w:pPr>
    </w:p>
    <w:p w14:paraId="106DDB68">
      <w:pPr>
        <w:pStyle w:val="49"/>
        <w:rPr>
          <w:rFonts w:hint="eastAsia"/>
          <w:color w:val="auto"/>
          <w:highlight w:val="none"/>
        </w:rPr>
      </w:pPr>
    </w:p>
    <w:p w14:paraId="1E72F4E6">
      <w:pPr>
        <w:spacing w:line="360" w:lineRule="auto"/>
        <w:jc w:val="center"/>
        <w:rPr>
          <w:rFonts w:hint="eastAsia" w:ascii="Times New Roman" w:hAnsi="Times New Roman" w:eastAsia="宋体" w:cs="Times New Roman"/>
          <w:b/>
          <w:bCs/>
          <w:color w:val="auto"/>
          <w:sz w:val="28"/>
          <w:szCs w:val="28"/>
          <w:highlight w:val="none"/>
          <w:lang w:val="zh-CN" w:eastAsia="zh-CN"/>
        </w:rPr>
      </w:pPr>
    </w:p>
    <w:p w14:paraId="2FE7623C">
      <w:pPr>
        <w:spacing w:line="360" w:lineRule="auto"/>
        <w:jc w:val="center"/>
        <w:rPr>
          <w:rFonts w:hint="eastAsia" w:ascii="Times New Roman" w:hAnsi="Times New Roman" w:eastAsia="宋体" w:cs="Times New Roman"/>
          <w:b/>
          <w:bCs/>
          <w:color w:val="auto"/>
          <w:sz w:val="28"/>
          <w:szCs w:val="28"/>
          <w:highlight w:val="none"/>
          <w:lang w:val="zh-CN" w:eastAsia="zh-CN"/>
        </w:rPr>
      </w:pPr>
      <w:r>
        <w:rPr>
          <w:rFonts w:hint="eastAsia" w:ascii="Times New Roman" w:hAnsi="Times New Roman" w:eastAsia="宋体" w:cs="Times New Roman"/>
          <w:b/>
          <w:bCs/>
          <w:color w:val="auto"/>
          <w:sz w:val="28"/>
          <w:szCs w:val="28"/>
          <w:highlight w:val="none"/>
          <w:lang w:val="zh-CN" w:eastAsia="zh-CN"/>
        </w:rPr>
        <w:t>（</w:t>
      </w:r>
      <w:r>
        <w:rPr>
          <w:rFonts w:hint="eastAsia" w:ascii="Times New Roman" w:hAnsi="Times New Roman" w:cs="Times New Roman"/>
          <w:b/>
          <w:bCs/>
          <w:color w:val="auto"/>
          <w:sz w:val="28"/>
          <w:szCs w:val="28"/>
          <w:highlight w:val="none"/>
          <w:lang w:val="en-US" w:eastAsia="zh-CN"/>
        </w:rPr>
        <w:t>八</w:t>
      </w:r>
      <w:r>
        <w:rPr>
          <w:rFonts w:hint="eastAsia" w:ascii="Times New Roman" w:hAnsi="Times New Roman" w:eastAsia="宋体" w:cs="Times New Roman"/>
          <w:b/>
          <w:bCs/>
          <w:color w:val="auto"/>
          <w:sz w:val="28"/>
          <w:szCs w:val="28"/>
          <w:highlight w:val="none"/>
          <w:lang w:val="zh-CN" w:eastAsia="zh-CN"/>
        </w:rPr>
        <w:t>）商务条款偏离表</w:t>
      </w:r>
    </w:p>
    <w:p w14:paraId="22080402">
      <w:pPr>
        <w:tabs>
          <w:tab w:val="left" w:pos="2981"/>
        </w:tabs>
        <w:spacing w:line="254" w:lineRule="auto"/>
        <w:ind w:left="299"/>
        <w:rPr>
          <w:rFonts w:ascii="宋体" w:hAnsi="宋体"/>
          <w:color w:val="auto"/>
          <w:sz w:val="24"/>
          <w:szCs w:val="24"/>
          <w:highlight w:val="none"/>
        </w:rPr>
      </w:pPr>
      <w:r>
        <w:rPr>
          <w:rFonts w:ascii="宋体" w:hAnsi="宋体"/>
          <w:color w:val="auto"/>
          <w:sz w:val="24"/>
          <w:szCs w:val="24"/>
          <w:highlight w:val="none"/>
        </w:rPr>
        <w:t>项目名称</w:t>
      </w:r>
      <w:r>
        <w:rPr>
          <w:rFonts w:hint="eastAsia" w:ascii="宋体" w:hAnsi="宋体"/>
          <w:color w:val="auto"/>
          <w:sz w:val="24"/>
          <w:szCs w:val="24"/>
          <w:highlight w:val="none"/>
          <w:lang w:eastAsia="zh-CN"/>
        </w:rPr>
        <w:t>：</w:t>
      </w:r>
      <w:r>
        <w:rPr>
          <w:rFonts w:ascii="宋体" w:hAnsi="宋体"/>
          <w:color w:val="auto"/>
          <w:sz w:val="24"/>
          <w:szCs w:val="24"/>
          <w:highlight w:val="none"/>
        </w:rPr>
        <w:t>____________</w:t>
      </w:r>
    </w:p>
    <w:p w14:paraId="13FB4ED6">
      <w:pPr>
        <w:tabs>
          <w:tab w:val="left" w:pos="2981"/>
        </w:tabs>
        <w:spacing w:line="254" w:lineRule="auto"/>
        <w:ind w:left="299"/>
        <w:rPr>
          <w:rFonts w:ascii="宋体" w:hAnsi="宋体"/>
          <w:color w:val="auto"/>
          <w:sz w:val="24"/>
          <w:szCs w:val="24"/>
          <w:highlight w:val="none"/>
        </w:rPr>
      </w:pPr>
      <w:r>
        <w:rPr>
          <w:rFonts w:ascii="宋体" w:hAnsi="宋体"/>
          <w:color w:val="auto"/>
          <w:sz w:val="24"/>
          <w:szCs w:val="24"/>
          <w:highlight w:val="none"/>
        </w:rPr>
        <w:t>项目编号</w:t>
      </w:r>
      <w:r>
        <w:rPr>
          <w:rFonts w:hint="eastAsia" w:ascii="宋体" w:hAnsi="宋体"/>
          <w:color w:val="auto"/>
          <w:sz w:val="24"/>
          <w:szCs w:val="24"/>
          <w:highlight w:val="none"/>
          <w:lang w:eastAsia="zh-CN"/>
        </w:rPr>
        <w:t>：</w:t>
      </w:r>
      <w:r>
        <w:rPr>
          <w:rFonts w:ascii="宋体" w:hAnsi="宋体"/>
          <w:color w:val="auto"/>
          <w:sz w:val="24"/>
          <w:szCs w:val="24"/>
          <w:highlight w:val="none"/>
        </w:rPr>
        <w:t>____________</w:t>
      </w:r>
    </w:p>
    <w:tbl>
      <w:tblPr>
        <w:tblStyle w:val="50"/>
        <w:tblW w:w="0" w:type="auto"/>
        <w:tblInd w:w="109" w:type="dxa"/>
        <w:tblLayout w:type="fixed"/>
        <w:tblCellMar>
          <w:top w:w="0" w:type="dxa"/>
          <w:left w:w="0" w:type="dxa"/>
          <w:bottom w:w="0" w:type="dxa"/>
          <w:right w:w="0" w:type="dxa"/>
        </w:tblCellMar>
      </w:tblPr>
      <w:tblGrid>
        <w:gridCol w:w="640"/>
        <w:gridCol w:w="1744"/>
        <w:gridCol w:w="2295"/>
        <w:gridCol w:w="2175"/>
        <w:gridCol w:w="675"/>
        <w:gridCol w:w="860"/>
      </w:tblGrid>
      <w:tr w14:paraId="0B4C276B">
        <w:tblPrEx>
          <w:tblCellMar>
            <w:top w:w="0" w:type="dxa"/>
            <w:left w:w="0" w:type="dxa"/>
            <w:bottom w:w="0" w:type="dxa"/>
            <w:right w:w="0" w:type="dxa"/>
          </w:tblCellMar>
        </w:tblPrEx>
        <w:trPr>
          <w:trHeight w:val="672" w:hRule="exact"/>
        </w:trPr>
        <w:tc>
          <w:tcPr>
            <w:tcW w:w="640" w:type="dxa"/>
            <w:tcBorders>
              <w:top w:val="single" w:color="000000" w:sz="6" w:space="0"/>
              <w:left w:val="single" w:color="000000" w:sz="6" w:space="0"/>
              <w:bottom w:val="single" w:color="000000" w:sz="2" w:space="0"/>
              <w:right w:val="single" w:color="000000" w:sz="2" w:space="0"/>
            </w:tcBorders>
            <w:noWrap w:val="0"/>
            <w:vAlign w:val="top"/>
          </w:tcPr>
          <w:p w14:paraId="6EB9EBB0">
            <w:pPr>
              <w:pStyle w:val="186"/>
              <w:spacing w:before="73"/>
              <w:jc w:val="center"/>
              <w:rPr>
                <w:rFonts w:ascii="宋体" w:hAnsi="宋体" w:cs="Arial Unicode MS"/>
                <w:color w:val="auto"/>
                <w:sz w:val="24"/>
                <w:szCs w:val="24"/>
                <w:highlight w:val="none"/>
              </w:rPr>
            </w:pPr>
            <w:r>
              <w:rPr>
                <w:rFonts w:ascii="宋体" w:hAnsi="宋体" w:cs="Arial Unicode MS"/>
                <w:color w:val="auto"/>
                <w:sz w:val="24"/>
                <w:szCs w:val="24"/>
                <w:highlight w:val="none"/>
              </w:rPr>
              <w:t>序号</w:t>
            </w:r>
          </w:p>
        </w:tc>
        <w:tc>
          <w:tcPr>
            <w:tcW w:w="1744" w:type="dxa"/>
            <w:tcBorders>
              <w:top w:val="single" w:color="000000" w:sz="6" w:space="0"/>
              <w:left w:val="single" w:color="000000" w:sz="2" w:space="0"/>
              <w:bottom w:val="single" w:color="000000" w:sz="2" w:space="0"/>
              <w:right w:val="single" w:color="000000" w:sz="2" w:space="0"/>
            </w:tcBorders>
            <w:noWrap w:val="0"/>
            <w:vAlign w:val="top"/>
          </w:tcPr>
          <w:p w14:paraId="2F1E03B9">
            <w:pPr>
              <w:pStyle w:val="186"/>
              <w:spacing w:before="73"/>
              <w:jc w:val="center"/>
              <w:rPr>
                <w:rFonts w:ascii="宋体" w:hAnsi="宋体" w:cs="Arial Unicode MS"/>
                <w:color w:val="auto"/>
                <w:sz w:val="24"/>
                <w:szCs w:val="24"/>
                <w:highlight w:val="none"/>
              </w:rPr>
            </w:pPr>
            <w:r>
              <w:rPr>
                <w:rFonts w:ascii="宋体" w:hAnsi="宋体" w:cs="Arial Unicode MS"/>
                <w:color w:val="auto"/>
                <w:sz w:val="24"/>
                <w:szCs w:val="24"/>
                <w:highlight w:val="none"/>
              </w:rPr>
              <w:t>磋商文件条目号</w:t>
            </w:r>
          </w:p>
        </w:tc>
        <w:tc>
          <w:tcPr>
            <w:tcW w:w="2295" w:type="dxa"/>
            <w:tcBorders>
              <w:top w:val="single" w:color="000000" w:sz="6" w:space="0"/>
              <w:left w:val="single" w:color="000000" w:sz="2" w:space="0"/>
              <w:bottom w:val="single" w:color="000000" w:sz="2" w:space="0"/>
              <w:right w:val="single" w:color="000000" w:sz="2" w:space="0"/>
            </w:tcBorders>
            <w:noWrap w:val="0"/>
            <w:vAlign w:val="top"/>
          </w:tcPr>
          <w:p w14:paraId="3AD683C1">
            <w:pPr>
              <w:pStyle w:val="186"/>
              <w:spacing w:before="73"/>
              <w:jc w:val="center"/>
              <w:rPr>
                <w:rFonts w:ascii="宋体" w:hAnsi="宋体" w:cs="Arial Unicode MS"/>
                <w:color w:val="auto"/>
                <w:sz w:val="24"/>
                <w:szCs w:val="24"/>
                <w:highlight w:val="none"/>
              </w:rPr>
            </w:pPr>
            <w:r>
              <w:rPr>
                <w:rFonts w:ascii="宋体" w:hAnsi="宋体" w:cs="Arial Unicode MS"/>
                <w:color w:val="auto"/>
                <w:sz w:val="24"/>
                <w:szCs w:val="24"/>
                <w:highlight w:val="none"/>
              </w:rPr>
              <w:t>磋商文件的商务条款</w:t>
            </w:r>
          </w:p>
        </w:tc>
        <w:tc>
          <w:tcPr>
            <w:tcW w:w="2175" w:type="dxa"/>
            <w:tcBorders>
              <w:top w:val="single" w:color="000000" w:sz="6" w:space="0"/>
              <w:left w:val="single" w:color="000000" w:sz="2" w:space="0"/>
              <w:bottom w:val="single" w:color="000000" w:sz="2" w:space="0"/>
              <w:right w:val="single" w:color="000000" w:sz="2" w:space="0"/>
            </w:tcBorders>
            <w:noWrap w:val="0"/>
            <w:vAlign w:val="top"/>
          </w:tcPr>
          <w:p w14:paraId="032DD984">
            <w:pPr>
              <w:pStyle w:val="186"/>
              <w:spacing w:before="73"/>
              <w:jc w:val="center"/>
              <w:rPr>
                <w:rFonts w:ascii="宋体" w:hAnsi="宋体" w:cs="Arial Unicode MS"/>
                <w:color w:val="auto"/>
                <w:sz w:val="24"/>
                <w:szCs w:val="24"/>
                <w:highlight w:val="none"/>
              </w:rPr>
            </w:pPr>
            <w:r>
              <w:rPr>
                <w:rFonts w:ascii="宋体" w:hAnsi="宋体" w:cs="Arial Unicode MS"/>
                <w:color w:val="auto"/>
                <w:sz w:val="24"/>
                <w:szCs w:val="24"/>
                <w:highlight w:val="none"/>
              </w:rPr>
              <w:t>响应文件的商务条款</w:t>
            </w:r>
          </w:p>
        </w:tc>
        <w:tc>
          <w:tcPr>
            <w:tcW w:w="675" w:type="dxa"/>
            <w:tcBorders>
              <w:top w:val="single" w:color="000000" w:sz="6" w:space="0"/>
              <w:left w:val="single" w:color="000000" w:sz="2" w:space="0"/>
              <w:bottom w:val="single" w:color="000000" w:sz="2" w:space="0"/>
              <w:right w:val="single" w:color="000000" w:sz="2" w:space="0"/>
            </w:tcBorders>
            <w:noWrap w:val="0"/>
            <w:vAlign w:val="top"/>
          </w:tcPr>
          <w:p w14:paraId="782D4179">
            <w:pPr>
              <w:pStyle w:val="186"/>
              <w:spacing w:before="73"/>
              <w:jc w:val="center"/>
              <w:rPr>
                <w:rFonts w:ascii="宋体" w:hAnsi="宋体" w:cs="Arial Unicode MS"/>
                <w:color w:val="auto"/>
                <w:sz w:val="24"/>
                <w:szCs w:val="24"/>
                <w:highlight w:val="none"/>
              </w:rPr>
            </w:pPr>
            <w:r>
              <w:rPr>
                <w:rFonts w:ascii="宋体" w:hAnsi="宋体" w:cs="Arial Unicode MS"/>
                <w:color w:val="auto"/>
                <w:sz w:val="24"/>
                <w:szCs w:val="24"/>
                <w:highlight w:val="none"/>
              </w:rPr>
              <w:t>偏离</w:t>
            </w:r>
          </w:p>
        </w:tc>
        <w:tc>
          <w:tcPr>
            <w:tcW w:w="860" w:type="dxa"/>
            <w:tcBorders>
              <w:top w:val="single" w:color="000000" w:sz="6" w:space="0"/>
              <w:left w:val="single" w:color="000000" w:sz="2" w:space="0"/>
              <w:bottom w:val="single" w:color="000000" w:sz="2" w:space="0"/>
              <w:right w:val="single" w:color="000000" w:sz="6" w:space="0"/>
            </w:tcBorders>
            <w:noWrap w:val="0"/>
            <w:vAlign w:val="top"/>
          </w:tcPr>
          <w:p w14:paraId="7F7B658C">
            <w:pPr>
              <w:pStyle w:val="186"/>
              <w:spacing w:before="73"/>
              <w:jc w:val="center"/>
              <w:rPr>
                <w:rFonts w:ascii="宋体" w:hAnsi="宋体" w:cs="Arial Unicode MS"/>
                <w:color w:val="auto"/>
                <w:sz w:val="24"/>
                <w:szCs w:val="24"/>
                <w:highlight w:val="none"/>
              </w:rPr>
            </w:pPr>
            <w:r>
              <w:rPr>
                <w:rFonts w:ascii="宋体" w:hAnsi="宋体" w:cs="Arial Unicode MS"/>
                <w:color w:val="auto"/>
                <w:sz w:val="24"/>
                <w:szCs w:val="24"/>
                <w:highlight w:val="none"/>
              </w:rPr>
              <w:t>说明</w:t>
            </w:r>
          </w:p>
        </w:tc>
      </w:tr>
      <w:tr w14:paraId="57F75449">
        <w:tblPrEx>
          <w:tblCellMar>
            <w:top w:w="0" w:type="dxa"/>
            <w:left w:w="0" w:type="dxa"/>
            <w:bottom w:w="0" w:type="dxa"/>
            <w:right w:w="0" w:type="dxa"/>
          </w:tblCellMar>
        </w:tblPrEx>
        <w:trPr>
          <w:trHeight w:val="541" w:hRule="exact"/>
        </w:trPr>
        <w:tc>
          <w:tcPr>
            <w:tcW w:w="640" w:type="dxa"/>
            <w:tcBorders>
              <w:top w:val="single" w:color="000000" w:sz="2" w:space="0"/>
              <w:left w:val="single" w:color="000000" w:sz="6" w:space="0"/>
              <w:bottom w:val="single" w:color="000000" w:sz="2" w:space="0"/>
              <w:right w:val="single" w:color="000000" w:sz="2" w:space="0"/>
            </w:tcBorders>
            <w:noWrap w:val="0"/>
            <w:vAlign w:val="top"/>
          </w:tcPr>
          <w:p w14:paraId="25B62DD8">
            <w:pPr>
              <w:rPr>
                <w:rFonts w:ascii="宋体" w:hAnsi="宋体"/>
                <w:color w:val="auto"/>
                <w:sz w:val="24"/>
                <w:szCs w:val="24"/>
                <w:highlight w:val="none"/>
              </w:rPr>
            </w:pPr>
          </w:p>
        </w:tc>
        <w:tc>
          <w:tcPr>
            <w:tcW w:w="1744" w:type="dxa"/>
            <w:tcBorders>
              <w:top w:val="single" w:color="000000" w:sz="2" w:space="0"/>
              <w:left w:val="single" w:color="000000" w:sz="2" w:space="0"/>
              <w:bottom w:val="single" w:color="000000" w:sz="2" w:space="0"/>
              <w:right w:val="single" w:color="000000" w:sz="2" w:space="0"/>
            </w:tcBorders>
            <w:noWrap w:val="0"/>
            <w:vAlign w:val="top"/>
          </w:tcPr>
          <w:p w14:paraId="5ECF1C90">
            <w:pPr>
              <w:rPr>
                <w:rFonts w:ascii="宋体" w:hAnsi="宋体"/>
                <w:color w:val="auto"/>
                <w:sz w:val="24"/>
                <w:szCs w:val="24"/>
                <w:highlight w:val="none"/>
              </w:rPr>
            </w:pPr>
          </w:p>
        </w:tc>
        <w:tc>
          <w:tcPr>
            <w:tcW w:w="2295" w:type="dxa"/>
            <w:tcBorders>
              <w:top w:val="single" w:color="000000" w:sz="2" w:space="0"/>
              <w:left w:val="single" w:color="000000" w:sz="2" w:space="0"/>
              <w:bottom w:val="single" w:color="000000" w:sz="2" w:space="0"/>
              <w:right w:val="single" w:color="000000" w:sz="2" w:space="0"/>
            </w:tcBorders>
            <w:noWrap w:val="0"/>
            <w:vAlign w:val="top"/>
          </w:tcPr>
          <w:p w14:paraId="59634F11">
            <w:pPr>
              <w:rPr>
                <w:rFonts w:ascii="宋体" w:hAnsi="宋体"/>
                <w:color w:val="auto"/>
                <w:sz w:val="24"/>
                <w:szCs w:val="24"/>
                <w:highlight w:val="none"/>
              </w:rPr>
            </w:pPr>
          </w:p>
        </w:tc>
        <w:tc>
          <w:tcPr>
            <w:tcW w:w="2175" w:type="dxa"/>
            <w:tcBorders>
              <w:top w:val="single" w:color="000000" w:sz="2" w:space="0"/>
              <w:left w:val="single" w:color="000000" w:sz="2" w:space="0"/>
              <w:bottom w:val="single" w:color="000000" w:sz="2" w:space="0"/>
              <w:right w:val="single" w:color="000000" w:sz="2" w:space="0"/>
            </w:tcBorders>
            <w:noWrap w:val="0"/>
            <w:vAlign w:val="top"/>
          </w:tcPr>
          <w:p w14:paraId="38C23473">
            <w:pPr>
              <w:rPr>
                <w:rFonts w:ascii="宋体" w:hAnsi="宋体"/>
                <w:color w:val="auto"/>
                <w:sz w:val="24"/>
                <w:szCs w:val="24"/>
                <w:highlight w:val="none"/>
              </w:rPr>
            </w:pPr>
          </w:p>
        </w:tc>
        <w:tc>
          <w:tcPr>
            <w:tcW w:w="675" w:type="dxa"/>
            <w:tcBorders>
              <w:top w:val="single" w:color="000000" w:sz="2" w:space="0"/>
              <w:left w:val="single" w:color="000000" w:sz="2" w:space="0"/>
              <w:bottom w:val="single" w:color="000000" w:sz="2" w:space="0"/>
              <w:right w:val="single" w:color="000000" w:sz="2" w:space="0"/>
            </w:tcBorders>
            <w:noWrap w:val="0"/>
            <w:vAlign w:val="top"/>
          </w:tcPr>
          <w:p w14:paraId="46984059">
            <w:pPr>
              <w:rPr>
                <w:rFonts w:ascii="宋体" w:hAnsi="宋体"/>
                <w:color w:val="auto"/>
                <w:sz w:val="24"/>
                <w:szCs w:val="24"/>
                <w:highlight w:val="none"/>
              </w:rPr>
            </w:pPr>
          </w:p>
        </w:tc>
        <w:tc>
          <w:tcPr>
            <w:tcW w:w="860" w:type="dxa"/>
            <w:tcBorders>
              <w:top w:val="single" w:color="000000" w:sz="2" w:space="0"/>
              <w:left w:val="single" w:color="000000" w:sz="2" w:space="0"/>
              <w:bottom w:val="single" w:color="000000" w:sz="2" w:space="0"/>
              <w:right w:val="single" w:color="000000" w:sz="6" w:space="0"/>
            </w:tcBorders>
            <w:noWrap w:val="0"/>
            <w:vAlign w:val="top"/>
          </w:tcPr>
          <w:p w14:paraId="34BB85D3">
            <w:pPr>
              <w:rPr>
                <w:rFonts w:ascii="宋体" w:hAnsi="宋体"/>
                <w:color w:val="auto"/>
                <w:sz w:val="24"/>
                <w:szCs w:val="24"/>
                <w:highlight w:val="none"/>
              </w:rPr>
            </w:pPr>
          </w:p>
        </w:tc>
      </w:tr>
      <w:tr w14:paraId="1E503577">
        <w:tblPrEx>
          <w:tblCellMar>
            <w:top w:w="0" w:type="dxa"/>
            <w:left w:w="0" w:type="dxa"/>
            <w:bottom w:w="0" w:type="dxa"/>
            <w:right w:w="0" w:type="dxa"/>
          </w:tblCellMar>
        </w:tblPrEx>
        <w:trPr>
          <w:trHeight w:val="541" w:hRule="exact"/>
        </w:trPr>
        <w:tc>
          <w:tcPr>
            <w:tcW w:w="640" w:type="dxa"/>
            <w:tcBorders>
              <w:top w:val="single" w:color="000000" w:sz="2" w:space="0"/>
              <w:left w:val="single" w:color="000000" w:sz="6" w:space="0"/>
              <w:bottom w:val="single" w:color="000000" w:sz="2" w:space="0"/>
              <w:right w:val="single" w:color="000000" w:sz="2" w:space="0"/>
            </w:tcBorders>
            <w:noWrap w:val="0"/>
            <w:vAlign w:val="top"/>
          </w:tcPr>
          <w:p w14:paraId="66A5869D">
            <w:pPr>
              <w:rPr>
                <w:rFonts w:ascii="宋体" w:hAnsi="宋体"/>
                <w:color w:val="auto"/>
                <w:sz w:val="24"/>
                <w:szCs w:val="24"/>
                <w:highlight w:val="none"/>
              </w:rPr>
            </w:pPr>
          </w:p>
        </w:tc>
        <w:tc>
          <w:tcPr>
            <w:tcW w:w="1744" w:type="dxa"/>
            <w:tcBorders>
              <w:top w:val="single" w:color="000000" w:sz="2" w:space="0"/>
              <w:left w:val="single" w:color="000000" w:sz="2" w:space="0"/>
              <w:bottom w:val="single" w:color="000000" w:sz="2" w:space="0"/>
              <w:right w:val="single" w:color="000000" w:sz="2" w:space="0"/>
            </w:tcBorders>
            <w:noWrap w:val="0"/>
            <w:vAlign w:val="top"/>
          </w:tcPr>
          <w:p w14:paraId="3B155074">
            <w:pPr>
              <w:rPr>
                <w:rFonts w:ascii="宋体" w:hAnsi="宋体"/>
                <w:color w:val="auto"/>
                <w:sz w:val="24"/>
                <w:szCs w:val="24"/>
                <w:highlight w:val="none"/>
              </w:rPr>
            </w:pPr>
          </w:p>
        </w:tc>
        <w:tc>
          <w:tcPr>
            <w:tcW w:w="2295" w:type="dxa"/>
            <w:tcBorders>
              <w:top w:val="single" w:color="000000" w:sz="2" w:space="0"/>
              <w:left w:val="single" w:color="000000" w:sz="2" w:space="0"/>
              <w:bottom w:val="single" w:color="000000" w:sz="2" w:space="0"/>
              <w:right w:val="single" w:color="000000" w:sz="2" w:space="0"/>
            </w:tcBorders>
            <w:noWrap w:val="0"/>
            <w:vAlign w:val="top"/>
          </w:tcPr>
          <w:p w14:paraId="31F5BF8E">
            <w:pPr>
              <w:rPr>
                <w:rFonts w:ascii="宋体" w:hAnsi="宋体"/>
                <w:color w:val="auto"/>
                <w:sz w:val="24"/>
                <w:szCs w:val="24"/>
                <w:highlight w:val="none"/>
              </w:rPr>
            </w:pPr>
          </w:p>
        </w:tc>
        <w:tc>
          <w:tcPr>
            <w:tcW w:w="2175" w:type="dxa"/>
            <w:tcBorders>
              <w:top w:val="single" w:color="000000" w:sz="2" w:space="0"/>
              <w:left w:val="single" w:color="000000" w:sz="2" w:space="0"/>
              <w:bottom w:val="single" w:color="000000" w:sz="2" w:space="0"/>
              <w:right w:val="single" w:color="000000" w:sz="2" w:space="0"/>
            </w:tcBorders>
            <w:noWrap w:val="0"/>
            <w:vAlign w:val="top"/>
          </w:tcPr>
          <w:p w14:paraId="1B753130">
            <w:pPr>
              <w:rPr>
                <w:rFonts w:ascii="宋体" w:hAnsi="宋体"/>
                <w:color w:val="auto"/>
                <w:sz w:val="24"/>
                <w:szCs w:val="24"/>
                <w:highlight w:val="none"/>
              </w:rPr>
            </w:pPr>
          </w:p>
        </w:tc>
        <w:tc>
          <w:tcPr>
            <w:tcW w:w="675" w:type="dxa"/>
            <w:tcBorders>
              <w:top w:val="single" w:color="000000" w:sz="2" w:space="0"/>
              <w:left w:val="single" w:color="000000" w:sz="2" w:space="0"/>
              <w:bottom w:val="single" w:color="000000" w:sz="2" w:space="0"/>
              <w:right w:val="single" w:color="000000" w:sz="2" w:space="0"/>
            </w:tcBorders>
            <w:noWrap w:val="0"/>
            <w:vAlign w:val="top"/>
          </w:tcPr>
          <w:p w14:paraId="2C588616">
            <w:pPr>
              <w:rPr>
                <w:rFonts w:ascii="宋体" w:hAnsi="宋体"/>
                <w:color w:val="auto"/>
                <w:sz w:val="24"/>
                <w:szCs w:val="24"/>
                <w:highlight w:val="none"/>
              </w:rPr>
            </w:pPr>
          </w:p>
        </w:tc>
        <w:tc>
          <w:tcPr>
            <w:tcW w:w="860" w:type="dxa"/>
            <w:tcBorders>
              <w:top w:val="single" w:color="000000" w:sz="2" w:space="0"/>
              <w:left w:val="single" w:color="000000" w:sz="2" w:space="0"/>
              <w:bottom w:val="single" w:color="000000" w:sz="2" w:space="0"/>
              <w:right w:val="single" w:color="000000" w:sz="6" w:space="0"/>
            </w:tcBorders>
            <w:noWrap w:val="0"/>
            <w:vAlign w:val="top"/>
          </w:tcPr>
          <w:p w14:paraId="58EEF491">
            <w:pPr>
              <w:rPr>
                <w:rFonts w:ascii="宋体" w:hAnsi="宋体"/>
                <w:color w:val="auto"/>
                <w:sz w:val="24"/>
                <w:szCs w:val="24"/>
                <w:highlight w:val="none"/>
              </w:rPr>
            </w:pPr>
          </w:p>
        </w:tc>
      </w:tr>
      <w:tr w14:paraId="08F17D47">
        <w:tblPrEx>
          <w:tblCellMar>
            <w:top w:w="0" w:type="dxa"/>
            <w:left w:w="0" w:type="dxa"/>
            <w:bottom w:w="0" w:type="dxa"/>
            <w:right w:w="0" w:type="dxa"/>
          </w:tblCellMar>
        </w:tblPrEx>
        <w:trPr>
          <w:trHeight w:val="541" w:hRule="exact"/>
        </w:trPr>
        <w:tc>
          <w:tcPr>
            <w:tcW w:w="640" w:type="dxa"/>
            <w:tcBorders>
              <w:top w:val="single" w:color="000000" w:sz="2" w:space="0"/>
              <w:left w:val="single" w:color="000000" w:sz="6" w:space="0"/>
              <w:bottom w:val="single" w:color="000000" w:sz="2" w:space="0"/>
              <w:right w:val="single" w:color="000000" w:sz="2" w:space="0"/>
            </w:tcBorders>
            <w:noWrap w:val="0"/>
            <w:vAlign w:val="top"/>
          </w:tcPr>
          <w:p w14:paraId="2CF6B9C7">
            <w:pPr>
              <w:rPr>
                <w:rFonts w:ascii="宋体" w:hAnsi="宋体"/>
                <w:color w:val="auto"/>
                <w:sz w:val="24"/>
                <w:szCs w:val="24"/>
                <w:highlight w:val="none"/>
              </w:rPr>
            </w:pPr>
          </w:p>
        </w:tc>
        <w:tc>
          <w:tcPr>
            <w:tcW w:w="1744" w:type="dxa"/>
            <w:tcBorders>
              <w:top w:val="single" w:color="000000" w:sz="2" w:space="0"/>
              <w:left w:val="single" w:color="000000" w:sz="2" w:space="0"/>
              <w:bottom w:val="single" w:color="000000" w:sz="2" w:space="0"/>
              <w:right w:val="single" w:color="000000" w:sz="2" w:space="0"/>
            </w:tcBorders>
            <w:noWrap w:val="0"/>
            <w:vAlign w:val="top"/>
          </w:tcPr>
          <w:p w14:paraId="02E6B696">
            <w:pPr>
              <w:rPr>
                <w:rFonts w:ascii="宋体" w:hAnsi="宋体"/>
                <w:color w:val="auto"/>
                <w:sz w:val="24"/>
                <w:szCs w:val="24"/>
                <w:highlight w:val="none"/>
              </w:rPr>
            </w:pPr>
          </w:p>
        </w:tc>
        <w:tc>
          <w:tcPr>
            <w:tcW w:w="2295" w:type="dxa"/>
            <w:tcBorders>
              <w:top w:val="single" w:color="000000" w:sz="2" w:space="0"/>
              <w:left w:val="single" w:color="000000" w:sz="2" w:space="0"/>
              <w:bottom w:val="single" w:color="000000" w:sz="2" w:space="0"/>
              <w:right w:val="single" w:color="000000" w:sz="2" w:space="0"/>
            </w:tcBorders>
            <w:noWrap w:val="0"/>
            <w:vAlign w:val="top"/>
          </w:tcPr>
          <w:p w14:paraId="692A2420">
            <w:pPr>
              <w:rPr>
                <w:rFonts w:ascii="宋体" w:hAnsi="宋体"/>
                <w:color w:val="auto"/>
                <w:sz w:val="24"/>
                <w:szCs w:val="24"/>
                <w:highlight w:val="none"/>
              </w:rPr>
            </w:pPr>
          </w:p>
        </w:tc>
        <w:tc>
          <w:tcPr>
            <w:tcW w:w="2175" w:type="dxa"/>
            <w:tcBorders>
              <w:top w:val="single" w:color="000000" w:sz="2" w:space="0"/>
              <w:left w:val="single" w:color="000000" w:sz="2" w:space="0"/>
              <w:bottom w:val="single" w:color="000000" w:sz="2" w:space="0"/>
              <w:right w:val="single" w:color="000000" w:sz="2" w:space="0"/>
            </w:tcBorders>
            <w:noWrap w:val="0"/>
            <w:vAlign w:val="top"/>
          </w:tcPr>
          <w:p w14:paraId="47673F17">
            <w:pPr>
              <w:rPr>
                <w:rFonts w:ascii="宋体" w:hAnsi="宋体"/>
                <w:color w:val="auto"/>
                <w:sz w:val="24"/>
                <w:szCs w:val="24"/>
                <w:highlight w:val="none"/>
              </w:rPr>
            </w:pPr>
          </w:p>
        </w:tc>
        <w:tc>
          <w:tcPr>
            <w:tcW w:w="675" w:type="dxa"/>
            <w:tcBorders>
              <w:top w:val="single" w:color="000000" w:sz="2" w:space="0"/>
              <w:left w:val="single" w:color="000000" w:sz="2" w:space="0"/>
              <w:bottom w:val="single" w:color="000000" w:sz="2" w:space="0"/>
              <w:right w:val="single" w:color="000000" w:sz="2" w:space="0"/>
            </w:tcBorders>
            <w:noWrap w:val="0"/>
            <w:vAlign w:val="top"/>
          </w:tcPr>
          <w:p w14:paraId="10B1E196">
            <w:pPr>
              <w:rPr>
                <w:rFonts w:ascii="宋体" w:hAnsi="宋体"/>
                <w:color w:val="auto"/>
                <w:sz w:val="24"/>
                <w:szCs w:val="24"/>
                <w:highlight w:val="none"/>
              </w:rPr>
            </w:pPr>
          </w:p>
        </w:tc>
        <w:tc>
          <w:tcPr>
            <w:tcW w:w="860" w:type="dxa"/>
            <w:tcBorders>
              <w:top w:val="single" w:color="000000" w:sz="2" w:space="0"/>
              <w:left w:val="single" w:color="000000" w:sz="2" w:space="0"/>
              <w:bottom w:val="single" w:color="000000" w:sz="2" w:space="0"/>
              <w:right w:val="single" w:color="000000" w:sz="6" w:space="0"/>
            </w:tcBorders>
            <w:noWrap w:val="0"/>
            <w:vAlign w:val="top"/>
          </w:tcPr>
          <w:p w14:paraId="4D966677">
            <w:pPr>
              <w:rPr>
                <w:rFonts w:ascii="宋体" w:hAnsi="宋体"/>
                <w:color w:val="auto"/>
                <w:sz w:val="24"/>
                <w:szCs w:val="24"/>
                <w:highlight w:val="none"/>
              </w:rPr>
            </w:pPr>
          </w:p>
        </w:tc>
      </w:tr>
      <w:tr w14:paraId="06475EB4">
        <w:tblPrEx>
          <w:tblCellMar>
            <w:top w:w="0" w:type="dxa"/>
            <w:left w:w="0" w:type="dxa"/>
            <w:bottom w:w="0" w:type="dxa"/>
            <w:right w:w="0" w:type="dxa"/>
          </w:tblCellMar>
        </w:tblPrEx>
        <w:trPr>
          <w:trHeight w:val="541" w:hRule="exact"/>
        </w:trPr>
        <w:tc>
          <w:tcPr>
            <w:tcW w:w="640" w:type="dxa"/>
            <w:tcBorders>
              <w:top w:val="single" w:color="000000" w:sz="2" w:space="0"/>
              <w:left w:val="single" w:color="000000" w:sz="6" w:space="0"/>
              <w:bottom w:val="single" w:color="000000" w:sz="2" w:space="0"/>
              <w:right w:val="single" w:color="000000" w:sz="2" w:space="0"/>
            </w:tcBorders>
            <w:noWrap w:val="0"/>
            <w:vAlign w:val="top"/>
          </w:tcPr>
          <w:p w14:paraId="70D9F2A5">
            <w:pPr>
              <w:rPr>
                <w:rFonts w:ascii="宋体" w:hAnsi="宋体"/>
                <w:color w:val="auto"/>
                <w:sz w:val="24"/>
                <w:szCs w:val="24"/>
                <w:highlight w:val="none"/>
              </w:rPr>
            </w:pPr>
          </w:p>
        </w:tc>
        <w:tc>
          <w:tcPr>
            <w:tcW w:w="1744" w:type="dxa"/>
            <w:tcBorders>
              <w:top w:val="single" w:color="000000" w:sz="2" w:space="0"/>
              <w:left w:val="single" w:color="000000" w:sz="2" w:space="0"/>
              <w:bottom w:val="single" w:color="000000" w:sz="2" w:space="0"/>
              <w:right w:val="single" w:color="000000" w:sz="2" w:space="0"/>
            </w:tcBorders>
            <w:noWrap w:val="0"/>
            <w:vAlign w:val="top"/>
          </w:tcPr>
          <w:p w14:paraId="3C759B4E">
            <w:pPr>
              <w:rPr>
                <w:rFonts w:ascii="宋体" w:hAnsi="宋体"/>
                <w:color w:val="auto"/>
                <w:sz w:val="24"/>
                <w:szCs w:val="24"/>
                <w:highlight w:val="none"/>
              </w:rPr>
            </w:pPr>
          </w:p>
        </w:tc>
        <w:tc>
          <w:tcPr>
            <w:tcW w:w="2295" w:type="dxa"/>
            <w:tcBorders>
              <w:top w:val="single" w:color="000000" w:sz="2" w:space="0"/>
              <w:left w:val="single" w:color="000000" w:sz="2" w:space="0"/>
              <w:bottom w:val="single" w:color="000000" w:sz="2" w:space="0"/>
              <w:right w:val="single" w:color="000000" w:sz="2" w:space="0"/>
            </w:tcBorders>
            <w:noWrap w:val="0"/>
            <w:vAlign w:val="top"/>
          </w:tcPr>
          <w:p w14:paraId="5738854D">
            <w:pPr>
              <w:rPr>
                <w:rFonts w:ascii="宋体" w:hAnsi="宋体"/>
                <w:color w:val="auto"/>
                <w:sz w:val="24"/>
                <w:szCs w:val="24"/>
                <w:highlight w:val="none"/>
              </w:rPr>
            </w:pPr>
          </w:p>
        </w:tc>
        <w:tc>
          <w:tcPr>
            <w:tcW w:w="2175" w:type="dxa"/>
            <w:tcBorders>
              <w:top w:val="single" w:color="000000" w:sz="2" w:space="0"/>
              <w:left w:val="single" w:color="000000" w:sz="2" w:space="0"/>
              <w:bottom w:val="single" w:color="000000" w:sz="2" w:space="0"/>
              <w:right w:val="single" w:color="000000" w:sz="2" w:space="0"/>
            </w:tcBorders>
            <w:noWrap w:val="0"/>
            <w:vAlign w:val="top"/>
          </w:tcPr>
          <w:p w14:paraId="10B41D57">
            <w:pPr>
              <w:rPr>
                <w:rFonts w:ascii="宋体" w:hAnsi="宋体"/>
                <w:color w:val="auto"/>
                <w:sz w:val="24"/>
                <w:szCs w:val="24"/>
                <w:highlight w:val="none"/>
              </w:rPr>
            </w:pPr>
          </w:p>
        </w:tc>
        <w:tc>
          <w:tcPr>
            <w:tcW w:w="675" w:type="dxa"/>
            <w:tcBorders>
              <w:top w:val="single" w:color="000000" w:sz="2" w:space="0"/>
              <w:left w:val="single" w:color="000000" w:sz="2" w:space="0"/>
              <w:bottom w:val="single" w:color="000000" w:sz="2" w:space="0"/>
              <w:right w:val="single" w:color="000000" w:sz="2" w:space="0"/>
            </w:tcBorders>
            <w:noWrap w:val="0"/>
            <w:vAlign w:val="top"/>
          </w:tcPr>
          <w:p w14:paraId="359768CC">
            <w:pPr>
              <w:rPr>
                <w:rFonts w:ascii="宋体" w:hAnsi="宋体"/>
                <w:color w:val="auto"/>
                <w:sz w:val="24"/>
                <w:szCs w:val="24"/>
                <w:highlight w:val="none"/>
              </w:rPr>
            </w:pPr>
          </w:p>
        </w:tc>
        <w:tc>
          <w:tcPr>
            <w:tcW w:w="860" w:type="dxa"/>
            <w:tcBorders>
              <w:top w:val="single" w:color="000000" w:sz="2" w:space="0"/>
              <w:left w:val="single" w:color="000000" w:sz="2" w:space="0"/>
              <w:bottom w:val="single" w:color="000000" w:sz="2" w:space="0"/>
              <w:right w:val="single" w:color="000000" w:sz="6" w:space="0"/>
            </w:tcBorders>
            <w:noWrap w:val="0"/>
            <w:vAlign w:val="top"/>
          </w:tcPr>
          <w:p w14:paraId="5C2BCD40">
            <w:pPr>
              <w:rPr>
                <w:rFonts w:ascii="宋体" w:hAnsi="宋体"/>
                <w:color w:val="auto"/>
                <w:sz w:val="24"/>
                <w:szCs w:val="24"/>
                <w:highlight w:val="none"/>
              </w:rPr>
            </w:pPr>
          </w:p>
        </w:tc>
      </w:tr>
      <w:tr w14:paraId="4FC53E20">
        <w:tblPrEx>
          <w:tblCellMar>
            <w:top w:w="0" w:type="dxa"/>
            <w:left w:w="0" w:type="dxa"/>
            <w:bottom w:w="0" w:type="dxa"/>
            <w:right w:w="0" w:type="dxa"/>
          </w:tblCellMar>
        </w:tblPrEx>
        <w:trPr>
          <w:trHeight w:val="541" w:hRule="exact"/>
        </w:trPr>
        <w:tc>
          <w:tcPr>
            <w:tcW w:w="640" w:type="dxa"/>
            <w:tcBorders>
              <w:top w:val="single" w:color="000000" w:sz="2" w:space="0"/>
              <w:left w:val="single" w:color="000000" w:sz="6" w:space="0"/>
              <w:bottom w:val="single" w:color="000000" w:sz="6" w:space="0"/>
              <w:right w:val="single" w:color="000000" w:sz="2" w:space="0"/>
            </w:tcBorders>
            <w:noWrap w:val="0"/>
            <w:vAlign w:val="top"/>
          </w:tcPr>
          <w:p w14:paraId="769A7B63">
            <w:pPr>
              <w:rPr>
                <w:rFonts w:ascii="宋体" w:hAnsi="宋体"/>
                <w:color w:val="auto"/>
                <w:sz w:val="24"/>
                <w:szCs w:val="24"/>
                <w:highlight w:val="none"/>
              </w:rPr>
            </w:pPr>
          </w:p>
        </w:tc>
        <w:tc>
          <w:tcPr>
            <w:tcW w:w="1744" w:type="dxa"/>
            <w:tcBorders>
              <w:top w:val="single" w:color="000000" w:sz="2" w:space="0"/>
              <w:left w:val="single" w:color="000000" w:sz="2" w:space="0"/>
              <w:bottom w:val="single" w:color="000000" w:sz="6" w:space="0"/>
              <w:right w:val="single" w:color="000000" w:sz="2" w:space="0"/>
            </w:tcBorders>
            <w:noWrap w:val="0"/>
            <w:vAlign w:val="top"/>
          </w:tcPr>
          <w:p w14:paraId="345F9D57">
            <w:pPr>
              <w:rPr>
                <w:rFonts w:ascii="宋体" w:hAnsi="宋体"/>
                <w:color w:val="auto"/>
                <w:sz w:val="24"/>
                <w:szCs w:val="24"/>
                <w:highlight w:val="none"/>
              </w:rPr>
            </w:pPr>
          </w:p>
        </w:tc>
        <w:tc>
          <w:tcPr>
            <w:tcW w:w="2295" w:type="dxa"/>
            <w:tcBorders>
              <w:top w:val="single" w:color="000000" w:sz="2" w:space="0"/>
              <w:left w:val="single" w:color="000000" w:sz="2" w:space="0"/>
              <w:bottom w:val="single" w:color="000000" w:sz="6" w:space="0"/>
              <w:right w:val="single" w:color="000000" w:sz="2" w:space="0"/>
            </w:tcBorders>
            <w:noWrap w:val="0"/>
            <w:vAlign w:val="top"/>
          </w:tcPr>
          <w:p w14:paraId="0E109775">
            <w:pPr>
              <w:rPr>
                <w:rFonts w:ascii="宋体" w:hAnsi="宋体"/>
                <w:color w:val="auto"/>
                <w:sz w:val="24"/>
                <w:szCs w:val="24"/>
                <w:highlight w:val="none"/>
              </w:rPr>
            </w:pPr>
          </w:p>
        </w:tc>
        <w:tc>
          <w:tcPr>
            <w:tcW w:w="2175" w:type="dxa"/>
            <w:tcBorders>
              <w:top w:val="single" w:color="000000" w:sz="2" w:space="0"/>
              <w:left w:val="single" w:color="000000" w:sz="2" w:space="0"/>
              <w:bottom w:val="single" w:color="000000" w:sz="6" w:space="0"/>
              <w:right w:val="single" w:color="000000" w:sz="2" w:space="0"/>
            </w:tcBorders>
            <w:noWrap w:val="0"/>
            <w:vAlign w:val="top"/>
          </w:tcPr>
          <w:p w14:paraId="2E7B25BC">
            <w:pPr>
              <w:rPr>
                <w:rFonts w:ascii="宋体" w:hAnsi="宋体"/>
                <w:color w:val="auto"/>
                <w:sz w:val="24"/>
                <w:szCs w:val="24"/>
                <w:highlight w:val="none"/>
              </w:rPr>
            </w:pPr>
          </w:p>
        </w:tc>
        <w:tc>
          <w:tcPr>
            <w:tcW w:w="675" w:type="dxa"/>
            <w:tcBorders>
              <w:top w:val="single" w:color="000000" w:sz="2" w:space="0"/>
              <w:left w:val="single" w:color="000000" w:sz="2" w:space="0"/>
              <w:bottom w:val="single" w:color="000000" w:sz="6" w:space="0"/>
              <w:right w:val="single" w:color="000000" w:sz="2" w:space="0"/>
            </w:tcBorders>
            <w:noWrap w:val="0"/>
            <w:vAlign w:val="top"/>
          </w:tcPr>
          <w:p w14:paraId="29515A15">
            <w:pPr>
              <w:rPr>
                <w:rFonts w:ascii="宋体" w:hAnsi="宋体"/>
                <w:color w:val="auto"/>
                <w:sz w:val="24"/>
                <w:szCs w:val="24"/>
                <w:highlight w:val="none"/>
              </w:rPr>
            </w:pPr>
          </w:p>
        </w:tc>
        <w:tc>
          <w:tcPr>
            <w:tcW w:w="860" w:type="dxa"/>
            <w:tcBorders>
              <w:top w:val="single" w:color="000000" w:sz="2" w:space="0"/>
              <w:left w:val="single" w:color="000000" w:sz="2" w:space="0"/>
              <w:bottom w:val="single" w:color="000000" w:sz="6" w:space="0"/>
              <w:right w:val="single" w:color="000000" w:sz="6" w:space="0"/>
            </w:tcBorders>
            <w:noWrap w:val="0"/>
            <w:vAlign w:val="top"/>
          </w:tcPr>
          <w:p w14:paraId="3A6E9719">
            <w:pPr>
              <w:rPr>
                <w:rFonts w:ascii="宋体" w:hAnsi="宋体"/>
                <w:color w:val="auto"/>
                <w:sz w:val="24"/>
                <w:szCs w:val="24"/>
                <w:highlight w:val="none"/>
              </w:rPr>
            </w:pPr>
          </w:p>
        </w:tc>
      </w:tr>
    </w:tbl>
    <w:p w14:paraId="4163B018">
      <w:pPr>
        <w:spacing w:before="28"/>
        <w:ind w:right="10" w:rightChars="0"/>
        <w:jc w:val="left"/>
        <w:rPr>
          <w:rFonts w:ascii="宋体" w:hAnsi="宋体" w:cs="Arial Unicode MS"/>
          <w:color w:val="auto"/>
          <w:sz w:val="24"/>
          <w:szCs w:val="24"/>
          <w:highlight w:val="none"/>
        </w:rPr>
      </w:pPr>
      <w:r>
        <w:rPr>
          <w:rFonts w:ascii="宋体" w:hAnsi="宋体" w:cs="Arial Unicode MS"/>
          <w:color w:val="auto"/>
          <w:sz w:val="24"/>
          <w:szCs w:val="24"/>
          <w:highlight w:val="none"/>
        </w:rPr>
        <w:t>说明</w:t>
      </w:r>
      <w:r>
        <w:rPr>
          <w:rFonts w:hint="eastAsia" w:ascii="宋体" w:hAnsi="宋体" w:cs="Arial Unicode MS"/>
          <w:color w:val="auto"/>
          <w:sz w:val="24"/>
          <w:szCs w:val="24"/>
          <w:highlight w:val="none"/>
          <w:lang w:eastAsia="zh-CN"/>
        </w:rPr>
        <w:t>：</w:t>
      </w:r>
      <w:r>
        <w:rPr>
          <w:rFonts w:ascii="宋体" w:hAnsi="宋体" w:cs="Arial Unicode MS"/>
          <w:color w:val="auto"/>
          <w:sz w:val="24"/>
          <w:szCs w:val="24"/>
          <w:highlight w:val="none"/>
        </w:rPr>
        <w:t>如有偏离，则必须注明“偏离”；未注明偏离的，视为完全</w:t>
      </w:r>
      <w:r>
        <w:rPr>
          <w:rFonts w:hint="eastAsia" w:ascii="宋体" w:hAnsi="宋体" w:cs="Arial Unicode MS"/>
          <w:color w:val="auto"/>
          <w:sz w:val="24"/>
          <w:szCs w:val="24"/>
          <w:highlight w:val="none"/>
        </w:rPr>
        <w:t>响</w:t>
      </w:r>
      <w:r>
        <w:rPr>
          <w:rFonts w:ascii="宋体" w:hAnsi="宋体" w:cs="Arial Unicode MS"/>
          <w:color w:val="auto"/>
          <w:sz w:val="24"/>
          <w:szCs w:val="24"/>
          <w:highlight w:val="none"/>
        </w:rPr>
        <w:t>应。</w:t>
      </w:r>
    </w:p>
    <w:p w14:paraId="0CCB7CBA">
      <w:pPr>
        <w:spacing w:before="6"/>
        <w:rPr>
          <w:rFonts w:ascii="宋体" w:hAnsi="宋体" w:cs="Arial Unicode MS"/>
          <w:color w:val="auto"/>
          <w:sz w:val="24"/>
          <w:szCs w:val="24"/>
          <w:highlight w:val="none"/>
        </w:rPr>
      </w:pPr>
    </w:p>
    <w:p w14:paraId="692921E5">
      <w:pPr>
        <w:tabs>
          <w:tab w:val="left" w:pos="2981"/>
        </w:tabs>
        <w:spacing w:line="254" w:lineRule="auto"/>
        <w:rPr>
          <w:rFonts w:ascii="宋体" w:hAnsi="宋体" w:eastAsia="宋体" w:cs="Times New Roman"/>
          <w:color w:val="auto"/>
          <w:sz w:val="24"/>
          <w:szCs w:val="24"/>
          <w:highlight w:val="none"/>
        </w:rPr>
      </w:pPr>
    </w:p>
    <w:p w14:paraId="5D5941DA">
      <w:pPr>
        <w:tabs>
          <w:tab w:val="left" w:pos="2981"/>
        </w:tabs>
        <w:spacing w:line="254" w:lineRule="auto"/>
        <w:rPr>
          <w:rFonts w:ascii="宋体" w:hAnsi="宋体" w:eastAsia="宋体" w:cs="Times New Roman"/>
          <w:color w:val="auto"/>
          <w:sz w:val="24"/>
          <w:szCs w:val="24"/>
          <w:highlight w:val="none"/>
        </w:rPr>
      </w:pPr>
    </w:p>
    <w:p w14:paraId="6C248AA2">
      <w:pPr>
        <w:keepNext w:val="0"/>
        <w:keepLines w:val="0"/>
        <w:pageBreakBefore w:val="0"/>
        <w:kinsoku/>
        <w:wordWrap/>
        <w:overflowPunct/>
        <w:topLinePunct w:val="0"/>
        <w:autoSpaceDE/>
        <w:autoSpaceDN/>
        <w:bidi w:val="0"/>
        <w:adjustRightInd/>
        <w:snapToGrid/>
        <w:spacing w:line="500" w:lineRule="exact"/>
        <w:ind w:left="0" w:leftChars="0" w:firstLine="420" w:firstLineChars="175"/>
        <w:jc w:val="right"/>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332E586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szCs w:val="24"/>
          <w:highlight w:val="none"/>
        </w:rPr>
      </w:pPr>
    </w:p>
    <w:p w14:paraId="0A0FBFF9">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471410E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szCs w:val="24"/>
          <w:highlight w:val="none"/>
        </w:rPr>
      </w:pPr>
    </w:p>
    <w:p w14:paraId="29FE136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7390F25D">
      <w:pPr>
        <w:pStyle w:val="2"/>
        <w:rPr>
          <w:rFonts w:hint="eastAsia"/>
          <w:color w:val="auto"/>
          <w:highlight w:val="none"/>
          <w:lang w:val="zh-CN"/>
        </w:rPr>
      </w:pPr>
    </w:p>
    <w:p w14:paraId="78AE88BD">
      <w:pP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br w:type="page"/>
      </w:r>
    </w:p>
    <w:p w14:paraId="17D52709">
      <w:pPr>
        <w:jc w:val="center"/>
        <w:rPr>
          <w:rFonts w:hint="eastAsia" w:ascii="宋体" w:hAnsi="宋体"/>
          <w:color w:val="auto"/>
          <w:sz w:val="21"/>
          <w:szCs w:val="21"/>
          <w:highlight w:val="none"/>
        </w:rPr>
      </w:pPr>
      <w:r>
        <w:rPr>
          <w:rFonts w:hint="eastAsia" w:ascii="Times New Roman" w:hAnsi="Times New Roman" w:eastAsia="宋体" w:cs="Times New Roman"/>
          <w:b/>
          <w:bCs/>
          <w:color w:val="auto"/>
          <w:sz w:val="28"/>
          <w:szCs w:val="28"/>
          <w:highlight w:val="none"/>
          <w:lang w:val="zh-CN"/>
        </w:rPr>
        <w:t>（</w:t>
      </w:r>
      <w:r>
        <w:rPr>
          <w:rFonts w:hint="eastAsia" w:cs="Times New Roman"/>
          <w:b/>
          <w:bCs/>
          <w:color w:val="auto"/>
          <w:sz w:val="28"/>
          <w:szCs w:val="28"/>
          <w:highlight w:val="none"/>
          <w:lang w:val="en-US" w:eastAsia="zh-CN"/>
        </w:rPr>
        <w:t>九</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信誉</w:t>
      </w:r>
    </w:p>
    <w:p w14:paraId="2A631BB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0BAE0F8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响应文件内附由法定代表人或其委托代理人签字并加盖供应商公章的承诺书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eastAsia="zh-CN"/>
        </w:rPr>
        <w:t>网页截图。</w:t>
      </w:r>
    </w:p>
    <w:p w14:paraId="4439011A">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备注：在“</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、承诺书”中已做承诺的可以不</w:t>
      </w:r>
      <w:r>
        <w:rPr>
          <w:rFonts w:hint="eastAsia" w:ascii="宋体" w:hAnsi="宋体" w:eastAsia="宋体" w:cs="宋体"/>
          <w:color w:val="auto"/>
          <w:sz w:val="21"/>
          <w:szCs w:val="21"/>
          <w:highlight w:val="none"/>
          <w:lang w:val="zh-CN" w:eastAsia="zh-CN"/>
        </w:rPr>
        <w:t>附</w:t>
      </w:r>
      <w:r>
        <w:rPr>
          <w:rFonts w:hint="eastAsia" w:ascii="宋体" w:hAnsi="宋体" w:eastAsia="宋体" w:cs="宋体"/>
          <w:color w:val="auto"/>
          <w:sz w:val="21"/>
          <w:szCs w:val="21"/>
          <w:highlight w:val="none"/>
          <w:lang w:val="en-US" w:eastAsia="zh-CN"/>
        </w:rPr>
        <w:t>网页截图（供应商可自愿提供）。</w:t>
      </w:r>
    </w:p>
    <w:p w14:paraId="352D9DC9">
      <w:pPr>
        <w:rPr>
          <w:rFonts w:hint="eastAsia" w:ascii="宋体" w:hAnsi="宋体"/>
          <w:color w:val="auto"/>
          <w:sz w:val="21"/>
          <w:szCs w:val="21"/>
          <w:highlight w:val="none"/>
        </w:rPr>
      </w:pPr>
    </w:p>
    <w:p w14:paraId="222BA041">
      <w:pPr>
        <w:rPr>
          <w:rFonts w:hint="eastAsia" w:ascii="宋体" w:hAnsi="宋体"/>
          <w:color w:val="auto"/>
          <w:sz w:val="21"/>
          <w:szCs w:val="21"/>
          <w:highlight w:val="none"/>
        </w:rPr>
      </w:pPr>
    </w:p>
    <w:p w14:paraId="648925B2">
      <w:pPr>
        <w:rPr>
          <w:rFonts w:hint="eastAsia" w:ascii="宋体" w:hAnsi="宋体"/>
          <w:color w:val="auto"/>
          <w:sz w:val="21"/>
          <w:szCs w:val="21"/>
          <w:highlight w:val="none"/>
        </w:rPr>
      </w:pPr>
    </w:p>
    <w:p w14:paraId="2C622C0C">
      <w:pPr>
        <w:rPr>
          <w:rFonts w:hint="eastAsia" w:ascii="宋体" w:hAnsi="宋体"/>
          <w:color w:val="auto"/>
          <w:sz w:val="21"/>
          <w:szCs w:val="21"/>
          <w:highlight w:val="none"/>
        </w:rPr>
      </w:pPr>
    </w:p>
    <w:p w14:paraId="65F4BC8E">
      <w:pPr>
        <w:rPr>
          <w:rFonts w:hint="eastAsia" w:ascii="宋体" w:hAnsi="宋体"/>
          <w:color w:val="auto"/>
          <w:sz w:val="21"/>
          <w:szCs w:val="21"/>
          <w:highlight w:val="none"/>
        </w:rPr>
      </w:pPr>
    </w:p>
    <w:p w14:paraId="3CB214BC">
      <w:pPr>
        <w:rPr>
          <w:rFonts w:hint="eastAsia" w:ascii="宋体" w:hAnsi="宋体"/>
          <w:color w:val="auto"/>
          <w:sz w:val="21"/>
          <w:szCs w:val="21"/>
          <w:highlight w:val="none"/>
        </w:rPr>
      </w:pPr>
    </w:p>
    <w:p w14:paraId="077C8906">
      <w:pPr>
        <w:rPr>
          <w:rFonts w:hint="eastAsia" w:ascii="宋体" w:hAnsi="宋体"/>
          <w:color w:val="auto"/>
          <w:sz w:val="21"/>
          <w:szCs w:val="21"/>
          <w:highlight w:val="none"/>
        </w:rPr>
      </w:pPr>
    </w:p>
    <w:p w14:paraId="503EC542">
      <w:pPr>
        <w:rPr>
          <w:rFonts w:hint="eastAsia" w:ascii="宋体" w:hAnsi="宋体"/>
          <w:color w:val="auto"/>
          <w:sz w:val="21"/>
          <w:szCs w:val="21"/>
          <w:highlight w:val="none"/>
        </w:rPr>
      </w:pPr>
    </w:p>
    <w:p w14:paraId="4FFE8650">
      <w:pPr>
        <w:rPr>
          <w:rFonts w:hint="eastAsia" w:ascii="宋体" w:hAnsi="宋体"/>
          <w:color w:val="auto"/>
          <w:sz w:val="21"/>
          <w:szCs w:val="21"/>
          <w:highlight w:val="none"/>
        </w:rPr>
      </w:pPr>
    </w:p>
    <w:p w14:paraId="188114C3">
      <w:pPr>
        <w:rPr>
          <w:rFonts w:hint="eastAsia" w:ascii="宋体" w:hAnsi="宋体"/>
          <w:color w:val="auto"/>
          <w:sz w:val="21"/>
          <w:szCs w:val="21"/>
          <w:highlight w:val="none"/>
        </w:rPr>
      </w:pPr>
    </w:p>
    <w:p w14:paraId="635FDB16">
      <w:pPr>
        <w:rPr>
          <w:rFonts w:hint="eastAsia" w:ascii="宋体" w:hAnsi="宋体"/>
          <w:color w:val="auto"/>
          <w:sz w:val="21"/>
          <w:szCs w:val="21"/>
          <w:highlight w:val="none"/>
        </w:rPr>
      </w:pPr>
    </w:p>
    <w:p w14:paraId="32CA9FFF">
      <w:pPr>
        <w:rPr>
          <w:rFonts w:hint="eastAsia" w:ascii="宋体" w:hAnsi="宋体"/>
          <w:color w:val="auto"/>
          <w:sz w:val="21"/>
          <w:szCs w:val="21"/>
          <w:highlight w:val="none"/>
        </w:rPr>
      </w:pPr>
    </w:p>
    <w:p w14:paraId="1FB6D707">
      <w:pPr>
        <w:rPr>
          <w:rFonts w:hint="eastAsia" w:ascii="宋体" w:hAnsi="宋体"/>
          <w:color w:val="auto"/>
          <w:sz w:val="21"/>
          <w:szCs w:val="21"/>
          <w:highlight w:val="none"/>
        </w:rPr>
      </w:pPr>
    </w:p>
    <w:p w14:paraId="3F7F07E0">
      <w:pPr>
        <w:rPr>
          <w:rFonts w:hint="eastAsia" w:ascii="宋体" w:hAnsi="宋体"/>
          <w:color w:val="auto"/>
          <w:sz w:val="21"/>
          <w:szCs w:val="21"/>
          <w:highlight w:val="none"/>
        </w:rPr>
      </w:pPr>
    </w:p>
    <w:p w14:paraId="1F35C089">
      <w:pPr>
        <w:rPr>
          <w:rFonts w:hint="eastAsia" w:ascii="宋体" w:hAnsi="宋体"/>
          <w:color w:val="auto"/>
          <w:sz w:val="21"/>
          <w:szCs w:val="21"/>
          <w:highlight w:val="none"/>
        </w:rPr>
      </w:pPr>
    </w:p>
    <w:p w14:paraId="4E6B2EBD">
      <w:pPr>
        <w:rPr>
          <w:rFonts w:hint="eastAsia" w:ascii="宋体" w:hAnsi="宋体"/>
          <w:color w:val="auto"/>
          <w:sz w:val="21"/>
          <w:szCs w:val="21"/>
          <w:highlight w:val="none"/>
        </w:rPr>
      </w:pPr>
    </w:p>
    <w:p w14:paraId="2D0DFA78">
      <w:pPr>
        <w:rPr>
          <w:rFonts w:hint="eastAsia" w:ascii="宋体" w:hAnsi="宋体"/>
          <w:color w:val="auto"/>
          <w:sz w:val="21"/>
          <w:szCs w:val="21"/>
          <w:highlight w:val="none"/>
        </w:rPr>
      </w:pPr>
    </w:p>
    <w:p w14:paraId="5308ED15">
      <w:pPr>
        <w:rPr>
          <w:rFonts w:hint="eastAsia" w:ascii="宋体" w:hAnsi="宋体"/>
          <w:color w:val="auto"/>
          <w:sz w:val="21"/>
          <w:szCs w:val="21"/>
          <w:highlight w:val="none"/>
        </w:rPr>
      </w:pPr>
    </w:p>
    <w:p w14:paraId="7AE1A4C8">
      <w:pPr>
        <w:rPr>
          <w:rFonts w:hint="eastAsia" w:ascii="宋体" w:hAnsi="宋体"/>
          <w:color w:val="auto"/>
          <w:sz w:val="21"/>
          <w:szCs w:val="21"/>
          <w:highlight w:val="none"/>
        </w:rPr>
      </w:pPr>
    </w:p>
    <w:p w14:paraId="57B348F6">
      <w:pPr>
        <w:rPr>
          <w:rFonts w:hint="eastAsia" w:ascii="宋体" w:hAnsi="宋体"/>
          <w:color w:val="auto"/>
          <w:sz w:val="21"/>
          <w:szCs w:val="21"/>
          <w:highlight w:val="none"/>
        </w:rPr>
      </w:pPr>
    </w:p>
    <w:p w14:paraId="73E298D2">
      <w:pPr>
        <w:rPr>
          <w:rFonts w:hint="eastAsia" w:ascii="宋体" w:hAnsi="宋体"/>
          <w:color w:val="auto"/>
          <w:sz w:val="21"/>
          <w:szCs w:val="21"/>
          <w:highlight w:val="none"/>
        </w:rPr>
      </w:pPr>
    </w:p>
    <w:p w14:paraId="6A6725D3">
      <w:pPr>
        <w:rPr>
          <w:rFonts w:hint="eastAsia" w:ascii="宋体" w:hAnsi="宋体"/>
          <w:color w:val="auto"/>
          <w:sz w:val="21"/>
          <w:szCs w:val="21"/>
          <w:highlight w:val="none"/>
        </w:rPr>
      </w:pPr>
    </w:p>
    <w:p w14:paraId="20E3769D">
      <w:pPr>
        <w:rPr>
          <w:rFonts w:hint="eastAsia" w:ascii="宋体" w:hAnsi="宋体"/>
          <w:color w:val="auto"/>
          <w:sz w:val="21"/>
          <w:szCs w:val="21"/>
          <w:highlight w:val="none"/>
        </w:rPr>
      </w:pPr>
    </w:p>
    <w:p w14:paraId="4623B872">
      <w:pPr>
        <w:rPr>
          <w:rFonts w:hint="eastAsia" w:ascii="宋体" w:hAnsi="宋体"/>
          <w:color w:val="auto"/>
          <w:sz w:val="21"/>
          <w:szCs w:val="21"/>
          <w:highlight w:val="none"/>
        </w:rPr>
      </w:pPr>
    </w:p>
    <w:p w14:paraId="45708C1C">
      <w:pPr>
        <w:rPr>
          <w:rFonts w:hint="eastAsia" w:ascii="宋体" w:hAnsi="宋体"/>
          <w:color w:val="auto"/>
          <w:sz w:val="21"/>
          <w:szCs w:val="21"/>
          <w:highlight w:val="none"/>
        </w:rPr>
      </w:pPr>
    </w:p>
    <w:p w14:paraId="6ECDCDAE">
      <w:pPr>
        <w:rPr>
          <w:rFonts w:hint="eastAsia" w:ascii="宋体" w:hAnsi="宋体"/>
          <w:color w:val="auto"/>
          <w:sz w:val="21"/>
          <w:szCs w:val="21"/>
          <w:highlight w:val="none"/>
        </w:rPr>
      </w:pPr>
    </w:p>
    <w:p w14:paraId="72DC8CDC">
      <w:pPr>
        <w:rPr>
          <w:rFonts w:hint="eastAsia" w:ascii="宋体" w:hAnsi="宋体"/>
          <w:color w:val="auto"/>
          <w:sz w:val="21"/>
          <w:szCs w:val="21"/>
          <w:highlight w:val="none"/>
        </w:rPr>
      </w:pPr>
    </w:p>
    <w:p w14:paraId="4081EA19">
      <w:pPr>
        <w:rPr>
          <w:rFonts w:hint="eastAsia" w:ascii="宋体" w:hAnsi="宋体"/>
          <w:color w:val="auto"/>
          <w:sz w:val="21"/>
          <w:szCs w:val="21"/>
          <w:highlight w:val="none"/>
        </w:rPr>
      </w:pPr>
    </w:p>
    <w:p w14:paraId="2FFFBE01">
      <w:pPr>
        <w:rPr>
          <w:rFonts w:hint="eastAsia" w:ascii="宋体" w:hAnsi="宋体"/>
          <w:color w:val="auto"/>
          <w:sz w:val="21"/>
          <w:szCs w:val="21"/>
          <w:highlight w:val="none"/>
        </w:rPr>
      </w:pPr>
    </w:p>
    <w:p w14:paraId="5447DB78">
      <w:pPr>
        <w:rPr>
          <w:rFonts w:hint="eastAsia" w:ascii="宋体" w:hAnsi="宋体"/>
          <w:color w:val="auto"/>
          <w:sz w:val="21"/>
          <w:szCs w:val="21"/>
          <w:highlight w:val="none"/>
        </w:rPr>
      </w:pPr>
    </w:p>
    <w:p w14:paraId="7E534F4E">
      <w:pPr>
        <w:rPr>
          <w:rFonts w:hint="eastAsia" w:ascii="宋体" w:hAnsi="宋体"/>
          <w:color w:val="auto"/>
          <w:sz w:val="21"/>
          <w:szCs w:val="21"/>
          <w:highlight w:val="none"/>
        </w:rPr>
      </w:pPr>
    </w:p>
    <w:p w14:paraId="4F9A1AA2">
      <w:pPr>
        <w:rPr>
          <w:rFonts w:hint="eastAsia" w:ascii="宋体" w:hAnsi="宋体"/>
          <w:color w:val="auto"/>
          <w:sz w:val="21"/>
          <w:szCs w:val="21"/>
          <w:highlight w:val="none"/>
        </w:rPr>
      </w:pPr>
    </w:p>
    <w:p w14:paraId="2F49F4E2">
      <w:pPr>
        <w:rPr>
          <w:rFonts w:hint="eastAsia" w:ascii="宋体" w:hAnsi="宋体"/>
          <w:color w:val="auto"/>
          <w:sz w:val="21"/>
          <w:szCs w:val="21"/>
          <w:highlight w:val="none"/>
        </w:rPr>
      </w:pPr>
    </w:p>
    <w:p w14:paraId="043D1330">
      <w:pPr>
        <w:rPr>
          <w:rFonts w:hint="eastAsia" w:ascii="宋体" w:hAnsi="宋体"/>
          <w:color w:val="auto"/>
          <w:sz w:val="21"/>
          <w:szCs w:val="21"/>
          <w:highlight w:val="none"/>
        </w:rPr>
      </w:pPr>
    </w:p>
    <w:p w14:paraId="7626636C">
      <w:pPr>
        <w:rPr>
          <w:rFonts w:hint="eastAsia" w:ascii="宋体" w:hAnsi="宋体"/>
          <w:color w:val="auto"/>
          <w:sz w:val="21"/>
          <w:szCs w:val="21"/>
          <w:highlight w:val="none"/>
        </w:rPr>
      </w:pPr>
    </w:p>
    <w:p w14:paraId="319CE652">
      <w:pPr>
        <w:rPr>
          <w:rFonts w:hint="eastAsia" w:ascii="宋体" w:hAnsi="宋体"/>
          <w:color w:val="auto"/>
          <w:sz w:val="21"/>
          <w:szCs w:val="21"/>
          <w:highlight w:val="none"/>
        </w:rPr>
      </w:pPr>
    </w:p>
    <w:p w14:paraId="4F7812B3">
      <w:pPr>
        <w:rPr>
          <w:rFonts w:hint="eastAsia" w:ascii="宋体" w:hAnsi="宋体"/>
          <w:color w:val="auto"/>
          <w:sz w:val="21"/>
          <w:szCs w:val="21"/>
          <w:highlight w:val="none"/>
        </w:rPr>
      </w:pPr>
    </w:p>
    <w:p w14:paraId="5E17B0EC">
      <w:pPr>
        <w:rPr>
          <w:rFonts w:hint="eastAsia" w:ascii="宋体" w:hAnsi="宋体"/>
          <w:color w:val="auto"/>
          <w:sz w:val="21"/>
          <w:szCs w:val="21"/>
          <w:highlight w:val="none"/>
        </w:rPr>
      </w:pPr>
    </w:p>
    <w:p w14:paraId="0BEF0319">
      <w:pPr>
        <w:rPr>
          <w:rFonts w:hint="eastAsia" w:ascii="宋体" w:hAnsi="宋体"/>
          <w:color w:val="auto"/>
          <w:sz w:val="21"/>
          <w:szCs w:val="21"/>
          <w:highlight w:val="none"/>
        </w:rPr>
      </w:pPr>
    </w:p>
    <w:p w14:paraId="5267DEE5">
      <w:pPr>
        <w:rPr>
          <w:rFonts w:hint="eastAsia" w:ascii="宋体" w:hAnsi="宋体"/>
          <w:color w:val="auto"/>
          <w:sz w:val="21"/>
          <w:szCs w:val="21"/>
          <w:highlight w:val="none"/>
        </w:rPr>
      </w:pPr>
    </w:p>
    <w:p w14:paraId="39731814">
      <w:pPr>
        <w:rPr>
          <w:rFonts w:ascii="宋体" w:hAnsi="宋体"/>
          <w:color w:val="auto"/>
          <w:sz w:val="24"/>
          <w:highlight w:val="none"/>
        </w:rPr>
      </w:pPr>
    </w:p>
    <w:bookmarkEnd w:id="176"/>
    <w:bookmarkEnd w:id="177"/>
    <w:p w14:paraId="28582649">
      <w:pPr>
        <w:pStyle w:val="5"/>
        <w:jc w:val="center"/>
        <w:outlineLvl w:val="2"/>
        <w:rPr>
          <w:rFonts w:hint="eastAsia" w:ascii="宋体" w:hAnsi="宋体" w:eastAsia="宋体" w:cs="Times New Roman"/>
          <w:b/>
          <w:bCs w:val="0"/>
          <w:color w:val="auto"/>
          <w:kern w:val="2"/>
          <w:sz w:val="32"/>
          <w:szCs w:val="32"/>
          <w:highlight w:val="none"/>
          <w:lang w:val="en-US" w:eastAsia="zh-CN" w:bidi="ar-SA"/>
        </w:rPr>
      </w:pPr>
      <w:bookmarkStart w:id="178" w:name="_Toc11512"/>
      <w:bookmarkStart w:id="179" w:name="_Toc28828_WPSOffice_Level1"/>
      <w:bookmarkStart w:id="180" w:name="_Toc21293_WPSOffice_Level1"/>
      <w:r>
        <w:rPr>
          <w:rFonts w:hint="eastAsia" w:ascii="宋体" w:hAnsi="宋体" w:eastAsia="宋体" w:cs="Times New Roman"/>
          <w:b/>
          <w:bCs w:val="0"/>
          <w:color w:val="auto"/>
          <w:kern w:val="2"/>
          <w:sz w:val="32"/>
          <w:szCs w:val="32"/>
          <w:highlight w:val="none"/>
          <w:lang w:val="en-US" w:eastAsia="zh-CN" w:bidi="ar-SA"/>
        </w:rPr>
        <w:t>七、勘察纲要、设计方案</w:t>
      </w:r>
      <w:bookmarkEnd w:id="178"/>
    </w:p>
    <w:p w14:paraId="07517010">
      <w:pPr>
        <w:rPr>
          <w:rFonts w:hint="eastAsia" w:hAnsi="宋体" w:cs="宋体"/>
          <w:b/>
          <w:color w:val="auto"/>
          <w:kern w:val="0"/>
          <w:sz w:val="32"/>
          <w:szCs w:val="18"/>
          <w:highlight w:val="none"/>
          <w:lang w:val="en-US" w:eastAsia="zh-CN"/>
        </w:rPr>
      </w:pPr>
    </w:p>
    <w:p w14:paraId="5D8A1F6A">
      <w:pPr>
        <w:rPr>
          <w:rFonts w:hint="eastAsia" w:hAnsi="宋体" w:cs="宋体"/>
          <w:b/>
          <w:color w:val="auto"/>
          <w:kern w:val="0"/>
          <w:sz w:val="32"/>
          <w:szCs w:val="18"/>
          <w:highlight w:val="none"/>
          <w:lang w:val="en-US" w:eastAsia="zh-CN"/>
        </w:rPr>
      </w:pPr>
    </w:p>
    <w:p w14:paraId="20D65953">
      <w:pPr>
        <w:rPr>
          <w:rFonts w:hint="eastAsia" w:hAnsi="宋体" w:cs="宋体"/>
          <w:b/>
          <w:color w:val="auto"/>
          <w:kern w:val="0"/>
          <w:sz w:val="32"/>
          <w:szCs w:val="18"/>
          <w:highlight w:val="none"/>
          <w:lang w:val="en-US" w:eastAsia="zh-CN"/>
        </w:rPr>
      </w:pPr>
    </w:p>
    <w:p w14:paraId="7877A9FC">
      <w:pPr>
        <w:rPr>
          <w:rFonts w:hint="eastAsia" w:hAnsi="宋体" w:cs="宋体"/>
          <w:b/>
          <w:color w:val="auto"/>
          <w:kern w:val="0"/>
          <w:sz w:val="32"/>
          <w:szCs w:val="18"/>
          <w:highlight w:val="none"/>
          <w:lang w:val="en-US" w:eastAsia="zh-CN"/>
        </w:rPr>
      </w:pPr>
    </w:p>
    <w:p w14:paraId="25ABD259">
      <w:pPr>
        <w:jc w:val="center"/>
        <w:rPr>
          <w:rFonts w:hint="eastAsia" w:hAnsi="宋体" w:cs="宋体"/>
          <w:b/>
          <w:color w:val="auto"/>
          <w:kern w:val="0"/>
          <w:sz w:val="32"/>
          <w:szCs w:val="18"/>
          <w:highlight w:val="none"/>
          <w:lang w:val="en-US" w:eastAsia="zh-CN"/>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62E9502C">
      <w:pPr>
        <w:rPr>
          <w:rFonts w:hint="eastAsia" w:hAnsi="宋体" w:cs="宋体"/>
          <w:b/>
          <w:color w:val="auto"/>
          <w:kern w:val="0"/>
          <w:sz w:val="32"/>
          <w:szCs w:val="18"/>
          <w:highlight w:val="none"/>
          <w:lang w:val="en-US" w:eastAsia="zh-CN"/>
        </w:rPr>
      </w:pPr>
    </w:p>
    <w:p w14:paraId="5644D5FB">
      <w:pPr>
        <w:rPr>
          <w:rFonts w:hint="eastAsia" w:hAnsi="宋体" w:cs="宋体"/>
          <w:b/>
          <w:color w:val="auto"/>
          <w:kern w:val="0"/>
          <w:sz w:val="32"/>
          <w:szCs w:val="18"/>
          <w:highlight w:val="none"/>
          <w:lang w:val="en-US" w:eastAsia="zh-CN"/>
        </w:rPr>
      </w:pPr>
    </w:p>
    <w:p w14:paraId="53BFBEEC">
      <w:pPr>
        <w:rPr>
          <w:rFonts w:hint="eastAsia" w:hAnsi="宋体" w:cs="宋体"/>
          <w:b/>
          <w:color w:val="auto"/>
          <w:kern w:val="0"/>
          <w:sz w:val="32"/>
          <w:szCs w:val="18"/>
          <w:highlight w:val="none"/>
          <w:lang w:val="en-US" w:eastAsia="zh-CN"/>
        </w:rPr>
      </w:pPr>
    </w:p>
    <w:p w14:paraId="47460149">
      <w:pPr>
        <w:rPr>
          <w:rFonts w:hint="eastAsia" w:hAnsi="宋体" w:cs="宋体"/>
          <w:b/>
          <w:color w:val="auto"/>
          <w:kern w:val="0"/>
          <w:sz w:val="32"/>
          <w:szCs w:val="18"/>
          <w:highlight w:val="none"/>
          <w:lang w:val="en-US" w:eastAsia="zh-CN"/>
        </w:rPr>
      </w:pPr>
    </w:p>
    <w:p w14:paraId="1A15C231">
      <w:pPr>
        <w:rPr>
          <w:rFonts w:hint="eastAsia" w:hAnsi="宋体" w:cs="宋体"/>
          <w:b/>
          <w:color w:val="auto"/>
          <w:kern w:val="0"/>
          <w:sz w:val="32"/>
          <w:szCs w:val="18"/>
          <w:highlight w:val="none"/>
          <w:lang w:val="en-US" w:eastAsia="zh-CN"/>
        </w:rPr>
      </w:pPr>
    </w:p>
    <w:p w14:paraId="312F507E">
      <w:pPr>
        <w:rPr>
          <w:rFonts w:hint="eastAsia" w:hAnsi="宋体" w:cs="宋体"/>
          <w:b/>
          <w:color w:val="auto"/>
          <w:kern w:val="0"/>
          <w:sz w:val="32"/>
          <w:szCs w:val="18"/>
          <w:highlight w:val="none"/>
          <w:lang w:val="en-US" w:eastAsia="zh-CN"/>
        </w:rPr>
      </w:pPr>
    </w:p>
    <w:p w14:paraId="72F7ECC4">
      <w:pPr>
        <w:rPr>
          <w:rFonts w:hint="eastAsia" w:hAnsi="宋体" w:cs="宋体"/>
          <w:b/>
          <w:color w:val="auto"/>
          <w:kern w:val="0"/>
          <w:sz w:val="32"/>
          <w:szCs w:val="18"/>
          <w:highlight w:val="none"/>
          <w:lang w:val="en-US" w:eastAsia="zh-CN"/>
        </w:rPr>
      </w:pPr>
    </w:p>
    <w:p w14:paraId="17D8E8A7">
      <w:pPr>
        <w:rPr>
          <w:rFonts w:hint="eastAsia" w:hAnsi="宋体" w:cs="宋体"/>
          <w:b/>
          <w:color w:val="auto"/>
          <w:kern w:val="0"/>
          <w:sz w:val="32"/>
          <w:szCs w:val="18"/>
          <w:highlight w:val="none"/>
          <w:lang w:val="en-US" w:eastAsia="zh-CN"/>
        </w:rPr>
      </w:pPr>
    </w:p>
    <w:p w14:paraId="060D1539">
      <w:pPr>
        <w:rPr>
          <w:rFonts w:hint="eastAsia" w:hAnsi="宋体" w:cs="宋体"/>
          <w:b/>
          <w:color w:val="auto"/>
          <w:kern w:val="0"/>
          <w:sz w:val="32"/>
          <w:szCs w:val="18"/>
          <w:highlight w:val="none"/>
          <w:lang w:val="en-US" w:eastAsia="zh-CN"/>
        </w:rPr>
      </w:pPr>
    </w:p>
    <w:p w14:paraId="0EA20DDF">
      <w:pPr>
        <w:rPr>
          <w:rFonts w:hint="eastAsia" w:hAnsi="宋体" w:cs="宋体"/>
          <w:b/>
          <w:color w:val="auto"/>
          <w:kern w:val="0"/>
          <w:sz w:val="32"/>
          <w:szCs w:val="18"/>
          <w:highlight w:val="none"/>
          <w:lang w:val="en-US" w:eastAsia="zh-CN"/>
        </w:rPr>
      </w:pPr>
    </w:p>
    <w:p w14:paraId="6D6A56E7">
      <w:pPr>
        <w:rPr>
          <w:rFonts w:hint="eastAsia" w:hAnsi="宋体" w:cs="宋体"/>
          <w:b/>
          <w:color w:val="auto"/>
          <w:kern w:val="0"/>
          <w:sz w:val="32"/>
          <w:szCs w:val="18"/>
          <w:highlight w:val="none"/>
          <w:lang w:val="en-US" w:eastAsia="zh-CN"/>
        </w:rPr>
      </w:pPr>
    </w:p>
    <w:p w14:paraId="12C6D64B">
      <w:pPr>
        <w:pStyle w:val="27"/>
        <w:numPr>
          <w:ilvl w:val="0"/>
          <w:numId w:val="0"/>
        </w:numPr>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81" w:name="_Toc8354"/>
      <w:r>
        <w:rPr>
          <w:rFonts w:hint="eastAsia" w:hAnsi="宋体" w:cs="Times New Roman"/>
          <w:b/>
          <w:color w:val="auto"/>
          <w:kern w:val="2"/>
          <w:sz w:val="32"/>
          <w:szCs w:val="32"/>
          <w:highlight w:val="none"/>
          <w:lang w:val="en-US" w:eastAsia="zh-CN" w:bidi="ar-SA"/>
        </w:rPr>
        <w:t>八、</w:t>
      </w:r>
      <w:r>
        <w:rPr>
          <w:rFonts w:hint="eastAsia" w:ascii="宋体" w:hAnsi="宋体" w:eastAsia="宋体" w:cs="Times New Roman"/>
          <w:b/>
          <w:color w:val="auto"/>
          <w:kern w:val="2"/>
          <w:sz w:val="32"/>
          <w:szCs w:val="32"/>
          <w:highlight w:val="none"/>
          <w:lang w:val="zh-CN" w:eastAsia="zh-CN" w:bidi="ar-SA"/>
        </w:rPr>
        <w:t>承诺书</w:t>
      </w:r>
      <w:bookmarkEnd w:id="181"/>
    </w:p>
    <w:p w14:paraId="1D2639D6">
      <w:pPr>
        <w:widowControl/>
        <w:autoSpaceDE w:val="0"/>
        <w:autoSpaceDN w:val="0"/>
        <w:adjustRightInd w:val="0"/>
        <w:ind w:firstLine="601"/>
        <w:jc w:val="left"/>
        <w:rPr>
          <w:rFonts w:ascii="Calibri" w:hAnsi="宋体" w:cs="宋体"/>
          <w:bCs/>
          <w:color w:val="auto"/>
          <w:kern w:val="0"/>
          <w:szCs w:val="18"/>
          <w:highlight w:val="none"/>
          <w:lang w:val="zh-CN"/>
        </w:rPr>
      </w:pPr>
    </w:p>
    <w:p w14:paraId="67C2E42D">
      <w:pPr>
        <w:widowControl/>
        <w:autoSpaceDE w:val="0"/>
        <w:autoSpaceDN w:val="0"/>
        <w:adjustRightInd w:val="0"/>
        <w:ind w:left="0" w:leftChars="0" w:firstLine="0" w:firstLineChars="0"/>
        <w:jc w:val="center"/>
        <w:outlineLvl w:val="2"/>
        <w:rPr>
          <w:rFonts w:ascii="Calibri" w:hAnsi="宋体" w:cs="宋体"/>
          <w:bCs/>
          <w:color w:val="auto"/>
          <w:kern w:val="0"/>
          <w:sz w:val="24"/>
          <w:highlight w:val="none"/>
          <w:lang w:val="zh-CN"/>
        </w:rPr>
      </w:pPr>
      <w:bookmarkStart w:id="182" w:name="_Toc6156"/>
      <w:bookmarkStart w:id="183" w:name="_Toc21053"/>
      <w:bookmarkStart w:id="184" w:name="_Toc3443"/>
      <w:r>
        <w:rPr>
          <w:rFonts w:hint="eastAsia" w:ascii="宋体" w:hAnsi="宋体" w:cs="宋体"/>
          <w:b/>
          <w:bCs/>
          <w:color w:val="auto"/>
          <w:kern w:val="0"/>
          <w:sz w:val="28"/>
          <w:szCs w:val="28"/>
          <w:highlight w:val="none"/>
        </w:rPr>
        <w:t>1、信誉承诺书</w:t>
      </w:r>
      <w:bookmarkEnd w:id="182"/>
      <w:bookmarkEnd w:id="183"/>
      <w:bookmarkEnd w:id="184"/>
    </w:p>
    <w:p w14:paraId="311D8BBA">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748672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432FB47">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10C6BA9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35765780">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7AA217C8">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（5）我公司承诺响应文件中所提供的企业资质、人员证件、业绩合同等所有资料复印件真实有效，如存在弄虚作假的行为，愿意承担由此引发的后果和责任。</w:t>
      </w:r>
    </w:p>
    <w:p w14:paraId="43668A0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7747629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3960D40D">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3171167C">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BCEB1A7">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56F6A154">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2437F8F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78DC7D5">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379DA8E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7DCF90B0">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FF0998">
      <w:pPr>
        <w:spacing w:line="360" w:lineRule="auto"/>
        <w:ind w:firstLine="3595" w:firstLineChars="1712"/>
        <w:jc w:val="right"/>
        <w:rPr>
          <w:rFonts w:ascii="宋体" w:hAnsi="宋体" w:cs="宋体"/>
          <w:color w:val="auto"/>
          <w:kern w:val="0"/>
          <w:szCs w:val="21"/>
          <w:highlight w:val="none"/>
          <w:lang w:val="zh-CN"/>
        </w:rPr>
      </w:pPr>
    </w:p>
    <w:p w14:paraId="392FAB64">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1D081066">
      <w:pPr>
        <w:widowControl/>
        <w:spacing w:before="120" w:beforeLines="50" w:after="120" w:afterLines="50"/>
        <w:ind w:firstLine="672"/>
        <w:jc w:val="center"/>
        <w:rPr>
          <w:rFonts w:ascii="宋体" w:hAnsi="宋体" w:cs="宋体"/>
          <w:b/>
          <w:bCs/>
          <w:color w:val="auto"/>
          <w:kern w:val="0"/>
          <w:sz w:val="24"/>
          <w:highlight w:val="none"/>
        </w:rPr>
      </w:pPr>
    </w:p>
    <w:p w14:paraId="4EC15991">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rPr>
      </w:pPr>
      <w:bookmarkStart w:id="185" w:name="_Toc16852"/>
      <w:bookmarkStart w:id="186" w:name="_Toc32254"/>
      <w:bookmarkStart w:id="187" w:name="_Toc7705"/>
      <w:r>
        <w:rPr>
          <w:rFonts w:hint="eastAsia" w:ascii="宋体" w:hAnsi="宋体" w:eastAsia="宋体" w:cs="宋体"/>
          <w:b/>
          <w:bCs/>
          <w:color w:val="auto"/>
          <w:kern w:val="0"/>
          <w:sz w:val="28"/>
          <w:szCs w:val="28"/>
          <w:highlight w:val="none"/>
        </w:rPr>
        <w:t>2、不存在禁止投标情形承诺书</w:t>
      </w:r>
      <w:bookmarkEnd w:id="185"/>
      <w:bookmarkEnd w:id="186"/>
      <w:bookmarkEnd w:id="187"/>
    </w:p>
    <w:p w14:paraId="5B7934FD">
      <w:pPr>
        <w:pStyle w:val="38"/>
        <w:rPr>
          <w:color w:val="auto"/>
          <w:highlight w:val="none"/>
        </w:rPr>
      </w:pPr>
    </w:p>
    <w:p w14:paraId="45ECE274">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02C322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我公司不存在磋商文件供应商须知第1.4.3项目规定的下列任何一种情形，所承诺的内容真实，无任何虚假。</w:t>
      </w:r>
    </w:p>
    <w:p w14:paraId="65F9D4B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6144F37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（2）与采购人存在利害关系且可能影响磋商公正性；</w:t>
      </w:r>
    </w:p>
    <w:p w14:paraId="0FA8527E">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65D6DA8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01BAAF52">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327D021C">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6DBEF949">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66B0D08A">
      <w:pPr>
        <w:spacing w:line="360" w:lineRule="auto"/>
        <w:ind w:firstLine="3471" w:firstLineChars="1653"/>
        <w:rPr>
          <w:rFonts w:ascii="宋体" w:hAnsi="宋体"/>
          <w:color w:val="auto"/>
          <w:sz w:val="21"/>
          <w:szCs w:val="21"/>
          <w:highlight w:val="none"/>
        </w:rPr>
      </w:pPr>
    </w:p>
    <w:p w14:paraId="35809F0F">
      <w:pPr>
        <w:spacing w:line="360" w:lineRule="auto"/>
        <w:ind w:firstLine="3471" w:firstLineChars="1653"/>
        <w:rPr>
          <w:rFonts w:ascii="宋体" w:hAnsi="宋体"/>
          <w:color w:val="auto"/>
          <w:sz w:val="21"/>
          <w:szCs w:val="21"/>
          <w:highlight w:val="none"/>
        </w:rPr>
      </w:pPr>
    </w:p>
    <w:p w14:paraId="7F8768D0">
      <w:pPr>
        <w:pStyle w:val="38"/>
        <w:rPr>
          <w:color w:val="auto"/>
          <w:sz w:val="21"/>
          <w:szCs w:val="21"/>
          <w:highlight w:val="none"/>
        </w:rPr>
      </w:pPr>
    </w:p>
    <w:p w14:paraId="2423F16D">
      <w:pPr>
        <w:pStyle w:val="38"/>
        <w:rPr>
          <w:color w:val="auto"/>
          <w:sz w:val="21"/>
          <w:szCs w:val="21"/>
          <w:highlight w:val="none"/>
        </w:rPr>
      </w:pPr>
    </w:p>
    <w:p w14:paraId="781C6216">
      <w:pPr>
        <w:pStyle w:val="38"/>
        <w:rPr>
          <w:color w:val="auto"/>
          <w:sz w:val="21"/>
          <w:szCs w:val="21"/>
          <w:highlight w:val="none"/>
        </w:rPr>
      </w:pPr>
    </w:p>
    <w:p w14:paraId="2F8BFB6E">
      <w:pPr>
        <w:spacing w:line="360" w:lineRule="auto"/>
        <w:ind w:firstLine="3471" w:firstLineChars="1653"/>
        <w:rPr>
          <w:rFonts w:ascii="宋体" w:hAnsi="宋体"/>
          <w:color w:val="auto"/>
          <w:sz w:val="21"/>
          <w:szCs w:val="21"/>
          <w:highlight w:val="none"/>
        </w:rPr>
      </w:pPr>
    </w:p>
    <w:p w14:paraId="32432235">
      <w:pPr>
        <w:spacing w:line="360" w:lineRule="auto"/>
        <w:ind w:firstLine="3471" w:firstLineChars="1653"/>
        <w:rPr>
          <w:rFonts w:ascii="宋体" w:hAnsi="宋体"/>
          <w:color w:val="auto"/>
          <w:sz w:val="21"/>
          <w:szCs w:val="21"/>
          <w:highlight w:val="none"/>
        </w:rPr>
      </w:pPr>
    </w:p>
    <w:p w14:paraId="30B7EFA7">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72C1140B">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F4046D0">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1F916F08">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C54F59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C440391">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3C4A1FDB">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bookmarkStart w:id="188" w:name="_Toc13142"/>
      <w:bookmarkStart w:id="189" w:name="_Toc7190"/>
      <w:bookmarkStart w:id="190" w:name="_Toc9735"/>
      <w:r>
        <w:rPr>
          <w:rFonts w:hint="eastAsia" w:ascii="宋体" w:hAnsi="宋体" w:eastAsia="宋体" w:cs="宋体"/>
          <w:b/>
          <w:bCs/>
          <w:color w:val="auto"/>
          <w:kern w:val="0"/>
          <w:sz w:val="28"/>
          <w:szCs w:val="28"/>
          <w:highlight w:val="none"/>
          <w:lang w:val="zh-CN"/>
        </w:rPr>
        <w:t>3、</w:t>
      </w:r>
      <w:bookmarkEnd w:id="188"/>
      <w:bookmarkStart w:id="191" w:name="_Toc8802"/>
      <w:r>
        <w:rPr>
          <w:rFonts w:hint="eastAsia" w:ascii="宋体" w:hAnsi="宋体" w:eastAsia="宋体" w:cs="宋体"/>
          <w:b/>
          <w:bCs/>
          <w:color w:val="auto"/>
          <w:kern w:val="0"/>
          <w:sz w:val="28"/>
          <w:szCs w:val="28"/>
          <w:highlight w:val="none"/>
          <w:lang w:val="zh-CN"/>
        </w:rPr>
        <w:t>政府采购诚信承诺书</w:t>
      </w:r>
      <w:bookmarkEnd w:id="189"/>
      <w:bookmarkEnd w:id="190"/>
      <w:bookmarkEnd w:id="191"/>
    </w:p>
    <w:p w14:paraId="4700B8B4">
      <w:pPr>
        <w:spacing w:line="440" w:lineRule="exact"/>
        <w:jc w:val="center"/>
        <w:rPr>
          <w:rFonts w:ascii="宋体" w:hAnsi="宋体" w:cs="宋体"/>
          <w:b/>
          <w:color w:val="auto"/>
          <w:kern w:val="0"/>
          <w:sz w:val="32"/>
          <w:szCs w:val="18"/>
          <w:highlight w:val="none"/>
        </w:rPr>
      </w:pPr>
    </w:p>
    <w:p w14:paraId="5B990435">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4112F5C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项目（项目编号：）的竞争性磋商文件，自愿参加本次磋商，现就有关事项郑重承诺如下：</w:t>
      </w:r>
    </w:p>
    <w:p w14:paraId="4EF0AD5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3B64BF7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0D7436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3094BEE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23BC0ED7">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B35EF60">
      <w:pPr>
        <w:spacing w:line="360" w:lineRule="auto"/>
        <w:ind w:right="480"/>
        <w:jc w:val="left"/>
        <w:rPr>
          <w:rFonts w:ascii="宋体" w:hAnsi="宋体"/>
          <w:color w:val="auto"/>
          <w:sz w:val="21"/>
          <w:szCs w:val="21"/>
          <w:highlight w:val="none"/>
        </w:rPr>
      </w:pPr>
    </w:p>
    <w:p w14:paraId="4DCB0638">
      <w:pPr>
        <w:widowControl w:val="0"/>
        <w:ind w:firstLine="2520" w:firstLineChars="1200"/>
        <w:jc w:val="left"/>
        <w:rPr>
          <w:rFonts w:hint="eastAsia" w:ascii="宋体" w:hAnsi="宋体"/>
          <w:bCs/>
          <w:color w:val="auto"/>
          <w:sz w:val="21"/>
          <w:szCs w:val="21"/>
          <w:highlight w:val="none"/>
          <w:lang w:val="en-US" w:eastAsia="zh-CN"/>
        </w:rPr>
      </w:pPr>
    </w:p>
    <w:p w14:paraId="7AACE3AA">
      <w:pPr>
        <w:widowControl w:val="0"/>
        <w:ind w:firstLine="2520" w:firstLineChars="1200"/>
        <w:jc w:val="left"/>
        <w:rPr>
          <w:rFonts w:hint="eastAsia" w:ascii="宋体" w:hAnsi="宋体"/>
          <w:bCs/>
          <w:color w:val="auto"/>
          <w:sz w:val="21"/>
          <w:szCs w:val="21"/>
          <w:highlight w:val="none"/>
          <w:lang w:val="en-US" w:eastAsia="zh-CN"/>
        </w:rPr>
      </w:pPr>
    </w:p>
    <w:p w14:paraId="7804BF59">
      <w:pPr>
        <w:widowControl w:val="0"/>
        <w:ind w:firstLine="2520" w:firstLineChars="1200"/>
        <w:jc w:val="left"/>
        <w:rPr>
          <w:rFonts w:hint="eastAsia" w:ascii="宋体" w:hAnsi="宋体"/>
          <w:bCs/>
          <w:color w:val="auto"/>
          <w:sz w:val="21"/>
          <w:szCs w:val="21"/>
          <w:highlight w:val="none"/>
          <w:lang w:val="en-US" w:eastAsia="zh-CN"/>
        </w:rPr>
      </w:pPr>
    </w:p>
    <w:p w14:paraId="481EB2D1">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ECE83AA">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383B89E">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75664572">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B84A908">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6F807BA">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r>
        <w:rPr>
          <w:rFonts w:ascii="宋体" w:hAnsi="宋体" w:cs="宋体"/>
          <w:b/>
          <w:color w:val="auto"/>
          <w:kern w:val="0"/>
          <w:sz w:val="32"/>
          <w:szCs w:val="18"/>
          <w:highlight w:val="none"/>
          <w:lang w:val="zh-CN"/>
        </w:rPr>
        <w:br w:type="page"/>
      </w:r>
      <w:bookmarkStart w:id="192" w:name="_Toc29236"/>
      <w:bookmarkStart w:id="193" w:name="_Toc6694"/>
      <w:bookmarkStart w:id="194" w:name="_Toc29848"/>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w:t>
      </w:r>
      <w:bookmarkEnd w:id="192"/>
      <w:bookmarkEnd w:id="193"/>
      <w:r>
        <w:rPr>
          <w:rFonts w:hint="eastAsia" w:ascii="宋体" w:hAnsi="宋体" w:eastAsia="宋体" w:cs="宋体"/>
          <w:b/>
          <w:bCs/>
          <w:color w:val="auto"/>
          <w:kern w:val="0"/>
          <w:sz w:val="28"/>
          <w:szCs w:val="28"/>
          <w:highlight w:val="none"/>
          <w:lang w:val="zh-CN"/>
        </w:rPr>
        <w:t>无投资参股关系关联企业同时磋商的承诺书</w:t>
      </w:r>
      <w:bookmarkEnd w:id="194"/>
    </w:p>
    <w:p w14:paraId="3E7F9C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Times New Roman"/>
          <w:color w:val="auto"/>
          <w:sz w:val="24"/>
          <w:highlight w:val="none"/>
          <w:lang w:val="zh-CN"/>
        </w:rPr>
      </w:pPr>
    </w:p>
    <w:p w14:paraId="256DD1B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w:t>
      </w:r>
    </w:p>
    <w:p w14:paraId="3B5FFB6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rPr>
      </w:pPr>
    </w:p>
    <w:p w14:paraId="5F6BEA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rPr>
        <w:t>我单位承诺：无</w:t>
      </w:r>
      <w:r>
        <w:rPr>
          <w:rFonts w:hint="eastAsia" w:ascii="宋体" w:hAnsi="宋体"/>
          <w:color w:val="auto"/>
          <w:sz w:val="24"/>
          <w:szCs w:val="24"/>
          <w:highlight w:val="none"/>
          <w:lang w:eastAsia="zh-CN"/>
        </w:rPr>
        <w:t>下列情况！</w:t>
      </w:r>
    </w:p>
    <w:p w14:paraId="17B241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14:paraId="44CABD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特此声明！</w:t>
      </w:r>
    </w:p>
    <w:p w14:paraId="17FA9578">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szCs w:val="24"/>
          <w:highlight w:val="none"/>
        </w:rPr>
      </w:pPr>
    </w:p>
    <w:p w14:paraId="24AF04D9">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olor w:val="auto"/>
          <w:sz w:val="24"/>
          <w:szCs w:val="24"/>
          <w:highlight w:val="none"/>
        </w:rPr>
      </w:pPr>
    </w:p>
    <w:p w14:paraId="6DB9A402">
      <w:pPr>
        <w:keepNext w:val="0"/>
        <w:keepLines w:val="0"/>
        <w:pageBreakBefore w:val="0"/>
        <w:kinsoku/>
        <w:wordWrap/>
        <w:overflowPunct/>
        <w:topLinePunct w:val="0"/>
        <w:autoSpaceDE/>
        <w:autoSpaceDN/>
        <w:bidi w:val="0"/>
        <w:adjustRightInd/>
        <w:snapToGrid/>
        <w:spacing w:line="360" w:lineRule="auto"/>
        <w:ind w:firstLine="4228" w:firstLineChars="1762"/>
        <w:textAlignment w:val="auto"/>
        <w:rPr>
          <w:rFonts w:ascii="宋体"/>
          <w:color w:val="auto"/>
          <w:sz w:val="24"/>
          <w:szCs w:val="24"/>
          <w:highlight w:val="none"/>
        </w:rPr>
      </w:pPr>
    </w:p>
    <w:p w14:paraId="385B39B5">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4DAF80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olor w:val="auto"/>
          <w:sz w:val="24"/>
          <w:szCs w:val="24"/>
          <w:highlight w:val="none"/>
          <w:lang w:eastAsia="zh-CN"/>
        </w:rPr>
      </w:pPr>
    </w:p>
    <w:p w14:paraId="7103557B">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5E6AE43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olor w:val="auto"/>
          <w:sz w:val="24"/>
          <w:szCs w:val="24"/>
          <w:highlight w:val="none"/>
        </w:rPr>
      </w:pPr>
    </w:p>
    <w:p w14:paraId="43402EA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36391EF6">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color w:val="auto"/>
          <w:sz w:val="24"/>
          <w:szCs w:val="24"/>
          <w:highlight w:val="none"/>
        </w:rPr>
        <w:sectPr>
          <w:pgSz w:w="11905" w:h="16838"/>
          <w:pgMar w:top="1440" w:right="1803" w:bottom="1440" w:left="1803" w:header="1140" w:footer="720" w:gutter="0"/>
          <w:pgNumType w:fmt="decimal"/>
          <w:cols w:space="720" w:num="1"/>
          <w:rtlGutter w:val="0"/>
          <w:docGrid w:type="lines" w:linePitch="317" w:charSpace="0"/>
        </w:sectPr>
      </w:pPr>
    </w:p>
    <w:p w14:paraId="50D4BF1F">
      <w:pPr>
        <w:jc w:val="center"/>
        <w:outlineLvl w:val="2"/>
        <w:rPr>
          <w:rFonts w:hint="eastAsia" w:ascii="宋体" w:hAnsi="宋体" w:eastAsia="宋体" w:cs="宋体"/>
          <w:b/>
          <w:color w:val="auto"/>
          <w:kern w:val="0"/>
          <w:sz w:val="28"/>
          <w:szCs w:val="28"/>
          <w:highlight w:val="none"/>
          <w:lang w:val="en-US" w:eastAsia="zh-CN"/>
        </w:rPr>
      </w:pPr>
      <w:bookmarkStart w:id="195" w:name="_Toc3303"/>
      <w:bookmarkStart w:id="196"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195"/>
      <w:bookmarkEnd w:id="196"/>
    </w:p>
    <w:p w14:paraId="45AF1257">
      <w:pPr>
        <w:jc w:val="center"/>
        <w:rPr>
          <w:rFonts w:ascii="宋体" w:hAnsi="宋体" w:cs="宋体"/>
          <w:b/>
          <w:color w:val="auto"/>
          <w:kern w:val="0"/>
          <w:sz w:val="32"/>
          <w:szCs w:val="18"/>
          <w:highlight w:val="none"/>
          <w:lang w:val="zh-CN"/>
        </w:rPr>
      </w:pPr>
    </w:p>
    <w:p w14:paraId="2DE7FDC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610FF94B">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815C64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24780301">
      <w:pPr>
        <w:pStyle w:val="49"/>
        <w:rPr>
          <w:rFonts w:ascii="宋体" w:hAnsi="宋体"/>
          <w:color w:val="auto"/>
          <w:sz w:val="24"/>
          <w:highlight w:val="none"/>
        </w:rPr>
      </w:pPr>
    </w:p>
    <w:p w14:paraId="675FB07E">
      <w:pPr>
        <w:rPr>
          <w:rFonts w:ascii="宋体" w:hAnsi="宋体"/>
          <w:color w:val="auto"/>
          <w:sz w:val="24"/>
          <w:highlight w:val="none"/>
        </w:rPr>
      </w:pPr>
    </w:p>
    <w:p w14:paraId="6BFD1A68">
      <w:pPr>
        <w:rPr>
          <w:rFonts w:ascii="宋体" w:hAnsi="宋体"/>
          <w:color w:val="auto"/>
          <w:sz w:val="24"/>
          <w:highlight w:val="none"/>
        </w:rPr>
      </w:pPr>
    </w:p>
    <w:p w14:paraId="1E37C145">
      <w:pPr>
        <w:rPr>
          <w:rFonts w:ascii="宋体" w:hAnsi="宋体"/>
          <w:color w:val="auto"/>
          <w:sz w:val="24"/>
          <w:highlight w:val="none"/>
        </w:rPr>
      </w:pPr>
    </w:p>
    <w:p w14:paraId="4B9CD5DA">
      <w:pPr>
        <w:rPr>
          <w:rFonts w:ascii="宋体" w:hAnsi="宋体"/>
          <w:color w:val="auto"/>
          <w:sz w:val="24"/>
          <w:highlight w:val="none"/>
        </w:rPr>
      </w:pPr>
    </w:p>
    <w:p w14:paraId="0D9AB238">
      <w:pPr>
        <w:rPr>
          <w:rFonts w:ascii="宋体" w:hAnsi="宋体"/>
          <w:color w:val="auto"/>
          <w:sz w:val="24"/>
          <w:highlight w:val="none"/>
        </w:rPr>
      </w:pPr>
    </w:p>
    <w:p w14:paraId="50A52641">
      <w:pPr>
        <w:rPr>
          <w:rFonts w:ascii="宋体" w:hAnsi="宋体"/>
          <w:color w:val="auto"/>
          <w:sz w:val="24"/>
          <w:highlight w:val="none"/>
        </w:rPr>
      </w:pPr>
    </w:p>
    <w:p w14:paraId="2FE39CD8">
      <w:pPr>
        <w:rPr>
          <w:rFonts w:ascii="宋体" w:hAnsi="宋体"/>
          <w:color w:val="auto"/>
          <w:sz w:val="24"/>
          <w:highlight w:val="none"/>
        </w:rPr>
      </w:pPr>
    </w:p>
    <w:p w14:paraId="7784707A">
      <w:pPr>
        <w:rPr>
          <w:rFonts w:ascii="宋体" w:hAnsi="宋体"/>
          <w:color w:val="auto"/>
          <w:sz w:val="24"/>
          <w:highlight w:val="none"/>
        </w:rPr>
      </w:pPr>
    </w:p>
    <w:p w14:paraId="059D1CE8">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431B09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B2839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73944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0A101B7">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71D8B9B4">
      <w:pPr>
        <w:jc w:val="center"/>
        <w:outlineLvl w:val="2"/>
        <w:rPr>
          <w:rFonts w:hint="eastAsia" w:ascii="宋体" w:hAnsi="宋体" w:eastAsia="宋体" w:cs="宋体"/>
          <w:b/>
          <w:bCs/>
          <w:color w:val="auto"/>
          <w:kern w:val="0"/>
          <w:sz w:val="28"/>
          <w:szCs w:val="28"/>
          <w:highlight w:val="none"/>
          <w:lang w:val="zh-CN" w:eastAsia="zh-CN"/>
        </w:rPr>
      </w:pPr>
      <w:bookmarkStart w:id="197" w:name="_Toc21824"/>
      <w:bookmarkStart w:id="198" w:name="_Toc14169"/>
      <w:bookmarkStart w:id="199" w:name="_Toc12432"/>
      <w:bookmarkStart w:id="200" w:name="_Toc28647"/>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lang w:val="zh-CN" w:eastAsia="zh-CN"/>
        </w:rPr>
        <w:t>、中小企业声明函（非中小企业无需填写）</w:t>
      </w:r>
      <w:bookmarkEnd w:id="197"/>
      <w:bookmarkEnd w:id="198"/>
      <w:bookmarkEnd w:id="199"/>
      <w:bookmarkEnd w:id="200"/>
    </w:p>
    <w:p w14:paraId="6B310395">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59B46A67">
      <w:pPr>
        <w:autoSpaceDE w:val="0"/>
        <w:autoSpaceDN w:val="0"/>
        <w:adjustRightInd w:val="0"/>
        <w:jc w:val="left"/>
        <w:rPr>
          <w:rFonts w:ascii="宋体" w:hAnsi="宋体" w:cs="仿宋"/>
          <w:color w:val="auto"/>
          <w:sz w:val="24"/>
          <w:highlight w:val="none"/>
        </w:rPr>
      </w:pPr>
    </w:p>
    <w:p w14:paraId="6DC741DD">
      <w:pPr>
        <w:autoSpaceDE w:val="0"/>
        <w:autoSpaceDN w:val="0"/>
        <w:adjustRightInd w:val="0"/>
        <w:spacing w:line="360" w:lineRule="exact"/>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E9C05">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 ，属于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5AAD002B">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E4FFC08">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B58C2DD">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B477141">
      <w:pPr>
        <w:autoSpaceDE w:val="0"/>
        <w:autoSpaceDN w:val="0"/>
        <w:adjustRightInd w:val="0"/>
        <w:spacing w:line="360" w:lineRule="exact"/>
        <w:jc w:val="left"/>
        <w:rPr>
          <w:rFonts w:ascii="宋体" w:hAnsi="宋体" w:cs="宋体"/>
          <w:color w:val="auto"/>
          <w:sz w:val="21"/>
          <w:szCs w:val="21"/>
          <w:highlight w:val="none"/>
        </w:rPr>
      </w:pPr>
    </w:p>
    <w:p w14:paraId="2A2B4CE0">
      <w:pPr>
        <w:autoSpaceDE w:val="0"/>
        <w:autoSpaceDN w:val="0"/>
        <w:adjustRightInd w:val="0"/>
        <w:spacing w:line="360" w:lineRule="exact"/>
        <w:jc w:val="left"/>
        <w:rPr>
          <w:rFonts w:ascii="宋体" w:hAnsi="宋体" w:cs="宋体"/>
          <w:color w:val="auto"/>
          <w:sz w:val="21"/>
          <w:szCs w:val="21"/>
          <w:highlight w:val="none"/>
        </w:rPr>
      </w:pPr>
    </w:p>
    <w:p w14:paraId="7DD66844">
      <w:pPr>
        <w:autoSpaceDE w:val="0"/>
        <w:autoSpaceDN w:val="0"/>
        <w:adjustRightInd w:val="0"/>
        <w:spacing w:line="360" w:lineRule="exact"/>
        <w:jc w:val="left"/>
        <w:rPr>
          <w:rFonts w:ascii="宋体" w:hAnsi="宋体" w:cs="宋体"/>
          <w:color w:val="auto"/>
          <w:sz w:val="21"/>
          <w:szCs w:val="21"/>
          <w:highlight w:val="none"/>
        </w:rPr>
      </w:pPr>
    </w:p>
    <w:p w14:paraId="77820C6C">
      <w:pPr>
        <w:autoSpaceDE w:val="0"/>
        <w:autoSpaceDN w:val="0"/>
        <w:adjustRightInd w:val="0"/>
        <w:spacing w:line="360" w:lineRule="exact"/>
        <w:jc w:val="left"/>
        <w:rPr>
          <w:rFonts w:ascii="宋体" w:hAnsi="宋体" w:cs="宋体"/>
          <w:color w:val="auto"/>
          <w:sz w:val="21"/>
          <w:szCs w:val="21"/>
          <w:highlight w:val="none"/>
        </w:rPr>
      </w:pPr>
    </w:p>
    <w:p w14:paraId="7EA09EFC">
      <w:pPr>
        <w:autoSpaceDE w:val="0"/>
        <w:autoSpaceDN w:val="0"/>
        <w:adjustRightInd w:val="0"/>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企业名称（盖章）：</w:t>
      </w:r>
    </w:p>
    <w:p w14:paraId="1744A92D">
      <w:pPr>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32072577">
      <w:pPr>
        <w:autoSpaceDE w:val="0"/>
        <w:autoSpaceDN w:val="0"/>
        <w:adjustRightInd w:val="0"/>
        <w:spacing w:line="360" w:lineRule="exact"/>
        <w:jc w:val="left"/>
        <w:rPr>
          <w:rFonts w:ascii="宋体" w:hAnsi="宋体" w:cs="宋体"/>
          <w:color w:val="auto"/>
          <w:sz w:val="21"/>
          <w:szCs w:val="21"/>
          <w:highlight w:val="none"/>
        </w:rPr>
      </w:pPr>
    </w:p>
    <w:p w14:paraId="776F779B">
      <w:pPr>
        <w:autoSpaceDE w:val="0"/>
        <w:autoSpaceDN w:val="0"/>
        <w:adjustRightInd w:val="0"/>
        <w:spacing w:line="360" w:lineRule="exact"/>
        <w:jc w:val="left"/>
        <w:rPr>
          <w:rFonts w:ascii="宋体" w:hAnsi="宋体" w:cs="宋体"/>
          <w:color w:val="auto"/>
          <w:sz w:val="21"/>
          <w:szCs w:val="21"/>
          <w:highlight w:val="none"/>
        </w:rPr>
      </w:pPr>
    </w:p>
    <w:p w14:paraId="7B036E78">
      <w:pPr>
        <w:autoSpaceDE w:val="0"/>
        <w:autoSpaceDN w:val="0"/>
        <w:adjustRightInd w:val="0"/>
        <w:spacing w:line="360" w:lineRule="exact"/>
        <w:jc w:val="left"/>
        <w:rPr>
          <w:rFonts w:ascii="宋体" w:hAnsi="宋体" w:cs="宋体"/>
          <w:color w:val="auto"/>
          <w:sz w:val="21"/>
          <w:szCs w:val="21"/>
          <w:highlight w:val="none"/>
        </w:rPr>
      </w:pPr>
    </w:p>
    <w:p w14:paraId="390DBBA6">
      <w:pPr>
        <w:autoSpaceDE w:val="0"/>
        <w:autoSpaceDN w:val="0"/>
        <w:adjustRightInd w:val="0"/>
        <w:spacing w:line="360" w:lineRule="exact"/>
        <w:jc w:val="left"/>
        <w:rPr>
          <w:rFonts w:ascii="宋体" w:hAnsi="宋体" w:cs="宋体"/>
          <w:color w:val="auto"/>
          <w:sz w:val="21"/>
          <w:szCs w:val="21"/>
          <w:highlight w:val="none"/>
        </w:rPr>
      </w:pPr>
    </w:p>
    <w:p w14:paraId="53F17EDD">
      <w:pPr>
        <w:autoSpaceDE w:val="0"/>
        <w:autoSpaceDN w:val="0"/>
        <w:adjustRightInd w:val="0"/>
        <w:spacing w:line="360" w:lineRule="exact"/>
        <w:jc w:val="left"/>
        <w:rPr>
          <w:rFonts w:ascii="宋体" w:hAnsi="宋体" w:cs="宋体"/>
          <w:color w:val="auto"/>
          <w:sz w:val="21"/>
          <w:szCs w:val="21"/>
          <w:highlight w:val="none"/>
        </w:rPr>
      </w:pPr>
    </w:p>
    <w:p w14:paraId="468BA2A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注：从业人员、营业收入、资产总额填报上一年度数据，无上一年度数据的新成立企业可不填报。</w:t>
      </w:r>
    </w:p>
    <w:p w14:paraId="3FB67B63">
      <w:pPr>
        <w:spacing w:line="500" w:lineRule="exact"/>
        <w:ind w:firstLine="480" w:firstLineChars="200"/>
        <w:rPr>
          <w:rFonts w:ascii="宋体" w:hAnsi="宋体" w:cs="宋体"/>
          <w:color w:val="auto"/>
          <w:sz w:val="24"/>
          <w:highlight w:val="none"/>
        </w:rPr>
      </w:pPr>
    </w:p>
    <w:p w14:paraId="7D3BAEE4">
      <w:pPr>
        <w:spacing w:line="360" w:lineRule="auto"/>
        <w:rPr>
          <w:rFonts w:hAnsi="宋体" w:cs="宋体"/>
          <w:color w:val="auto"/>
          <w:sz w:val="24"/>
          <w:highlight w:val="none"/>
        </w:rPr>
      </w:pPr>
    </w:p>
    <w:p w14:paraId="33EFE99F">
      <w:pPr>
        <w:spacing w:line="500" w:lineRule="exact"/>
        <w:ind w:firstLine="480" w:firstLineChars="200"/>
        <w:rPr>
          <w:rFonts w:ascii="宋体" w:hAnsi="宋体" w:cs="宋体"/>
          <w:color w:val="auto"/>
          <w:sz w:val="24"/>
          <w:highlight w:val="none"/>
        </w:rPr>
      </w:pPr>
    </w:p>
    <w:p w14:paraId="05389FED">
      <w:pPr>
        <w:spacing w:line="360" w:lineRule="auto"/>
        <w:rPr>
          <w:rFonts w:hAnsi="宋体" w:cs="宋体"/>
          <w:color w:val="auto"/>
          <w:sz w:val="24"/>
          <w:highlight w:val="none"/>
        </w:rPr>
      </w:pPr>
    </w:p>
    <w:p w14:paraId="384AF141">
      <w:pPr>
        <w:spacing w:line="360" w:lineRule="auto"/>
        <w:rPr>
          <w:rFonts w:hAnsi="宋体" w:cs="宋体"/>
          <w:color w:val="auto"/>
          <w:sz w:val="24"/>
          <w:highlight w:val="none"/>
        </w:rPr>
      </w:pPr>
    </w:p>
    <w:p w14:paraId="647C1EB4">
      <w:pPr>
        <w:spacing w:line="360" w:lineRule="auto"/>
        <w:rPr>
          <w:rFonts w:hAnsi="宋体" w:cs="宋体"/>
          <w:color w:val="auto"/>
          <w:sz w:val="24"/>
          <w:highlight w:val="none"/>
        </w:rPr>
      </w:pPr>
    </w:p>
    <w:p w14:paraId="6CEC19F9">
      <w:pPr>
        <w:spacing w:line="360" w:lineRule="auto"/>
        <w:rPr>
          <w:rFonts w:hAnsi="宋体" w:cs="宋体"/>
          <w:color w:val="auto"/>
          <w:sz w:val="24"/>
          <w:highlight w:val="none"/>
        </w:rPr>
      </w:pPr>
    </w:p>
    <w:p w14:paraId="3870B9A9">
      <w:pPr>
        <w:spacing w:line="360" w:lineRule="auto"/>
        <w:rPr>
          <w:rFonts w:hAnsi="宋体" w:cs="宋体"/>
          <w:color w:val="auto"/>
          <w:szCs w:val="21"/>
          <w:highlight w:val="none"/>
        </w:rPr>
      </w:pPr>
    </w:p>
    <w:p w14:paraId="7FE453A8">
      <w:pPr>
        <w:spacing w:line="360" w:lineRule="auto"/>
        <w:rPr>
          <w:rFonts w:hAnsi="宋体" w:cs="宋体"/>
          <w:color w:val="auto"/>
          <w:szCs w:val="21"/>
          <w:highlight w:val="none"/>
        </w:rPr>
      </w:pPr>
    </w:p>
    <w:p w14:paraId="3689A426">
      <w:pPr>
        <w:jc w:val="center"/>
        <w:outlineLvl w:val="2"/>
        <w:rPr>
          <w:rFonts w:hint="eastAsia" w:ascii="宋体" w:hAnsi="宋体" w:eastAsia="宋体" w:cs="宋体"/>
          <w:b/>
          <w:bCs/>
          <w:color w:val="auto"/>
          <w:kern w:val="0"/>
          <w:sz w:val="28"/>
          <w:szCs w:val="28"/>
          <w:highlight w:val="none"/>
          <w:lang w:val="zh-CN" w:eastAsia="zh-CN"/>
        </w:rPr>
      </w:pPr>
      <w:bookmarkStart w:id="201" w:name="_Toc20171"/>
      <w:bookmarkStart w:id="202" w:name="_Toc20189"/>
      <w:bookmarkStart w:id="203" w:name="_Toc18081"/>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zh-CN" w:eastAsia="zh-CN"/>
        </w:rPr>
        <w:t>监狱企业提供（如有）</w:t>
      </w:r>
      <w:bookmarkEnd w:id="201"/>
      <w:bookmarkEnd w:id="202"/>
      <w:bookmarkEnd w:id="203"/>
    </w:p>
    <w:p w14:paraId="49388AE5">
      <w:pPr>
        <w:spacing w:line="360" w:lineRule="auto"/>
        <w:ind w:right="480" w:firstLine="420" w:firstLineChars="200"/>
        <w:jc w:val="left"/>
        <w:rPr>
          <w:rFonts w:hint="eastAsia" w:hAnsi="宋体" w:cs="宋体"/>
          <w:color w:val="auto"/>
          <w:sz w:val="21"/>
          <w:szCs w:val="21"/>
          <w:highlight w:val="none"/>
        </w:rPr>
      </w:pPr>
    </w:p>
    <w:p w14:paraId="3A350594">
      <w:pPr>
        <w:spacing w:line="360" w:lineRule="auto"/>
        <w:ind w:right="480" w:firstLine="420" w:firstLineChars="200"/>
        <w:jc w:val="left"/>
        <w:rPr>
          <w:rFonts w:ascii="宋体" w:hAnsi="宋体"/>
          <w:color w:val="auto"/>
          <w:sz w:val="24"/>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43100905">
      <w:pPr>
        <w:widowControl/>
        <w:autoSpaceDE w:val="0"/>
        <w:autoSpaceDN w:val="0"/>
        <w:adjustRightInd w:val="0"/>
        <w:spacing w:line="400" w:lineRule="exact"/>
        <w:jc w:val="center"/>
        <w:outlineLvl w:val="2"/>
        <w:rPr>
          <w:rFonts w:ascii="宋体" w:hAnsi="宋体" w:cs="宋体"/>
          <w:b/>
          <w:color w:val="auto"/>
          <w:kern w:val="0"/>
          <w:sz w:val="32"/>
          <w:szCs w:val="18"/>
          <w:highlight w:val="none"/>
          <w:lang w:val="zh-CN"/>
        </w:rPr>
      </w:pPr>
      <w:r>
        <w:rPr>
          <w:rFonts w:ascii="宋体" w:hAnsi="宋体" w:cs="宋体"/>
          <w:b/>
          <w:color w:val="auto"/>
          <w:kern w:val="0"/>
          <w:sz w:val="32"/>
          <w:szCs w:val="18"/>
          <w:highlight w:val="none"/>
          <w:lang w:val="zh-CN"/>
        </w:rPr>
        <w:br w:type="page"/>
      </w:r>
      <w:bookmarkStart w:id="204" w:name="_Toc14182"/>
      <w:r>
        <w:rPr>
          <w:rFonts w:hint="eastAsia" w:ascii="宋体" w:hAnsi="宋体" w:cs="宋体"/>
          <w:b/>
          <w:color w:val="auto"/>
          <w:kern w:val="0"/>
          <w:sz w:val="32"/>
          <w:szCs w:val="18"/>
          <w:highlight w:val="none"/>
          <w:lang w:val="en-US" w:eastAsia="zh-CN"/>
        </w:rPr>
        <w:t>九</w:t>
      </w:r>
      <w:r>
        <w:rPr>
          <w:rFonts w:hint="eastAsia" w:ascii="宋体" w:hAnsi="宋体" w:cs="宋体"/>
          <w:b/>
          <w:color w:val="auto"/>
          <w:kern w:val="0"/>
          <w:sz w:val="32"/>
          <w:szCs w:val="18"/>
          <w:highlight w:val="none"/>
          <w:lang w:val="zh-CN"/>
        </w:rPr>
        <w:t>、其他材料</w:t>
      </w:r>
      <w:bookmarkEnd w:id="179"/>
      <w:bookmarkEnd w:id="180"/>
      <w:bookmarkEnd w:id="204"/>
    </w:p>
    <w:p w14:paraId="49CE7C1D">
      <w:pPr>
        <w:pStyle w:val="38"/>
        <w:rPr>
          <w:color w:val="auto"/>
          <w:kern w:val="0"/>
          <w:highlight w:val="none"/>
        </w:rPr>
      </w:pPr>
    </w:p>
    <w:p w14:paraId="506C4A6E">
      <w:pPr>
        <w:pStyle w:val="38"/>
        <w:rPr>
          <w:color w:val="auto"/>
          <w:kern w:val="0"/>
          <w:highlight w:val="none"/>
        </w:rPr>
      </w:pPr>
    </w:p>
    <w:p w14:paraId="1B95B749">
      <w:pPr>
        <w:pStyle w:val="38"/>
        <w:rPr>
          <w:rFonts w:hint="default" w:eastAsia="宋体"/>
          <w:color w:val="auto"/>
          <w:kern w:val="0"/>
          <w:highlight w:val="none"/>
          <w:lang w:val="en-US" w:eastAsia="zh-CN"/>
        </w:rPr>
      </w:pPr>
    </w:p>
    <w:p w14:paraId="3B7A60BB">
      <w:pPr>
        <w:spacing w:line="400" w:lineRule="exact"/>
        <w:ind w:left="0" w:leftChars="0" w:firstLine="420" w:firstLineChars="200"/>
        <w:jc w:val="left"/>
        <w:rPr>
          <w:color w:val="auto"/>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磋商文件中要求的其他证明资料或供应商认为针对本项目有必要提供的资料</w:t>
      </w:r>
      <w:r>
        <w:rPr>
          <w:rFonts w:hint="eastAsia" w:ascii="宋体" w:hAnsi="宋体" w:eastAsia="宋体" w:cs="宋体"/>
          <w:color w:val="auto"/>
          <w:szCs w:val="21"/>
          <w:highlight w:val="none"/>
          <w:lang w:val="en-US" w:eastAsia="zh-CN"/>
        </w:rPr>
        <w:t>。</w:t>
      </w:r>
      <w:bookmarkEnd w:id="167"/>
      <w:bookmarkEnd w:id="168"/>
      <w:bookmarkEnd w:id="169"/>
      <w:bookmarkEnd w:id="170"/>
      <w:bookmarkEnd w:id="171"/>
      <w:bookmarkEnd w:id="172"/>
    </w:p>
    <w:bookmarkEnd w:id="205"/>
    <w:sectPr>
      <w:headerReference r:id="rId22" w:type="default"/>
      <w:footerReference r:id="rId2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4B94">
    <w:pPr>
      <w:pStyle w:val="33"/>
      <w:framePr w:wrap="around" w:vAnchor="text" w:hAnchor="margin" w:xAlign="center" w:y="1"/>
      <w:rPr>
        <w:rStyle w:val="55"/>
      </w:rPr>
    </w:pPr>
  </w:p>
  <w:p w14:paraId="37A98963">
    <w:pPr>
      <w:pStyle w:val="3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877C">
    <w:pPr>
      <w:pStyle w:val="3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893AAA">
                          <w:pPr>
                            <w:pStyle w:val="33"/>
                            <w:jc w:val="center"/>
                          </w:pPr>
                          <w:r>
                            <w:rPr>
                              <w:rFonts w:hint="eastAsia"/>
                            </w:rPr>
                            <w:fldChar w:fldCharType="begin"/>
                          </w:r>
                          <w:r>
                            <w:instrText xml:space="preserve"> PAGE   \* MERGEFORMAT </w:instrText>
                          </w:r>
                          <w:r>
                            <w:rPr>
                              <w:rFonts w:hint="eastAsia"/>
                            </w:rPr>
                            <w:fldChar w:fldCharType="separate"/>
                          </w:r>
                          <w:r>
                            <w:rPr>
                              <w:rFonts w:hint="eastAsia"/>
                              <w:lang w:val="zh-CN"/>
                            </w:rPr>
                            <w:t>76</w:t>
                          </w:r>
                          <w:r>
                            <w:rPr>
                              <w:rFonts w:hint="eastAsia"/>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pt/c0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zKK&#10;kUB9wIrqHgJVxuHOD1Q8x5GCiffQgk1fYsQoT/Ker/KqITKZLq1X63VJKUm52SH84vF6AIxvlbcs&#10;GTUHer8sqzi9xziWziWpm/P32pj8hsb9FSDMMaLyEky3E5Nx4mTFYT9M9Pa+ORO7nhah5o72njPz&#10;zpHOaWdmA2ZjPxvHAPrQ0aDLPCWG22OkkfKkqcMISwyTQy+YuU7bllbkTz9XPf5h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5pt/c0BAACpAwAADgAAAAAAAAABACAAAAAeAQAAZHJzL2Uy&#10;b0RvYy54bWxQSwUGAAAAAAYABgBZAQAAXQUAAAAA&#10;">
              <v:fill on="f" focussize="0,0"/>
              <v:stroke on="f"/>
              <v:imagedata o:title=""/>
              <o:lock v:ext="edit" aspectratio="f"/>
              <v:textbox inset="0mm,0mm,0mm,0mm" style="mso-fit-shape-to-text:t;">
                <w:txbxContent>
                  <w:p w14:paraId="55893AAA">
                    <w:pPr>
                      <w:pStyle w:val="33"/>
                      <w:jc w:val="center"/>
                    </w:pPr>
                    <w:r>
                      <w:rPr>
                        <w:rFonts w:hint="eastAsia"/>
                      </w:rPr>
                      <w:fldChar w:fldCharType="begin"/>
                    </w:r>
                    <w:r>
                      <w:instrText xml:space="preserve"> PAGE   \* MERGEFORMAT </w:instrText>
                    </w:r>
                    <w:r>
                      <w:rPr>
                        <w:rFonts w:hint="eastAsia"/>
                      </w:rPr>
                      <w:fldChar w:fldCharType="separate"/>
                    </w:r>
                    <w:r>
                      <w:rPr>
                        <w:rFonts w:hint="eastAsia"/>
                        <w:lang w:val="zh-CN"/>
                      </w:rPr>
                      <w:t>76</w:t>
                    </w:r>
                    <w:r>
                      <w:rPr>
                        <w:rFonts w:hint="eastAsia"/>
                        <w:lang w:val="zh-CN"/>
                      </w:rPr>
                      <w:fldChar w:fldCharType="end"/>
                    </w:r>
                  </w:p>
                </w:txbxContent>
              </v:textbox>
            </v:shape>
          </w:pict>
        </mc:Fallback>
      </mc:AlternateContent>
    </w:r>
  </w:p>
  <w:p w14:paraId="5AFEA61C">
    <w:pPr>
      <w:spacing w:line="200"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75594">
    <w:pPr>
      <w:pStyle w:val="3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30505" cy="19304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30505" cy="193040"/>
                      </a:xfrm>
                      <a:prstGeom prst="rect">
                        <a:avLst/>
                      </a:prstGeom>
                      <a:noFill/>
                      <a:ln>
                        <a:noFill/>
                      </a:ln>
                      <a:effectLst/>
                    </wps:spPr>
                    <wps:txbx>
                      <w:txbxContent>
                        <w:p w14:paraId="124F30C2">
                          <w:pPr>
                            <w:pStyle w:val="33"/>
                            <w:jc w:val="center"/>
                          </w:pPr>
                          <w:r>
                            <w:rPr>
                              <w:rFonts w:hint="eastAsia"/>
                            </w:rPr>
                            <w:fldChar w:fldCharType="begin"/>
                          </w:r>
                          <w:r>
                            <w:instrText xml:space="preserve"> PAGE   \* MERGEFORMAT </w:instrText>
                          </w:r>
                          <w:r>
                            <w:rPr>
                              <w:rFonts w:hint="eastAsia"/>
                            </w:rPr>
                            <w:fldChar w:fldCharType="separate"/>
                          </w:r>
                          <w:r>
                            <w:rPr>
                              <w:rFonts w:hint="eastAsia"/>
                              <w:lang w:val="zh-CN"/>
                            </w:rPr>
                            <w:t>110</w:t>
                          </w:r>
                          <w:r>
                            <w:rPr>
                              <w:rFonts w:hint="eastAsia"/>
                              <w:lang w:val="zh-CN"/>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5.2pt;width:18.15pt;mso-position-horizontal:center;mso-position-horizontal-relative:margin;z-index:251667456;mso-width-relative:page;mso-height-relative:page;" filled="f" stroked="f" coordsize="21600,21600" o:gfxdata="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oRLfTAAAAAwEAAA8AAAAAAAAAAQAgAAAAIgAAAGRycy9kb3ducmV2LnhtbFBLAQIU&#10;ABQAAAAIAIdO4kB7nyDjvwEAAIEDAAAOAAAAAAAAAAEAIAAAACIBAABkcnMvZTJvRG9jLnhtbFBL&#10;BQYAAAAABgAGAFkBAABTBQAAAAA=&#10;">
              <v:fill on="f" focussize="0,0"/>
              <v:stroke on="f"/>
              <v:imagedata o:title=""/>
              <o:lock v:ext="edit" aspectratio="f"/>
              <v:textbox inset="0mm,0mm,0mm,0mm">
                <w:txbxContent>
                  <w:p w14:paraId="124F30C2">
                    <w:pPr>
                      <w:pStyle w:val="33"/>
                      <w:jc w:val="center"/>
                    </w:pPr>
                    <w:r>
                      <w:rPr>
                        <w:rFonts w:hint="eastAsia"/>
                      </w:rPr>
                      <w:fldChar w:fldCharType="begin"/>
                    </w:r>
                    <w:r>
                      <w:instrText xml:space="preserve"> PAGE   \* MERGEFORMAT </w:instrText>
                    </w:r>
                    <w:r>
                      <w:rPr>
                        <w:rFonts w:hint="eastAsia"/>
                      </w:rPr>
                      <w:fldChar w:fldCharType="separate"/>
                    </w:r>
                    <w:r>
                      <w:rPr>
                        <w:rFonts w:hint="eastAsia"/>
                        <w:lang w:val="zh-CN"/>
                      </w:rPr>
                      <w:t>110</w:t>
                    </w:r>
                    <w:r>
                      <w:rPr>
                        <w:rFonts w:hint="eastAsia"/>
                        <w:lang w:val="zh-CN"/>
                      </w:rPr>
                      <w:fldChar w:fldCharType="end"/>
                    </w:r>
                  </w:p>
                </w:txbxContent>
              </v:textbox>
            </v:shape>
          </w:pict>
        </mc:Fallback>
      </mc:AlternateContent>
    </w:r>
  </w:p>
  <w:p w14:paraId="6CF5166A">
    <w:pPr>
      <w:spacing w:line="200"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5381">
    <w:pPr>
      <w:pStyle w:val="33"/>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1E0">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DCE9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DCE9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7C4">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1179195</wp:posOffset>
              </wp:positionH>
              <wp:positionV relativeFrom="page">
                <wp:posOffset>9976485</wp:posOffset>
              </wp:positionV>
              <wp:extent cx="480695" cy="1758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0695" cy="175895"/>
                      </a:xfrm>
                      <a:prstGeom prst="rect">
                        <a:avLst/>
                      </a:prstGeom>
                      <a:noFill/>
                      <a:ln>
                        <a:noFill/>
                      </a:ln>
                    </wps:spPr>
                    <wps:txbx>
                      <w:txbxContent>
                        <w:p w14:paraId="5323766B">
                          <w:pPr>
                            <w:pStyle w:val="20"/>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wps:txbx>
                    <wps:bodyPr lIns="0" tIns="0" rIns="0" bIns="0" upright="1"/>
                  </wps:wsp>
                </a:graphicData>
              </a:graphic>
            </wp:anchor>
          </w:drawing>
        </mc:Choice>
        <mc:Fallback>
          <w:pict>
            <v:shape id="_x0000_s1026" o:spid="_x0000_s1026" o:spt="202" type="#_x0000_t202" style="position:absolute;left:0pt;margin-left:92.85pt;margin-top:785.55pt;height:13.85pt;width:37.85pt;mso-position-horizontal-relative:page;mso-position-vertical-relative:page;z-index:-251654144;mso-width-relative:page;mso-height-relative:page;" filled="f" stroked="f" coordsize="21600,21600" o:gfxdata="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WAyX2wAAAA0BAAAPAAAAAAAAAAEAIAAAACIAAABkcnMvZG93bnJldi54bWxQ&#10;SwECFAAUAAAACACHTuJAvFa3obsBAABzAwAADgAAAAAAAAABACAAAAAqAQAAZHJzL2Uyb0RvYy54&#10;bWxQSwUGAAAAAAYABgBZAQAAVwUAAAAA&#10;">
              <v:fill on="f" focussize="0,0"/>
              <v:stroke on="f"/>
              <v:imagedata o:title=""/>
              <o:lock v:ext="edit" aspectratio="f"/>
              <v:textbox inset="0mm,0mm,0mm,0mm">
                <w:txbxContent>
                  <w:p w14:paraId="5323766B">
                    <w:pPr>
                      <w:pStyle w:val="20"/>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961">
    <w:pPr>
      <w:pStyle w:val="33"/>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9550" cy="18161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09550" cy="181610"/>
                      </a:xfrm>
                      <a:prstGeom prst="rect">
                        <a:avLst/>
                      </a:prstGeom>
                      <a:noFill/>
                      <a:ln>
                        <a:noFill/>
                      </a:ln>
                      <a:effectLst/>
                    </wps:spPr>
                    <wps:txbx>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square" lIns="0" tIns="0" rIns="0" bIns="0">
                      <a:noAutofit/>
                    </wps:bodyPr>
                  </wps:wsp>
                </a:graphicData>
              </a:graphic>
            </wp:anchor>
          </w:drawing>
        </mc:Choice>
        <mc:Fallback>
          <w:pict>
            <v:shape id="文本框 2" o:spid="_x0000_s1026" o:spt="202" type="#_x0000_t202" style="position:absolute;left:0pt;margin-top:0pt;height:14.3pt;width:16.5pt;mso-position-horizontal:center;mso-position-horizontal-relative:margin;z-index:251660288;mso-width-relative:page;mso-height-relative:page;" filled="f" stroked="f" coordsize="21600,21600" o:gfxdata="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WfB3XTAAAAAwEAAA8AAAAAAAAAAQAgAAAAIgAAAGRycy9k&#10;b3ducmV2LnhtbFBLAQIUABQAAAAIAIdO4kAwfC9LzgEAAJsDAAAOAAAAAAAAAAEAIAAAACIBAABk&#10;cnMvZTJvRG9jLnhtbFBLBQYAAAAABgAGAFkBAABiBQAAAAA=&#10;">
              <v:fill on="f" focussize="0,0"/>
              <v:stroke on="f"/>
              <v:imagedata o:title=""/>
              <o:lock v:ext="edit" aspectratio="f"/>
              <v:textbox inset="0mm,0mm,0mm,0mm">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932E">
    <w:pPr>
      <w:pStyle w:val="33"/>
      <w:framePr w:wrap="around" w:vAnchor="text" w:hAnchor="margin" w:xAlign="center" w:y="1"/>
      <w:rPr>
        <w:rStyle w:val="55"/>
      </w:rPr>
    </w:pPr>
    <w:r>
      <w:fldChar w:fldCharType="begin"/>
    </w:r>
    <w:r>
      <w:rPr>
        <w:rStyle w:val="55"/>
      </w:rPr>
      <w:instrText xml:space="preserve">PAGE  </w:instrText>
    </w:r>
    <w:r>
      <w:fldChar w:fldCharType="end"/>
    </w:r>
  </w:p>
  <w:p w14:paraId="3D977DE1">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0B57">
    <w:pPr>
      <w:pStyle w:val="33"/>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A5C">
    <w:pPr>
      <w:pStyle w:val="33"/>
      <w:jc w:val="center"/>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350" cy="149860"/>
              <wp:effectExtent l="0" t="0" r="0" b="0"/>
              <wp:wrapNone/>
              <wp:docPr id="12"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56E72FDB">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5408;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wZDeqtABAACfAwAADgAAAAAAAAABACAAAAAhAQAA&#10;ZHJzL2Uyb0RvYy54bWxQSwUGAAAAAAYABgBZAQAAYwUAAAAA&#10;">
              <v:fill on="f" focussize="0,0"/>
              <v:stroke on="f"/>
              <v:imagedata o:title=""/>
              <o:lock v:ext="edit" aspectratio="f"/>
              <v:textbox inset="0mm,0mm,0mm,0mm">
                <w:txbxContent>
                  <w:p w14:paraId="56E72FDB">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5DC">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FzVYccBAACeAwAADgAAAAAAAAABACAAAAAeAQAAZHJzL2Uyb0RvYy54&#10;bWxQSwUGAAAAAAYABgBZAQAAVwUAAAAA&#10;">
              <v:fill on="f" focussize="0,0"/>
              <v:stroke on="f"/>
              <v:imagedata o:title=""/>
              <o:lock v:ext="edit" aspectratio="f"/>
              <v:textbox inset="0mm,0mm,0mm,0mm" style="mso-fit-shape-to-text:t;">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000">
    <w:pPr>
      <w:pStyle w:val="33"/>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A26CEF">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none" lIns="0" tIns="0" rIns="0" bIns="0">
                      <a:spAutoFit/>
                    </wps:bodyPr>
                  </wps:wsp>
                </a:graphicData>
              </a:graphic>
            </wp:anchor>
          </w:drawing>
        </mc:Choice>
        <mc:Fallback>
          <w:pict>
            <v:shape id="文本框 820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yXKhHIAQAAngMAAA4AAAAAAAAAAQAgAAAAHgEAAGRycy9lMm9Eb2Mu&#10;eG1sUEsFBgAAAAAGAAYAWQEAAFgFAAAAAA==&#10;">
              <v:fill on="f" focussize="0,0"/>
              <v:stroke on="f"/>
              <v:imagedata o:title=""/>
              <o:lock v:ext="edit" aspectratio="f"/>
              <v:textbox inset="0mm,0mm,0mm,0mm" style="mso-fit-shape-to-text:t;">
                <w:txbxContent>
                  <w:p w14:paraId="27A26CEF">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123">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lLt8cBAACe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irq&#10;KSk0eKyp8N5TaRzfwkh7s8SRgon42AWbvkSJUZ70PV/1VWNkMl2q1lVVUkpSbnEIv3i47gPGdwos&#10;S0bDAw0w6ypOHzBOpUtJes3BnTYmD9G4vwKEOUVU3oL5dmIydZysOO7Hmd4e2jOxG2gTGu5o8Tkz&#10;7x0JnZZmMcJi7GcjvYj+zTFSG7m7hDpBEavk0Ngyv3nF0l489nPVw2+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HlLt8cBAACeAwAADgAAAAAAAAABACAAAAAeAQAAZHJzL2Uyb0RvYy54&#10;bWxQSwUGAAAAAAYABgBZAQAAVwUAAAAA&#10;">
              <v:fill on="f" focussize="0,0"/>
              <v:stroke on="f"/>
              <v:imagedata o:title=""/>
              <o:lock v:ext="edit" aspectratio="f"/>
              <v:textbox inset="0mm,0mm,0mm,0mm" style="mso-fit-shape-to-text:t;">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B5E">
    <w:pPr>
      <w:pStyle w:val="33"/>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84C2C2">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wps:txbx>
                    <wps:bodyPr wrap="none" lIns="0" tIns="0" rIns="0" bIns="0">
                      <a:spAutoFit/>
                    </wps:bodyPr>
                  </wps:wsp>
                </a:graphicData>
              </a:graphic>
            </wp:anchor>
          </w:drawing>
        </mc:Choice>
        <mc:Fallback>
          <w:pict>
            <v:shape id="文本框 820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rwWYbIAQAAngMAAA4AAAAAAAAAAQAgAAAAHgEAAGRycy9lMm9Eb2Mu&#10;eG1sUEsFBgAAAAAGAAYAWQEAAFgFAAAAAA==&#10;">
              <v:fill on="f" focussize="0,0"/>
              <v:stroke on="f"/>
              <v:imagedata o:title=""/>
              <o:lock v:ext="edit" aspectratio="f"/>
              <v:textbox inset="0mm,0mm,0mm,0mm" style="mso-fit-shape-to-text:t;">
                <w:txbxContent>
                  <w:p w14:paraId="6D84C2C2">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C196">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wps:txbx>
                    <wps:bodyPr wrap="none" lIns="0" tIns="0" rIns="0" bIns="0">
                      <a:spAutoFit/>
                    </wps:bodyPr>
                  </wps:wsp>
                </a:graphicData>
              </a:graphic>
            </wp:anchor>
          </w:drawing>
        </mc:Choice>
        <mc:Fallback>
          <w:pict>
            <v:shape id="文本框 82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1h1JMcBAACfAwAADgAAAAAAAAABACAAAAAeAQAAZHJzL2Uyb0RvYy54&#10;bWxQSwUGAAAAAAYABgBZAQAAVwUAAAAA&#10;">
              <v:fill on="f" focussize="0,0"/>
              <v:stroke on="f"/>
              <v:imagedata o:title=""/>
              <o:lock v:ext="edit" aspectratio="f"/>
              <v:textbox inset="0mm,0mm,0mm,0mm" style="mso-fit-shape-to-text:t;">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7F1D">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683">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374">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E9CF">
    <w:pPr>
      <w:pStyle w:val="34"/>
      <w:pBdr>
        <w:bottom w:val="none" w:color="auto" w:sz="0" w:space="1"/>
      </w:pBdr>
      <w:tabs>
        <w:tab w:val="left" w:pos="4957"/>
      </w:tabs>
      <w:jc w:val="left"/>
    </w:pP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BD32">
    <w:pPr>
      <w:pStyle w:val="34"/>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32B81"/>
    <w:multiLevelType w:val="singleLevel"/>
    <w:tmpl w:val="AE332B81"/>
    <w:lvl w:ilvl="0" w:tentative="0">
      <w:start w:val="4"/>
      <w:numFmt w:val="chineseCounting"/>
      <w:suff w:val="space"/>
      <w:lvlText w:val="第%1章"/>
      <w:lvlJc w:val="left"/>
      <w:rPr>
        <w:rFonts w:hint="eastAsia"/>
      </w:rPr>
    </w:lvl>
  </w:abstractNum>
  <w:abstractNum w:abstractNumId="1">
    <w:nsid w:val="BA85C757"/>
    <w:multiLevelType w:val="singleLevel"/>
    <w:tmpl w:val="BA85C757"/>
    <w:lvl w:ilvl="0" w:tentative="0">
      <w:start w:val="7"/>
      <w:numFmt w:val="chineseCounting"/>
      <w:suff w:val="nothing"/>
      <w:lvlText w:val="%1、"/>
      <w:lvlJc w:val="left"/>
      <w:rPr>
        <w:rFonts w:hint="eastAsia"/>
      </w:rPr>
    </w:lvl>
  </w:abstractNum>
  <w:abstractNum w:abstractNumId="2">
    <w:nsid w:val="BCA6E654"/>
    <w:multiLevelType w:val="singleLevel"/>
    <w:tmpl w:val="BCA6E654"/>
    <w:lvl w:ilvl="0" w:tentative="0">
      <w:start w:val="1"/>
      <w:numFmt w:val="chineseCounting"/>
      <w:suff w:val="nothing"/>
      <w:lvlText w:val="%1、"/>
      <w:lvlJc w:val="left"/>
      <w:rPr>
        <w:rFonts w:hint="eastAsia"/>
      </w:rPr>
    </w:lvl>
  </w:abstractNum>
  <w:abstractNum w:abstractNumId="3">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C07F238"/>
    <w:multiLevelType w:val="singleLevel"/>
    <w:tmpl w:val="5C07F238"/>
    <w:lvl w:ilvl="0" w:tentative="0">
      <w:start w:val="7"/>
      <w:numFmt w:val="decimal"/>
      <w:lvlText w:val="%1."/>
      <w:lvlJc w:val="left"/>
      <w:pPr>
        <w:tabs>
          <w:tab w:val="left" w:pos="312"/>
        </w:tabs>
      </w:pPr>
    </w:lvl>
  </w:abstractNum>
  <w:abstractNum w:abstractNumId="5">
    <w:nsid w:val="7396E56F"/>
    <w:multiLevelType w:val="singleLevel"/>
    <w:tmpl w:val="7396E56F"/>
    <w:lvl w:ilvl="0" w:tentative="0">
      <w:start w:val="1"/>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00464"/>
    <w:rsid w:val="018C417A"/>
    <w:rsid w:val="01933772"/>
    <w:rsid w:val="01A54ACB"/>
    <w:rsid w:val="01B63E09"/>
    <w:rsid w:val="01E32E2F"/>
    <w:rsid w:val="01E37862"/>
    <w:rsid w:val="01F00EA4"/>
    <w:rsid w:val="01FF452C"/>
    <w:rsid w:val="020E2058"/>
    <w:rsid w:val="021D1BF4"/>
    <w:rsid w:val="023B6BC5"/>
    <w:rsid w:val="025151C6"/>
    <w:rsid w:val="025D1259"/>
    <w:rsid w:val="028247F4"/>
    <w:rsid w:val="02A90930"/>
    <w:rsid w:val="02E16CA8"/>
    <w:rsid w:val="02E9044C"/>
    <w:rsid w:val="02EF7D3F"/>
    <w:rsid w:val="02F1698B"/>
    <w:rsid w:val="030B6598"/>
    <w:rsid w:val="0315730A"/>
    <w:rsid w:val="0321777F"/>
    <w:rsid w:val="03397E33"/>
    <w:rsid w:val="033D5B2E"/>
    <w:rsid w:val="0348728D"/>
    <w:rsid w:val="0349641E"/>
    <w:rsid w:val="03905D96"/>
    <w:rsid w:val="039760FA"/>
    <w:rsid w:val="03A13C35"/>
    <w:rsid w:val="03AC38D7"/>
    <w:rsid w:val="03BE7AAE"/>
    <w:rsid w:val="03C960D7"/>
    <w:rsid w:val="03D21B34"/>
    <w:rsid w:val="03E1221A"/>
    <w:rsid w:val="03E3681C"/>
    <w:rsid w:val="03EE0393"/>
    <w:rsid w:val="03F4681E"/>
    <w:rsid w:val="04047578"/>
    <w:rsid w:val="0410030A"/>
    <w:rsid w:val="041C403F"/>
    <w:rsid w:val="041F433E"/>
    <w:rsid w:val="04394805"/>
    <w:rsid w:val="043D54AA"/>
    <w:rsid w:val="0484240C"/>
    <w:rsid w:val="052E5139"/>
    <w:rsid w:val="053B3BFE"/>
    <w:rsid w:val="054144F3"/>
    <w:rsid w:val="05544774"/>
    <w:rsid w:val="05582F88"/>
    <w:rsid w:val="055C2EFB"/>
    <w:rsid w:val="055C757F"/>
    <w:rsid w:val="05A131E3"/>
    <w:rsid w:val="05A456C9"/>
    <w:rsid w:val="05B22F9D"/>
    <w:rsid w:val="05B2719F"/>
    <w:rsid w:val="05C22A91"/>
    <w:rsid w:val="05DF1261"/>
    <w:rsid w:val="05ED6354"/>
    <w:rsid w:val="06111150"/>
    <w:rsid w:val="06231E4A"/>
    <w:rsid w:val="06276F52"/>
    <w:rsid w:val="06561C43"/>
    <w:rsid w:val="066353EA"/>
    <w:rsid w:val="06635D10"/>
    <w:rsid w:val="067233B3"/>
    <w:rsid w:val="06A46845"/>
    <w:rsid w:val="06B84F58"/>
    <w:rsid w:val="06CB0AFE"/>
    <w:rsid w:val="06CE1DB6"/>
    <w:rsid w:val="070E664D"/>
    <w:rsid w:val="07234BD5"/>
    <w:rsid w:val="07605C0B"/>
    <w:rsid w:val="0781507A"/>
    <w:rsid w:val="079B438E"/>
    <w:rsid w:val="07B65B5E"/>
    <w:rsid w:val="07B70360"/>
    <w:rsid w:val="07C35693"/>
    <w:rsid w:val="07CC5B75"/>
    <w:rsid w:val="07CD1CC2"/>
    <w:rsid w:val="07E53A2B"/>
    <w:rsid w:val="07EA2C20"/>
    <w:rsid w:val="080101FB"/>
    <w:rsid w:val="084476CB"/>
    <w:rsid w:val="08522F8B"/>
    <w:rsid w:val="0870104F"/>
    <w:rsid w:val="08940DDD"/>
    <w:rsid w:val="089F5248"/>
    <w:rsid w:val="08A45DE0"/>
    <w:rsid w:val="08AD15F0"/>
    <w:rsid w:val="09061208"/>
    <w:rsid w:val="09235039"/>
    <w:rsid w:val="097B2056"/>
    <w:rsid w:val="099B2AB7"/>
    <w:rsid w:val="09AD65FB"/>
    <w:rsid w:val="09C30B20"/>
    <w:rsid w:val="09CC31D3"/>
    <w:rsid w:val="09D307E5"/>
    <w:rsid w:val="0A010A08"/>
    <w:rsid w:val="0A2555AD"/>
    <w:rsid w:val="0A261F09"/>
    <w:rsid w:val="0A6674BC"/>
    <w:rsid w:val="0A7809B7"/>
    <w:rsid w:val="0A924546"/>
    <w:rsid w:val="0AA96DC2"/>
    <w:rsid w:val="0AAD7DAA"/>
    <w:rsid w:val="0AC91212"/>
    <w:rsid w:val="0AC9723E"/>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BFC1F5D"/>
    <w:rsid w:val="0C0369A6"/>
    <w:rsid w:val="0C067BD9"/>
    <w:rsid w:val="0C193B8E"/>
    <w:rsid w:val="0C3372B9"/>
    <w:rsid w:val="0C497634"/>
    <w:rsid w:val="0C7E6A8E"/>
    <w:rsid w:val="0C861D43"/>
    <w:rsid w:val="0CA07725"/>
    <w:rsid w:val="0CB8153E"/>
    <w:rsid w:val="0CC60361"/>
    <w:rsid w:val="0CCD206C"/>
    <w:rsid w:val="0CDA0470"/>
    <w:rsid w:val="0CDE73FA"/>
    <w:rsid w:val="0CE15503"/>
    <w:rsid w:val="0D371355"/>
    <w:rsid w:val="0D607D6D"/>
    <w:rsid w:val="0D7734C4"/>
    <w:rsid w:val="0D8E4376"/>
    <w:rsid w:val="0D9C187E"/>
    <w:rsid w:val="0DAB65D0"/>
    <w:rsid w:val="0DBA7713"/>
    <w:rsid w:val="0DC12539"/>
    <w:rsid w:val="0DE92220"/>
    <w:rsid w:val="0DF02ABD"/>
    <w:rsid w:val="0DFE3766"/>
    <w:rsid w:val="0E3C3697"/>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C26E0"/>
    <w:rsid w:val="0F5C6C09"/>
    <w:rsid w:val="0F5E7174"/>
    <w:rsid w:val="0F9905C3"/>
    <w:rsid w:val="0FCE2E27"/>
    <w:rsid w:val="0FE403B8"/>
    <w:rsid w:val="10212C86"/>
    <w:rsid w:val="10352FA6"/>
    <w:rsid w:val="103D5FDB"/>
    <w:rsid w:val="105052DD"/>
    <w:rsid w:val="105B7366"/>
    <w:rsid w:val="10616682"/>
    <w:rsid w:val="108E746F"/>
    <w:rsid w:val="10A94753"/>
    <w:rsid w:val="10DE7312"/>
    <w:rsid w:val="10EF301C"/>
    <w:rsid w:val="11036784"/>
    <w:rsid w:val="111E70DE"/>
    <w:rsid w:val="11321838"/>
    <w:rsid w:val="11392C39"/>
    <w:rsid w:val="11467761"/>
    <w:rsid w:val="114A0F1E"/>
    <w:rsid w:val="11581779"/>
    <w:rsid w:val="115F642C"/>
    <w:rsid w:val="11851C0B"/>
    <w:rsid w:val="11B524F0"/>
    <w:rsid w:val="11E775EE"/>
    <w:rsid w:val="12081111"/>
    <w:rsid w:val="12096398"/>
    <w:rsid w:val="12232BE0"/>
    <w:rsid w:val="12390A9A"/>
    <w:rsid w:val="128A67E5"/>
    <w:rsid w:val="128F1B08"/>
    <w:rsid w:val="12B329C6"/>
    <w:rsid w:val="12E8497A"/>
    <w:rsid w:val="12EF558E"/>
    <w:rsid w:val="133B0C05"/>
    <w:rsid w:val="13566C69"/>
    <w:rsid w:val="13674B2D"/>
    <w:rsid w:val="13A224E0"/>
    <w:rsid w:val="13AF2F6F"/>
    <w:rsid w:val="13BA447B"/>
    <w:rsid w:val="13BF3578"/>
    <w:rsid w:val="13E7095B"/>
    <w:rsid w:val="13F86818"/>
    <w:rsid w:val="14197345"/>
    <w:rsid w:val="141E48F0"/>
    <w:rsid w:val="143040B0"/>
    <w:rsid w:val="14447B5C"/>
    <w:rsid w:val="14466C3E"/>
    <w:rsid w:val="144C1380"/>
    <w:rsid w:val="148A7C64"/>
    <w:rsid w:val="14976CD1"/>
    <w:rsid w:val="14AB7C3C"/>
    <w:rsid w:val="14C52A4A"/>
    <w:rsid w:val="14CF1748"/>
    <w:rsid w:val="14D32CD8"/>
    <w:rsid w:val="14E30B55"/>
    <w:rsid w:val="14E36EB2"/>
    <w:rsid w:val="14FD7FF8"/>
    <w:rsid w:val="14FE500D"/>
    <w:rsid w:val="15146701"/>
    <w:rsid w:val="1573100F"/>
    <w:rsid w:val="15843412"/>
    <w:rsid w:val="159A582F"/>
    <w:rsid w:val="159C194F"/>
    <w:rsid w:val="15B548FE"/>
    <w:rsid w:val="15B8143D"/>
    <w:rsid w:val="15B833DE"/>
    <w:rsid w:val="15DB5153"/>
    <w:rsid w:val="15FA76E3"/>
    <w:rsid w:val="16044A25"/>
    <w:rsid w:val="1638549E"/>
    <w:rsid w:val="16404BF0"/>
    <w:rsid w:val="165B6231"/>
    <w:rsid w:val="16871C03"/>
    <w:rsid w:val="168C7320"/>
    <w:rsid w:val="169A040B"/>
    <w:rsid w:val="16D12DFE"/>
    <w:rsid w:val="16D33183"/>
    <w:rsid w:val="16EA3BA2"/>
    <w:rsid w:val="16FE5D24"/>
    <w:rsid w:val="17154A45"/>
    <w:rsid w:val="173C33A9"/>
    <w:rsid w:val="174C7867"/>
    <w:rsid w:val="17961903"/>
    <w:rsid w:val="17B01191"/>
    <w:rsid w:val="17B818F4"/>
    <w:rsid w:val="17BA6C85"/>
    <w:rsid w:val="17C1561B"/>
    <w:rsid w:val="17CC66F3"/>
    <w:rsid w:val="17E26076"/>
    <w:rsid w:val="17E718F3"/>
    <w:rsid w:val="17FB6A59"/>
    <w:rsid w:val="18047D2E"/>
    <w:rsid w:val="18056CDB"/>
    <w:rsid w:val="182A6DD7"/>
    <w:rsid w:val="18323DCC"/>
    <w:rsid w:val="18437F22"/>
    <w:rsid w:val="184C6FDF"/>
    <w:rsid w:val="186404DF"/>
    <w:rsid w:val="18924923"/>
    <w:rsid w:val="1899418C"/>
    <w:rsid w:val="18C01AC0"/>
    <w:rsid w:val="18C52FDA"/>
    <w:rsid w:val="19261C27"/>
    <w:rsid w:val="19263CD4"/>
    <w:rsid w:val="195306F5"/>
    <w:rsid w:val="1966013C"/>
    <w:rsid w:val="19695781"/>
    <w:rsid w:val="196D6BE3"/>
    <w:rsid w:val="198528E1"/>
    <w:rsid w:val="19C66E55"/>
    <w:rsid w:val="19D43730"/>
    <w:rsid w:val="19DB2D10"/>
    <w:rsid w:val="1A0A5D6B"/>
    <w:rsid w:val="1A447383"/>
    <w:rsid w:val="1A500EA0"/>
    <w:rsid w:val="1A6B4094"/>
    <w:rsid w:val="1A7B19B1"/>
    <w:rsid w:val="1A7B43CA"/>
    <w:rsid w:val="1A7F08BC"/>
    <w:rsid w:val="1A882F72"/>
    <w:rsid w:val="1A933D3A"/>
    <w:rsid w:val="1A952DF2"/>
    <w:rsid w:val="1AB62161"/>
    <w:rsid w:val="1AB8095B"/>
    <w:rsid w:val="1AE91EAC"/>
    <w:rsid w:val="1B061299"/>
    <w:rsid w:val="1B2A72C5"/>
    <w:rsid w:val="1B8F0DE6"/>
    <w:rsid w:val="1C01638E"/>
    <w:rsid w:val="1C122956"/>
    <w:rsid w:val="1C6A32CE"/>
    <w:rsid w:val="1C7D5965"/>
    <w:rsid w:val="1C9806B2"/>
    <w:rsid w:val="1CB803AB"/>
    <w:rsid w:val="1CDC2D50"/>
    <w:rsid w:val="1CE85D7C"/>
    <w:rsid w:val="1CEA7431"/>
    <w:rsid w:val="1D222F23"/>
    <w:rsid w:val="1D262571"/>
    <w:rsid w:val="1D52733E"/>
    <w:rsid w:val="1D6B3633"/>
    <w:rsid w:val="1D7756A4"/>
    <w:rsid w:val="1D8733F2"/>
    <w:rsid w:val="1D9901E0"/>
    <w:rsid w:val="1DC312E1"/>
    <w:rsid w:val="1DCD14B2"/>
    <w:rsid w:val="1DD60823"/>
    <w:rsid w:val="1DE8172A"/>
    <w:rsid w:val="1E006A1B"/>
    <w:rsid w:val="1E2D1660"/>
    <w:rsid w:val="1E4C1E76"/>
    <w:rsid w:val="1E5B3331"/>
    <w:rsid w:val="1E5D1F46"/>
    <w:rsid w:val="1E634270"/>
    <w:rsid w:val="1EA23C7B"/>
    <w:rsid w:val="1ED3045A"/>
    <w:rsid w:val="1EF2422C"/>
    <w:rsid w:val="1EF52AB4"/>
    <w:rsid w:val="1F12085E"/>
    <w:rsid w:val="1F1756A3"/>
    <w:rsid w:val="1F1C58CD"/>
    <w:rsid w:val="1F4B7FF0"/>
    <w:rsid w:val="1F8E28D4"/>
    <w:rsid w:val="1FBA10E2"/>
    <w:rsid w:val="1FCE3F40"/>
    <w:rsid w:val="1FD20447"/>
    <w:rsid w:val="1FE959F3"/>
    <w:rsid w:val="2000527E"/>
    <w:rsid w:val="20013275"/>
    <w:rsid w:val="2007004E"/>
    <w:rsid w:val="20166230"/>
    <w:rsid w:val="20210275"/>
    <w:rsid w:val="20226D74"/>
    <w:rsid w:val="20306C5C"/>
    <w:rsid w:val="206326AF"/>
    <w:rsid w:val="206A094A"/>
    <w:rsid w:val="20AC1D12"/>
    <w:rsid w:val="20BF59CF"/>
    <w:rsid w:val="20DF6447"/>
    <w:rsid w:val="20F17F5F"/>
    <w:rsid w:val="212824EA"/>
    <w:rsid w:val="21337072"/>
    <w:rsid w:val="21657AD5"/>
    <w:rsid w:val="216D06F2"/>
    <w:rsid w:val="21857B8B"/>
    <w:rsid w:val="218C1494"/>
    <w:rsid w:val="21A165ED"/>
    <w:rsid w:val="21B6713B"/>
    <w:rsid w:val="21CC68F7"/>
    <w:rsid w:val="21E604A4"/>
    <w:rsid w:val="21F675FB"/>
    <w:rsid w:val="21F764EC"/>
    <w:rsid w:val="21FC1B1D"/>
    <w:rsid w:val="221E6996"/>
    <w:rsid w:val="222D7E81"/>
    <w:rsid w:val="22453183"/>
    <w:rsid w:val="224D679A"/>
    <w:rsid w:val="22523E66"/>
    <w:rsid w:val="225C42C2"/>
    <w:rsid w:val="226E4DDC"/>
    <w:rsid w:val="229F2417"/>
    <w:rsid w:val="22DB168B"/>
    <w:rsid w:val="22DB41C6"/>
    <w:rsid w:val="232D29E1"/>
    <w:rsid w:val="234B21C4"/>
    <w:rsid w:val="23822282"/>
    <w:rsid w:val="23A33847"/>
    <w:rsid w:val="23AB72AF"/>
    <w:rsid w:val="23B24AE2"/>
    <w:rsid w:val="23B73EA6"/>
    <w:rsid w:val="23C12ECE"/>
    <w:rsid w:val="23D84652"/>
    <w:rsid w:val="23FF22F1"/>
    <w:rsid w:val="241406C8"/>
    <w:rsid w:val="245258D0"/>
    <w:rsid w:val="245A4344"/>
    <w:rsid w:val="24616B1D"/>
    <w:rsid w:val="24AD7057"/>
    <w:rsid w:val="24AF18B3"/>
    <w:rsid w:val="24B718AC"/>
    <w:rsid w:val="24BC6B94"/>
    <w:rsid w:val="250E3F9A"/>
    <w:rsid w:val="250F62D5"/>
    <w:rsid w:val="252F1A45"/>
    <w:rsid w:val="253A4D8F"/>
    <w:rsid w:val="253E3B7A"/>
    <w:rsid w:val="254B3A17"/>
    <w:rsid w:val="25585215"/>
    <w:rsid w:val="257710EA"/>
    <w:rsid w:val="2579502D"/>
    <w:rsid w:val="25887463"/>
    <w:rsid w:val="25C342B2"/>
    <w:rsid w:val="25CB4DA4"/>
    <w:rsid w:val="25D074A1"/>
    <w:rsid w:val="25E310F1"/>
    <w:rsid w:val="25EA60A7"/>
    <w:rsid w:val="25EB0F07"/>
    <w:rsid w:val="260E2662"/>
    <w:rsid w:val="26381E78"/>
    <w:rsid w:val="266235BB"/>
    <w:rsid w:val="26A5403A"/>
    <w:rsid w:val="26A54770"/>
    <w:rsid w:val="26C363C5"/>
    <w:rsid w:val="26FA2B0D"/>
    <w:rsid w:val="270670BD"/>
    <w:rsid w:val="27114B5F"/>
    <w:rsid w:val="27174D76"/>
    <w:rsid w:val="271F447F"/>
    <w:rsid w:val="272730F1"/>
    <w:rsid w:val="273E5A3B"/>
    <w:rsid w:val="275A6117"/>
    <w:rsid w:val="27714ADB"/>
    <w:rsid w:val="27740937"/>
    <w:rsid w:val="277D526A"/>
    <w:rsid w:val="277D71B5"/>
    <w:rsid w:val="277E279D"/>
    <w:rsid w:val="27967AEF"/>
    <w:rsid w:val="27E014F2"/>
    <w:rsid w:val="27F54F9D"/>
    <w:rsid w:val="27F941D0"/>
    <w:rsid w:val="280E0C9F"/>
    <w:rsid w:val="282229E0"/>
    <w:rsid w:val="28360FB8"/>
    <w:rsid w:val="284B0B33"/>
    <w:rsid w:val="285445B8"/>
    <w:rsid w:val="285E6D79"/>
    <w:rsid w:val="289C0BB9"/>
    <w:rsid w:val="28A867AE"/>
    <w:rsid w:val="28C60924"/>
    <w:rsid w:val="28DD3EFA"/>
    <w:rsid w:val="28E4026D"/>
    <w:rsid w:val="29314DC9"/>
    <w:rsid w:val="294018F4"/>
    <w:rsid w:val="29504E5C"/>
    <w:rsid w:val="295E196F"/>
    <w:rsid w:val="295E6D9F"/>
    <w:rsid w:val="297D3A9A"/>
    <w:rsid w:val="297E036A"/>
    <w:rsid w:val="299039F4"/>
    <w:rsid w:val="29911ECA"/>
    <w:rsid w:val="29DB4666"/>
    <w:rsid w:val="29F76232"/>
    <w:rsid w:val="29FA194B"/>
    <w:rsid w:val="2A1776DC"/>
    <w:rsid w:val="2A1B0CF2"/>
    <w:rsid w:val="2A1C444E"/>
    <w:rsid w:val="2A23570F"/>
    <w:rsid w:val="2A611FE3"/>
    <w:rsid w:val="2A6C1C8E"/>
    <w:rsid w:val="2AAD7392"/>
    <w:rsid w:val="2AD77EB9"/>
    <w:rsid w:val="2AE31A25"/>
    <w:rsid w:val="2AE758F8"/>
    <w:rsid w:val="2B1C3740"/>
    <w:rsid w:val="2B25298A"/>
    <w:rsid w:val="2B3C1135"/>
    <w:rsid w:val="2B4324C3"/>
    <w:rsid w:val="2B512967"/>
    <w:rsid w:val="2B593A95"/>
    <w:rsid w:val="2B612949"/>
    <w:rsid w:val="2B7D1111"/>
    <w:rsid w:val="2B7E1489"/>
    <w:rsid w:val="2B81447C"/>
    <w:rsid w:val="2B9F4F6B"/>
    <w:rsid w:val="2BA55039"/>
    <w:rsid w:val="2BC95FFE"/>
    <w:rsid w:val="2C094182"/>
    <w:rsid w:val="2C105C8C"/>
    <w:rsid w:val="2C2D3717"/>
    <w:rsid w:val="2C6C77F8"/>
    <w:rsid w:val="2C9A16CA"/>
    <w:rsid w:val="2CA42D92"/>
    <w:rsid w:val="2CAB6572"/>
    <w:rsid w:val="2CB32862"/>
    <w:rsid w:val="2D0B74A6"/>
    <w:rsid w:val="2D1E6934"/>
    <w:rsid w:val="2D47675E"/>
    <w:rsid w:val="2D5B5DA0"/>
    <w:rsid w:val="2D6078EC"/>
    <w:rsid w:val="2D6545D0"/>
    <w:rsid w:val="2D7D237A"/>
    <w:rsid w:val="2D810644"/>
    <w:rsid w:val="2DA1233C"/>
    <w:rsid w:val="2DA8315F"/>
    <w:rsid w:val="2DA96B06"/>
    <w:rsid w:val="2DB135B3"/>
    <w:rsid w:val="2DC0526C"/>
    <w:rsid w:val="2DC842F2"/>
    <w:rsid w:val="2DD17E4E"/>
    <w:rsid w:val="2DF74509"/>
    <w:rsid w:val="2E296EFF"/>
    <w:rsid w:val="2E3C7A9F"/>
    <w:rsid w:val="2E690D4F"/>
    <w:rsid w:val="2E933149"/>
    <w:rsid w:val="2EC0451D"/>
    <w:rsid w:val="2ECA75E1"/>
    <w:rsid w:val="2EED0829"/>
    <w:rsid w:val="2F190E80"/>
    <w:rsid w:val="2F19705D"/>
    <w:rsid w:val="2F3E16B8"/>
    <w:rsid w:val="2F77098D"/>
    <w:rsid w:val="2F7D3371"/>
    <w:rsid w:val="2F7D6315"/>
    <w:rsid w:val="2F8905C0"/>
    <w:rsid w:val="2F9F55BA"/>
    <w:rsid w:val="2FA745AE"/>
    <w:rsid w:val="2FDD2EA4"/>
    <w:rsid w:val="2FE01118"/>
    <w:rsid w:val="2FF3252B"/>
    <w:rsid w:val="2FF57549"/>
    <w:rsid w:val="306B708B"/>
    <w:rsid w:val="30787D8F"/>
    <w:rsid w:val="308955CB"/>
    <w:rsid w:val="309B56ED"/>
    <w:rsid w:val="309C68FD"/>
    <w:rsid w:val="31230282"/>
    <w:rsid w:val="3137328C"/>
    <w:rsid w:val="313905E3"/>
    <w:rsid w:val="315C608D"/>
    <w:rsid w:val="316C2741"/>
    <w:rsid w:val="317C47BD"/>
    <w:rsid w:val="31D32002"/>
    <w:rsid w:val="31D9265F"/>
    <w:rsid w:val="325B6344"/>
    <w:rsid w:val="32677734"/>
    <w:rsid w:val="326C5E1B"/>
    <w:rsid w:val="32821537"/>
    <w:rsid w:val="329B0E37"/>
    <w:rsid w:val="32F1434E"/>
    <w:rsid w:val="32FC4A26"/>
    <w:rsid w:val="33313300"/>
    <w:rsid w:val="3356075C"/>
    <w:rsid w:val="336A1785"/>
    <w:rsid w:val="337431C8"/>
    <w:rsid w:val="337B54EC"/>
    <w:rsid w:val="33845E5E"/>
    <w:rsid w:val="338E0BF6"/>
    <w:rsid w:val="34007CA1"/>
    <w:rsid w:val="3422783C"/>
    <w:rsid w:val="342B48E8"/>
    <w:rsid w:val="3433324E"/>
    <w:rsid w:val="34347437"/>
    <w:rsid w:val="34384B8F"/>
    <w:rsid w:val="343F15A0"/>
    <w:rsid w:val="34795B0F"/>
    <w:rsid w:val="347F2CE0"/>
    <w:rsid w:val="34AD7C43"/>
    <w:rsid w:val="34AE1C58"/>
    <w:rsid w:val="34B3691E"/>
    <w:rsid w:val="34B947B5"/>
    <w:rsid w:val="34E01646"/>
    <w:rsid w:val="34E02948"/>
    <w:rsid w:val="3502780C"/>
    <w:rsid w:val="35065873"/>
    <w:rsid w:val="350A2091"/>
    <w:rsid w:val="351410A1"/>
    <w:rsid w:val="35154599"/>
    <w:rsid w:val="35383106"/>
    <w:rsid w:val="356E1E05"/>
    <w:rsid w:val="35A02B5B"/>
    <w:rsid w:val="35AD5556"/>
    <w:rsid w:val="35C67F79"/>
    <w:rsid w:val="35E80BFF"/>
    <w:rsid w:val="35EC30ED"/>
    <w:rsid w:val="35EC385C"/>
    <w:rsid w:val="35F40894"/>
    <w:rsid w:val="361C51EB"/>
    <w:rsid w:val="362956C8"/>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7F3387"/>
    <w:rsid w:val="37981952"/>
    <w:rsid w:val="37A16C63"/>
    <w:rsid w:val="37A60C4D"/>
    <w:rsid w:val="37C03787"/>
    <w:rsid w:val="37D142E7"/>
    <w:rsid w:val="37D45185"/>
    <w:rsid w:val="37D724C3"/>
    <w:rsid w:val="37E34E12"/>
    <w:rsid w:val="37FF6349"/>
    <w:rsid w:val="382F022A"/>
    <w:rsid w:val="38326FA5"/>
    <w:rsid w:val="383B621B"/>
    <w:rsid w:val="387A0475"/>
    <w:rsid w:val="38955957"/>
    <w:rsid w:val="38985465"/>
    <w:rsid w:val="38A42218"/>
    <w:rsid w:val="38B60A5B"/>
    <w:rsid w:val="38C5663D"/>
    <w:rsid w:val="38E61322"/>
    <w:rsid w:val="39005B21"/>
    <w:rsid w:val="390455D3"/>
    <w:rsid w:val="39561614"/>
    <w:rsid w:val="39B60F43"/>
    <w:rsid w:val="39B94054"/>
    <w:rsid w:val="39E8127E"/>
    <w:rsid w:val="39FF067B"/>
    <w:rsid w:val="3A025B97"/>
    <w:rsid w:val="3A411C53"/>
    <w:rsid w:val="3A4F1BAF"/>
    <w:rsid w:val="3A737706"/>
    <w:rsid w:val="3A824DB6"/>
    <w:rsid w:val="3A82612D"/>
    <w:rsid w:val="3A893517"/>
    <w:rsid w:val="3A8B6AE5"/>
    <w:rsid w:val="3ABA3D5E"/>
    <w:rsid w:val="3AFF1EC8"/>
    <w:rsid w:val="3B1B7E6B"/>
    <w:rsid w:val="3B2440F7"/>
    <w:rsid w:val="3B763981"/>
    <w:rsid w:val="3B800BCA"/>
    <w:rsid w:val="3B921504"/>
    <w:rsid w:val="3BB05F97"/>
    <w:rsid w:val="3BB51182"/>
    <w:rsid w:val="3BB80364"/>
    <w:rsid w:val="3BBB5678"/>
    <w:rsid w:val="3C0D4444"/>
    <w:rsid w:val="3C1544D6"/>
    <w:rsid w:val="3C1B105E"/>
    <w:rsid w:val="3C262617"/>
    <w:rsid w:val="3C2A7702"/>
    <w:rsid w:val="3C371BD0"/>
    <w:rsid w:val="3C3E4302"/>
    <w:rsid w:val="3C6724D8"/>
    <w:rsid w:val="3CD43BC5"/>
    <w:rsid w:val="3CDD28CA"/>
    <w:rsid w:val="3CED0E4A"/>
    <w:rsid w:val="3D4E775B"/>
    <w:rsid w:val="3D5657BD"/>
    <w:rsid w:val="3D745989"/>
    <w:rsid w:val="3D847AC3"/>
    <w:rsid w:val="3D8E66B6"/>
    <w:rsid w:val="3D9A71DB"/>
    <w:rsid w:val="3DAA0346"/>
    <w:rsid w:val="3DD26D8C"/>
    <w:rsid w:val="3DDE6919"/>
    <w:rsid w:val="3E1C7A8B"/>
    <w:rsid w:val="3E3068D7"/>
    <w:rsid w:val="3ECF68B5"/>
    <w:rsid w:val="3ED108A5"/>
    <w:rsid w:val="3ED34D3C"/>
    <w:rsid w:val="3EED7C9C"/>
    <w:rsid w:val="3F13487D"/>
    <w:rsid w:val="3F311E7C"/>
    <w:rsid w:val="3F3C4A37"/>
    <w:rsid w:val="3F542A99"/>
    <w:rsid w:val="3F572258"/>
    <w:rsid w:val="3F964307"/>
    <w:rsid w:val="3F9B40C0"/>
    <w:rsid w:val="3F9F3D14"/>
    <w:rsid w:val="3FB6105E"/>
    <w:rsid w:val="3FBE0197"/>
    <w:rsid w:val="3FD978F7"/>
    <w:rsid w:val="3FF15CA5"/>
    <w:rsid w:val="402C0F43"/>
    <w:rsid w:val="404C4056"/>
    <w:rsid w:val="40A56330"/>
    <w:rsid w:val="40A93C0A"/>
    <w:rsid w:val="40AF44CD"/>
    <w:rsid w:val="40AF59A6"/>
    <w:rsid w:val="40DF205C"/>
    <w:rsid w:val="40E92D3F"/>
    <w:rsid w:val="40F2313C"/>
    <w:rsid w:val="410F0A26"/>
    <w:rsid w:val="41230975"/>
    <w:rsid w:val="4185375A"/>
    <w:rsid w:val="41EF4098"/>
    <w:rsid w:val="41F06AA9"/>
    <w:rsid w:val="41F15A8B"/>
    <w:rsid w:val="41FD728C"/>
    <w:rsid w:val="420C31B7"/>
    <w:rsid w:val="4214006C"/>
    <w:rsid w:val="423822A0"/>
    <w:rsid w:val="42405D57"/>
    <w:rsid w:val="425A2175"/>
    <w:rsid w:val="426C0B12"/>
    <w:rsid w:val="4274242F"/>
    <w:rsid w:val="427A3779"/>
    <w:rsid w:val="42C375F1"/>
    <w:rsid w:val="4323627C"/>
    <w:rsid w:val="439173E4"/>
    <w:rsid w:val="43970576"/>
    <w:rsid w:val="439A5243"/>
    <w:rsid w:val="43A31E05"/>
    <w:rsid w:val="43E57C76"/>
    <w:rsid w:val="44216B4A"/>
    <w:rsid w:val="44484FC3"/>
    <w:rsid w:val="44586B88"/>
    <w:rsid w:val="44590DC1"/>
    <w:rsid w:val="445D5720"/>
    <w:rsid w:val="44711D89"/>
    <w:rsid w:val="4498368E"/>
    <w:rsid w:val="44B8476D"/>
    <w:rsid w:val="44C17A47"/>
    <w:rsid w:val="44DC7249"/>
    <w:rsid w:val="44E217EE"/>
    <w:rsid w:val="450B6218"/>
    <w:rsid w:val="452971BF"/>
    <w:rsid w:val="45424E7E"/>
    <w:rsid w:val="456019BD"/>
    <w:rsid w:val="45771F25"/>
    <w:rsid w:val="45A013D1"/>
    <w:rsid w:val="45A368CF"/>
    <w:rsid w:val="45E53D76"/>
    <w:rsid w:val="46112EC8"/>
    <w:rsid w:val="46293109"/>
    <w:rsid w:val="462D6170"/>
    <w:rsid w:val="467F1FB8"/>
    <w:rsid w:val="46802041"/>
    <w:rsid w:val="46A518CC"/>
    <w:rsid w:val="46B10736"/>
    <w:rsid w:val="46DE0421"/>
    <w:rsid w:val="46DE1B5F"/>
    <w:rsid w:val="46E10438"/>
    <w:rsid w:val="470A7062"/>
    <w:rsid w:val="471E03DE"/>
    <w:rsid w:val="47290367"/>
    <w:rsid w:val="473460AC"/>
    <w:rsid w:val="47366E56"/>
    <w:rsid w:val="4745225C"/>
    <w:rsid w:val="479216CB"/>
    <w:rsid w:val="47EB386F"/>
    <w:rsid w:val="4804699A"/>
    <w:rsid w:val="481B1D16"/>
    <w:rsid w:val="481C103E"/>
    <w:rsid w:val="48266513"/>
    <w:rsid w:val="483A0CCE"/>
    <w:rsid w:val="48513FC2"/>
    <w:rsid w:val="48540D07"/>
    <w:rsid w:val="485D5C00"/>
    <w:rsid w:val="48724017"/>
    <w:rsid w:val="48993B8B"/>
    <w:rsid w:val="489E2F08"/>
    <w:rsid w:val="48C56A11"/>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9C95337"/>
    <w:rsid w:val="4A285A46"/>
    <w:rsid w:val="4A4A3041"/>
    <w:rsid w:val="4A6143A6"/>
    <w:rsid w:val="4A8A55C1"/>
    <w:rsid w:val="4AB368C6"/>
    <w:rsid w:val="4ADD3943"/>
    <w:rsid w:val="4AE57346"/>
    <w:rsid w:val="4AE7101D"/>
    <w:rsid w:val="4AEC5159"/>
    <w:rsid w:val="4AF4542A"/>
    <w:rsid w:val="4AF52B1C"/>
    <w:rsid w:val="4AF772BF"/>
    <w:rsid w:val="4B1A06F3"/>
    <w:rsid w:val="4B423D05"/>
    <w:rsid w:val="4B69167A"/>
    <w:rsid w:val="4B6E5A14"/>
    <w:rsid w:val="4B7D25D0"/>
    <w:rsid w:val="4BDB0B2C"/>
    <w:rsid w:val="4BF31218"/>
    <w:rsid w:val="4C011CD6"/>
    <w:rsid w:val="4C154C60"/>
    <w:rsid w:val="4C3F7C92"/>
    <w:rsid w:val="4C72455F"/>
    <w:rsid w:val="4C7470F3"/>
    <w:rsid w:val="4C9F0653"/>
    <w:rsid w:val="4CA04FB7"/>
    <w:rsid w:val="4CAE1E01"/>
    <w:rsid w:val="4CBA525D"/>
    <w:rsid w:val="4D09132C"/>
    <w:rsid w:val="4D0B0AE9"/>
    <w:rsid w:val="4D1675E0"/>
    <w:rsid w:val="4D2C295F"/>
    <w:rsid w:val="4D303288"/>
    <w:rsid w:val="4D320F1A"/>
    <w:rsid w:val="4D3D051B"/>
    <w:rsid w:val="4D4C20EF"/>
    <w:rsid w:val="4D5650FF"/>
    <w:rsid w:val="4D6E2F78"/>
    <w:rsid w:val="4D784EC1"/>
    <w:rsid w:val="4D946AE3"/>
    <w:rsid w:val="4E007062"/>
    <w:rsid w:val="4E404914"/>
    <w:rsid w:val="4E606D65"/>
    <w:rsid w:val="4E710FC6"/>
    <w:rsid w:val="4E8D5B63"/>
    <w:rsid w:val="4E9370CD"/>
    <w:rsid w:val="4E96739B"/>
    <w:rsid w:val="4E983537"/>
    <w:rsid w:val="4ECD1F20"/>
    <w:rsid w:val="4EED0B13"/>
    <w:rsid w:val="4F4234FD"/>
    <w:rsid w:val="4FA70489"/>
    <w:rsid w:val="4FBC43A3"/>
    <w:rsid w:val="4FDD11EC"/>
    <w:rsid w:val="4FE5544C"/>
    <w:rsid w:val="4FEA5956"/>
    <w:rsid w:val="4FF21C3E"/>
    <w:rsid w:val="500D0826"/>
    <w:rsid w:val="501474E8"/>
    <w:rsid w:val="503C16FE"/>
    <w:rsid w:val="50425227"/>
    <w:rsid w:val="504A4907"/>
    <w:rsid w:val="506078BB"/>
    <w:rsid w:val="506643DA"/>
    <w:rsid w:val="50BF37F1"/>
    <w:rsid w:val="50C57353"/>
    <w:rsid w:val="50ED0588"/>
    <w:rsid w:val="510C63BB"/>
    <w:rsid w:val="511E43A5"/>
    <w:rsid w:val="51222A7D"/>
    <w:rsid w:val="51387B25"/>
    <w:rsid w:val="515519A2"/>
    <w:rsid w:val="51690859"/>
    <w:rsid w:val="51890380"/>
    <w:rsid w:val="518E1D75"/>
    <w:rsid w:val="519175B2"/>
    <w:rsid w:val="51A345C1"/>
    <w:rsid w:val="51C34E71"/>
    <w:rsid w:val="51E53997"/>
    <w:rsid w:val="51F77540"/>
    <w:rsid w:val="52207175"/>
    <w:rsid w:val="52302A26"/>
    <w:rsid w:val="526C02F7"/>
    <w:rsid w:val="526F57C8"/>
    <w:rsid w:val="52830EF3"/>
    <w:rsid w:val="529C2335"/>
    <w:rsid w:val="52A15487"/>
    <w:rsid w:val="52A5743C"/>
    <w:rsid w:val="52A62871"/>
    <w:rsid w:val="52AC2EF9"/>
    <w:rsid w:val="52CB3610"/>
    <w:rsid w:val="52CC2DD9"/>
    <w:rsid w:val="52CD749F"/>
    <w:rsid w:val="52DF4420"/>
    <w:rsid w:val="52F81D03"/>
    <w:rsid w:val="53025422"/>
    <w:rsid w:val="530635AB"/>
    <w:rsid w:val="53200020"/>
    <w:rsid w:val="533C53D8"/>
    <w:rsid w:val="53805736"/>
    <w:rsid w:val="538E2766"/>
    <w:rsid w:val="53964FD7"/>
    <w:rsid w:val="53A53E42"/>
    <w:rsid w:val="53C74666"/>
    <w:rsid w:val="53CD4C02"/>
    <w:rsid w:val="53D95391"/>
    <w:rsid w:val="53E94CD0"/>
    <w:rsid w:val="53EB5322"/>
    <w:rsid w:val="541E3F76"/>
    <w:rsid w:val="54311CAB"/>
    <w:rsid w:val="54456F9B"/>
    <w:rsid w:val="54967711"/>
    <w:rsid w:val="54A3157D"/>
    <w:rsid w:val="54B37E2E"/>
    <w:rsid w:val="54B917C8"/>
    <w:rsid w:val="54BC26E2"/>
    <w:rsid w:val="54D82183"/>
    <w:rsid w:val="54FC2DDB"/>
    <w:rsid w:val="55115D2B"/>
    <w:rsid w:val="55396463"/>
    <w:rsid w:val="553D442B"/>
    <w:rsid w:val="55591AD5"/>
    <w:rsid w:val="55881F08"/>
    <w:rsid w:val="55A3633A"/>
    <w:rsid w:val="55CB3D5D"/>
    <w:rsid w:val="55F673C9"/>
    <w:rsid w:val="56233AB2"/>
    <w:rsid w:val="562C30FB"/>
    <w:rsid w:val="564A7731"/>
    <w:rsid w:val="564B02FA"/>
    <w:rsid w:val="567053AF"/>
    <w:rsid w:val="56C565F3"/>
    <w:rsid w:val="56D976B4"/>
    <w:rsid w:val="56DF0A43"/>
    <w:rsid w:val="56F81391"/>
    <w:rsid w:val="56FB13D4"/>
    <w:rsid w:val="570B6EEE"/>
    <w:rsid w:val="570C5058"/>
    <w:rsid w:val="571A1A7B"/>
    <w:rsid w:val="571D36E4"/>
    <w:rsid w:val="57474771"/>
    <w:rsid w:val="574F3E1A"/>
    <w:rsid w:val="57502ACC"/>
    <w:rsid w:val="57512578"/>
    <w:rsid w:val="57555B03"/>
    <w:rsid w:val="57736C5C"/>
    <w:rsid w:val="577754E8"/>
    <w:rsid w:val="5789732C"/>
    <w:rsid w:val="57CB0BE7"/>
    <w:rsid w:val="581D1822"/>
    <w:rsid w:val="586B5BC6"/>
    <w:rsid w:val="5870302E"/>
    <w:rsid w:val="58711B6E"/>
    <w:rsid w:val="58A226AF"/>
    <w:rsid w:val="58C75CCC"/>
    <w:rsid w:val="58D377C9"/>
    <w:rsid w:val="58F3101F"/>
    <w:rsid w:val="58FB6E27"/>
    <w:rsid w:val="59460E9E"/>
    <w:rsid w:val="595E0345"/>
    <w:rsid w:val="597764ED"/>
    <w:rsid w:val="59D610DD"/>
    <w:rsid w:val="59F43024"/>
    <w:rsid w:val="5A250842"/>
    <w:rsid w:val="5A255150"/>
    <w:rsid w:val="5A2D6BE2"/>
    <w:rsid w:val="5A514D40"/>
    <w:rsid w:val="5A7802D6"/>
    <w:rsid w:val="5AA61FA3"/>
    <w:rsid w:val="5AAB7439"/>
    <w:rsid w:val="5AB84192"/>
    <w:rsid w:val="5AF80273"/>
    <w:rsid w:val="5B234F61"/>
    <w:rsid w:val="5B3061DD"/>
    <w:rsid w:val="5B4525B5"/>
    <w:rsid w:val="5B903B77"/>
    <w:rsid w:val="5B9B2607"/>
    <w:rsid w:val="5BC33CB3"/>
    <w:rsid w:val="5BD90E28"/>
    <w:rsid w:val="5BE10DB9"/>
    <w:rsid w:val="5C1473E0"/>
    <w:rsid w:val="5C154439"/>
    <w:rsid w:val="5C3B496D"/>
    <w:rsid w:val="5C515F3F"/>
    <w:rsid w:val="5C8978B4"/>
    <w:rsid w:val="5CC93D27"/>
    <w:rsid w:val="5D131382"/>
    <w:rsid w:val="5D3C274B"/>
    <w:rsid w:val="5D5731BF"/>
    <w:rsid w:val="5D6227CC"/>
    <w:rsid w:val="5DA44256"/>
    <w:rsid w:val="5DB52ED1"/>
    <w:rsid w:val="5DB7077F"/>
    <w:rsid w:val="5DE3706A"/>
    <w:rsid w:val="5DF0542D"/>
    <w:rsid w:val="5DF750A2"/>
    <w:rsid w:val="5E4C36B1"/>
    <w:rsid w:val="5E702CB3"/>
    <w:rsid w:val="5E7609D3"/>
    <w:rsid w:val="5EA20CD3"/>
    <w:rsid w:val="5EA4417D"/>
    <w:rsid w:val="5ECC1563"/>
    <w:rsid w:val="5ED50624"/>
    <w:rsid w:val="5EDD3417"/>
    <w:rsid w:val="5EE252A2"/>
    <w:rsid w:val="5EE30386"/>
    <w:rsid w:val="5F34598C"/>
    <w:rsid w:val="5F5043A8"/>
    <w:rsid w:val="5F5874DB"/>
    <w:rsid w:val="5F672EC8"/>
    <w:rsid w:val="5F6A5C4F"/>
    <w:rsid w:val="5FA003E0"/>
    <w:rsid w:val="5FAB2498"/>
    <w:rsid w:val="5FCB6B74"/>
    <w:rsid w:val="5FF81C20"/>
    <w:rsid w:val="60066CCE"/>
    <w:rsid w:val="601E58A3"/>
    <w:rsid w:val="605D1284"/>
    <w:rsid w:val="606A103A"/>
    <w:rsid w:val="60786190"/>
    <w:rsid w:val="60B5389D"/>
    <w:rsid w:val="60C76D9B"/>
    <w:rsid w:val="60F24C46"/>
    <w:rsid w:val="60F40641"/>
    <w:rsid w:val="60F758FB"/>
    <w:rsid w:val="60FA17B7"/>
    <w:rsid w:val="60FD54E7"/>
    <w:rsid w:val="61047006"/>
    <w:rsid w:val="610C6132"/>
    <w:rsid w:val="610F70BE"/>
    <w:rsid w:val="616774D6"/>
    <w:rsid w:val="617D6C0B"/>
    <w:rsid w:val="618F680B"/>
    <w:rsid w:val="6190597D"/>
    <w:rsid w:val="61995C5A"/>
    <w:rsid w:val="62436329"/>
    <w:rsid w:val="62643019"/>
    <w:rsid w:val="62724631"/>
    <w:rsid w:val="6284384E"/>
    <w:rsid w:val="629245E4"/>
    <w:rsid w:val="62A90A6A"/>
    <w:rsid w:val="62AE5930"/>
    <w:rsid w:val="62D60FF9"/>
    <w:rsid w:val="62E72E36"/>
    <w:rsid w:val="62EB469D"/>
    <w:rsid w:val="632A1297"/>
    <w:rsid w:val="6349372A"/>
    <w:rsid w:val="635F6F55"/>
    <w:rsid w:val="636F3027"/>
    <w:rsid w:val="637A3FCD"/>
    <w:rsid w:val="638E1922"/>
    <w:rsid w:val="638E6566"/>
    <w:rsid w:val="63BC45E5"/>
    <w:rsid w:val="63CB4141"/>
    <w:rsid w:val="63D66D3E"/>
    <w:rsid w:val="64065F62"/>
    <w:rsid w:val="64106851"/>
    <w:rsid w:val="64441A50"/>
    <w:rsid w:val="64631AF8"/>
    <w:rsid w:val="646E458C"/>
    <w:rsid w:val="648143E2"/>
    <w:rsid w:val="649F3BDB"/>
    <w:rsid w:val="64E007BE"/>
    <w:rsid w:val="65167D25"/>
    <w:rsid w:val="6542685B"/>
    <w:rsid w:val="657E2692"/>
    <w:rsid w:val="65A25BFF"/>
    <w:rsid w:val="65E6594A"/>
    <w:rsid w:val="65F242EE"/>
    <w:rsid w:val="65FD004D"/>
    <w:rsid w:val="661575EF"/>
    <w:rsid w:val="66377B6E"/>
    <w:rsid w:val="663E58DC"/>
    <w:rsid w:val="665133F4"/>
    <w:rsid w:val="6670042F"/>
    <w:rsid w:val="668C2EA6"/>
    <w:rsid w:val="66925AD1"/>
    <w:rsid w:val="669575FC"/>
    <w:rsid w:val="66A629AC"/>
    <w:rsid w:val="66E05BF7"/>
    <w:rsid w:val="66F075E6"/>
    <w:rsid w:val="671638E6"/>
    <w:rsid w:val="67163BED"/>
    <w:rsid w:val="671A61E6"/>
    <w:rsid w:val="676D1BD2"/>
    <w:rsid w:val="6780592A"/>
    <w:rsid w:val="679E708D"/>
    <w:rsid w:val="67C557B3"/>
    <w:rsid w:val="67D21CDC"/>
    <w:rsid w:val="67DF0309"/>
    <w:rsid w:val="68117D4A"/>
    <w:rsid w:val="68122E10"/>
    <w:rsid w:val="6812671E"/>
    <w:rsid w:val="68295FC1"/>
    <w:rsid w:val="68303C5A"/>
    <w:rsid w:val="68323225"/>
    <w:rsid w:val="6867753A"/>
    <w:rsid w:val="687E189D"/>
    <w:rsid w:val="68A67612"/>
    <w:rsid w:val="68CC0921"/>
    <w:rsid w:val="68E54CA7"/>
    <w:rsid w:val="68F02B82"/>
    <w:rsid w:val="691F5A11"/>
    <w:rsid w:val="694A0FC7"/>
    <w:rsid w:val="69717C20"/>
    <w:rsid w:val="69877541"/>
    <w:rsid w:val="69972531"/>
    <w:rsid w:val="69AA3991"/>
    <w:rsid w:val="69B00667"/>
    <w:rsid w:val="69C935B8"/>
    <w:rsid w:val="69DA57C5"/>
    <w:rsid w:val="69F909E8"/>
    <w:rsid w:val="6A085D20"/>
    <w:rsid w:val="6A170E8B"/>
    <w:rsid w:val="6A21794E"/>
    <w:rsid w:val="6A242EE4"/>
    <w:rsid w:val="6A3105EC"/>
    <w:rsid w:val="6A565AD4"/>
    <w:rsid w:val="6A5975B0"/>
    <w:rsid w:val="6A906529"/>
    <w:rsid w:val="6A996573"/>
    <w:rsid w:val="6AF671CD"/>
    <w:rsid w:val="6B405AFC"/>
    <w:rsid w:val="6B4247D3"/>
    <w:rsid w:val="6B533758"/>
    <w:rsid w:val="6B5B57EF"/>
    <w:rsid w:val="6B677C2D"/>
    <w:rsid w:val="6BB56C00"/>
    <w:rsid w:val="6BBF2EC5"/>
    <w:rsid w:val="6BC20E30"/>
    <w:rsid w:val="6BD641C0"/>
    <w:rsid w:val="6BF31108"/>
    <w:rsid w:val="6BF66BEB"/>
    <w:rsid w:val="6C0B0DFC"/>
    <w:rsid w:val="6C0F54CE"/>
    <w:rsid w:val="6C661592"/>
    <w:rsid w:val="6C7723DD"/>
    <w:rsid w:val="6C883C39"/>
    <w:rsid w:val="6CD00D49"/>
    <w:rsid w:val="6CD4693C"/>
    <w:rsid w:val="6CFE079A"/>
    <w:rsid w:val="6D2D20B0"/>
    <w:rsid w:val="6D6C13AF"/>
    <w:rsid w:val="6D7A15B4"/>
    <w:rsid w:val="6D881935"/>
    <w:rsid w:val="6D8E643D"/>
    <w:rsid w:val="6D984498"/>
    <w:rsid w:val="6DA60E00"/>
    <w:rsid w:val="6E0B0643"/>
    <w:rsid w:val="6E183568"/>
    <w:rsid w:val="6E294917"/>
    <w:rsid w:val="6E5222DE"/>
    <w:rsid w:val="6E575408"/>
    <w:rsid w:val="6E5C0972"/>
    <w:rsid w:val="6E9D29C1"/>
    <w:rsid w:val="6EA65FCF"/>
    <w:rsid w:val="6EB21F09"/>
    <w:rsid w:val="6EBB3CB2"/>
    <w:rsid w:val="6EBF251A"/>
    <w:rsid w:val="6ED42AEF"/>
    <w:rsid w:val="6F1C14DE"/>
    <w:rsid w:val="6F4656AB"/>
    <w:rsid w:val="6F6438A1"/>
    <w:rsid w:val="6F653D83"/>
    <w:rsid w:val="6F6A18A4"/>
    <w:rsid w:val="6F7264A0"/>
    <w:rsid w:val="6F814C0A"/>
    <w:rsid w:val="6F8E5394"/>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C96594"/>
    <w:rsid w:val="70D862FD"/>
    <w:rsid w:val="711374C5"/>
    <w:rsid w:val="715738F0"/>
    <w:rsid w:val="716319F3"/>
    <w:rsid w:val="71650CFC"/>
    <w:rsid w:val="71D66FFC"/>
    <w:rsid w:val="71F41F1A"/>
    <w:rsid w:val="71FA6C30"/>
    <w:rsid w:val="72094120"/>
    <w:rsid w:val="720958D1"/>
    <w:rsid w:val="723712AD"/>
    <w:rsid w:val="724203AC"/>
    <w:rsid w:val="725E663B"/>
    <w:rsid w:val="72867712"/>
    <w:rsid w:val="72895FC3"/>
    <w:rsid w:val="729E22FF"/>
    <w:rsid w:val="72CC4119"/>
    <w:rsid w:val="72CE7E91"/>
    <w:rsid w:val="72E826C1"/>
    <w:rsid w:val="72F95993"/>
    <w:rsid w:val="72FD312B"/>
    <w:rsid w:val="73292682"/>
    <w:rsid w:val="73483095"/>
    <w:rsid w:val="735B274F"/>
    <w:rsid w:val="736F41AF"/>
    <w:rsid w:val="73A350D0"/>
    <w:rsid w:val="73A45CC5"/>
    <w:rsid w:val="73B66D6E"/>
    <w:rsid w:val="73B818D0"/>
    <w:rsid w:val="73C05A2C"/>
    <w:rsid w:val="73CD0149"/>
    <w:rsid w:val="73E62CD4"/>
    <w:rsid w:val="7416389E"/>
    <w:rsid w:val="74326E5F"/>
    <w:rsid w:val="74A72F26"/>
    <w:rsid w:val="74B133C4"/>
    <w:rsid w:val="74B5514B"/>
    <w:rsid w:val="753F5B21"/>
    <w:rsid w:val="753F61DD"/>
    <w:rsid w:val="755436F9"/>
    <w:rsid w:val="75634629"/>
    <w:rsid w:val="758D55DA"/>
    <w:rsid w:val="759E61CD"/>
    <w:rsid w:val="75A54A1B"/>
    <w:rsid w:val="75BF1D13"/>
    <w:rsid w:val="75C61FAF"/>
    <w:rsid w:val="75DF28FE"/>
    <w:rsid w:val="75EB1350"/>
    <w:rsid w:val="75FE7A7B"/>
    <w:rsid w:val="76615C9E"/>
    <w:rsid w:val="76676633"/>
    <w:rsid w:val="7680213B"/>
    <w:rsid w:val="768D673F"/>
    <w:rsid w:val="76A41635"/>
    <w:rsid w:val="76AA185A"/>
    <w:rsid w:val="76AC7031"/>
    <w:rsid w:val="76BC5DD3"/>
    <w:rsid w:val="76D45E8F"/>
    <w:rsid w:val="76D63257"/>
    <w:rsid w:val="76E86F62"/>
    <w:rsid w:val="770E4342"/>
    <w:rsid w:val="771C1E27"/>
    <w:rsid w:val="776F2988"/>
    <w:rsid w:val="7793659A"/>
    <w:rsid w:val="77A26118"/>
    <w:rsid w:val="77C975EC"/>
    <w:rsid w:val="77D01FB6"/>
    <w:rsid w:val="78174413"/>
    <w:rsid w:val="782D1948"/>
    <w:rsid w:val="784C1308"/>
    <w:rsid w:val="786D5A56"/>
    <w:rsid w:val="787F38DA"/>
    <w:rsid w:val="78BD6725"/>
    <w:rsid w:val="78C5494C"/>
    <w:rsid w:val="78CB0206"/>
    <w:rsid w:val="78CC6EB6"/>
    <w:rsid w:val="794B529C"/>
    <w:rsid w:val="795804B5"/>
    <w:rsid w:val="798427A7"/>
    <w:rsid w:val="79DE6D5D"/>
    <w:rsid w:val="79E377AD"/>
    <w:rsid w:val="79F857F4"/>
    <w:rsid w:val="7A072D62"/>
    <w:rsid w:val="7A074847"/>
    <w:rsid w:val="7A146A0E"/>
    <w:rsid w:val="7A3E0A64"/>
    <w:rsid w:val="7A5E7D4D"/>
    <w:rsid w:val="7A6B737C"/>
    <w:rsid w:val="7A7B539D"/>
    <w:rsid w:val="7AB8243E"/>
    <w:rsid w:val="7ABA1C1F"/>
    <w:rsid w:val="7AF33475"/>
    <w:rsid w:val="7B36248C"/>
    <w:rsid w:val="7B513C82"/>
    <w:rsid w:val="7B656EB9"/>
    <w:rsid w:val="7B8B2CC8"/>
    <w:rsid w:val="7B8F6409"/>
    <w:rsid w:val="7BC52EB4"/>
    <w:rsid w:val="7BDF5F65"/>
    <w:rsid w:val="7BE413E0"/>
    <w:rsid w:val="7BEC0361"/>
    <w:rsid w:val="7BFF2E69"/>
    <w:rsid w:val="7C255323"/>
    <w:rsid w:val="7C3A6597"/>
    <w:rsid w:val="7CA93824"/>
    <w:rsid w:val="7CC95A92"/>
    <w:rsid w:val="7CD42548"/>
    <w:rsid w:val="7CDA19CA"/>
    <w:rsid w:val="7CDE3582"/>
    <w:rsid w:val="7CE56503"/>
    <w:rsid w:val="7D053734"/>
    <w:rsid w:val="7D131603"/>
    <w:rsid w:val="7D3E3E65"/>
    <w:rsid w:val="7D5005A8"/>
    <w:rsid w:val="7D541D76"/>
    <w:rsid w:val="7D605F94"/>
    <w:rsid w:val="7D7D3EDF"/>
    <w:rsid w:val="7D871368"/>
    <w:rsid w:val="7DB8717F"/>
    <w:rsid w:val="7DD639D6"/>
    <w:rsid w:val="7DFF5B7B"/>
    <w:rsid w:val="7E1364BD"/>
    <w:rsid w:val="7E317971"/>
    <w:rsid w:val="7E4B05E8"/>
    <w:rsid w:val="7E564C50"/>
    <w:rsid w:val="7E77272F"/>
    <w:rsid w:val="7E942273"/>
    <w:rsid w:val="7ED23CFE"/>
    <w:rsid w:val="7ED7114B"/>
    <w:rsid w:val="7EDB3B62"/>
    <w:rsid w:val="7F0049B8"/>
    <w:rsid w:val="7F037115"/>
    <w:rsid w:val="7F222BDD"/>
    <w:rsid w:val="7F34598B"/>
    <w:rsid w:val="7F7E0860"/>
    <w:rsid w:val="7FBF3440"/>
    <w:rsid w:val="7FBF77AC"/>
    <w:rsid w:val="7FC1007A"/>
    <w:rsid w:val="7FEB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autoRedefine/>
    <w:qFormat/>
    <w:uiPriority w:val="0"/>
    <w:pPr>
      <w:keepNext/>
      <w:keepLines/>
      <w:spacing w:line="360" w:lineRule="auto"/>
      <w:outlineLvl w:val="0"/>
    </w:pPr>
    <w:rPr>
      <w:b/>
      <w:bCs/>
      <w:kern w:val="44"/>
      <w:sz w:val="32"/>
      <w:szCs w:val="44"/>
    </w:rPr>
  </w:style>
  <w:style w:type="paragraph" w:styleId="4">
    <w:name w:val="heading 2"/>
    <w:basedOn w:val="1"/>
    <w:next w:val="1"/>
    <w:link w:val="72"/>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autoRedefine/>
    <w:qFormat/>
    <w:uiPriority w:val="0"/>
    <w:pPr>
      <w:keepNext/>
      <w:keepLines/>
      <w:spacing w:line="360" w:lineRule="auto"/>
      <w:outlineLvl w:val="2"/>
    </w:pPr>
    <w:rPr>
      <w:b/>
      <w:bCs/>
      <w:sz w:val="24"/>
      <w:szCs w:val="32"/>
    </w:rPr>
  </w:style>
  <w:style w:type="paragraph" w:styleId="6">
    <w:name w:val="heading 4"/>
    <w:basedOn w:val="1"/>
    <w:next w:val="1"/>
    <w:link w:val="75"/>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76"/>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8">
    <w:name w:val="heading 6"/>
    <w:basedOn w:val="1"/>
    <w:next w:val="1"/>
    <w:link w:val="77"/>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78"/>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79"/>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80"/>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customStyle="1" w:styleId="2">
    <w:name w:val="wang正文"/>
    <w:basedOn w:val="1"/>
    <w:autoRedefine/>
    <w:qFormat/>
    <w:uiPriority w:val="0"/>
    <w:pPr>
      <w:tabs>
        <w:tab w:val="left" w:pos="6840"/>
      </w:tabs>
      <w:topLinePunct/>
      <w:ind w:firstLine="420"/>
    </w:pPr>
    <w:rPr>
      <w:kern w:val="0"/>
    </w:r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qFormat/>
    <w:uiPriority w:val="0"/>
    <w:pPr>
      <w:spacing w:line="360" w:lineRule="auto"/>
      <w:ind w:left="420" w:leftChars="200"/>
    </w:pPr>
    <w:rPr>
      <w:b/>
      <w:sz w:val="28"/>
    </w:rPr>
  </w:style>
  <w:style w:type="paragraph" w:styleId="14">
    <w:name w:val="Normal Indent"/>
    <w:basedOn w:val="1"/>
    <w:next w:val="6"/>
    <w:autoRedefine/>
    <w:qFormat/>
    <w:uiPriority w:val="0"/>
    <w:pPr>
      <w:widowControl/>
      <w:ind w:firstLine="420"/>
      <w:jc w:val="left"/>
    </w:pPr>
    <w:rPr>
      <w:kern w:val="0"/>
      <w:sz w:val="20"/>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7">
    <w:name w:val="Document Map"/>
    <w:basedOn w:val="1"/>
    <w:link w:val="81"/>
    <w:autoRedefine/>
    <w:qFormat/>
    <w:uiPriority w:val="0"/>
    <w:pPr>
      <w:shd w:val="clear" w:color="auto" w:fill="000080"/>
    </w:pPr>
    <w:rPr>
      <w:kern w:val="0"/>
      <w:sz w:val="20"/>
      <w:shd w:val="clear" w:color="auto" w:fill="000080"/>
    </w:rPr>
  </w:style>
  <w:style w:type="paragraph" w:styleId="18">
    <w:name w:val="annotation text"/>
    <w:basedOn w:val="1"/>
    <w:link w:val="82"/>
    <w:autoRedefine/>
    <w:qFormat/>
    <w:uiPriority w:val="0"/>
    <w:pPr>
      <w:jc w:val="left"/>
    </w:pPr>
  </w:style>
  <w:style w:type="paragraph" w:styleId="19">
    <w:name w:val="Body Text 3"/>
    <w:basedOn w:val="1"/>
    <w:link w:val="83"/>
    <w:autoRedefine/>
    <w:qFormat/>
    <w:uiPriority w:val="0"/>
    <w:rPr>
      <w:rFonts w:ascii="宋体"/>
      <w:sz w:val="24"/>
      <w:szCs w:val="20"/>
    </w:rPr>
  </w:style>
  <w:style w:type="paragraph" w:styleId="20">
    <w:name w:val="Body Text"/>
    <w:basedOn w:val="1"/>
    <w:link w:val="84"/>
    <w:autoRedefine/>
    <w:qFormat/>
    <w:uiPriority w:val="0"/>
    <w:pPr>
      <w:spacing w:line="460" w:lineRule="exact"/>
    </w:pPr>
    <w:rPr>
      <w:rFonts w:ascii="汉鼎简楷体" w:hAnsi="宋体" w:eastAsia="汉鼎简楷体"/>
      <w:b/>
      <w:bCs/>
      <w:spacing w:val="4"/>
      <w:sz w:val="24"/>
      <w:szCs w:val="20"/>
    </w:rPr>
  </w:style>
  <w:style w:type="paragraph" w:styleId="21">
    <w:name w:val="Body Text Indent"/>
    <w:basedOn w:val="1"/>
    <w:next w:val="1"/>
    <w:link w:val="86"/>
    <w:autoRedefine/>
    <w:qFormat/>
    <w:uiPriority w:val="0"/>
    <w:pPr>
      <w:spacing w:after="120"/>
      <w:ind w:left="420" w:leftChars="200"/>
    </w:pPr>
  </w:style>
  <w:style w:type="paragraph" w:styleId="22">
    <w:name w:val="List 2"/>
    <w:basedOn w:val="1"/>
    <w:qFormat/>
    <w:uiPriority w:val="0"/>
    <w:pPr>
      <w:ind w:left="840" w:hanging="420"/>
    </w:pPr>
    <w:rPr>
      <w:rFonts w:ascii="Times New Roman" w:hAnsi="Times New Roman" w:eastAsia="宋体" w:cs="Times New Roman"/>
      <w:szCs w:val="20"/>
    </w:rPr>
  </w:style>
  <w:style w:type="paragraph" w:styleId="23">
    <w:name w:val="Block Text"/>
    <w:basedOn w:val="1"/>
    <w:autoRedefine/>
    <w:qFormat/>
    <w:uiPriority w:val="0"/>
    <w:pPr>
      <w:adjustRightInd w:val="0"/>
      <w:ind w:left="420" w:right="33"/>
      <w:jc w:val="center"/>
      <w:textAlignment w:val="baseline"/>
    </w:pPr>
    <w:rPr>
      <w:b/>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tabs>
        <w:tab w:val="right" w:leader="dot" w:pos="8296"/>
      </w:tabs>
      <w:ind w:left="1050" w:leftChars="500"/>
    </w:pPr>
    <w:rPr>
      <w:rFonts w:ascii="Calibri" w:hAnsi="Calibri"/>
      <w:szCs w:val="22"/>
    </w:rPr>
  </w:style>
  <w:style w:type="paragraph" w:styleId="26">
    <w:name w:val="toc 3"/>
    <w:basedOn w:val="1"/>
    <w:next w:val="1"/>
    <w:autoRedefine/>
    <w:qFormat/>
    <w:uiPriority w:val="39"/>
    <w:pPr>
      <w:ind w:left="840" w:leftChars="400"/>
    </w:pPr>
  </w:style>
  <w:style w:type="paragraph" w:styleId="27">
    <w:name w:val="Plain Text"/>
    <w:basedOn w:val="1"/>
    <w:next w:val="1"/>
    <w:link w:val="87"/>
    <w:autoRedefine/>
    <w:qFormat/>
    <w:uiPriority w:val="0"/>
    <w:rPr>
      <w:rFonts w:ascii="宋体" w:hAnsi="Courier New"/>
      <w:szCs w:val="20"/>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85"/>
    <w:autoRedefine/>
    <w:qFormat/>
    <w:uiPriority w:val="0"/>
    <w:pPr>
      <w:ind w:left="100" w:leftChars="2500"/>
    </w:pPr>
  </w:style>
  <w:style w:type="paragraph" w:styleId="30">
    <w:name w:val="Body Text Indent 2"/>
    <w:basedOn w:val="1"/>
    <w:link w:val="88"/>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1">
    <w:name w:val="endnote text"/>
    <w:basedOn w:val="1"/>
    <w:link w:val="89"/>
    <w:autoRedefine/>
    <w:qFormat/>
    <w:uiPriority w:val="0"/>
    <w:pPr>
      <w:snapToGrid w:val="0"/>
      <w:jc w:val="left"/>
    </w:pPr>
  </w:style>
  <w:style w:type="paragraph" w:styleId="32">
    <w:name w:val="Balloon Text"/>
    <w:basedOn w:val="1"/>
    <w:link w:val="90"/>
    <w:autoRedefine/>
    <w:qFormat/>
    <w:uiPriority w:val="0"/>
    <w:rPr>
      <w:sz w:val="18"/>
      <w:szCs w:val="18"/>
    </w:rPr>
  </w:style>
  <w:style w:type="paragraph" w:styleId="33">
    <w:name w:val="footer"/>
    <w:basedOn w:val="1"/>
    <w:link w:val="91"/>
    <w:autoRedefine/>
    <w:qFormat/>
    <w:uiPriority w:val="0"/>
    <w:pPr>
      <w:tabs>
        <w:tab w:val="center" w:pos="4153"/>
        <w:tab w:val="right" w:pos="8306"/>
      </w:tabs>
      <w:snapToGrid w:val="0"/>
      <w:jc w:val="left"/>
    </w:pPr>
    <w:rPr>
      <w:sz w:val="18"/>
      <w:szCs w:val="18"/>
    </w:rPr>
  </w:style>
  <w:style w:type="paragraph" w:styleId="34">
    <w:name w:val="header"/>
    <w:basedOn w:val="1"/>
    <w:link w:val="92"/>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7">
    <w:name w:val="Subtitle"/>
    <w:basedOn w:val="1"/>
    <w:next w:val="1"/>
    <w:link w:val="93"/>
    <w:autoRedefine/>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94"/>
    <w:autoRedefine/>
    <w:qFormat/>
    <w:uiPriority w:val="99"/>
    <w:pPr>
      <w:snapToGrid w:val="0"/>
      <w:jc w:val="left"/>
    </w:pPr>
    <w:rPr>
      <w:sz w:val="18"/>
      <w:szCs w:val="18"/>
    </w:rPr>
  </w:style>
  <w:style w:type="paragraph" w:styleId="39">
    <w:name w:val="toc 6"/>
    <w:basedOn w:val="1"/>
    <w:next w:val="1"/>
    <w:autoRedefine/>
    <w:qFormat/>
    <w:uiPriority w:val="0"/>
    <w:pPr>
      <w:ind w:left="2100" w:leftChars="1000"/>
    </w:pPr>
    <w:rPr>
      <w:rFonts w:ascii="Calibri" w:hAnsi="Calibri"/>
      <w:szCs w:val="22"/>
    </w:rPr>
  </w:style>
  <w:style w:type="paragraph" w:styleId="40">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ind w:left="3360" w:leftChars="1600"/>
    </w:pPr>
    <w:rPr>
      <w:rFonts w:ascii="Calibri" w:hAnsi="Calibri"/>
      <w:szCs w:val="22"/>
    </w:rPr>
  </w:style>
  <w:style w:type="paragraph" w:styleId="43">
    <w:name w:val="Body Text 2"/>
    <w:basedOn w:val="1"/>
    <w:link w:val="96"/>
    <w:autoRedefine/>
    <w:qFormat/>
    <w:uiPriority w:val="0"/>
    <w:rPr>
      <w:rFonts w:ascii="宋体" w:hAnsi="宋体"/>
      <w:sz w:val="28"/>
    </w:rPr>
  </w:style>
  <w:style w:type="paragraph" w:styleId="4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0"/>
    <w:pPr>
      <w:spacing w:line="220" w:lineRule="exact"/>
      <w:jc w:val="center"/>
    </w:pPr>
    <w:rPr>
      <w:rFonts w:ascii="仿宋_GB2312" w:eastAsia="仿宋_GB2312"/>
      <w:szCs w:val="21"/>
    </w:rPr>
  </w:style>
  <w:style w:type="paragraph" w:styleId="46">
    <w:name w:val="Title"/>
    <w:basedOn w:val="1"/>
    <w:next w:val="1"/>
    <w:link w:val="97"/>
    <w:autoRedefine/>
    <w:qFormat/>
    <w:uiPriority w:val="0"/>
    <w:pPr>
      <w:widowControl/>
      <w:spacing w:before="240" w:after="60"/>
      <w:jc w:val="center"/>
      <w:outlineLvl w:val="0"/>
    </w:pPr>
    <w:rPr>
      <w:rFonts w:ascii="Arial" w:hAnsi="Arial" w:cs="Arial"/>
      <w:b/>
      <w:bCs/>
      <w:kern w:val="0"/>
      <w:sz w:val="44"/>
      <w:szCs w:val="32"/>
    </w:rPr>
  </w:style>
  <w:style w:type="paragraph" w:styleId="47">
    <w:name w:val="annotation subject"/>
    <w:basedOn w:val="18"/>
    <w:next w:val="18"/>
    <w:link w:val="98"/>
    <w:autoRedefine/>
    <w:qFormat/>
    <w:uiPriority w:val="0"/>
    <w:rPr>
      <w:b/>
      <w:bCs/>
    </w:rPr>
  </w:style>
  <w:style w:type="paragraph" w:styleId="48">
    <w:name w:val="Body Text First Indent"/>
    <w:basedOn w:val="20"/>
    <w:autoRedefine/>
    <w:qFormat/>
    <w:uiPriority w:val="0"/>
    <w:pPr>
      <w:spacing w:after="120"/>
      <w:ind w:firstLine="420" w:firstLineChars="100"/>
    </w:pPr>
    <w:rPr>
      <w:rFonts w:ascii="Times New Roman" w:hAnsi="Times New Roman" w:eastAsia="宋体"/>
      <w:sz w:val="21"/>
      <w:szCs w:val="24"/>
    </w:rPr>
  </w:style>
  <w:style w:type="paragraph" w:styleId="49">
    <w:name w:val="Body Text First Indent 2"/>
    <w:basedOn w:val="21"/>
    <w:next w:val="1"/>
    <w:link w:val="99"/>
    <w:autoRedefine/>
    <w:qFormat/>
    <w:uiPriority w:val="0"/>
    <w:pPr>
      <w:ind w:firstLine="420" w:firstLineChars="200"/>
    </w:p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0"/>
    <w:rPr>
      <w:b/>
      <w:bCs/>
    </w:rPr>
  </w:style>
  <w:style w:type="character" w:styleId="54">
    <w:name w:val="endnote reference"/>
    <w:basedOn w:val="52"/>
    <w:autoRedefine/>
    <w:qFormat/>
    <w:uiPriority w:val="0"/>
    <w:rPr>
      <w:vertAlign w:val="superscript"/>
    </w:rPr>
  </w:style>
  <w:style w:type="character" w:styleId="55">
    <w:name w:val="page number"/>
    <w:basedOn w:val="52"/>
    <w:autoRedefine/>
    <w:qFormat/>
    <w:uiPriority w:val="0"/>
  </w:style>
  <w:style w:type="character" w:styleId="56">
    <w:name w:val="FollowedHyperlink"/>
    <w:basedOn w:val="52"/>
    <w:autoRedefine/>
    <w:qFormat/>
    <w:uiPriority w:val="0"/>
    <w:rPr>
      <w:rFonts w:hint="eastAsia" w:ascii="微软雅黑" w:hAnsi="微软雅黑" w:eastAsia="微软雅黑" w:cs="微软雅黑"/>
      <w:color w:val="02396F"/>
      <w:u w:val="single"/>
    </w:rPr>
  </w:style>
  <w:style w:type="character" w:styleId="57">
    <w:name w:val="Emphasis"/>
    <w:autoRedefine/>
    <w:qFormat/>
    <w:uiPriority w:val="0"/>
    <w:rPr>
      <w:i/>
      <w:iCs/>
    </w:rPr>
  </w:style>
  <w:style w:type="character" w:styleId="58">
    <w:name w:val="HTML Definition"/>
    <w:basedOn w:val="52"/>
    <w:autoRedefine/>
    <w:qFormat/>
    <w:uiPriority w:val="0"/>
    <w:rPr>
      <w:i/>
      <w:iCs/>
    </w:rPr>
  </w:style>
  <w:style w:type="character" w:styleId="59">
    <w:name w:val="HTML Typewriter"/>
    <w:basedOn w:val="52"/>
    <w:autoRedefine/>
    <w:qFormat/>
    <w:uiPriority w:val="0"/>
    <w:rPr>
      <w:rFonts w:hint="default" w:ascii="monospace" w:hAnsi="monospace" w:eastAsia="monospace" w:cs="monospace"/>
      <w:sz w:val="20"/>
    </w:rPr>
  </w:style>
  <w:style w:type="character" w:styleId="60">
    <w:name w:val="HTML Acronym"/>
    <w:basedOn w:val="52"/>
    <w:autoRedefine/>
    <w:qFormat/>
    <w:uiPriority w:val="0"/>
  </w:style>
  <w:style w:type="character" w:styleId="61">
    <w:name w:val="HTML Variable"/>
    <w:basedOn w:val="52"/>
    <w:autoRedefine/>
    <w:qFormat/>
    <w:uiPriority w:val="0"/>
    <w:rPr>
      <w:vanish/>
    </w:rPr>
  </w:style>
  <w:style w:type="character" w:styleId="62">
    <w:name w:val="Hyperlink"/>
    <w:basedOn w:val="52"/>
    <w:autoRedefine/>
    <w:qFormat/>
    <w:uiPriority w:val="99"/>
    <w:rPr>
      <w:rFonts w:ascii="微软雅黑" w:hAnsi="微软雅黑" w:eastAsia="微软雅黑" w:cs="微软雅黑"/>
      <w:color w:val="02396F"/>
      <w:u w:val="single"/>
    </w:rPr>
  </w:style>
  <w:style w:type="character" w:styleId="63">
    <w:name w:val="HTML Code"/>
    <w:basedOn w:val="52"/>
    <w:autoRedefine/>
    <w:qFormat/>
    <w:uiPriority w:val="0"/>
    <w:rPr>
      <w:rFonts w:ascii="Consolas" w:hAnsi="Consolas" w:eastAsia="Consolas" w:cs="Consolas"/>
      <w:color w:val="CA4440"/>
      <w:sz w:val="21"/>
      <w:szCs w:val="21"/>
      <w:shd w:val="clear" w:color="auto" w:fill="F9F2F4"/>
    </w:rPr>
  </w:style>
  <w:style w:type="character" w:styleId="64">
    <w:name w:val="annotation reference"/>
    <w:autoRedefine/>
    <w:qFormat/>
    <w:uiPriority w:val="0"/>
    <w:rPr>
      <w:sz w:val="21"/>
      <w:szCs w:val="21"/>
    </w:rPr>
  </w:style>
  <w:style w:type="character" w:styleId="65">
    <w:name w:val="HTML Cite"/>
    <w:basedOn w:val="52"/>
    <w:autoRedefine/>
    <w:qFormat/>
    <w:uiPriority w:val="0"/>
  </w:style>
  <w:style w:type="character" w:styleId="66">
    <w:name w:val="footnote reference"/>
    <w:basedOn w:val="52"/>
    <w:autoRedefine/>
    <w:qFormat/>
    <w:uiPriority w:val="0"/>
    <w:rPr>
      <w:vertAlign w:val="superscript"/>
    </w:rPr>
  </w:style>
  <w:style w:type="character" w:styleId="67">
    <w:name w:val="HTML Keyboard"/>
    <w:basedOn w:val="52"/>
    <w:autoRedefine/>
    <w:qFormat/>
    <w:uiPriority w:val="0"/>
    <w:rPr>
      <w:rFonts w:hint="default" w:ascii="Consolas" w:hAnsi="Consolas" w:eastAsia="Consolas" w:cs="Consolas"/>
      <w:color w:val="FFFFFF"/>
      <w:sz w:val="21"/>
      <w:szCs w:val="21"/>
      <w:shd w:val="clear" w:color="auto" w:fill="333333"/>
    </w:rPr>
  </w:style>
  <w:style w:type="character" w:styleId="68">
    <w:name w:val="HTML Sample"/>
    <w:basedOn w:val="52"/>
    <w:autoRedefine/>
    <w:qFormat/>
    <w:uiPriority w:val="0"/>
    <w:rPr>
      <w:rFonts w:hint="default" w:ascii="Consolas" w:hAnsi="Consolas" w:eastAsia="Consolas" w:cs="Consolas"/>
      <w:sz w:val="21"/>
      <w:szCs w:val="21"/>
    </w:rPr>
  </w:style>
  <w:style w:type="paragraph" w:customStyle="1" w:styleId="69">
    <w:name w:val="style4"/>
    <w:basedOn w:val="1"/>
    <w:next w:val="70"/>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70">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2">
    <w:name w:val="标题 2 Char"/>
    <w:link w:val="4"/>
    <w:autoRedefine/>
    <w:qFormat/>
    <w:uiPriority w:val="0"/>
    <w:rPr>
      <w:rFonts w:ascii="Arial" w:hAnsi="Arial" w:eastAsia="黑体"/>
      <w:b/>
      <w:bCs/>
      <w:kern w:val="2"/>
      <w:sz w:val="32"/>
      <w:szCs w:val="32"/>
      <w:lang w:val="en-US" w:eastAsia="zh-CN" w:bidi="ar-SA"/>
    </w:rPr>
  </w:style>
  <w:style w:type="character" w:customStyle="1" w:styleId="73">
    <w:name w:val="标题 1 Char"/>
    <w:link w:val="3"/>
    <w:autoRedefine/>
    <w:qFormat/>
    <w:uiPriority w:val="0"/>
    <w:rPr>
      <w:rFonts w:eastAsia="宋体"/>
      <w:b/>
      <w:bCs/>
      <w:kern w:val="44"/>
      <w:sz w:val="32"/>
      <w:szCs w:val="44"/>
      <w:lang w:val="en-US" w:eastAsia="zh-CN" w:bidi="ar-SA"/>
    </w:rPr>
  </w:style>
  <w:style w:type="character" w:customStyle="1" w:styleId="74">
    <w:name w:val="标题 3 Char"/>
    <w:link w:val="5"/>
    <w:autoRedefine/>
    <w:qFormat/>
    <w:uiPriority w:val="0"/>
    <w:rPr>
      <w:rFonts w:eastAsia="宋体"/>
      <w:b/>
      <w:bCs/>
      <w:kern w:val="2"/>
      <w:sz w:val="24"/>
      <w:szCs w:val="32"/>
      <w:lang w:val="en-US" w:eastAsia="zh-CN" w:bidi="ar-SA"/>
    </w:rPr>
  </w:style>
  <w:style w:type="character" w:customStyle="1" w:styleId="75">
    <w:name w:val="标题 4 Char"/>
    <w:link w:val="6"/>
    <w:autoRedefine/>
    <w:qFormat/>
    <w:uiPriority w:val="0"/>
    <w:rPr>
      <w:rFonts w:ascii="Arial" w:hAnsi="Arial" w:eastAsia="宋体"/>
      <w:b/>
      <w:bCs/>
      <w:kern w:val="2"/>
      <w:sz w:val="21"/>
      <w:szCs w:val="28"/>
      <w:lang w:val="en-US" w:eastAsia="zh-CN" w:bidi="ar-SA"/>
    </w:rPr>
  </w:style>
  <w:style w:type="character" w:customStyle="1" w:styleId="76">
    <w:name w:val="标题 5 Char"/>
    <w:link w:val="7"/>
    <w:autoRedefine/>
    <w:qFormat/>
    <w:uiPriority w:val="0"/>
    <w:rPr>
      <w:rFonts w:ascii="宋体" w:hAnsi="宋体" w:eastAsia="宋体"/>
      <w:sz w:val="24"/>
      <w:lang w:val="en-US" w:eastAsia="zh-CN" w:bidi="ar-SA"/>
    </w:rPr>
  </w:style>
  <w:style w:type="character" w:customStyle="1" w:styleId="77">
    <w:name w:val="标题 6 Char"/>
    <w:link w:val="8"/>
    <w:autoRedefine/>
    <w:qFormat/>
    <w:uiPriority w:val="0"/>
    <w:rPr>
      <w:rFonts w:ascii="Arial" w:hAnsi="Arial" w:eastAsia="黑体"/>
      <w:bCs/>
      <w:sz w:val="24"/>
      <w:szCs w:val="24"/>
      <w:lang w:val="en-US" w:eastAsia="zh-CN" w:bidi="ar-SA"/>
    </w:rPr>
  </w:style>
  <w:style w:type="character" w:customStyle="1" w:styleId="78">
    <w:name w:val="标题 7 Char"/>
    <w:link w:val="9"/>
    <w:autoRedefine/>
    <w:qFormat/>
    <w:uiPriority w:val="0"/>
    <w:rPr>
      <w:rFonts w:eastAsia="宋体"/>
      <w:bCs/>
      <w:sz w:val="24"/>
      <w:szCs w:val="24"/>
      <w:lang w:val="en-US" w:eastAsia="zh-CN" w:bidi="ar-SA"/>
    </w:rPr>
  </w:style>
  <w:style w:type="character" w:customStyle="1" w:styleId="79">
    <w:name w:val="标题 8 Char"/>
    <w:link w:val="10"/>
    <w:autoRedefine/>
    <w:qFormat/>
    <w:uiPriority w:val="0"/>
    <w:rPr>
      <w:rFonts w:ascii="Arial" w:hAnsi="Arial" w:eastAsia="黑体"/>
      <w:b/>
      <w:sz w:val="24"/>
      <w:szCs w:val="24"/>
      <w:lang w:val="en-US" w:eastAsia="zh-CN" w:bidi="ar-SA"/>
    </w:rPr>
  </w:style>
  <w:style w:type="character" w:customStyle="1" w:styleId="80">
    <w:name w:val="标题 9 Char"/>
    <w:link w:val="11"/>
    <w:autoRedefine/>
    <w:qFormat/>
    <w:uiPriority w:val="0"/>
    <w:rPr>
      <w:rFonts w:ascii="Arial" w:hAnsi="Arial" w:eastAsia="黑体"/>
      <w:b/>
      <w:sz w:val="21"/>
      <w:szCs w:val="21"/>
      <w:lang w:val="en-US" w:eastAsia="zh-CN" w:bidi="ar-SA"/>
    </w:rPr>
  </w:style>
  <w:style w:type="character" w:customStyle="1" w:styleId="81">
    <w:name w:val="文档结构图 Char"/>
    <w:link w:val="17"/>
    <w:autoRedefine/>
    <w:qFormat/>
    <w:uiPriority w:val="0"/>
    <w:rPr>
      <w:szCs w:val="24"/>
      <w:shd w:val="clear" w:color="auto" w:fill="000080"/>
      <w:lang w:bidi="ar-SA"/>
    </w:rPr>
  </w:style>
  <w:style w:type="character" w:customStyle="1" w:styleId="82">
    <w:name w:val="批注文字 Char"/>
    <w:link w:val="18"/>
    <w:autoRedefine/>
    <w:qFormat/>
    <w:locked/>
    <w:uiPriority w:val="0"/>
    <w:rPr>
      <w:rFonts w:eastAsia="宋体"/>
      <w:kern w:val="2"/>
      <w:sz w:val="21"/>
      <w:szCs w:val="24"/>
      <w:lang w:val="en-US" w:eastAsia="zh-CN" w:bidi="ar-SA"/>
    </w:rPr>
  </w:style>
  <w:style w:type="character" w:customStyle="1" w:styleId="83">
    <w:name w:val="正文文本 3 Char"/>
    <w:basedOn w:val="52"/>
    <w:link w:val="19"/>
    <w:autoRedefine/>
    <w:qFormat/>
    <w:uiPriority w:val="0"/>
    <w:rPr>
      <w:rFonts w:ascii="宋体"/>
      <w:kern w:val="2"/>
      <w:sz w:val="24"/>
    </w:rPr>
  </w:style>
  <w:style w:type="character" w:customStyle="1" w:styleId="84">
    <w:name w:val="正文文本 Char"/>
    <w:link w:val="20"/>
    <w:autoRedefine/>
    <w:qFormat/>
    <w:uiPriority w:val="0"/>
    <w:rPr>
      <w:rFonts w:ascii="汉鼎简楷体" w:hAnsi="宋体" w:eastAsia="汉鼎简楷体"/>
      <w:b/>
      <w:bCs/>
      <w:spacing w:val="4"/>
      <w:kern w:val="2"/>
      <w:sz w:val="24"/>
      <w:lang w:val="en-US" w:eastAsia="zh-CN" w:bidi="ar-SA"/>
    </w:rPr>
  </w:style>
  <w:style w:type="character" w:customStyle="1" w:styleId="85">
    <w:name w:val="日期 Char"/>
    <w:link w:val="29"/>
    <w:autoRedefine/>
    <w:qFormat/>
    <w:uiPriority w:val="0"/>
    <w:rPr>
      <w:rFonts w:eastAsia="宋体"/>
      <w:kern w:val="2"/>
      <w:sz w:val="21"/>
      <w:szCs w:val="24"/>
      <w:lang w:val="en-US" w:eastAsia="zh-CN" w:bidi="ar-SA"/>
    </w:rPr>
  </w:style>
  <w:style w:type="character" w:customStyle="1" w:styleId="86">
    <w:name w:val="正文文本缩进 Char"/>
    <w:basedOn w:val="52"/>
    <w:link w:val="21"/>
    <w:autoRedefine/>
    <w:qFormat/>
    <w:uiPriority w:val="0"/>
    <w:rPr>
      <w:kern w:val="2"/>
      <w:sz w:val="21"/>
      <w:szCs w:val="24"/>
    </w:rPr>
  </w:style>
  <w:style w:type="character" w:customStyle="1" w:styleId="87">
    <w:name w:val="纯文本 Char"/>
    <w:link w:val="27"/>
    <w:autoRedefine/>
    <w:qFormat/>
    <w:uiPriority w:val="0"/>
    <w:rPr>
      <w:rFonts w:ascii="宋体" w:hAnsi="Courier New"/>
      <w:kern w:val="2"/>
      <w:sz w:val="21"/>
    </w:rPr>
  </w:style>
  <w:style w:type="character" w:customStyle="1" w:styleId="88">
    <w:name w:val="正文文本缩进 2 Char"/>
    <w:basedOn w:val="52"/>
    <w:link w:val="30"/>
    <w:autoRedefine/>
    <w:qFormat/>
    <w:uiPriority w:val="0"/>
    <w:rPr>
      <w:rFonts w:ascii="宋体" w:hAnsi="MS Sans Serif"/>
      <w:b/>
      <w:spacing w:val="12"/>
      <w:sz w:val="24"/>
    </w:rPr>
  </w:style>
  <w:style w:type="character" w:customStyle="1" w:styleId="89">
    <w:name w:val="尾注文本 Char"/>
    <w:basedOn w:val="52"/>
    <w:link w:val="31"/>
    <w:autoRedefine/>
    <w:qFormat/>
    <w:uiPriority w:val="0"/>
    <w:rPr>
      <w:kern w:val="2"/>
      <w:sz w:val="21"/>
      <w:szCs w:val="24"/>
    </w:rPr>
  </w:style>
  <w:style w:type="character" w:customStyle="1" w:styleId="90">
    <w:name w:val="批注框文本 Char"/>
    <w:link w:val="32"/>
    <w:autoRedefine/>
    <w:qFormat/>
    <w:uiPriority w:val="0"/>
    <w:rPr>
      <w:kern w:val="2"/>
      <w:sz w:val="18"/>
      <w:szCs w:val="18"/>
    </w:rPr>
  </w:style>
  <w:style w:type="character" w:customStyle="1" w:styleId="91">
    <w:name w:val="页脚 Char"/>
    <w:link w:val="33"/>
    <w:autoRedefine/>
    <w:qFormat/>
    <w:uiPriority w:val="0"/>
    <w:rPr>
      <w:rFonts w:eastAsia="宋体"/>
      <w:kern w:val="2"/>
      <w:sz w:val="18"/>
      <w:szCs w:val="18"/>
      <w:lang w:val="en-US" w:eastAsia="zh-CN" w:bidi="ar-SA"/>
    </w:rPr>
  </w:style>
  <w:style w:type="character" w:customStyle="1" w:styleId="92">
    <w:name w:val="页眉 Char"/>
    <w:link w:val="34"/>
    <w:autoRedefine/>
    <w:qFormat/>
    <w:uiPriority w:val="0"/>
    <w:rPr>
      <w:rFonts w:eastAsia="宋体"/>
      <w:kern w:val="2"/>
      <w:sz w:val="18"/>
      <w:szCs w:val="18"/>
      <w:lang w:val="en-US" w:eastAsia="zh-CN" w:bidi="ar-SA"/>
    </w:rPr>
  </w:style>
  <w:style w:type="character" w:customStyle="1" w:styleId="93">
    <w:name w:val="副标题 Char"/>
    <w:link w:val="37"/>
    <w:autoRedefine/>
    <w:qFormat/>
    <w:uiPriority w:val="0"/>
    <w:rPr>
      <w:rFonts w:ascii="Cambria" w:hAnsi="Cambria"/>
      <w:b/>
      <w:bCs/>
      <w:kern w:val="28"/>
      <w:sz w:val="32"/>
      <w:szCs w:val="32"/>
      <w:lang w:bidi="ar-SA"/>
    </w:rPr>
  </w:style>
  <w:style w:type="character" w:customStyle="1" w:styleId="94">
    <w:name w:val="脚注文本 Char2"/>
    <w:basedOn w:val="52"/>
    <w:link w:val="38"/>
    <w:autoRedefine/>
    <w:qFormat/>
    <w:uiPriority w:val="0"/>
    <w:rPr>
      <w:kern w:val="2"/>
      <w:sz w:val="18"/>
      <w:szCs w:val="18"/>
    </w:rPr>
  </w:style>
  <w:style w:type="character" w:customStyle="1" w:styleId="95">
    <w:name w:val="正文文本缩进 3 Char"/>
    <w:basedOn w:val="52"/>
    <w:link w:val="40"/>
    <w:autoRedefine/>
    <w:qFormat/>
    <w:uiPriority w:val="0"/>
    <w:rPr>
      <w:rFonts w:ascii="宋体" w:hAnsi="MS Sans Serif"/>
      <w:b/>
      <w:color w:val="000000"/>
      <w:sz w:val="24"/>
    </w:rPr>
  </w:style>
  <w:style w:type="character" w:customStyle="1" w:styleId="96">
    <w:name w:val="正文文本 2 Char"/>
    <w:basedOn w:val="52"/>
    <w:link w:val="43"/>
    <w:autoRedefine/>
    <w:qFormat/>
    <w:uiPriority w:val="0"/>
    <w:rPr>
      <w:rFonts w:ascii="宋体" w:hAnsi="宋体"/>
      <w:kern w:val="2"/>
      <w:sz w:val="28"/>
      <w:szCs w:val="24"/>
    </w:rPr>
  </w:style>
  <w:style w:type="character" w:customStyle="1" w:styleId="97">
    <w:name w:val="标题 Char"/>
    <w:link w:val="46"/>
    <w:autoRedefine/>
    <w:qFormat/>
    <w:uiPriority w:val="0"/>
    <w:rPr>
      <w:rFonts w:ascii="Arial" w:hAnsi="Arial" w:eastAsia="宋体" w:cs="Arial"/>
      <w:b/>
      <w:bCs/>
      <w:sz w:val="44"/>
      <w:szCs w:val="32"/>
      <w:lang w:val="en-US" w:eastAsia="zh-CN" w:bidi="ar-SA"/>
    </w:rPr>
  </w:style>
  <w:style w:type="character" w:customStyle="1" w:styleId="98">
    <w:name w:val="批注主题 Char"/>
    <w:link w:val="47"/>
    <w:autoRedefine/>
    <w:qFormat/>
    <w:uiPriority w:val="0"/>
    <w:rPr>
      <w:rFonts w:eastAsia="宋体"/>
      <w:b/>
      <w:bCs/>
      <w:kern w:val="2"/>
      <w:sz w:val="21"/>
      <w:szCs w:val="24"/>
      <w:lang w:val="en-US" w:eastAsia="zh-CN" w:bidi="ar-SA"/>
    </w:rPr>
  </w:style>
  <w:style w:type="character" w:customStyle="1" w:styleId="99">
    <w:name w:val="正文首行缩进 2 Char"/>
    <w:basedOn w:val="86"/>
    <w:link w:val="49"/>
    <w:autoRedefine/>
    <w:qFormat/>
    <w:uiPriority w:val="0"/>
    <w:rPr>
      <w:kern w:val="2"/>
      <w:sz w:val="21"/>
      <w:szCs w:val="24"/>
    </w:rPr>
  </w:style>
  <w:style w:type="character" w:customStyle="1" w:styleId="100">
    <w:name w:val="textcontents"/>
    <w:basedOn w:val="52"/>
    <w:autoRedefine/>
    <w:qFormat/>
    <w:uiPriority w:val="0"/>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明显引用 Char"/>
    <w:link w:val="103"/>
    <w:autoRedefine/>
    <w:qFormat/>
    <w:uiPriority w:val="0"/>
    <w:rPr>
      <w:b/>
      <w:bCs/>
      <w:i/>
      <w:iCs/>
      <w:color w:val="4F81BD"/>
      <w:kern w:val="2"/>
      <w:sz w:val="21"/>
      <w:szCs w:val="22"/>
      <w:lang w:bidi="ar-SA"/>
    </w:rPr>
  </w:style>
  <w:style w:type="paragraph" w:styleId="103">
    <w:name w:val="Intense Quote"/>
    <w:basedOn w:val="1"/>
    <w:next w:val="1"/>
    <w:link w:val="102"/>
    <w:autoRedefine/>
    <w:qFormat/>
    <w:uiPriority w:val="0"/>
    <w:pPr>
      <w:pBdr>
        <w:bottom w:val="single" w:color="4F81BD" w:sz="4" w:space="4"/>
      </w:pBdr>
      <w:spacing w:before="200" w:after="280"/>
      <w:ind w:left="936" w:right="936"/>
    </w:pPr>
    <w:rPr>
      <w:b/>
      <w:bCs/>
      <w:i/>
      <w:iCs/>
      <w:color w:val="4F81BD"/>
      <w:szCs w:val="22"/>
    </w:rPr>
  </w:style>
  <w:style w:type="character" w:customStyle="1" w:styleId="104">
    <w:name w:val="引用 Char"/>
    <w:link w:val="105"/>
    <w:autoRedefine/>
    <w:qFormat/>
    <w:uiPriority w:val="0"/>
    <w:rPr>
      <w:i/>
      <w:iCs/>
      <w:color w:val="000000"/>
      <w:kern w:val="2"/>
      <w:sz w:val="21"/>
      <w:szCs w:val="22"/>
      <w:lang w:bidi="ar-SA"/>
    </w:rPr>
  </w:style>
  <w:style w:type="paragraph" w:styleId="105">
    <w:name w:val="Quote"/>
    <w:basedOn w:val="1"/>
    <w:next w:val="1"/>
    <w:link w:val="104"/>
    <w:autoRedefine/>
    <w:qFormat/>
    <w:uiPriority w:val="0"/>
    <w:rPr>
      <w:i/>
      <w:iCs/>
      <w:color w:val="000000"/>
      <w:szCs w:val="22"/>
    </w:rPr>
  </w:style>
  <w:style w:type="character" w:customStyle="1" w:styleId="106">
    <w:name w:val="正文文本 (2)_"/>
    <w:link w:val="107"/>
    <w:autoRedefine/>
    <w:qFormat/>
    <w:uiPriority w:val="0"/>
    <w:rPr>
      <w:rFonts w:ascii="宋体" w:hAnsi="宋体"/>
      <w:sz w:val="22"/>
      <w:szCs w:val="22"/>
      <w:shd w:val="clear" w:color="auto" w:fill="FFFFFF"/>
    </w:rPr>
  </w:style>
  <w:style w:type="paragraph" w:customStyle="1" w:styleId="107">
    <w:name w:val="正文文本 (2)"/>
    <w:basedOn w:val="1"/>
    <w:link w:val="106"/>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08">
    <w:name w:val="Para head"/>
    <w:autoRedefine/>
    <w:qFormat/>
    <w:uiPriority w:val="0"/>
    <w:rPr>
      <w:rFonts w:ascii="Arial" w:hAnsi="Arial" w:eastAsia="Times New Roman"/>
      <w:sz w:val="20"/>
    </w:rPr>
  </w:style>
  <w:style w:type="character" w:customStyle="1" w:styleId="109">
    <w:name w:val="日期 Char1"/>
    <w:autoRedefine/>
    <w:qFormat/>
    <w:uiPriority w:val="0"/>
    <w:rPr>
      <w:kern w:val="2"/>
      <w:sz w:val="21"/>
      <w:szCs w:val="22"/>
    </w:rPr>
  </w:style>
  <w:style w:type="character" w:customStyle="1" w:styleId="110">
    <w:name w:val="尾注文本 Char1"/>
    <w:basedOn w:val="52"/>
    <w:autoRedefine/>
    <w:qFormat/>
    <w:uiPriority w:val="0"/>
    <w:rPr>
      <w:kern w:val="2"/>
      <w:sz w:val="21"/>
      <w:szCs w:val="24"/>
    </w:rPr>
  </w:style>
  <w:style w:type="character" w:customStyle="1" w:styleId="111">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2">
    <w:name w:val="Char Char2"/>
    <w:basedOn w:val="52"/>
    <w:autoRedefine/>
    <w:qFormat/>
    <w:locked/>
    <w:uiPriority w:val="0"/>
    <w:rPr>
      <w:rFonts w:ascii="宋体" w:hAnsi="Courier New" w:eastAsia="宋体" w:cs="Courier New"/>
      <w:kern w:val="2"/>
      <w:sz w:val="21"/>
      <w:szCs w:val="21"/>
      <w:lang w:val="en-US" w:eastAsia="zh-CN" w:bidi="ar-SA"/>
    </w:rPr>
  </w:style>
  <w:style w:type="character" w:customStyle="1" w:styleId="113">
    <w:name w:val="正文文本 3 Char1"/>
    <w:basedOn w:val="52"/>
    <w:autoRedefine/>
    <w:qFormat/>
    <w:uiPriority w:val="0"/>
    <w:rPr>
      <w:kern w:val="2"/>
      <w:sz w:val="16"/>
      <w:szCs w:val="16"/>
    </w:rPr>
  </w:style>
  <w:style w:type="character" w:customStyle="1" w:styleId="114">
    <w:name w:val="_Style 102"/>
    <w:autoRedefine/>
    <w:qFormat/>
    <w:uiPriority w:val="0"/>
    <w:rPr>
      <w:b/>
      <w:bCs/>
      <w:smallCaps/>
      <w:color w:val="C0504D"/>
      <w:spacing w:val="5"/>
      <w:u w:val="single"/>
    </w:rPr>
  </w:style>
  <w:style w:type="character" w:customStyle="1" w:styleId="115">
    <w:name w:val="正文文本 (7)_"/>
    <w:link w:val="116"/>
    <w:autoRedefine/>
    <w:qFormat/>
    <w:uiPriority w:val="0"/>
    <w:rPr>
      <w:rFonts w:ascii="宋体" w:hAnsi="宋体"/>
      <w:spacing w:val="10"/>
      <w:sz w:val="22"/>
      <w:szCs w:val="22"/>
      <w:shd w:val="clear" w:color="auto" w:fill="FFFFFF"/>
    </w:rPr>
  </w:style>
  <w:style w:type="paragraph" w:customStyle="1" w:styleId="116">
    <w:name w:val="正文文本 (7)"/>
    <w:basedOn w:val="1"/>
    <w:link w:val="115"/>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7">
    <w:name w:val="标题5 Char Char"/>
    <w:link w:val="118"/>
    <w:autoRedefine/>
    <w:qFormat/>
    <w:uiPriority w:val="0"/>
    <w:rPr>
      <w:rFonts w:ascii="Arial" w:hAnsi="Arial"/>
      <w:b/>
      <w:bCs/>
      <w:sz w:val="24"/>
      <w:szCs w:val="32"/>
      <w:lang w:bidi="ar-SA"/>
    </w:rPr>
  </w:style>
  <w:style w:type="paragraph" w:customStyle="1" w:styleId="118">
    <w:name w:val="标题5"/>
    <w:basedOn w:val="5"/>
    <w:link w:val="117"/>
    <w:autoRedefine/>
    <w:qFormat/>
    <w:uiPriority w:val="0"/>
    <w:pPr>
      <w:spacing w:before="260" w:after="260" w:line="413" w:lineRule="auto"/>
    </w:pPr>
    <w:rPr>
      <w:rFonts w:ascii="Arial" w:hAnsi="Arial"/>
      <w:kern w:val="0"/>
    </w:rPr>
  </w:style>
  <w:style w:type="character" w:customStyle="1" w:styleId="119">
    <w:name w:val="_Style 107"/>
    <w:autoRedefine/>
    <w:qFormat/>
    <w:uiPriority w:val="0"/>
    <w:rPr>
      <w:b/>
      <w:bCs/>
      <w:i/>
      <w:iCs/>
      <w:color w:val="4F81BD"/>
    </w:rPr>
  </w:style>
  <w:style w:type="character" w:customStyle="1" w:styleId="120">
    <w:name w:val="displayarti"/>
    <w:basedOn w:val="52"/>
    <w:autoRedefine/>
    <w:qFormat/>
    <w:uiPriority w:val="0"/>
    <w:rPr>
      <w:color w:val="FFFFFF"/>
      <w:shd w:val="clear" w:color="auto" w:fill="A00000"/>
    </w:rPr>
  </w:style>
  <w:style w:type="character" w:customStyle="1" w:styleId="121">
    <w:name w:val="脚注文本 Char"/>
    <w:basedOn w:val="52"/>
    <w:autoRedefine/>
    <w:qFormat/>
    <w:uiPriority w:val="99"/>
    <w:rPr>
      <w:kern w:val="2"/>
      <w:sz w:val="18"/>
      <w:szCs w:val="18"/>
    </w:rPr>
  </w:style>
  <w:style w:type="character" w:customStyle="1" w:styleId="122">
    <w:name w:val="正文文本 Char1"/>
    <w:autoRedefine/>
    <w:qFormat/>
    <w:uiPriority w:val="0"/>
    <w:rPr>
      <w:kern w:val="2"/>
      <w:sz w:val="21"/>
      <w:szCs w:val="22"/>
    </w:rPr>
  </w:style>
  <w:style w:type="character" w:customStyle="1" w:styleId="123">
    <w:name w:val="批注主题 Char1"/>
    <w:autoRedefine/>
    <w:qFormat/>
    <w:uiPriority w:val="0"/>
    <w:rPr>
      <w:b/>
      <w:bCs/>
      <w:kern w:val="2"/>
      <w:sz w:val="21"/>
      <w:szCs w:val="22"/>
    </w:rPr>
  </w:style>
  <w:style w:type="character" w:customStyle="1" w:styleId="124">
    <w:name w:val="脚注文本 Char1"/>
    <w:basedOn w:val="52"/>
    <w:autoRedefine/>
    <w:qFormat/>
    <w:uiPriority w:val="0"/>
    <w:rPr>
      <w:kern w:val="2"/>
      <w:sz w:val="18"/>
      <w:szCs w:val="18"/>
    </w:rPr>
  </w:style>
  <w:style w:type="character" w:customStyle="1" w:styleId="125">
    <w:name w:val="font161"/>
    <w:basedOn w:val="52"/>
    <w:autoRedefine/>
    <w:qFormat/>
    <w:uiPriority w:val="0"/>
    <w:rPr>
      <w:b/>
      <w:bCs/>
      <w:sz w:val="32"/>
      <w:szCs w:val="32"/>
    </w:rPr>
  </w:style>
  <w:style w:type="character" w:customStyle="1" w:styleId="126">
    <w:name w:val="批注框文本 Char1"/>
    <w:autoRedefine/>
    <w:qFormat/>
    <w:uiPriority w:val="0"/>
    <w:rPr>
      <w:kern w:val="2"/>
      <w:sz w:val="18"/>
      <w:szCs w:val="18"/>
    </w:rPr>
  </w:style>
  <w:style w:type="character" w:customStyle="1" w:styleId="127">
    <w:name w:val="正文文本 2 Char1"/>
    <w:basedOn w:val="52"/>
    <w:autoRedefine/>
    <w:qFormat/>
    <w:uiPriority w:val="0"/>
    <w:rPr>
      <w:kern w:val="2"/>
      <w:sz w:val="21"/>
      <w:szCs w:val="24"/>
    </w:rPr>
  </w:style>
  <w:style w:type="character" w:customStyle="1" w:styleId="128">
    <w:name w:val="文档结构图 Char1"/>
    <w:autoRedefine/>
    <w:qFormat/>
    <w:uiPriority w:val="0"/>
    <w:rPr>
      <w:rFonts w:ascii="宋体"/>
      <w:kern w:val="2"/>
      <w:sz w:val="18"/>
      <w:szCs w:val="18"/>
    </w:rPr>
  </w:style>
  <w:style w:type="character" w:customStyle="1" w:styleId="129">
    <w:name w:val="redfilenumber"/>
    <w:basedOn w:val="52"/>
    <w:autoRedefine/>
    <w:qFormat/>
    <w:uiPriority w:val="0"/>
    <w:rPr>
      <w:color w:val="BA2636"/>
      <w:sz w:val="18"/>
      <w:szCs w:val="18"/>
    </w:rPr>
  </w:style>
  <w:style w:type="character" w:customStyle="1" w:styleId="130">
    <w:name w:val="redfilefwwh"/>
    <w:basedOn w:val="52"/>
    <w:autoRedefine/>
    <w:qFormat/>
    <w:uiPriority w:val="0"/>
    <w:rPr>
      <w:color w:val="BA2636"/>
      <w:sz w:val="18"/>
      <w:szCs w:val="18"/>
    </w:rPr>
  </w:style>
  <w:style w:type="character" w:customStyle="1" w:styleId="131">
    <w:name w:val="qxdate"/>
    <w:basedOn w:val="52"/>
    <w:autoRedefine/>
    <w:qFormat/>
    <w:uiPriority w:val="0"/>
    <w:rPr>
      <w:color w:val="333333"/>
      <w:sz w:val="18"/>
      <w:szCs w:val="18"/>
    </w:rPr>
  </w:style>
  <w:style w:type="character" w:customStyle="1" w:styleId="132">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3">
    <w:name w:val="cfdate"/>
    <w:basedOn w:val="52"/>
    <w:autoRedefine/>
    <w:qFormat/>
    <w:uiPriority w:val="0"/>
    <w:rPr>
      <w:color w:val="333333"/>
      <w:sz w:val="18"/>
      <w:szCs w:val="18"/>
    </w:rPr>
  </w:style>
  <w:style w:type="character" w:customStyle="1" w:styleId="134">
    <w:name w:val="正文文本 (19)_"/>
    <w:link w:val="135"/>
    <w:autoRedefine/>
    <w:qFormat/>
    <w:uiPriority w:val="0"/>
    <w:rPr>
      <w:rFonts w:ascii="宋体" w:hAnsi="宋体"/>
      <w:b/>
      <w:bCs/>
      <w:sz w:val="23"/>
      <w:szCs w:val="23"/>
      <w:shd w:val="clear" w:color="auto" w:fill="FFFFFF"/>
    </w:rPr>
  </w:style>
  <w:style w:type="paragraph" w:customStyle="1" w:styleId="135">
    <w:name w:val="正文文本 (19)"/>
    <w:basedOn w:val="1"/>
    <w:link w:val="134"/>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6">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7">
    <w:name w:val="标题4 Char Char"/>
    <w:link w:val="138"/>
    <w:autoRedefine/>
    <w:qFormat/>
    <w:uiPriority w:val="0"/>
    <w:rPr>
      <w:rFonts w:ascii="Arial" w:hAnsi="Arial"/>
      <w:b/>
      <w:bCs/>
      <w:sz w:val="24"/>
      <w:szCs w:val="32"/>
      <w:lang w:bidi="ar-SA"/>
    </w:rPr>
  </w:style>
  <w:style w:type="paragraph" w:customStyle="1" w:styleId="138">
    <w:name w:val="标题4"/>
    <w:basedOn w:val="4"/>
    <w:next w:val="24"/>
    <w:link w:val="137"/>
    <w:autoRedefine/>
    <w:qFormat/>
    <w:uiPriority w:val="0"/>
    <w:pPr>
      <w:spacing w:line="413" w:lineRule="auto"/>
    </w:pPr>
    <w:rPr>
      <w:rFonts w:eastAsia="宋体"/>
      <w:kern w:val="0"/>
      <w:sz w:val="24"/>
    </w:rPr>
  </w:style>
  <w:style w:type="character" w:customStyle="1" w:styleId="139">
    <w:name w:val="标题 #7_"/>
    <w:link w:val="140"/>
    <w:autoRedefine/>
    <w:qFormat/>
    <w:uiPriority w:val="0"/>
    <w:rPr>
      <w:rFonts w:ascii="宋体" w:hAnsi="宋体"/>
      <w:b/>
      <w:bCs/>
      <w:sz w:val="23"/>
      <w:szCs w:val="23"/>
      <w:shd w:val="clear" w:color="auto" w:fill="FFFFFF"/>
    </w:rPr>
  </w:style>
  <w:style w:type="paragraph" w:customStyle="1" w:styleId="140">
    <w:name w:val="标题 #7"/>
    <w:basedOn w:val="1"/>
    <w:link w:val="139"/>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1">
    <w:name w:val="gjfg"/>
    <w:basedOn w:val="52"/>
    <w:autoRedefine/>
    <w:qFormat/>
    <w:uiPriority w:val="0"/>
  </w:style>
  <w:style w:type="character" w:customStyle="1" w:styleId="142">
    <w:name w:val="_Style 130"/>
    <w:autoRedefine/>
    <w:qFormat/>
    <w:uiPriority w:val="0"/>
    <w:rPr>
      <w:i/>
      <w:iCs/>
      <w:color w:val="808080"/>
    </w:rPr>
  </w:style>
  <w:style w:type="character" w:customStyle="1" w:styleId="143">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4">
    <w:name w:val="_Style 132"/>
    <w:autoRedefine/>
    <w:qFormat/>
    <w:uiPriority w:val="0"/>
    <w:rPr>
      <w:b/>
      <w:bCs/>
      <w:smallCaps/>
      <w:spacing w:val="5"/>
    </w:rPr>
  </w:style>
  <w:style w:type="character" w:customStyle="1" w:styleId="145">
    <w:name w:val="Char Char9"/>
    <w:autoRedefine/>
    <w:qFormat/>
    <w:uiPriority w:val="0"/>
    <w:rPr>
      <w:kern w:val="2"/>
      <w:sz w:val="21"/>
      <w:szCs w:val="22"/>
    </w:rPr>
  </w:style>
  <w:style w:type="character" w:customStyle="1" w:styleId="146">
    <w:name w:val="_Style 134"/>
    <w:autoRedefine/>
    <w:qFormat/>
    <w:uiPriority w:val="0"/>
    <w:rPr>
      <w:smallCaps/>
      <w:color w:val="C0504D"/>
      <w:u w:val="single"/>
    </w:rPr>
  </w:style>
  <w:style w:type="paragraph" w:customStyle="1" w:styleId="14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8">
    <w:name w:val="正文文本缩进1"/>
    <w:basedOn w:val="1"/>
    <w:autoRedefine/>
    <w:qFormat/>
    <w:uiPriority w:val="0"/>
    <w:pPr>
      <w:spacing w:line="360" w:lineRule="auto"/>
      <w:ind w:firstLine="479"/>
    </w:pPr>
    <w:rPr>
      <w:rFonts w:ascii="宋体" w:hAnsi="宋体" w:cs="宋体"/>
      <w:sz w:val="24"/>
    </w:rPr>
  </w:style>
  <w:style w:type="paragraph" w:styleId="1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默认段落字体 Para Char Char Char Char"/>
    <w:basedOn w:val="1"/>
    <w:autoRedefine/>
    <w:qFormat/>
    <w:uiPriority w:val="0"/>
    <w:rPr>
      <w:szCs w:val="20"/>
    </w:rPr>
  </w:style>
  <w:style w:type="paragraph" w:customStyle="1" w:styleId="151">
    <w:name w:val="表格"/>
    <w:basedOn w:val="1"/>
    <w:autoRedefine/>
    <w:qFormat/>
    <w:uiPriority w:val="0"/>
    <w:pPr>
      <w:jc w:val="center"/>
      <w:textAlignment w:val="center"/>
    </w:pPr>
    <w:rPr>
      <w:rFonts w:ascii="华文细黑" w:hAnsi="华文细黑"/>
      <w:kern w:val="0"/>
      <w:szCs w:val="20"/>
    </w:rPr>
  </w:style>
  <w:style w:type="paragraph" w:customStyle="1" w:styleId="152">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153">
    <w:name w:val="纯文本1"/>
    <w:basedOn w:val="1"/>
    <w:autoRedefine/>
    <w:qFormat/>
    <w:uiPriority w:val="99"/>
    <w:rPr>
      <w:rFonts w:ascii="宋体" w:hAnsi="Courier New"/>
      <w:szCs w:val="21"/>
    </w:rPr>
  </w:style>
  <w:style w:type="paragraph" w:customStyle="1" w:styleId="154">
    <w:name w:val="菲页1"/>
    <w:basedOn w:val="4"/>
    <w:autoRedefine/>
    <w:qFormat/>
    <w:uiPriority w:val="0"/>
    <w:pPr>
      <w:widowControl/>
      <w:jc w:val="center"/>
    </w:pPr>
    <w:rPr>
      <w:rFonts w:ascii="黑体" w:hAnsi="宋体"/>
      <w:bCs w:val="0"/>
      <w:kern w:val="0"/>
      <w:sz w:val="52"/>
      <w:szCs w:val="20"/>
    </w:rPr>
  </w:style>
  <w:style w:type="paragraph" w:customStyle="1" w:styleId="15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Char Char Char Char Char Char"/>
    <w:basedOn w:val="1"/>
    <w:autoRedefine/>
    <w:qFormat/>
    <w:uiPriority w:val="0"/>
  </w:style>
  <w:style w:type="paragraph" w:customStyle="1" w:styleId="157">
    <w:name w:val="样式1"/>
    <w:basedOn w:val="1"/>
    <w:next w:val="6"/>
    <w:autoRedefine/>
    <w:qFormat/>
    <w:uiPriority w:val="0"/>
    <w:pPr>
      <w:spacing w:line="360" w:lineRule="auto"/>
      <w:ind w:firstLine="420" w:firstLineChars="200"/>
    </w:pPr>
    <w:rPr>
      <w:rFonts w:ascii="宋体" w:hAnsi="宋体"/>
      <w:szCs w:val="21"/>
    </w:rPr>
  </w:style>
  <w:style w:type="paragraph" w:customStyle="1" w:styleId="158">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59">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0">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1">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_Style 150"/>
    <w:basedOn w:val="3"/>
    <w:next w:val="1"/>
    <w:autoRedefine/>
    <w:qFormat/>
    <w:uiPriority w:val="0"/>
    <w:pPr>
      <w:spacing w:before="340" w:after="330" w:line="576" w:lineRule="auto"/>
      <w:outlineLvl w:val="9"/>
    </w:pPr>
    <w:rPr>
      <w:rFonts w:ascii="Calibri" w:hAnsi="Calibri"/>
      <w:sz w:val="44"/>
    </w:rPr>
  </w:style>
  <w:style w:type="paragraph" w:customStyle="1" w:styleId="16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Cs w:val="2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5">
    <w:name w:val="1"/>
    <w:basedOn w:val="1"/>
    <w:next w:val="1"/>
    <w:autoRedefine/>
    <w:qFormat/>
    <w:uiPriority w:val="0"/>
  </w:style>
  <w:style w:type="paragraph" w:customStyle="1" w:styleId="166">
    <w:name w:val="刊登"/>
    <w:basedOn w:val="1"/>
    <w:autoRedefine/>
    <w:qFormat/>
    <w:uiPriority w:val="0"/>
    <w:pPr>
      <w:ind w:firstLine="588"/>
    </w:pPr>
    <w:rPr>
      <w:sz w:val="30"/>
    </w:rPr>
  </w:style>
  <w:style w:type="paragraph" w:customStyle="1" w:styleId="16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69">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0">
    <w:name w:val="List Paragraph"/>
    <w:basedOn w:val="1"/>
    <w:autoRedefine/>
    <w:qFormat/>
    <w:uiPriority w:val="0"/>
    <w:pPr>
      <w:ind w:firstLine="420" w:firstLineChars="200"/>
    </w:pPr>
    <w:rPr>
      <w:rFonts w:ascii="Calibri" w:hAnsi="Calibri"/>
      <w:szCs w:val="22"/>
    </w:rPr>
  </w:style>
  <w:style w:type="paragraph" w:customStyle="1" w:styleId="171">
    <w:name w:val="菲页(卷)"/>
    <w:basedOn w:val="3"/>
    <w:next w:val="167"/>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4">
    <w:name w:val="List Paragraph1"/>
    <w:basedOn w:val="1"/>
    <w:autoRedefine/>
    <w:qFormat/>
    <w:uiPriority w:val="0"/>
    <w:pPr>
      <w:ind w:firstLine="420" w:firstLineChars="200"/>
    </w:pPr>
    <w:rPr>
      <w:rFonts w:ascii="Calibri" w:hAnsi="Calibri"/>
      <w:szCs w:val="22"/>
    </w:rPr>
  </w:style>
  <w:style w:type="paragraph" w:customStyle="1" w:styleId="175">
    <w:name w:val="菲页2"/>
    <w:basedOn w:val="5"/>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6">
    <w:name w:val="1.正文"/>
    <w:basedOn w:val="1"/>
    <w:autoRedefine/>
    <w:qFormat/>
    <w:uiPriority w:val="0"/>
    <w:pPr>
      <w:spacing w:line="360" w:lineRule="auto"/>
      <w:ind w:left="540" w:leftChars="225" w:firstLine="540" w:firstLineChars="225"/>
    </w:pPr>
    <w:rPr>
      <w:sz w:val="24"/>
      <w:szCs w:val="20"/>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8">
    <w:name w:val="List Paragraph2"/>
    <w:basedOn w:val="1"/>
    <w:autoRedefine/>
    <w:qFormat/>
    <w:uiPriority w:val="0"/>
    <w:pPr>
      <w:widowControl/>
      <w:ind w:firstLine="420" w:firstLineChars="200"/>
      <w:jc w:val="center"/>
    </w:pPr>
    <w:rPr>
      <w:b/>
      <w:kern w:val="0"/>
      <w:sz w:val="44"/>
      <w:szCs w:val="20"/>
    </w:rPr>
  </w:style>
  <w:style w:type="paragraph" w:customStyle="1" w:styleId="179">
    <w:name w:val="表格文字"/>
    <w:basedOn w:val="1"/>
    <w:autoRedefine/>
    <w:qFormat/>
    <w:uiPriority w:val="0"/>
    <w:pPr>
      <w:adjustRightInd w:val="0"/>
      <w:spacing w:line="420" w:lineRule="atLeast"/>
      <w:jc w:val="left"/>
      <w:textAlignment w:val="baseline"/>
    </w:pPr>
    <w:rPr>
      <w:kern w:val="0"/>
      <w:szCs w:val="20"/>
    </w:rPr>
  </w:style>
  <w:style w:type="paragraph" w:customStyle="1" w:styleId="180">
    <w:name w:val="_Style 138"/>
    <w:basedOn w:val="1"/>
    <w:autoRedefine/>
    <w:qFormat/>
    <w:uiPriority w:val="0"/>
    <w:pPr>
      <w:widowControl/>
      <w:spacing w:after="160" w:line="360" w:lineRule="auto"/>
      <w:ind w:firstLine="200" w:firstLineChars="200"/>
      <w:jc w:val="left"/>
    </w:pPr>
  </w:style>
  <w:style w:type="paragraph" w:customStyle="1" w:styleId="181">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2">
    <w:name w:val="Char Char Char Char Char Char1"/>
    <w:basedOn w:val="1"/>
    <w:autoRedefine/>
    <w:qFormat/>
    <w:uiPriority w:val="0"/>
  </w:style>
  <w:style w:type="paragraph" w:customStyle="1" w:styleId="183">
    <w:name w:val="目录"/>
    <w:basedOn w:val="1"/>
    <w:autoRedefine/>
    <w:qFormat/>
    <w:uiPriority w:val="0"/>
    <w:pPr>
      <w:widowControl/>
      <w:jc w:val="center"/>
    </w:pPr>
    <w:rPr>
      <w:rFonts w:ascii="宋体"/>
      <w:kern w:val="0"/>
      <w:sz w:val="36"/>
      <w:szCs w:val="20"/>
    </w:rPr>
  </w:style>
  <w:style w:type="paragraph" w:customStyle="1" w:styleId="1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Table Paragraph"/>
    <w:basedOn w:val="1"/>
    <w:autoRedefine/>
    <w:qFormat/>
    <w:uiPriority w:val="1"/>
    <w:rPr>
      <w:rFonts w:ascii="Calibri" w:hAnsi="Calibri"/>
    </w:rPr>
  </w:style>
  <w:style w:type="character" w:customStyle="1" w:styleId="187">
    <w:name w:val="t-tree-icon"/>
    <w:basedOn w:val="52"/>
    <w:autoRedefine/>
    <w:qFormat/>
    <w:uiPriority w:val="0"/>
  </w:style>
  <w:style w:type="character" w:customStyle="1" w:styleId="188">
    <w:name w:val="hover11"/>
    <w:basedOn w:val="52"/>
    <w:autoRedefine/>
    <w:qFormat/>
    <w:uiPriority w:val="0"/>
    <w:rPr>
      <w:color w:val="FFFFFF"/>
      <w:shd w:val="clear" w:color="auto" w:fill="00C1B3"/>
    </w:rPr>
  </w:style>
  <w:style w:type="character" w:customStyle="1" w:styleId="189">
    <w:name w:val="hover12"/>
    <w:basedOn w:val="52"/>
    <w:autoRedefine/>
    <w:qFormat/>
    <w:uiPriority w:val="0"/>
    <w:rPr>
      <w:color w:val="FFFFFF"/>
      <w:shd w:val="clear" w:color="auto" w:fill="00C1B3"/>
    </w:rPr>
  </w:style>
  <w:style w:type="character" w:customStyle="1" w:styleId="190">
    <w:name w:val="hover13"/>
    <w:basedOn w:val="52"/>
    <w:autoRedefine/>
    <w:qFormat/>
    <w:uiPriority w:val="0"/>
    <w:rPr>
      <w:sz w:val="21"/>
      <w:szCs w:val="21"/>
    </w:rPr>
  </w:style>
  <w:style w:type="character" w:customStyle="1" w:styleId="191">
    <w:name w:val="t-tree-expanded"/>
    <w:basedOn w:val="52"/>
    <w:autoRedefine/>
    <w:qFormat/>
    <w:uiPriority w:val="0"/>
  </w:style>
  <w:style w:type="character" w:customStyle="1" w:styleId="192">
    <w:name w:val="t-ajax-wait"/>
    <w:basedOn w:val="52"/>
    <w:autoRedefine/>
    <w:qFormat/>
    <w:uiPriority w:val="0"/>
  </w:style>
  <w:style w:type="character" w:customStyle="1" w:styleId="193">
    <w:name w:val="label"/>
    <w:basedOn w:val="52"/>
    <w:autoRedefine/>
    <w:qFormat/>
    <w:uiPriority w:val="0"/>
    <w:rPr>
      <w:color w:val="1C84C6"/>
      <w:shd w:val="clear" w:color="auto" w:fill="FFFFFF"/>
    </w:rPr>
  </w:style>
  <w:style w:type="character" w:customStyle="1" w:styleId="194">
    <w:name w:val="label1"/>
    <w:basedOn w:val="52"/>
    <w:autoRedefine/>
    <w:qFormat/>
    <w:uiPriority w:val="0"/>
    <w:rPr>
      <w:color w:val="1CC09F"/>
      <w:shd w:val="clear" w:color="auto" w:fill="FFFFFF"/>
    </w:rPr>
  </w:style>
  <w:style w:type="character" w:customStyle="1" w:styleId="195">
    <w:name w:val="label2"/>
    <w:basedOn w:val="52"/>
    <w:autoRedefine/>
    <w:qFormat/>
    <w:uiPriority w:val="0"/>
  </w:style>
  <w:style w:type="character" w:customStyle="1" w:styleId="196">
    <w:name w:val="label3"/>
    <w:basedOn w:val="52"/>
    <w:autoRedefine/>
    <w:qFormat/>
    <w:uiPriority w:val="0"/>
  </w:style>
  <w:style w:type="paragraph" w:customStyle="1" w:styleId="197">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 w:type="paragraph" w:customStyle="1" w:styleId="198">
    <w:name w:val="Normal_4"/>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99">
    <w:name w:val="列出段落1"/>
    <w:basedOn w:val="1"/>
    <w:autoRedefine/>
    <w:qFormat/>
    <w:uiPriority w:val="34"/>
    <w:pPr>
      <w:ind w:firstLine="420" w:firstLineChars="200"/>
    </w:pPr>
  </w:style>
  <w:style w:type="character" w:customStyle="1" w:styleId="200">
    <w:name w:val="layui-layer-tabnow"/>
    <w:basedOn w:val="52"/>
    <w:qFormat/>
    <w:uiPriority w:val="0"/>
    <w:rPr>
      <w:bdr w:val="single" w:color="CCCCCC" w:sz="4" w:space="0"/>
      <w:shd w:val="clear" w:fill="FFFFFF"/>
    </w:rPr>
  </w:style>
  <w:style w:type="character" w:customStyle="1" w:styleId="201">
    <w:name w:val="first-child"/>
    <w:basedOn w:val="52"/>
    <w:qFormat/>
    <w:uiPriority w:val="0"/>
  </w:style>
  <w:style w:type="paragraph" w:customStyle="1" w:styleId="202">
    <w:name w:val="段"/>
    <w:next w:val="1"/>
    <w:qFormat/>
    <w:uiPriority w:val="0"/>
    <w:pPr>
      <w:ind w:firstLine="200"/>
      <w:jc w:val="both"/>
    </w:pPr>
    <w:rPr>
      <w:rFonts w:hint="default" w:ascii="宋体" w:hAnsi="Calibri" w:eastAsia="Times New Roman" w:cs="Times New Roman"/>
      <w:sz w:val="21"/>
    </w:rPr>
  </w:style>
  <w:style w:type="paragraph" w:customStyle="1" w:styleId="203">
    <w:name w:val="正文2"/>
    <w:basedOn w:val="1"/>
    <w:qFormat/>
    <w:uiPriority w:val="0"/>
    <w:pPr>
      <w:adjustRightInd w:val="0"/>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126</Pages>
  <Words>26686</Words>
  <Characters>28638</Characters>
  <Lines>428</Lines>
  <Paragraphs>120</Paragraphs>
  <TotalTime>145</TotalTime>
  <ScaleCrop>false</ScaleCrop>
  <LinksUpToDate>false</LinksUpToDate>
  <CharactersWithSpaces>31536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孙宝辉0929</cp:lastModifiedBy>
  <cp:lastPrinted>2025-07-31T05:56:00Z</cp:lastPrinted>
  <dcterms:modified xsi:type="dcterms:W3CDTF">2025-08-14T04:10:25Z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91B5DF9BB77B4082B65A08AE18C4B5AF_13</vt:lpwstr>
  </property>
  <property fmtid="{D5CDD505-2E9C-101B-9397-08002B2CF9AE}" pid="4" name="KSOTemplateDocerSaveRecord">
    <vt:lpwstr>eyJoZGlkIjoiN2ZmNDIwODNiMGNjMTA1YjcwNTViYzUzNzkwYzZiNzgiLCJ1c2VySWQiOiIxMTI3ODI3NTMwIn0=</vt:lpwstr>
  </property>
</Properties>
</file>