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562"/>
        <w:rPr>
          <w:rFonts w:ascii="方正仿宋_GBK" w:hAnsi="方正仿宋_GBK" w:eastAsia="方正仿宋_GBK" w:cs="方正仿宋_GBK"/>
          <w:b/>
          <w:bCs/>
          <w:sz w:val="28"/>
          <w:szCs w:val="32"/>
          <w:highlight w:val="none"/>
        </w:rPr>
      </w:pPr>
      <w:bookmarkStart w:id="29" w:name="_GoBack"/>
      <w:r>
        <w:rPr>
          <w:rFonts w:ascii="方正仿宋_GBK" w:hAnsi="方正仿宋_GBK" w:eastAsia="方正仿宋_GBK" w:cs="方正仿宋_GBK"/>
          <w:b/>
          <w:bCs/>
          <w:sz w:val="28"/>
          <w:szCs w:val="32"/>
          <w:highlight w:val="none"/>
        </w:rPr>
        <w:t>规范投标行为，严禁串通投标、虚假投标方面：</w:t>
      </w:r>
    </w:p>
    <w:p>
      <w:pPr>
        <w:numPr>
          <w:ilvl w:val="0"/>
          <w:numId w:val="1"/>
        </w:numPr>
        <w:spacing w:line="360" w:lineRule="auto"/>
        <w:ind w:firstLine="560" w:firstLineChars="200"/>
        <w:rPr>
          <w:rFonts w:ascii="方正仿宋_GBK" w:hAnsi="方正仿宋_GBK" w:eastAsia="方正仿宋_GBK" w:cs="方正仿宋_GBK"/>
          <w:sz w:val="28"/>
          <w:szCs w:val="32"/>
          <w:highlight w:val="none"/>
        </w:rPr>
      </w:pPr>
      <w:r>
        <w:rPr>
          <w:rFonts w:ascii="方正仿宋_GBK" w:hAnsi="方正仿宋_GBK" w:eastAsia="方正仿宋_GBK" w:cs="方正仿宋_GBK"/>
          <w:sz w:val="28"/>
          <w:szCs w:val="32"/>
          <w:highlight w:val="none"/>
        </w:rPr>
        <w:t>投标活动和投标文件是企业行为，投标人及其法定代表人（负责人）要对其负全部责任。一旦发生涉及供应商不良行为处理的情况，投标人不得以员工个人原因、</w:t>
      </w:r>
      <w:r>
        <w:rPr>
          <w:rFonts w:ascii="方正仿宋_GBK" w:hAnsi="方正仿宋_GBK" w:eastAsia="方正仿宋_GBK" w:cs="方正仿宋_GBK"/>
          <w:color w:val="0000FF"/>
          <w:sz w:val="28"/>
          <w:szCs w:val="32"/>
          <w:highlight w:val="none"/>
        </w:rPr>
        <w:t>其他投标人侵权</w:t>
      </w:r>
      <w:r>
        <w:rPr>
          <w:rFonts w:ascii="方正仿宋_GBK" w:hAnsi="方正仿宋_GBK" w:eastAsia="方正仿宋_GBK" w:cs="方正仿宋_GBK"/>
          <w:sz w:val="28"/>
          <w:szCs w:val="32"/>
          <w:highlight w:val="none"/>
        </w:rPr>
        <w:t>等任何理由或借口申诉免于处理，招标人也无义务进行核查。</w:t>
      </w:r>
    </w:p>
    <w:p>
      <w:pPr>
        <w:numPr>
          <w:ilvl w:val="0"/>
          <w:numId w:val="1"/>
        </w:numPr>
        <w:spacing w:line="360" w:lineRule="auto"/>
        <w:ind w:firstLine="560" w:firstLineChars="200"/>
        <w:rPr>
          <w:rFonts w:ascii="方正仿宋_GBK" w:hAnsi="方正仿宋_GBK" w:eastAsia="方正仿宋_GBK" w:cs="方正仿宋_GBK"/>
          <w:sz w:val="28"/>
          <w:szCs w:val="32"/>
          <w:highlight w:val="none"/>
        </w:rPr>
      </w:pPr>
      <w:r>
        <w:rPr>
          <w:rFonts w:ascii="方正仿宋_GBK" w:hAnsi="方正仿宋_GBK" w:eastAsia="方正仿宋_GBK" w:cs="方正仿宋_GBK"/>
          <w:sz w:val="28"/>
          <w:szCs w:val="32"/>
          <w:highlight w:val="none"/>
        </w:rPr>
        <w:t>做好投标信息（包括但不限于参与的投标项目、投标人信息、投标报价、投标文件内容等）保密工作，若发生投标信息失密，造成投标人信息、投标文件内容或投标报价异常一致的，其后果由投标人自负。</w:t>
      </w:r>
    </w:p>
    <w:p>
      <w:pPr>
        <w:numPr>
          <w:ilvl w:val="0"/>
          <w:numId w:val="1"/>
        </w:numPr>
        <w:spacing w:line="360" w:lineRule="auto"/>
        <w:ind w:firstLine="562" w:firstLineChars="200"/>
        <w:rPr>
          <w:rFonts w:ascii="方正仿宋_GBK" w:hAnsi="方正仿宋_GBK" w:eastAsia="方正仿宋_GBK" w:cs="方正仿宋_GBK"/>
          <w:sz w:val="28"/>
          <w:szCs w:val="32"/>
          <w:highlight w:val="none"/>
        </w:rPr>
      </w:pPr>
      <w:r>
        <w:rPr>
          <w:rFonts w:ascii="方正仿宋_GBK" w:hAnsi="方正仿宋_GBK" w:eastAsia="方正仿宋_GBK" w:cs="方正仿宋_GBK"/>
          <w:b/>
          <w:bCs/>
          <w:sz w:val="28"/>
          <w:szCs w:val="32"/>
          <w:highlight w:val="none"/>
        </w:rPr>
        <w:t>投标人必须根据自身情况独立、慎重提出投标报价，特别是不得使用有规律有规则性的报价策略。</w:t>
      </w:r>
      <w:r>
        <w:rPr>
          <w:rFonts w:ascii="方正仿宋_GBK" w:hAnsi="方正仿宋_GBK" w:eastAsia="方正仿宋_GBK" w:cs="方正仿宋_GBK"/>
          <w:sz w:val="28"/>
          <w:szCs w:val="32"/>
          <w:highlight w:val="none"/>
        </w:rPr>
        <w:t>报价异常一致或呈规律性差异的，将会按照《国家电网有限公司采购活动识别与应对围标串标工作指南》进行处理。</w:t>
      </w:r>
    </w:p>
    <w:p>
      <w:pPr>
        <w:numPr>
          <w:ilvl w:val="0"/>
          <w:numId w:val="1"/>
        </w:numPr>
        <w:spacing w:line="360" w:lineRule="auto"/>
        <w:ind w:firstLine="560" w:firstLineChars="200"/>
        <w:rPr>
          <w:rFonts w:ascii="方正仿宋_GBK" w:hAnsi="方正仿宋_GBK" w:eastAsia="方正仿宋_GBK" w:cs="方正仿宋_GBK"/>
          <w:sz w:val="28"/>
          <w:szCs w:val="32"/>
          <w:highlight w:val="none"/>
        </w:rPr>
      </w:pPr>
      <w:r>
        <w:rPr>
          <w:rFonts w:ascii="方正仿宋_GBK" w:hAnsi="方正仿宋_GBK" w:eastAsia="方正仿宋_GBK" w:cs="方正仿宋_GBK"/>
          <w:sz w:val="28"/>
          <w:szCs w:val="32"/>
          <w:highlight w:val="none"/>
        </w:rPr>
        <w:t>注意核对并及时更新信用中国、国家企业信用信息公示系统、国家电网新一代电子商务平台、四川电子投标辅助工具等相关系统平台的注册信息、企业基本信息，特别是获取招标文件阶段填报的信息（如联系人姓名、电话、邮箱、公司地址等），确保其真实性和有效性。企业信息相同的，将会按照《国家电网有限公司采购活动识别与应对围标串标工作指南》进行处理。</w:t>
      </w:r>
    </w:p>
    <w:p>
      <w:pPr>
        <w:numPr>
          <w:ilvl w:val="0"/>
          <w:numId w:val="1"/>
        </w:numPr>
        <w:spacing w:line="360" w:lineRule="auto"/>
        <w:ind w:firstLine="560" w:firstLineChars="200"/>
        <w:rPr>
          <w:rFonts w:ascii="方正仿宋_GBK" w:hAnsi="方正仿宋_GBK" w:eastAsia="方正仿宋_GBK" w:cs="方正仿宋_GBK"/>
          <w:sz w:val="28"/>
          <w:szCs w:val="32"/>
          <w:highlight w:val="none"/>
        </w:rPr>
      </w:pPr>
      <w:r>
        <w:rPr>
          <w:rFonts w:ascii="方正仿宋_GBK" w:hAnsi="方正仿宋_GBK" w:eastAsia="方正仿宋_GBK" w:cs="方正仿宋_GBK"/>
          <w:sz w:val="28"/>
          <w:szCs w:val="32"/>
          <w:highlight w:val="none"/>
        </w:rPr>
        <w:t>使用独有的投标文件和电脑。所有投标文件内容（包括不限于投标文件的文字、图片、投标报价等）以及上传招投标信息系统（包括国家电网新一代电子商务平台和四川电子投标辅助工具）的电子投标文件计算机MAC地址、CPU序列号、硬盘序列号信息，出现异常一致的，将会按照《国家电网有限公司采购活动识别与应对围标串标工作指南》进行处理。</w:t>
      </w:r>
    </w:p>
    <w:p>
      <w:pPr>
        <w:spacing w:line="360" w:lineRule="auto"/>
        <w:ind w:right="-58"/>
        <w:jc w:val="right"/>
        <w:rPr>
          <w:rFonts w:ascii="方正仿宋_GBK" w:hAnsi="方正仿宋_GBK" w:eastAsia="方正仿宋_GBK" w:cs="方正仿宋_GBK"/>
          <w:sz w:val="28"/>
          <w:szCs w:val="32"/>
          <w:highlight w:val="none"/>
        </w:rPr>
      </w:pPr>
      <w:r>
        <w:rPr>
          <w:rFonts w:ascii="方正仿宋_GBK" w:hAnsi="方正仿宋_GBK" w:eastAsia="方正仿宋_GBK" w:cs="方正仿宋_GBK"/>
          <w:sz w:val="28"/>
          <w:szCs w:val="32"/>
          <w:highlight w:val="none"/>
        </w:rPr>
        <w:t>投标人须确保投标文件中涉及的业绩情况、资质证书、技术参数响应情况的真实性，严禁资质造假、发票冲红等虚假投标行为。一旦发现虚假投标行为，都将严格按照供应商不良行为相关规定进行处理。</w:t>
      </w:r>
    </w:p>
    <w:p>
      <w:pPr>
        <w:pStyle w:val="2"/>
        <w:rPr>
          <w:highlight w:val="none"/>
        </w:rPr>
      </w:pPr>
      <w:r>
        <w:rPr>
          <w:highlight w:val="none"/>
        </w:rPr>
        <w:br w:type="page"/>
      </w: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pPr>
        <w:pStyle w:val="2"/>
        <w:ind w:firstLine="0"/>
        <w:rPr>
          <w:highlight w:val="none"/>
        </w:rPr>
      </w:pP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国网四川省电力公司建设分公司</w:t>
      </w: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国网四川省电力公司建设分公司2025年第三次非物资竞争性谈判授权采购项目</w:t>
      </w: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采购文件</w:t>
      </w:r>
    </w:p>
    <w:p>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pPr>
        <w:adjustRightInd w:val="0"/>
        <w:snapToGrid w:val="0"/>
        <w:spacing w:line="360" w:lineRule="auto"/>
        <w:jc w:val="center"/>
        <w:rPr>
          <w:rFonts w:ascii="黑体" w:eastAsia="黑体"/>
          <w:color w:val="000000" w:themeColor="text1"/>
          <w:sz w:val="30"/>
          <w:szCs w:val="32"/>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国网四川省电力公司建设分公司</w:t>
      </w:r>
    </w:p>
    <w:p>
      <w:pPr>
        <w:jc w:val="center"/>
        <w:rPr>
          <w:color w:val="000000" w:themeColor="text1"/>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二〇二五年</w:t>
      </w:r>
    </w:p>
    <w:p>
      <w:pPr>
        <w:widowControl/>
        <w:ind w:firstLine="640"/>
        <w:rPr>
          <w:rFonts w:eastAsia="黑体"/>
          <w:color w:val="000000" w:themeColor="text1"/>
          <w:sz w:val="32"/>
          <w:highlight w:val="none"/>
          <w14:textFill>
            <w14:solidFill>
              <w14:schemeClr w14:val="tx1"/>
            </w14:solidFill>
          </w14:textFill>
        </w:rPr>
      </w:pPr>
    </w:p>
    <w:p>
      <w:pPr>
        <w:adjustRightInd w:val="0"/>
        <w:snapToGrid w:val="0"/>
        <w:ind w:firstLine="562"/>
        <w:jc w:val="center"/>
        <w:outlineLvl w:val="0"/>
        <w:rPr>
          <w:rFonts w:ascii="黑体" w:eastAsia="黑体"/>
          <w:b/>
          <w:color w:val="000000" w:themeColor="text1"/>
          <w:sz w:val="28"/>
          <w:szCs w:val="28"/>
          <w:highlight w:val="none"/>
          <w14:textFill>
            <w14:solidFill>
              <w14:schemeClr w14:val="tx1"/>
            </w14:solidFill>
          </w14:textFill>
        </w:rPr>
        <w:sectPr>
          <w:headerReference r:id="rId4" w:type="first"/>
          <w:footerReference r:id="rId6" w:type="first"/>
          <w:headerReference r:id="rId3" w:type="default"/>
          <w:footerReference r:id="rId5" w:type="default"/>
          <w:pgSz w:w="11905" w:h="16838"/>
          <w:pgMar w:top="1134" w:right="1803" w:bottom="1134" w:left="1803" w:header="850" w:footer="992" w:gutter="0"/>
          <w:pgNumType w:start="0"/>
          <w:cols w:space="0" w:num="1"/>
          <w:docGrid w:type="lines" w:linePitch="317" w:charSpace="0"/>
        </w:sectPr>
      </w:pPr>
    </w:p>
    <w:p>
      <w:pPr>
        <w:adjustRightInd w:val="0"/>
        <w:snapToGrid w:val="0"/>
        <w:jc w:val="center"/>
        <w:outlineLvl w:val="0"/>
        <w:rPr>
          <w:rFonts w:ascii="黑体" w:eastAsia="黑体"/>
          <w:b/>
          <w:color w:val="000000" w:themeColor="text1"/>
          <w:sz w:val="44"/>
          <w:szCs w:val="44"/>
          <w:highlight w:val="none"/>
          <w14:textFill>
            <w14:solidFill>
              <w14:schemeClr w14:val="tx1"/>
            </w14:solidFill>
          </w14:textFill>
        </w:rPr>
      </w:pPr>
      <w:r>
        <w:rPr>
          <w:rFonts w:hint="eastAsia" w:ascii="黑体" w:eastAsia="黑体"/>
          <w:b/>
          <w:color w:val="000000" w:themeColor="text1"/>
          <w:sz w:val="44"/>
          <w:szCs w:val="44"/>
          <w:highlight w:val="none"/>
          <w14:textFill>
            <w14:solidFill>
              <w14:schemeClr w14:val="tx1"/>
            </w14:solidFill>
          </w14:textFill>
        </w:rPr>
        <w:t>目  录</w:t>
      </w:r>
    </w:p>
    <w:p>
      <w:pPr>
        <w:adjustRightInd w:val="0"/>
        <w:spacing w:line="360" w:lineRule="auto"/>
        <w:ind w:firstLine="880"/>
        <w:jc w:val="center"/>
        <w:rPr>
          <w:rFonts w:ascii="黑体" w:eastAsia="黑体"/>
          <w:color w:val="000000" w:themeColor="text1"/>
          <w:sz w:val="44"/>
          <w:highlight w:val="none"/>
          <w14:textFill>
            <w14:solidFill>
              <w14:schemeClr w14:val="tx1"/>
            </w14:solidFill>
          </w14:textFill>
        </w:rPr>
      </w:pPr>
    </w:p>
    <w:p>
      <w:pPr>
        <w:pStyle w:val="19"/>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第一章  采购公告</w:t>
      </w:r>
    </w:p>
    <w:p>
      <w:pPr>
        <w:pStyle w:val="19"/>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第二章  应答人须知</w:t>
      </w:r>
    </w:p>
    <w:p>
      <w:pPr>
        <w:pStyle w:val="19"/>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第三章  合同条款</w:t>
      </w:r>
    </w:p>
    <w:p>
      <w:pPr>
        <w:pStyle w:val="19"/>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第四章  技术规范书</w:t>
      </w:r>
    </w:p>
    <w:p>
      <w:pPr>
        <w:pStyle w:val="19"/>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第五章  应答文件格式</w:t>
      </w:r>
    </w:p>
    <w:p>
      <w:pPr>
        <w:rPr>
          <w:rFonts w:ascii="黑体" w:hAnsi="黑体" w:eastAsia="黑体" w:cstheme="minorEastAsia"/>
          <w:b/>
          <w:color w:val="000000" w:themeColor="text1"/>
          <w:sz w:val="28"/>
          <w:szCs w:val="21"/>
          <w:highlight w:val="none"/>
          <w14:textFill>
            <w14:solidFill>
              <w14:schemeClr w14:val="tx1"/>
            </w14:solidFill>
          </w14:textFill>
        </w:rPr>
      </w:pPr>
    </w:p>
    <w:p>
      <w:pPr>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br w:type="page"/>
      </w:r>
    </w:p>
    <w:p>
      <w:pPr>
        <w:adjustRightInd w:val="0"/>
        <w:snapToGrid w:val="0"/>
        <w:jc w:val="center"/>
        <w:outlineLvl w:val="0"/>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t>第一章  采购公告</w:t>
      </w:r>
    </w:p>
    <w:p>
      <w:pPr>
        <w:adjustRightInd w:val="0"/>
        <w:snapToGrid w:val="0"/>
        <w:rPr>
          <w:rFonts w:asciiTheme="minorEastAsia" w:hAnsiTheme="minorEastAsia" w:eastAsiaTheme="minorEastAsia" w:cstheme="minorEastAsia"/>
          <w:color w:val="000000" w:themeColor="text1"/>
          <w:szCs w:val="21"/>
          <w:highlight w:val="none"/>
          <w14:textFill>
            <w14:solidFill>
              <w14:schemeClr w14:val="tx1"/>
            </w14:solidFill>
          </w14:textFill>
        </w:rPr>
      </w:pPr>
    </w:p>
    <w:p>
      <w:pPr>
        <w:adjustRightInd w:val="0"/>
        <w:snapToGrid w:val="0"/>
        <w:jc w:val="center"/>
        <w:rPr>
          <w:rFonts w:hint="eastAsia" w:ascii="黑体" w:eastAsia="黑体"/>
          <w:color w:val="FF0000"/>
          <w:sz w:val="28"/>
          <w:szCs w:val="28"/>
          <w:highlight w:val="none"/>
          <w:lang w:eastAsia="zh-CN"/>
        </w:rPr>
      </w:pPr>
      <w:bookmarkStart w:id="0" w:name="_Toc11594"/>
      <w:r>
        <w:rPr>
          <w:rFonts w:hint="eastAsia" w:ascii="黑体" w:eastAsia="黑体"/>
          <w:color w:val="000000"/>
          <w:sz w:val="28"/>
          <w:szCs w:val="28"/>
          <w:highlight w:val="none"/>
          <w:lang w:eastAsia="zh-CN"/>
        </w:rPr>
        <w:t>国网四川省电力公司建设分公司2025年第三次非物资竞争性谈判授权采购项目</w:t>
      </w:r>
    </w:p>
    <w:bookmarkEnd w:id="0"/>
    <w:p>
      <w:pPr>
        <w:adjustRightInd w:val="0"/>
        <w:snapToGrid w:val="0"/>
        <w:jc w:val="center"/>
        <w:rPr>
          <w:rFonts w:ascii="黑体" w:hAnsi="黑体" w:eastAsia="黑体" w:cstheme="minorEastAsia"/>
          <w:color w:val="000000" w:themeColor="text1"/>
          <w:sz w:val="28"/>
          <w:szCs w:val="21"/>
          <w:highlight w:val="none"/>
          <w14:textFill>
            <w14:solidFill>
              <w14:schemeClr w14:val="tx1"/>
            </w14:solidFill>
          </w14:textFill>
        </w:rPr>
      </w:pPr>
      <w:bookmarkStart w:id="1" w:name="_Toc160"/>
      <w:r>
        <w:rPr>
          <w:rFonts w:hint="eastAsia" w:ascii="黑体" w:hAnsi="黑体" w:eastAsia="黑体" w:cstheme="minorEastAsia"/>
          <w:color w:val="000000" w:themeColor="text1"/>
          <w:sz w:val="28"/>
          <w:szCs w:val="21"/>
          <w:highlight w:val="none"/>
          <w14:textFill>
            <w14:solidFill>
              <w14:schemeClr w14:val="tx1"/>
            </w14:solidFill>
          </w14:textFill>
        </w:rPr>
        <w:t>采购公告</w:t>
      </w:r>
      <w:bookmarkEnd w:id="1"/>
    </w:p>
    <w:p>
      <w:pPr>
        <w:adjustRightInd w:val="0"/>
        <w:snapToGrid w:val="0"/>
        <w:jc w:val="center"/>
        <w:rPr>
          <w:rFonts w:hint="eastAsia" w:ascii="黑体" w:hAnsi="黑体" w:eastAsia="黑体" w:cstheme="minorEastAsia"/>
          <w:b/>
          <w:color w:val="000000" w:themeColor="text1"/>
          <w:szCs w:val="21"/>
          <w:highlight w:val="none"/>
          <w:lang w:eastAsia="zh-CN"/>
          <w14:textFill>
            <w14:solidFill>
              <w14:schemeClr w14:val="tx1"/>
            </w14:solidFill>
          </w14:textFill>
        </w:rPr>
      </w:pPr>
      <w:r>
        <w:rPr>
          <w:rFonts w:hint="eastAsia" w:ascii="黑体" w:hAnsi="黑体" w:eastAsia="黑体" w:cstheme="minorEastAsia"/>
          <w:color w:val="000000" w:themeColor="text1"/>
          <w:sz w:val="24"/>
          <w:szCs w:val="21"/>
          <w:highlight w:val="none"/>
          <w14:textFill>
            <w14:solidFill>
              <w14:schemeClr w14:val="tx1"/>
            </w14:solidFill>
          </w14:textFill>
        </w:rPr>
        <w:t>采购编号：</w:t>
      </w:r>
      <w:r>
        <w:rPr>
          <w:rFonts w:hint="eastAsia" w:ascii="Arial" w:hAnsi="Arial" w:eastAsia="黑体" w:cs="Arial"/>
          <w:color w:val="000000"/>
          <w:sz w:val="28"/>
          <w:szCs w:val="28"/>
          <w:highlight w:val="none"/>
          <w:lang w:eastAsia="zh-CN"/>
        </w:rPr>
        <w:t>19EXAC-JS</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 w:name="_Toc11488"/>
      <w:bookmarkStart w:id="3" w:name="_Toc62566117"/>
      <w:bookmarkStart w:id="4" w:name="_Toc7788"/>
      <w:r>
        <w:rPr>
          <w:rFonts w:hint="eastAsia" w:ascii="黑体" w:eastAsia="黑体" w:hAnsiTheme="majorHAnsi" w:cstheme="majorBidi"/>
          <w:b/>
          <w:color w:val="000000" w:themeColor="text1"/>
          <w:kern w:val="0"/>
          <w:sz w:val="24"/>
          <w:highlight w:val="none"/>
          <w:lang w:bidi="en-US"/>
          <w14:textFill>
            <w14:solidFill>
              <w14:schemeClr w14:val="tx1"/>
            </w14:solidFill>
          </w14:textFill>
        </w:rPr>
        <w:t>1.采购条件</w:t>
      </w:r>
      <w:bookmarkEnd w:id="2"/>
      <w:bookmarkEnd w:id="3"/>
      <w:bookmarkEnd w:id="4"/>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项目建设单位为国网四川省电力公司建设分公司（以下简称“项目单位”），项目资金来自</w:t>
      </w:r>
      <w:r>
        <w:rPr>
          <w:rFonts w:hint="eastAsia" w:ascii="宋体" w:hAnsi="宋体"/>
          <w:highlight w:val="none"/>
        </w:rPr>
        <w:t>企业自有资金，出资比例为100%</w:t>
      </w:r>
      <w:r>
        <w:rPr>
          <w:rFonts w:hint="eastAsia" w:ascii="宋体" w:hAnsi="宋体"/>
          <w:color w:val="000000" w:themeColor="text1"/>
          <w:highlight w:val="none"/>
          <w14:textFill>
            <w14:solidFill>
              <w14:schemeClr w14:val="tx1"/>
            </w14:solidFill>
          </w14:textFill>
        </w:rPr>
        <w:t>，资金来源已落实，采购人为</w:t>
      </w:r>
      <w:r>
        <w:rPr>
          <w:rFonts w:hint="eastAsia" w:ascii="宋体" w:hAnsi="宋体"/>
          <w:color w:val="000000" w:themeColor="text1"/>
          <w:highlight w:val="none"/>
          <w14:textFill>
            <w14:solidFill>
              <w14:schemeClr w14:val="tx1"/>
            </w14:solidFill>
          </w14:textFill>
        </w:rPr>
        <w:t>国网四川省电力公司建设分公司</w:t>
      </w:r>
      <w:r>
        <w:rPr>
          <w:rFonts w:hint="eastAsia" w:ascii="宋体" w:hAnsi="宋体"/>
          <w:color w:val="000000" w:themeColor="text1"/>
          <w:highlight w:val="none"/>
          <w14:textFill>
            <w14:solidFill>
              <w14:schemeClr w14:val="tx1"/>
            </w14:solidFill>
          </w14:textFill>
        </w:rPr>
        <w:t>，并委托四川</w:t>
      </w:r>
      <w:r>
        <w:rPr>
          <w:rFonts w:ascii="宋体" w:hAnsi="宋体"/>
          <w:color w:val="000000" w:themeColor="text1"/>
          <w:highlight w:val="none"/>
          <w14:textFill>
            <w14:solidFill>
              <w14:schemeClr w14:val="tx1"/>
            </w14:solidFill>
          </w14:textFill>
        </w:rPr>
        <w:t>西星电力科技咨询有限公司</w:t>
      </w:r>
      <w:r>
        <w:rPr>
          <w:rFonts w:hint="eastAsia" w:ascii="宋体" w:hAnsi="宋体"/>
          <w:color w:val="000000" w:themeColor="text1"/>
          <w:highlight w:val="none"/>
          <w14:textFill>
            <w14:solidFill>
              <w14:schemeClr w14:val="tx1"/>
            </w14:solidFill>
          </w14:textFill>
        </w:rPr>
        <w:t>为采购代理机构</w:t>
      </w:r>
      <w:r>
        <w:rPr>
          <w:rFonts w:hint="eastAsia" w:ascii="宋体" w:hAnsi="宋体"/>
          <w:color w:val="000000" w:themeColor="text1"/>
          <w:highlight w:val="none"/>
          <w14:textFill>
            <w14:solidFill>
              <w14:schemeClr w14:val="tx1"/>
            </w14:solidFill>
          </w14:textFill>
        </w:rPr>
        <w:t>。项目已具备采购条件，现对该项目进行公开竞争性谈判采购。</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5" w:name="_Toc15047"/>
      <w:bookmarkStart w:id="6" w:name="_Toc62566118"/>
      <w:bookmarkStart w:id="7" w:name="_Toc31701"/>
      <w:r>
        <w:rPr>
          <w:rFonts w:hint="eastAsia" w:ascii="黑体" w:eastAsia="黑体" w:hAnsiTheme="majorHAnsi" w:cstheme="majorBidi"/>
          <w:b/>
          <w:color w:val="000000" w:themeColor="text1"/>
          <w:kern w:val="0"/>
          <w:sz w:val="24"/>
          <w:highlight w:val="none"/>
          <w:lang w:bidi="en-US"/>
          <w14:textFill>
            <w14:solidFill>
              <w14:schemeClr w14:val="tx1"/>
            </w14:solidFill>
          </w14:textFill>
        </w:rPr>
        <w:t>2.</w:t>
      </w:r>
      <w:bookmarkEnd w:id="5"/>
      <w:bookmarkEnd w:id="6"/>
      <w:bookmarkEnd w:id="7"/>
      <w:r>
        <w:rPr>
          <w:rFonts w:hint="eastAsia" w:ascii="黑体" w:eastAsia="黑体"/>
          <w:b/>
          <w:color w:val="000000" w:themeColor="text1"/>
          <w:sz w:val="24"/>
          <w:highlight w:val="none"/>
          <w14:textFill>
            <w14:solidFill>
              <w14:schemeClr w14:val="tx1"/>
            </w14:solidFill>
          </w14:textFill>
        </w:rPr>
        <w:t>项目概况与采购范围</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bookmarkStart w:id="8" w:name="_Toc24269"/>
      <w:bookmarkStart w:id="9" w:name="_Toc62566119"/>
      <w:bookmarkStart w:id="10" w:name="_Toc2249"/>
      <w:r>
        <w:rPr>
          <w:rFonts w:hint="eastAsia" w:ascii="宋体" w:hAnsi="宋体" w:cs="宋体"/>
          <w:color w:val="000000" w:themeColor="text1"/>
          <w:szCs w:val="21"/>
          <w:highlight w:val="none"/>
          <w14:textFill>
            <w14:solidFill>
              <w14:schemeClr w14:val="tx1"/>
            </w14:solidFill>
          </w14:textFill>
        </w:rPr>
        <w:t>详见采购公告附件</w:t>
      </w:r>
      <w:r>
        <w:rPr>
          <w:rFonts w:hint="eastAsia" w:ascii="宋体" w:hAnsi="宋体"/>
          <w:color w:val="000000" w:themeColor="text1"/>
          <w:highlight w:val="none"/>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3.应答人资格要求</w:t>
      </w:r>
      <w:bookmarkEnd w:id="8"/>
      <w:bookmarkEnd w:id="9"/>
      <w:bookmarkEnd w:id="10"/>
    </w:p>
    <w:p>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3.1</w:t>
      </w:r>
      <w:r>
        <w:rPr>
          <w:rFonts w:hint="eastAsia" w:ascii="宋体" w:hAnsi="宋体"/>
          <w:b/>
          <w:color w:val="000000" w:themeColor="text1"/>
          <w:highlight w:val="none"/>
          <w14:textFill>
            <w14:solidFill>
              <w14:schemeClr w14:val="tx1"/>
            </w14:solidFill>
          </w14:textFill>
        </w:rPr>
        <w:t xml:space="preserve"> 应答人须满足如下通用资格要求：</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（1）本次采购要求应答人须为中华人民共和国</w:t>
      </w:r>
      <w:r>
        <w:rPr>
          <w:rFonts w:hint="eastAsia" w:ascii="宋体" w:hAnsi="宋体"/>
          <w:color w:val="000000" w:themeColor="text1"/>
          <w:highlight w:val="none"/>
          <w14:textFill>
            <w14:solidFill>
              <w14:schemeClr w14:val="tx1"/>
            </w14:solidFill>
          </w14:textFill>
        </w:rPr>
        <w:t>境内</w:t>
      </w:r>
      <w:r>
        <w:rPr>
          <w:rFonts w:hint="eastAsia" w:ascii="宋体" w:hAnsi="宋体"/>
          <w:color w:val="000000" w:themeColor="text1"/>
          <w:highlight w:val="none"/>
          <w14:textFill>
            <w14:solidFill>
              <w14:schemeClr w14:val="tx1"/>
            </w14:solidFill>
          </w14:textFill>
        </w:rPr>
        <w:t>依法注册的法人或其他组织，须具备承担所应答项目的资格条件；并在人员、设备、资金等方面具有保障如期完成采购项目的能力。</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（2）法定代表人或单位负责人为同一人或者存在控股、管理关系的不同单位，不得参加同一标包应答或者未划分标包的同一采购项目应答。</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highlight w:val="none"/>
          <w14:textFill>
            <w14:solidFill>
              <w14:schemeClr w14:val="tx1"/>
            </w14:solidFill>
          </w14:textFill>
        </w:rPr>
        <w:t>。</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（4）应有良好的财务状况和商业信用。</w:t>
      </w:r>
    </w:p>
    <w:p>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（5）根据《国家电网有限公司供应商关系管理办法》的规定，应答人存在导致其被暂停成交资格或取消成交资格的不良行为且在处理有效期内的，应答人在首次应答截止之日至成交通知书到达之日前，任一日在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highlight w:val="none"/>
        </w:rPr>
        <w:t>《国家电网有限公司关于供应商不良行为处理情况的通报》</w:t>
      </w:r>
      <w:r>
        <w:rPr>
          <w:rFonts w:hint="eastAsia" w:ascii="宋体" w:hAnsi="宋体"/>
          <w:color w:val="000000" w:themeColor="text1"/>
          <w:highlight w:val="none"/>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ascii="宋体" w:hAnsi="宋体"/>
          <w:highlight w:val="none"/>
        </w:rPr>
      </w:pPr>
      <w:r>
        <w:rPr>
          <w:rFonts w:hint="eastAsia" w:ascii="宋体" w:hAnsi="宋体"/>
          <w:color w:val="000000" w:themeColor="text1"/>
          <w:highlight w:val="none"/>
          <w14:textFill>
            <w14:solidFill>
              <w14:schemeClr w14:val="tx1"/>
            </w14:solidFill>
          </w14:textFill>
        </w:rPr>
        <w:t>（7）应答人不得被市场监督管理机关在国家企业信用信息公示系统中列入严重违法失信企业名单或列入经营异常名录信息。</w:t>
      </w:r>
      <w:r>
        <w:rPr>
          <w:rFonts w:hint="eastAsia" w:ascii="宋体" w:hAnsi="宋体"/>
          <w:highlight w:val="none"/>
        </w:rPr>
        <w:t>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hint="eastAsia" w:ascii="宋体" w:hAnsi="宋体" w:cs="宋体"/>
          <w:szCs w:val="21"/>
          <w:highlight w:val="none"/>
        </w:rPr>
        <w:t>即使应答人在开标当日未出现被市场监督管理机关列入经营异常名录或严重违法失信企业名单的情形，但在成交通知书到达之日前，存在上述情形的，采购人有权取消其成交资格。</w:t>
      </w:r>
    </w:p>
    <w:p>
      <w:pPr>
        <w:ind w:firstLine="420" w:firstLineChars="200"/>
        <w:rPr>
          <w:rFonts w:ascii="仿宋_GB2312" w:hAnsi="仿宋_GB2312" w:eastAsia="仿宋_GB2312" w:cs="仿宋_GB2312"/>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（8）信誉要求</w:t>
      </w:r>
    </w:p>
    <w:p>
      <w:pPr>
        <w:adjustRightInd w:val="0"/>
        <w:snapToGrid w:val="0"/>
        <w:spacing w:line="400" w:lineRule="exact"/>
        <w:ind w:firstLine="420" w:firstLineChars="200"/>
        <w:rPr>
          <w:rFonts w:ascii="宋体" w:hAnsi="宋体"/>
          <w:b/>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潜在应答人不得存在下列情形：开标日前两年内存在违反国家有关法律禁止转分包规定的行为。</w:t>
      </w:r>
    </w:p>
    <w:p>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 xml:space="preserve">3.2 </w:t>
      </w:r>
      <w:r>
        <w:rPr>
          <w:rFonts w:hint="eastAsia" w:ascii="宋体" w:hAnsi="宋体"/>
          <w:b/>
          <w:color w:val="000000" w:themeColor="text1"/>
          <w:highlight w:val="none"/>
          <w14:textFill>
            <w14:solidFill>
              <w14:schemeClr w14:val="tx1"/>
            </w14:solidFill>
          </w14:textFill>
        </w:rPr>
        <w:t>应答人须满足如下专用资格要求：</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详见采购公告附件。</w:t>
      </w:r>
    </w:p>
    <w:p>
      <w:pPr>
        <w:widowControl/>
        <w:adjustRightInd w:val="0"/>
        <w:snapToGrid w:val="0"/>
        <w:spacing w:line="400" w:lineRule="exact"/>
        <w:ind w:firstLine="422" w:firstLineChars="200"/>
        <w:outlineLvl w:val="2"/>
        <w:rPr>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 xml:space="preserve">3 </w:t>
      </w:r>
      <w:r>
        <w:rPr>
          <w:rFonts w:hint="eastAsia"/>
          <w:b/>
          <w:color w:val="000000" w:themeColor="text1"/>
          <w:highlight w:val="none"/>
          <w14:textFill>
            <w14:solidFill>
              <w14:schemeClr w14:val="tx1"/>
            </w14:solidFill>
          </w14:textFill>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4 如接受联合体应答的，应答人还应遵守以下规定：</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（1）联合体各方均应满足3.1款和3.2款的规定。</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highlight w:val="none"/>
          <w14:textFill>
            <w14:solidFill>
              <w14:schemeClr w14:val="tx1"/>
            </w14:solidFill>
          </w14:textFill>
        </w:rPr>
        <w:t>。</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（3）联合体牵头人代表联合体各方负责获取本项目的采购文件及应答工作。</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（5）联合体各方不得再以自己名义单独或参加其他联合体在同一标包中应答。</w:t>
      </w:r>
    </w:p>
    <w:p>
      <w:pPr>
        <w:adjustRightInd w:val="0"/>
        <w:snapToGrid w:val="0"/>
        <w:spacing w:line="400" w:lineRule="exact"/>
        <w:ind w:firstLine="422" w:firstLineChars="200"/>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3.5</w:t>
      </w:r>
      <w:r>
        <w:rPr>
          <w:rFonts w:hint="eastAsia"/>
          <w:color w:val="000000" w:themeColor="text1"/>
          <w:highlight w:val="none"/>
          <w14:textFill>
            <w14:solidFill>
              <w14:schemeClr w14:val="tx1"/>
            </w14:solidFill>
          </w14:textFill>
        </w:rPr>
        <w:t>除专用资格要求中明确接受代理商应答的项目外，</w:t>
      </w:r>
      <w:r>
        <w:rPr>
          <w:rFonts w:hint="eastAsia"/>
          <w:highlight w:val="none"/>
        </w:rPr>
        <w:t>不接受代理</w:t>
      </w:r>
      <w:r>
        <w:rPr>
          <w:rFonts w:hint="eastAsia"/>
          <w:color w:val="000000" w:themeColor="text1"/>
          <w:highlight w:val="none"/>
          <w14:textFill>
            <w14:solidFill>
              <w14:schemeClr w14:val="tx1"/>
            </w14:solidFill>
          </w14:textFill>
        </w:rPr>
        <w:t>商应答。</w:t>
      </w:r>
    </w:p>
    <w:p>
      <w:pPr>
        <w:adjustRightInd w:val="0"/>
        <w:snapToGrid w:val="0"/>
        <w:spacing w:line="400" w:lineRule="exact"/>
        <w:ind w:firstLine="422" w:firstLineChars="200"/>
        <w:rPr>
          <w:highlight w:val="none"/>
        </w:rPr>
      </w:pPr>
      <w:r>
        <w:rPr>
          <w:rFonts w:ascii="宋体" w:hAnsi="宋体"/>
          <w:b/>
          <w:color w:val="000000" w:themeColor="text1"/>
          <w:highlight w:val="none"/>
          <w14:textFill>
            <w14:solidFill>
              <w14:schemeClr w14:val="tx1"/>
            </w14:solidFill>
          </w14:textFill>
        </w:rPr>
        <w:t>3.6</w:t>
      </w:r>
      <w:r>
        <w:rPr>
          <w:rFonts w:hint="eastAsia"/>
          <w:color w:val="000000" w:themeColor="text1"/>
          <w:highlight w:val="none"/>
          <w14:textFill>
            <w14:solidFill>
              <w14:schemeClr w14:val="tx1"/>
            </w14:solidFill>
          </w14:textFill>
        </w:rPr>
        <w:t>本次采购</w:t>
      </w:r>
      <w:r>
        <w:rPr>
          <w:rFonts w:hint="eastAsia" w:ascii="宋体" w:hAnsi="宋体"/>
          <w:color w:val="000000" w:themeColor="text1"/>
          <w:szCs w:val="21"/>
          <w:highlight w:val="none"/>
          <w14:textFill>
            <w14:solidFill>
              <w14:schemeClr w14:val="tx1"/>
            </w14:solidFill>
          </w14:textFill>
        </w:rPr>
        <w:t>不接受</w:t>
      </w:r>
      <w:r>
        <w:rPr>
          <w:rFonts w:hint="eastAsia"/>
          <w:highlight w:val="none"/>
        </w:rPr>
        <w:t>应答人委托中介机构或者中间人编制应答文件或代行办理应答事宜。</w:t>
      </w:r>
    </w:p>
    <w:p>
      <w:pPr>
        <w:adjustRightInd w:val="0"/>
        <w:snapToGrid w:val="0"/>
        <w:spacing w:line="400" w:lineRule="exact"/>
        <w:ind w:firstLine="420" w:firstLineChars="199"/>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3.7</w:t>
      </w:r>
      <w:r>
        <w:rPr>
          <w:rFonts w:hint="eastAsia"/>
          <w:color w:val="000000" w:themeColor="text1"/>
          <w:highlight w:val="none"/>
          <w14:textFill>
            <w14:solidFill>
              <w14:schemeClr w14:val="tx1"/>
            </w14:solidFill>
          </w14:textFill>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1" w:name="_Toc3136"/>
      <w:bookmarkStart w:id="12" w:name="_Toc62566120"/>
      <w:bookmarkStart w:id="13" w:name="_Toc26765"/>
      <w:r>
        <w:rPr>
          <w:rFonts w:hint="eastAsia" w:ascii="黑体" w:eastAsia="黑体" w:hAnsiTheme="majorHAnsi" w:cstheme="majorBidi"/>
          <w:b/>
          <w:color w:val="000000" w:themeColor="text1"/>
          <w:kern w:val="0"/>
          <w:sz w:val="24"/>
          <w:highlight w:val="none"/>
          <w:lang w:bidi="en-US"/>
          <w14:textFill>
            <w14:solidFill>
              <w14:schemeClr w14:val="tx1"/>
            </w14:solidFill>
          </w14:textFill>
        </w:rPr>
        <w:t>4.采购文件的获取</w:t>
      </w:r>
      <w:bookmarkEnd w:id="11"/>
      <w:bookmarkEnd w:id="12"/>
      <w:bookmarkEnd w:id="13"/>
    </w:p>
    <w:p>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4.1 采购文件（电子文件）免费获取。</w:t>
      </w:r>
    </w:p>
    <w:p>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4.2</w:t>
      </w:r>
      <w:r>
        <w:rPr>
          <w:rFonts w:hint="eastAsia" w:ascii="宋体" w:hAnsi="宋体" w:cs="宋体"/>
          <w:color w:val="000000" w:themeColor="text1"/>
          <w:szCs w:val="21"/>
          <w:highlight w:val="none"/>
          <w14:textFill>
            <w14:solidFill>
              <w14:schemeClr w14:val="tx1"/>
            </w14:solidFill>
          </w14:textFill>
        </w:rPr>
        <w:t>凡有意参加应答者，请于</w:t>
      </w:r>
      <w:r>
        <w:rPr>
          <w:rFonts w:hint="eastAsia" w:ascii="宋体" w:hAnsi="宋体"/>
          <w:color w:val="000000"/>
          <w:szCs w:val="21"/>
          <w:highlight w:val="none"/>
          <w:lang w:eastAsia="zh-CN"/>
        </w:rPr>
        <w:t>2025年6月27日-2025年7月3日09:00</w:t>
      </w:r>
      <w:r>
        <w:rPr>
          <w:rFonts w:ascii="宋体" w:hAnsi="宋体"/>
          <w:color w:val="000000" w:themeColor="text1"/>
          <w:highlight w:val="none"/>
          <w14:textFill>
            <w14:solidFill>
              <w14:schemeClr w14:val="tx1"/>
            </w14:solidFill>
          </w14:textFill>
        </w:rPr>
        <w:t>（北京时间，下同），</w:t>
      </w:r>
      <w:r>
        <w:rPr>
          <w:rFonts w:hint="eastAsia" w:ascii="宋体" w:hAnsi="宋体"/>
          <w:color w:val="000000" w:themeColor="text1"/>
          <w:highlight w:val="none"/>
          <w14:textFill>
            <w14:solidFill>
              <w14:schemeClr w14:val="tx1"/>
            </w14:solidFill>
          </w14:textFill>
        </w:rPr>
        <w:t>登录采购人招投标交易平台信息系统（</w:t>
      </w:r>
      <w:r>
        <w:rPr>
          <w:rFonts w:hint="eastAsia" w:ascii="宋体" w:hAnsi="宋体"/>
          <w:b/>
          <w:color w:val="000000" w:themeColor="text1"/>
          <w:highlight w:val="none"/>
          <w14:textFill>
            <w14:solidFill>
              <w14:schemeClr w14:val="tx1"/>
            </w14:solidFill>
          </w14:textFill>
        </w:rPr>
        <w:t xml:space="preserve">国家电网有限公司电子商务平台 </w:t>
      </w:r>
      <w:r>
        <w:rPr>
          <w:rFonts w:hint="eastAsia" w:ascii="MS Gothic" w:hAnsi="MS Gothic" w:eastAsia="MS Gothic" w:cs="MS Gothic"/>
          <w:color w:val="000000" w:themeColor="text1"/>
          <w:szCs w:val="2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 xml:space="preserve">https://ecp.sgcc.com.cn    </w:t>
      </w:r>
      <w:r>
        <w:rPr>
          <w:rFonts w:hint="eastAsia"/>
          <w:color w:val="000000" w:themeColor="text1"/>
          <w:szCs w:val="2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color w:val="000000" w:themeColor="text1"/>
          <w:highlight w:val="none"/>
          <w14:textFill>
            <w14:solidFill>
              <w14:schemeClr w14:val="tx1"/>
            </w14:solidFill>
          </w14:textFill>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应答人应在采购人招投标交易平台信息系统注册并办理</w:t>
      </w:r>
      <w:r>
        <w:rPr>
          <w:rFonts w:ascii="宋体" w:hAnsi="宋体"/>
          <w:color w:val="000000" w:themeColor="text1"/>
          <w:highlight w:val="none"/>
          <w14:textFill>
            <w14:solidFill>
              <w14:schemeClr w14:val="tx1"/>
            </w14:solidFill>
          </w14:textFill>
        </w:rPr>
        <w:t>CA</w:t>
      </w:r>
      <w:r>
        <w:rPr>
          <w:rFonts w:hint="eastAsia" w:ascii="宋体" w:hAnsi="宋体"/>
          <w:color w:val="000000" w:themeColor="text1"/>
          <w:highlight w:val="none"/>
          <w14:textFill>
            <w14:solidFill>
              <w14:schemeClr w14:val="tx1"/>
            </w14:solidFill>
          </w14:textFill>
        </w:rPr>
        <w:t>证书电子钥匙方可获取采购文件，电子钥匙的办理流程请登录采购人招投标交易平台信息系统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3未按上述时间和方式获取采购文件的，将无法进行后续的应答及报价。</w:t>
      </w:r>
    </w:p>
    <w:p>
      <w:pPr>
        <w:adjustRightInd w:val="0"/>
        <w:snapToGrid w:val="0"/>
        <w:spacing w:line="400" w:lineRule="exact"/>
        <w:ind w:firstLine="422" w:firstLineChars="200"/>
        <w:outlineLvl w:val="2"/>
        <w:rPr>
          <w:rFonts w:ascii="宋体" w:hAnsi="宋体"/>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4.4应答人需利用投标工具进行电子应答文件编制。投标工具下载方式：</w:t>
      </w:r>
      <w:r>
        <w:rPr>
          <w:rFonts w:hint="eastAsia" w:ascii="宋体" w:hAnsi="宋体"/>
          <w:color w:val="000000" w:themeColor="text1"/>
          <w:highlight w:val="none"/>
          <w14:textFill>
            <w14:solidFill>
              <w14:schemeClr w14:val="tx1"/>
            </w14:solidFill>
          </w14:textFill>
        </w:rPr>
        <w:t>请各应答人在采购人招投标交易平台信息系统首页“下载专区→供应商投标工具”下载并安装。操作手册及注意事项见首页</w:t>
      </w:r>
      <w:r>
        <w:rPr>
          <w:rFonts w:hint="eastAsia" w:ascii="宋体" w:hAnsi="宋体"/>
          <w:highlight w:val="none"/>
        </w:rPr>
        <w:t>“操作说明→ECP2.0招标采购流程供应商操作手册“或“演示视频→投标工具新U+操作指导视频”。</w:t>
      </w:r>
      <w:r>
        <w:rPr>
          <w:rFonts w:hint="eastAsia" w:ascii="宋体" w:hAnsi="宋体"/>
          <w:color w:val="000000" w:themeColor="text1"/>
          <w:highlight w:val="none"/>
          <w14:textFill>
            <w14:solidFill>
              <w14:schemeClr w14:val="tx1"/>
            </w14:solidFill>
          </w14:textFill>
        </w:rPr>
        <w:t>投标工具操作问题联系采购人招投标交易平台信息系统支持服务电话：010-63411000。使用投标工具电脑配置要求：内存大于8GB，64位操作系统。</w:t>
      </w:r>
    </w:p>
    <w:p>
      <w:pPr>
        <w:adjustRightInd w:val="0"/>
        <w:snapToGrid w:val="0"/>
        <w:spacing w:line="400" w:lineRule="exact"/>
        <w:ind w:firstLine="422" w:firstLineChars="200"/>
        <w:outlineLvl w:val="2"/>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5</w:t>
      </w:r>
      <w:r>
        <w:rPr>
          <w:rFonts w:ascii="宋体" w:hAnsi="宋体"/>
          <w:b/>
          <w:bCs/>
          <w:color w:val="000000" w:themeColor="text1"/>
          <w:highlight w:val="none"/>
          <w14:textFill>
            <w14:solidFill>
              <w14:schemeClr w14:val="tx1"/>
            </w14:solidFill>
          </w14:textFill>
        </w:rPr>
        <w:t xml:space="preserve"> </w:t>
      </w:r>
      <w:r>
        <w:rPr>
          <w:rFonts w:hint="eastAsia" w:ascii="宋体" w:hAnsi="宋体"/>
          <w:b/>
          <w:bCs/>
          <w:color w:val="000000" w:themeColor="text1"/>
          <w:highlight w:val="none"/>
          <w14:textFill>
            <w14:solidFill>
              <w14:schemeClr w14:val="tx1"/>
            </w14:solidFill>
          </w14:textFill>
        </w:rPr>
        <w:t>注意事项</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4" w:name="_Toc62566121"/>
      <w:bookmarkStart w:id="15" w:name="_Toc6421"/>
      <w:bookmarkStart w:id="16" w:name="_Toc26882"/>
      <w:r>
        <w:rPr>
          <w:rFonts w:hint="eastAsia" w:ascii="黑体" w:eastAsia="黑体" w:hAnsiTheme="majorHAnsi" w:cstheme="majorBidi"/>
          <w:b/>
          <w:color w:val="000000" w:themeColor="text1"/>
          <w:kern w:val="0"/>
          <w:sz w:val="24"/>
          <w:highlight w:val="none"/>
          <w:lang w:bidi="en-US"/>
          <w14:textFill>
            <w14:solidFill>
              <w14:schemeClr w14:val="tx1"/>
            </w14:solidFill>
          </w14:textFill>
        </w:rPr>
        <w:t>5.首次应答文件的提交</w:t>
      </w:r>
      <w:bookmarkEnd w:id="14"/>
      <w:bookmarkEnd w:id="15"/>
      <w:bookmarkEnd w:id="16"/>
    </w:p>
    <w:p>
      <w:pPr>
        <w:adjustRightInd w:val="0"/>
        <w:snapToGrid w:val="0"/>
        <w:spacing w:line="400" w:lineRule="exact"/>
        <w:ind w:firstLine="420" w:firstLineChars="200"/>
        <w:outlineLvl w:val="2"/>
        <w:rPr>
          <w:rFonts w:ascii="宋体" w:hAnsi="宋体"/>
          <w:color w:val="FF0000"/>
          <w:highlight w:val="none"/>
        </w:rPr>
      </w:pPr>
      <w:r>
        <w:rPr>
          <w:rFonts w:hint="eastAsia" w:ascii="宋体" w:hAnsi="宋体"/>
          <w:highlight w:val="none"/>
        </w:rPr>
        <w:t>5.1首次应答文件提交的截止时间（首次应答截止时间，下同）：</w:t>
      </w:r>
      <w:r>
        <w:rPr>
          <w:rFonts w:hint="eastAsia" w:ascii="宋体" w:hAnsi="宋体"/>
          <w:color w:val="000000"/>
          <w:highlight w:val="none"/>
          <w:lang w:eastAsia="zh-CN"/>
        </w:rPr>
        <w:t>2025年7月22日11:00</w:t>
      </w:r>
      <w:r>
        <w:rPr>
          <w:rFonts w:hint="eastAsia" w:ascii="宋体" w:hAnsi="宋体"/>
          <w:highlight w:val="none"/>
        </w:rPr>
        <w:t>。</w:t>
      </w:r>
    </w:p>
    <w:p>
      <w:pPr>
        <w:pStyle w:val="6"/>
        <w:spacing w:line="400" w:lineRule="exact"/>
        <w:rPr>
          <w:rFonts w:ascii="Calibri" w:hAnsi="Calibri"/>
          <w:bCs/>
          <w:color w:val="000000"/>
          <w:szCs w:val="22"/>
          <w:highlight w:val="none"/>
        </w:rPr>
      </w:pPr>
      <w:r>
        <w:rPr>
          <w:rFonts w:hint="eastAsia" w:ascii="Calibri" w:hAnsi="Calibri"/>
          <w:b/>
          <w:color w:val="000000"/>
          <w:szCs w:val="22"/>
          <w:highlight w:val="none"/>
        </w:rPr>
        <w:t>应答文件提交时间：</w:t>
      </w:r>
      <w:r>
        <w:rPr>
          <w:rFonts w:hint="eastAsia" w:ascii="Calibri" w:hAnsi="Calibri"/>
          <w:bCs/>
          <w:color w:val="000000"/>
          <w:szCs w:val="22"/>
          <w:highlight w:val="none"/>
        </w:rPr>
        <w:t>所有应答文件应当在首次应答截止时间递交（提交）采购人。</w:t>
      </w:r>
    </w:p>
    <w:p>
      <w:pPr>
        <w:adjustRightInd w:val="0"/>
        <w:snapToGrid w:val="0"/>
        <w:spacing w:line="400" w:lineRule="exact"/>
        <w:ind w:firstLine="422" w:firstLineChars="200"/>
        <w:rPr>
          <w:highlight w:val="none"/>
        </w:rPr>
      </w:pPr>
      <w:r>
        <w:rPr>
          <w:rFonts w:hint="eastAsia"/>
          <w:b/>
          <w:color w:val="000000"/>
          <w:highlight w:val="none"/>
        </w:rPr>
        <w:t>应答文件提交地点：</w:t>
      </w:r>
      <w:r>
        <w:rPr>
          <w:rFonts w:hint="eastAsia"/>
          <w:bCs/>
          <w:color w:val="000000"/>
          <w:highlight w:val="none"/>
        </w:rPr>
        <w:t>电子应答文件提交采购人招投标交易平台信息系统。</w:t>
      </w:r>
    </w:p>
    <w:p>
      <w:pPr>
        <w:adjustRightInd w:val="0"/>
        <w:snapToGrid w:val="0"/>
        <w:spacing w:line="400" w:lineRule="exact"/>
        <w:ind w:firstLine="422" w:firstLineChars="200"/>
        <w:rPr>
          <w:rFonts w:ascii="宋体" w:hAnsi="宋体" w:cs="宋体"/>
          <w:highlight w:val="none"/>
        </w:rPr>
      </w:pPr>
      <w:r>
        <w:rPr>
          <w:rFonts w:hint="eastAsia" w:ascii="宋体" w:hAnsi="宋体" w:cs="宋体"/>
          <w:b/>
          <w:highlight w:val="none"/>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pPr>
        <w:adjustRightInd w:val="0"/>
        <w:snapToGrid w:val="0"/>
        <w:spacing w:line="400" w:lineRule="exact"/>
        <w:ind w:firstLine="420" w:firstLineChars="200"/>
        <w:outlineLvl w:val="2"/>
        <w:rPr>
          <w:rFonts w:ascii="宋体" w:hAnsi="宋体"/>
          <w:highlight w:val="none"/>
        </w:rPr>
      </w:pPr>
      <w:r>
        <w:rPr>
          <w:rFonts w:hint="eastAsia" w:ascii="宋体" w:hAnsi="宋体" w:cs="宋体"/>
          <w:highlight w:val="none"/>
        </w:rPr>
        <w:t>5.2首次应答截止时间之前未成功提交至采购人招投标交易平台信息系统</w:t>
      </w:r>
      <w:r>
        <w:rPr>
          <w:rFonts w:hint="eastAsia" w:ascii="宋体" w:hAnsi="宋体"/>
          <w:highlight w:val="none"/>
        </w:rPr>
        <w:t>的电子应答文件，采购人不予受理。不接受未按规定加密的应答文件及应答文件的修改文件。</w:t>
      </w:r>
      <w:r>
        <w:rPr>
          <w:rFonts w:hint="eastAsia" w:ascii="宋体" w:hAnsi="宋体"/>
          <w:highlight w:val="none"/>
        </w:rPr>
        <w:t>不接受邮寄、现场提交等电子提交方式以外的其他方式提交应答文件及应答文件的修改文件。</w:t>
      </w:r>
    </w:p>
    <w:p>
      <w:pPr>
        <w:adjustRightInd w:val="0"/>
        <w:snapToGrid w:val="0"/>
        <w:spacing w:line="400" w:lineRule="exact"/>
        <w:ind w:firstLine="420" w:firstLineChars="200"/>
        <w:outlineLvl w:val="2"/>
        <w:rPr>
          <w:rFonts w:ascii="宋体" w:hAnsi="宋体" w:cs="宋体"/>
          <w:highlight w:val="none"/>
        </w:rPr>
      </w:pPr>
      <w:r>
        <w:rPr>
          <w:rFonts w:ascii="宋体" w:hAnsi="宋体" w:cs="宋体"/>
          <w:highlight w:val="none"/>
        </w:rPr>
        <w:t>5.3 未按采购公告规定的时间和方式获取并下载采购文件的应答，采购人将不予受理。</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7" w:name="_Toc20595"/>
      <w:bookmarkStart w:id="18" w:name="_Toc10970"/>
      <w:bookmarkStart w:id="19" w:name="_Toc62566122"/>
      <w:r>
        <w:rPr>
          <w:rFonts w:hint="eastAsia" w:ascii="黑体" w:eastAsia="黑体" w:hAnsiTheme="majorHAnsi" w:cstheme="majorBidi"/>
          <w:b/>
          <w:color w:val="000000" w:themeColor="text1"/>
          <w:kern w:val="0"/>
          <w:sz w:val="24"/>
          <w:highlight w:val="none"/>
          <w:lang w:bidi="en-US"/>
          <w14:textFill>
            <w14:solidFill>
              <w14:schemeClr w14:val="tx1"/>
            </w14:solidFill>
          </w14:textFill>
        </w:rPr>
        <w:t>6.发布公告的媒介</w:t>
      </w:r>
      <w:bookmarkEnd w:id="17"/>
      <w:bookmarkEnd w:id="18"/>
      <w:bookmarkEnd w:id="19"/>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本次采购公告在采购人招投标交易平台信息系统上发布。</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0" w:name="_Toc62566123"/>
      <w:bookmarkStart w:id="21" w:name="_Toc26152"/>
      <w:bookmarkStart w:id="22" w:name="_Toc1702"/>
      <w:r>
        <w:rPr>
          <w:rFonts w:hint="eastAsia" w:ascii="黑体" w:eastAsia="黑体" w:hAnsiTheme="majorHAnsi" w:cstheme="majorBidi"/>
          <w:b/>
          <w:color w:val="000000" w:themeColor="text1"/>
          <w:kern w:val="0"/>
          <w:sz w:val="24"/>
          <w:highlight w:val="none"/>
          <w:lang w:bidi="en-US"/>
          <w14:textFill>
            <w14:solidFill>
              <w14:schemeClr w14:val="tx1"/>
            </w14:solidFill>
          </w14:textFill>
        </w:rPr>
        <w:t>7.采购文件获取联系方式</w:t>
      </w:r>
      <w:bookmarkEnd w:id="20"/>
      <w:bookmarkEnd w:id="21"/>
      <w:bookmarkEnd w:id="22"/>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采购人：国网四川省电力公司建设分公司</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地址：</w:t>
      </w:r>
      <w:r>
        <w:rPr>
          <w:rFonts w:hint="eastAsia" w:ascii="宋体" w:hAnsi="宋体"/>
          <w:color w:val="000000" w:themeColor="text1"/>
          <w:highlight w:val="none"/>
          <w:lang w:val="en-US" w:eastAsia="zh-CN"/>
          <w14:textFill>
            <w14:solidFill>
              <w14:schemeClr w14:val="tx1"/>
            </w14:solidFill>
          </w14:textFill>
        </w:rPr>
        <w:t>成都市锦江区东风路二段点将台街58号</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邮编：</w:t>
      </w:r>
      <w:r>
        <w:rPr>
          <w:rFonts w:hint="eastAsia" w:ascii="宋体" w:hAnsi="宋体"/>
          <w:color w:val="000000" w:themeColor="text1"/>
          <w:highlight w:val="none"/>
          <w:lang w:val="en-US" w:eastAsia="zh-CN"/>
          <w14:textFill>
            <w14:solidFill>
              <w14:schemeClr w14:val="tx1"/>
            </w14:solidFill>
          </w14:textFill>
        </w:rPr>
        <w:t>610000</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采购代理机构：</w:t>
      </w:r>
      <w:r>
        <w:rPr>
          <w:rFonts w:hint="eastAsia" w:ascii="宋体" w:hAnsi="宋体"/>
          <w:highlight w:val="none"/>
          <w:lang w:val="en-US" w:eastAsia="zh-CN"/>
        </w:rPr>
        <w:t>四川西星电力科技咨询有限公司</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地址：</w:t>
      </w:r>
      <w:r>
        <w:rPr>
          <w:rFonts w:hint="eastAsia" w:ascii="宋体" w:hAnsi="宋体"/>
          <w:highlight w:val="none"/>
          <w:lang w:val="en-US" w:eastAsia="zh-CN"/>
        </w:rPr>
        <w:t>成都市府城大道天府新谷9号楼1单元11楼</w:t>
      </w:r>
    </w:p>
    <w:p>
      <w:pPr>
        <w:adjustRightInd w:val="0"/>
        <w:snapToGrid w:val="0"/>
        <w:spacing w:line="400" w:lineRule="exact"/>
        <w:ind w:firstLine="420" w:firstLineChars="200"/>
        <w:rPr>
          <w:rFonts w:ascii="宋体" w:hAnsi="宋体"/>
          <w:highlight w:val="none"/>
        </w:rPr>
      </w:pPr>
      <w:r>
        <w:rPr>
          <w:rFonts w:hint="eastAsia" w:ascii="宋体" w:hAnsi="宋体"/>
          <w:highlight w:val="none"/>
        </w:rPr>
        <w:t>邮编：</w:t>
      </w:r>
      <w:r>
        <w:rPr>
          <w:rFonts w:hint="eastAsia" w:ascii="宋体" w:hAnsi="宋体"/>
          <w:highlight w:val="none"/>
          <w:lang w:val="en-US" w:eastAsia="zh-CN"/>
        </w:rPr>
        <w:t>610000</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ascii="宋体"/>
          <w:szCs w:val="21"/>
          <w:highlight w:val="none"/>
        </w:rPr>
        <w:t>联系人</w:t>
      </w:r>
      <w:r>
        <w:rPr>
          <w:rFonts w:hint="eastAsia"/>
          <w:highlight w:val="none"/>
        </w:rPr>
        <w:t>电话：</w:t>
      </w:r>
      <w:r>
        <w:rPr>
          <w:rFonts w:hint="eastAsia" w:ascii="黑体" w:hAnsi="宋体" w:eastAsia="黑体"/>
          <w:color w:val="000000"/>
          <w:sz w:val="28"/>
          <w:szCs w:val="28"/>
          <w:highlight w:val="none"/>
          <w:lang w:eastAsia="zh-CN"/>
        </w:rPr>
        <w:t>028-68137510、028-68128409</w:t>
      </w:r>
    </w:p>
    <w:p>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highlight w:val="none"/>
        </w:rPr>
        <w:t>电子邮件：</w:t>
      </w:r>
      <w:r>
        <w:rPr>
          <w:rFonts w:hint="eastAsia" w:ascii="黑体" w:hAnsi="宋体" w:eastAsia="黑体"/>
          <w:color w:val="000000"/>
          <w:sz w:val="28"/>
          <w:szCs w:val="28"/>
          <w:highlight w:val="none"/>
          <w:lang w:eastAsia="zh-CN"/>
        </w:rPr>
        <w:t>273010801@qq.com</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3" w:name="_Toc28046"/>
      <w:bookmarkStart w:id="24" w:name="_Toc21046"/>
      <w:bookmarkStart w:id="25" w:name="_Toc62566124"/>
      <w:r>
        <w:rPr>
          <w:rFonts w:hint="eastAsia" w:ascii="黑体" w:eastAsia="黑体" w:hAnsiTheme="majorHAnsi" w:cstheme="majorBidi"/>
          <w:b/>
          <w:color w:val="000000" w:themeColor="text1"/>
          <w:kern w:val="0"/>
          <w:sz w:val="24"/>
          <w:highlight w:val="none"/>
          <w:lang w:bidi="en-US"/>
          <w14:textFill>
            <w14:solidFill>
              <w14:schemeClr w14:val="tx1"/>
            </w14:solidFill>
          </w14:textFill>
        </w:rPr>
        <w:t>8.合规声明</w:t>
      </w:r>
      <w:bookmarkEnd w:id="23"/>
      <w:bookmarkEnd w:id="24"/>
      <w:bookmarkEnd w:id="25"/>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仿宋_GB2312" w:hAnsi="仿宋_GB2312" w:eastAsia="仿宋_GB2312" w:cs="仿宋_GB2312"/>
          <w:color w:val="000000" w:themeColor="text1"/>
          <w:highlight w:val="none"/>
          <w14:textFill>
            <w14:solidFill>
              <w14:schemeClr w14:val="tx1"/>
            </w14:solidFill>
          </w14:textFill>
        </w:rPr>
        <w:t>本项目行政监督部门为四川省发展和改革委员会、四川省住房和城乡建设厅等。</w:t>
      </w:r>
      <w:r>
        <w:rPr>
          <w:rFonts w:hint="eastAsia" w:ascii="宋体" w:hAnsi="宋体"/>
          <w:color w:val="000000" w:themeColor="text1"/>
          <w:highlight w:val="none"/>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9.权利声明</w:t>
      </w:r>
    </w:p>
    <w:p>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jc w:val="right"/>
        <w:rPr>
          <w:rFonts w:ascii="宋体" w:hAnsi="宋体"/>
          <w:b/>
          <w:color w:val="FF0000"/>
          <w:highlight w:val="none"/>
        </w:rPr>
        <w:sectPr>
          <w:headerReference r:id="rId9" w:type="first"/>
          <w:footerReference r:id="rId12" w:type="first"/>
          <w:headerReference r:id="rId7" w:type="default"/>
          <w:footerReference r:id="rId10" w:type="default"/>
          <w:headerReference r:id="rId8" w:type="even"/>
          <w:footerReference r:id="rId11" w:type="even"/>
          <w:pgSz w:w="11905" w:h="16838"/>
          <w:pgMar w:top="1134" w:right="1803" w:bottom="1134" w:left="1803" w:header="850" w:footer="992" w:gutter="0"/>
          <w:pgNumType w:start="0"/>
          <w:cols w:space="0" w:num="1"/>
          <w:docGrid w:type="lines" w:linePitch="317" w:charSpace="0"/>
        </w:sectPr>
      </w:pPr>
      <w:r>
        <w:rPr>
          <w:rFonts w:hint="eastAsia" w:ascii="黑体" w:hAnsi="宋体" w:eastAsia="黑体"/>
          <w:color w:val="000000"/>
          <w:sz w:val="28"/>
          <w:szCs w:val="28"/>
          <w:highlight w:val="none"/>
          <w:lang w:eastAsia="zh-CN"/>
        </w:rPr>
        <w:t>2025年6月27日</w:t>
      </w:r>
      <w:r>
        <w:rPr>
          <w:color w:val="000000" w:themeColor="text1"/>
          <w:highlight w:val="none"/>
          <w14:textFill>
            <w14:solidFill>
              <w14:schemeClr w14:val="tx1"/>
            </w14:solidFill>
          </w14:textFill>
        </w:rPr>
        <w:br w:type="page"/>
      </w:r>
    </w:p>
    <w:p>
      <w:pPr>
        <w:pStyle w:val="8"/>
        <w:spacing w:after="0"/>
        <w:jc w:val="left"/>
        <w:rPr>
          <w:rFonts w:ascii="黑体" w:hAnsi="黑体" w:eastAsia="黑体" w:cs="黑体"/>
          <w:b/>
          <w:bCs/>
          <w:color w:val="000000" w:themeColor="text1"/>
          <w:sz w:val="24"/>
          <w:highlight w:val="none"/>
          <w14:textFill>
            <w14:solidFill>
              <w14:schemeClr w14:val="tx1"/>
            </w14:solidFill>
          </w14:textFill>
        </w:rPr>
      </w:pPr>
      <w:r>
        <w:rPr>
          <w:rFonts w:hint="eastAsia" w:ascii="黑体" w:hAnsi="黑体" w:eastAsia="黑体" w:cs="黑体"/>
          <w:b/>
          <w:bCs/>
          <w:sz w:val="24"/>
          <w:highlight w:val="none"/>
        </w:rPr>
        <w:t>采购公告附件</w:t>
      </w:r>
    </w:p>
    <w:p>
      <w:pPr>
        <w:widowControl/>
        <w:jc w:val="left"/>
        <w:rPr>
          <w:rFonts w:ascii="仿宋_GB2312" w:hAnsi="仿宋_GB2312" w:eastAsia="仿宋_GB2312" w:cs="仿宋_GB2312"/>
          <w:bCs/>
          <w:sz w:val="22"/>
          <w:highlight w:val="none"/>
        </w:rPr>
      </w:pPr>
      <w:bookmarkStart w:id="26" w:name="_Toc25204"/>
      <w:bookmarkStart w:id="27" w:name="_Toc62566134"/>
      <w:bookmarkStart w:id="28" w:name="_Toc10106"/>
      <w:r>
        <w:rPr>
          <w:rFonts w:hint="eastAsia" w:ascii="仿宋_GB2312" w:hAnsi="仿宋_GB2312" w:eastAsia="仿宋_GB2312" w:cs="仿宋_GB2312"/>
          <w:bCs/>
          <w:sz w:val="22"/>
          <w:highlight w:val="none"/>
        </w:rPr>
        <w:t>附件1:项目概况与采购范围，专用资质业绩要求</w:t>
      </w:r>
    </w:p>
    <w:p>
      <w:pPr>
        <w:widowControl/>
        <w:jc w:val="left"/>
        <w:rPr>
          <w:rFonts w:ascii="仿宋_GB2312" w:hAnsi="仿宋_GB2312" w:eastAsia="仿宋_GB2312" w:cs="仿宋_GB2312"/>
          <w:bCs/>
          <w:sz w:val="22"/>
          <w:highlight w:val="none"/>
        </w:rPr>
      </w:pPr>
      <w:r>
        <w:rPr>
          <w:rFonts w:hint="eastAsia" w:ascii="仿宋_GB2312" w:hAnsi="仿宋_GB2312" w:eastAsia="仿宋_GB2312" w:cs="仿宋_GB2312"/>
          <w:bCs/>
          <w:sz w:val="22"/>
          <w:highlight w:val="none"/>
        </w:rPr>
        <w:t>附件2.采购公告补充说明</w:t>
      </w:r>
    </w:p>
    <w:p>
      <w:pPr>
        <w:rPr>
          <w:rFonts w:ascii="宋体" w:hAnsi="宋体" w:cs="宋体"/>
          <w:color w:val="FF0000"/>
          <w:szCs w:val="21"/>
          <w:highlight w:val="none"/>
        </w:rPr>
      </w:pPr>
      <w:r>
        <w:rPr>
          <w:rFonts w:hint="eastAsia" w:ascii="仿宋_GB2312" w:hAnsi="仿宋_GB2312" w:eastAsia="仿宋_GB2312" w:cs="仿宋_GB2312"/>
          <w:bCs/>
          <w:sz w:val="22"/>
          <w:highlight w:val="none"/>
        </w:rPr>
        <w:t>附件3：应答文件提交要求</w:t>
      </w:r>
      <w:r>
        <w:rPr>
          <w:rFonts w:hint="eastAsia" w:ascii="宋体" w:hAnsi="宋体" w:cs="宋体"/>
          <w:color w:val="FF0000"/>
          <w:szCs w:val="21"/>
          <w:highlight w:val="none"/>
        </w:rPr>
        <w:br w:type="page"/>
      </w:r>
    </w:p>
    <w:p>
      <w:pPr>
        <w:pStyle w:val="7"/>
        <w:rPr>
          <w:highlight w:val="none"/>
        </w:rPr>
        <w:sectPr>
          <w:headerReference r:id="rId13" w:type="default"/>
          <w:footerReference r:id="rId14" w:type="default"/>
          <w:pgSz w:w="16838" w:h="11905" w:orient="landscape"/>
          <w:pgMar w:top="1803" w:right="1134" w:bottom="1803" w:left="1134" w:header="850" w:footer="992" w:gutter="0"/>
          <w:pgNumType w:start="0"/>
          <w:cols w:space="0" w:num="1"/>
          <w:docGrid w:type="lines" w:linePitch="317" w:charSpace="0"/>
        </w:sectPr>
      </w:pPr>
    </w:p>
    <w:p>
      <w:pPr>
        <w:pStyle w:val="7"/>
        <w:rPr>
          <w:highlight w:val="none"/>
        </w:rPr>
      </w:pPr>
    </w:p>
    <w:p>
      <w:pPr>
        <w:pStyle w:val="2"/>
        <w:rPr>
          <w:highlight w:val="none"/>
        </w:rPr>
      </w:pPr>
    </w:p>
    <w:p>
      <w:pPr>
        <w:rPr>
          <w:rFonts w:ascii="宋体" w:hAnsi="宋体" w:cs="宋体"/>
          <w:color w:val="FF0000"/>
          <w:szCs w:val="21"/>
          <w:highlight w:val="none"/>
        </w:rPr>
      </w:pPr>
      <w:r>
        <w:rPr>
          <w:rFonts w:hint="eastAsia" w:ascii="宋体" w:hAnsi="宋体" w:cs="宋体"/>
          <w:color w:val="FF0000"/>
          <w:szCs w:val="21"/>
          <w:highlight w:val="none"/>
        </w:rPr>
        <w:br w:type="page"/>
      </w:r>
    </w:p>
    <w:p>
      <w:pPr>
        <w:pStyle w:val="7"/>
        <w:rPr>
          <w:highlight w:val="none"/>
        </w:rPr>
        <w:sectPr>
          <w:pgSz w:w="16838" w:h="11905" w:orient="landscape"/>
          <w:pgMar w:top="1803" w:right="1134" w:bottom="1803" w:left="1134" w:header="850" w:footer="992" w:gutter="0"/>
          <w:pgNumType w:start="0"/>
          <w:cols w:space="0" w:num="1"/>
          <w:docGrid w:type="lines" w:linePitch="317" w:charSpace="0"/>
        </w:sectPr>
      </w:pPr>
    </w:p>
    <w:bookmarkEnd w:id="26"/>
    <w:bookmarkEnd w:id="27"/>
    <w:bookmarkEnd w:id="28"/>
    <w:p>
      <w:pPr>
        <w:pStyle w:val="2"/>
        <w:rPr>
          <w:highlight w:val="none"/>
        </w:rPr>
      </w:pPr>
    </w:p>
    <w:bookmarkEnd w:id="29"/>
    <w:sectPr>
      <w:headerReference r:id="rId15" w:type="default"/>
      <w:footerReference r:id="rId16" w:type="default"/>
      <w:pgSz w:w="11905" w:h="16838"/>
      <w:pgMar w:top="1134" w:right="1803" w:bottom="1134" w:left="1803" w:header="850"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fldChar w:fldCharType="begin"/>
    </w:r>
    <w:r>
      <w:instrText xml:space="preserve"> PAGE   \* MERGEFORMAT </w:instrText>
    </w:r>
    <w:r>
      <w:fldChar w:fldCharType="separate"/>
    </w:r>
    <w:r>
      <w:rPr>
        <w:lang w:val="zh-CN"/>
      </w:rPr>
      <w:t>0</w:t>
    </w:r>
    <w:r>
      <w:rPr>
        <w:lang w:val="zh-CN"/>
      </w:rPr>
      <w:fldChar w:fldCharType="end"/>
    </w: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54</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left="420" w:hanging="4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49AB6"/>
    <w:multiLevelType w:val="singleLevel"/>
    <w:tmpl w:val="58B49AB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hideSpellingErrors/>
  <w:documentProtection w:edit="comments" w:enforcement="1" w:cryptProviderType="rsaFull" w:cryptAlgorithmClass="hash" w:cryptAlgorithmType="typeAny" w:cryptAlgorithmSid="4" w:cryptSpinCount="0" w:hash="JwkvWYYWzP4KA4cDHuW5WDODQhc=" w:salt="dwQKJguPJyYwHLbfZg+o3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785FDEB00008376" w:val=" "/>
    <w:docVar w:name="678710A400000A9C" w:val=" "/>
    <w:docVar w:name="67873291000016D1" w:val=" "/>
    <w:docVar w:name="67875F300000633D" w:val=" "/>
    <w:docVar w:name="67876AED00003C1E" w:val=" "/>
    <w:docVar w:name="67876B9C0000E7C6" w:val=" "/>
    <w:docVar w:name="678E204E00002474" w:val=" "/>
    <w:docVar w:name="67B42E91000006A2" w:val=" "/>
    <w:docVar w:name="67B43A23000038D3" w:val=" "/>
    <w:docVar w:name="67B43D510000A3B8" w:val=" "/>
    <w:docVar w:name="67B4463100004D9F" w:val=" "/>
    <w:docVar w:name="67B542F40000A4D6" w:val=" "/>
    <w:docVar w:name="67B551580000DDA9" w:val=" "/>
    <w:docVar w:name="67B57AE000001917" w:val=" "/>
    <w:docVar w:name="67B57AEC000044BB" w:val=" "/>
    <w:docVar w:name="67B58679000065B6" w:val=" "/>
    <w:docVar w:name="67B589C80000525D" w:val=" "/>
    <w:docVar w:name="67B5991900002658" w:val=" "/>
    <w:docVar w:name="67B680FF0000028D" w:val=" "/>
    <w:docVar w:name="67B68A730000EEE2" w:val=" "/>
    <w:docVar w:name="67B6F44600004CE8" w:val=" "/>
    <w:docVar w:name="67B7CB8E00003EE3" w:val=" "/>
    <w:docVar w:name="67B7DD0A00008BDF" w:val=" "/>
    <w:docVar w:name="67B7DE32000013D8" w:val=" "/>
    <w:docVar w:name="67B7DEE00000BB79" w:val=" "/>
    <w:docVar w:name="67B7EAB00000DF3D" w:val=" "/>
    <w:docVar w:name="67B7EB710000D0F6" w:val=" "/>
    <w:docVar w:name="67B7EB8400001B9C" w:val=" "/>
    <w:docVar w:name="67B7F3230000E046" w:val=" "/>
    <w:docVar w:name="67C111760000A3C6" w:val=" "/>
    <w:docVar w:name="67C111E800005FAE" w:val=" "/>
    <w:docVar w:name="67C7F2BB00009AE4" w:val=" "/>
    <w:docVar w:name="67C8162A0000069F" w:val=" "/>
    <w:docVar w:name="67D780B400001482" w:val=" "/>
    <w:docVar w:name="67DA2DB80000EFCB" w:val=" "/>
    <w:docVar w:name="67DA31C60000C5FE" w:val=" "/>
    <w:docVar w:name="67DA343F00006CD2" w:val=" "/>
    <w:docVar w:name="67DA8A8E0000933E" w:val=" "/>
    <w:docVar w:name="67DB7A2C00009346" w:val=" "/>
    <w:docVar w:name="67DCCAF500002652" w:val=" "/>
    <w:docVar w:name="67DCCED200003CFE" w:val=" "/>
    <w:docVar w:name="67DCED7D00000A6D" w:val=" "/>
    <w:docVar w:name="67DCEDE000008D54" w:val=" "/>
    <w:docVar w:name="67DD1B99000025F8" w:val=" "/>
    <w:docVar w:name="67DD1BA1000045E4" w:val=" "/>
    <w:docVar w:name="67E0C7EF0000FF52" w:val=" "/>
    <w:docVar w:name="67E0CA1200005B75" w:val=" "/>
    <w:docVar w:name="67FF1B630000C238" w:val=" "/>
    <w:docVar w:name="67FF70200000C26D" w:val=" "/>
    <w:docVar w:name="680D996D00004000" w:val=" "/>
    <w:docVar w:name="680D9DE90000C48F" w:val=" "/>
    <w:docVar w:name="680DB2C700004667" w:val=" "/>
    <w:docVar w:name="680DB2CE00006549" w:val=" "/>
    <w:docVar w:name="680DB488000021D6" w:val=" "/>
    <w:docVar w:name="682BFBBC0000345B" w:val=" "/>
    <w:docVar w:name="684A88B40000DECC" w:val=" "/>
    <w:docVar w:name="684B7C1B0000A8C6" w:val=" "/>
    <w:docVar w:name="684B7D4500003350" w:val=" "/>
    <w:docVar w:name="685DED4500006456" w:val=" "/>
    <w:docVar w:name="commondata" w:val="eyJoZGlkIjoiNWMyNjAxOTI3NGRiYTg2OGUxZWU3ZmNiMzlmOTJmNGIifQ=="/>
  </w:docVars>
  <w:rsids>
    <w:rsidRoot w:val="000C0536"/>
    <w:rsid w:val="00034DE9"/>
    <w:rsid w:val="000375EC"/>
    <w:rsid w:val="000458FA"/>
    <w:rsid w:val="00093ED1"/>
    <w:rsid w:val="00097B62"/>
    <w:rsid w:val="000A3571"/>
    <w:rsid w:val="000C0536"/>
    <w:rsid w:val="000C1CB7"/>
    <w:rsid w:val="000C2128"/>
    <w:rsid w:val="000E37C0"/>
    <w:rsid w:val="000F5141"/>
    <w:rsid w:val="000F77B1"/>
    <w:rsid w:val="00113860"/>
    <w:rsid w:val="0013128F"/>
    <w:rsid w:val="0018442E"/>
    <w:rsid w:val="001B2B37"/>
    <w:rsid w:val="001C4FFA"/>
    <w:rsid w:val="001C78B2"/>
    <w:rsid w:val="001D6860"/>
    <w:rsid w:val="001D68CA"/>
    <w:rsid w:val="001E456D"/>
    <w:rsid w:val="00202EAB"/>
    <w:rsid w:val="00257C31"/>
    <w:rsid w:val="002644C6"/>
    <w:rsid w:val="002967EF"/>
    <w:rsid w:val="002A3CE5"/>
    <w:rsid w:val="002B39BD"/>
    <w:rsid w:val="002B459F"/>
    <w:rsid w:val="002C06E9"/>
    <w:rsid w:val="002D347D"/>
    <w:rsid w:val="002E404F"/>
    <w:rsid w:val="002E51DB"/>
    <w:rsid w:val="0030414A"/>
    <w:rsid w:val="0031460E"/>
    <w:rsid w:val="00321EAF"/>
    <w:rsid w:val="00324DE9"/>
    <w:rsid w:val="0033659D"/>
    <w:rsid w:val="003634D8"/>
    <w:rsid w:val="00373E4E"/>
    <w:rsid w:val="003B0E29"/>
    <w:rsid w:val="003B1887"/>
    <w:rsid w:val="003D00E2"/>
    <w:rsid w:val="004238F0"/>
    <w:rsid w:val="00461591"/>
    <w:rsid w:val="00486C30"/>
    <w:rsid w:val="004A328A"/>
    <w:rsid w:val="004D49F1"/>
    <w:rsid w:val="004F56D1"/>
    <w:rsid w:val="005235F3"/>
    <w:rsid w:val="005305F6"/>
    <w:rsid w:val="00541990"/>
    <w:rsid w:val="005C4918"/>
    <w:rsid w:val="005D4F4D"/>
    <w:rsid w:val="00620B06"/>
    <w:rsid w:val="006437F7"/>
    <w:rsid w:val="0066448D"/>
    <w:rsid w:val="00690A1C"/>
    <w:rsid w:val="00692F13"/>
    <w:rsid w:val="006F25F5"/>
    <w:rsid w:val="006F4D32"/>
    <w:rsid w:val="006F5713"/>
    <w:rsid w:val="007366FE"/>
    <w:rsid w:val="00736F3B"/>
    <w:rsid w:val="00781D9B"/>
    <w:rsid w:val="007B63E2"/>
    <w:rsid w:val="007C2CA2"/>
    <w:rsid w:val="008357AC"/>
    <w:rsid w:val="0088796C"/>
    <w:rsid w:val="008A6928"/>
    <w:rsid w:val="008B3726"/>
    <w:rsid w:val="008C60CB"/>
    <w:rsid w:val="008D5891"/>
    <w:rsid w:val="008F0A5F"/>
    <w:rsid w:val="00926D19"/>
    <w:rsid w:val="0093263C"/>
    <w:rsid w:val="0097450B"/>
    <w:rsid w:val="00991550"/>
    <w:rsid w:val="00993B6F"/>
    <w:rsid w:val="009A6941"/>
    <w:rsid w:val="009B41E3"/>
    <w:rsid w:val="009D5833"/>
    <w:rsid w:val="009F05DB"/>
    <w:rsid w:val="00A117AF"/>
    <w:rsid w:val="00A5544D"/>
    <w:rsid w:val="00A57AE4"/>
    <w:rsid w:val="00A9574A"/>
    <w:rsid w:val="00AA02FA"/>
    <w:rsid w:val="00AB30B6"/>
    <w:rsid w:val="00AD760B"/>
    <w:rsid w:val="00AE6BFB"/>
    <w:rsid w:val="00AF4941"/>
    <w:rsid w:val="00B57C1F"/>
    <w:rsid w:val="00B703F8"/>
    <w:rsid w:val="00BA044A"/>
    <w:rsid w:val="00BA38BA"/>
    <w:rsid w:val="00BB3015"/>
    <w:rsid w:val="00BD2FAC"/>
    <w:rsid w:val="00C36763"/>
    <w:rsid w:val="00C6798D"/>
    <w:rsid w:val="00C93505"/>
    <w:rsid w:val="00CB4CBA"/>
    <w:rsid w:val="00CC5E9F"/>
    <w:rsid w:val="00CF4EDE"/>
    <w:rsid w:val="00CF7155"/>
    <w:rsid w:val="00CF7164"/>
    <w:rsid w:val="00D07E7A"/>
    <w:rsid w:val="00D12761"/>
    <w:rsid w:val="00D177F2"/>
    <w:rsid w:val="00D6533C"/>
    <w:rsid w:val="00D71A08"/>
    <w:rsid w:val="00D919D3"/>
    <w:rsid w:val="00DB0E47"/>
    <w:rsid w:val="00DB75A3"/>
    <w:rsid w:val="00DF0C37"/>
    <w:rsid w:val="00DF5211"/>
    <w:rsid w:val="00E00CC3"/>
    <w:rsid w:val="00E622D2"/>
    <w:rsid w:val="00EE234D"/>
    <w:rsid w:val="00EE553E"/>
    <w:rsid w:val="00EF0B70"/>
    <w:rsid w:val="00F1283B"/>
    <w:rsid w:val="00F200FF"/>
    <w:rsid w:val="00F35C3B"/>
    <w:rsid w:val="00F93102"/>
    <w:rsid w:val="00FA1845"/>
    <w:rsid w:val="00FB2D48"/>
    <w:rsid w:val="00FC0F47"/>
    <w:rsid w:val="00FD76AA"/>
    <w:rsid w:val="00FE0637"/>
    <w:rsid w:val="00FE12A5"/>
    <w:rsid w:val="01E925C5"/>
    <w:rsid w:val="02631E0A"/>
    <w:rsid w:val="02700D9E"/>
    <w:rsid w:val="02822BDF"/>
    <w:rsid w:val="02AA4E09"/>
    <w:rsid w:val="036461C9"/>
    <w:rsid w:val="037D1269"/>
    <w:rsid w:val="038C6F20"/>
    <w:rsid w:val="03B92D3C"/>
    <w:rsid w:val="047816A5"/>
    <w:rsid w:val="04A91C5E"/>
    <w:rsid w:val="04B80256"/>
    <w:rsid w:val="054C7D24"/>
    <w:rsid w:val="05500771"/>
    <w:rsid w:val="05713C67"/>
    <w:rsid w:val="057A5FA5"/>
    <w:rsid w:val="05953107"/>
    <w:rsid w:val="05B35D8B"/>
    <w:rsid w:val="05C362DD"/>
    <w:rsid w:val="05F16117"/>
    <w:rsid w:val="06441C11"/>
    <w:rsid w:val="06661507"/>
    <w:rsid w:val="068E46B0"/>
    <w:rsid w:val="071809E3"/>
    <w:rsid w:val="078818A8"/>
    <w:rsid w:val="08407AC7"/>
    <w:rsid w:val="08605442"/>
    <w:rsid w:val="08CA336E"/>
    <w:rsid w:val="08CD11E2"/>
    <w:rsid w:val="090302EE"/>
    <w:rsid w:val="091C5147"/>
    <w:rsid w:val="096B6190"/>
    <w:rsid w:val="0997011D"/>
    <w:rsid w:val="0A5462DE"/>
    <w:rsid w:val="0A5A192C"/>
    <w:rsid w:val="0B1862EC"/>
    <w:rsid w:val="0B7F5853"/>
    <w:rsid w:val="0BAC7874"/>
    <w:rsid w:val="0C2B6C29"/>
    <w:rsid w:val="0CA539D4"/>
    <w:rsid w:val="0CC03167"/>
    <w:rsid w:val="0DE57C58"/>
    <w:rsid w:val="0DED5442"/>
    <w:rsid w:val="0E1B4C00"/>
    <w:rsid w:val="0E967928"/>
    <w:rsid w:val="0F542EE7"/>
    <w:rsid w:val="0F7B25F2"/>
    <w:rsid w:val="0F8C0D4A"/>
    <w:rsid w:val="0F90510B"/>
    <w:rsid w:val="0F912CF6"/>
    <w:rsid w:val="0FB474A3"/>
    <w:rsid w:val="105153E5"/>
    <w:rsid w:val="105949A9"/>
    <w:rsid w:val="105A4F5A"/>
    <w:rsid w:val="106F0F02"/>
    <w:rsid w:val="10A30E7E"/>
    <w:rsid w:val="10B45BED"/>
    <w:rsid w:val="10FC397A"/>
    <w:rsid w:val="117A0FD6"/>
    <w:rsid w:val="119A6652"/>
    <w:rsid w:val="11A57C36"/>
    <w:rsid w:val="11A75202"/>
    <w:rsid w:val="11C56208"/>
    <w:rsid w:val="11C67C71"/>
    <w:rsid w:val="11FF1B80"/>
    <w:rsid w:val="1207319C"/>
    <w:rsid w:val="122A05BC"/>
    <w:rsid w:val="125B181A"/>
    <w:rsid w:val="1281714B"/>
    <w:rsid w:val="12A840AE"/>
    <w:rsid w:val="137E1092"/>
    <w:rsid w:val="139470D9"/>
    <w:rsid w:val="13FA6E12"/>
    <w:rsid w:val="1468590F"/>
    <w:rsid w:val="16A11465"/>
    <w:rsid w:val="16F00EFB"/>
    <w:rsid w:val="173D4735"/>
    <w:rsid w:val="179C44FF"/>
    <w:rsid w:val="17A9718B"/>
    <w:rsid w:val="17D7235F"/>
    <w:rsid w:val="17DB2818"/>
    <w:rsid w:val="18D47845"/>
    <w:rsid w:val="19717B4A"/>
    <w:rsid w:val="19A302F9"/>
    <w:rsid w:val="19AC6CCF"/>
    <w:rsid w:val="19B268E4"/>
    <w:rsid w:val="1A0B1579"/>
    <w:rsid w:val="1A461E0D"/>
    <w:rsid w:val="1A6B0218"/>
    <w:rsid w:val="1A9A1D96"/>
    <w:rsid w:val="1B2551D9"/>
    <w:rsid w:val="1B4F1C3E"/>
    <w:rsid w:val="1C1668B6"/>
    <w:rsid w:val="1C2D44C9"/>
    <w:rsid w:val="1C541496"/>
    <w:rsid w:val="1CBF5B28"/>
    <w:rsid w:val="1CEE6B2B"/>
    <w:rsid w:val="1DAC1801"/>
    <w:rsid w:val="1EBA11E4"/>
    <w:rsid w:val="1ECE601F"/>
    <w:rsid w:val="1F224FBB"/>
    <w:rsid w:val="1F431D5C"/>
    <w:rsid w:val="1F4B435F"/>
    <w:rsid w:val="1F9E3B0D"/>
    <w:rsid w:val="1FBE531E"/>
    <w:rsid w:val="1FCC49DD"/>
    <w:rsid w:val="1FD133C6"/>
    <w:rsid w:val="1FD16996"/>
    <w:rsid w:val="1FD769BE"/>
    <w:rsid w:val="1FFD64A3"/>
    <w:rsid w:val="200B4ACE"/>
    <w:rsid w:val="20FA51B0"/>
    <w:rsid w:val="21525EFB"/>
    <w:rsid w:val="215469E3"/>
    <w:rsid w:val="21BB6E78"/>
    <w:rsid w:val="22570832"/>
    <w:rsid w:val="22623C51"/>
    <w:rsid w:val="23124C69"/>
    <w:rsid w:val="23182F24"/>
    <w:rsid w:val="231E0229"/>
    <w:rsid w:val="23523C9F"/>
    <w:rsid w:val="23DC3466"/>
    <w:rsid w:val="23DD2DA2"/>
    <w:rsid w:val="240E4AA1"/>
    <w:rsid w:val="241C41C8"/>
    <w:rsid w:val="247C69D7"/>
    <w:rsid w:val="2492432F"/>
    <w:rsid w:val="24CD4503"/>
    <w:rsid w:val="25B74D8A"/>
    <w:rsid w:val="25C86FFF"/>
    <w:rsid w:val="260C3831"/>
    <w:rsid w:val="261115D1"/>
    <w:rsid w:val="26242A63"/>
    <w:rsid w:val="266975B4"/>
    <w:rsid w:val="26BB3B44"/>
    <w:rsid w:val="26D0535B"/>
    <w:rsid w:val="278D13F3"/>
    <w:rsid w:val="27973C84"/>
    <w:rsid w:val="28215E89"/>
    <w:rsid w:val="286409E6"/>
    <w:rsid w:val="29AB13B2"/>
    <w:rsid w:val="29DD442E"/>
    <w:rsid w:val="29FC07CC"/>
    <w:rsid w:val="2A1101BA"/>
    <w:rsid w:val="2A744F22"/>
    <w:rsid w:val="2A7E069D"/>
    <w:rsid w:val="2AB63E07"/>
    <w:rsid w:val="2B0A7C2C"/>
    <w:rsid w:val="2B2C482E"/>
    <w:rsid w:val="2B9E0DDF"/>
    <w:rsid w:val="2BDC7F34"/>
    <w:rsid w:val="2C846FB7"/>
    <w:rsid w:val="2CE8432B"/>
    <w:rsid w:val="2D3F6DA2"/>
    <w:rsid w:val="2D733C1F"/>
    <w:rsid w:val="2DBC4F13"/>
    <w:rsid w:val="2E427A17"/>
    <w:rsid w:val="2E5326BA"/>
    <w:rsid w:val="2E6A3C11"/>
    <w:rsid w:val="2E9375F4"/>
    <w:rsid w:val="2EAD2F0C"/>
    <w:rsid w:val="2ECD75AB"/>
    <w:rsid w:val="2ED77509"/>
    <w:rsid w:val="2F020228"/>
    <w:rsid w:val="2F210C86"/>
    <w:rsid w:val="2F31473A"/>
    <w:rsid w:val="2FE35DCC"/>
    <w:rsid w:val="30006A6B"/>
    <w:rsid w:val="30172743"/>
    <w:rsid w:val="305F54C9"/>
    <w:rsid w:val="307315BC"/>
    <w:rsid w:val="30735833"/>
    <w:rsid w:val="30DF76E8"/>
    <w:rsid w:val="3103494F"/>
    <w:rsid w:val="31157626"/>
    <w:rsid w:val="3160555B"/>
    <w:rsid w:val="31A602A1"/>
    <w:rsid w:val="32CE0D5E"/>
    <w:rsid w:val="330B7252"/>
    <w:rsid w:val="337D1011"/>
    <w:rsid w:val="338A7A37"/>
    <w:rsid w:val="347F294E"/>
    <w:rsid w:val="348F4CDA"/>
    <w:rsid w:val="34A66AD4"/>
    <w:rsid w:val="34CF4C4A"/>
    <w:rsid w:val="34E805C0"/>
    <w:rsid w:val="34FC67A0"/>
    <w:rsid w:val="359F6402"/>
    <w:rsid w:val="35BB51D9"/>
    <w:rsid w:val="36862FBF"/>
    <w:rsid w:val="36B2100D"/>
    <w:rsid w:val="36C828BD"/>
    <w:rsid w:val="36DA007E"/>
    <w:rsid w:val="36E73254"/>
    <w:rsid w:val="370E535C"/>
    <w:rsid w:val="372A22EA"/>
    <w:rsid w:val="37557561"/>
    <w:rsid w:val="37652F69"/>
    <w:rsid w:val="37691D7D"/>
    <w:rsid w:val="376C22E4"/>
    <w:rsid w:val="37965814"/>
    <w:rsid w:val="37A35912"/>
    <w:rsid w:val="37DF2B33"/>
    <w:rsid w:val="3849739D"/>
    <w:rsid w:val="3854476C"/>
    <w:rsid w:val="386B6325"/>
    <w:rsid w:val="387A0405"/>
    <w:rsid w:val="387C2088"/>
    <w:rsid w:val="388549AF"/>
    <w:rsid w:val="389E31F8"/>
    <w:rsid w:val="39077B00"/>
    <w:rsid w:val="392C01FB"/>
    <w:rsid w:val="3984569A"/>
    <w:rsid w:val="398724F6"/>
    <w:rsid w:val="39AF7601"/>
    <w:rsid w:val="39D62607"/>
    <w:rsid w:val="3A116CA8"/>
    <w:rsid w:val="3A34632E"/>
    <w:rsid w:val="3A80778B"/>
    <w:rsid w:val="3A9F0EDA"/>
    <w:rsid w:val="3B504B02"/>
    <w:rsid w:val="3C481AB6"/>
    <w:rsid w:val="3C872764"/>
    <w:rsid w:val="3D862881"/>
    <w:rsid w:val="3D871171"/>
    <w:rsid w:val="3D8C2393"/>
    <w:rsid w:val="3DC34C2E"/>
    <w:rsid w:val="3E4F106C"/>
    <w:rsid w:val="3E933EA6"/>
    <w:rsid w:val="3EC54BFC"/>
    <w:rsid w:val="3F597846"/>
    <w:rsid w:val="4011506D"/>
    <w:rsid w:val="402A360C"/>
    <w:rsid w:val="404A4CA9"/>
    <w:rsid w:val="40AC52E7"/>
    <w:rsid w:val="40C87CF3"/>
    <w:rsid w:val="413B3E29"/>
    <w:rsid w:val="415125C8"/>
    <w:rsid w:val="41715496"/>
    <w:rsid w:val="42382210"/>
    <w:rsid w:val="426E2653"/>
    <w:rsid w:val="43A91093"/>
    <w:rsid w:val="43E011A7"/>
    <w:rsid w:val="44173B4C"/>
    <w:rsid w:val="44271A0B"/>
    <w:rsid w:val="44563B0A"/>
    <w:rsid w:val="44D3011D"/>
    <w:rsid w:val="44F3065E"/>
    <w:rsid w:val="44FF613E"/>
    <w:rsid w:val="451A2001"/>
    <w:rsid w:val="457F6F58"/>
    <w:rsid w:val="45BC784F"/>
    <w:rsid w:val="45E50F6C"/>
    <w:rsid w:val="46001422"/>
    <w:rsid w:val="46622A14"/>
    <w:rsid w:val="46B82D79"/>
    <w:rsid w:val="472A7CE7"/>
    <w:rsid w:val="475877BD"/>
    <w:rsid w:val="484374C7"/>
    <w:rsid w:val="484C229A"/>
    <w:rsid w:val="48B6533F"/>
    <w:rsid w:val="48E47C8A"/>
    <w:rsid w:val="49C63288"/>
    <w:rsid w:val="4A294F13"/>
    <w:rsid w:val="4A512E3B"/>
    <w:rsid w:val="4A992F1E"/>
    <w:rsid w:val="4B3125E6"/>
    <w:rsid w:val="4B7658CD"/>
    <w:rsid w:val="4B8959D8"/>
    <w:rsid w:val="4BAB6A51"/>
    <w:rsid w:val="4C3D00D5"/>
    <w:rsid w:val="4C4F06FE"/>
    <w:rsid w:val="4D2A27D6"/>
    <w:rsid w:val="4D346BC8"/>
    <w:rsid w:val="4D404EDD"/>
    <w:rsid w:val="4D4B4F6E"/>
    <w:rsid w:val="4D833C8E"/>
    <w:rsid w:val="4D920D20"/>
    <w:rsid w:val="4DD95989"/>
    <w:rsid w:val="4E012A9B"/>
    <w:rsid w:val="4F780B36"/>
    <w:rsid w:val="4FB02114"/>
    <w:rsid w:val="501D3747"/>
    <w:rsid w:val="50517135"/>
    <w:rsid w:val="50525098"/>
    <w:rsid w:val="507472D6"/>
    <w:rsid w:val="50C241B2"/>
    <w:rsid w:val="50D17AA5"/>
    <w:rsid w:val="50D40063"/>
    <w:rsid w:val="50DE02DB"/>
    <w:rsid w:val="511A49BD"/>
    <w:rsid w:val="51285572"/>
    <w:rsid w:val="51371D51"/>
    <w:rsid w:val="527B38A1"/>
    <w:rsid w:val="52BA7BFF"/>
    <w:rsid w:val="52D92652"/>
    <w:rsid w:val="52F30EA2"/>
    <w:rsid w:val="53026461"/>
    <w:rsid w:val="531215C0"/>
    <w:rsid w:val="53596F34"/>
    <w:rsid w:val="53797863"/>
    <w:rsid w:val="53892A7F"/>
    <w:rsid w:val="53D96968"/>
    <w:rsid w:val="54133FC5"/>
    <w:rsid w:val="55A65BBA"/>
    <w:rsid w:val="55EF4482"/>
    <w:rsid w:val="56167167"/>
    <w:rsid w:val="566526AC"/>
    <w:rsid w:val="56CD74AE"/>
    <w:rsid w:val="57342B3C"/>
    <w:rsid w:val="57862AE9"/>
    <w:rsid w:val="57AF3FD7"/>
    <w:rsid w:val="57EC7315"/>
    <w:rsid w:val="584274DB"/>
    <w:rsid w:val="58833313"/>
    <w:rsid w:val="58F25677"/>
    <w:rsid w:val="590D36FC"/>
    <w:rsid w:val="590E1E01"/>
    <w:rsid w:val="597436C4"/>
    <w:rsid w:val="59A851B0"/>
    <w:rsid w:val="59B7137F"/>
    <w:rsid w:val="59C61E0A"/>
    <w:rsid w:val="59D21FAA"/>
    <w:rsid w:val="59E64895"/>
    <w:rsid w:val="59F76A9C"/>
    <w:rsid w:val="59FD6CB9"/>
    <w:rsid w:val="5A694410"/>
    <w:rsid w:val="5A9C5967"/>
    <w:rsid w:val="5B2F4BD8"/>
    <w:rsid w:val="5B451FC1"/>
    <w:rsid w:val="5B4A5537"/>
    <w:rsid w:val="5C021D0B"/>
    <w:rsid w:val="5C2D5385"/>
    <w:rsid w:val="5C430D18"/>
    <w:rsid w:val="5D8C15A4"/>
    <w:rsid w:val="5DD96AE8"/>
    <w:rsid w:val="5E52672F"/>
    <w:rsid w:val="5EEC05C4"/>
    <w:rsid w:val="5F7A0FC1"/>
    <w:rsid w:val="605709F3"/>
    <w:rsid w:val="608E325A"/>
    <w:rsid w:val="60947B4A"/>
    <w:rsid w:val="609F5CCC"/>
    <w:rsid w:val="60C06297"/>
    <w:rsid w:val="622B655E"/>
    <w:rsid w:val="6234287E"/>
    <w:rsid w:val="625C1C6B"/>
    <w:rsid w:val="62603A88"/>
    <w:rsid w:val="62820D84"/>
    <w:rsid w:val="62AA7DE8"/>
    <w:rsid w:val="62CB6323"/>
    <w:rsid w:val="6303201C"/>
    <w:rsid w:val="63306A11"/>
    <w:rsid w:val="63614877"/>
    <w:rsid w:val="63A819E4"/>
    <w:rsid w:val="63EF2659"/>
    <w:rsid w:val="647A7AEC"/>
    <w:rsid w:val="65B84001"/>
    <w:rsid w:val="65C553F9"/>
    <w:rsid w:val="65CF40BF"/>
    <w:rsid w:val="669B0CFA"/>
    <w:rsid w:val="66CF743C"/>
    <w:rsid w:val="66D36967"/>
    <w:rsid w:val="66E753EE"/>
    <w:rsid w:val="670263D7"/>
    <w:rsid w:val="67C86974"/>
    <w:rsid w:val="67FA02EC"/>
    <w:rsid w:val="685F1DCB"/>
    <w:rsid w:val="68A624C6"/>
    <w:rsid w:val="68BD1EBB"/>
    <w:rsid w:val="68E34E3B"/>
    <w:rsid w:val="692A29EE"/>
    <w:rsid w:val="69985B9C"/>
    <w:rsid w:val="69D06CE6"/>
    <w:rsid w:val="69F944BC"/>
    <w:rsid w:val="6B0A7642"/>
    <w:rsid w:val="6B307BAA"/>
    <w:rsid w:val="6B88094C"/>
    <w:rsid w:val="6C1913CF"/>
    <w:rsid w:val="6C267961"/>
    <w:rsid w:val="6C715BFE"/>
    <w:rsid w:val="6CAF1008"/>
    <w:rsid w:val="6CD354B5"/>
    <w:rsid w:val="6D785255"/>
    <w:rsid w:val="6DAD1397"/>
    <w:rsid w:val="6DDC2B79"/>
    <w:rsid w:val="6E2D2206"/>
    <w:rsid w:val="6E6A572B"/>
    <w:rsid w:val="6E882768"/>
    <w:rsid w:val="6EB34837"/>
    <w:rsid w:val="6F69469C"/>
    <w:rsid w:val="6F7F2386"/>
    <w:rsid w:val="6FAE4083"/>
    <w:rsid w:val="6FC34071"/>
    <w:rsid w:val="6FFA4C95"/>
    <w:rsid w:val="712C41AB"/>
    <w:rsid w:val="718F5D20"/>
    <w:rsid w:val="71B92BBF"/>
    <w:rsid w:val="71D80807"/>
    <w:rsid w:val="722D2D0E"/>
    <w:rsid w:val="730A1BDD"/>
    <w:rsid w:val="731B0B94"/>
    <w:rsid w:val="732346BE"/>
    <w:rsid w:val="73D90A00"/>
    <w:rsid w:val="74077D47"/>
    <w:rsid w:val="74244840"/>
    <w:rsid w:val="74327AD7"/>
    <w:rsid w:val="74727416"/>
    <w:rsid w:val="7479194E"/>
    <w:rsid w:val="748117D5"/>
    <w:rsid w:val="75A6178F"/>
    <w:rsid w:val="76076333"/>
    <w:rsid w:val="764368FA"/>
    <w:rsid w:val="766F54E7"/>
    <w:rsid w:val="7690789F"/>
    <w:rsid w:val="76BD6253"/>
    <w:rsid w:val="77CB4B87"/>
    <w:rsid w:val="77DF079C"/>
    <w:rsid w:val="785E12BE"/>
    <w:rsid w:val="791E7017"/>
    <w:rsid w:val="79405D86"/>
    <w:rsid w:val="79872622"/>
    <w:rsid w:val="79AC547C"/>
    <w:rsid w:val="79AF760A"/>
    <w:rsid w:val="79BC7ACC"/>
    <w:rsid w:val="79ED2F30"/>
    <w:rsid w:val="7A145218"/>
    <w:rsid w:val="7A2A7492"/>
    <w:rsid w:val="7A5F2543"/>
    <w:rsid w:val="7AC15354"/>
    <w:rsid w:val="7B656EA7"/>
    <w:rsid w:val="7B7B7151"/>
    <w:rsid w:val="7BBA2C2F"/>
    <w:rsid w:val="7BD1469C"/>
    <w:rsid w:val="7BEA2B9C"/>
    <w:rsid w:val="7C187A46"/>
    <w:rsid w:val="7C1C07F4"/>
    <w:rsid w:val="7C262652"/>
    <w:rsid w:val="7C8643EF"/>
    <w:rsid w:val="7CC333C1"/>
    <w:rsid w:val="7D163CCB"/>
    <w:rsid w:val="7D844CF3"/>
    <w:rsid w:val="7DA63944"/>
    <w:rsid w:val="7DA758BA"/>
    <w:rsid w:val="7DE865DA"/>
    <w:rsid w:val="7E1B5536"/>
    <w:rsid w:val="7E637675"/>
    <w:rsid w:val="7E9779B9"/>
    <w:rsid w:val="7ED564ED"/>
    <w:rsid w:val="7F2D2841"/>
    <w:rsid w:val="7F373A49"/>
    <w:rsid w:val="7F4F029E"/>
    <w:rsid w:val="7F6276E2"/>
    <w:rsid w:val="7FBD6AB1"/>
    <w:rsid w:val="7FC73A8C"/>
    <w:rsid w:val="7FE764F5"/>
    <w:rsid w:val="7FF92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39"/>
    <w:qFormat/>
    <w:uiPriority w:val="0"/>
    <w:pPr>
      <w:keepNext/>
      <w:keepLines/>
      <w:spacing w:before="260" w:after="260" w:line="416" w:lineRule="auto"/>
      <w:outlineLvl w:val="1"/>
    </w:pPr>
    <w:rPr>
      <w:rFonts w:ascii="Arial" w:hAnsi="Arial"/>
      <w:b/>
      <w:bCs/>
      <w:szCs w:val="32"/>
    </w:rPr>
  </w:style>
  <w:style w:type="paragraph" w:styleId="5">
    <w:name w:val="heading 3"/>
    <w:basedOn w:val="1"/>
    <w:next w:val="1"/>
    <w:link w:val="38"/>
    <w:unhideWhenUsed/>
    <w:qFormat/>
    <w:uiPriority w:val="0"/>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41"/>
    <w:qFormat/>
    <w:uiPriority w:val="0"/>
    <w:pPr>
      <w:ind w:left="0" w:leftChars="0" w:firstLine="420"/>
    </w:pPr>
    <w:rPr>
      <w:rFonts w:ascii="Times New Roman" w:hAnsi="Times New Roman"/>
      <w:szCs w:val="24"/>
    </w:rPr>
  </w:style>
  <w:style w:type="paragraph" w:styleId="3">
    <w:name w:val="Body Text Indent"/>
    <w:basedOn w:val="1"/>
    <w:link w:val="40"/>
    <w:unhideWhenUsed/>
    <w:qFormat/>
    <w:uiPriority w:val="0"/>
    <w:pPr>
      <w:spacing w:after="120"/>
      <w:ind w:left="420" w:leftChars="200"/>
    </w:pPr>
  </w:style>
  <w:style w:type="paragraph" w:styleId="6">
    <w:name w:val="Normal Indent"/>
    <w:basedOn w:val="1"/>
    <w:next w:val="1"/>
    <w:qFormat/>
    <w:uiPriority w:val="0"/>
    <w:pPr>
      <w:ind w:firstLine="420"/>
    </w:pPr>
    <w:rPr>
      <w:rFonts w:ascii="Times New Roman" w:hAnsi="Times New Roman"/>
      <w:szCs w:val="24"/>
    </w:rPr>
  </w:style>
  <w:style w:type="paragraph" w:styleId="7">
    <w:name w:val="Document Map"/>
    <w:basedOn w:val="1"/>
    <w:link w:val="32"/>
    <w:qFormat/>
    <w:uiPriority w:val="0"/>
    <w:rPr>
      <w:rFonts w:ascii="Tahoma" w:hAnsi="Tahoma"/>
      <w:sz w:val="16"/>
      <w:szCs w:val="16"/>
    </w:rPr>
  </w:style>
  <w:style w:type="paragraph" w:styleId="8">
    <w:name w:val="Body Text"/>
    <w:basedOn w:val="1"/>
    <w:next w:val="1"/>
    <w:qFormat/>
    <w:uiPriority w:val="0"/>
    <w:pPr>
      <w:spacing w:after="120"/>
    </w:pPr>
    <w:rPr>
      <w:rFonts w:ascii="Times New Roman" w:hAnsi="Times New Roman"/>
      <w:szCs w:val="24"/>
    </w:rPr>
  </w:style>
  <w:style w:type="paragraph" w:styleId="9">
    <w:name w:val="Plain Text"/>
    <w:basedOn w:val="1"/>
    <w:qFormat/>
    <w:uiPriority w:val="0"/>
    <w:rPr>
      <w:rFonts w:ascii="宋体" w:hAnsi="Courier New" w:cs="Courier New"/>
      <w:szCs w:val="21"/>
    </w:rPr>
  </w:style>
  <w:style w:type="paragraph" w:styleId="10">
    <w:name w:val="footer"/>
    <w:basedOn w:val="1"/>
    <w:link w:val="44"/>
    <w:unhideWhenUsed/>
    <w:qFormat/>
    <w:uiPriority w:val="0"/>
    <w:pPr>
      <w:tabs>
        <w:tab w:val="center" w:pos="4153"/>
        <w:tab w:val="right" w:pos="8306"/>
      </w:tabs>
      <w:snapToGrid w:val="0"/>
      <w:jc w:val="left"/>
    </w:pPr>
    <w:rPr>
      <w:sz w:val="18"/>
      <w:szCs w:val="18"/>
    </w:rPr>
  </w:style>
  <w:style w:type="paragraph" w:styleId="11">
    <w:name w:val="header"/>
    <w:basedOn w:val="1"/>
    <w:link w:val="43"/>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List"/>
    <w:basedOn w:val="1"/>
    <w:qFormat/>
    <w:uiPriority w:val="0"/>
    <w:pPr>
      <w:ind w:left="200" w:hanging="200" w:hangingChars="200"/>
      <w:contextualSpacing/>
    </w:p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qFormat/>
    <w:uiPriority w:val="0"/>
    <w:rPr>
      <w:color w:val="7E1FAD" w:themeColor="followedHyperlink"/>
      <w:u w:val="single"/>
      <w14:textFill>
        <w14:solidFill>
          <w14:schemeClr w14:val="folHlink"/>
        </w14:solidFill>
      </w14:textFill>
    </w:rPr>
  </w:style>
  <w:style w:type="character" w:styleId="18">
    <w:name w:val="Hyperlink"/>
    <w:basedOn w:val="16"/>
    <w:qFormat/>
    <w:uiPriority w:val="0"/>
    <w:rPr>
      <w:color w:val="0026E5" w:themeColor="hyperlink"/>
      <w:u w:val="single"/>
      <w14:textFill>
        <w14:solidFill>
          <w14:schemeClr w14:val="hlink"/>
        </w14:solidFill>
      </w14:textFill>
    </w:rPr>
  </w:style>
  <w:style w:type="paragraph" w:customStyle="1" w:styleId="19">
    <w:name w:val="列出段落7"/>
    <w:basedOn w:val="1"/>
    <w:qFormat/>
    <w:uiPriority w:val="0"/>
    <w:pPr>
      <w:ind w:left="400" w:firstLine="420"/>
    </w:pPr>
  </w:style>
  <w:style w:type="paragraph" w:customStyle="1" w:styleId="20">
    <w:name w:val="Table Paragraph"/>
    <w:basedOn w:val="1"/>
    <w:qFormat/>
    <w:uiPriority w:val="1"/>
    <w:pPr>
      <w:autoSpaceDE w:val="0"/>
      <w:autoSpaceDN w:val="0"/>
      <w:jc w:val="left"/>
    </w:pPr>
    <w:rPr>
      <w:rFonts w:ascii="宋体" w:hAnsi="宋体" w:cs="宋体"/>
      <w:kern w:val="0"/>
      <w:sz w:val="22"/>
      <w:lang w:val="zh-CN" w:bidi="zh-CN"/>
    </w:rPr>
  </w:style>
  <w:style w:type="paragraph" w:customStyle="1" w:styleId="21">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22">
    <w:name w:val="列出段落1"/>
    <w:basedOn w:val="1"/>
    <w:qFormat/>
    <w:uiPriority w:val="0"/>
    <w:pPr>
      <w:ind w:firstLine="420" w:firstLineChars="200"/>
    </w:pPr>
    <w:rPr>
      <w:szCs w:val="20"/>
    </w:rPr>
  </w:style>
  <w:style w:type="paragraph" w:customStyle="1" w:styleId="23">
    <w:name w:val="列表段落1"/>
    <w:basedOn w:val="1"/>
    <w:qFormat/>
    <w:uiPriority w:val="99"/>
    <w:pPr>
      <w:ind w:firstLine="420" w:firstLineChars="200"/>
    </w:pPr>
  </w:style>
  <w:style w:type="paragraph" w:customStyle="1" w:styleId="24">
    <w:name w:val="样式1"/>
    <w:basedOn w:val="1"/>
    <w:qFormat/>
    <w:uiPriority w:val="0"/>
    <w:rPr>
      <w:rFonts w:ascii="Times New Roman" w:hAnsi="Times New Roman"/>
      <w:sz w:val="28"/>
      <w:szCs w:val="24"/>
    </w:rPr>
  </w:style>
  <w:style w:type="paragraph" w:customStyle="1" w:styleId="25">
    <w:name w:val="p0"/>
    <w:basedOn w:val="1"/>
    <w:qFormat/>
    <w:uiPriority w:val="0"/>
    <w:pPr>
      <w:widowControl/>
    </w:pPr>
    <w:rPr>
      <w:rFonts w:ascii="Times New Roman" w:hAnsi="Times New Roman"/>
      <w:kern w:val="0"/>
      <w:szCs w:val="21"/>
    </w:rPr>
  </w:style>
  <w:style w:type="paragraph" w:customStyle="1" w:styleId="26">
    <w:name w:val="表格文字"/>
    <w:basedOn w:val="12"/>
    <w:next w:val="1"/>
    <w:qFormat/>
    <w:uiPriority w:val="0"/>
    <w:pPr>
      <w:ind w:firstLine="0" w:firstLineChars="0"/>
      <w:jc w:val="center"/>
    </w:pPr>
    <w:rPr>
      <w:szCs w:val="20"/>
    </w:rPr>
  </w:style>
  <w:style w:type="paragraph" w:styleId="27">
    <w:name w:val="List Paragraph"/>
    <w:basedOn w:val="1"/>
    <w:unhideWhenUsed/>
    <w:qFormat/>
    <w:uiPriority w:val="99"/>
    <w:pPr>
      <w:ind w:firstLine="420" w:firstLineChars="200"/>
    </w:pPr>
  </w:style>
  <w:style w:type="paragraph" w:customStyle="1" w:styleId="28">
    <w:name w:val="纯文本2"/>
    <w:basedOn w:val="1"/>
    <w:qFormat/>
    <w:uiPriority w:val="0"/>
    <w:pPr>
      <w:adjustRightInd w:val="0"/>
      <w:textAlignment w:val="baseline"/>
    </w:pPr>
    <w:rPr>
      <w:rFonts w:ascii="宋体" w:hAnsi="Courier New"/>
      <w:kern w:val="0"/>
      <w:sz w:val="20"/>
      <w:szCs w:val="20"/>
    </w:rPr>
  </w:style>
  <w:style w:type="paragraph" w:customStyle="1" w:styleId="29">
    <w:name w:val="bgg"/>
    <w:basedOn w:val="30"/>
    <w:qFormat/>
    <w:uiPriority w:val="0"/>
    <w:pPr>
      <w:snapToGrid w:val="0"/>
      <w:ind w:left="52" w:leftChars="25" w:right="52" w:rightChars="25"/>
      <w:jc w:val="center"/>
    </w:pPr>
    <w:rPr>
      <w:rFonts w:ascii="Times New Roman" w:hAnsi="Times New Roman"/>
      <w:b w:val="0"/>
      <w:color w:val="auto"/>
      <w:sz w:val="18"/>
      <w:szCs w:val="18"/>
    </w:rPr>
  </w:style>
  <w:style w:type="paragraph" w:customStyle="1" w:styleId="30">
    <w:name w:val="默认段落字体 Para Char Char Char Char"/>
    <w:basedOn w:val="1"/>
    <w:qFormat/>
    <w:uiPriority w:val="0"/>
    <w:rPr>
      <w:rFonts w:ascii="宋体" w:hAnsi="宋体"/>
      <w:b/>
      <w:color w:val="000000"/>
      <w:sz w:val="24"/>
      <w:szCs w:val="24"/>
    </w:rPr>
  </w:style>
  <w:style w:type="character" w:customStyle="1" w:styleId="31">
    <w:name w:val="标题 1.1 Char1"/>
    <w:qFormat/>
    <w:uiPriority w:val="0"/>
    <w:rPr>
      <w:rFonts w:ascii="Arial" w:hAnsi="Arial" w:eastAsia="黑体"/>
      <w:b/>
      <w:bCs/>
      <w:kern w:val="2"/>
      <w:sz w:val="32"/>
      <w:szCs w:val="32"/>
    </w:rPr>
  </w:style>
  <w:style w:type="character" w:customStyle="1" w:styleId="32">
    <w:name w:val="文档结构图 Char"/>
    <w:basedOn w:val="16"/>
    <w:link w:val="7"/>
    <w:qFormat/>
    <w:uiPriority w:val="0"/>
    <w:rPr>
      <w:rFonts w:ascii="Tahoma" w:hAnsi="Tahoma" w:eastAsia="宋体" w:cs="Times New Roman"/>
      <w:kern w:val="2"/>
      <w:sz w:val="16"/>
      <w:szCs w:val="16"/>
    </w:rPr>
  </w:style>
  <w:style w:type="paragraph" w:customStyle="1" w:styleId="3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纯文本 New New"/>
    <w:basedOn w:val="1"/>
    <w:qFormat/>
    <w:uiPriority w:val="0"/>
    <w:rPr>
      <w:rFonts w:ascii="宋体" w:hAnsi="Courier New"/>
      <w:szCs w:val="20"/>
    </w:rPr>
  </w:style>
  <w:style w:type="paragraph" w:customStyle="1" w:styleId="36">
    <w:name w:val="列出段落2"/>
    <w:basedOn w:val="1"/>
    <w:qFormat/>
    <w:uiPriority w:val="0"/>
    <w:pPr>
      <w:ind w:firstLine="420" w:firstLineChars="200"/>
    </w:pPr>
    <w:rPr>
      <w:rFonts w:asciiTheme="minorHAnsi" w:hAnsiTheme="minorHAnsi" w:eastAsiaTheme="minorEastAsia" w:cstheme="minorBidi"/>
      <w:szCs w:val="21"/>
    </w:rPr>
  </w:style>
  <w:style w:type="paragraph" w:customStyle="1" w:styleId="37">
    <w:name w:val="正文 New New New New New New New New New"/>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38">
    <w:name w:val="标题 3 Char"/>
    <w:basedOn w:val="16"/>
    <w:link w:val="5"/>
    <w:qFormat/>
    <w:uiPriority w:val="0"/>
    <w:rPr>
      <w:rFonts w:ascii="Calibri" w:hAnsi="Calibri" w:eastAsia="宋体" w:cs="Times New Roman"/>
      <w:b/>
      <w:bCs/>
      <w:kern w:val="2"/>
      <w:sz w:val="32"/>
      <w:szCs w:val="32"/>
    </w:rPr>
  </w:style>
  <w:style w:type="character" w:customStyle="1" w:styleId="39">
    <w:name w:val="标题 2 Char"/>
    <w:basedOn w:val="16"/>
    <w:link w:val="4"/>
    <w:qFormat/>
    <w:uiPriority w:val="0"/>
    <w:rPr>
      <w:rFonts w:ascii="Arial" w:hAnsi="Arial" w:eastAsia="宋体" w:cs="Times New Roman"/>
      <w:b/>
      <w:bCs/>
      <w:kern w:val="2"/>
      <w:sz w:val="21"/>
      <w:szCs w:val="32"/>
    </w:rPr>
  </w:style>
  <w:style w:type="character" w:customStyle="1" w:styleId="40">
    <w:name w:val="正文文本缩进 Char"/>
    <w:basedOn w:val="16"/>
    <w:link w:val="3"/>
    <w:qFormat/>
    <w:uiPriority w:val="0"/>
    <w:rPr>
      <w:rFonts w:ascii="Calibri" w:hAnsi="Calibri" w:eastAsia="宋体" w:cs="Times New Roman"/>
      <w:kern w:val="2"/>
      <w:sz w:val="21"/>
      <w:szCs w:val="22"/>
    </w:rPr>
  </w:style>
  <w:style w:type="character" w:customStyle="1" w:styleId="41">
    <w:name w:val="正文首行缩进 2 Char"/>
    <w:basedOn w:val="40"/>
    <w:link w:val="2"/>
    <w:qFormat/>
    <w:uiPriority w:val="0"/>
    <w:rPr>
      <w:rFonts w:ascii="Times New Roman" w:hAnsi="Times New Roman" w:eastAsia="宋体" w:cs="Times New Roman"/>
      <w:kern w:val="2"/>
      <w:sz w:val="21"/>
      <w:szCs w:val="24"/>
    </w:rPr>
  </w:style>
  <w:style w:type="character" w:customStyle="1" w:styleId="42">
    <w:name w:val="font31"/>
    <w:basedOn w:val="16"/>
    <w:qFormat/>
    <w:uiPriority w:val="0"/>
    <w:rPr>
      <w:rFonts w:hint="eastAsia" w:ascii="宋体" w:hAnsi="宋体" w:eastAsia="宋体" w:cs="宋体"/>
      <w:color w:val="000000"/>
      <w:sz w:val="22"/>
      <w:szCs w:val="22"/>
      <w:u w:val="none"/>
    </w:rPr>
  </w:style>
  <w:style w:type="character" w:customStyle="1" w:styleId="43">
    <w:name w:val="页眉 Char"/>
    <w:basedOn w:val="16"/>
    <w:link w:val="11"/>
    <w:qFormat/>
    <w:uiPriority w:val="0"/>
    <w:rPr>
      <w:rFonts w:ascii="Calibri" w:hAnsi="Calibri" w:eastAsia="宋体" w:cs="Times New Roman"/>
      <w:kern w:val="2"/>
      <w:sz w:val="18"/>
      <w:szCs w:val="18"/>
    </w:rPr>
  </w:style>
  <w:style w:type="character" w:customStyle="1" w:styleId="44">
    <w:name w:val="页脚 Char"/>
    <w:basedOn w:val="16"/>
    <w:link w:val="10"/>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4172</Words>
  <Characters>4451</Characters>
  <Lines>372</Lines>
  <Paragraphs>104</Paragraphs>
  <TotalTime>2</TotalTime>
  <ScaleCrop>false</ScaleCrop>
  <LinksUpToDate>false</LinksUpToDate>
  <CharactersWithSpaces>4499</CharactersWithSpaces>
  <Application>WPS Office_11.8.2.12309_F1E327BC-269C-435d-A152-05C5408002CA</Application>
  <DocSecurity>13</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2025-06-13T01:22:00Z</dcterms:created>
  <dc:creator>lg</dc:creator>
  <cp:keywords>BD@@2025@@建管.docx</cp:keywords>
  <cp:lastModifiedBy>Lenovo</cp:lastModifiedBy>
  <dcterms:modified xsi:type="dcterms:W3CDTF">2025-06-27T01:09:05Z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AA063510978E46E1B5056EC8F267687A</vt:lpwstr>
  </property>
  <property fmtid="{D5CDD505-2E9C-101B-9397-08002B2CF9AE}" pid="4" name="KSOSaveFontToCloudKey">
    <vt:lpwstr>321445358_btnclosed</vt:lpwstr>
  </property>
  <property fmtid="{D5CDD505-2E9C-101B-9397-08002B2CF9AE}" pid="5" name="KSOTemplateDocerSaveRecord">
    <vt:lpwstr>eyJoZGlkIjoiYmM5YTQ5ZDEyOWMyMGZiNWU5ZjFkNjMxM2FiMDhkOTUiLCJ1c2VySWQiOiI1MjE2OTQ1NjYifQ==</vt:lpwstr>
  </property>
  <property fmtid="{D5CDD505-2E9C-101B-9397-08002B2CF9AE}" pid="6" name="GWFBBS_NAME" linkTarget="0">
    <vt:lpwstr>ZBWJFBBS</vt:lpwstr>
  </property>
</Properties>
</file>