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资格准入条件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1.供应商类型：生产型或流通型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2.注册资金(万元)：300</w:t>
      </w:r>
    </w:p>
    <w:p>
      <w:pPr>
        <w:spacing w:after="0" w:line="24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3.业绩要求：</w:t>
      </w:r>
      <w:r>
        <w:rPr>
          <w:rFonts w:hint="eastAsia" w:ascii="仿宋" w:hAnsi="仿宋" w:eastAsia="仿宋"/>
          <w:sz w:val="32"/>
          <w:szCs w:val="32"/>
        </w:rPr>
        <w:t>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提供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年1月1日以来类似项目业绩，提供至少两项业绩合同扫描件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及对应发票扫描件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4.其他要求：需要提供以下企业资质要求：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1）营业执照（或副本）扫描件。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2）税务登记证（或副本）扫描件（三证合一的除外）。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3）组织机构代码证（或副本）扫描件（三证合一的除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外)。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462F1"/>
    <w:rsid w:val="69D06AA3"/>
    <w:rsid w:val="755C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2026-03-20T00:28:00Z</dcterms:created>
  <dc:creator>Administrator</dc:creator>
  <cp:lastModifiedBy>王其波</cp:lastModifiedBy>
  <dcterms:modified xsi:type="dcterms:W3CDTF">2026-03-20T00:45:43Z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