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D4B101">
      <w:pPr>
        <w:spacing w:after="312" w:afterLines="100"/>
        <w:jc w:val="center"/>
        <w:rPr>
          <w:rFonts w:hint="eastAsia" w:ascii="方正小标宋简体" w:eastAsia="方正小标宋简体"/>
          <w:b/>
          <w:color w:val="000000"/>
          <w:sz w:val="36"/>
          <w:szCs w:val="36"/>
        </w:rPr>
      </w:pPr>
      <w:r>
        <w:rPr>
          <w:rFonts w:hint="eastAsia" w:ascii="方正小标宋简体" w:eastAsia="方正小标宋简体"/>
          <w:b/>
          <w:color w:val="000000"/>
          <w:sz w:val="36"/>
          <w:szCs w:val="36"/>
        </w:rPr>
        <w:t>广西机电技师学院课桌椅采购</w:t>
      </w:r>
    </w:p>
    <w:tbl>
      <w:tblPr>
        <w:tblStyle w:val="14"/>
        <w:tblW w:w="5169" w:type="pc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3"/>
        <w:gridCol w:w="836"/>
        <w:gridCol w:w="1003"/>
        <w:gridCol w:w="4943"/>
        <w:gridCol w:w="606"/>
        <w:gridCol w:w="408"/>
        <w:gridCol w:w="787"/>
        <w:gridCol w:w="1163"/>
      </w:tblGrid>
      <w:tr w14:paraId="18FBF6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834C48">
            <w:pPr>
              <w:widowControl/>
              <w:jc w:val="center"/>
              <w:textAlignment w:val="center"/>
              <w:rPr>
                <w:rFonts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120FF8">
            <w:pPr>
              <w:widowControl/>
              <w:jc w:val="center"/>
              <w:textAlignment w:val="center"/>
              <w:rPr>
                <w:rFonts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货物名称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FB5E34">
            <w:pPr>
              <w:widowControl/>
              <w:jc w:val="center"/>
              <w:textAlignment w:val="center"/>
              <w:rPr>
                <w:rFonts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品牌</w:t>
            </w:r>
          </w:p>
        </w:tc>
        <w:tc>
          <w:tcPr>
            <w:tcW w:w="2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59EB2C">
            <w:pPr>
              <w:widowControl/>
              <w:jc w:val="center"/>
              <w:textAlignment w:val="center"/>
              <w:rPr>
                <w:rFonts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技术参数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9FE19B">
            <w:pPr>
              <w:widowControl/>
              <w:jc w:val="center"/>
              <w:textAlignment w:val="center"/>
              <w:rPr>
                <w:rFonts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数量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9EE35B">
            <w:pPr>
              <w:widowControl/>
              <w:jc w:val="center"/>
              <w:textAlignment w:val="center"/>
              <w:rPr>
                <w:rFonts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84F133">
            <w:pPr>
              <w:widowControl/>
              <w:jc w:val="center"/>
              <w:textAlignment w:val="center"/>
              <w:rPr>
                <w:rFonts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单价(元)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2614E1">
            <w:pPr>
              <w:widowControl/>
              <w:jc w:val="center"/>
              <w:textAlignment w:val="center"/>
              <w:rPr>
                <w:rFonts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单项金额（元）</w:t>
            </w:r>
          </w:p>
        </w:tc>
      </w:tr>
      <w:tr w14:paraId="34DA54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2867CC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22AE30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课桌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81404E">
            <w:pPr>
              <w:widowControl/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军桂牌</w:t>
            </w:r>
          </w:p>
        </w:tc>
        <w:tc>
          <w:tcPr>
            <w:tcW w:w="2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8CB426">
            <w:pPr>
              <w:spacing w:line="500" w:lineRule="exact"/>
              <w:ind w:left="110" w:leftChars="50" w:right="110" w:rightChars="50"/>
              <w:rPr>
                <w:rFonts w:hint="eastAsia"/>
                <w:sz w:val="24"/>
              </w:rPr>
            </w:pPr>
          </w:p>
          <w:p w14:paraId="0CE7D80B">
            <w:pPr>
              <w:spacing w:line="500" w:lineRule="exact"/>
              <w:ind w:left="110" w:leftChars="50" w:right="110" w:rightChars="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1.规格要求</w:t>
            </w:r>
          </w:p>
          <w:p w14:paraId="3557E75A">
            <w:pPr>
              <w:spacing w:line="500" w:lineRule="exact"/>
              <w:ind w:left="110" w:leftChars="50" w:right="110" w:rightChars="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600*480*780mm（桌面长600mm，桌面宽480mm，桌高780mm）；桌面下方有放书层，层高130mm；桌脚45mm *40 mm。</w:t>
            </w:r>
          </w:p>
          <w:p w14:paraId="08533ADF">
            <w:pPr>
              <w:spacing w:line="500" w:lineRule="exact"/>
              <w:ind w:left="110" w:leftChars="50" w:right="110" w:rightChars="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2.材质要求</w:t>
            </w:r>
          </w:p>
          <w:p w14:paraId="7C0621F3">
            <w:pPr>
              <w:spacing w:line="500" w:lineRule="exact"/>
              <w:ind w:left="110" w:leftChars="50" w:right="110" w:rightChars="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要求桌面板材为厚度≥20mm的优质橡木板；桌底板和围板均用厚度≥9mm优质杉木板；方条为优质杂木。所有板材少（无）结疤，无开裂，腐朽，虫蛀现象，干燥不变型，表面光滑无刨痕，无毛刺和锤印；甲醛释放量≤1.5mg/L，含水率≤9%，经防潮、防虫、防腐 处理，抗弯力强，不易变形，符合国际 E1 级绿色环保标准。</w:t>
            </w:r>
          </w:p>
          <w:p w14:paraId="1251562D">
            <w:pPr>
              <w:spacing w:line="500" w:lineRule="exact"/>
              <w:ind w:left="110" w:leftChars="50" w:right="110" w:rightChars="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3.结构和工艺要求</w:t>
            </w:r>
          </w:p>
          <w:p w14:paraId="5563A93B">
            <w:pPr>
              <w:spacing w:line="500" w:lineRule="exact"/>
              <w:ind w:left="110" w:leftChars="50" w:right="110" w:rightChars="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桌子框架拼装时，与桌脚方条嵌拼部分要求穿榫，榫头与榫槽严密嵌紧，用白乳胶粘结，四脚垂直平整；放书层左右及后面的方条需开槽，围板的边缘嵌入槽内；桌面四角需做R角处理，不得有直角。</w:t>
            </w:r>
          </w:p>
          <w:p w14:paraId="6B600EB4">
            <w:pPr>
              <w:spacing w:line="500" w:lineRule="exact"/>
              <w:ind w:left="110" w:leftChars="50" w:right="110" w:rightChars="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4.产品安全性能要求</w:t>
            </w:r>
          </w:p>
          <w:p w14:paraId="5F20FA29">
            <w:pPr>
              <w:spacing w:line="500" w:lineRule="exact"/>
              <w:ind w:left="110" w:leftChars="50" w:right="110" w:rightChars="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要求有害物质限量。涂层和覆面层的可溶性重金属，可溶性铅≤75mg/kg，可溶性铬≤19mg/kg。</w:t>
            </w:r>
          </w:p>
          <w:p w14:paraId="0F29F0F5">
            <w:pPr>
              <w:spacing w:line="500" w:lineRule="exact"/>
              <w:ind w:left="110" w:leftChars="50" w:right="110" w:rightChars="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5.油漆用料及技术要求</w:t>
            </w:r>
          </w:p>
          <w:p w14:paraId="570D965C">
            <w:pPr>
              <w:spacing w:line="500" w:lineRule="exact"/>
              <w:ind w:left="110" w:leftChars="50" w:right="110" w:rightChars="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（1）桌子补腻打砂后油漆，用橙黄色底后，再用聚氨胶纸清漆油两道。</w:t>
            </w:r>
          </w:p>
          <w:p w14:paraId="3F4E1978">
            <w:pPr>
              <w:spacing w:line="500" w:lineRule="exact"/>
              <w:ind w:left="110" w:leftChars="50" w:right="110" w:rightChars="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（2）采用优质环保油漆，附着力强、流平性高，涂层亮度均匀不褪色，色泽柔和，手感顺滑，无毛刺，光洁度好，达到国际 E1 级环保标准。</w:t>
            </w:r>
          </w:p>
          <w:p w14:paraId="3233E676">
            <w:pPr>
              <w:spacing w:line="500" w:lineRule="exact"/>
              <w:ind w:left="110" w:leftChars="50" w:right="110" w:rightChars="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6.胶水要求</w:t>
            </w:r>
          </w:p>
          <w:p w14:paraId="0C1D1CDB">
            <w:pPr>
              <w:spacing w:line="500" w:lineRule="exact"/>
              <w:ind w:left="110" w:leftChars="50" w:right="110" w:rightChars="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采用优质环保胶水，符合国际 E1 级环保标准。</w:t>
            </w:r>
            <w:bookmarkStart w:id="0" w:name="_GoBack"/>
            <w:bookmarkEnd w:id="0"/>
          </w:p>
          <w:p w14:paraId="53E8A4D2">
            <w:pPr>
              <w:pStyle w:val="24"/>
              <w:spacing w:line="500" w:lineRule="exact"/>
              <w:ind w:left="110" w:leftChars="50" w:right="110" w:rightChars="50"/>
              <w:rPr>
                <w:rFonts w:hint="eastAsia" w:hAnsi="宋体"/>
                <w:color w:val="auto"/>
                <w:kern w:val="2"/>
              </w:rPr>
            </w:pPr>
            <w:r>
              <w:rPr>
                <w:rFonts w:hint="eastAsi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374650</wp:posOffset>
                  </wp:positionV>
                  <wp:extent cx="2857500" cy="3583940"/>
                  <wp:effectExtent l="0" t="0" r="0" b="0"/>
                  <wp:wrapTopAndBottom/>
                  <wp:docPr id="747907865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7907865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867" r="514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3583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hAnsi="宋体"/>
                <w:color w:val="auto"/>
                <w:kern w:val="2"/>
              </w:rPr>
              <w:t>7</w:t>
            </w:r>
            <w:r>
              <w:rPr>
                <w:rFonts w:hAnsi="宋体"/>
                <w:color w:val="auto"/>
                <w:kern w:val="2"/>
              </w:rPr>
              <w:t>.</w:t>
            </w:r>
            <w:r>
              <w:rPr>
                <w:rFonts w:hint="eastAsia" w:hAnsi="宋体"/>
                <w:color w:val="auto"/>
                <w:kern w:val="2"/>
              </w:rPr>
              <w:t>课桌样图</w:t>
            </w:r>
          </w:p>
          <w:p w14:paraId="1F07ED06">
            <w:pPr>
              <w:pStyle w:val="24"/>
              <w:spacing w:line="500" w:lineRule="exact"/>
              <w:ind w:left="110" w:leftChars="50" w:right="110" w:rightChars="50"/>
              <w:rPr>
                <w:rFonts w:hint="eastAsia" w:hAnsi="宋体"/>
                <w:color w:val="auto"/>
                <w:kern w:val="2"/>
              </w:rPr>
            </w:pPr>
          </w:p>
        </w:tc>
        <w:tc>
          <w:tcPr>
            <w:tcW w:w="29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E1CC5C4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DBA7BB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张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BE54E7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138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CBDC96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27600</w:t>
            </w:r>
          </w:p>
        </w:tc>
      </w:tr>
      <w:tr w14:paraId="588644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7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E66DDC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115F99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椅子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8D3FC8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军桂牌</w:t>
            </w:r>
          </w:p>
        </w:tc>
        <w:tc>
          <w:tcPr>
            <w:tcW w:w="2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D4B546">
            <w:pPr>
              <w:spacing w:line="500" w:lineRule="exact"/>
              <w:ind w:left="110" w:leftChars="50" w:right="110" w:rightChars="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1.规格</w:t>
            </w:r>
          </w:p>
          <w:p w14:paraId="6E3AFB32">
            <w:pPr>
              <w:spacing w:line="500" w:lineRule="exact"/>
              <w:ind w:left="110" w:leftChars="50" w:right="110" w:rightChars="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390W*380D*825Hmm（±5mm）</w:t>
            </w:r>
          </w:p>
          <w:p w14:paraId="67C392EA">
            <w:pPr>
              <w:spacing w:line="500" w:lineRule="exact"/>
              <w:ind w:left="110" w:leftChars="50" w:right="110" w:rightChars="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2.材质要求</w:t>
            </w:r>
          </w:p>
          <w:p w14:paraId="54E80E9F">
            <w:pPr>
              <w:spacing w:line="500" w:lineRule="exact"/>
              <w:ind w:left="110" w:leftChars="50" w:right="110" w:rightChars="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全实木结构，其中椅子立脚采用35*45mm的木方；坐板下立脚横梁采用20*40mm木方，立脚拉杆采用20*30mm木方，靠背横条采用25*40mm木方；椅子面板采用厚度≥18 mm的纯实木板。所有板材少（无）结疤，无开裂，腐朽，虫蛀现象，干燥不变型，表面光滑无刨痕，无毛刺和锤印；甲醛释放量≤1.5mg/L，含水率≤9%，经防潮、防虫、防腐 处理，抗弯力强，不易变形，符合国际 E1 级绿色环保标准。</w:t>
            </w:r>
          </w:p>
          <w:p w14:paraId="6585CE04">
            <w:pPr>
              <w:spacing w:line="500" w:lineRule="exact"/>
              <w:ind w:left="110" w:leftChars="50" w:right="110" w:rightChars="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3.结构和工艺要求</w:t>
            </w:r>
          </w:p>
          <w:p w14:paraId="593D4AA4">
            <w:pPr>
              <w:spacing w:line="500" w:lineRule="exact"/>
              <w:ind w:left="110" w:leftChars="50" w:right="110" w:rightChars="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椅子结构需榫卯结合，榫头与榫槽严密嵌紧，用白乳胶粘结，四脚垂直平整；椅子面板四角需做R角处理，不得有直角。</w:t>
            </w:r>
          </w:p>
          <w:p w14:paraId="1F655198">
            <w:pPr>
              <w:spacing w:line="500" w:lineRule="exact"/>
              <w:ind w:left="110" w:leftChars="50" w:right="110" w:rightChars="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4.产品安全性能要求</w:t>
            </w:r>
          </w:p>
          <w:p w14:paraId="0CF7E9CC">
            <w:pPr>
              <w:spacing w:line="500" w:lineRule="exact"/>
              <w:ind w:left="110" w:leftChars="50" w:right="110" w:rightChars="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要求有害物质限量。涂层和覆面层可溶性重金属，可溶性铅≤75mg/kg，可溶性铬≤19mg/kg。</w:t>
            </w:r>
          </w:p>
          <w:p w14:paraId="1DD0E5B8">
            <w:pPr>
              <w:spacing w:line="500" w:lineRule="exact"/>
              <w:ind w:left="110" w:leftChars="50" w:right="110" w:rightChars="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5.油漆用料及技术要求</w:t>
            </w:r>
          </w:p>
          <w:p w14:paraId="72097691">
            <w:pPr>
              <w:spacing w:line="500" w:lineRule="exact"/>
              <w:ind w:left="110" w:leftChars="50" w:right="110" w:rightChars="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（1）椅子补腻打砂后油漆，用橙黄色底后，再用聚氨胶纸清漆油两道。</w:t>
            </w:r>
          </w:p>
          <w:p w14:paraId="701697C0">
            <w:pPr>
              <w:spacing w:line="500" w:lineRule="exact"/>
              <w:ind w:left="110" w:leftChars="50" w:right="110" w:rightChars="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（2）采用优质环保油漆，附着力强、流平性高，涂层亮度均匀不褪色，色泽柔和，手感顺滑，无毛刺，光洁度好，达到国际 E1 级环保标准。</w:t>
            </w:r>
          </w:p>
          <w:p w14:paraId="2DC8A35A">
            <w:pPr>
              <w:spacing w:line="500" w:lineRule="exact"/>
              <w:ind w:left="110" w:leftChars="50" w:right="110" w:rightChars="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6.胶水要求</w:t>
            </w:r>
          </w:p>
          <w:p w14:paraId="052F7E41">
            <w:pPr>
              <w:spacing w:line="500" w:lineRule="exact"/>
              <w:ind w:left="110" w:leftChars="50" w:right="110" w:rightChars="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采用优质环保胶水，符合国际 E1 级环保标准。</w:t>
            </w:r>
          </w:p>
          <w:p w14:paraId="0A0B2CD4">
            <w:pPr>
              <w:pStyle w:val="24"/>
              <w:spacing w:line="500" w:lineRule="exact"/>
              <w:ind w:left="110" w:leftChars="50" w:right="110" w:rightChars="50"/>
              <w:rPr>
                <w:rFonts w:hint="eastAsia" w:hAnsi="宋体"/>
                <w:color w:val="auto"/>
                <w:kern w:val="2"/>
              </w:rPr>
            </w:pP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196215</wp:posOffset>
                  </wp:positionH>
                  <wp:positionV relativeFrom="paragraph">
                    <wp:posOffset>521970</wp:posOffset>
                  </wp:positionV>
                  <wp:extent cx="2565400" cy="3349625"/>
                  <wp:effectExtent l="0" t="0" r="6350" b="3175"/>
                  <wp:wrapTopAndBottom/>
                  <wp:docPr id="104570813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570813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1181" t="3374" r="1430" b="26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0" cy="334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hAnsi="宋体"/>
                <w:color w:val="auto"/>
                <w:kern w:val="2"/>
              </w:rPr>
              <w:t>7</w:t>
            </w:r>
            <w:r>
              <w:rPr>
                <w:rFonts w:hAnsi="宋体"/>
                <w:color w:val="auto"/>
                <w:kern w:val="2"/>
              </w:rPr>
              <w:t>.</w:t>
            </w:r>
            <w:r>
              <w:rPr>
                <w:rFonts w:hint="eastAsia" w:hAnsi="宋体"/>
                <w:color w:val="auto"/>
                <w:kern w:val="2"/>
              </w:rPr>
              <w:t>椅子样图</w:t>
            </w:r>
          </w:p>
          <w:p w14:paraId="69C370BE">
            <w:pPr>
              <w:widowControl/>
              <w:spacing w:line="360" w:lineRule="exact"/>
              <w:textAlignment w:val="center"/>
              <w:rPr>
                <w:rFonts w:hint="eastAsia" w:ascii="等线" w:hAnsi="等线" w:eastAsia="等线"/>
                <w:color w:val="000000"/>
                <w:szCs w:val="21"/>
              </w:rPr>
            </w:pPr>
          </w:p>
        </w:tc>
        <w:tc>
          <w:tcPr>
            <w:tcW w:w="29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9C91DEA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8D5B46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张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F347EC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80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1B0B1D">
            <w:pPr>
              <w:widowControl/>
              <w:jc w:val="center"/>
              <w:textAlignment w:val="center"/>
              <w:rPr>
                <w:rFonts w:hint="default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40000</w:t>
            </w:r>
          </w:p>
        </w:tc>
      </w:tr>
      <w:tr w14:paraId="423A16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6" w:hRule="atLeast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F840D4"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商务条款（打“</w:t>
            </w:r>
            <w:r>
              <w:rPr>
                <w:rFonts w:hint="eastAsia"/>
              </w:rPr>
              <w:t>★</w:t>
            </w:r>
            <w:r>
              <w:rPr>
                <w:rFonts w:hint="eastAsia"/>
                <w:b/>
                <w:bCs/>
              </w:rPr>
              <w:t>”条款为重要技术参数，投标人必须满足否则报价无效）</w:t>
            </w:r>
          </w:p>
          <w:p w14:paraId="1BDBD797">
            <w:pPr>
              <w:rPr>
                <w:rFonts w:hint="eastAsia"/>
              </w:rPr>
            </w:pPr>
            <w:r>
              <w:rPr>
                <w:rFonts w:hint="eastAsia"/>
              </w:rPr>
              <w:t>★一、合同签订期：自成交通知书发出之日起24小时内。未按规定期限内签订合同将取消订单。</w:t>
            </w:r>
          </w:p>
          <w:p w14:paraId="5BEA75C6">
            <w:pPr>
              <w:rPr>
                <w:rFonts w:hint="eastAsia"/>
              </w:rPr>
            </w:pPr>
            <w:r>
              <w:rPr>
                <w:rFonts w:hint="eastAsia"/>
              </w:rPr>
              <w:t>★二、交货期：自合同签订之日起10个日历天内交付使用，供应商逾期交付货物的，每逾期一日，应按逾期交货总额3‰向采购方支付违约金。逾期超过约定日期7个日历天不能交货的，采购方有权解除本合同 ，并要求乙方支付合同总额0.2 %的违约金。供应商所交付的货物品种、型号、规格、技术参数、质量不符合采购方需求的，采购方有权拒收该货物，供应商愿意更换货物但逾期交货的，按供应商逾期交货处理。供应商拒绝更换货物的 ，采购方可单方面解除合同 ，并要求供应商支付合同总值10%的违约金 ，违约金不足以弥补采购方损失的，乙方还应负责赔偿。</w:t>
            </w:r>
          </w:p>
          <w:p w14:paraId="4CB5166E">
            <w:pPr>
              <w:rPr>
                <w:rFonts w:hint="eastAsia"/>
              </w:rPr>
            </w:pPr>
            <w:r>
              <w:rPr>
                <w:rFonts w:hint="eastAsia"/>
              </w:rPr>
              <w:t>★三、交货地点：柳州市（采购人指定地点）</w:t>
            </w:r>
          </w:p>
          <w:p w14:paraId="5A2A4A35">
            <w:pPr>
              <w:rPr>
                <w:rFonts w:hint="eastAsia"/>
              </w:rPr>
            </w:pPr>
            <w:r>
              <w:rPr>
                <w:rFonts w:hint="eastAsia"/>
              </w:rPr>
              <w:t>★四、交货方式：现场交货，供应商确保能够双方现场交货，不支持货运公司或第三方交货。</w:t>
            </w:r>
          </w:p>
          <w:p w14:paraId="236DC1B3">
            <w:pPr>
              <w:rPr>
                <w:rFonts w:hint="eastAsia"/>
              </w:rPr>
            </w:pPr>
            <w:r>
              <w:rPr>
                <w:rFonts w:hint="eastAsia"/>
              </w:rPr>
              <w:t>★五、验收：</w:t>
            </w:r>
          </w:p>
          <w:p w14:paraId="44ACBFD3">
            <w:pPr>
              <w:rPr>
                <w:rFonts w:hint="eastAsia"/>
              </w:rPr>
            </w:pPr>
            <w:r>
              <w:rPr>
                <w:rFonts w:hint="eastAsia"/>
              </w:rPr>
              <w:t>1.到货验收：货物运抵采购方指定地点后，采购方依据本合同在7个工作日内进行到货验收。采购方仅对货物的数量、外观和附随资料进行检验，并不因此减轻或免除供应商所应承担的质量保证责任。</w:t>
            </w:r>
          </w:p>
          <w:p w14:paraId="3247ECA7">
            <w:pPr>
              <w:rPr>
                <w:rFonts w:hint="eastAsia"/>
              </w:rPr>
            </w:pPr>
            <w:r>
              <w:rPr>
                <w:rFonts w:hint="eastAsia"/>
              </w:rPr>
              <w:t>2.安装调试：供应商应该在采购方指定时间内，按采购方的要求完成货物的安装调试。供应商应严格遵守安全生产的法律法规，采取安全保障措施，保证人员和货物安全。因供应商原因造成的人员和财产损失，均由供应商承担。供应商还应负责培训采购方的使用操作人员。安装调试所需的专用工具、备品备件以及安装过程中需要的其他事项由供应商提供。项目供货及安装过程中产生的残留物或垃圾，需由供货商自行清理。</w:t>
            </w:r>
          </w:p>
          <w:p w14:paraId="0C4E84D5">
            <w:pPr>
              <w:rPr>
                <w:rFonts w:hint="eastAsia"/>
              </w:rPr>
            </w:pPr>
            <w:r>
              <w:rPr>
                <w:rFonts w:hint="eastAsia"/>
              </w:rPr>
              <w:t>3.最终验收：货物安装调试完成后，供应商必须在现场配合采购方进行最终验收。验收结果以采购方签署的验收证明为准。如发生所供货物与合同约定不符，采购方有权退货或要求供应商进行更换、补齐 ，因此造成逾期交货的，供应商应承担逾期交货的违约责任。供应商应在接到采购方要求后 10个日历日内予以补救，所产生的费用及法律后果由供应商承担。</w:t>
            </w:r>
          </w:p>
          <w:p w14:paraId="3B4AA1C4">
            <w:pPr>
              <w:rPr>
                <w:rFonts w:hint="eastAsia"/>
              </w:rPr>
            </w:pPr>
            <w:r>
              <w:rPr>
                <w:rFonts w:hint="eastAsia"/>
              </w:rPr>
              <w:t>★六、售后服务要求：</w:t>
            </w:r>
          </w:p>
          <w:p w14:paraId="392CB37F">
            <w:pPr>
              <w:rPr>
                <w:rFonts w:hint="eastAsia"/>
              </w:rPr>
            </w:pPr>
            <w:r>
              <w:rPr>
                <w:rFonts w:hint="eastAsia"/>
              </w:rPr>
              <w:t>1.质保期自货物验收合格之日起计算，不少于2年，质保期过后提供终身维护。</w:t>
            </w:r>
          </w:p>
          <w:p w14:paraId="02EEDA12">
            <w:pPr>
              <w:rPr>
                <w:rFonts w:hint="eastAsia"/>
              </w:rPr>
            </w:pPr>
            <w:r>
              <w:rPr>
                <w:rFonts w:hint="eastAsia"/>
              </w:rPr>
              <w:t>2.故障响应时间：接故障通知在30分钟内响应，如遇与所供产品有关的问题无法远程解决的，在接用户通知后，2小时赶到现场提供免费服务；4小时内未解决的中标人应提供详细的应急解决方案，12小时内修复使用，若12小时内无法排除故障的，则应提供相应的备用设备以保证采购方的正常使用，因中标人工作延误，造成采购人损失的，中标人应负赔偿责任。</w:t>
            </w:r>
          </w:p>
          <w:p w14:paraId="20308A3B">
            <w:pPr>
              <w:rPr>
                <w:rFonts w:hint="eastAsia"/>
              </w:rPr>
            </w:pPr>
            <w:r>
              <w:rPr>
                <w:rFonts w:hint="eastAsia"/>
              </w:rPr>
              <w:t>★七、其他要求：</w:t>
            </w:r>
          </w:p>
          <w:p w14:paraId="0133BAED">
            <w:pPr>
              <w:rPr>
                <w:rFonts w:hint="eastAsia"/>
              </w:rPr>
            </w:pPr>
            <w:r>
              <w:rPr>
                <w:rFonts w:hint="eastAsia"/>
              </w:rPr>
              <w:t>★1.竞标报价为采购人指定地点的现场交货价，包括：</w:t>
            </w:r>
          </w:p>
          <w:p w14:paraId="3896D723">
            <w:pPr>
              <w:rPr>
                <w:rFonts w:hint="eastAsia"/>
              </w:rPr>
            </w:pPr>
            <w:r>
              <w:rPr>
                <w:rFonts w:hint="eastAsia"/>
              </w:rPr>
              <w:t>（1）货物的价格；</w:t>
            </w:r>
          </w:p>
          <w:p w14:paraId="0DC826AC">
            <w:pPr>
              <w:rPr>
                <w:rFonts w:hint="eastAsia"/>
              </w:rPr>
            </w:pPr>
            <w:r>
              <w:rPr>
                <w:rFonts w:hint="eastAsia"/>
              </w:rPr>
              <w:t>（2）货物的标准附件、备品备件的价格；</w:t>
            </w:r>
          </w:p>
          <w:p w14:paraId="528041F7">
            <w:pPr>
              <w:rPr>
                <w:rFonts w:hint="eastAsia"/>
              </w:rPr>
            </w:pPr>
            <w:r>
              <w:rPr>
                <w:rFonts w:hint="eastAsia"/>
              </w:rPr>
              <w:t>（3）运输、装卸、安装、售后服务等费用；</w:t>
            </w:r>
          </w:p>
          <w:p w14:paraId="1D6F8463">
            <w:pPr>
              <w:rPr>
                <w:rFonts w:hint="eastAsia"/>
              </w:rPr>
            </w:pPr>
            <w:r>
              <w:rPr>
                <w:rFonts w:hint="eastAsia"/>
              </w:rPr>
              <w:t>（4）必要的保险费用和各项税费及其他所有可能发生的一切费用，采购人不再支付任何费用。</w:t>
            </w:r>
          </w:p>
          <w:p w14:paraId="5A3693C5">
            <w:pPr>
              <w:rPr>
                <w:rFonts w:hint="eastAsia"/>
              </w:rPr>
            </w:pPr>
            <w:r>
              <w:rPr>
                <w:rFonts w:hint="eastAsia"/>
              </w:rPr>
              <w:t>★2.付款方式：本项目无预付款，供应商交货完毕、验收并开具发票后，一次性支付合同款。</w:t>
            </w:r>
          </w:p>
          <w:p w14:paraId="7ACFC32E">
            <w:pPr>
              <w:rPr>
                <w:rFonts w:hint="eastAsia"/>
              </w:rPr>
            </w:pPr>
            <w:r>
              <w:rPr>
                <w:rFonts w:hint="eastAsia"/>
              </w:rPr>
              <w:t>★3.供应商在交付货物的同时需向甲方提供有关货物的附随资料 ，包括但不限于：商品目录、安装图纸、使用说明书、质量检验证明、操作手册 ，维护手册或服务指南、货物身份信息（如本批次产品厂家出厂证明等）、及其他技术资料（如有）等。</w:t>
            </w:r>
          </w:p>
          <w:p w14:paraId="0F7FBB04">
            <w:pPr>
              <w:rPr>
                <w:rFonts w:hint="eastAsia"/>
              </w:rPr>
            </w:pPr>
            <w:r>
              <w:rPr>
                <w:rFonts w:hint="eastAsia"/>
              </w:rPr>
              <w:t>★4.竞价要求：</w:t>
            </w:r>
          </w:p>
          <w:p w14:paraId="3236534F">
            <w:pPr>
              <w:rPr>
                <w:rFonts w:hint="eastAsia"/>
              </w:rPr>
            </w:pPr>
            <w:r>
              <w:rPr>
                <w:rFonts w:hint="eastAsia"/>
              </w:rPr>
              <w:t>（1）本项目供应商报价仅限军桂品牌报价，不接受军桂品牌外的产品，供应商不得以任何理由更改货物的品牌、配置，否则报价将无效。</w:t>
            </w:r>
          </w:p>
          <w:p w14:paraId="6926C2C8">
            <w:pPr>
              <w:rPr>
                <w:rFonts w:hint="eastAsia"/>
              </w:rPr>
            </w:pPr>
            <w:r>
              <w:rPr>
                <w:rFonts w:hint="eastAsia"/>
              </w:rPr>
              <w:t>（2）所有商务条款须全部响应，否则，报价无效且视为虚假应标，采购人将相关情况上报政府采购监管部门并按规定处理。</w:t>
            </w:r>
          </w:p>
          <w:p w14:paraId="0F0B5EA2">
            <w:pPr>
              <w:widowControl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</w:rPr>
              <w:t>（3）供货商提供的货物需全部满足参数的要求，否则报价无效，按照废标处理，采购人将视情况向政采云平台举报。</w:t>
            </w:r>
          </w:p>
        </w:tc>
      </w:tr>
    </w:tbl>
    <w:p w14:paraId="6465AD5B">
      <w:pPr>
        <w:rPr>
          <w:rFonts w:hint="eastAsia"/>
          <w:lang w:val="en-US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15620E"/>
    <w:multiLevelType w:val="multilevel"/>
    <w:tmpl w:val="0315620E"/>
    <w:lvl w:ilvl="0" w:tentative="0">
      <w:start w:val="1"/>
      <w:numFmt w:val="decimal"/>
      <w:lvlText w:val="%1"/>
      <w:lvlJc w:val="left"/>
      <w:pPr>
        <w:tabs>
          <w:tab w:val="left" w:pos="360"/>
        </w:tabs>
        <w:ind w:left="284" w:hanging="284"/>
      </w:pPr>
      <w:rPr>
        <w:rFonts w:hint="default" w:ascii="Times New Roman" w:hAnsi="Times New Roman" w:cs="Times New Roman"/>
        <w:b/>
        <w:i w:val="0"/>
        <w:sz w:val="28"/>
      </w:rPr>
    </w:lvl>
    <w:lvl w:ilvl="1" w:tentative="0">
      <w:start w:val="1"/>
      <w:numFmt w:val="decimal"/>
      <w:lvlText w:val="%1.%2"/>
      <w:lvlJc w:val="left"/>
      <w:pPr>
        <w:tabs>
          <w:tab w:val="left" w:pos="1021"/>
        </w:tabs>
        <w:ind w:left="1021" w:hanging="596"/>
      </w:pPr>
      <w:rPr>
        <w:rFonts w:hint="default" w:ascii="Times New Roman" w:hAnsi="Times New Roman" w:cs="Times New Roman"/>
        <w:b/>
        <w:i w:val="0"/>
        <w:sz w:val="28"/>
      </w:rPr>
    </w:lvl>
    <w:lvl w:ilvl="2" w:tentative="0">
      <w:start w:val="1"/>
      <w:numFmt w:val="decimal"/>
      <w:lvlText w:val="%1.%2.%3"/>
      <w:lvlJc w:val="left"/>
      <w:pPr>
        <w:tabs>
          <w:tab w:val="left" w:pos="1588"/>
        </w:tabs>
        <w:ind w:left="1588" w:hanging="737"/>
      </w:pPr>
      <w:rPr>
        <w:rFonts w:hint="default" w:ascii="Times New Roman" w:hAnsi="Times New Roman" w:cs="Times New Roman"/>
        <w:b/>
        <w:i w:val="0"/>
        <w:sz w:val="24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2155"/>
        </w:tabs>
        <w:ind w:left="2155" w:hanging="1078"/>
      </w:pPr>
      <w:rPr>
        <w:rFonts w:hint="default" w:ascii="Arial" w:hAnsi="Arial" w:cs="Times New Roman"/>
        <w:b w:val="0"/>
        <w:i w:val="0"/>
        <w:sz w:val="24"/>
      </w:rPr>
    </w:lvl>
    <w:lvl w:ilvl="4" w:tentative="0">
      <w:start w:val="1"/>
      <w:numFmt w:val="decimal"/>
      <w:lvlText w:val="%1.%2.%3.%4.%5"/>
      <w:lvlJc w:val="left"/>
      <w:pPr>
        <w:tabs>
          <w:tab w:val="left" w:pos="3141"/>
        </w:tabs>
        <w:ind w:left="2551" w:hanging="850"/>
      </w:pPr>
    </w:lvl>
    <w:lvl w:ilvl="5" w:tentative="0">
      <w:start w:val="1"/>
      <w:numFmt w:val="decimal"/>
      <w:lvlText w:val="%1.%2.%3.%4.%5.%6"/>
      <w:lvlJc w:val="left"/>
      <w:pPr>
        <w:tabs>
          <w:tab w:val="left" w:pos="3566"/>
        </w:tabs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tabs>
          <w:tab w:val="left" w:pos="4351"/>
        </w:tabs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5136"/>
        </w:tabs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5562"/>
        </w:tabs>
        <w:ind w:left="5102" w:hanging="1700"/>
      </w:pPr>
    </w:lvl>
  </w:abstractNum>
  <w:abstractNum w:abstractNumId="1">
    <w:nsid w:val="707B778F"/>
    <w:multiLevelType w:val="multilevel"/>
    <w:tmpl w:val="707B778F"/>
    <w:lvl w:ilvl="0" w:tentative="0">
      <w:start w:val="1"/>
      <w:numFmt w:val="decimal"/>
      <w:lvlText w:val="%1"/>
      <w:lvlJc w:val="left"/>
      <w:pPr>
        <w:tabs>
          <w:tab w:val="left" w:pos="709"/>
        </w:tabs>
        <w:ind w:left="709" w:hanging="709"/>
      </w:pPr>
    </w:lvl>
    <w:lvl w:ilvl="1" w:tentative="0">
      <w:start w:val="4"/>
      <w:numFmt w:val="decimal"/>
      <w:lvlText w:val="3.%2"/>
      <w:lvlJc w:val="left"/>
      <w:pPr>
        <w:tabs>
          <w:tab w:val="left" w:pos="709"/>
        </w:tabs>
        <w:ind w:left="709" w:hanging="709"/>
      </w:pPr>
    </w:lvl>
    <w:lvl w:ilvl="2" w:tentative="0">
      <w:start w:val="1"/>
      <w:numFmt w:val="decimal"/>
      <w:lvlText w:val="%1.%2.%3."/>
      <w:lvlJc w:val="left"/>
      <w:pPr>
        <w:tabs>
          <w:tab w:val="left" w:pos="425"/>
        </w:tabs>
        <w:ind w:left="425" w:hanging="425"/>
      </w:pPr>
    </w:lvl>
    <w:lvl w:ilvl="3" w:tentative="0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</w:lvl>
    <w:lvl w:ilvl="4" w:tentative="0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</w:lvl>
    <w:lvl w:ilvl="5" w:tentative="0">
      <w:start w:val="1"/>
      <w:numFmt w:val="decimal"/>
      <w:pStyle w:val="2"/>
      <w:lvlText w:val="%1.%2.%3.%4.%5.%6."/>
      <w:lvlJc w:val="left"/>
      <w:pPr>
        <w:tabs>
          <w:tab w:val="left" w:pos="1134"/>
        </w:tabs>
        <w:ind w:left="1134" w:hanging="1134"/>
      </w:p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JhNjVkNDdiMGJmYWU5YWU0Yzc4NzU1ZWIxNTQ5NzAifQ=="/>
  </w:docVars>
  <w:rsids>
    <w:rsidRoot w:val="00693BFA"/>
    <w:rsid w:val="0025479F"/>
    <w:rsid w:val="0026011B"/>
    <w:rsid w:val="00262BA7"/>
    <w:rsid w:val="002A2BEB"/>
    <w:rsid w:val="003002B2"/>
    <w:rsid w:val="00344DC8"/>
    <w:rsid w:val="00371B01"/>
    <w:rsid w:val="0044680F"/>
    <w:rsid w:val="00470A4E"/>
    <w:rsid w:val="004A0A56"/>
    <w:rsid w:val="004E6D3C"/>
    <w:rsid w:val="004F1426"/>
    <w:rsid w:val="00510E75"/>
    <w:rsid w:val="0055653F"/>
    <w:rsid w:val="005B500D"/>
    <w:rsid w:val="005C7C58"/>
    <w:rsid w:val="00693BFA"/>
    <w:rsid w:val="00694126"/>
    <w:rsid w:val="007173B3"/>
    <w:rsid w:val="0075487D"/>
    <w:rsid w:val="00784521"/>
    <w:rsid w:val="007B7B75"/>
    <w:rsid w:val="00806C95"/>
    <w:rsid w:val="0081367C"/>
    <w:rsid w:val="008432D4"/>
    <w:rsid w:val="00945EB1"/>
    <w:rsid w:val="009A6E2A"/>
    <w:rsid w:val="009C4BA6"/>
    <w:rsid w:val="00A05FC3"/>
    <w:rsid w:val="00A95D69"/>
    <w:rsid w:val="00BD2AF1"/>
    <w:rsid w:val="00DC1C42"/>
    <w:rsid w:val="00E87252"/>
    <w:rsid w:val="00EC5378"/>
    <w:rsid w:val="00F147D2"/>
    <w:rsid w:val="00F471A8"/>
    <w:rsid w:val="00F6477E"/>
    <w:rsid w:val="00FF4861"/>
    <w:rsid w:val="00FF7CF7"/>
    <w:rsid w:val="03114A92"/>
    <w:rsid w:val="03A5046F"/>
    <w:rsid w:val="042027D6"/>
    <w:rsid w:val="05CC7610"/>
    <w:rsid w:val="05DF41C4"/>
    <w:rsid w:val="06754BED"/>
    <w:rsid w:val="07973E2A"/>
    <w:rsid w:val="0B32070C"/>
    <w:rsid w:val="0BC67500"/>
    <w:rsid w:val="0D1A3A8B"/>
    <w:rsid w:val="0D4E5734"/>
    <w:rsid w:val="0DBE7B36"/>
    <w:rsid w:val="0E485743"/>
    <w:rsid w:val="0FD84057"/>
    <w:rsid w:val="12F94469"/>
    <w:rsid w:val="13E4711A"/>
    <w:rsid w:val="14E631B8"/>
    <w:rsid w:val="16A51A58"/>
    <w:rsid w:val="17AE6A4C"/>
    <w:rsid w:val="17C12344"/>
    <w:rsid w:val="18E7708E"/>
    <w:rsid w:val="1A0003E2"/>
    <w:rsid w:val="213D56ED"/>
    <w:rsid w:val="2164183D"/>
    <w:rsid w:val="218D79D5"/>
    <w:rsid w:val="21B864F5"/>
    <w:rsid w:val="21FD3822"/>
    <w:rsid w:val="22231E91"/>
    <w:rsid w:val="224476B4"/>
    <w:rsid w:val="241F6BBF"/>
    <w:rsid w:val="296D1C7D"/>
    <w:rsid w:val="2A844654"/>
    <w:rsid w:val="2DA40F01"/>
    <w:rsid w:val="2DEC18D8"/>
    <w:rsid w:val="2F9F28E5"/>
    <w:rsid w:val="303843C5"/>
    <w:rsid w:val="30660EF1"/>
    <w:rsid w:val="30B4089F"/>
    <w:rsid w:val="312B3A19"/>
    <w:rsid w:val="318E35B2"/>
    <w:rsid w:val="32B97874"/>
    <w:rsid w:val="361C2F9C"/>
    <w:rsid w:val="36347BFA"/>
    <w:rsid w:val="367A1E22"/>
    <w:rsid w:val="37B901AF"/>
    <w:rsid w:val="37D160B6"/>
    <w:rsid w:val="380409E3"/>
    <w:rsid w:val="387D6881"/>
    <w:rsid w:val="396B41D3"/>
    <w:rsid w:val="3AB10E26"/>
    <w:rsid w:val="3ADA7D61"/>
    <w:rsid w:val="3C627764"/>
    <w:rsid w:val="3EFA36F8"/>
    <w:rsid w:val="3F102FE2"/>
    <w:rsid w:val="3F2F3033"/>
    <w:rsid w:val="3F3C56A9"/>
    <w:rsid w:val="42253721"/>
    <w:rsid w:val="43F120E4"/>
    <w:rsid w:val="44BA0994"/>
    <w:rsid w:val="45766529"/>
    <w:rsid w:val="45A5489E"/>
    <w:rsid w:val="45EB699D"/>
    <w:rsid w:val="479C3C15"/>
    <w:rsid w:val="495D5468"/>
    <w:rsid w:val="4A7A45F5"/>
    <w:rsid w:val="4AFD67D8"/>
    <w:rsid w:val="4B3868E1"/>
    <w:rsid w:val="4D605108"/>
    <w:rsid w:val="4EA11346"/>
    <w:rsid w:val="4EB16249"/>
    <w:rsid w:val="4EDB5348"/>
    <w:rsid w:val="4F3D53C3"/>
    <w:rsid w:val="4F7927CA"/>
    <w:rsid w:val="505F7421"/>
    <w:rsid w:val="50B0090B"/>
    <w:rsid w:val="50E7261C"/>
    <w:rsid w:val="523C3D29"/>
    <w:rsid w:val="54C33B9A"/>
    <w:rsid w:val="55F24979"/>
    <w:rsid w:val="57473536"/>
    <w:rsid w:val="58FD5A05"/>
    <w:rsid w:val="5912021A"/>
    <w:rsid w:val="5A5A785D"/>
    <w:rsid w:val="5B4A7464"/>
    <w:rsid w:val="5BD328FC"/>
    <w:rsid w:val="5C2D4169"/>
    <w:rsid w:val="5CB51732"/>
    <w:rsid w:val="5F942D43"/>
    <w:rsid w:val="5F9542AF"/>
    <w:rsid w:val="60326082"/>
    <w:rsid w:val="60B46844"/>
    <w:rsid w:val="61991742"/>
    <w:rsid w:val="64F34CC2"/>
    <w:rsid w:val="669E162B"/>
    <w:rsid w:val="68026942"/>
    <w:rsid w:val="684F6616"/>
    <w:rsid w:val="693F7CE5"/>
    <w:rsid w:val="69B4249E"/>
    <w:rsid w:val="6B942352"/>
    <w:rsid w:val="6DD567AC"/>
    <w:rsid w:val="6E473846"/>
    <w:rsid w:val="6EA41B3E"/>
    <w:rsid w:val="7036245C"/>
    <w:rsid w:val="73CC5E76"/>
    <w:rsid w:val="76953085"/>
    <w:rsid w:val="76D07388"/>
    <w:rsid w:val="77C062CF"/>
    <w:rsid w:val="78B03546"/>
    <w:rsid w:val="7B266B58"/>
    <w:rsid w:val="7CC97759"/>
    <w:rsid w:val="7CED7166"/>
    <w:rsid w:val="7D7C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nhideWhenUsed="0" w:uiPriority="9" w:semiHidden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3">
    <w:name w:val="heading 1"/>
    <w:basedOn w:val="1"/>
    <w:next w:val="1"/>
    <w:qFormat/>
    <w:uiPriority w:val="0"/>
    <w:pPr>
      <w:keepNext/>
      <w:keepLines/>
      <w:spacing w:line="320" w:lineRule="exact"/>
      <w:outlineLvl w:val="0"/>
    </w:pPr>
    <w:rPr>
      <w:rFonts w:cs="Times New Roman" w:asciiTheme="minorHAnsi" w:hAnsiTheme="minorHAnsi"/>
      <w:b/>
      <w:kern w:val="44"/>
      <w:sz w:val="32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line="320" w:lineRule="exact"/>
      <w:outlineLvl w:val="1"/>
    </w:pPr>
    <w:rPr>
      <w:rFonts w:ascii="Arial" w:hAnsi="Arial" w:cs="Times New Roman"/>
      <w:b/>
      <w:sz w:val="32"/>
    </w:rPr>
  </w:style>
  <w:style w:type="paragraph" w:styleId="5">
    <w:name w:val="heading 3"/>
    <w:basedOn w:val="1"/>
    <w:next w:val="1"/>
    <w:link w:val="17"/>
    <w:semiHidden/>
    <w:unhideWhenUsed/>
    <w:qFormat/>
    <w:uiPriority w:val="0"/>
    <w:pPr>
      <w:keepNext/>
      <w:keepLines/>
      <w:spacing w:line="320" w:lineRule="exact"/>
      <w:jc w:val="center"/>
      <w:outlineLvl w:val="2"/>
    </w:pPr>
    <w:rPr>
      <w:rFonts w:asciiTheme="minorHAnsi" w:hAnsiTheme="minorHAnsi"/>
      <w:b/>
      <w:sz w:val="32"/>
    </w:rPr>
  </w:style>
  <w:style w:type="paragraph" w:styleId="6">
    <w:name w:val="heading 4"/>
    <w:basedOn w:val="1"/>
    <w:next w:val="1"/>
    <w:qFormat/>
    <w:uiPriority w:val="0"/>
    <w:pPr>
      <w:numPr>
        <w:ilvl w:val="3"/>
        <w:numId w:val="1"/>
      </w:numPr>
      <w:adjustRightInd w:val="0"/>
      <w:spacing w:before="120" w:line="360" w:lineRule="auto"/>
      <w:outlineLvl w:val="3"/>
    </w:pPr>
    <w:rPr>
      <w:rFonts w:ascii="Arial" w:hAnsi="Times New Roman" w:eastAsia="黑体"/>
      <w:sz w:val="28"/>
      <w:szCs w:val="20"/>
    </w:rPr>
  </w:style>
  <w:style w:type="paragraph" w:styleId="2">
    <w:name w:val="heading 6"/>
    <w:basedOn w:val="1"/>
    <w:next w:val="1"/>
    <w:qFormat/>
    <w:uiPriority w:val="9"/>
    <w:pPr>
      <w:keepNext/>
      <w:keepLines/>
      <w:numPr>
        <w:ilvl w:val="5"/>
        <w:numId w:val="2"/>
      </w:numPr>
      <w:spacing w:before="240" w:after="64" w:line="320" w:lineRule="auto"/>
      <w:outlineLvl w:val="5"/>
    </w:pPr>
    <w:rPr>
      <w:rFonts w:ascii="Arial" w:hAnsi="Arial" w:eastAsia="黑体"/>
      <w:b/>
      <w:sz w:val="24"/>
      <w:szCs w:val="20"/>
    </w:rPr>
  </w:style>
  <w:style w:type="character" w:default="1" w:styleId="15">
    <w:name w:val="Default Paragraph Font"/>
    <w:semiHidden/>
    <w:unhideWhenUsed/>
    <w:uiPriority w:val="1"/>
  </w:style>
  <w:style w:type="table" w:default="1" w:styleId="1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"/>
    <w:basedOn w:val="1"/>
    <w:qFormat/>
    <w:uiPriority w:val="0"/>
  </w:style>
  <w:style w:type="paragraph" w:styleId="8">
    <w:name w:val="Plain Text"/>
    <w:basedOn w:val="1"/>
    <w:next w:val="6"/>
    <w:qFormat/>
    <w:uiPriority w:val="0"/>
    <w:rPr>
      <w:rFonts w:hAnsi="Courier New"/>
      <w:sz w:val="20"/>
      <w:szCs w:val="20"/>
    </w:rPr>
  </w:style>
  <w:style w:type="paragraph" w:styleId="9">
    <w:name w:val="Body Text Indent 2"/>
    <w:basedOn w:val="1"/>
    <w:qFormat/>
    <w:uiPriority w:val="0"/>
    <w:pPr>
      <w:ind w:firstLine="630"/>
    </w:pPr>
    <w:rPr>
      <w:sz w:val="32"/>
    </w:rPr>
  </w:style>
  <w:style w:type="paragraph" w:styleId="10">
    <w:name w:val="Balloon Text"/>
    <w:basedOn w:val="1"/>
    <w:link w:val="22"/>
    <w:uiPriority w:val="0"/>
    <w:rPr>
      <w:sz w:val="18"/>
      <w:szCs w:val="18"/>
    </w:rPr>
  </w:style>
  <w:style w:type="paragraph" w:styleId="11">
    <w:name w:val="footer"/>
    <w:basedOn w:val="1"/>
    <w:link w:val="2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2">
    <w:name w:val="header"/>
    <w:basedOn w:val="1"/>
    <w:link w:val="2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Body Text Indent 3"/>
    <w:basedOn w:val="1"/>
    <w:link w:val="23"/>
    <w:qFormat/>
    <w:uiPriority w:val="0"/>
    <w:pPr>
      <w:autoSpaceDE/>
      <w:autoSpaceDN/>
      <w:spacing w:after="120"/>
      <w:ind w:left="420" w:leftChars="200"/>
      <w:jc w:val="both"/>
    </w:pPr>
    <w:rPr>
      <w:rFonts w:asciiTheme="minorHAnsi" w:hAnsiTheme="minorHAnsi" w:eastAsiaTheme="minorEastAsia" w:cstheme="minorBidi"/>
      <w:kern w:val="2"/>
      <w:sz w:val="16"/>
      <w:szCs w:val="16"/>
      <w:lang w:val="en-US" w:bidi="ar-SA"/>
    </w:rPr>
  </w:style>
  <w:style w:type="character" w:styleId="16">
    <w:name w:val="Hyperlink"/>
    <w:basedOn w:val="15"/>
    <w:qFormat/>
    <w:uiPriority w:val="0"/>
    <w:rPr>
      <w:color w:val="0000FF"/>
      <w:u w:val="single"/>
    </w:rPr>
  </w:style>
  <w:style w:type="character" w:customStyle="1" w:styleId="17">
    <w:name w:val="标题 3 字符"/>
    <w:link w:val="5"/>
    <w:qFormat/>
    <w:uiPriority w:val="0"/>
    <w:rPr>
      <w:rFonts w:asciiTheme="minorHAnsi" w:hAnsiTheme="minorHAnsi" w:eastAsiaTheme="minorEastAsia"/>
      <w:b/>
      <w:sz w:val="32"/>
    </w:rPr>
  </w:style>
  <w:style w:type="paragraph" w:customStyle="1" w:styleId="18">
    <w:name w:val="正文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szCs w:val="24"/>
      <w:lang w:val="en-US" w:eastAsia="zh-CN" w:bidi="ar-SA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页眉 字符"/>
    <w:basedOn w:val="15"/>
    <w:link w:val="12"/>
    <w:uiPriority w:val="0"/>
    <w:rPr>
      <w:rFonts w:ascii="宋体" w:hAnsi="宋体" w:cs="宋体"/>
      <w:sz w:val="18"/>
      <w:szCs w:val="18"/>
      <w:lang w:val="zh-CN" w:bidi="zh-CN"/>
    </w:rPr>
  </w:style>
  <w:style w:type="character" w:customStyle="1" w:styleId="21">
    <w:name w:val="页脚 字符"/>
    <w:basedOn w:val="15"/>
    <w:link w:val="11"/>
    <w:uiPriority w:val="0"/>
    <w:rPr>
      <w:rFonts w:ascii="宋体" w:hAnsi="宋体" w:cs="宋体"/>
      <w:sz w:val="18"/>
      <w:szCs w:val="18"/>
      <w:lang w:val="zh-CN" w:bidi="zh-CN"/>
    </w:rPr>
  </w:style>
  <w:style w:type="character" w:customStyle="1" w:styleId="22">
    <w:name w:val="批注框文本 字符"/>
    <w:basedOn w:val="15"/>
    <w:link w:val="10"/>
    <w:uiPriority w:val="0"/>
    <w:rPr>
      <w:rFonts w:ascii="宋体" w:hAnsi="宋体" w:cs="宋体"/>
      <w:sz w:val="18"/>
      <w:szCs w:val="18"/>
      <w:lang w:val="zh-CN" w:bidi="zh-CN"/>
    </w:rPr>
  </w:style>
  <w:style w:type="character" w:customStyle="1" w:styleId="23">
    <w:name w:val="正文文本缩进 3 字符"/>
    <w:basedOn w:val="15"/>
    <w:link w:val="13"/>
    <w:uiPriority w:val="0"/>
    <w:rPr>
      <w:rFonts w:asciiTheme="minorHAnsi" w:hAnsiTheme="minorHAnsi" w:eastAsiaTheme="minorEastAsia" w:cstheme="minorBidi"/>
      <w:kern w:val="2"/>
      <w:sz w:val="16"/>
      <w:szCs w:val="16"/>
    </w:rPr>
  </w:style>
  <w:style w:type="paragraph" w:customStyle="1" w:styleId="2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935</Words>
  <Characters>1090</Characters>
  <Lines>19</Lines>
  <Paragraphs>5</Paragraphs>
  <TotalTime>101</TotalTime>
  <ScaleCrop>false</ScaleCrop>
  <LinksUpToDate>false</LinksUpToDate>
  <CharactersWithSpaces>1107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2022-12-03T06:32:00Z</dcterms:created>
  <dc:creator>Administrator</dc:creator>
  <cp:lastModifiedBy>天空浩浪</cp:lastModifiedBy>
  <dcterms:modified xsi:type="dcterms:W3CDTF">2025-12-06T04:07:38Z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8E03C422F59B4B15A186087DFE1DC5C4</vt:lpwstr>
  </property>
  <property fmtid="{D5CDD505-2E9C-101B-9397-08002B2CF9AE}" pid="4" name="KSOTemplateDocerSaveRecord">
    <vt:lpwstr>eyJoZGlkIjoiZjQwYzk3NDkxNTJmMGEzMmY1ZGE0YTA3YTlhMjIyNGMiLCJ1c2VySWQiOiIxMDc4OTAyMDM1In0=</vt:lpwstr>
  </property>
</Properties>
</file>