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B1B7">
      <w:pPr>
        <w:jc w:val="center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供应商未中标情况说明</w:t>
      </w:r>
    </w:p>
    <w:p w14:paraId="0C9549ED">
      <w:pPr>
        <w:rPr>
          <w:rFonts w:hint="eastAsia"/>
          <w:sz w:val="22"/>
          <w:szCs w:val="28"/>
        </w:rPr>
      </w:pPr>
    </w:p>
    <w:p w14:paraId="49620CA3"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标段编号：</w:t>
      </w:r>
      <w:r>
        <w:rPr>
          <w:rFonts w:hint="eastAsia"/>
          <w:b/>
          <w:sz w:val="22"/>
          <w:szCs w:val="28"/>
          <w:lang w:eastAsia="zh-CN"/>
        </w:rPr>
        <w:t>330106251190010000073-2</w:t>
      </w:r>
    </w:p>
    <w:p w14:paraId="1EDA45BE">
      <w:pPr>
        <w:rPr>
          <w:rFonts w:hint="eastAsia"/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标段名称：</w:t>
      </w:r>
      <w:r>
        <w:rPr>
          <w:rFonts w:hint="eastAsia"/>
          <w:b/>
          <w:sz w:val="22"/>
          <w:szCs w:val="28"/>
          <w:lang w:eastAsia="zh-CN"/>
        </w:rPr>
        <w:t>西湖区四五排灌站安全鉴定项目</w:t>
      </w:r>
    </w:p>
    <w:p w14:paraId="4DCECD35">
      <w:pPr>
        <w:rPr>
          <w:sz w:val="2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79"/>
        <w:gridCol w:w="2615"/>
      </w:tblGrid>
      <w:tr w14:paraId="32F7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804C622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3979" w:type="dxa"/>
          </w:tcPr>
          <w:p w14:paraId="67FFD952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单位名称</w:t>
            </w:r>
          </w:p>
        </w:tc>
        <w:tc>
          <w:tcPr>
            <w:tcW w:w="2615" w:type="dxa"/>
          </w:tcPr>
          <w:p w14:paraId="61B954DB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未中标理由</w:t>
            </w:r>
          </w:p>
        </w:tc>
      </w:tr>
      <w:tr w14:paraId="1C66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A8DE030">
            <w:pPr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79" w:type="dxa"/>
            <w:vAlign w:val="center"/>
          </w:tcPr>
          <w:p w14:paraId="09FFE006">
            <w:pPr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浙江中洋工程管理咨询有限公司</w:t>
            </w:r>
          </w:p>
        </w:tc>
        <w:tc>
          <w:tcPr>
            <w:tcW w:w="2615" w:type="dxa"/>
            <w:vAlign w:val="center"/>
          </w:tcPr>
          <w:p w14:paraId="2E8DCBD3">
            <w:pPr>
              <w:jc w:val="both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综合得分排名第二</w:t>
            </w:r>
          </w:p>
        </w:tc>
      </w:tr>
      <w:tr w14:paraId="4ECC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A1E465D">
            <w:pPr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3979" w:type="dxa"/>
            <w:vAlign w:val="center"/>
          </w:tcPr>
          <w:p w14:paraId="683D612F">
            <w:pPr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浙江惠川水利工程技术有限公司、浙江同和工程设计咨询有限公司(联合体)</w:t>
            </w:r>
          </w:p>
        </w:tc>
        <w:tc>
          <w:tcPr>
            <w:tcW w:w="2615" w:type="dxa"/>
            <w:vAlign w:val="center"/>
          </w:tcPr>
          <w:p w14:paraId="120C0847">
            <w:pPr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综合得分排名第三</w:t>
            </w:r>
          </w:p>
        </w:tc>
      </w:tr>
      <w:tr w14:paraId="4D9C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6B201BA">
            <w:pPr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3979" w:type="dxa"/>
            <w:vAlign w:val="center"/>
          </w:tcPr>
          <w:p w14:paraId="4A51BEE3">
            <w:pPr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余姚市水利电力建筑勘测设计院</w:t>
            </w:r>
          </w:p>
        </w:tc>
        <w:tc>
          <w:tcPr>
            <w:tcW w:w="2615" w:type="dxa"/>
            <w:vAlign w:val="center"/>
          </w:tcPr>
          <w:p w14:paraId="4A7208E7">
            <w:pPr>
              <w:jc w:val="both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综合得分排名第四</w:t>
            </w:r>
          </w:p>
        </w:tc>
      </w:tr>
    </w:tbl>
    <w:p w14:paraId="286008B9">
      <w:pPr>
        <w:rPr>
          <w:sz w:val="22"/>
          <w:szCs w:val="28"/>
        </w:rPr>
      </w:pPr>
    </w:p>
    <w:p w14:paraId="76C684D0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备注：</w:t>
      </w:r>
      <w:r>
        <w:rPr>
          <w:sz w:val="22"/>
          <w:szCs w:val="28"/>
        </w:rP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5F03B35"/>
    <w:rsid w:val="1EF503D0"/>
    <w:rsid w:val="350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xyz</cp:lastModifiedBy>
  <dcterms:modified xsi:type="dcterms:W3CDTF">2026-01-23T03:04:34Z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eyJoZGlkIjoiMTgyY2Y5Y2UxZjkwY2NiYzg1MTM4ZmQzOTFhYWJhY2IiLCJ1c2VySWQiOiIzMzg4MDc2NDAifQ==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D98A65B977BB472EA207322B0D36ACA6_13</vt:lpwstr>
  </property>
</Properties>
</file>