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Ind w:w="0" w:type="dxa"/>
        <w:tblLayout w:type="fixed"/>
        <w:tblCellMar>
          <w:top w:w="0" w:type="dxa"/>
          <w:left w:w="108" w:type="dxa"/>
          <w:bottom w:w="0" w:type="dxa"/>
          <w:right w:w="108" w:type="dxa"/>
        </w:tblCellMar>
      </w:tblPr>
      <w:tblGrid>
        <w:gridCol w:w="926"/>
        <w:gridCol w:w="1274"/>
        <w:gridCol w:w="1207"/>
        <w:gridCol w:w="1688"/>
        <w:gridCol w:w="225"/>
        <w:gridCol w:w="1497"/>
        <w:gridCol w:w="1302"/>
        <w:gridCol w:w="850"/>
        <w:gridCol w:w="793"/>
        <w:gridCol w:w="1118"/>
        <w:gridCol w:w="1140"/>
        <w:gridCol w:w="1955"/>
        <w:gridCol w:w="1945"/>
      </w:tblGrid>
      <w:tr>
        <w:tblPrEx>
          <w:tblCellMar>
            <w:top w:w="0" w:type="dxa"/>
            <w:left w:w="108" w:type="dxa"/>
            <w:bottom w:w="0" w:type="dxa"/>
            <w:right w:w="108" w:type="dxa"/>
          </w:tblCellMar>
        </w:tblPrEx>
        <w:trPr>
          <w:trHeight w:val="222" w:hRule="atLeast"/>
        </w:trPr>
        <w:tc>
          <w:tcPr>
            <w:tcW w:w="290" w:type="pct"/>
            <w:tcBorders>
              <w:top w:val="nil"/>
              <w:left w:val="nil"/>
              <w:bottom w:val="nil"/>
              <w:right w:val="nil"/>
            </w:tcBorders>
            <w:shd w:val="clear" w:color="auto" w:fill="auto"/>
            <w:noWrap/>
            <w:vAlign w:val="bottom"/>
          </w:tcPr>
          <w:p>
            <w:r>
              <w:rPr>
                <w:rFonts w:hint="eastAsia"/>
              </w:rPr>
              <w:drawing>
                <wp:anchor distT="0" distB="0" distL="114300" distR="114300" simplePos="0" relativeHeight="251659264" behindDoc="0" locked="0" layoutInCell="1" allowOverlap="1">
                  <wp:simplePos x="0" y="0"/>
                  <wp:positionH relativeFrom="column">
                    <wp:posOffset>-66675</wp:posOffset>
                  </wp:positionH>
                  <wp:positionV relativeFrom="paragraph">
                    <wp:posOffset>-11430</wp:posOffset>
                  </wp:positionV>
                  <wp:extent cx="1456690" cy="786765"/>
                  <wp:effectExtent l="0" t="0" r="0" b="13335"/>
                  <wp:wrapNone/>
                  <wp:docPr id="3" name="Picture_1"/>
                  <wp:cNvGraphicFramePr/>
                  <a:graphic xmlns:a="http://schemas.openxmlformats.org/drawingml/2006/main">
                    <a:graphicData uri="http://schemas.openxmlformats.org/drawingml/2006/picture">
                      <pic:pic xmlns:pic="http://schemas.openxmlformats.org/drawingml/2006/picture">
                        <pic:nvPicPr>
                          <pic:cNvPr id="3" name="Picture_1"/>
                          <pic:cNvPicPr/>
                        </pic:nvPicPr>
                        <pic:blipFill>
                          <a:blip r:embed="rId4"/>
                          <a:stretch>
                            <a:fillRect/>
                          </a:stretch>
                        </pic:blipFill>
                        <pic:spPr>
                          <a:xfrm>
                            <a:off x="0" y="0"/>
                            <a:ext cx="1456690" cy="786765"/>
                          </a:xfrm>
                          <a:prstGeom prst="rect">
                            <a:avLst/>
                          </a:prstGeom>
                          <a:noFill/>
                          <a:ln>
                            <a:noFill/>
                          </a:ln>
                        </pic:spPr>
                      </pic:pic>
                    </a:graphicData>
                  </a:graphic>
                </wp:anchor>
              </w:drawing>
            </w:r>
          </w:p>
        </w:tc>
        <w:tc>
          <w:tcPr>
            <w:tcW w:w="400" w:type="pct"/>
            <w:tcBorders>
              <w:top w:val="nil"/>
              <w:left w:val="nil"/>
              <w:bottom w:val="nil"/>
              <w:right w:val="nil"/>
            </w:tcBorders>
            <w:shd w:val="clear" w:color="auto" w:fill="auto"/>
            <w:noWrap/>
            <w:vAlign w:val="bottom"/>
          </w:tcPr>
          <w:p/>
        </w:tc>
        <w:tc>
          <w:tcPr>
            <w:tcW w:w="379" w:type="pct"/>
            <w:tcBorders>
              <w:top w:val="nil"/>
              <w:left w:val="nil"/>
              <w:bottom w:val="nil"/>
              <w:right w:val="nil"/>
            </w:tcBorders>
            <w:shd w:val="clear" w:color="auto" w:fill="auto"/>
            <w:noWrap/>
            <w:vAlign w:val="bottom"/>
          </w:tcPr>
          <w:p/>
        </w:tc>
        <w:tc>
          <w:tcPr>
            <w:tcW w:w="600" w:type="pct"/>
            <w:gridSpan w:val="2"/>
            <w:tcBorders>
              <w:top w:val="nil"/>
              <w:left w:val="nil"/>
              <w:bottom w:val="nil"/>
              <w:right w:val="nil"/>
            </w:tcBorders>
            <w:shd w:val="clear" w:color="auto" w:fill="auto"/>
            <w:noWrap/>
            <w:vAlign w:val="bottom"/>
          </w:tcPr>
          <w:p/>
        </w:tc>
        <w:tc>
          <w:tcPr>
            <w:tcW w:w="2718" w:type="pct"/>
            <w:gridSpan w:val="7"/>
            <w:tcBorders>
              <w:top w:val="nil"/>
              <w:left w:val="nil"/>
              <w:bottom w:val="nil"/>
              <w:right w:val="nil"/>
            </w:tcBorders>
            <w:shd w:val="clear" w:color="auto" w:fill="auto"/>
            <w:noWrap/>
            <w:vAlign w:val="center"/>
          </w:tcPr>
          <w:p>
            <w:pPr>
              <w:jc w:val="right"/>
            </w:pPr>
            <w:r>
              <w:rPr>
                <w:rFonts w:hint="eastAsia"/>
                <w:color w:val="C00000"/>
              </w:rPr>
              <w:t xml:space="preserve">                中 国 石 油 冀 东 油 田 公 司 供 应 处</w:t>
            </w:r>
          </w:p>
        </w:tc>
        <w:tc>
          <w:tcPr>
            <w:tcW w:w="610" w:type="pct"/>
            <w:tcBorders>
              <w:top w:val="nil"/>
              <w:left w:val="nil"/>
              <w:bottom w:val="nil"/>
              <w:right w:val="nil"/>
            </w:tcBorders>
          </w:tcPr>
          <w:p>
            <w:pPr>
              <w:jc w:val="right"/>
              <w:rPr>
                <w:color w:val="C00000"/>
              </w:rPr>
            </w:pPr>
          </w:p>
        </w:tc>
      </w:tr>
      <w:tr>
        <w:tblPrEx>
          <w:tblCellMar>
            <w:top w:w="0" w:type="dxa"/>
            <w:left w:w="108" w:type="dxa"/>
            <w:bottom w:w="0" w:type="dxa"/>
            <w:right w:w="108" w:type="dxa"/>
          </w:tblCellMar>
        </w:tblPrEx>
        <w:trPr>
          <w:trHeight w:val="402" w:hRule="atLeast"/>
        </w:trPr>
        <w:tc>
          <w:tcPr>
            <w:tcW w:w="290" w:type="pct"/>
            <w:tcBorders>
              <w:top w:val="nil"/>
              <w:left w:val="nil"/>
              <w:bottom w:val="nil"/>
              <w:right w:val="nil"/>
            </w:tcBorders>
            <w:shd w:val="clear" w:color="auto" w:fill="auto"/>
            <w:noWrap/>
            <w:vAlign w:val="bottom"/>
          </w:tcPr>
          <w:p/>
        </w:tc>
        <w:tc>
          <w:tcPr>
            <w:tcW w:w="400" w:type="pct"/>
            <w:tcBorders>
              <w:top w:val="nil"/>
              <w:left w:val="nil"/>
              <w:bottom w:val="nil"/>
              <w:right w:val="nil"/>
            </w:tcBorders>
            <w:shd w:val="clear" w:color="auto" w:fill="auto"/>
            <w:noWrap/>
            <w:vAlign w:val="bottom"/>
          </w:tcPr>
          <w:p/>
        </w:tc>
        <w:tc>
          <w:tcPr>
            <w:tcW w:w="379" w:type="pct"/>
            <w:tcBorders>
              <w:top w:val="nil"/>
              <w:left w:val="nil"/>
              <w:bottom w:val="nil"/>
              <w:right w:val="nil"/>
            </w:tcBorders>
            <w:shd w:val="clear" w:color="auto" w:fill="auto"/>
            <w:noWrap/>
            <w:vAlign w:val="bottom"/>
          </w:tcPr>
          <w:p/>
        </w:tc>
        <w:tc>
          <w:tcPr>
            <w:tcW w:w="530" w:type="pct"/>
            <w:tcBorders>
              <w:top w:val="nil"/>
              <w:left w:val="nil"/>
              <w:bottom w:val="nil"/>
              <w:right w:val="nil"/>
            </w:tcBorders>
            <w:shd w:val="clear" w:color="auto" w:fill="auto"/>
            <w:noWrap/>
            <w:vAlign w:val="bottom"/>
          </w:tcPr>
          <w:p/>
        </w:tc>
        <w:tc>
          <w:tcPr>
            <w:tcW w:w="2788" w:type="pct"/>
            <w:gridSpan w:val="8"/>
            <w:tcBorders>
              <w:top w:val="nil"/>
              <w:left w:val="nil"/>
              <w:bottom w:val="nil"/>
              <w:right w:val="nil"/>
            </w:tcBorders>
            <w:shd w:val="clear" w:color="auto" w:fill="auto"/>
            <w:noWrap/>
            <w:vAlign w:val="center"/>
          </w:tcPr>
          <w:p>
            <w:pPr>
              <w:jc w:val="right"/>
              <w:rPr>
                <w:color w:val="C00000"/>
              </w:rPr>
            </w:pPr>
            <w:r>
              <w:rPr>
                <w:rFonts w:hint="eastAsia"/>
                <w:color w:val="C00000"/>
              </w:rPr>
              <w:t xml:space="preserve">  PetroChina JiDong Oilfield Company Supplies Department</w:t>
            </w:r>
          </w:p>
        </w:tc>
        <w:tc>
          <w:tcPr>
            <w:tcW w:w="610" w:type="pct"/>
            <w:tcBorders>
              <w:top w:val="nil"/>
              <w:left w:val="nil"/>
              <w:bottom w:val="nil"/>
              <w:right w:val="nil"/>
            </w:tcBorders>
          </w:tcPr>
          <w:p>
            <w:pPr>
              <w:jc w:val="right"/>
              <w:rPr>
                <w:color w:val="C00000"/>
              </w:rPr>
            </w:pPr>
          </w:p>
        </w:tc>
      </w:tr>
      <w:tr>
        <w:tblPrEx>
          <w:tblCellMar>
            <w:top w:w="0" w:type="dxa"/>
            <w:left w:w="108" w:type="dxa"/>
            <w:bottom w:w="0" w:type="dxa"/>
            <w:right w:w="108" w:type="dxa"/>
          </w:tblCellMar>
        </w:tblPrEx>
        <w:trPr>
          <w:trHeight w:val="489" w:hRule="atLeast"/>
        </w:trPr>
        <w:tc>
          <w:tcPr>
            <w:tcW w:w="4389" w:type="pct"/>
            <w:gridSpan w:val="12"/>
            <w:tcBorders>
              <w:top w:val="nil"/>
              <w:left w:val="nil"/>
              <w:bottom w:val="nil"/>
              <w:right w:val="nil"/>
            </w:tcBorders>
            <w:shd w:val="clear" w:color="auto" w:fill="auto"/>
            <w:vAlign w:val="center"/>
          </w:tcPr>
          <w:p>
            <w:pPr>
              <w:jc w:val="center"/>
            </w:pPr>
            <w:r>
              <w:rPr>
                <w:rFonts w:hint="eastAsia" w:ascii="黑体" w:hAnsi="黑体" w:eastAsia="黑体" w:cs="Arial"/>
                <w:kern w:val="0"/>
                <w:sz w:val="32"/>
                <w:szCs w:val="32"/>
              </w:rPr>
              <w:t>A</w:t>
            </w:r>
            <w:r>
              <w:rPr>
                <w:rFonts w:hint="eastAsia" w:ascii="黑体" w:hAnsi="黑体" w:eastAsia="黑体" w:cs="Arial"/>
                <w:kern w:val="0"/>
                <w:sz w:val="32"/>
                <w:szCs w:val="32"/>
                <w:lang w:val="en-US" w:eastAsia="zh-CN"/>
              </w:rPr>
              <w:t>51</w:t>
            </w:r>
            <w:r>
              <w:rPr>
                <w:rFonts w:hint="eastAsia" w:ascii="黑体" w:hAnsi="黑体" w:eastAsia="黑体" w:cs="Arial"/>
                <w:kern w:val="0"/>
                <w:sz w:val="32"/>
                <w:szCs w:val="32"/>
              </w:rPr>
              <w:t>大类</w:t>
            </w:r>
            <w:r>
              <w:rPr>
                <w:rFonts w:hint="eastAsia"/>
                <w:b/>
                <w:bCs/>
                <w:sz w:val="32"/>
                <w:szCs w:val="32"/>
                <w:lang w:val="en-US" w:eastAsia="zh-CN"/>
              </w:rPr>
              <w:t>出入口控制系统设备配件</w:t>
            </w:r>
            <w:r>
              <w:rPr>
                <w:rFonts w:hint="eastAsia"/>
                <w:b/>
                <w:bCs/>
                <w:sz w:val="32"/>
                <w:szCs w:val="32"/>
              </w:rPr>
              <w:t>快速竞价投标报价单</w:t>
            </w:r>
            <w:r>
              <w:rPr>
                <w:b/>
                <w:bCs/>
                <w:sz w:val="32"/>
                <w:szCs w:val="32"/>
              </w:rPr>
              <w:drawing>
                <wp:anchor distT="0" distB="0" distL="114300" distR="114300" simplePos="0" relativeHeight="251660288" behindDoc="0" locked="0" layoutInCell="1" allowOverlap="1">
                  <wp:simplePos x="0" y="0"/>
                  <wp:positionH relativeFrom="column">
                    <wp:posOffset>7619365</wp:posOffset>
                  </wp:positionH>
                  <wp:positionV relativeFrom="paragraph">
                    <wp:posOffset>36830</wp:posOffset>
                  </wp:positionV>
                  <wp:extent cx="1315720" cy="962025"/>
                  <wp:effectExtent l="0" t="0" r="17780" b="9525"/>
                  <wp:wrapNone/>
                  <wp:docPr id="4" name="图片_1"/>
                  <wp:cNvGraphicFramePr/>
                  <a:graphic xmlns:a="http://schemas.openxmlformats.org/drawingml/2006/main">
                    <a:graphicData uri="http://schemas.openxmlformats.org/drawingml/2006/picture">
                      <pic:pic xmlns:pic="http://schemas.openxmlformats.org/drawingml/2006/picture">
                        <pic:nvPicPr>
                          <pic:cNvPr id="4" name="图片_1"/>
                          <pic:cNvPicPr/>
                        </pic:nvPicPr>
                        <pic:blipFill>
                          <a:blip r:embed="rId5"/>
                          <a:stretch>
                            <a:fillRect/>
                          </a:stretch>
                        </pic:blipFill>
                        <pic:spPr>
                          <a:xfrm>
                            <a:off x="0" y="0"/>
                            <a:ext cx="1315720" cy="962025"/>
                          </a:xfrm>
                          <a:prstGeom prst="rect">
                            <a:avLst/>
                          </a:prstGeom>
                          <a:noFill/>
                          <a:ln>
                            <a:noFill/>
                          </a:ln>
                        </pic:spPr>
                      </pic:pic>
                    </a:graphicData>
                  </a:graphic>
                </wp:anchor>
              </w:drawing>
            </w:r>
          </w:p>
        </w:tc>
        <w:tc>
          <w:tcPr>
            <w:tcW w:w="610" w:type="pct"/>
            <w:tcBorders>
              <w:top w:val="nil"/>
              <w:left w:val="nil"/>
              <w:bottom w:val="nil"/>
              <w:right w:val="nil"/>
            </w:tcBorders>
          </w:tcPr>
          <w:p>
            <w:pPr>
              <w:jc w:val="center"/>
              <w:rPr>
                <w:b/>
                <w:bCs/>
                <w:sz w:val="32"/>
                <w:szCs w:val="32"/>
              </w:rPr>
            </w:pPr>
          </w:p>
        </w:tc>
      </w:tr>
      <w:tr>
        <w:tblPrEx>
          <w:tblCellMar>
            <w:top w:w="0" w:type="dxa"/>
            <w:left w:w="108" w:type="dxa"/>
            <w:bottom w:w="0" w:type="dxa"/>
            <w:right w:w="108" w:type="dxa"/>
          </w:tblCellMar>
        </w:tblPrEx>
        <w:trPr>
          <w:trHeight w:val="405" w:hRule="atLeast"/>
        </w:trPr>
        <w:tc>
          <w:tcPr>
            <w:tcW w:w="1600" w:type="pct"/>
            <w:gridSpan w:val="4"/>
            <w:tcBorders>
              <w:top w:val="nil"/>
              <w:left w:val="nil"/>
              <w:bottom w:val="nil"/>
              <w:right w:val="nil"/>
            </w:tcBorders>
            <w:shd w:val="clear" w:color="auto" w:fill="auto"/>
            <w:noWrap/>
            <w:vAlign w:val="center"/>
          </w:tcPr>
          <w:p>
            <w:pPr>
              <w:rPr>
                <w:b/>
                <w:bCs/>
                <w:sz w:val="18"/>
                <w:szCs w:val="18"/>
              </w:rPr>
            </w:pPr>
            <w:r>
              <w:rPr>
                <w:rFonts w:hint="eastAsia"/>
                <w:b/>
                <w:bCs/>
                <w:sz w:val="18"/>
                <w:szCs w:val="18"/>
              </w:rPr>
              <w:t xml:space="preserve">询价人：         联系电话： </w:t>
            </w:r>
          </w:p>
        </w:tc>
        <w:tc>
          <w:tcPr>
            <w:tcW w:w="540" w:type="pct"/>
            <w:gridSpan w:val="2"/>
            <w:tcBorders>
              <w:top w:val="nil"/>
              <w:left w:val="nil"/>
              <w:bottom w:val="nil"/>
              <w:right w:val="nil"/>
            </w:tcBorders>
            <w:shd w:val="clear" w:color="auto" w:fill="auto"/>
            <w:noWrap/>
            <w:vAlign w:val="bottom"/>
          </w:tcPr>
          <w:p>
            <w:pPr>
              <w:rPr>
                <w:b/>
                <w:bCs/>
                <w:sz w:val="18"/>
                <w:szCs w:val="18"/>
              </w:rPr>
            </w:pPr>
          </w:p>
        </w:tc>
        <w:tc>
          <w:tcPr>
            <w:tcW w:w="408" w:type="pct"/>
            <w:tcBorders>
              <w:top w:val="nil"/>
              <w:left w:val="nil"/>
              <w:bottom w:val="nil"/>
              <w:right w:val="nil"/>
            </w:tcBorders>
            <w:shd w:val="clear" w:color="auto" w:fill="auto"/>
            <w:noWrap/>
            <w:vAlign w:val="bottom"/>
          </w:tcPr>
          <w:p>
            <w:pPr>
              <w:rPr>
                <w:b/>
                <w:bCs/>
                <w:sz w:val="18"/>
                <w:szCs w:val="18"/>
              </w:rPr>
            </w:pPr>
            <w:r>
              <w:rPr>
                <w:rFonts w:hint="eastAsia"/>
                <w:b/>
                <w:bCs/>
                <w:sz w:val="18"/>
                <w:szCs w:val="18"/>
              </w:rPr>
              <w:t xml:space="preserve">询价日期：  </w:t>
            </w:r>
          </w:p>
        </w:tc>
        <w:tc>
          <w:tcPr>
            <w:tcW w:w="516" w:type="pct"/>
            <w:gridSpan w:val="2"/>
            <w:tcBorders>
              <w:top w:val="nil"/>
              <w:left w:val="nil"/>
              <w:bottom w:val="nil"/>
              <w:right w:val="nil"/>
            </w:tcBorders>
            <w:shd w:val="clear" w:color="auto" w:fill="auto"/>
            <w:noWrap/>
            <w:vAlign w:val="bottom"/>
          </w:tcPr>
          <w:p>
            <w:pPr>
              <w:rPr>
                <w:b/>
                <w:bCs/>
                <w:sz w:val="18"/>
                <w:szCs w:val="18"/>
              </w:rPr>
            </w:pPr>
          </w:p>
        </w:tc>
        <w:tc>
          <w:tcPr>
            <w:tcW w:w="351" w:type="pct"/>
            <w:tcBorders>
              <w:top w:val="nil"/>
              <w:left w:val="nil"/>
              <w:bottom w:val="nil"/>
              <w:right w:val="nil"/>
            </w:tcBorders>
            <w:shd w:val="clear" w:color="auto" w:fill="auto"/>
            <w:noWrap/>
            <w:vAlign w:val="bottom"/>
          </w:tcPr>
          <w:p>
            <w:pPr>
              <w:rPr>
                <w:b/>
                <w:bCs/>
                <w:sz w:val="18"/>
                <w:szCs w:val="18"/>
              </w:rPr>
            </w:pPr>
          </w:p>
        </w:tc>
        <w:tc>
          <w:tcPr>
            <w:tcW w:w="358" w:type="pct"/>
            <w:tcBorders>
              <w:top w:val="nil"/>
              <w:left w:val="nil"/>
              <w:bottom w:val="nil"/>
              <w:right w:val="nil"/>
            </w:tcBorders>
            <w:shd w:val="clear" w:color="auto" w:fill="auto"/>
            <w:noWrap/>
            <w:vAlign w:val="bottom"/>
          </w:tcPr>
          <w:p>
            <w:pPr>
              <w:rPr>
                <w:b/>
                <w:bCs/>
                <w:sz w:val="18"/>
                <w:szCs w:val="18"/>
              </w:rPr>
            </w:pPr>
          </w:p>
        </w:tc>
        <w:tc>
          <w:tcPr>
            <w:tcW w:w="614" w:type="pct"/>
            <w:tcBorders>
              <w:top w:val="nil"/>
              <w:left w:val="nil"/>
              <w:bottom w:val="nil"/>
              <w:right w:val="nil"/>
            </w:tcBorders>
            <w:shd w:val="clear" w:color="auto" w:fill="auto"/>
            <w:noWrap/>
            <w:vAlign w:val="bottom"/>
          </w:tcPr>
          <w:p>
            <w:pPr>
              <w:rPr>
                <w:b/>
                <w:bCs/>
                <w:sz w:val="18"/>
                <w:szCs w:val="18"/>
              </w:rPr>
            </w:pPr>
          </w:p>
        </w:tc>
        <w:tc>
          <w:tcPr>
            <w:tcW w:w="610" w:type="pct"/>
            <w:tcBorders>
              <w:top w:val="nil"/>
              <w:left w:val="nil"/>
              <w:bottom w:val="nil"/>
              <w:right w:val="nil"/>
            </w:tcBorders>
          </w:tcPr>
          <w:p>
            <w:pPr>
              <w:rPr>
                <w:b/>
                <w:bCs/>
                <w:sz w:val="18"/>
                <w:szCs w:val="18"/>
              </w:rPr>
            </w:pPr>
          </w:p>
        </w:tc>
      </w:tr>
      <w:tr>
        <w:tblPrEx>
          <w:tblCellMar>
            <w:top w:w="0" w:type="dxa"/>
            <w:left w:w="108" w:type="dxa"/>
            <w:bottom w:w="0" w:type="dxa"/>
            <w:right w:w="108" w:type="dxa"/>
          </w:tblCellMar>
        </w:tblPrEx>
        <w:trPr>
          <w:trHeight w:val="405" w:hRule="atLeast"/>
        </w:trPr>
        <w:tc>
          <w:tcPr>
            <w:tcW w:w="1600" w:type="pct"/>
            <w:gridSpan w:val="4"/>
            <w:tcBorders>
              <w:top w:val="nil"/>
              <w:left w:val="nil"/>
              <w:bottom w:val="nil"/>
              <w:right w:val="nil"/>
            </w:tcBorders>
            <w:shd w:val="clear" w:color="auto" w:fill="auto"/>
            <w:vAlign w:val="center"/>
          </w:tcPr>
          <w:p>
            <w:pPr>
              <w:rPr>
                <w:b/>
                <w:bCs/>
                <w:sz w:val="18"/>
                <w:szCs w:val="18"/>
              </w:rPr>
            </w:pPr>
            <w:r>
              <w:rPr>
                <w:rFonts w:hint="eastAsia"/>
                <w:b/>
                <w:bCs/>
                <w:sz w:val="18"/>
                <w:szCs w:val="18"/>
              </w:rPr>
              <w:t xml:space="preserve">供应商: (公章)  </w:t>
            </w:r>
          </w:p>
        </w:tc>
        <w:tc>
          <w:tcPr>
            <w:tcW w:w="540" w:type="pct"/>
            <w:gridSpan w:val="2"/>
            <w:tcBorders>
              <w:top w:val="nil"/>
              <w:left w:val="nil"/>
              <w:bottom w:val="nil"/>
              <w:right w:val="nil"/>
            </w:tcBorders>
            <w:shd w:val="clear" w:color="auto" w:fill="auto"/>
            <w:vAlign w:val="center"/>
          </w:tcPr>
          <w:p>
            <w:pPr>
              <w:rPr>
                <w:b/>
                <w:bCs/>
                <w:sz w:val="18"/>
                <w:szCs w:val="18"/>
              </w:rPr>
            </w:pPr>
          </w:p>
        </w:tc>
        <w:tc>
          <w:tcPr>
            <w:tcW w:w="924" w:type="pct"/>
            <w:gridSpan w:val="3"/>
            <w:tcBorders>
              <w:top w:val="nil"/>
              <w:left w:val="nil"/>
              <w:bottom w:val="nil"/>
              <w:right w:val="nil"/>
            </w:tcBorders>
            <w:shd w:val="clear" w:color="auto" w:fill="auto"/>
            <w:vAlign w:val="center"/>
          </w:tcPr>
          <w:p>
            <w:pPr>
              <w:rPr>
                <w:b/>
                <w:bCs/>
                <w:sz w:val="18"/>
                <w:szCs w:val="18"/>
              </w:rPr>
            </w:pPr>
            <w:r>
              <w:rPr>
                <w:rFonts w:hint="eastAsia"/>
                <w:b/>
                <w:bCs/>
                <w:sz w:val="18"/>
                <w:szCs w:val="18"/>
              </w:rPr>
              <w:t>公司性质：</w:t>
            </w:r>
          </w:p>
        </w:tc>
        <w:tc>
          <w:tcPr>
            <w:tcW w:w="351" w:type="pct"/>
            <w:tcBorders>
              <w:top w:val="nil"/>
              <w:left w:val="nil"/>
              <w:bottom w:val="nil"/>
              <w:right w:val="nil"/>
            </w:tcBorders>
            <w:shd w:val="clear" w:color="auto" w:fill="auto"/>
            <w:noWrap/>
            <w:vAlign w:val="bottom"/>
          </w:tcPr>
          <w:p>
            <w:pPr>
              <w:rPr>
                <w:b/>
                <w:bCs/>
                <w:sz w:val="18"/>
                <w:szCs w:val="18"/>
              </w:rPr>
            </w:pPr>
          </w:p>
        </w:tc>
        <w:tc>
          <w:tcPr>
            <w:tcW w:w="358" w:type="pct"/>
            <w:tcBorders>
              <w:top w:val="nil"/>
              <w:left w:val="nil"/>
              <w:bottom w:val="nil"/>
              <w:right w:val="nil"/>
            </w:tcBorders>
            <w:shd w:val="clear" w:color="auto" w:fill="auto"/>
            <w:noWrap/>
            <w:vAlign w:val="bottom"/>
          </w:tcPr>
          <w:p>
            <w:pPr>
              <w:rPr>
                <w:b/>
                <w:bCs/>
                <w:sz w:val="18"/>
                <w:szCs w:val="18"/>
              </w:rPr>
            </w:pPr>
          </w:p>
        </w:tc>
        <w:tc>
          <w:tcPr>
            <w:tcW w:w="614" w:type="pct"/>
            <w:tcBorders>
              <w:top w:val="nil"/>
              <w:left w:val="nil"/>
              <w:bottom w:val="nil"/>
              <w:right w:val="nil"/>
            </w:tcBorders>
            <w:shd w:val="clear" w:color="auto" w:fill="auto"/>
            <w:noWrap/>
            <w:vAlign w:val="bottom"/>
          </w:tcPr>
          <w:p>
            <w:pPr>
              <w:rPr>
                <w:b/>
                <w:bCs/>
                <w:sz w:val="18"/>
                <w:szCs w:val="18"/>
              </w:rPr>
            </w:pPr>
          </w:p>
        </w:tc>
        <w:tc>
          <w:tcPr>
            <w:tcW w:w="610" w:type="pct"/>
            <w:tcBorders>
              <w:top w:val="nil"/>
              <w:left w:val="nil"/>
              <w:bottom w:val="nil"/>
              <w:right w:val="nil"/>
            </w:tcBorders>
          </w:tcPr>
          <w:p>
            <w:pPr>
              <w:rPr>
                <w:b/>
                <w:bCs/>
                <w:sz w:val="18"/>
                <w:szCs w:val="18"/>
              </w:rPr>
            </w:pPr>
          </w:p>
        </w:tc>
      </w:tr>
      <w:tr>
        <w:tblPrEx>
          <w:tblCellMar>
            <w:top w:w="0" w:type="dxa"/>
            <w:left w:w="108" w:type="dxa"/>
            <w:bottom w:w="0" w:type="dxa"/>
            <w:right w:w="108" w:type="dxa"/>
          </w:tblCellMar>
        </w:tblPrEx>
        <w:trPr>
          <w:trHeight w:val="405" w:hRule="atLeast"/>
        </w:trPr>
        <w:tc>
          <w:tcPr>
            <w:tcW w:w="1600" w:type="pct"/>
            <w:gridSpan w:val="4"/>
            <w:tcBorders>
              <w:top w:val="nil"/>
              <w:left w:val="nil"/>
              <w:bottom w:val="nil"/>
              <w:right w:val="nil"/>
            </w:tcBorders>
            <w:shd w:val="clear" w:color="auto" w:fill="auto"/>
            <w:noWrap/>
            <w:vAlign w:val="center"/>
          </w:tcPr>
          <w:p>
            <w:pPr>
              <w:rPr>
                <w:b/>
                <w:bCs/>
                <w:sz w:val="18"/>
                <w:szCs w:val="18"/>
              </w:rPr>
            </w:pPr>
            <w:r>
              <w:rPr>
                <w:rFonts w:hint="eastAsia"/>
                <w:b/>
                <w:bCs/>
                <w:sz w:val="18"/>
                <w:szCs w:val="18"/>
              </w:rPr>
              <w:t>联系人：</w:t>
            </w:r>
          </w:p>
        </w:tc>
        <w:tc>
          <w:tcPr>
            <w:tcW w:w="540" w:type="pct"/>
            <w:gridSpan w:val="2"/>
            <w:tcBorders>
              <w:top w:val="nil"/>
              <w:left w:val="nil"/>
              <w:bottom w:val="nil"/>
              <w:right w:val="nil"/>
            </w:tcBorders>
            <w:shd w:val="clear" w:color="auto" w:fill="auto"/>
            <w:noWrap/>
            <w:vAlign w:val="center"/>
          </w:tcPr>
          <w:p>
            <w:pPr>
              <w:rPr>
                <w:b/>
                <w:bCs/>
                <w:sz w:val="18"/>
                <w:szCs w:val="18"/>
              </w:rPr>
            </w:pPr>
          </w:p>
        </w:tc>
        <w:tc>
          <w:tcPr>
            <w:tcW w:w="2248" w:type="pct"/>
            <w:gridSpan w:val="6"/>
            <w:tcBorders>
              <w:top w:val="nil"/>
              <w:left w:val="nil"/>
              <w:bottom w:val="nil"/>
              <w:right w:val="nil"/>
            </w:tcBorders>
            <w:shd w:val="clear" w:color="auto" w:fill="auto"/>
            <w:noWrap/>
            <w:vAlign w:val="center"/>
          </w:tcPr>
          <w:p>
            <w:pPr>
              <w:rPr>
                <w:b/>
                <w:bCs/>
                <w:sz w:val="18"/>
                <w:szCs w:val="18"/>
              </w:rPr>
            </w:pPr>
            <w:r>
              <w:rPr>
                <w:rFonts w:hint="eastAsia"/>
                <w:b/>
                <w:bCs/>
                <w:sz w:val="18"/>
                <w:szCs w:val="18"/>
              </w:rPr>
              <w:t xml:space="preserve">联系电话:              手机： </w:t>
            </w:r>
          </w:p>
        </w:tc>
        <w:tc>
          <w:tcPr>
            <w:tcW w:w="610" w:type="pct"/>
            <w:tcBorders>
              <w:top w:val="nil"/>
              <w:left w:val="nil"/>
              <w:bottom w:val="nil"/>
              <w:right w:val="nil"/>
            </w:tcBorders>
          </w:tcPr>
          <w:p>
            <w:pPr>
              <w:rPr>
                <w:b/>
                <w:bCs/>
                <w:sz w:val="18"/>
                <w:szCs w:val="18"/>
              </w:rPr>
            </w:pPr>
          </w:p>
        </w:tc>
      </w:tr>
      <w:tr>
        <w:tblPrEx>
          <w:tblCellMar>
            <w:top w:w="0" w:type="dxa"/>
            <w:left w:w="108" w:type="dxa"/>
            <w:bottom w:w="0" w:type="dxa"/>
            <w:right w:w="108" w:type="dxa"/>
          </w:tblCellMar>
        </w:tblPrEx>
        <w:trPr>
          <w:cantSplit/>
          <w:trHeight w:val="682" w:hRule="atLeast"/>
        </w:trPr>
        <w:tc>
          <w:tcPr>
            <w:tcW w:w="2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pPr>
              <w:jc w:val="center"/>
            </w:pPr>
            <w:r>
              <w:rPr>
                <w:rFonts w:hint="eastAsia"/>
              </w:rPr>
              <w:t>序号</w:t>
            </w:r>
          </w:p>
        </w:tc>
        <w:tc>
          <w:tcPr>
            <w:tcW w:w="40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pPr>
              <w:jc w:val="center"/>
            </w:pPr>
            <w:r>
              <w:rPr>
                <w:rFonts w:hint="eastAsia"/>
              </w:rPr>
              <w:t>物料组</w:t>
            </w:r>
          </w:p>
        </w:tc>
        <w:tc>
          <w:tcPr>
            <w:tcW w:w="37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pPr>
              <w:jc w:val="center"/>
            </w:pPr>
            <w:r>
              <w:rPr>
                <w:rFonts w:hint="eastAsia"/>
              </w:rPr>
              <w:t>物资编码</w:t>
            </w:r>
          </w:p>
        </w:tc>
        <w:tc>
          <w:tcPr>
            <w:tcW w:w="53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pPr>
              <w:jc w:val="center"/>
            </w:pPr>
            <w:r>
              <w:rPr>
                <w:rFonts w:hint="eastAsia"/>
              </w:rPr>
              <w:t>物资名称</w:t>
            </w:r>
          </w:p>
        </w:tc>
        <w:tc>
          <w:tcPr>
            <w:tcW w:w="540"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pPr>
              <w:jc w:val="center"/>
            </w:pPr>
            <w:r>
              <w:rPr>
                <w:rFonts w:hint="eastAsia"/>
              </w:rPr>
              <w:t>执行标准</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jc w:val="center"/>
            </w:pPr>
            <w:r>
              <w:rPr>
                <w:rFonts w:hint="eastAsia"/>
              </w:rPr>
              <w:t>品牌/厂家</w:t>
            </w:r>
          </w:p>
        </w:tc>
        <w:tc>
          <w:tcPr>
            <w:tcW w:w="2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pPr>
              <w:jc w:val="center"/>
            </w:pPr>
            <w:r>
              <w:rPr>
                <w:rFonts w:hint="eastAsia"/>
              </w:rPr>
              <w:t>单位</w:t>
            </w:r>
          </w:p>
        </w:tc>
        <w:tc>
          <w:tcPr>
            <w:tcW w:w="24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pPr>
              <w:jc w:val="center"/>
            </w:pPr>
            <w:r>
              <w:rPr>
                <w:rFonts w:hint="eastAsia"/>
              </w:rPr>
              <w:t>数量</w:t>
            </w:r>
          </w:p>
        </w:tc>
        <w:tc>
          <w:tcPr>
            <w:tcW w:w="35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pPr>
              <w:jc w:val="center"/>
            </w:pPr>
            <w:r>
              <w:rPr>
                <w:rFonts w:hint="eastAsia"/>
              </w:rPr>
              <w:t>单价</w:t>
            </w:r>
          </w:p>
        </w:tc>
        <w:tc>
          <w:tcPr>
            <w:tcW w:w="35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pPr>
              <w:jc w:val="center"/>
            </w:pPr>
            <w:r>
              <w:rPr>
                <w:rFonts w:hint="eastAsia"/>
              </w:rPr>
              <w:t>金额</w:t>
            </w:r>
          </w:p>
        </w:tc>
        <w:tc>
          <w:tcPr>
            <w:tcW w:w="61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pPr>
              <w:jc w:val="center"/>
            </w:pPr>
            <w:r>
              <w:rPr>
                <w:rFonts w:hint="eastAsia"/>
              </w:rPr>
              <w:t>规格型号、执行标准（修正）</w:t>
            </w:r>
          </w:p>
        </w:tc>
        <w:tc>
          <w:tcPr>
            <w:tcW w:w="610" w:type="pct"/>
            <w:tcBorders>
              <w:top w:val="single" w:color="000000" w:sz="4" w:space="0"/>
              <w:left w:val="single" w:color="000000" w:sz="4" w:space="0"/>
              <w:right w:val="single" w:color="000000" w:sz="4" w:space="0"/>
            </w:tcBorders>
            <w:shd w:val="clear" w:color="auto" w:fill="BEBEBE" w:themeFill="background1" w:themeFillShade="BF"/>
          </w:tcPr>
          <w:p>
            <w:pPr>
              <w:jc w:val="center"/>
            </w:pPr>
            <w:r>
              <w:rPr>
                <w:rFonts w:hint="eastAsia"/>
              </w:rPr>
              <w:t>备注</w:t>
            </w:r>
          </w:p>
        </w:tc>
      </w:tr>
      <w:tr>
        <w:tblPrEx>
          <w:tblCellMar>
            <w:top w:w="0" w:type="dxa"/>
            <w:left w:w="108" w:type="dxa"/>
            <w:bottom w:w="0" w:type="dxa"/>
            <w:right w:w="108" w:type="dxa"/>
          </w:tblCellMar>
        </w:tblPrEx>
        <w:trPr>
          <w:cantSplit/>
          <w:trHeight w:val="50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16"/>
                <w:szCs w:val="16"/>
                <w:lang w:bidi="ar"/>
              </w:rPr>
            </w:pPr>
            <w:r>
              <w:rPr>
                <w:rFonts w:hint="eastAsia" w:ascii="宋体" w:hAnsi="宋体" w:eastAsia="宋体" w:cs="宋体"/>
                <w:b/>
                <w:bCs/>
                <w:i w:val="0"/>
                <w:iCs w:val="0"/>
                <w:color w:val="000000"/>
                <w:kern w:val="0"/>
                <w:sz w:val="16"/>
                <w:szCs w:val="16"/>
                <w:u w:val="none"/>
                <w:lang w:val="en-US" w:eastAsia="zh-CN" w:bidi="ar"/>
              </w:rPr>
              <w:t>1</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A51060603</w:t>
            </w:r>
          </w:p>
        </w:tc>
        <w:tc>
          <w:tcPr>
            <w:tcW w:w="120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16"/>
                <w:szCs w:val="16"/>
              </w:rPr>
            </w:pPr>
            <w:r>
              <w:rPr>
                <w:rFonts w:hint="eastAsia" w:ascii="宋体" w:hAnsi="宋体" w:eastAsia="宋体" w:cs="宋体"/>
                <w:i w:val="0"/>
                <w:iCs w:val="0"/>
                <w:color w:val="000000"/>
                <w:kern w:val="0"/>
                <w:sz w:val="16"/>
                <w:szCs w:val="16"/>
                <w:u w:val="none"/>
                <w:lang w:val="en-US" w:eastAsia="zh-CN" w:bidi="ar"/>
              </w:rPr>
              <w:t>A51040110000274</w:t>
            </w:r>
          </w:p>
        </w:tc>
        <w:tc>
          <w:tcPr>
            <w:tcW w:w="168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16"/>
                <w:szCs w:val="16"/>
              </w:rPr>
            </w:pPr>
            <w:r>
              <w:rPr>
                <w:rFonts w:hint="eastAsia" w:ascii="宋体" w:hAnsi="宋体" w:eastAsia="宋体" w:cs="宋体"/>
                <w:i w:val="0"/>
                <w:iCs w:val="0"/>
                <w:color w:val="000000"/>
                <w:kern w:val="0"/>
                <w:sz w:val="16"/>
                <w:szCs w:val="16"/>
                <w:u w:val="none"/>
                <w:lang w:val="en-US" w:eastAsia="zh-CN" w:bidi="ar"/>
              </w:rPr>
              <w:t>无线路由器 802.11b/g/n RJ45/5个 150M IP30*02</w:t>
            </w:r>
          </w:p>
        </w:tc>
        <w:tc>
          <w:tcPr>
            <w:tcW w:w="540" w:type="pct"/>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auto"/>
                <w:sz w:val="16"/>
                <w:szCs w:val="16"/>
              </w:rPr>
            </w:pPr>
            <w:r>
              <w:rPr>
                <w:rFonts w:hint="eastAsia" w:ascii="宋体" w:hAnsi="宋体" w:eastAsia="宋体" w:cs="宋体"/>
                <w:i w:val="0"/>
                <w:iCs w:val="0"/>
                <w:color w:val="000000"/>
                <w:kern w:val="0"/>
                <w:sz w:val="16"/>
                <w:szCs w:val="16"/>
                <w:u w:val="none"/>
                <w:lang w:val="en-US" w:eastAsia="zh-CN" w:bidi="ar"/>
              </w:rPr>
              <w:t>YD/T1098-2023</w:t>
            </w:r>
          </w:p>
        </w:tc>
        <w:tc>
          <w:tcPr>
            <w:tcW w:w="40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Theme="minorEastAsia"/>
                <w:sz w:val="16"/>
                <w:szCs w:val="16"/>
                <w:lang w:val="en-US" w:eastAsia="zh-CN"/>
              </w:rPr>
            </w:pPr>
            <w:r>
              <w:rPr>
                <w:rFonts w:hint="eastAsia"/>
                <w:sz w:val="16"/>
                <w:szCs w:val="16"/>
                <w:lang w:val="en-US" w:eastAsia="zh-CN"/>
              </w:rPr>
              <w:t xml:space="preserve">瑞斯康达 </w:t>
            </w:r>
          </w:p>
        </w:tc>
        <w:tc>
          <w:tcPr>
            <w:tcW w:w="85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Theme="minorEastAsia"/>
                <w:sz w:val="16"/>
                <w:szCs w:val="16"/>
                <w:lang w:val="en-US" w:eastAsia="zh-CN"/>
              </w:rPr>
            </w:pPr>
            <w:r>
              <w:rPr>
                <w:rFonts w:hint="eastAsia" w:ascii="宋体" w:hAnsi="宋体" w:eastAsia="宋体" w:cs="宋体"/>
                <w:i w:val="0"/>
                <w:iCs w:val="0"/>
                <w:color w:val="000000"/>
                <w:kern w:val="0"/>
                <w:sz w:val="16"/>
                <w:szCs w:val="16"/>
                <w:u w:val="none"/>
                <w:lang w:val="en-US" w:eastAsia="zh-CN" w:bidi="ar"/>
              </w:rPr>
              <w:t>台</w:t>
            </w:r>
          </w:p>
        </w:tc>
        <w:tc>
          <w:tcPr>
            <w:tcW w:w="79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Theme="minorEastAsia"/>
                <w:sz w:val="16"/>
                <w:szCs w:val="16"/>
                <w:lang w:val="en-US" w:eastAsia="zh-CN"/>
              </w:rPr>
            </w:pPr>
            <w:r>
              <w:rPr>
                <w:rFonts w:hint="eastAsia" w:ascii="宋体" w:hAnsi="宋体" w:eastAsia="宋体" w:cs="宋体"/>
                <w:i w:val="0"/>
                <w:iCs w:val="0"/>
                <w:color w:val="000000"/>
                <w:kern w:val="0"/>
                <w:sz w:val="16"/>
                <w:szCs w:val="16"/>
                <w:u w:val="none"/>
                <w:lang w:val="en-US" w:eastAsia="zh-CN" w:bidi="ar"/>
              </w:rPr>
              <w:t>40</w:t>
            </w:r>
          </w:p>
        </w:tc>
        <w:tc>
          <w:tcPr>
            <w:tcW w:w="351"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Theme="minorEastAsia"/>
                <w:sz w:val="16"/>
                <w:szCs w:val="16"/>
                <w:lang w:val="en-US" w:eastAsia="zh-CN"/>
              </w:rPr>
            </w:pPr>
          </w:p>
        </w:tc>
        <w:tc>
          <w:tcPr>
            <w:tcW w:w="35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16"/>
                <w:szCs w:val="16"/>
              </w:rPr>
            </w:pPr>
          </w:p>
        </w:tc>
        <w:tc>
          <w:tcPr>
            <w:tcW w:w="61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16"/>
                <w:szCs w:val="16"/>
              </w:rPr>
            </w:pPr>
          </w:p>
        </w:tc>
        <w:tc>
          <w:tcPr>
            <w:tcW w:w="610"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Theme="minorEastAsia"/>
                <w:sz w:val="16"/>
                <w:szCs w:val="16"/>
                <w:lang w:val="en-US" w:eastAsia="zh-CN"/>
              </w:rPr>
            </w:pPr>
            <w:r>
              <w:rPr>
                <w:rFonts w:hint="default" w:eastAsiaTheme="minorEastAsia"/>
                <w:sz w:val="16"/>
                <w:szCs w:val="16"/>
                <w:lang w:val="en-US" w:eastAsia="zh-CN"/>
              </w:rPr>
              <w:t>无线路由器 802.11b/g/n RJ45/5个 150M IP30 Gazelle R202i-SHC</w:t>
            </w:r>
          </w:p>
        </w:tc>
      </w:tr>
      <w:tr>
        <w:tblPrEx>
          <w:tblCellMar>
            <w:top w:w="0" w:type="dxa"/>
            <w:left w:w="108" w:type="dxa"/>
            <w:bottom w:w="0" w:type="dxa"/>
            <w:right w:w="108" w:type="dxa"/>
          </w:tblCellMar>
        </w:tblPrEx>
        <w:trPr>
          <w:cantSplit/>
          <w:trHeight w:val="48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合计：  大写：</w:t>
            </w:r>
          </w:p>
        </w:tc>
        <w:tc>
          <w:tcPr>
            <w:tcW w:w="277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小写</w:t>
            </w:r>
            <w:r>
              <w:t>:</w:t>
            </w:r>
          </w:p>
        </w:tc>
        <w:tc>
          <w:tcPr>
            <w:tcW w:w="610" w:type="pct"/>
            <w:tcBorders>
              <w:top w:val="single" w:color="000000" w:sz="4" w:space="0"/>
              <w:left w:val="single" w:color="000000" w:sz="4" w:space="0"/>
              <w:bottom w:val="single" w:color="000000" w:sz="4" w:space="0"/>
              <w:right w:val="single" w:color="000000" w:sz="4" w:space="0"/>
            </w:tcBorders>
          </w:tcPr>
          <w:p/>
        </w:tc>
      </w:tr>
      <w:tr>
        <w:tblPrEx>
          <w:tblCellMar>
            <w:top w:w="0" w:type="dxa"/>
            <w:left w:w="108" w:type="dxa"/>
            <w:bottom w:w="0" w:type="dxa"/>
            <w:right w:w="108" w:type="dxa"/>
          </w:tblCellMar>
        </w:tblPrEx>
        <w:trPr>
          <w:trHeight w:val="465" w:hRule="atLeast"/>
        </w:trPr>
        <w:tc>
          <w:tcPr>
            <w:tcW w:w="4389"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相关技术附件及技术确认要求：</w:t>
            </w:r>
          </w:p>
        </w:tc>
        <w:tc>
          <w:tcPr>
            <w:tcW w:w="610" w:type="pct"/>
            <w:tcBorders>
              <w:top w:val="single" w:color="000000" w:sz="4" w:space="0"/>
              <w:left w:val="single" w:color="000000" w:sz="4" w:space="0"/>
              <w:bottom w:val="single" w:color="000000" w:sz="4" w:space="0"/>
              <w:right w:val="single" w:color="000000" w:sz="4" w:space="0"/>
            </w:tcBorders>
          </w:tcPr>
          <w:p/>
        </w:tc>
      </w:tr>
      <w:tr>
        <w:tblPrEx>
          <w:tblCellMar>
            <w:top w:w="0" w:type="dxa"/>
            <w:left w:w="108" w:type="dxa"/>
            <w:bottom w:w="0" w:type="dxa"/>
            <w:right w:w="108" w:type="dxa"/>
          </w:tblCellMar>
        </w:tblPrEx>
        <w:trPr>
          <w:trHeight w:val="340" w:hRule="atLeast"/>
        </w:trPr>
        <w:tc>
          <w:tcPr>
            <w:tcW w:w="2549" w:type="pct"/>
            <w:gridSpan w:val="7"/>
            <w:tcBorders>
              <w:top w:val="nil"/>
              <w:left w:val="nil"/>
              <w:bottom w:val="nil"/>
              <w:right w:val="nil"/>
            </w:tcBorders>
            <w:shd w:val="clear" w:color="auto" w:fill="auto"/>
            <w:noWrap/>
            <w:vAlign w:val="bottom"/>
          </w:tcPr>
          <w:p>
            <w:r>
              <w:rPr>
                <w:rFonts w:hint="eastAsia"/>
              </w:rPr>
              <w:t>报价说明：</w:t>
            </w:r>
          </w:p>
        </w:tc>
        <w:tc>
          <w:tcPr>
            <w:tcW w:w="266" w:type="pct"/>
            <w:tcBorders>
              <w:top w:val="nil"/>
              <w:left w:val="nil"/>
              <w:bottom w:val="nil"/>
              <w:right w:val="nil"/>
            </w:tcBorders>
            <w:shd w:val="clear" w:color="auto" w:fill="auto"/>
            <w:noWrap/>
            <w:vAlign w:val="bottom"/>
          </w:tcPr>
          <w:p/>
        </w:tc>
        <w:tc>
          <w:tcPr>
            <w:tcW w:w="249" w:type="pct"/>
            <w:tcBorders>
              <w:top w:val="nil"/>
              <w:left w:val="nil"/>
              <w:bottom w:val="nil"/>
              <w:right w:val="nil"/>
            </w:tcBorders>
            <w:shd w:val="clear" w:color="auto" w:fill="auto"/>
            <w:vAlign w:val="center"/>
          </w:tcPr>
          <w:p/>
        </w:tc>
        <w:tc>
          <w:tcPr>
            <w:tcW w:w="351" w:type="pct"/>
            <w:tcBorders>
              <w:top w:val="nil"/>
              <w:left w:val="nil"/>
              <w:bottom w:val="nil"/>
              <w:right w:val="nil"/>
            </w:tcBorders>
            <w:shd w:val="clear" w:color="auto" w:fill="auto"/>
            <w:noWrap/>
            <w:vAlign w:val="bottom"/>
          </w:tcPr>
          <w:p/>
        </w:tc>
        <w:tc>
          <w:tcPr>
            <w:tcW w:w="358" w:type="pct"/>
            <w:tcBorders>
              <w:top w:val="nil"/>
              <w:left w:val="nil"/>
              <w:bottom w:val="nil"/>
              <w:right w:val="nil"/>
            </w:tcBorders>
            <w:shd w:val="clear" w:color="auto" w:fill="auto"/>
            <w:noWrap/>
            <w:vAlign w:val="bottom"/>
          </w:tcPr>
          <w:p/>
        </w:tc>
        <w:tc>
          <w:tcPr>
            <w:tcW w:w="614" w:type="pct"/>
            <w:tcBorders>
              <w:top w:val="nil"/>
              <w:left w:val="nil"/>
              <w:bottom w:val="nil"/>
              <w:right w:val="nil"/>
            </w:tcBorders>
            <w:shd w:val="clear" w:color="auto" w:fill="auto"/>
            <w:noWrap/>
            <w:vAlign w:val="bottom"/>
          </w:tcPr>
          <w:p/>
        </w:tc>
        <w:tc>
          <w:tcPr>
            <w:tcW w:w="610" w:type="pct"/>
            <w:tcBorders>
              <w:top w:val="nil"/>
              <w:left w:val="nil"/>
              <w:bottom w:val="nil"/>
              <w:right w:val="nil"/>
            </w:tcBorders>
          </w:tcPr>
          <w:p/>
        </w:tc>
      </w:tr>
      <w:tr>
        <w:tblPrEx>
          <w:tblCellMar>
            <w:top w:w="0" w:type="dxa"/>
            <w:left w:w="108" w:type="dxa"/>
            <w:bottom w:w="0" w:type="dxa"/>
            <w:right w:w="108" w:type="dxa"/>
          </w:tblCellMar>
        </w:tblPrEx>
        <w:trPr>
          <w:trHeight w:val="405" w:hRule="atLeast"/>
        </w:trPr>
        <w:tc>
          <w:tcPr>
            <w:tcW w:w="4389" w:type="pct"/>
            <w:gridSpan w:val="12"/>
            <w:tcBorders>
              <w:top w:val="nil"/>
              <w:left w:val="nil"/>
              <w:bottom w:val="nil"/>
              <w:right w:val="nil"/>
            </w:tcBorders>
            <w:shd w:val="clear" w:color="auto" w:fill="auto"/>
            <w:vAlign w:val="bottom"/>
          </w:tcPr>
          <w:p>
            <w:pPr>
              <w:rPr>
                <w:sz w:val="18"/>
                <w:szCs w:val="18"/>
              </w:rPr>
            </w:pPr>
            <w:r>
              <w:rPr>
                <w:sz w:val="18"/>
                <w:szCs w:val="18"/>
              </w:rPr>
              <w:t>1、</w:t>
            </w:r>
            <w:r>
              <w:rPr>
                <w:rFonts w:hint="eastAsia"/>
                <w:color w:val="C00000"/>
                <w:sz w:val="18"/>
                <w:szCs w:val="18"/>
              </w:rPr>
              <w:t>含标的物价款、运杂费、现场技术指导费、人员培训费、现场服务费；不含13%增值税、装卸费。单位：元。</w:t>
            </w:r>
            <w:bookmarkStart w:id="0" w:name="_GoBack"/>
            <w:bookmarkEnd w:id="0"/>
          </w:p>
        </w:tc>
        <w:tc>
          <w:tcPr>
            <w:tcW w:w="610" w:type="pct"/>
            <w:tcBorders>
              <w:top w:val="nil"/>
              <w:left w:val="nil"/>
              <w:bottom w:val="nil"/>
              <w:right w:val="nil"/>
            </w:tcBorders>
          </w:tcPr>
          <w:p>
            <w:pPr>
              <w:rPr>
                <w:sz w:val="18"/>
                <w:szCs w:val="18"/>
              </w:rPr>
            </w:pPr>
          </w:p>
        </w:tc>
      </w:tr>
      <w:tr>
        <w:tblPrEx>
          <w:tblCellMar>
            <w:top w:w="0" w:type="dxa"/>
            <w:left w:w="108" w:type="dxa"/>
            <w:bottom w:w="0" w:type="dxa"/>
            <w:right w:w="108" w:type="dxa"/>
          </w:tblCellMar>
        </w:tblPrEx>
        <w:trPr>
          <w:trHeight w:val="420" w:hRule="atLeast"/>
        </w:trPr>
        <w:tc>
          <w:tcPr>
            <w:tcW w:w="4389" w:type="pct"/>
            <w:gridSpan w:val="12"/>
            <w:tcBorders>
              <w:top w:val="nil"/>
              <w:left w:val="nil"/>
              <w:bottom w:val="nil"/>
              <w:right w:val="nil"/>
            </w:tcBorders>
            <w:shd w:val="clear" w:color="auto" w:fill="auto"/>
            <w:vAlign w:val="center"/>
          </w:tcPr>
          <w:p>
            <w:pPr>
              <w:rPr>
                <w:sz w:val="18"/>
                <w:szCs w:val="18"/>
              </w:rPr>
            </w:pPr>
            <w:r>
              <w:rPr>
                <w:sz w:val="18"/>
                <w:szCs w:val="18"/>
              </w:rPr>
              <w:t xml:space="preserve"> 2、</w:t>
            </w:r>
            <w:r>
              <w:rPr>
                <w:rFonts w:hint="eastAsia"/>
                <w:sz w:val="18"/>
                <w:szCs w:val="18"/>
              </w:rPr>
              <w:t>付款方式：资金支付执行冀东油田资金管理相关制度和工作流程。货到验收合格后凭《入库验收单》挂账，当月挂账次月开始付款，挂账余额不同，支付比例不同。挂账余额20万元以下（含20万），一次性全额货币资金支付；20万元以上根据欠款性质，最低支付比例为30%（20万保底），原则上分3个月付清。中小企业资金支付按照国务院《保障中小企业款项支付条例》执行，即：从中小企业采购货物、工程、服务，应当自货物、工程、服务验收合格之日起60日内支付款项。买卖双方同意预留合同含税价金额的5%即作为产品质量保证金，包修期满无质量问题，退还质保金。</w:t>
            </w:r>
          </w:p>
        </w:tc>
        <w:tc>
          <w:tcPr>
            <w:tcW w:w="610" w:type="pct"/>
            <w:tcBorders>
              <w:top w:val="nil"/>
              <w:left w:val="nil"/>
              <w:bottom w:val="nil"/>
              <w:right w:val="nil"/>
            </w:tcBorders>
          </w:tcPr>
          <w:p>
            <w:pPr>
              <w:rPr>
                <w:sz w:val="18"/>
                <w:szCs w:val="18"/>
              </w:rPr>
            </w:pPr>
          </w:p>
        </w:tc>
      </w:tr>
      <w:tr>
        <w:tblPrEx>
          <w:tblCellMar>
            <w:top w:w="0" w:type="dxa"/>
            <w:left w:w="108" w:type="dxa"/>
            <w:bottom w:w="0" w:type="dxa"/>
            <w:right w:w="108" w:type="dxa"/>
          </w:tblCellMar>
        </w:tblPrEx>
        <w:trPr>
          <w:trHeight w:val="315" w:hRule="atLeast"/>
        </w:trPr>
        <w:tc>
          <w:tcPr>
            <w:tcW w:w="4389" w:type="pct"/>
            <w:gridSpan w:val="12"/>
            <w:tcBorders>
              <w:top w:val="nil"/>
              <w:left w:val="nil"/>
              <w:bottom w:val="nil"/>
              <w:right w:val="nil"/>
            </w:tcBorders>
            <w:shd w:val="clear" w:color="auto" w:fill="auto"/>
            <w:noWrap/>
            <w:vAlign w:val="bottom"/>
          </w:tcPr>
          <w:p>
            <w:pPr>
              <w:rPr>
                <w:sz w:val="18"/>
                <w:szCs w:val="18"/>
              </w:rPr>
            </w:pPr>
            <w:r>
              <w:rPr>
                <w:rFonts w:hint="eastAsia"/>
                <w:sz w:val="18"/>
                <w:szCs w:val="18"/>
              </w:rPr>
              <w:t xml:space="preserve"> 3、</w:t>
            </w:r>
            <w:r>
              <w:rPr>
                <w:rFonts w:hint="eastAsia"/>
                <w:color w:val="C00000"/>
                <w:sz w:val="18"/>
                <w:szCs w:val="18"/>
              </w:rPr>
              <w:t>交货时间：成交通知书下发之起</w:t>
            </w:r>
            <w:r>
              <w:rPr>
                <w:rFonts w:hint="eastAsia"/>
                <w:color w:val="C00000"/>
                <w:sz w:val="18"/>
                <w:szCs w:val="18"/>
                <w:lang w:val="en-US" w:eastAsia="zh-CN"/>
              </w:rPr>
              <w:t>20</w:t>
            </w:r>
            <w:r>
              <w:rPr>
                <w:rFonts w:hint="eastAsia"/>
                <w:color w:val="C00000"/>
                <w:sz w:val="18"/>
                <w:szCs w:val="18"/>
              </w:rPr>
              <w:t>日内到货。</w:t>
            </w:r>
          </w:p>
        </w:tc>
        <w:tc>
          <w:tcPr>
            <w:tcW w:w="610" w:type="pct"/>
            <w:tcBorders>
              <w:top w:val="nil"/>
              <w:left w:val="nil"/>
              <w:bottom w:val="nil"/>
              <w:right w:val="nil"/>
            </w:tcBorders>
          </w:tcPr>
          <w:p>
            <w:pPr>
              <w:rPr>
                <w:sz w:val="18"/>
                <w:szCs w:val="18"/>
              </w:rPr>
            </w:pPr>
          </w:p>
        </w:tc>
      </w:tr>
      <w:tr>
        <w:tblPrEx>
          <w:tblCellMar>
            <w:top w:w="0" w:type="dxa"/>
            <w:left w:w="108" w:type="dxa"/>
            <w:bottom w:w="0" w:type="dxa"/>
            <w:right w:w="108" w:type="dxa"/>
          </w:tblCellMar>
        </w:tblPrEx>
        <w:trPr>
          <w:trHeight w:val="360" w:hRule="atLeast"/>
        </w:trPr>
        <w:tc>
          <w:tcPr>
            <w:tcW w:w="4389" w:type="pct"/>
            <w:gridSpan w:val="12"/>
            <w:tcBorders>
              <w:top w:val="nil"/>
              <w:left w:val="nil"/>
              <w:bottom w:val="nil"/>
              <w:right w:val="nil"/>
            </w:tcBorders>
            <w:shd w:val="clear" w:color="auto" w:fill="auto"/>
            <w:vAlign w:val="bottom"/>
          </w:tcPr>
          <w:p>
            <w:pPr>
              <w:rPr>
                <w:sz w:val="18"/>
                <w:szCs w:val="18"/>
              </w:rPr>
            </w:pPr>
            <w:r>
              <w:rPr>
                <w:rFonts w:hint="eastAsia"/>
                <w:sz w:val="18"/>
                <w:szCs w:val="18"/>
              </w:rPr>
              <w:t xml:space="preserve"> 4、于询价文件递交截止日前回传报价，</w:t>
            </w:r>
            <w:r>
              <w:rPr>
                <w:rFonts w:hint="eastAsia"/>
                <w:color w:val="C00000"/>
                <w:sz w:val="18"/>
                <w:szCs w:val="18"/>
              </w:rPr>
              <w:t xml:space="preserve"> 接收联系人：</w:t>
            </w:r>
            <w:r>
              <w:rPr>
                <w:rFonts w:hint="eastAsia"/>
                <w:color w:val="C00000"/>
                <w:sz w:val="18"/>
                <w:szCs w:val="18"/>
                <w:lang w:val="en-US" w:eastAsia="zh-CN"/>
              </w:rPr>
              <w:t>李瑾</w:t>
            </w:r>
            <w:r>
              <w:rPr>
                <w:rFonts w:hint="eastAsia"/>
                <w:color w:val="C00000"/>
                <w:sz w:val="18"/>
                <w:szCs w:val="18"/>
              </w:rPr>
              <w:t xml:space="preserve">  电话\传真：0315-8763</w:t>
            </w:r>
            <w:r>
              <w:rPr>
                <w:rFonts w:hint="eastAsia"/>
                <w:color w:val="C00000"/>
                <w:sz w:val="18"/>
                <w:szCs w:val="18"/>
                <w:lang w:val="en-US" w:eastAsia="zh-CN"/>
              </w:rPr>
              <w:t>870</w:t>
            </w:r>
            <w:r>
              <w:rPr>
                <w:rFonts w:hint="eastAsia"/>
                <w:color w:val="C00000"/>
                <w:sz w:val="18"/>
                <w:szCs w:val="18"/>
              </w:rPr>
              <w:t xml:space="preserve">   电子邮箱：</w:t>
            </w:r>
            <w:r>
              <w:rPr>
                <w:color w:val="C00000"/>
                <w:sz w:val="18"/>
                <w:szCs w:val="18"/>
              </w:rPr>
              <w:t xml:space="preserve"> </w:t>
            </w:r>
            <w:r>
              <w:rPr>
                <w:rFonts w:hint="eastAsia"/>
                <w:color w:val="C00000"/>
                <w:sz w:val="18"/>
                <w:szCs w:val="18"/>
                <w:lang w:val="en-US" w:eastAsia="zh-CN"/>
              </w:rPr>
              <w:t>gyclijin@163.com</w:t>
            </w:r>
            <w:r>
              <w:rPr>
                <w:sz w:val="18"/>
                <w:szCs w:val="18"/>
              </w:rPr>
              <w:t>。超期限或未加盖公章无效，视为自动放弃投标。</w:t>
            </w:r>
          </w:p>
        </w:tc>
        <w:tc>
          <w:tcPr>
            <w:tcW w:w="610" w:type="pct"/>
            <w:tcBorders>
              <w:top w:val="nil"/>
              <w:left w:val="nil"/>
              <w:bottom w:val="nil"/>
              <w:right w:val="nil"/>
            </w:tcBorders>
          </w:tcPr>
          <w:p>
            <w:pPr>
              <w:rPr>
                <w:sz w:val="18"/>
                <w:szCs w:val="18"/>
              </w:rPr>
            </w:pPr>
          </w:p>
        </w:tc>
      </w:tr>
      <w:tr>
        <w:tblPrEx>
          <w:tblCellMar>
            <w:top w:w="0" w:type="dxa"/>
            <w:left w:w="108" w:type="dxa"/>
            <w:bottom w:w="0" w:type="dxa"/>
            <w:right w:w="108" w:type="dxa"/>
          </w:tblCellMar>
        </w:tblPrEx>
        <w:trPr>
          <w:trHeight w:val="405" w:hRule="atLeast"/>
        </w:trPr>
        <w:tc>
          <w:tcPr>
            <w:tcW w:w="4389" w:type="pct"/>
            <w:gridSpan w:val="12"/>
            <w:tcBorders>
              <w:top w:val="nil"/>
              <w:left w:val="nil"/>
              <w:bottom w:val="nil"/>
              <w:right w:val="nil"/>
            </w:tcBorders>
            <w:shd w:val="clear" w:color="auto" w:fill="auto"/>
            <w:vAlign w:val="bottom"/>
          </w:tcPr>
          <w:p>
            <w:pPr>
              <w:rPr>
                <w:sz w:val="18"/>
                <w:szCs w:val="18"/>
              </w:rPr>
            </w:pPr>
            <w:r>
              <w:rPr>
                <w:rFonts w:hint="eastAsia"/>
                <w:sz w:val="18"/>
                <w:szCs w:val="18"/>
              </w:rPr>
              <w:t xml:space="preserve"> 5、</w:t>
            </w:r>
            <w:r>
              <w:rPr>
                <w:b/>
                <w:bCs/>
                <w:sz w:val="18"/>
                <w:szCs w:val="18"/>
              </w:rPr>
              <w:t>回传投标报价单以电子版EXCEL格式报价明细表</w:t>
            </w:r>
            <w:r>
              <w:rPr>
                <w:sz w:val="18"/>
                <w:szCs w:val="18"/>
              </w:rPr>
              <w:t>，有技术确认要求的要同时发送</w:t>
            </w:r>
            <w:r>
              <w:rPr>
                <w:b/>
                <w:bCs/>
                <w:sz w:val="18"/>
                <w:szCs w:val="18"/>
              </w:rPr>
              <w:t>技术协议、技术方案等技术确认文件</w:t>
            </w:r>
            <w:r>
              <w:rPr>
                <w:sz w:val="18"/>
                <w:szCs w:val="18"/>
              </w:rPr>
              <w:t>。</w:t>
            </w:r>
          </w:p>
        </w:tc>
        <w:tc>
          <w:tcPr>
            <w:tcW w:w="610" w:type="pct"/>
            <w:tcBorders>
              <w:top w:val="nil"/>
              <w:left w:val="nil"/>
              <w:bottom w:val="nil"/>
              <w:right w:val="nil"/>
            </w:tcBorders>
          </w:tcPr>
          <w:p>
            <w:pPr>
              <w:rPr>
                <w:sz w:val="18"/>
                <w:szCs w:val="18"/>
              </w:rPr>
            </w:pPr>
          </w:p>
        </w:tc>
      </w:tr>
      <w:tr>
        <w:tblPrEx>
          <w:tblCellMar>
            <w:top w:w="0" w:type="dxa"/>
            <w:left w:w="108" w:type="dxa"/>
            <w:bottom w:w="0" w:type="dxa"/>
            <w:right w:w="108" w:type="dxa"/>
          </w:tblCellMar>
        </w:tblPrEx>
        <w:trPr>
          <w:trHeight w:val="639" w:hRule="atLeast"/>
        </w:trPr>
        <w:tc>
          <w:tcPr>
            <w:tcW w:w="4389" w:type="pct"/>
            <w:gridSpan w:val="12"/>
            <w:tcBorders>
              <w:top w:val="nil"/>
              <w:left w:val="nil"/>
              <w:bottom w:val="nil"/>
              <w:right w:val="nil"/>
            </w:tcBorders>
            <w:shd w:val="clear" w:color="auto" w:fill="auto"/>
            <w:vAlign w:val="bottom"/>
          </w:tcPr>
          <w:p>
            <w:pPr>
              <w:rPr>
                <w:sz w:val="18"/>
                <w:szCs w:val="18"/>
              </w:rPr>
            </w:pPr>
            <w:r>
              <w:rPr>
                <w:rFonts w:hint="eastAsia"/>
                <w:sz w:val="18"/>
                <w:szCs w:val="18"/>
              </w:rPr>
              <w:t xml:space="preserve"> 6、因询价单规格型号表述不完整、同一物资不同厂家规格型号表示方法有差异或因技术规格原因事先无法确定具体规格型号的，报价单中应填写“规格型号（具体）；若发现询价单规格型号栏有错误，须先联系询价人澄清、修正后报价，不能填写“规格型号（具体）”后直接报价。</w:t>
            </w:r>
          </w:p>
        </w:tc>
        <w:tc>
          <w:tcPr>
            <w:tcW w:w="610" w:type="pct"/>
            <w:tcBorders>
              <w:top w:val="nil"/>
              <w:left w:val="nil"/>
              <w:bottom w:val="nil"/>
              <w:right w:val="nil"/>
            </w:tcBorders>
          </w:tcPr>
          <w:p>
            <w:pPr>
              <w:rPr>
                <w:sz w:val="18"/>
                <w:szCs w:val="18"/>
              </w:rPr>
            </w:pPr>
          </w:p>
        </w:tc>
      </w:tr>
      <w:tr>
        <w:tblPrEx>
          <w:tblCellMar>
            <w:top w:w="0" w:type="dxa"/>
            <w:left w:w="108" w:type="dxa"/>
            <w:bottom w:w="0" w:type="dxa"/>
            <w:right w:w="108" w:type="dxa"/>
          </w:tblCellMar>
        </w:tblPrEx>
        <w:trPr>
          <w:trHeight w:val="390" w:hRule="atLeast"/>
        </w:trPr>
        <w:tc>
          <w:tcPr>
            <w:tcW w:w="4389" w:type="pct"/>
            <w:gridSpan w:val="12"/>
            <w:tcBorders>
              <w:top w:val="nil"/>
              <w:left w:val="nil"/>
              <w:bottom w:val="nil"/>
              <w:right w:val="nil"/>
            </w:tcBorders>
            <w:shd w:val="clear" w:color="auto" w:fill="auto"/>
            <w:noWrap/>
            <w:vAlign w:val="bottom"/>
          </w:tcPr>
          <w:p>
            <w:pPr>
              <w:rPr>
                <w:sz w:val="18"/>
                <w:szCs w:val="18"/>
              </w:rPr>
            </w:pPr>
            <w:r>
              <w:rPr>
                <w:sz w:val="18"/>
                <w:szCs w:val="18"/>
              </w:rPr>
              <w:t xml:space="preserve">  7、报价人应按询价单格式完整报价，如遇必填项未填的或因更改询价单格式改变询价单实质内容的，报价无效且报价人不能参与投标。</w:t>
            </w:r>
          </w:p>
        </w:tc>
        <w:tc>
          <w:tcPr>
            <w:tcW w:w="610" w:type="pct"/>
            <w:tcBorders>
              <w:top w:val="nil"/>
              <w:left w:val="nil"/>
              <w:bottom w:val="nil"/>
              <w:right w:val="nil"/>
            </w:tcBorders>
          </w:tcPr>
          <w:p>
            <w:pPr>
              <w:rPr>
                <w:sz w:val="18"/>
                <w:szCs w:val="18"/>
              </w:rPr>
            </w:pPr>
          </w:p>
        </w:tc>
      </w:tr>
    </w:tbl>
    <w:p/>
    <w:sectPr>
      <w:pgSz w:w="16838" w:h="11906" w:orient="landscape"/>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
    <w:altName w:val="Arial"/>
    <w:panose1 w:val="020B0604020202030204"/>
    <w:charset w:val="00"/>
    <w:family w:val="swiss"/>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A4A9C"/>
    <w:rsid w:val="000C5C4E"/>
    <w:rsid w:val="000C6B1F"/>
    <w:rsid w:val="002939E3"/>
    <w:rsid w:val="003447BB"/>
    <w:rsid w:val="00357588"/>
    <w:rsid w:val="003D141C"/>
    <w:rsid w:val="0040051C"/>
    <w:rsid w:val="00422292"/>
    <w:rsid w:val="0044059D"/>
    <w:rsid w:val="00465895"/>
    <w:rsid w:val="0052638E"/>
    <w:rsid w:val="005B7031"/>
    <w:rsid w:val="0067572C"/>
    <w:rsid w:val="006C37FD"/>
    <w:rsid w:val="006C5D88"/>
    <w:rsid w:val="006F040D"/>
    <w:rsid w:val="00720A39"/>
    <w:rsid w:val="007C42D5"/>
    <w:rsid w:val="007E3E92"/>
    <w:rsid w:val="007F7296"/>
    <w:rsid w:val="008064EA"/>
    <w:rsid w:val="00842DA1"/>
    <w:rsid w:val="00863513"/>
    <w:rsid w:val="00887625"/>
    <w:rsid w:val="00891079"/>
    <w:rsid w:val="008C4773"/>
    <w:rsid w:val="00A068ED"/>
    <w:rsid w:val="00A45977"/>
    <w:rsid w:val="00AD79D9"/>
    <w:rsid w:val="00B4134D"/>
    <w:rsid w:val="00B94334"/>
    <w:rsid w:val="00C217C9"/>
    <w:rsid w:val="00C319B5"/>
    <w:rsid w:val="00C71C7C"/>
    <w:rsid w:val="00CD69F2"/>
    <w:rsid w:val="00D2714E"/>
    <w:rsid w:val="00D472F3"/>
    <w:rsid w:val="00D67E89"/>
    <w:rsid w:val="00D759B3"/>
    <w:rsid w:val="00E15379"/>
    <w:rsid w:val="00E8565F"/>
    <w:rsid w:val="00E94EDE"/>
    <w:rsid w:val="00FF7485"/>
    <w:rsid w:val="05701D07"/>
    <w:rsid w:val="06070768"/>
    <w:rsid w:val="06611424"/>
    <w:rsid w:val="070E5924"/>
    <w:rsid w:val="072D1ACB"/>
    <w:rsid w:val="0A04406C"/>
    <w:rsid w:val="0AC42190"/>
    <w:rsid w:val="0DB9730B"/>
    <w:rsid w:val="0ED13F87"/>
    <w:rsid w:val="102E7734"/>
    <w:rsid w:val="13B3128D"/>
    <w:rsid w:val="13D5113B"/>
    <w:rsid w:val="160B42AD"/>
    <w:rsid w:val="17003935"/>
    <w:rsid w:val="1B376D14"/>
    <w:rsid w:val="1C6728C5"/>
    <w:rsid w:val="1D4A00F6"/>
    <w:rsid w:val="1F1401CD"/>
    <w:rsid w:val="1F38044F"/>
    <w:rsid w:val="1F4F7825"/>
    <w:rsid w:val="20FA1E98"/>
    <w:rsid w:val="25D1700F"/>
    <w:rsid w:val="26615D9B"/>
    <w:rsid w:val="2B1069D1"/>
    <w:rsid w:val="2B383C44"/>
    <w:rsid w:val="2BA66F27"/>
    <w:rsid w:val="2C646328"/>
    <w:rsid w:val="2CE246B0"/>
    <w:rsid w:val="2E3F46E7"/>
    <w:rsid w:val="2FFB73A2"/>
    <w:rsid w:val="30CC56C2"/>
    <w:rsid w:val="36FD7873"/>
    <w:rsid w:val="370B0944"/>
    <w:rsid w:val="378C611B"/>
    <w:rsid w:val="39466ADC"/>
    <w:rsid w:val="3957162A"/>
    <w:rsid w:val="3ABA3D26"/>
    <w:rsid w:val="3CBD1319"/>
    <w:rsid w:val="3F6D3613"/>
    <w:rsid w:val="401070AF"/>
    <w:rsid w:val="406D2611"/>
    <w:rsid w:val="408866E4"/>
    <w:rsid w:val="41822295"/>
    <w:rsid w:val="44BD2FA9"/>
    <w:rsid w:val="45DF74BA"/>
    <w:rsid w:val="480D4FE4"/>
    <w:rsid w:val="4A233523"/>
    <w:rsid w:val="4B807608"/>
    <w:rsid w:val="53D273BB"/>
    <w:rsid w:val="540E412F"/>
    <w:rsid w:val="545A7AA6"/>
    <w:rsid w:val="554A19D9"/>
    <w:rsid w:val="5578216A"/>
    <w:rsid w:val="569F6995"/>
    <w:rsid w:val="58B4277D"/>
    <w:rsid w:val="59A64395"/>
    <w:rsid w:val="5C244221"/>
    <w:rsid w:val="5D855A06"/>
    <w:rsid w:val="61FA2139"/>
    <w:rsid w:val="62371AE0"/>
    <w:rsid w:val="62547BFA"/>
    <w:rsid w:val="62C20151"/>
    <w:rsid w:val="645357B2"/>
    <w:rsid w:val="6628599D"/>
    <w:rsid w:val="684E46C0"/>
    <w:rsid w:val="69FB2634"/>
    <w:rsid w:val="6A911A36"/>
    <w:rsid w:val="6AFE1FA7"/>
    <w:rsid w:val="6C6B4F62"/>
    <w:rsid w:val="6D7417FF"/>
    <w:rsid w:val="6E21792A"/>
    <w:rsid w:val="6EBD043B"/>
    <w:rsid w:val="6F995884"/>
    <w:rsid w:val="6FCF7665"/>
    <w:rsid w:val="6FD73E2D"/>
    <w:rsid w:val="72771255"/>
    <w:rsid w:val="729C07DF"/>
    <w:rsid w:val="72E45474"/>
    <w:rsid w:val="735166EE"/>
    <w:rsid w:val="73A31FE1"/>
    <w:rsid w:val="73D9696D"/>
    <w:rsid w:val="77BA0A96"/>
    <w:rsid w:val="78A02A3B"/>
    <w:rsid w:val="7B6038A7"/>
    <w:rsid w:val="7BCF1E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font91"/>
    <w:basedOn w:val="5"/>
    <w:qFormat/>
    <w:uiPriority w:val="0"/>
    <w:rPr>
      <w:rFonts w:ascii="Helv" w:hAnsi="Helv" w:eastAsia="Helv" w:cs="Helv"/>
      <w:color w:val="000000"/>
      <w:sz w:val="18"/>
      <w:szCs w:val="18"/>
      <w:u w:val="none"/>
    </w:rPr>
  </w:style>
  <w:style w:type="character" w:customStyle="1" w:styleId="7">
    <w:name w:val="font51"/>
    <w:basedOn w:val="5"/>
    <w:qFormat/>
    <w:uiPriority w:val="0"/>
    <w:rPr>
      <w:rFonts w:ascii="Arial Black" w:hAnsi="Arial Black" w:eastAsia="Arial Black" w:cs="Arial Black"/>
      <w:color w:val="000000"/>
      <w:sz w:val="18"/>
      <w:szCs w:val="18"/>
      <w:u w:val="none"/>
    </w:rPr>
  </w:style>
  <w:style w:type="character" w:customStyle="1" w:styleId="8">
    <w:name w:val="font01"/>
    <w:basedOn w:val="5"/>
    <w:qFormat/>
    <w:uiPriority w:val="0"/>
    <w:rPr>
      <w:rFonts w:hint="eastAsia" w:ascii="宋体" w:hAnsi="宋体" w:eastAsia="宋体" w:cs="宋体"/>
      <w:color w:val="000000"/>
      <w:sz w:val="18"/>
      <w:szCs w:val="18"/>
      <w:u w:val="none"/>
    </w:rPr>
  </w:style>
  <w:style w:type="character" w:customStyle="1" w:styleId="9">
    <w:name w:val="font112"/>
    <w:basedOn w:val="5"/>
    <w:qFormat/>
    <w:uiPriority w:val="0"/>
    <w:rPr>
      <w:rFonts w:hint="eastAsia" w:ascii="宋体" w:hAnsi="宋体" w:eastAsia="宋体" w:cs="宋体"/>
      <w:color w:val="000000"/>
      <w:sz w:val="18"/>
      <w:szCs w:val="18"/>
      <w:u w:val="single"/>
    </w:rPr>
  </w:style>
  <w:style w:type="character" w:customStyle="1" w:styleId="10">
    <w:name w:val="font121"/>
    <w:basedOn w:val="5"/>
    <w:qFormat/>
    <w:uiPriority w:val="0"/>
    <w:rPr>
      <w:rFonts w:hint="eastAsia" w:ascii="宋体" w:hAnsi="宋体" w:eastAsia="宋体" w:cs="宋体"/>
      <w:b/>
      <w:bCs/>
      <w:color w:val="000000"/>
      <w:sz w:val="18"/>
      <w:szCs w:val="18"/>
      <w:u w:val="none"/>
    </w:rPr>
  </w:style>
  <w:style w:type="character" w:customStyle="1" w:styleId="11">
    <w:name w:val="ui-column-title"/>
    <w:basedOn w:val="5"/>
    <w:qFormat/>
    <w:uiPriority w:val="0"/>
  </w:style>
  <w:style w:type="character" w:customStyle="1" w:styleId="12">
    <w:name w:val="ui-icon64"/>
    <w:basedOn w:val="5"/>
    <w:qFormat/>
    <w:uiPriority w:val="0"/>
  </w:style>
  <w:style w:type="character" w:customStyle="1" w:styleId="13">
    <w:name w:val="font21"/>
    <w:basedOn w:val="5"/>
    <w:qFormat/>
    <w:uiPriority w:val="0"/>
    <w:rPr>
      <w:rFonts w:hint="default" w:ascii="Times New Roman" w:hAnsi="Times New Roman" w:cs="Times New Roman"/>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201</Words>
  <Characters>1147</Characters>
  <Lines>9</Lines>
  <Paragraphs>2</Paragraphs>
  <TotalTime>10</TotalTime>
  <ScaleCrop>false</ScaleCrop>
  <LinksUpToDate>false</LinksUpToDate>
  <CharactersWithSpaces>1346</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2023-08-14T00:46:00Z</dcterms:created>
  <dc:creator>admin</dc:creator>
  <cp:lastModifiedBy>温骅</cp:lastModifiedBy>
  <dcterms:modified xsi:type="dcterms:W3CDTF">2025-10-24T02:17:04Z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