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EFEC80">
      <w:pPr>
        <w:bidi w:val="0"/>
        <w:jc w:val="center"/>
        <w:rPr>
          <w:rFonts w:hint="eastAsia" w:asciiTheme="majorEastAsia" w:hAnsiTheme="majorEastAsia" w:eastAsiaTheme="majorEastAsia" w:cstheme="majorEastAsia"/>
          <w:color w:val="auto"/>
          <w:sz w:val="44"/>
          <w:szCs w:val="44"/>
          <w:lang w:val="en-US" w:eastAsia="zh-CN"/>
        </w:rPr>
      </w:pPr>
      <w:r>
        <w:rPr>
          <w:rFonts w:hint="eastAsia" w:asciiTheme="majorEastAsia" w:hAnsiTheme="majorEastAsia" w:eastAsiaTheme="majorEastAsia" w:cstheme="majorEastAsia"/>
          <w:color w:val="auto"/>
          <w:sz w:val="44"/>
          <w:szCs w:val="44"/>
          <w:lang w:val="en-US" w:eastAsia="zh-CN"/>
        </w:rPr>
        <w:t>托克逊县人民医院门诊综合楼公共区域遮阳窗帘项目采购需求</w:t>
      </w:r>
    </w:p>
    <w:p w14:paraId="068B86D4">
      <w:pPr>
        <w:bidi w:val="0"/>
        <w:ind w:firstLine="482" w:firstLineChars="200"/>
        <w:jc w:val="left"/>
        <w:rPr>
          <w:rFonts w:hint="eastAsia" w:ascii="仿宋" w:hAnsi="仿宋" w:eastAsia="仿宋" w:cs="仿宋"/>
          <w:b/>
          <w:bCs/>
          <w:color w:val="auto"/>
          <w:sz w:val="24"/>
          <w:szCs w:val="24"/>
        </w:rPr>
      </w:pPr>
    </w:p>
    <w:p w14:paraId="07428C25">
      <w:pPr>
        <w:bidi w:val="0"/>
        <w:ind w:firstLine="482" w:firstLineChars="200"/>
        <w:jc w:val="left"/>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rPr>
        <w:t>一、项目信息</w:t>
      </w:r>
    </w:p>
    <w:p w14:paraId="30BF25AA">
      <w:pPr>
        <w:bidi w:val="0"/>
        <w:jc w:val="center"/>
        <w:rPr>
          <w:rFonts w:hint="eastAsia" w:ascii="仿宋" w:hAnsi="仿宋" w:eastAsia="仿宋" w:cs="仿宋"/>
          <w:b w:val="0"/>
          <w:bCs w:val="0"/>
          <w:color w:val="auto"/>
          <w:spacing w:val="-6"/>
          <w:sz w:val="24"/>
          <w:szCs w:val="24"/>
        </w:rPr>
      </w:pPr>
      <w:r>
        <w:rPr>
          <w:rFonts w:hint="eastAsia" w:ascii="仿宋" w:hAnsi="仿宋" w:eastAsia="仿宋" w:cs="仿宋"/>
          <w:b w:val="0"/>
          <w:bCs w:val="0"/>
          <w:color w:val="auto"/>
          <w:spacing w:val="-6"/>
          <w:sz w:val="24"/>
          <w:szCs w:val="24"/>
          <w:lang w:val="en-US" w:eastAsia="zh-CN"/>
        </w:rPr>
        <w:t xml:space="preserve">  </w:t>
      </w:r>
      <w:r>
        <w:rPr>
          <w:rFonts w:hint="eastAsia" w:ascii="仿宋" w:hAnsi="仿宋" w:eastAsia="仿宋" w:cs="仿宋"/>
          <w:b w:val="0"/>
          <w:bCs w:val="0"/>
          <w:color w:val="auto"/>
          <w:spacing w:val="-6"/>
          <w:sz w:val="24"/>
          <w:szCs w:val="24"/>
        </w:rPr>
        <w:t>项目名称</w:t>
      </w:r>
      <w:r>
        <w:rPr>
          <w:rFonts w:hint="eastAsia" w:ascii="仿宋" w:hAnsi="仿宋" w:eastAsia="仿宋" w:cs="仿宋"/>
          <w:b w:val="0"/>
          <w:bCs w:val="0"/>
          <w:color w:val="auto"/>
          <w:spacing w:val="-6"/>
          <w:sz w:val="24"/>
          <w:szCs w:val="24"/>
          <w:lang w:eastAsia="zh-CN"/>
        </w:rPr>
        <w:t>：</w:t>
      </w:r>
      <w:r>
        <w:rPr>
          <w:rFonts w:hint="eastAsia" w:ascii="仿宋" w:hAnsi="仿宋" w:eastAsia="仿宋" w:cs="仿宋"/>
          <w:b w:val="0"/>
          <w:bCs w:val="0"/>
          <w:color w:val="auto"/>
          <w:sz w:val="24"/>
          <w:szCs w:val="24"/>
          <w:lang w:val="en-US" w:eastAsia="zh-CN"/>
        </w:rPr>
        <w:t>托克逊县人民医院门诊综合楼公共区域遮阳窗帘项目采购需求</w:t>
      </w:r>
    </w:p>
    <w:p w14:paraId="311E36B3">
      <w:pPr>
        <w:spacing w:line="420" w:lineRule="exact"/>
        <w:ind w:firstLine="480" w:firstLineChars="200"/>
        <w:jc w:val="left"/>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采购单位：</w:t>
      </w:r>
      <w:r>
        <w:rPr>
          <w:rFonts w:hint="eastAsia" w:ascii="仿宋" w:hAnsi="仿宋" w:eastAsia="仿宋" w:cs="仿宋"/>
          <w:b w:val="0"/>
          <w:bCs w:val="0"/>
          <w:color w:val="auto"/>
          <w:sz w:val="24"/>
          <w:szCs w:val="24"/>
          <w:lang w:eastAsia="zh-CN"/>
        </w:rPr>
        <w:t>托克逊县人民医院</w:t>
      </w:r>
    </w:p>
    <w:p w14:paraId="4A36C726">
      <w:pPr>
        <w:spacing w:line="420" w:lineRule="exact"/>
        <w:ind w:firstLine="480" w:firstLineChars="200"/>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采购预算：人民币</w:t>
      </w:r>
      <w:r>
        <w:rPr>
          <w:rFonts w:hint="eastAsia" w:ascii="仿宋" w:hAnsi="仿宋" w:eastAsia="仿宋" w:cs="仿宋"/>
          <w:b w:val="0"/>
          <w:bCs w:val="0"/>
          <w:color w:val="auto"/>
          <w:sz w:val="24"/>
          <w:szCs w:val="24"/>
          <w:lang w:val="en-US" w:eastAsia="zh-CN"/>
        </w:rPr>
        <w:t xml:space="preserve"> 4.2万</w:t>
      </w:r>
      <w:r>
        <w:rPr>
          <w:rFonts w:hint="eastAsia" w:ascii="仿宋" w:hAnsi="仿宋" w:eastAsia="仿宋" w:cs="仿宋"/>
          <w:b w:val="0"/>
          <w:bCs w:val="0"/>
          <w:color w:val="auto"/>
          <w:sz w:val="24"/>
          <w:szCs w:val="24"/>
        </w:rPr>
        <w:t>元。</w:t>
      </w:r>
      <w:r>
        <w:rPr>
          <w:rFonts w:hint="eastAsia" w:ascii="仿宋" w:hAnsi="仿宋" w:eastAsia="仿宋" w:cs="仿宋"/>
          <w:b w:val="0"/>
          <w:bCs w:val="0"/>
          <w:color w:val="auto"/>
          <w:sz w:val="24"/>
          <w:szCs w:val="24"/>
          <w:lang w:val="en-US" w:eastAsia="zh-CN"/>
        </w:rPr>
        <w:t>（含窗帘成品制作及配件和安装、窗帘挂装）</w:t>
      </w:r>
    </w:p>
    <w:p w14:paraId="5FA39FF9">
      <w:pPr>
        <w:spacing w:line="420" w:lineRule="exact"/>
        <w:ind w:firstLine="480" w:firstLineChars="200"/>
        <w:jc w:val="left"/>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项目联系人及联系方式：</w:t>
      </w:r>
    </w:p>
    <w:p w14:paraId="50754543">
      <w:pPr>
        <w:spacing w:line="420" w:lineRule="exact"/>
        <w:ind w:firstLine="480" w:firstLineChars="200"/>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供应商资质要求：符合《中华人民共和国政府采购法》第二十二条的规定</w:t>
      </w:r>
      <w:r>
        <w:rPr>
          <w:rFonts w:hint="eastAsia" w:ascii="仿宋" w:hAnsi="仿宋" w:eastAsia="仿宋" w:cs="仿宋"/>
          <w:b w:val="0"/>
          <w:bCs w:val="0"/>
          <w:color w:val="auto"/>
          <w:sz w:val="24"/>
          <w:szCs w:val="24"/>
          <w:lang w:eastAsia="zh-CN"/>
        </w:rPr>
        <w:t>。</w:t>
      </w:r>
    </w:p>
    <w:p w14:paraId="0C15A488">
      <w:pPr>
        <w:pStyle w:val="8"/>
        <w:widowControl w:val="0"/>
        <w:numPr>
          <w:ilvl w:val="0"/>
          <w:numId w:val="0"/>
        </w:numPr>
        <w:wordWrap/>
        <w:snapToGrid/>
        <w:spacing w:after="0" w:line="500" w:lineRule="exact"/>
        <w:textAlignment w:val="auto"/>
        <w:rPr>
          <w:rFonts w:hint="eastAsia" w:ascii="仿宋" w:hAnsi="仿宋" w:eastAsia="仿宋" w:cs="仿宋"/>
          <w:sz w:val="32"/>
          <w:szCs w:val="32"/>
          <w:lang w:val="en-US" w:eastAsia="zh-CN"/>
        </w:rPr>
      </w:pPr>
      <w:r>
        <w:rPr>
          <w:rFonts w:hint="eastAsia" w:ascii="仿宋" w:hAnsi="仿宋" w:eastAsia="仿宋" w:cs="仿宋"/>
          <w:b w:val="0"/>
          <w:bCs w:val="0"/>
          <w:color w:val="auto"/>
          <w:sz w:val="24"/>
          <w:szCs w:val="24"/>
        </w:rPr>
        <w:t>供应商基本要求：</w:t>
      </w:r>
      <w:r>
        <w:rPr>
          <w:rFonts w:hint="eastAsia" w:ascii="仿宋" w:hAnsi="仿宋" w:eastAsia="仿宋" w:cs="仿宋"/>
          <w:b w:val="0"/>
          <w:bCs w:val="0"/>
          <w:color w:val="auto"/>
          <w:sz w:val="24"/>
          <w:szCs w:val="24"/>
          <w:lang w:val="en-US" w:eastAsia="zh-CN"/>
        </w:rPr>
        <w:t>1、必须</w:t>
      </w:r>
      <w:r>
        <w:rPr>
          <w:rFonts w:hint="eastAsia" w:ascii="仿宋" w:hAnsi="仿宋" w:eastAsia="仿宋" w:cs="仿宋"/>
          <w:b w:val="0"/>
          <w:bCs w:val="0"/>
          <w:color w:val="auto"/>
          <w:sz w:val="24"/>
          <w:szCs w:val="24"/>
        </w:rPr>
        <w:t>上传</w:t>
      </w:r>
      <w:r>
        <w:rPr>
          <w:rFonts w:hint="eastAsia" w:ascii="仿宋" w:hAnsi="仿宋" w:eastAsia="仿宋" w:cs="仿宋"/>
          <w:b w:val="0"/>
          <w:bCs w:val="0"/>
          <w:color w:val="auto"/>
          <w:sz w:val="24"/>
          <w:szCs w:val="24"/>
          <w:lang w:val="en-US" w:eastAsia="zh-CN"/>
        </w:rPr>
        <w:t>营业执照，必须上传响应文件。2、投标方必须进行现场勘察，投标时必须上传现场勘察确认表，否则视为投标无效。3、报价时必须上传</w:t>
      </w:r>
      <w:r>
        <w:rPr>
          <w:rFonts w:hint="eastAsia" w:ascii="仿宋" w:hAnsi="仿宋" w:eastAsia="仿宋" w:cs="仿宋"/>
          <w:b w:val="0"/>
          <w:bCs w:val="0"/>
          <w:color w:val="auto"/>
          <w:sz w:val="24"/>
          <w:szCs w:val="24"/>
        </w:rPr>
        <w:t>售后服务承诺函</w:t>
      </w:r>
      <w:r>
        <w:rPr>
          <w:rFonts w:hint="eastAsia" w:ascii="仿宋" w:hAnsi="仿宋" w:eastAsia="仿宋" w:cs="仿宋"/>
          <w:b w:val="0"/>
          <w:bCs w:val="0"/>
          <w:color w:val="auto"/>
          <w:sz w:val="24"/>
          <w:szCs w:val="24"/>
          <w:lang w:eastAsia="zh-CN"/>
        </w:rPr>
        <w:t>。</w:t>
      </w:r>
    </w:p>
    <w:p w14:paraId="7D024B6C">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firstLine="482" w:firstLineChars="200"/>
        <w:jc w:val="lef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商务要求</w:t>
      </w:r>
    </w:p>
    <w:p w14:paraId="0571922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1.供货单位须采取足以保护标的物且有利于节约资源、保</w:t>
      </w:r>
      <w:r>
        <w:rPr>
          <w:rFonts w:hint="eastAsia" w:ascii="仿宋" w:hAnsi="仿宋" w:eastAsia="仿宋" w:cs="仿宋"/>
          <w:color w:val="auto"/>
          <w:kern w:val="2"/>
          <w:sz w:val="24"/>
          <w:szCs w:val="24"/>
          <w:lang w:val="en-US" w:eastAsia="zh-CN" w:bidi="ar-SA"/>
        </w:rPr>
        <w:t>护生态环境的包装方式，在包装和运输过程中确保设备安全可靠、性能稳定。</w:t>
      </w:r>
    </w:p>
    <w:p w14:paraId="7E933C1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产品的质量保证期需为产品交付甲方之日起，提供所供产品的原厂服务。在质量保证期内，如由于乙方提供的产品硬件有缺陷而使产品不能达到规定的质量标准和技术性能，乙方应负责免费修理或更换有缺陷的硬件，经修理或更换的硬件或软件的保证期从更换之日起重新开始计算。</w:t>
      </w:r>
    </w:p>
    <w:p w14:paraId="0AEA0F3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3.完成时间：合同签订后20个日历日内完成安装。</w:t>
      </w:r>
    </w:p>
    <w:p w14:paraId="36EA913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4.付款方式：所有货物安装调试完毕，经甲乙双方验收合格支付60%的货款，剩余40%一年后付清合同款项。</w:t>
      </w:r>
    </w:p>
    <w:p w14:paraId="236626D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5.售后服务要求：为了能提供及时的服务响应，中标单位必须确定一名项目负责人，质保期为五年。</w:t>
      </w:r>
    </w:p>
    <w:p w14:paraId="5175D56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6.此采购项目为交钥匙项目，报价含发票税费、运输、安装、调试、培训指导及其它所有费用。  </w:t>
      </w:r>
    </w:p>
    <w:p w14:paraId="5A1B6405">
      <w:pPr>
        <w:pStyle w:val="7"/>
        <w:ind w:left="0" w:leftChars="0" w:firstLine="480" w:firstLineChars="200"/>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7、中标单位成交后各项提供一个样品，待样品验收合格后再制作剩余所投产品。如所提供样品不能达到验收标准，甲方有权拒绝验收，因乙方原因耽误项目工期，对甲方造成损失，甲方有权追偿。</w:t>
      </w:r>
    </w:p>
    <w:p w14:paraId="3C9CD297">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三、</w:t>
      </w:r>
      <w:r>
        <w:rPr>
          <w:rFonts w:hint="eastAsia" w:ascii="仿宋" w:hAnsi="仿宋" w:eastAsia="仿宋" w:cs="仿宋"/>
          <w:b/>
          <w:bCs/>
          <w:color w:val="auto"/>
          <w:kern w:val="2"/>
          <w:sz w:val="24"/>
          <w:szCs w:val="24"/>
          <w:lang w:val="en-US" w:eastAsia="zh-CN" w:bidi="ar-SA"/>
        </w:rPr>
        <w:t>收货地址</w:t>
      </w:r>
    </w:p>
    <w:p w14:paraId="1F950394">
      <w:pPr>
        <w:pStyle w:val="8"/>
        <w:ind w:left="0" w:leftChars="0"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送货方式：送货安装上门</w:t>
      </w:r>
    </w:p>
    <w:p w14:paraId="1C93F2EB">
      <w:pPr>
        <w:pStyle w:val="8"/>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送货安装期限：成交后20个工作日内送货安装完毕。</w:t>
      </w:r>
    </w:p>
    <w:p w14:paraId="2887E5DA">
      <w:pPr>
        <w:pStyle w:val="8"/>
        <w:ind w:left="0" w:leftChars="0" w:firstLine="480" w:firstLineChars="200"/>
        <w:rPr>
          <w:rFonts w:hint="eastAsia"/>
          <w:lang w:val="en-US" w:eastAsia="zh-CN"/>
        </w:rPr>
      </w:pPr>
      <w:r>
        <w:rPr>
          <w:rFonts w:hint="eastAsia" w:ascii="仿宋" w:hAnsi="仿宋" w:eastAsia="仿宋" w:cs="仿宋"/>
          <w:color w:val="auto"/>
          <w:kern w:val="2"/>
          <w:sz w:val="24"/>
          <w:szCs w:val="24"/>
          <w:lang w:val="en-US" w:eastAsia="zh-CN" w:bidi="ar-SA"/>
        </w:rPr>
        <w:t>收货地址：托克逊县人民医院新址医院（托克逊县滨河小区西侧、天山小镇北侧）</w:t>
      </w:r>
    </w:p>
    <w:p w14:paraId="4516FA8D">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20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四、履约验收</w:t>
      </w:r>
    </w:p>
    <w:p w14:paraId="3B1AB7AF">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（一)验收的内容：</w:t>
      </w:r>
    </w:p>
    <w:p w14:paraId="05996F3C">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1.窗帘是否达到招标要求； </w:t>
      </w:r>
    </w:p>
    <w:p w14:paraId="39215072">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2.该批次货物的招、投标文件中涉及质量、技术、服务、鉴定、检验及验收的全部相关内容或其所指引的内容； </w:t>
      </w:r>
    </w:p>
    <w:p w14:paraId="6038ACAB">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3.安装、调试完成后，确认可以正常使用。</w:t>
      </w:r>
    </w:p>
    <w:p w14:paraId="2F48BE4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（二）履约验收标准：</w:t>
      </w:r>
    </w:p>
    <w:p w14:paraId="730F3281">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zh-CN" w:eastAsia="zh-CN" w:bidi="ar-SA"/>
        </w:rPr>
      </w:pPr>
      <w:r>
        <w:rPr>
          <w:rFonts w:hint="eastAsia" w:ascii="仿宋" w:hAnsi="仿宋" w:eastAsia="仿宋" w:cs="仿宋"/>
          <w:color w:val="auto"/>
          <w:kern w:val="2"/>
          <w:sz w:val="24"/>
          <w:szCs w:val="24"/>
          <w:lang w:val="en-US" w:eastAsia="zh-CN" w:bidi="ar-SA"/>
        </w:rPr>
        <w:t xml:space="preserve">根据中华人民共和国现行技术标准，按招标文件以及合同规定的验收评定标准等规范，由采购方组织验收。 </w:t>
      </w:r>
    </w:p>
    <w:p w14:paraId="139DA195">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zh-CN" w:eastAsia="zh-CN" w:bidi="ar-SA"/>
        </w:rPr>
      </w:pPr>
      <w:r>
        <w:rPr>
          <w:rFonts w:hint="eastAsia" w:ascii="仿宋" w:hAnsi="仿宋" w:eastAsia="仿宋" w:cs="仿宋"/>
          <w:color w:val="auto"/>
          <w:kern w:val="2"/>
          <w:sz w:val="24"/>
          <w:szCs w:val="24"/>
          <w:lang w:val="en-US" w:eastAsia="zh-CN" w:bidi="ar-SA"/>
        </w:rPr>
        <w:t xml:space="preserve">1、初验：由采购人楼宇负责人与供应商共同初验，初验单含楼层房号、货物名称、规格型号、窗帘尺寸、窗帘数量等安装明细表，甲乙双方初验合格后签章。 </w:t>
      </w:r>
    </w:p>
    <w:p w14:paraId="39223890">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zh-CN" w:eastAsia="zh-CN" w:bidi="ar-SA"/>
        </w:rPr>
      </w:pPr>
      <w:r>
        <w:rPr>
          <w:rFonts w:hint="eastAsia" w:ascii="仿宋" w:hAnsi="仿宋" w:eastAsia="仿宋" w:cs="仿宋"/>
          <w:color w:val="auto"/>
          <w:kern w:val="2"/>
          <w:sz w:val="24"/>
          <w:szCs w:val="24"/>
          <w:lang w:val="en-US" w:eastAsia="zh-CN" w:bidi="ar-SA"/>
        </w:rPr>
        <w:t xml:space="preserve">2、项目验收：按照验收流程进行验收，验收合格前的风险由供应商承担。 </w:t>
      </w:r>
    </w:p>
    <w:p w14:paraId="1E8C159E">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3、验收不合格：采购人应及时向供应商提出书面异议，供应商应在接到异议及时进行更换，直至验收合格。如果因供应商供货质量原因造成的采购人受到的损失，供应商还应承担相应违约责任并承担相应赔偿。</w:t>
      </w:r>
    </w:p>
    <w:p w14:paraId="02B279E7">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五、售后服务</w:t>
      </w:r>
    </w:p>
    <w:p w14:paraId="1C93FC32">
      <w:pPr>
        <w:pStyle w:val="16"/>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货物到达甲方指定安装地点，甲乙双方验收合格，从验收合格之日起，窗帘及配件等</w:t>
      </w:r>
      <w:r>
        <w:rPr>
          <w:rFonts w:hint="eastAsia" w:cs="仿宋"/>
          <w:color w:val="auto"/>
          <w:kern w:val="2"/>
          <w:sz w:val="24"/>
          <w:szCs w:val="24"/>
          <w:lang w:val="en-US" w:eastAsia="zh-CN" w:bidi="ar-SA"/>
        </w:rPr>
        <w:t>五</w:t>
      </w:r>
      <w:r>
        <w:rPr>
          <w:rFonts w:hint="eastAsia" w:ascii="仿宋" w:hAnsi="仿宋" w:eastAsia="仿宋" w:cs="仿宋"/>
          <w:color w:val="auto"/>
          <w:kern w:val="2"/>
          <w:sz w:val="24"/>
          <w:szCs w:val="24"/>
          <w:lang w:val="en-US" w:eastAsia="zh-CN" w:bidi="ar-SA"/>
        </w:rPr>
        <w:t>年免费保修。质量保证期自项目安装调试验收合格之日起计算。</w:t>
      </w:r>
    </w:p>
    <w:p w14:paraId="20A6F155">
      <w:pPr>
        <w:pStyle w:val="16"/>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质保期内:a.乙方提供20分钟技术服务响应。</w:t>
      </w:r>
    </w:p>
    <w:p w14:paraId="7F5D06ED">
      <w:pPr>
        <w:pStyle w:val="16"/>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b.</w:t>
      </w:r>
      <w:r>
        <w:rPr>
          <w:rFonts w:hint="eastAsia" w:cs="仿宋"/>
          <w:color w:val="auto"/>
          <w:kern w:val="2"/>
          <w:sz w:val="24"/>
          <w:szCs w:val="24"/>
          <w:lang w:val="en-US" w:eastAsia="zh-CN" w:bidi="ar-SA"/>
        </w:rPr>
        <w:t>货物</w:t>
      </w:r>
      <w:r>
        <w:rPr>
          <w:rFonts w:hint="eastAsia" w:ascii="仿宋" w:hAnsi="仿宋" w:eastAsia="仿宋" w:cs="仿宋"/>
          <w:color w:val="auto"/>
          <w:kern w:val="2"/>
          <w:sz w:val="24"/>
          <w:szCs w:val="24"/>
          <w:lang w:val="en-US" w:eastAsia="zh-CN" w:bidi="ar-SA"/>
        </w:rPr>
        <w:t>发生故障时，乙方技术人员</w:t>
      </w:r>
      <w:r>
        <w:rPr>
          <w:rFonts w:hint="eastAsia" w:cs="仿宋"/>
          <w:color w:val="auto"/>
          <w:kern w:val="2"/>
          <w:sz w:val="24"/>
          <w:szCs w:val="24"/>
          <w:lang w:val="en-US" w:eastAsia="zh-CN" w:bidi="ar-SA"/>
        </w:rPr>
        <w:t>2小时</w:t>
      </w:r>
      <w:r>
        <w:rPr>
          <w:rFonts w:hint="eastAsia" w:ascii="仿宋" w:hAnsi="仿宋" w:eastAsia="仿宋" w:cs="仿宋"/>
          <w:color w:val="auto"/>
          <w:kern w:val="2"/>
          <w:sz w:val="24"/>
          <w:szCs w:val="24"/>
          <w:lang w:val="en-US" w:eastAsia="zh-CN" w:bidi="ar-SA"/>
        </w:rPr>
        <w:t>到达甲方现场，3小时完成维保，以保证</w:t>
      </w:r>
      <w:r>
        <w:rPr>
          <w:rFonts w:hint="eastAsia" w:cs="仿宋"/>
          <w:color w:val="auto"/>
          <w:kern w:val="2"/>
          <w:sz w:val="24"/>
          <w:szCs w:val="24"/>
          <w:lang w:val="en-US" w:eastAsia="zh-CN" w:bidi="ar-SA"/>
        </w:rPr>
        <w:t>货物</w:t>
      </w:r>
      <w:r>
        <w:rPr>
          <w:rFonts w:hint="eastAsia" w:ascii="仿宋" w:hAnsi="仿宋" w:eastAsia="仿宋" w:cs="仿宋"/>
          <w:color w:val="auto"/>
          <w:kern w:val="2"/>
          <w:sz w:val="24"/>
          <w:szCs w:val="24"/>
          <w:lang w:val="en-US" w:eastAsia="zh-CN" w:bidi="ar-SA"/>
        </w:rPr>
        <w:t>稳定运行。</w:t>
      </w:r>
      <w:r>
        <w:rPr>
          <w:rFonts w:hint="eastAsia" w:cs="仿宋"/>
          <w:color w:val="auto"/>
          <w:kern w:val="2"/>
          <w:sz w:val="24"/>
          <w:szCs w:val="24"/>
          <w:lang w:val="en-US" w:eastAsia="zh-CN" w:bidi="ar-SA"/>
        </w:rPr>
        <w:t>货物</w:t>
      </w:r>
      <w:r>
        <w:rPr>
          <w:rFonts w:hint="eastAsia" w:ascii="仿宋" w:hAnsi="仿宋" w:eastAsia="仿宋" w:cs="仿宋"/>
          <w:color w:val="auto"/>
          <w:kern w:val="2"/>
          <w:sz w:val="24"/>
          <w:szCs w:val="24"/>
          <w:lang w:val="en-US" w:eastAsia="zh-CN" w:bidi="ar-SA"/>
        </w:rPr>
        <w:t>故障临时无法修复，</w:t>
      </w:r>
    </w:p>
    <w:p w14:paraId="02EB9116">
      <w:pPr>
        <w:pStyle w:val="16"/>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24小时内提供完好无损的原厂正品进行更换。故障修复完成，须确保系统正常运转。</w:t>
      </w:r>
    </w:p>
    <w:p w14:paraId="33F67925">
      <w:pPr>
        <w:pStyle w:val="16"/>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color w:val="auto"/>
          <w:kern w:val="2"/>
          <w:sz w:val="24"/>
          <w:szCs w:val="24"/>
          <w:lang w:val="en-US" w:eastAsia="zh-CN" w:bidi="ar-SA"/>
        </w:rPr>
        <w:t>c.投标供应商对提供的物资在质保期内，因产品质量而导致的缺陷，应当免费提供包修、包换、包退服务，因此导致的损失采购单位有权向中标供应商追偿。超出质保期后，投标供应商应当提供上门维修服务，仅收取成本费。</w:t>
      </w:r>
    </w:p>
    <w:p w14:paraId="07C91843">
      <w:pPr>
        <w:pStyle w:val="16"/>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D.长期提供免费优良的技术支持及备品备件优惠供应，备件价格不超过本合同价格。在产品的全寿命周期内为用户提供相应的备品备件。</w:t>
      </w:r>
    </w:p>
    <w:p w14:paraId="6BD48404">
      <w:pPr>
        <w:pStyle w:val="16"/>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六、违约责任</w:t>
      </w:r>
    </w:p>
    <w:p w14:paraId="61FDBF12">
      <w:pPr>
        <w:pStyle w:val="16"/>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甲方无故逾期验收和办理支付手续的,甲方应按逾期付款总额每日万分之五向乙方支付违约金。2.乙方无故逾期交付的，乙方应按逾期交付总额每日千分之六向甲方支付违约金，由甲方从待付款中扣除。逾期超过约定日期10个工作日不能交工的，甲方可解除本合同。乙方因逾期交货或因其他违约行为导致甲方解除合同的，乙方应向甲方支付合同总值5%的违约金，如造成甲方损失超过违约金的，超出部分由乙方继续承担赔偿责任。3.乙方所做的广告制作不符合合同规定及询价文件规定标准的，甲方有权拒收，乙方愿意更换但逾期交付的，按乙方逾期交付处理。乙方拒绝更换的，甲方可单方面解除合同。</w:t>
      </w:r>
    </w:p>
    <w:p w14:paraId="25D1AB7B">
      <w:pPr>
        <w:pStyle w:val="16"/>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七、投标人资格要求及须提供并上传的证明资料</w:t>
      </w:r>
    </w:p>
    <w:p w14:paraId="478E602F">
      <w:pPr>
        <w:pStyle w:val="16"/>
        <w:keepNext w:val="0"/>
        <w:keepLines w:val="0"/>
        <w:pageBreakBefore w:val="0"/>
        <w:widowControl w:val="0"/>
        <w:numPr>
          <w:ilvl w:val="0"/>
          <w:numId w:val="0"/>
        </w:numPr>
        <w:tabs>
          <w:tab w:val="left" w:pos="1301"/>
        </w:tabs>
        <w:kinsoku/>
        <w:wordWrap/>
        <w:overflowPunct/>
        <w:topLinePunct w:val="0"/>
        <w:autoSpaceDE w:val="0"/>
        <w:autoSpaceDN w:val="0"/>
        <w:bidi w:val="0"/>
        <w:adjustRightInd/>
        <w:snapToGrid/>
        <w:spacing w:line="380" w:lineRule="exact"/>
        <w:ind w:leftChars="200"/>
        <w:textAlignment w:val="auto"/>
        <w:rPr>
          <w:rFonts w:hint="eastAsia" w:cs="仿宋"/>
          <w:b w:val="0"/>
          <w:bCs w:val="0"/>
          <w:color w:val="auto"/>
          <w:kern w:val="2"/>
          <w:sz w:val="24"/>
          <w:szCs w:val="24"/>
          <w:lang w:val="en-US" w:eastAsia="zh-CN" w:bidi="ar-SA"/>
        </w:rPr>
      </w:pPr>
      <w:r>
        <w:rPr>
          <w:rFonts w:hint="eastAsia" w:cs="仿宋"/>
          <w:b w:val="0"/>
          <w:bCs w:val="0"/>
          <w:color w:val="auto"/>
          <w:kern w:val="2"/>
          <w:sz w:val="24"/>
          <w:szCs w:val="24"/>
          <w:lang w:val="en-US" w:eastAsia="zh-CN" w:bidi="ar-SA"/>
        </w:rPr>
        <w:t>1.</w:t>
      </w:r>
      <w:r>
        <w:rPr>
          <w:rFonts w:hint="eastAsia" w:ascii="仿宋" w:hAnsi="仿宋" w:eastAsia="仿宋" w:cs="仿宋"/>
          <w:b w:val="0"/>
          <w:bCs w:val="0"/>
          <w:color w:val="auto"/>
          <w:kern w:val="2"/>
          <w:sz w:val="24"/>
          <w:szCs w:val="24"/>
          <w:lang w:val="en-US" w:eastAsia="zh-CN" w:bidi="ar-SA"/>
        </w:rPr>
        <w:t>符合《中华人民共和国政府采购法》第二十二条规</w:t>
      </w:r>
      <w:r>
        <w:rPr>
          <w:rFonts w:hint="eastAsia" w:cs="仿宋"/>
          <w:b w:val="0"/>
          <w:bCs w:val="0"/>
          <w:color w:val="auto"/>
          <w:kern w:val="2"/>
          <w:sz w:val="24"/>
          <w:szCs w:val="24"/>
          <w:lang w:val="en-US" w:eastAsia="zh-CN" w:bidi="ar-SA"/>
        </w:rPr>
        <w:t>定</w:t>
      </w:r>
      <w:r>
        <w:rPr>
          <w:rFonts w:hint="eastAsia" w:ascii="仿宋" w:hAnsi="仿宋" w:eastAsia="仿宋" w:cs="仿宋"/>
          <w:color w:val="auto"/>
          <w:kern w:val="2"/>
          <w:sz w:val="24"/>
          <w:szCs w:val="24"/>
          <w:lang w:val="zh-CN" w:eastAsia="zh-CN" w:bidi="ar-SA"/>
        </w:rPr>
        <w:t>；</w:t>
      </w:r>
    </w:p>
    <w:p w14:paraId="166D8238">
      <w:pPr>
        <w:pStyle w:val="16"/>
        <w:keepNext w:val="0"/>
        <w:keepLines w:val="0"/>
        <w:pageBreakBefore w:val="0"/>
        <w:widowControl w:val="0"/>
        <w:numPr>
          <w:ilvl w:val="0"/>
          <w:numId w:val="0"/>
        </w:numPr>
        <w:tabs>
          <w:tab w:val="left" w:pos="1301"/>
        </w:tabs>
        <w:kinsoku/>
        <w:wordWrap/>
        <w:overflowPunct/>
        <w:topLinePunct w:val="0"/>
        <w:autoSpaceDE w:val="0"/>
        <w:autoSpaceDN w:val="0"/>
        <w:bidi w:val="0"/>
        <w:adjustRightInd/>
        <w:snapToGrid/>
        <w:spacing w:line="380" w:lineRule="exact"/>
        <w:ind w:leftChars="200"/>
        <w:textAlignment w:val="auto"/>
        <w:rPr>
          <w:rFonts w:hint="eastAsia" w:cs="仿宋"/>
          <w:b w:val="0"/>
          <w:bCs w:val="0"/>
          <w:color w:val="auto"/>
          <w:kern w:val="2"/>
          <w:sz w:val="24"/>
          <w:szCs w:val="24"/>
          <w:lang w:val="en-US" w:eastAsia="zh-CN" w:bidi="ar-SA"/>
        </w:rPr>
      </w:pPr>
      <w:r>
        <w:rPr>
          <w:rFonts w:hint="eastAsia" w:cs="仿宋"/>
          <w:b w:val="0"/>
          <w:bCs w:val="0"/>
          <w:color w:val="auto"/>
          <w:kern w:val="2"/>
          <w:sz w:val="24"/>
          <w:szCs w:val="24"/>
          <w:lang w:val="en-US" w:eastAsia="zh-CN" w:bidi="ar-SA"/>
        </w:rPr>
        <w:t>2.须提供法人代表或其委托代理人身份证复印件，委托代理人还应提供《法人代表授权委托书》。</w:t>
      </w:r>
    </w:p>
    <w:p w14:paraId="01EE20A9">
      <w:pPr>
        <w:pStyle w:val="16"/>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textAlignment w:val="auto"/>
        <w:rPr>
          <w:rFonts w:hint="default" w:ascii="仿宋" w:hAnsi="仿宋" w:eastAsia="仿宋" w:cs="仿宋"/>
          <w:color w:val="auto"/>
          <w:kern w:val="2"/>
          <w:sz w:val="24"/>
          <w:szCs w:val="24"/>
          <w:lang w:val="en-US" w:eastAsia="zh-CN" w:bidi="ar-SA"/>
        </w:rPr>
      </w:pPr>
      <w:r>
        <w:rPr>
          <w:rFonts w:hint="eastAsia" w:cs="仿宋"/>
          <w:color w:val="auto"/>
          <w:kern w:val="2"/>
          <w:sz w:val="24"/>
          <w:szCs w:val="24"/>
          <w:lang w:val="en-US" w:eastAsia="zh-CN" w:bidi="ar-SA"/>
        </w:rPr>
        <w:t>3.隔帘</w:t>
      </w:r>
      <w:r>
        <w:rPr>
          <w:rFonts w:hint="eastAsia" w:ascii="仿宋" w:hAnsi="仿宋" w:eastAsia="仿宋" w:cs="仿宋"/>
          <w:color w:val="auto"/>
          <w:kern w:val="2"/>
          <w:sz w:val="24"/>
          <w:szCs w:val="24"/>
          <w:lang w:val="en-US" w:eastAsia="zh-CN" w:bidi="ar-SA"/>
        </w:rPr>
        <w:t>须提供阻燃、防霉、抗菌</w:t>
      </w:r>
      <w:r>
        <w:rPr>
          <w:rFonts w:hint="eastAsia" w:cs="仿宋"/>
          <w:color w:val="auto"/>
          <w:kern w:val="2"/>
          <w:sz w:val="24"/>
          <w:szCs w:val="24"/>
          <w:lang w:val="en-US" w:eastAsia="zh-CN" w:bidi="ar-SA"/>
        </w:rPr>
        <w:t>、永久定型、克重600</w:t>
      </w:r>
      <w:r>
        <w:rPr>
          <w:rFonts w:hint="eastAsia" w:ascii="仿宋" w:hAnsi="仿宋" w:eastAsia="仿宋" w:cs="仿宋"/>
          <w:color w:val="auto"/>
          <w:kern w:val="2"/>
          <w:sz w:val="24"/>
          <w:szCs w:val="24"/>
          <w:lang w:val="en-US" w:eastAsia="zh-CN" w:bidi="ar-SA"/>
        </w:rPr>
        <w:t>的检测报告复印件</w:t>
      </w:r>
      <w:r>
        <w:rPr>
          <w:rFonts w:hint="eastAsia" w:ascii="仿宋" w:hAnsi="仿宋" w:eastAsia="仿宋" w:cs="仿宋"/>
          <w:color w:val="auto"/>
          <w:kern w:val="2"/>
          <w:sz w:val="24"/>
          <w:szCs w:val="24"/>
          <w:lang w:val="zh-CN" w:eastAsia="zh-CN" w:bidi="ar-SA"/>
        </w:rPr>
        <w:t>及国家认监委（</w:t>
      </w:r>
      <w:r>
        <w:rPr>
          <w:rFonts w:hint="eastAsia" w:ascii="仿宋" w:hAnsi="仿宋" w:eastAsia="仿宋" w:cs="仿宋"/>
          <w:color w:val="auto"/>
          <w:kern w:val="2"/>
          <w:sz w:val="24"/>
          <w:szCs w:val="24"/>
          <w:lang w:val="en-US" w:eastAsia="zh-CN" w:bidi="ar-SA"/>
        </w:rPr>
        <w:t>全国认证认可信息公共服务平台网站）</w:t>
      </w:r>
      <w:r>
        <w:rPr>
          <w:rFonts w:hint="eastAsia" w:ascii="仿宋" w:hAnsi="仿宋" w:eastAsia="仿宋" w:cs="仿宋"/>
          <w:color w:val="auto"/>
          <w:kern w:val="2"/>
          <w:sz w:val="24"/>
          <w:szCs w:val="24"/>
          <w:lang w:val="en-US" w:eastAsia="zh-CN" w:bidi="ar-SA"/>
        </w:rPr>
        <w:fldChar w:fldCharType="begin"/>
      </w:r>
      <w:r>
        <w:rPr>
          <w:rFonts w:hint="eastAsia" w:ascii="仿宋" w:hAnsi="仿宋" w:eastAsia="仿宋" w:cs="仿宋"/>
          <w:color w:val="auto"/>
          <w:kern w:val="2"/>
          <w:sz w:val="24"/>
          <w:szCs w:val="24"/>
          <w:lang w:val="en-US" w:eastAsia="zh-CN" w:bidi="ar-SA"/>
        </w:rPr>
        <w:instrText xml:space="preserve"> HYPERLINK "http://www.cnca.gov.cn截图。" </w:instrText>
      </w:r>
      <w:r>
        <w:rPr>
          <w:rFonts w:hint="eastAsia" w:ascii="仿宋" w:hAnsi="仿宋" w:eastAsia="仿宋" w:cs="仿宋"/>
          <w:color w:val="auto"/>
          <w:kern w:val="2"/>
          <w:sz w:val="24"/>
          <w:szCs w:val="24"/>
          <w:lang w:val="en-US" w:eastAsia="zh-CN" w:bidi="ar-SA"/>
        </w:rPr>
        <w:fldChar w:fldCharType="separate"/>
      </w:r>
      <w:r>
        <w:rPr>
          <w:rFonts w:hint="eastAsia" w:ascii="仿宋" w:hAnsi="仿宋" w:eastAsia="仿宋" w:cs="仿宋"/>
          <w:color w:val="auto"/>
          <w:kern w:val="2"/>
          <w:sz w:val="24"/>
          <w:szCs w:val="24"/>
          <w:lang w:val="en-US" w:eastAsia="zh-CN" w:bidi="ar-SA"/>
        </w:rPr>
        <w:t>www.cnca.gov.cn</w:t>
      </w:r>
      <w:r>
        <w:rPr>
          <w:rFonts w:hint="eastAsia" w:ascii="仿宋" w:hAnsi="仿宋" w:eastAsia="仿宋" w:cs="仿宋"/>
          <w:color w:val="auto"/>
          <w:kern w:val="2"/>
          <w:sz w:val="24"/>
          <w:szCs w:val="24"/>
          <w:lang w:val="zh-CN" w:eastAsia="zh-CN" w:bidi="ar-SA"/>
        </w:rPr>
        <w:t>截图；</w:t>
      </w:r>
      <w:r>
        <w:rPr>
          <w:rFonts w:hint="eastAsia" w:ascii="仿宋" w:hAnsi="仿宋" w:eastAsia="仿宋" w:cs="仿宋"/>
          <w:color w:val="auto"/>
          <w:kern w:val="2"/>
          <w:sz w:val="24"/>
          <w:szCs w:val="24"/>
          <w:lang w:val="en-US" w:eastAsia="zh-CN" w:bidi="ar-SA"/>
        </w:rPr>
        <w:fldChar w:fldCharType="end"/>
      </w:r>
      <w:r>
        <w:rPr>
          <w:rFonts w:hint="eastAsia" w:cs="仿宋"/>
          <w:color w:val="auto"/>
          <w:kern w:val="2"/>
          <w:sz w:val="24"/>
          <w:szCs w:val="24"/>
          <w:lang w:val="en-US" w:eastAsia="zh-CN" w:bidi="ar-SA"/>
        </w:rPr>
        <w:t>窗帘需提供甲醛含量《300、遮光98%，无异味、耐摩擦、克重1100克，牛奶棉绒检测报告复印件</w:t>
      </w:r>
      <w:r>
        <w:rPr>
          <w:rFonts w:hint="eastAsia" w:ascii="仿宋" w:hAnsi="仿宋" w:eastAsia="仿宋" w:cs="仿宋"/>
          <w:color w:val="auto"/>
          <w:kern w:val="2"/>
          <w:sz w:val="24"/>
          <w:szCs w:val="24"/>
          <w:lang w:val="zh-CN" w:eastAsia="zh-CN" w:bidi="ar-SA"/>
        </w:rPr>
        <w:t>及国家认监委（</w:t>
      </w:r>
      <w:r>
        <w:rPr>
          <w:rFonts w:hint="eastAsia" w:ascii="仿宋" w:hAnsi="仿宋" w:eastAsia="仿宋" w:cs="仿宋"/>
          <w:color w:val="auto"/>
          <w:kern w:val="2"/>
          <w:sz w:val="24"/>
          <w:szCs w:val="24"/>
          <w:lang w:val="en-US" w:eastAsia="zh-CN" w:bidi="ar-SA"/>
        </w:rPr>
        <w:t>全国认证认可信息公共服务平台网站）</w:t>
      </w:r>
      <w:r>
        <w:rPr>
          <w:rFonts w:hint="eastAsia" w:ascii="仿宋" w:hAnsi="仿宋" w:eastAsia="仿宋" w:cs="仿宋"/>
          <w:color w:val="auto"/>
          <w:kern w:val="2"/>
          <w:sz w:val="24"/>
          <w:szCs w:val="24"/>
          <w:lang w:val="en-US" w:eastAsia="zh-CN" w:bidi="ar-SA"/>
        </w:rPr>
        <w:fldChar w:fldCharType="begin"/>
      </w:r>
      <w:r>
        <w:rPr>
          <w:rFonts w:hint="eastAsia" w:ascii="仿宋" w:hAnsi="仿宋" w:eastAsia="仿宋" w:cs="仿宋"/>
          <w:color w:val="auto"/>
          <w:kern w:val="2"/>
          <w:sz w:val="24"/>
          <w:szCs w:val="24"/>
          <w:lang w:val="en-US" w:eastAsia="zh-CN" w:bidi="ar-SA"/>
        </w:rPr>
        <w:instrText xml:space="preserve"> HYPERLINK "http://www.cnca.gov.cn截图。" </w:instrText>
      </w:r>
      <w:r>
        <w:rPr>
          <w:rFonts w:hint="eastAsia" w:ascii="仿宋" w:hAnsi="仿宋" w:eastAsia="仿宋" w:cs="仿宋"/>
          <w:color w:val="auto"/>
          <w:kern w:val="2"/>
          <w:sz w:val="24"/>
          <w:szCs w:val="24"/>
          <w:lang w:val="en-US" w:eastAsia="zh-CN" w:bidi="ar-SA"/>
        </w:rPr>
        <w:fldChar w:fldCharType="separate"/>
      </w:r>
      <w:r>
        <w:rPr>
          <w:rFonts w:hint="eastAsia" w:ascii="仿宋" w:hAnsi="仿宋" w:eastAsia="仿宋" w:cs="仿宋"/>
          <w:color w:val="auto"/>
          <w:kern w:val="2"/>
          <w:sz w:val="24"/>
          <w:szCs w:val="24"/>
          <w:lang w:val="en-US" w:eastAsia="zh-CN" w:bidi="ar-SA"/>
        </w:rPr>
        <w:t>www.cnca.gov.cn</w:t>
      </w:r>
      <w:r>
        <w:rPr>
          <w:rFonts w:hint="eastAsia" w:ascii="仿宋" w:hAnsi="仿宋" w:eastAsia="仿宋" w:cs="仿宋"/>
          <w:color w:val="auto"/>
          <w:kern w:val="2"/>
          <w:sz w:val="24"/>
          <w:szCs w:val="24"/>
          <w:lang w:val="zh-CN" w:eastAsia="zh-CN" w:bidi="ar-SA"/>
        </w:rPr>
        <w:t>截图；</w:t>
      </w:r>
      <w:r>
        <w:rPr>
          <w:rFonts w:hint="eastAsia" w:ascii="仿宋" w:hAnsi="仿宋" w:eastAsia="仿宋" w:cs="仿宋"/>
          <w:color w:val="auto"/>
          <w:kern w:val="2"/>
          <w:sz w:val="24"/>
          <w:szCs w:val="24"/>
          <w:lang w:val="en-US" w:eastAsia="zh-CN" w:bidi="ar-SA"/>
        </w:rPr>
        <w:fldChar w:fldCharType="end"/>
      </w:r>
    </w:p>
    <w:p w14:paraId="5922DA18">
      <w:pPr>
        <w:pStyle w:val="16"/>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textAlignment w:val="auto"/>
        <w:rPr>
          <w:rFonts w:hint="eastAsia" w:ascii="仿宋" w:hAnsi="仿宋" w:eastAsia="仿宋" w:cs="仿宋"/>
          <w:color w:val="auto"/>
          <w:kern w:val="2"/>
          <w:sz w:val="24"/>
          <w:szCs w:val="24"/>
          <w:lang w:val="zh-CN" w:eastAsia="zh-CN" w:bidi="ar-SA"/>
        </w:rPr>
      </w:pPr>
      <w:r>
        <w:rPr>
          <w:rFonts w:hint="eastAsia" w:cs="仿宋"/>
          <w:color w:val="auto"/>
          <w:kern w:val="2"/>
          <w:sz w:val="24"/>
          <w:szCs w:val="24"/>
          <w:lang w:val="en-US" w:eastAsia="zh-CN" w:bidi="ar-SA"/>
        </w:rPr>
        <w:t>4</w:t>
      </w:r>
      <w:r>
        <w:rPr>
          <w:rFonts w:hint="eastAsia" w:ascii="仿宋" w:hAnsi="仿宋" w:eastAsia="仿宋" w:cs="仿宋"/>
          <w:color w:val="auto"/>
          <w:kern w:val="2"/>
          <w:sz w:val="24"/>
          <w:szCs w:val="24"/>
          <w:lang w:val="en-US" w:eastAsia="zh-CN" w:bidi="ar-SA"/>
        </w:rPr>
        <w:t>.</w:t>
      </w:r>
      <w:r>
        <w:rPr>
          <w:rFonts w:hint="eastAsia" w:ascii="仿宋" w:hAnsi="仿宋" w:eastAsia="仿宋" w:cs="仿宋"/>
          <w:color w:val="auto"/>
          <w:kern w:val="2"/>
          <w:sz w:val="24"/>
          <w:szCs w:val="24"/>
          <w:lang w:val="zh-CN" w:eastAsia="zh-CN" w:bidi="ar-SA"/>
        </w:rPr>
        <w:t>须提供《中国环境标志产品认证》证书复印件及国家认监委（</w:t>
      </w:r>
      <w:r>
        <w:rPr>
          <w:rFonts w:hint="eastAsia" w:ascii="仿宋" w:hAnsi="仿宋" w:eastAsia="仿宋" w:cs="仿宋"/>
          <w:color w:val="auto"/>
          <w:kern w:val="2"/>
          <w:sz w:val="24"/>
          <w:szCs w:val="24"/>
          <w:lang w:val="en-US" w:eastAsia="zh-CN" w:bidi="ar-SA"/>
        </w:rPr>
        <w:t>全国认证认可信息公共服务平台网站）</w:t>
      </w:r>
      <w:r>
        <w:rPr>
          <w:rFonts w:hint="eastAsia" w:ascii="仿宋" w:hAnsi="仿宋" w:eastAsia="仿宋" w:cs="仿宋"/>
          <w:color w:val="auto"/>
          <w:kern w:val="2"/>
          <w:sz w:val="24"/>
          <w:szCs w:val="24"/>
          <w:lang w:val="en-US" w:eastAsia="zh-CN" w:bidi="ar-SA"/>
        </w:rPr>
        <w:fldChar w:fldCharType="begin"/>
      </w:r>
      <w:r>
        <w:rPr>
          <w:rFonts w:hint="eastAsia" w:ascii="仿宋" w:hAnsi="仿宋" w:eastAsia="仿宋" w:cs="仿宋"/>
          <w:color w:val="auto"/>
          <w:kern w:val="2"/>
          <w:sz w:val="24"/>
          <w:szCs w:val="24"/>
          <w:lang w:val="en-US" w:eastAsia="zh-CN" w:bidi="ar-SA"/>
        </w:rPr>
        <w:instrText xml:space="preserve"> HYPERLINK "http://www.cnca.gov.cn截图。" </w:instrText>
      </w:r>
      <w:r>
        <w:rPr>
          <w:rFonts w:hint="eastAsia" w:ascii="仿宋" w:hAnsi="仿宋" w:eastAsia="仿宋" w:cs="仿宋"/>
          <w:color w:val="auto"/>
          <w:kern w:val="2"/>
          <w:sz w:val="24"/>
          <w:szCs w:val="24"/>
          <w:lang w:val="en-US" w:eastAsia="zh-CN" w:bidi="ar-SA"/>
        </w:rPr>
        <w:fldChar w:fldCharType="separate"/>
      </w:r>
      <w:r>
        <w:rPr>
          <w:rFonts w:hint="eastAsia" w:ascii="仿宋" w:hAnsi="仿宋" w:eastAsia="仿宋" w:cs="仿宋"/>
          <w:color w:val="auto"/>
          <w:kern w:val="2"/>
          <w:sz w:val="24"/>
          <w:szCs w:val="24"/>
          <w:lang w:val="en-US" w:eastAsia="zh-CN" w:bidi="ar-SA"/>
        </w:rPr>
        <w:t>www.cnca.gov.cn</w:t>
      </w:r>
      <w:r>
        <w:rPr>
          <w:rFonts w:hint="eastAsia" w:ascii="仿宋" w:hAnsi="仿宋" w:eastAsia="仿宋" w:cs="仿宋"/>
          <w:color w:val="auto"/>
          <w:kern w:val="2"/>
          <w:sz w:val="24"/>
          <w:szCs w:val="24"/>
          <w:lang w:val="zh-CN" w:eastAsia="zh-CN" w:bidi="ar-SA"/>
        </w:rPr>
        <w:t>截图；</w:t>
      </w:r>
      <w:r>
        <w:rPr>
          <w:rFonts w:hint="eastAsia" w:ascii="仿宋" w:hAnsi="仿宋" w:eastAsia="仿宋" w:cs="仿宋"/>
          <w:color w:val="auto"/>
          <w:kern w:val="2"/>
          <w:sz w:val="24"/>
          <w:szCs w:val="24"/>
          <w:lang w:val="en-US" w:eastAsia="zh-CN" w:bidi="ar-SA"/>
        </w:rPr>
        <w:fldChar w:fldCharType="end"/>
      </w:r>
    </w:p>
    <w:p w14:paraId="43738254">
      <w:pPr>
        <w:pStyle w:val="16"/>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textAlignment w:val="auto"/>
        <w:rPr>
          <w:rFonts w:hint="eastAsia" w:ascii="仿宋" w:hAnsi="仿宋" w:eastAsia="仿宋" w:cs="仿宋"/>
          <w:color w:val="auto"/>
          <w:kern w:val="2"/>
          <w:sz w:val="24"/>
          <w:szCs w:val="24"/>
          <w:lang w:val="en-US" w:eastAsia="zh-CN" w:bidi="ar-SA"/>
        </w:rPr>
      </w:pPr>
      <w:r>
        <w:rPr>
          <w:rFonts w:hint="eastAsia" w:cs="仿宋"/>
          <w:color w:val="auto"/>
          <w:kern w:val="2"/>
          <w:sz w:val="24"/>
          <w:szCs w:val="24"/>
          <w:lang w:val="en-US" w:eastAsia="zh-CN" w:bidi="ar-SA"/>
        </w:rPr>
        <w:t>5</w:t>
      </w:r>
      <w:r>
        <w:rPr>
          <w:rFonts w:hint="eastAsia" w:ascii="仿宋" w:hAnsi="仿宋" w:eastAsia="仿宋" w:cs="仿宋"/>
          <w:color w:val="auto"/>
          <w:kern w:val="2"/>
          <w:sz w:val="24"/>
          <w:szCs w:val="24"/>
          <w:lang w:val="en-US" w:eastAsia="zh-CN" w:bidi="ar-SA"/>
        </w:rPr>
        <w:t>.投标人须实地勘踏现场，甲方出具勘踏证明。</w:t>
      </w:r>
    </w:p>
    <w:p w14:paraId="53FFBD33">
      <w:pPr>
        <w:pStyle w:val="16"/>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textAlignment w:val="auto"/>
        <w:rPr>
          <w:rFonts w:hint="eastAsia" w:ascii="仿宋" w:hAnsi="仿宋" w:eastAsia="仿宋" w:cs="仿宋"/>
          <w:color w:val="auto"/>
          <w:kern w:val="2"/>
          <w:sz w:val="24"/>
          <w:szCs w:val="24"/>
          <w:lang w:val="en-US" w:eastAsia="zh-CN" w:bidi="ar-SA"/>
        </w:rPr>
      </w:pPr>
      <w:r>
        <w:rPr>
          <w:rFonts w:hint="eastAsia" w:cs="仿宋"/>
          <w:color w:val="auto"/>
          <w:kern w:val="2"/>
          <w:sz w:val="24"/>
          <w:szCs w:val="24"/>
          <w:lang w:val="en-US" w:eastAsia="zh-CN" w:bidi="ar-SA"/>
        </w:rPr>
        <w:t>6.</w:t>
      </w:r>
      <w:r>
        <w:rPr>
          <w:rFonts w:hint="eastAsia" w:ascii="仿宋" w:hAnsi="仿宋" w:eastAsia="仿宋" w:cs="仿宋"/>
          <w:color w:val="auto"/>
          <w:kern w:val="2"/>
          <w:sz w:val="24"/>
          <w:szCs w:val="24"/>
          <w:lang w:val="en-US" w:eastAsia="zh-CN" w:bidi="ar-SA"/>
        </w:rPr>
        <w:t>投标人报价低于预算50%以下的，需提供成本核算情况说明并签订承诺书；若恶意竞价无法满足甲方采购需求的，作废标处理并按照政府采购相关规定追究责任。</w:t>
      </w:r>
    </w:p>
    <w:p w14:paraId="114C75DA">
      <w:pPr>
        <w:pStyle w:val="16"/>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textAlignment w:val="auto"/>
        <w:rPr>
          <w:rFonts w:hint="eastAsia" w:eastAsia="仿宋" w:cs="仿宋"/>
          <w:b w:val="0"/>
          <w:bCs w:val="0"/>
          <w:color w:val="auto"/>
          <w:sz w:val="24"/>
          <w:szCs w:val="24"/>
          <w:lang w:val="en-US" w:eastAsia="zh-CN"/>
        </w:rPr>
      </w:pPr>
      <w:r>
        <w:rPr>
          <w:rFonts w:hint="eastAsia" w:cs="仿宋"/>
          <w:b w:val="0"/>
          <w:bCs w:val="0"/>
          <w:color w:val="auto"/>
          <w:sz w:val="24"/>
          <w:szCs w:val="24"/>
          <w:lang w:val="en-US" w:eastAsia="zh-CN"/>
        </w:rPr>
        <w:t>7</w:t>
      </w:r>
      <w:r>
        <w:rPr>
          <w:rFonts w:hint="eastAsia" w:ascii="仿宋" w:hAnsi="仿宋" w:eastAsia="仿宋" w:cs="仿宋"/>
          <w:b w:val="0"/>
          <w:bCs w:val="0"/>
          <w:color w:val="auto"/>
          <w:sz w:val="24"/>
          <w:szCs w:val="24"/>
          <w:lang w:val="en-US" w:eastAsia="zh-CN"/>
        </w:rPr>
        <w:t>、按照所有楼层窗帘数量及规格方案，报价时必须上</w:t>
      </w:r>
      <w:r>
        <w:rPr>
          <w:rFonts w:hint="eastAsia" w:ascii="仿宋" w:hAnsi="仿宋" w:eastAsia="仿宋" w:cs="仿宋"/>
          <w:b w:val="0"/>
          <w:bCs w:val="0"/>
          <w:color w:val="auto"/>
          <w:sz w:val="24"/>
          <w:szCs w:val="24"/>
        </w:rPr>
        <w:t>加盖投标人公章的</w:t>
      </w:r>
      <w:r>
        <w:rPr>
          <w:rFonts w:hint="eastAsia" w:ascii="仿宋" w:hAnsi="仿宋" w:eastAsia="仿宋" w:cs="仿宋"/>
          <w:b w:val="0"/>
          <w:bCs w:val="0"/>
          <w:color w:val="auto"/>
          <w:sz w:val="24"/>
          <w:szCs w:val="24"/>
          <w:lang w:val="en-US" w:eastAsia="zh-CN"/>
        </w:rPr>
        <w:t>汇总报价单报价明细</w:t>
      </w:r>
      <w:r>
        <w:rPr>
          <w:rFonts w:hint="eastAsia" w:cs="仿宋"/>
          <w:b w:val="0"/>
          <w:bCs w:val="0"/>
          <w:color w:val="auto"/>
          <w:sz w:val="24"/>
          <w:szCs w:val="24"/>
          <w:lang w:val="en-US" w:eastAsia="zh-CN"/>
        </w:rPr>
        <w:t>。</w:t>
      </w:r>
    </w:p>
    <w:p w14:paraId="0CC3BE48">
      <w:pPr>
        <w:pStyle w:val="16"/>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textAlignment w:val="auto"/>
        <w:rPr>
          <w:rFonts w:hint="eastAsia" w:eastAsia="仿宋" w:cs="仿宋"/>
          <w:b w:val="0"/>
          <w:bCs w:val="0"/>
          <w:color w:val="auto"/>
          <w:sz w:val="24"/>
          <w:szCs w:val="24"/>
          <w:lang w:val="en-US" w:eastAsia="zh-CN"/>
        </w:rPr>
      </w:pPr>
      <w:r>
        <w:rPr>
          <w:rFonts w:hint="eastAsia" w:cs="仿宋"/>
          <w:b w:val="0"/>
          <w:bCs w:val="0"/>
          <w:color w:val="auto"/>
          <w:sz w:val="24"/>
          <w:szCs w:val="24"/>
          <w:lang w:val="en-US" w:eastAsia="zh-CN"/>
        </w:rPr>
        <w:t>8、</w:t>
      </w:r>
      <w:r>
        <w:rPr>
          <w:rFonts w:hint="eastAsia" w:ascii="仿宋" w:hAnsi="仿宋" w:eastAsia="仿宋" w:cs="仿宋"/>
          <w:b w:val="0"/>
          <w:bCs w:val="0"/>
          <w:color w:val="auto"/>
          <w:sz w:val="24"/>
          <w:szCs w:val="24"/>
          <w:lang w:val="en-US" w:eastAsia="zh-CN"/>
        </w:rPr>
        <w:t>报价时必须上传</w:t>
      </w:r>
      <w:r>
        <w:rPr>
          <w:rFonts w:hint="eastAsia" w:ascii="仿宋" w:hAnsi="仿宋" w:eastAsia="仿宋" w:cs="仿宋"/>
          <w:b w:val="0"/>
          <w:bCs w:val="0"/>
          <w:color w:val="auto"/>
          <w:sz w:val="24"/>
          <w:szCs w:val="24"/>
        </w:rPr>
        <w:t>售后服务承诺函</w:t>
      </w:r>
      <w:r>
        <w:rPr>
          <w:rFonts w:hint="eastAsia" w:cs="仿宋"/>
          <w:b w:val="0"/>
          <w:bCs w:val="0"/>
          <w:color w:val="auto"/>
          <w:sz w:val="24"/>
          <w:szCs w:val="24"/>
          <w:lang w:eastAsia="zh-CN"/>
        </w:rPr>
        <w:t>。</w:t>
      </w:r>
    </w:p>
    <w:p w14:paraId="6A8B1716">
      <w:pPr>
        <w:pStyle w:val="16"/>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textAlignment w:val="auto"/>
        <w:rPr>
          <w:rFonts w:hint="eastAsia"/>
          <w:lang w:eastAsia="zh-CN"/>
        </w:rPr>
      </w:pPr>
      <w:r>
        <w:rPr>
          <w:rFonts w:hint="eastAsia" w:cs="仿宋"/>
          <w:color w:val="auto"/>
          <w:kern w:val="2"/>
          <w:sz w:val="24"/>
          <w:szCs w:val="24"/>
          <w:lang w:val="en-US" w:eastAsia="zh-CN" w:bidi="ar-SA"/>
        </w:rPr>
        <w:t>9</w:t>
      </w:r>
      <w:r>
        <w:rPr>
          <w:rFonts w:hint="eastAsia" w:ascii="仿宋" w:hAnsi="仿宋" w:eastAsia="仿宋" w:cs="仿宋"/>
          <w:color w:val="auto"/>
          <w:kern w:val="2"/>
          <w:sz w:val="24"/>
          <w:szCs w:val="24"/>
          <w:lang w:val="en-US" w:eastAsia="zh-CN" w:bidi="ar-SA"/>
        </w:rPr>
        <w:t>.须提供以上证明材料</w:t>
      </w:r>
      <w:r>
        <w:rPr>
          <w:rFonts w:hint="eastAsia" w:cs="仿宋"/>
          <w:color w:val="auto"/>
          <w:kern w:val="2"/>
          <w:sz w:val="24"/>
          <w:szCs w:val="24"/>
          <w:lang w:val="en-US" w:eastAsia="zh-CN" w:bidi="ar-SA"/>
        </w:rPr>
        <w:t>，</w:t>
      </w:r>
      <w:r>
        <w:rPr>
          <w:rFonts w:hint="eastAsia" w:ascii="仿宋" w:hAnsi="仿宋" w:eastAsia="仿宋" w:cs="仿宋"/>
          <w:color w:val="auto"/>
          <w:kern w:val="2"/>
          <w:sz w:val="24"/>
          <w:szCs w:val="24"/>
          <w:lang w:val="en-US" w:eastAsia="zh-CN" w:bidi="ar-SA"/>
        </w:rPr>
        <w:t>在报价时一并上传加盖公章的PDF版。</w:t>
      </w:r>
    </w:p>
    <w:p w14:paraId="6D0A8484">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2" w:firstLineChars="200"/>
        <w:jc w:val="left"/>
        <w:textAlignment w:val="auto"/>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sz w:val="24"/>
          <w:szCs w:val="24"/>
          <w:lang w:eastAsia="zh-CN"/>
        </w:rPr>
        <w:t>八、</w:t>
      </w:r>
      <w:r>
        <w:rPr>
          <w:rFonts w:hint="eastAsia" w:ascii="仿宋" w:hAnsi="仿宋" w:eastAsia="仿宋" w:cs="仿宋"/>
          <w:b/>
          <w:bCs/>
          <w:sz w:val="24"/>
          <w:szCs w:val="24"/>
        </w:rPr>
        <w:t>货物名称、规格型号、数量及金额</w:t>
      </w:r>
      <w:bookmarkStart w:id="0" w:name="_GoBack"/>
      <w:bookmarkEnd w:id="0"/>
    </w:p>
    <w:tbl>
      <w:tblPr>
        <w:tblStyle w:val="9"/>
        <w:tblW w:w="8311" w:type="dxa"/>
        <w:tblInd w:w="0" w:type="dxa"/>
        <w:tblLayout w:type="fixed"/>
        <w:tblCellMar>
          <w:top w:w="0" w:type="dxa"/>
          <w:left w:w="108" w:type="dxa"/>
          <w:bottom w:w="0" w:type="dxa"/>
          <w:right w:w="108" w:type="dxa"/>
        </w:tblCellMar>
      </w:tblPr>
      <w:tblGrid>
        <w:gridCol w:w="1006"/>
        <w:gridCol w:w="1275"/>
        <w:gridCol w:w="1380"/>
        <w:gridCol w:w="1335"/>
        <w:gridCol w:w="3315"/>
      </w:tblGrid>
      <w:tr w14:paraId="5541FDAB">
        <w:tblPrEx>
          <w:tblCellMar>
            <w:top w:w="0" w:type="dxa"/>
            <w:left w:w="108" w:type="dxa"/>
            <w:bottom w:w="0" w:type="dxa"/>
            <w:right w:w="108" w:type="dxa"/>
          </w:tblCellMar>
        </w:tblPrEx>
        <w:trPr>
          <w:trHeight w:val="276" w:hRule="atLeast"/>
        </w:trPr>
        <w:tc>
          <w:tcPr>
            <w:tcW w:w="1006" w:type="dxa"/>
            <w:tcBorders>
              <w:top w:val="nil"/>
              <w:left w:val="single" w:color="auto" w:sz="4" w:space="0"/>
              <w:bottom w:val="single" w:color="auto" w:sz="4" w:space="0"/>
              <w:right w:val="single" w:color="auto" w:sz="4" w:space="0"/>
            </w:tcBorders>
            <w:shd w:val="clear" w:color="auto" w:fill="auto"/>
            <w:vAlign w:val="center"/>
          </w:tcPr>
          <w:p w14:paraId="4FCCDD8C">
            <w:pPr>
              <w:widowControl/>
              <w:jc w:val="center"/>
              <w:rPr>
                <w:rFonts w:hint="eastAsia" w:ascii="仿宋" w:hAnsi="仿宋" w:eastAsia="仿宋" w:cs="宋体"/>
                <w:color w:val="000000"/>
                <w:kern w:val="0"/>
                <w:sz w:val="22"/>
                <w14:ligatures w14:val="none"/>
              </w:rPr>
            </w:pPr>
            <w:r>
              <w:rPr>
                <w:rFonts w:hint="eastAsia" w:ascii="仿宋" w:hAnsi="仿宋" w:eastAsia="仿宋" w:cs="宋体"/>
                <w:color w:val="000000"/>
                <w:kern w:val="0"/>
                <w:sz w:val="22"/>
                <w14:ligatures w14:val="none"/>
              </w:rPr>
              <w:t>序号</w:t>
            </w:r>
          </w:p>
        </w:tc>
        <w:tc>
          <w:tcPr>
            <w:tcW w:w="1275" w:type="dxa"/>
            <w:tcBorders>
              <w:top w:val="nil"/>
              <w:left w:val="nil"/>
              <w:bottom w:val="single" w:color="auto" w:sz="4" w:space="0"/>
              <w:right w:val="single" w:color="auto" w:sz="4" w:space="0"/>
            </w:tcBorders>
            <w:shd w:val="clear" w:color="auto" w:fill="auto"/>
            <w:vAlign w:val="center"/>
          </w:tcPr>
          <w:p w14:paraId="30DC1B29">
            <w:pPr>
              <w:widowControl/>
              <w:jc w:val="center"/>
              <w:rPr>
                <w:rFonts w:hint="eastAsia" w:ascii="仿宋" w:hAnsi="仿宋" w:eastAsia="仿宋" w:cs="宋体"/>
                <w:color w:val="000000"/>
                <w:kern w:val="0"/>
                <w:sz w:val="22"/>
                <w14:ligatures w14:val="none"/>
              </w:rPr>
            </w:pPr>
            <w:r>
              <w:rPr>
                <w:rFonts w:hint="eastAsia" w:ascii="仿宋" w:hAnsi="仿宋" w:eastAsia="仿宋" w:cs="宋体"/>
                <w:color w:val="000000"/>
                <w:kern w:val="0"/>
                <w:sz w:val="22"/>
                <w14:ligatures w14:val="none"/>
              </w:rPr>
              <w:t>品名</w:t>
            </w:r>
          </w:p>
        </w:tc>
        <w:tc>
          <w:tcPr>
            <w:tcW w:w="1380" w:type="dxa"/>
            <w:tcBorders>
              <w:top w:val="nil"/>
              <w:left w:val="nil"/>
              <w:bottom w:val="single" w:color="auto" w:sz="4" w:space="0"/>
              <w:right w:val="single" w:color="auto" w:sz="4" w:space="0"/>
            </w:tcBorders>
            <w:shd w:val="clear" w:color="auto" w:fill="auto"/>
            <w:vAlign w:val="center"/>
          </w:tcPr>
          <w:p w14:paraId="49BA9439">
            <w:pPr>
              <w:widowControl/>
              <w:jc w:val="center"/>
              <w:rPr>
                <w:rFonts w:hint="eastAsia" w:ascii="仿宋" w:hAnsi="仿宋" w:eastAsia="仿宋" w:cs="宋体"/>
                <w:color w:val="000000"/>
                <w:kern w:val="0"/>
                <w:sz w:val="22"/>
                <w:lang w:eastAsia="zh-CN"/>
                <w14:ligatures w14:val="none"/>
              </w:rPr>
            </w:pPr>
            <w:r>
              <w:rPr>
                <w:rFonts w:hint="eastAsia" w:ascii="仿宋" w:hAnsi="仿宋" w:eastAsia="仿宋" w:cs="宋体"/>
                <w:color w:val="000000"/>
                <w:kern w:val="0"/>
                <w:sz w:val="22"/>
                <w14:ligatures w14:val="none"/>
              </w:rPr>
              <w:t>用料</w:t>
            </w:r>
            <w:r>
              <w:rPr>
                <w:rFonts w:hint="eastAsia" w:ascii="仿宋" w:hAnsi="仿宋" w:eastAsia="仿宋" w:cs="宋体"/>
                <w:color w:val="000000"/>
                <w:kern w:val="0"/>
                <w:sz w:val="22"/>
                <w:lang w:eastAsia="zh-CN"/>
                <w14:ligatures w14:val="none"/>
              </w:rPr>
              <w:t>（</w:t>
            </w:r>
            <w:r>
              <w:rPr>
                <w:rFonts w:hint="eastAsia" w:ascii="仿宋" w:hAnsi="仿宋" w:eastAsia="仿宋" w:cs="宋体"/>
                <w:color w:val="000000"/>
                <w:kern w:val="0"/>
                <w:sz w:val="22"/>
                <w:lang w:val="en-US" w:eastAsia="zh-CN"/>
                <w14:ligatures w14:val="none"/>
              </w:rPr>
              <w:t>m</w:t>
            </w:r>
            <w:r>
              <w:rPr>
                <w:rFonts w:hint="eastAsia" w:ascii="仿宋" w:hAnsi="仿宋" w:eastAsia="仿宋" w:cs="宋体"/>
                <w:color w:val="000000"/>
                <w:kern w:val="0"/>
                <w:sz w:val="22"/>
                <w:lang w:eastAsia="zh-CN"/>
                <w14:ligatures w14:val="none"/>
              </w:rPr>
              <w:t>）</w:t>
            </w:r>
          </w:p>
        </w:tc>
        <w:tc>
          <w:tcPr>
            <w:tcW w:w="1335" w:type="dxa"/>
            <w:tcBorders>
              <w:top w:val="nil"/>
              <w:left w:val="nil"/>
              <w:bottom w:val="single" w:color="auto" w:sz="4" w:space="0"/>
              <w:right w:val="single" w:color="auto" w:sz="4" w:space="0"/>
            </w:tcBorders>
            <w:shd w:val="clear" w:color="auto" w:fill="auto"/>
            <w:vAlign w:val="center"/>
          </w:tcPr>
          <w:p w14:paraId="68BDE90F">
            <w:pPr>
              <w:widowControl/>
              <w:jc w:val="center"/>
              <w:rPr>
                <w:rFonts w:hint="eastAsia" w:ascii="仿宋" w:hAnsi="仿宋" w:eastAsia="仿宋" w:cs="宋体"/>
                <w:color w:val="000000"/>
                <w:kern w:val="0"/>
                <w:sz w:val="22"/>
                <w:lang w:eastAsia="zh-CN"/>
                <w14:ligatures w14:val="none"/>
              </w:rPr>
            </w:pPr>
            <w:r>
              <w:rPr>
                <w:rFonts w:hint="eastAsia" w:ascii="仿宋" w:hAnsi="仿宋" w:eastAsia="仿宋" w:cs="宋体"/>
                <w:color w:val="000000"/>
                <w:kern w:val="0"/>
                <w:sz w:val="22"/>
                <w:lang w:eastAsia="zh-CN"/>
                <w14:ligatures w14:val="none"/>
              </w:rPr>
              <w:t>单价</w:t>
            </w:r>
            <w:r>
              <w:rPr>
                <w:rFonts w:hint="eastAsia" w:ascii="仿宋" w:hAnsi="仿宋" w:eastAsia="仿宋" w:cs="宋体"/>
                <w:color w:val="000000"/>
                <w:kern w:val="0"/>
                <w:sz w:val="22"/>
                <w:lang w:val="en-US" w:eastAsia="zh-CN"/>
                <w14:ligatures w14:val="none"/>
              </w:rPr>
              <w:t>/</w:t>
            </w:r>
            <w:r>
              <w:rPr>
                <w:rFonts w:hint="eastAsia" w:ascii="仿宋" w:hAnsi="仿宋" w:eastAsia="仿宋" w:cs="宋体"/>
                <w:color w:val="000000"/>
                <w:kern w:val="0"/>
                <w:sz w:val="22"/>
                <w:lang w:eastAsia="zh-CN"/>
                <w14:ligatures w14:val="none"/>
              </w:rPr>
              <w:t>元</w:t>
            </w:r>
          </w:p>
        </w:tc>
        <w:tc>
          <w:tcPr>
            <w:tcW w:w="3315" w:type="dxa"/>
            <w:tcBorders>
              <w:top w:val="nil"/>
              <w:left w:val="nil"/>
              <w:bottom w:val="single" w:color="auto" w:sz="4" w:space="0"/>
              <w:right w:val="single" w:color="auto" w:sz="4" w:space="0"/>
            </w:tcBorders>
            <w:shd w:val="clear" w:color="auto" w:fill="auto"/>
            <w:vAlign w:val="center"/>
          </w:tcPr>
          <w:p w14:paraId="7D4E34E3">
            <w:pPr>
              <w:widowControl/>
              <w:jc w:val="center"/>
              <w:rPr>
                <w:rFonts w:hint="eastAsia" w:ascii="仿宋" w:hAnsi="仿宋" w:eastAsia="仿宋" w:cs="宋体"/>
                <w:color w:val="000000"/>
                <w:kern w:val="0"/>
                <w:sz w:val="22"/>
                <w14:ligatures w14:val="none"/>
              </w:rPr>
            </w:pPr>
            <w:r>
              <w:rPr>
                <w:rFonts w:hint="eastAsia" w:ascii="仿宋" w:hAnsi="仿宋" w:eastAsia="仿宋" w:cs="宋体"/>
                <w:color w:val="000000"/>
                <w:kern w:val="0"/>
                <w:sz w:val="22"/>
                <w14:ligatures w14:val="none"/>
              </w:rPr>
              <w:t>备注</w:t>
            </w:r>
          </w:p>
        </w:tc>
      </w:tr>
      <w:tr w14:paraId="7864EA2E">
        <w:tblPrEx>
          <w:tblCellMar>
            <w:top w:w="0" w:type="dxa"/>
            <w:left w:w="108" w:type="dxa"/>
            <w:bottom w:w="0" w:type="dxa"/>
            <w:right w:w="108" w:type="dxa"/>
          </w:tblCellMar>
        </w:tblPrEx>
        <w:trPr>
          <w:trHeight w:val="505" w:hRule="atLeast"/>
        </w:trPr>
        <w:tc>
          <w:tcPr>
            <w:tcW w:w="1006" w:type="dxa"/>
            <w:tcBorders>
              <w:top w:val="nil"/>
              <w:left w:val="single" w:color="auto" w:sz="4" w:space="0"/>
              <w:bottom w:val="single" w:color="auto" w:sz="4" w:space="0"/>
              <w:right w:val="single" w:color="auto" w:sz="4" w:space="0"/>
            </w:tcBorders>
            <w:shd w:val="clear" w:color="auto" w:fill="auto"/>
            <w:vAlign w:val="bottom"/>
          </w:tcPr>
          <w:p w14:paraId="006FFF82">
            <w:pPr>
              <w:widowControl/>
              <w:jc w:val="right"/>
              <w:rPr>
                <w:rFonts w:hint="eastAsia" w:ascii="仿宋" w:hAnsi="仿宋" w:eastAsia="仿宋" w:cs="宋体"/>
                <w:color w:val="000000"/>
                <w:kern w:val="0"/>
                <w:sz w:val="22"/>
                <w14:ligatures w14:val="none"/>
              </w:rPr>
            </w:pPr>
            <w:r>
              <w:rPr>
                <w:rFonts w:hint="eastAsia" w:ascii="仿宋" w:hAnsi="仿宋" w:eastAsia="仿宋" w:cs="宋体"/>
                <w:color w:val="000000"/>
                <w:kern w:val="0"/>
                <w:sz w:val="22"/>
                <w14:ligatures w14:val="none"/>
              </w:rPr>
              <w:t>1</w:t>
            </w:r>
          </w:p>
        </w:tc>
        <w:tc>
          <w:tcPr>
            <w:tcW w:w="1275" w:type="dxa"/>
            <w:tcBorders>
              <w:top w:val="nil"/>
              <w:left w:val="nil"/>
              <w:bottom w:val="single" w:color="auto" w:sz="4" w:space="0"/>
              <w:right w:val="single" w:color="auto" w:sz="4" w:space="0"/>
            </w:tcBorders>
            <w:shd w:val="clear" w:color="auto" w:fill="auto"/>
            <w:vAlign w:val="bottom"/>
          </w:tcPr>
          <w:p w14:paraId="0FA9C31B">
            <w:pPr>
              <w:widowControl/>
              <w:jc w:val="left"/>
              <w:rPr>
                <w:rFonts w:hint="eastAsia" w:ascii="仿宋" w:hAnsi="仿宋" w:eastAsia="仿宋" w:cs="宋体"/>
                <w:color w:val="000000"/>
                <w:kern w:val="0"/>
                <w:sz w:val="22"/>
                <w14:ligatures w14:val="none"/>
              </w:rPr>
            </w:pPr>
            <w:r>
              <w:rPr>
                <w:rFonts w:hint="eastAsia" w:ascii="仿宋" w:hAnsi="仿宋" w:eastAsia="仿宋" w:cs="宋体"/>
                <w:color w:val="000000"/>
                <w:kern w:val="0"/>
                <w:sz w:val="22"/>
                <w14:ligatures w14:val="none"/>
              </w:rPr>
              <w:t>遮光窗帘</w:t>
            </w:r>
          </w:p>
        </w:tc>
        <w:tc>
          <w:tcPr>
            <w:tcW w:w="1380" w:type="dxa"/>
            <w:tcBorders>
              <w:top w:val="nil"/>
              <w:left w:val="nil"/>
              <w:bottom w:val="single" w:color="auto" w:sz="4" w:space="0"/>
              <w:right w:val="single" w:color="auto" w:sz="4" w:space="0"/>
            </w:tcBorders>
            <w:shd w:val="clear" w:color="auto" w:fill="auto"/>
            <w:vAlign w:val="bottom"/>
          </w:tcPr>
          <w:p w14:paraId="670D9D26">
            <w:pPr>
              <w:widowControl/>
              <w:jc w:val="center"/>
              <w:rPr>
                <w:rFonts w:hint="default" w:ascii="仿宋" w:hAnsi="仿宋" w:eastAsia="仿宋" w:cs="宋体"/>
                <w:color w:val="000000"/>
                <w:kern w:val="0"/>
                <w:sz w:val="22"/>
                <w:lang w:val="en-US" w:eastAsia="zh-CN"/>
                <w14:ligatures w14:val="none"/>
              </w:rPr>
            </w:pPr>
            <w:r>
              <w:rPr>
                <w:rFonts w:hint="eastAsia" w:ascii="仿宋" w:hAnsi="仿宋" w:eastAsia="仿宋" w:cs="宋体"/>
                <w:color w:val="000000"/>
                <w:kern w:val="0"/>
                <w:sz w:val="22"/>
                <w:lang w:val="en-US" w:eastAsia="zh-CN"/>
                <w14:ligatures w14:val="none"/>
              </w:rPr>
              <w:t>851</w:t>
            </w:r>
          </w:p>
        </w:tc>
        <w:tc>
          <w:tcPr>
            <w:tcW w:w="1335" w:type="dxa"/>
            <w:tcBorders>
              <w:top w:val="nil"/>
              <w:left w:val="nil"/>
              <w:bottom w:val="single" w:color="auto" w:sz="4" w:space="0"/>
              <w:right w:val="single" w:color="auto" w:sz="4" w:space="0"/>
            </w:tcBorders>
            <w:shd w:val="clear" w:color="auto" w:fill="auto"/>
            <w:vAlign w:val="bottom"/>
          </w:tcPr>
          <w:p w14:paraId="5A1A59F1">
            <w:pPr>
              <w:widowControl/>
              <w:jc w:val="center"/>
              <w:rPr>
                <w:rFonts w:hint="default" w:ascii="仿宋" w:hAnsi="仿宋" w:eastAsia="仿宋" w:cs="宋体"/>
                <w:color w:val="000000"/>
                <w:kern w:val="0"/>
                <w:sz w:val="22"/>
                <w:lang w:val="en-US" w:eastAsia="zh-CN"/>
                <w14:ligatures w14:val="none"/>
              </w:rPr>
            </w:pPr>
          </w:p>
        </w:tc>
        <w:tc>
          <w:tcPr>
            <w:tcW w:w="3315" w:type="dxa"/>
            <w:vMerge w:val="restart"/>
            <w:tcBorders>
              <w:top w:val="nil"/>
              <w:left w:val="nil"/>
              <w:right w:val="single" w:color="auto" w:sz="4" w:space="0"/>
            </w:tcBorders>
            <w:shd w:val="clear" w:color="auto" w:fill="auto"/>
            <w:vAlign w:val="bottom"/>
          </w:tcPr>
          <w:p w14:paraId="1B18E36E">
            <w:pPr>
              <w:widowControl/>
              <w:jc w:val="left"/>
              <w:rPr>
                <w:rFonts w:hint="eastAsia" w:ascii="仿宋" w:hAnsi="仿宋" w:eastAsia="仿宋" w:cs="宋体"/>
                <w:color w:val="000000"/>
                <w:kern w:val="0"/>
                <w:sz w:val="22"/>
                <w:lang w:eastAsia="zh-CN"/>
                <w14:ligatures w14:val="none"/>
              </w:rPr>
            </w:pPr>
            <w:r>
              <w:rPr>
                <w:rFonts w:hint="eastAsia" w:ascii="仿宋" w:hAnsi="仿宋" w:eastAsia="仿宋" w:cs="宋体"/>
                <w:color w:val="000000"/>
                <w:kern w:val="0"/>
                <w:sz w:val="22"/>
                <w14:ligatures w14:val="none"/>
              </w:rPr>
              <w:t>　</w:t>
            </w:r>
            <w:r>
              <w:rPr>
                <w:rFonts w:hint="eastAsia" w:ascii="仿宋" w:hAnsi="仿宋" w:eastAsia="仿宋" w:cs="宋体"/>
                <w:color w:val="000000"/>
                <w:kern w:val="0"/>
                <w:sz w:val="22"/>
                <w:lang w:eastAsia="zh-CN"/>
                <w14:ligatures w14:val="none"/>
              </w:rPr>
              <w:t>最终结算以实际用量为准。</w:t>
            </w:r>
          </w:p>
          <w:p w14:paraId="6F433179">
            <w:pPr>
              <w:widowControl/>
              <w:jc w:val="left"/>
              <w:rPr>
                <w:rFonts w:hint="eastAsia" w:ascii="仿宋" w:hAnsi="仿宋" w:eastAsia="仿宋" w:cs="宋体"/>
                <w:color w:val="000000"/>
                <w:kern w:val="0"/>
                <w:sz w:val="22"/>
                <w14:ligatures w14:val="none"/>
              </w:rPr>
            </w:pPr>
            <w:r>
              <w:rPr>
                <w:rFonts w:hint="eastAsia" w:ascii="仿宋" w:hAnsi="仿宋" w:eastAsia="仿宋" w:cs="宋体"/>
                <w:color w:val="000000"/>
                <w:kern w:val="0"/>
                <w:sz w:val="22"/>
                <w14:ligatures w14:val="none"/>
              </w:rPr>
              <w:t>　</w:t>
            </w:r>
          </w:p>
          <w:p w14:paraId="682B4696">
            <w:pPr>
              <w:widowControl/>
              <w:jc w:val="left"/>
              <w:rPr>
                <w:rFonts w:hint="eastAsia" w:ascii="仿宋" w:hAnsi="仿宋" w:eastAsia="仿宋" w:cs="宋体"/>
                <w:color w:val="000000"/>
                <w:kern w:val="0"/>
                <w:sz w:val="22"/>
                <w14:ligatures w14:val="none"/>
              </w:rPr>
            </w:pPr>
            <w:r>
              <w:rPr>
                <w:rFonts w:hint="eastAsia" w:ascii="仿宋" w:hAnsi="仿宋" w:eastAsia="仿宋" w:cs="宋体"/>
                <w:color w:val="000000"/>
                <w:kern w:val="0"/>
                <w:sz w:val="22"/>
                <w14:ligatures w14:val="none"/>
              </w:rPr>
              <w:t>　</w:t>
            </w:r>
          </w:p>
          <w:p w14:paraId="5E488BA4">
            <w:pPr>
              <w:widowControl/>
              <w:jc w:val="left"/>
              <w:rPr>
                <w:rFonts w:hint="eastAsia" w:ascii="仿宋" w:hAnsi="仿宋" w:eastAsia="仿宋" w:cs="宋体"/>
                <w:color w:val="000000"/>
                <w:kern w:val="0"/>
                <w:sz w:val="22"/>
                <w14:ligatures w14:val="none"/>
              </w:rPr>
            </w:pPr>
            <w:r>
              <w:rPr>
                <w:rFonts w:hint="eastAsia" w:ascii="仿宋" w:hAnsi="仿宋" w:eastAsia="仿宋" w:cs="宋体"/>
                <w:color w:val="000000"/>
                <w:kern w:val="0"/>
                <w:sz w:val="22"/>
                <w14:ligatures w14:val="none"/>
              </w:rPr>
              <w:t>　</w:t>
            </w:r>
          </w:p>
          <w:p w14:paraId="1C967444">
            <w:pPr>
              <w:widowControl/>
              <w:jc w:val="left"/>
              <w:rPr>
                <w:rFonts w:hint="eastAsia" w:ascii="仿宋" w:hAnsi="仿宋" w:eastAsia="仿宋" w:cs="宋体"/>
                <w:color w:val="000000"/>
                <w:kern w:val="0"/>
                <w:sz w:val="22"/>
                <w14:ligatures w14:val="none"/>
              </w:rPr>
            </w:pPr>
            <w:r>
              <w:rPr>
                <w:rFonts w:hint="eastAsia" w:ascii="仿宋" w:hAnsi="仿宋" w:eastAsia="仿宋" w:cs="宋体"/>
                <w:color w:val="000000"/>
                <w:kern w:val="0"/>
                <w:sz w:val="22"/>
                <w14:ligatures w14:val="none"/>
              </w:rPr>
              <w:t>　</w:t>
            </w:r>
          </w:p>
          <w:p w14:paraId="330A4AE7">
            <w:pPr>
              <w:widowControl/>
              <w:jc w:val="left"/>
              <w:rPr>
                <w:rFonts w:hint="eastAsia" w:ascii="仿宋" w:hAnsi="仿宋" w:eastAsia="仿宋" w:cs="宋体"/>
                <w:color w:val="000000"/>
                <w:kern w:val="0"/>
                <w:sz w:val="22"/>
                <w14:ligatures w14:val="none"/>
              </w:rPr>
            </w:pPr>
            <w:r>
              <w:rPr>
                <w:rFonts w:hint="eastAsia" w:ascii="仿宋" w:hAnsi="仿宋" w:eastAsia="仿宋" w:cs="宋体"/>
                <w:color w:val="000000"/>
                <w:kern w:val="0"/>
                <w:sz w:val="22"/>
                <w14:ligatures w14:val="none"/>
              </w:rPr>
              <w:t>　</w:t>
            </w:r>
          </w:p>
        </w:tc>
      </w:tr>
      <w:tr w14:paraId="15E11CCB">
        <w:tblPrEx>
          <w:tblCellMar>
            <w:top w:w="0" w:type="dxa"/>
            <w:left w:w="108" w:type="dxa"/>
            <w:bottom w:w="0" w:type="dxa"/>
            <w:right w:w="108" w:type="dxa"/>
          </w:tblCellMar>
        </w:tblPrEx>
        <w:trPr>
          <w:trHeight w:val="490" w:hRule="atLeast"/>
        </w:trPr>
        <w:tc>
          <w:tcPr>
            <w:tcW w:w="1006" w:type="dxa"/>
            <w:tcBorders>
              <w:top w:val="nil"/>
              <w:left w:val="single" w:color="auto" w:sz="4" w:space="0"/>
              <w:bottom w:val="single" w:color="auto" w:sz="4" w:space="0"/>
              <w:right w:val="single" w:color="auto" w:sz="4" w:space="0"/>
            </w:tcBorders>
            <w:shd w:val="clear" w:color="auto" w:fill="auto"/>
            <w:vAlign w:val="bottom"/>
          </w:tcPr>
          <w:p w14:paraId="0B6E9D04">
            <w:pPr>
              <w:widowControl/>
              <w:jc w:val="both"/>
              <w:rPr>
                <w:rFonts w:hint="eastAsia" w:ascii="仿宋" w:hAnsi="仿宋" w:eastAsia="仿宋" w:cs="宋体"/>
                <w:color w:val="000000"/>
                <w:kern w:val="0"/>
                <w:sz w:val="22"/>
                <w14:ligatures w14:val="none"/>
              </w:rPr>
            </w:pPr>
          </w:p>
        </w:tc>
        <w:tc>
          <w:tcPr>
            <w:tcW w:w="1275" w:type="dxa"/>
            <w:tcBorders>
              <w:top w:val="nil"/>
              <w:left w:val="nil"/>
              <w:bottom w:val="single" w:color="auto" w:sz="4" w:space="0"/>
              <w:right w:val="single" w:color="auto" w:sz="4" w:space="0"/>
            </w:tcBorders>
            <w:shd w:val="clear" w:color="auto" w:fill="auto"/>
            <w:vAlign w:val="bottom"/>
          </w:tcPr>
          <w:p w14:paraId="189FF0E7">
            <w:pPr>
              <w:widowControl/>
              <w:jc w:val="left"/>
              <w:rPr>
                <w:rFonts w:hint="eastAsia" w:ascii="仿宋" w:hAnsi="仿宋" w:eastAsia="仿宋" w:cs="宋体"/>
                <w:color w:val="000000"/>
                <w:kern w:val="0"/>
                <w:sz w:val="22"/>
                <w14:ligatures w14:val="none"/>
              </w:rPr>
            </w:pPr>
          </w:p>
        </w:tc>
        <w:tc>
          <w:tcPr>
            <w:tcW w:w="1380" w:type="dxa"/>
            <w:tcBorders>
              <w:top w:val="nil"/>
              <w:left w:val="nil"/>
              <w:bottom w:val="single" w:color="auto" w:sz="4" w:space="0"/>
              <w:right w:val="single" w:color="auto" w:sz="4" w:space="0"/>
            </w:tcBorders>
            <w:shd w:val="clear" w:color="auto" w:fill="auto"/>
            <w:vAlign w:val="bottom"/>
          </w:tcPr>
          <w:p w14:paraId="6BFC87E6">
            <w:pPr>
              <w:widowControl/>
              <w:jc w:val="center"/>
              <w:rPr>
                <w:rFonts w:hint="eastAsia" w:ascii="仿宋" w:hAnsi="仿宋" w:eastAsia="仿宋" w:cs="宋体"/>
                <w:color w:val="000000"/>
                <w:kern w:val="0"/>
                <w:sz w:val="22"/>
                <w:lang w:val="en-US" w:eastAsia="zh-CN"/>
                <w14:ligatures w14:val="none"/>
              </w:rPr>
            </w:pPr>
          </w:p>
        </w:tc>
        <w:tc>
          <w:tcPr>
            <w:tcW w:w="1335" w:type="dxa"/>
            <w:tcBorders>
              <w:top w:val="nil"/>
              <w:left w:val="nil"/>
              <w:bottom w:val="single" w:color="auto" w:sz="4" w:space="0"/>
              <w:right w:val="single" w:color="auto" w:sz="4" w:space="0"/>
            </w:tcBorders>
            <w:shd w:val="clear" w:color="auto" w:fill="auto"/>
            <w:vAlign w:val="bottom"/>
          </w:tcPr>
          <w:p w14:paraId="6F1CFC60">
            <w:pPr>
              <w:widowControl/>
              <w:jc w:val="center"/>
              <w:rPr>
                <w:rFonts w:hint="default" w:ascii="仿宋" w:hAnsi="仿宋" w:eastAsia="仿宋" w:cs="宋体"/>
                <w:color w:val="000000"/>
                <w:kern w:val="0"/>
                <w:sz w:val="22"/>
                <w:lang w:val="en-US" w:eastAsia="zh-CN"/>
                <w14:ligatures w14:val="none"/>
              </w:rPr>
            </w:pPr>
          </w:p>
        </w:tc>
        <w:tc>
          <w:tcPr>
            <w:tcW w:w="3315" w:type="dxa"/>
            <w:vMerge w:val="continue"/>
            <w:tcBorders>
              <w:left w:val="nil"/>
              <w:right w:val="single" w:color="auto" w:sz="4" w:space="0"/>
            </w:tcBorders>
            <w:shd w:val="clear" w:color="auto" w:fill="auto"/>
            <w:vAlign w:val="bottom"/>
          </w:tcPr>
          <w:p w14:paraId="025B1D6F">
            <w:pPr>
              <w:widowControl/>
              <w:jc w:val="left"/>
              <w:rPr>
                <w:rFonts w:hint="eastAsia" w:ascii="仿宋" w:hAnsi="仿宋" w:eastAsia="仿宋" w:cs="宋体"/>
                <w:color w:val="000000"/>
                <w:kern w:val="0"/>
                <w:sz w:val="22"/>
                <w14:ligatures w14:val="none"/>
              </w:rPr>
            </w:pPr>
          </w:p>
        </w:tc>
      </w:tr>
    </w:tbl>
    <w:p w14:paraId="4612600F">
      <w:pPr>
        <w:keepNext w:val="0"/>
        <w:keepLines w:val="0"/>
        <w:pageBreakBefore w:val="0"/>
        <w:kinsoku/>
        <w:wordWrap/>
        <w:overflowPunct/>
        <w:topLinePunct w:val="0"/>
        <w:autoSpaceDE/>
        <w:autoSpaceDN/>
        <w:bidi w:val="0"/>
        <w:adjustRightInd/>
        <w:snapToGrid/>
        <w:spacing w:line="460" w:lineRule="exact"/>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一、遮光窗帘技术参数</w:t>
      </w:r>
    </w:p>
    <w:p w14:paraId="238707A4">
      <w:pPr>
        <w:pStyle w:val="16"/>
        <w:keepNext w:val="0"/>
        <w:keepLines w:val="0"/>
        <w:pageBreakBefore w:val="0"/>
        <w:numPr>
          <w:ilvl w:val="0"/>
          <w:numId w:val="0"/>
        </w:numPr>
        <w:kinsoku/>
        <w:wordWrap/>
        <w:overflowPunct/>
        <w:topLinePunct w:val="0"/>
        <w:autoSpaceDE/>
        <w:autoSpaceDN/>
        <w:bidi w:val="0"/>
        <w:adjustRightInd/>
        <w:snapToGrid/>
        <w:spacing w:line="460" w:lineRule="exact"/>
        <w:ind w:left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1、品名：HD高精密 </w:t>
      </w:r>
    </w:p>
    <w:p w14:paraId="552A2A39">
      <w:pPr>
        <w:pStyle w:val="16"/>
        <w:keepNext w:val="0"/>
        <w:keepLines w:val="0"/>
        <w:pageBreakBefore w:val="0"/>
        <w:numPr>
          <w:ilvl w:val="0"/>
          <w:numId w:val="0"/>
        </w:numPr>
        <w:kinsoku/>
        <w:wordWrap/>
        <w:overflowPunct/>
        <w:topLinePunct w:val="0"/>
        <w:autoSpaceDE/>
        <w:autoSpaceDN/>
        <w:bidi w:val="0"/>
        <w:adjustRightInd/>
        <w:snapToGrid/>
        <w:spacing w:line="460" w:lineRule="exact"/>
        <w:ind w:left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2、平方克重：900g</w:t>
      </w:r>
    </w:p>
    <w:p w14:paraId="265429C0">
      <w:pPr>
        <w:pStyle w:val="16"/>
        <w:keepNext w:val="0"/>
        <w:keepLines w:val="0"/>
        <w:pageBreakBefore w:val="0"/>
        <w:numPr>
          <w:ilvl w:val="0"/>
          <w:numId w:val="0"/>
        </w:numPr>
        <w:kinsoku/>
        <w:wordWrap/>
        <w:overflowPunct/>
        <w:topLinePunct w:val="0"/>
        <w:autoSpaceDE/>
        <w:autoSpaceDN/>
        <w:bidi w:val="0"/>
        <w:adjustRightInd/>
        <w:snapToGrid/>
        <w:spacing w:line="460" w:lineRule="exact"/>
        <w:ind w:left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3、材质：100%聚酯纤维</w:t>
      </w:r>
    </w:p>
    <w:p w14:paraId="7CC9AD66">
      <w:pPr>
        <w:pStyle w:val="16"/>
        <w:keepNext w:val="0"/>
        <w:keepLines w:val="0"/>
        <w:pageBreakBefore w:val="0"/>
        <w:numPr>
          <w:ilvl w:val="0"/>
          <w:numId w:val="0"/>
        </w:numPr>
        <w:kinsoku/>
        <w:wordWrap/>
        <w:overflowPunct/>
        <w:topLinePunct w:val="0"/>
        <w:autoSpaceDE/>
        <w:autoSpaceDN/>
        <w:bidi w:val="0"/>
        <w:adjustRightInd/>
        <w:snapToGrid/>
        <w:spacing w:line="460" w:lineRule="exact"/>
        <w:ind w:left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4、B1级阻燃</w:t>
      </w:r>
    </w:p>
    <w:p w14:paraId="78E2C77E">
      <w:pPr>
        <w:pStyle w:val="16"/>
        <w:keepNext w:val="0"/>
        <w:keepLines w:val="0"/>
        <w:pageBreakBefore w:val="0"/>
        <w:numPr>
          <w:ilvl w:val="0"/>
          <w:numId w:val="0"/>
        </w:numPr>
        <w:kinsoku/>
        <w:wordWrap/>
        <w:overflowPunct/>
        <w:topLinePunct w:val="0"/>
        <w:autoSpaceDE/>
        <w:autoSpaceDN/>
        <w:bidi w:val="0"/>
        <w:adjustRightInd/>
        <w:snapToGrid/>
        <w:spacing w:line="460" w:lineRule="exact"/>
        <w:ind w:left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5、遮光率</w:t>
      </w:r>
      <w:r>
        <w:rPr>
          <w:rFonts w:hint="eastAsia" w:cs="仿宋"/>
          <w:color w:val="auto"/>
          <w:kern w:val="2"/>
          <w:sz w:val="24"/>
          <w:szCs w:val="24"/>
          <w:lang w:val="en-US" w:eastAsia="zh-CN" w:bidi="ar-SA"/>
        </w:rPr>
        <w:t>90</w:t>
      </w:r>
      <w:r>
        <w:rPr>
          <w:rFonts w:hint="eastAsia" w:ascii="仿宋" w:hAnsi="仿宋" w:eastAsia="仿宋" w:cs="仿宋"/>
          <w:color w:val="auto"/>
          <w:kern w:val="2"/>
          <w:sz w:val="24"/>
          <w:szCs w:val="24"/>
          <w:lang w:val="en-US" w:eastAsia="zh-CN" w:bidi="ar-SA"/>
        </w:rPr>
        <w:t>%</w:t>
      </w:r>
    </w:p>
    <w:p w14:paraId="0C66E279">
      <w:pPr>
        <w:keepNext w:val="0"/>
        <w:keepLines w:val="0"/>
        <w:pageBreakBefore w:val="0"/>
        <w:kinsoku/>
        <w:wordWrap/>
        <w:overflowPunct/>
        <w:topLinePunct w:val="0"/>
        <w:autoSpaceDE/>
        <w:autoSpaceDN/>
        <w:bidi w:val="0"/>
        <w:adjustRightInd/>
        <w:snapToGrid/>
        <w:spacing w:line="460" w:lineRule="exact"/>
        <w:ind w:firstLine="480" w:firstLineChars="200"/>
        <w:rPr>
          <w:rFonts w:hint="default" w:ascii="仿宋" w:hAnsi="仿宋" w:eastAsia="仿宋" w:cs="仿宋"/>
          <w:color w:val="auto"/>
          <w:kern w:val="2"/>
          <w:sz w:val="24"/>
          <w:szCs w:val="24"/>
          <w:lang w:val="en-US" w:eastAsia="zh-CN" w:bidi="ar-SA"/>
        </w:rPr>
      </w:pPr>
    </w:p>
    <w:sectPr>
      <w:pgSz w:w="11905" w:h="16840"/>
      <w:pgMar w:top="1440" w:right="1800" w:bottom="1440" w:left="180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1" w:fontKey="{6B10B0DE-9A38-4E80-A9F0-701BB2E05E5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96585F"/>
    <w:multiLevelType w:val="singleLevel"/>
    <w:tmpl w:val="6C96585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isplayHorizontalDrawingGridEvery w:val="1"/>
  <w:displayVerticalDrawingGridEvery w:val="1"/>
  <w:noPunctuationKerning w:val="1"/>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kNzE2NjYyOWRjNDk4ZGNkY2NmZThkMWExYWRlNDAifQ=="/>
  </w:docVars>
  <w:rsids>
    <w:rsidRoot w:val="00000000"/>
    <w:rsid w:val="012610EC"/>
    <w:rsid w:val="04C11604"/>
    <w:rsid w:val="04F80D9E"/>
    <w:rsid w:val="07807554"/>
    <w:rsid w:val="0854278F"/>
    <w:rsid w:val="08602B5C"/>
    <w:rsid w:val="0A3551FC"/>
    <w:rsid w:val="0BE8391A"/>
    <w:rsid w:val="0C4C3EA9"/>
    <w:rsid w:val="0CBD2189"/>
    <w:rsid w:val="0D3C216F"/>
    <w:rsid w:val="0DB27158"/>
    <w:rsid w:val="0E912047"/>
    <w:rsid w:val="0F256C33"/>
    <w:rsid w:val="0F7B4AA5"/>
    <w:rsid w:val="0F9E64F9"/>
    <w:rsid w:val="130F5C30"/>
    <w:rsid w:val="150D14C3"/>
    <w:rsid w:val="178A6871"/>
    <w:rsid w:val="18477C1A"/>
    <w:rsid w:val="192E4957"/>
    <w:rsid w:val="19E96751"/>
    <w:rsid w:val="203F3DE0"/>
    <w:rsid w:val="21362820"/>
    <w:rsid w:val="22521B69"/>
    <w:rsid w:val="232E3EB1"/>
    <w:rsid w:val="23315D7D"/>
    <w:rsid w:val="23495BF2"/>
    <w:rsid w:val="25DF67A2"/>
    <w:rsid w:val="273E668C"/>
    <w:rsid w:val="28493B9B"/>
    <w:rsid w:val="293E2974"/>
    <w:rsid w:val="294B5E13"/>
    <w:rsid w:val="2AB01A49"/>
    <w:rsid w:val="2BAE2033"/>
    <w:rsid w:val="2C467876"/>
    <w:rsid w:val="2FB00AA0"/>
    <w:rsid w:val="31E0281A"/>
    <w:rsid w:val="31EA40DF"/>
    <w:rsid w:val="337C290A"/>
    <w:rsid w:val="34431811"/>
    <w:rsid w:val="349537A1"/>
    <w:rsid w:val="36FE2A72"/>
    <w:rsid w:val="370570F0"/>
    <w:rsid w:val="3C161465"/>
    <w:rsid w:val="3D51069F"/>
    <w:rsid w:val="3E10092B"/>
    <w:rsid w:val="3F457ABB"/>
    <w:rsid w:val="3FA550A3"/>
    <w:rsid w:val="41957886"/>
    <w:rsid w:val="427E2307"/>
    <w:rsid w:val="434F0F18"/>
    <w:rsid w:val="484C07B1"/>
    <w:rsid w:val="48FC3F85"/>
    <w:rsid w:val="494F014D"/>
    <w:rsid w:val="4C873FB0"/>
    <w:rsid w:val="503D57E9"/>
    <w:rsid w:val="50937B6E"/>
    <w:rsid w:val="50B11149"/>
    <w:rsid w:val="543D781D"/>
    <w:rsid w:val="57C33332"/>
    <w:rsid w:val="5B5A7644"/>
    <w:rsid w:val="5BE86ECA"/>
    <w:rsid w:val="5C737DCF"/>
    <w:rsid w:val="5CEC1CBC"/>
    <w:rsid w:val="5EA02A19"/>
    <w:rsid w:val="61CB0541"/>
    <w:rsid w:val="621C2B4B"/>
    <w:rsid w:val="631D6B7A"/>
    <w:rsid w:val="64E62392"/>
    <w:rsid w:val="65B0191E"/>
    <w:rsid w:val="695435E8"/>
    <w:rsid w:val="698B2A9D"/>
    <w:rsid w:val="69BC1001"/>
    <w:rsid w:val="6AC548C8"/>
    <w:rsid w:val="6BA37E39"/>
    <w:rsid w:val="6CB0546C"/>
    <w:rsid w:val="6CB247D7"/>
    <w:rsid w:val="6DDC69DA"/>
    <w:rsid w:val="6E2D5DD3"/>
    <w:rsid w:val="70780127"/>
    <w:rsid w:val="70B34959"/>
    <w:rsid w:val="73AF20F8"/>
    <w:rsid w:val="76BC3A05"/>
    <w:rsid w:val="76D161A2"/>
    <w:rsid w:val="77162DC0"/>
    <w:rsid w:val="788D60F9"/>
    <w:rsid w:val="79D42231"/>
    <w:rsid w:val="7A573999"/>
    <w:rsid w:val="7A68361F"/>
    <w:rsid w:val="7BB045D8"/>
    <w:rsid w:val="7C6F7956"/>
    <w:rsid w:val="7E221091"/>
    <w:rsid w:val="CEF7FB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sz w:val="21"/>
      <w:szCs w:val="22"/>
    </w:rPr>
  </w:style>
  <w:style w:type="character" w:default="1" w:styleId="11">
    <w:name w:val="Default Paragraph Font"/>
    <w:autoRedefine/>
    <w:qFormat/>
    <w:uiPriority w:val="0"/>
  </w:style>
  <w:style w:type="table" w:default="1" w:styleId="9">
    <w:name w:val="Normal Table"/>
    <w:autoRedefine/>
    <w:qFormat/>
    <w:uiPriority w:val="0"/>
    <w:tblPr>
      <w:tblCellMar>
        <w:top w:w="0" w:type="dxa"/>
        <w:left w:w="108" w:type="dxa"/>
        <w:bottom w:w="0" w:type="dxa"/>
        <w:right w:w="108" w:type="dxa"/>
      </w:tblCellMar>
    </w:tblPr>
  </w:style>
  <w:style w:type="paragraph" w:styleId="2">
    <w:name w:val="Normal Indent"/>
    <w:basedOn w:val="1"/>
    <w:next w:val="1"/>
    <w:autoRedefine/>
    <w:qFormat/>
    <w:uiPriority w:val="99"/>
    <w:pPr>
      <w:ind w:firstLine="420"/>
    </w:pPr>
  </w:style>
  <w:style w:type="paragraph" w:styleId="3">
    <w:name w:val="Body Text"/>
    <w:basedOn w:val="1"/>
    <w:autoRedefine/>
    <w:unhideWhenUsed/>
    <w:qFormat/>
    <w:uiPriority w:val="99"/>
    <w:pPr>
      <w:spacing w:after="120"/>
    </w:pPr>
  </w:style>
  <w:style w:type="paragraph" w:styleId="4">
    <w:name w:val="Body Text Indent"/>
    <w:basedOn w:val="1"/>
    <w:autoRedefine/>
    <w:qFormat/>
    <w:uiPriority w:val="0"/>
    <w:pPr>
      <w:spacing w:after="120" w:afterAutospacing="0"/>
      <w:ind w:left="420" w:leftChars="200"/>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w:basedOn w:val="3"/>
    <w:autoRedefine/>
    <w:qFormat/>
    <w:uiPriority w:val="0"/>
    <w:pPr>
      <w:ind w:firstLine="420" w:firstLineChars="100"/>
    </w:pPr>
    <w:rPr>
      <w:rFonts w:ascii="Times New Roman" w:hAnsi="Times New Roman"/>
      <w:kern w:val="2"/>
      <w:sz w:val="21"/>
      <w:szCs w:val="24"/>
    </w:rPr>
  </w:style>
  <w:style w:type="paragraph" w:styleId="8">
    <w:name w:val="Body Text First Indent 2"/>
    <w:basedOn w:val="4"/>
    <w:autoRedefine/>
    <w:qFormat/>
    <w:uiPriority w:val="0"/>
    <w:pPr>
      <w:ind w:firstLine="420" w:firstLineChars="200"/>
    </w:p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autoRedefine/>
    <w:qFormat/>
    <w:uiPriority w:val="99"/>
    <w:rPr>
      <w:color w:val="0000FF"/>
      <w:u w:val="single"/>
    </w:rPr>
  </w:style>
  <w:style w:type="paragraph" w:customStyle="1" w:styleId="13">
    <w:name w:val="Heading2"/>
    <w:basedOn w:val="1"/>
    <w:next w:val="14"/>
    <w:autoRedefine/>
    <w:qFormat/>
    <w:uiPriority w:val="0"/>
    <w:pPr>
      <w:spacing w:line="240" w:lineRule="atLeast"/>
      <w:ind w:left="1" w:firstLineChars="0"/>
      <w:jc w:val="center"/>
      <w:textAlignment w:val="bottom"/>
    </w:pPr>
    <w:rPr>
      <w:rFonts w:ascii="Times New Roman" w:hAnsi="Times New Roman" w:eastAsia="宋体"/>
      <w:sz w:val="28"/>
      <w:lang w:val="en-US" w:eastAsia="zh-CN" w:bidi="ar-SA"/>
    </w:rPr>
  </w:style>
  <w:style w:type="paragraph" w:customStyle="1" w:styleId="14">
    <w:name w:val="NormalIndent"/>
    <w:basedOn w:val="1"/>
    <w:autoRedefine/>
    <w:qFormat/>
    <w:uiPriority w:val="0"/>
    <w:pPr>
      <w:spacing w:line="240" w:lineRule="auto"/>
      <w:ind w:left="0" w:firstLine="420" w:firstLineChars="200"/>
      <w:jc w:val="both"/>
      <w:textAlignment w:val="auto"/>
    </w:pPr>
    <w:rPr>
      <w:rFonts w:ascii="Calibri" w:hAnsi="Calibri" w:eastAsia="宋体"/>
      <w:kern w:val="2"/>
      <w:sz w:val="21"/>
      <w:szCs w:val="22"/>
      <w:lang w:val="en-US" w:eastAsia="zh-CN" w:bidi="ar-SA"/>
    </w:rPr>
  </w:style>
  <w:style w:type="paragraph" w:customStyle="1" w:styleId="15">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styleId="16">
    <w:name w:val="List Paragraph"/>
    <w:basedOn w:val="1"/>
    <w:autoRedefine/>
    <w:qFormat/>
    <w:uiPriority w:val="1"/>
    <w:pPr>
      <w:ind w:left="215" w:firstLine="641"/>
    </w:pPr>
    <w:rPr>
      <w:rFonts w:ascii="仿宋" w:hAnsi="仿宋" w:eastAsia="仿宋" w:cs="仿宋"/>
    </w:rPr>
  </w:style>
  <w:style w:type="character" w:customStyle="1" w:styleId="17">
    <w:name w:val="font51"/>
    <w:basedOn w:val="11"/>
    <w:autoRedefine/>
    <w:qFormat/>
    <w:uiPriority w:val="0"/>
    <w:rPr>
      <w:rFonts w:hint="eastAsia" w:ascii="宋体" w:hAnsi="宋体" w:eastAsia="宋体" w:cs="宋体"/>
      <w:color w:val="000000"/>
      <w:sz w:val="24"/>
      <w:szCs w:val="24"/>
      <w:u w:val="none"/>
    </w:rPr>
  </w:style>
  <w:style w:type="character" w:customStyle="1" w:styleId="18">
    <w:name w:val="font31"/>
    <w:basedOn w:val="11"/>
    <w:autoRedefine/>
    <w:qFormat/>
    <w:uiPriority w:val="0"/>
    <w:rPr>
      <w:rFonts w:hint="default" w:ascii="Times New Roman" w:hAnsi="Times New Roman" w:cs="Times New Roman"/>
      <w:color w:val="000000"/>
      <w:sz w:val="24"/>
      <w:szCs w:val="24"/>
      <w:u w:val="none"/>
    </w:rPr>
  </w:style>
  <w:style w:type="character" w:customStyle="1" w:styleId="19">
    <w:name w:val="font41"/>
    <w:basedOn w:val="11"/>
    <w:autoRedefine/>
    <w:qFormat/>
    <w:uiPriority w:val="0"/>
    <w:rPr>
      <w:rFonts w:hint="eastAsia" w:ascii="宋体" w:hAnsi="宋体" w:eastAsia="宋体" w:cs="宋体"/>
      <w:color w:val="000000"/>
      <w:sz w:val="24"/>
      <w:szCs w:val="24"/>
      <w:u w:val="none"/>
    </w:rPr>
  </w:style>
  <w:style w:type="character" w:customStyle="1" w:styleId="20">
    <w:name w:val="font01"/>
    <w:basedOn w:val="11"/>
    <w:autoRedefine/>
    <w:qFormat/>
    <w:uiPriority w:val="0"/>
    <w:rPr>
      <w:rFonts w:hint="eastAsia" w:ascii="宋体" w:hAnsi="宋体" w:eastAsia="宋体" w:cs="宋体"/>
      <w:color w:val="000000"/>
      <w:sz w:val="24"/>
      <w:szCs w:val="24"/>
      <w:u w:val="none"/>
    </w:rPr>
  </w:style>
  <w:style w:type="character" w:customStyle="1" w:styleId="21">
    <w:name w:val="font61"/>
    <w:basedOn w:val="11"/>
    <w:autoRedefine/>
    <w:qFormat/>
    <w:uiPriority w:val="0"/>
    <w:rPr>
      <w:rFonts w:hint="default" w:ascii="Times New Roman" w:hAnsi="Times New Roman" w:cs="Times New Roman"/>
      <w:color w:val="000000"/>
      <w:sz w:val="24"/>
      <w:szCs w:val="24"/>
      <w:u w:val="none"/>
    </w:rPr>
  </w:style>
  <w:style w:type="paragraph" w:customStyle="1" w:styleId="22">
    <w:name w:val="Table Paragraph"/>
    <w:basedOn w:val="1"/>
    <w:autoRedefine/>
    <w:qFormat/>
    <w:uiPriority w:val="1"/>
    <w:pPr>
      <w:jc w:val="left"/>
    </w:pPr>
    <w:rPr>
      <w:kern w:val="0"/>
      <w:sz w:val="2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2786</Words>
  <Characters>3190</Characters>
  <Paragraphs>738</Paragraphs>
  <TotalTime>1278</TotalTime>
  <ScaleCrop>false</ScaleCrop>
  <LinksUpToDate>false</LinksUpToDate>
  <CharactersWithSpaces>3211</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2022-08-23T05:20:00Z</dcterms:created>
  <dc:creator>Apache POI</dc:creator>
  <cp:lastModifiedBy>Administrator</cp:lastModifiedBy>
  <cp:lastPrinted>2025-08-01T02:38:56Z</cp:lastPrinted>
  <dcterms:modified xsi:type="dcterms:W3CDTF">2025-08-01T02:39:43Z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0D456D4303D24DF4A1DF123D47FA0FC5_13</vt:lpwstr>
  </property>
  <property fmtid="{D5CDD505-2E9C-101B-9397-08002B2CF9AE}" pid="4" name="KSOTemplateDocerSaveRecord">
    <vt:lpwstr>eyJoZGlkIjoiYjBkNzE2NjYyOWRjNDk4ZGNkY2NmZThkMWExYWRlNDAifQ==</vt:lpwstr>
  </property>
</Properties>
</file>