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b/>
          <w:sz w:val="32"/>
          <w:szCs w:val="32"/>
        </w:rPr>
      </w:pPr>
      <w:r>
        <w:rPr>
          <w:rFonts w:hint="eastAsia" w:ascii="宋体" w:hAnsi="宋体"/>
          <w:b/>
          <w:sz w:val="32"/>
          <w:szCs w:val="32"/>
        </w:rPr>
        <w:t>东莞农村商业银行数据中心离线数据归档存储设备采购项目市场调研项目需求</w:t>
      </w:r>
    </w:p>
    <w:p>
      <w:pPr>
        <w:spacing w:line="360" w:lineRule="auto"/>
        <w:rPr>
          <w:rFonts w:ascii="宋体" w:hAnsi="宋体"/>
          <w:b/>
          <w:szCs w:val="21"/>
        </w:rPr>
      </w:pPr>
    </w:p>
    <w:p>
      <w:pPr>
        <w:spacing w:line="360" w:lineRule="auto"/>
        <w:outlineLvl w:val="0"/>
        <w:rPr>
          <w:rFonts w:ascii="宋体" w:hAnsi="宋体"/>
          <w:b/>
          <w:szCs w:val="21"/>
        </w:rPr>
      </w:pPr>
      <w:r>
        <w:rPr>
          <w:rFonts w:hint="eastAsia" w:ascii="宋体" w:hAnsi="宋体"/>
          <w:b/>
          <w:szCs w:val="21"/>
        </w:rPr>
        <w:t>一、项目信息</w:t>
      </w:r>
    </w:p>
    <w:p>
      <w:pPr>
        <w:widowControl/>
        <w:spacing w:line="360" w:lineRule="auto"/>
        <w:ind w:firstLine="420" w:firstLineChars="200"/>
        <w:rPr>
          <w:rFonts w:cs="仿宋_GB2312" w:asciiTheme="minorEastAsia" w:hAnsiTheme="minorEastAsia" w:eastAsiaTheme="minorEastAsia"/>
          <w:bCs/>
          <w:szCs w:val="21"/>
        </w:rPr>
      </w:pPr>
      <w:r>
        <w:rPr>
          <w:rFonts w:cs="仿宋_GB2312" w:asciiTheme="minorEastAsia" w:hAnsiTheme="minorEastAsia" w:eastAsiaTheme="minorEastAsia"/>
          <w:bCs/>
          <w:szCs w:val="21"/>
        </w:rPr>
        <w:t>项目名称：</w:t>
      </w:r>
      <w:r>
        <w:rPr>
          <w:rFonts w:hint="eastAsia" w:cs="仿宋_GB2312" w:asciiTheme="minorEastAsia" w:hAnsiTheme="minorEastAsia" w:eastAsiaTheme="minorEastAsia"/>
          <w:bCs/>
          <w:szCs w:val="21"/>
        </w:rPr>
        <w:t>东莞农村商业银行数据中心离线数据归档存储设备采购项目</w:t>
      </w:r>
    </w:p>
    <w:p>
      <w:pPr>
        <w:widowControl/>
        <w:spacing w:line="360" w:lineRule="auto"/>
        <w:ind w:firstLine="420" w:firstLineChars="200"/>
        <w:rPr>
          <w:rFonts w:cs="仿宋_GB2312" w:asciiTheme="minorEastAsia" w:hAnsiTheme="minorEastAsia" w:eastAsiaTheme="minorEastAsia"/>
          <w:bCs/>
          <w:szCs w:val="21"/>
        </w:rPr>
      </w:pPr>
      <w:r>
        <w:rPr>
          <w:rFonts w:hint="eastAsia" w:cs="仿宋_GB2312" w:asciiTheme="minorEastAsia" w:hAnsiTheme="minorEastAsia" w:eastAsiaTheme="minorEastAsia"/>
          <w:bCs/>
          <w:szCs w:val="21"/>
          <w:lang w:eastAsia="zh-CN"/>
        </w:rPr>
        <w:t>采购人</w:t>
      </w:r>
      <w:r>
        <w:rPr>
          <w:rFonts w:hint="eastAsia" w:cs="仿宋_GB2312" w:asciiTheme="minorEastAsia" w:hAnsiTheme="minorEastAsia" w:eastAsiaTheme="minorEastAsia"/>
          <w:bCs/>
          <w:szCs w:val="21"/>
        </w:rPr>
        <w:t>：东莞农村商业银行股份有限公司</w:t>
      </w:r>
    </w:p>
    <w:p>
      <w:pPr>
        <w:widowControl/>
        <w:spacing w:line="360" w:lineRule="auto"/>
        <w:ind w:firstLine="420" w:firstLineChars="200"/>
        <w:rPr>
          <w:rFonts w:hint="eastAsia" w:cs="仿宋_GB2312" w:asciiTheme="minorEastAsia" w:hAnsiTheme="minorEastAsia" w:eastAsiaTheme="minorEastAsia"/>
          <w:bCs/>
          <w:szCs w:val="21"/>
        </w:rPr>
      </w:pPr>
      <w:r>
        <w:rPr>
          <w:rFonts w:hint="eastAsia" w:cs="仿宋_GB2312" w:asciiTheme="minorEastAsia" w:hAnsiTheme="minorEastAsia" w:eastAsiaTheme="minorEastAsia"/>
          <w:bCs/>
          <w:szCs w:val="21"/>
        </w:rPr>
        <w:t>维保服务期：本次</w:t>
      </w:r>
      <w:r>
        <w:rPr>
          <w:rFonts w:hint="eastAsia" w:cs="仿宋_GB2312" w:asciiTheme="minorEastAsia" w:hAnsiTheme="minorEastAsia" w:eastAsiaTheme="minorEastAsia"/>
          <w:bCs/>
          <w:szCs w:val="21"/>
          <w:lang w:val="en-US" w:eastAsia="zh-CN"/>
        </w:rPr>
        <w:t>计划</w:t>
      </w:r>
      <w:r>
        <w:rPr>
          <w:rFonts w:hint="eastAsia" w:cs="仿宋_GB2312" w:asciiTheme="minorEastAsia" w:hAnsiTheme="minorEastAsia" w:eastAsiaTheme="minorEastAsia"/>
          <w:bCs/>
          <w:szCs w:val="21"/>
        </w:rPr>
        <w:t>采购的项目</w:t>
      </w:r>
      <w:r>
        <w:rPr>
          <w:rStyle w:val="19"/>
          <w:rFonts w:hint="eastAsia"/>
        </w:rPr>
        <w:t>带</w:t>
      </w:r>
      <w:r>
        <w:rPr>
          <w:rFonts w:hint="eastAsia" w:cs="仿宋_GB2312" w:asciiTheme="minorEastAsia" w:hAnsiTheme="minorEastAsia" w:eastAsiaTheme="minorEastAsia"/>
          <w:bCs/>
          <w:szCs w:val="21"/>
        </w:rPr>
        <w:t>五年的原厂（整机及配件）保修和服务，以原厂服务承诺函为准。</w:t>
      </w:r>
    </w:p>
    <w:p>
      <w:pPr>
        <w:widowControl/>
        <w:spacing w:line="360" w:lineRule="auto"/>
        <w:ind w:firstLine="420" w:firstLineChars="200"/>
        <w:rPr>
          <w:rFonts w:cs="仿宋_GB2312" w:asciiTheme="minorEastAsia" w:hAnsiTheme="minorEastAsia" w:eastAsiaTheme="minorEastAsia"/>
          <w:bCs/>
          <w:color w:val="auto"/>
          <w:szCs w:val="21"/>
          <w:highlight w:val="none"/>
        </w:rPr>
      </w:pPr>
      <w:r>
        <w:rPr>
          <w:rFonts w:hint="eastAsia" w:cs="仿宋_GB2312" w:asciiTheme="minorEastAsia" w:hAnsiTheme="minorEastAsia" w:eastAsiaTheme="minorEastAsia"/>
          <w:bCs/>
          <w:color w:val="auto"/>
          <w:szCs w:val="21"/>
          <w:highlight w:val="none"/>
        </w:rPr>
        <w:t>注意：本次公告属于项目市场调研需求，上述项目概算、预计采购时间只是</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根据自身计划所作估计，并不代表后续任何实质性承诺；另外，本次项目需求调研，属于</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对外寻找相关符合要求的供应商进行交流的意向，并不代表</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对供应商的任何承诺，后续</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将根据自身计划进行项目采购。</w:t>
      </w:r>
      <w:r>
        <w:rPr>
          <w:rFonts w:hint="eastAsia" w:cs="仿宋_GB2312" w:asciiTheme="minorEastAsia" w:hAnsiTheme="minorEastAsia" w:eastAsiaTheme="minorEastAsia"/>
          <w:bCs/>
          <w:color w:val="auto"/>
          <w:szCs w:val="21"/>
          <w:highlight w:val="none"/>
          <w:lang w:val="en-US" w:eastAsia="zh-CN"/>
        </w:rPr>
        <w:t>提供反馈信息的</w:t>
      </w:r>
      <w:r>
        <w:rPr>
          <w:rFonts w:hint="eastAsia" w:cs="仿宋_GB2312" w:asciiTheme="minorEastAsia" w:hAnsiTheme="minorEastAsia" w:eastAsiaTheme="minorEastAsia"/>
          <w:bCs/>
          <w:color w:val="auto"/>
          <w:szCs w:val="21"/>
          <w:highlight w:val="none"/>
        </w:rPr>
        <w:t>供应商或后续参与交流的供应商并不代表已获得</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的认可或获得任何参与后续项目投标、合同方面的承诺。本次项目调研</w:t>
      </w:r>
      <w:r>
        <w:rPr>
          <w:rFonts w:hint="eastAsia" w:cs="仿宋_GB2312" w:asciiTheme="minorEastAsia" w:hAnsiTheme="minorEastAsia" w:eastAsiaTheme="minorEastAsia"/>
          <w:bCs/>
          <w:color w:val="auto"/>
          <w:szCs w:val="21"/>
          <w:highlight w:val="none"/>
          <w:lang w:eastAsia="zh-CN"/>
        </w:rPr>
        <w:t>招标人</w:t>
      </w:r>
      <w:r>
        <w:rPr>
          <w:rFonts w:hint="eastAsia" w:cs="仿宋_GB2312" w:asciiTheme="minorEastAsia" w:hAnsiTheme="minorEastAsia" w:eastAsiaTheme="minorEastAsia"/>
          <w:bCs/>
          <w:color w:val="auto"/>
          <w:szCs w:val="21"/>
          <w:highlight w:val="none"/>
        </w:rPr>
        <w:t>将根据供应商提交的资料情况，择优选择供应商进行现场或线上交流。</w:t>
      </w:r>
    </w:p>
    <w:p>
      <w:pPr>
        <w:pStyle w:val="2"/>
      </w:pPr>
    </w:p>
    <w:p>
      <w:pPr>
        <w:spacing w:line="360" w:lineRule="auto"/>
        <w:outlineLvl w:val="0"/>
        <w:rPr>
          <w:rFonts w:ascii="宋体" w:hAnsi="宋体"/>
          <w:b/>
          <w:szCs w:val="21"/>
        </w:rPr>
      </w:pPr>
      <w:r>
        <w:rPr>
          <w:rFonts w:hint="eastAsia" w:ascii="宋体" w:hAnsi="宋体"/>
          <w:b/>
          <w:szCs w:val="21"/>
        </w:rPr>
        <w:t>二</w:t>
      </w:r>
      <w:r>
        <w:rPr>
          <w:rFonts w:ascii="宋体" w:hAnsi="宋体"/>
          <w:b/>
          <w:szCs w:val="21"/>
        </w:rPr>
        <w:t>、</w:t>
      </w:r>
      <w:r>
        <w:rPr>
          <w:rFonts w:hint="eastAsia" w:ascii="宋体" w:hAnsi="宋体"/>
          <w:b/>
          <w:szCs w:val="21"/>
        </w:rPr>
        <w:t>项目背景</w:t>
      </w:r>
    </w:p>
    <w:p>
      <w:pPr>
        <w:spacing w:line="360" w:lineRule="auto"/>
        <w:ind w:firstLine="420" w:firstLineChars="200"/>
        <w:rPr>
          <w:rFonts w:ascii="宋体" w:hAnsi="宋体" w:cs="宋体"/>
          <w:szCs w:val="21"/>
        </w:rPr>
      </w:pPr>
      <w:r>
        <w:rPr>
          <w:rFonts w:hint="eastAsia" w:ascii="宋体" w:hAnsi="宋体" w:cs="宋体"/>
          <w:szCs w:val="21"/>
          <w:lang w:val="en-US" w:eastAsia="zh-CN"/>
        </w:rPr>
        <w:t>我行一批离线数据需要进行永久保存</w:t>
      </w:r>
      <w:r>
        <w:rPr>
          <w:rFonts w:hint="eastAsia" w:ascii="宋体" w:hAnsi="宋体" w:cs="宋体"/>
          <w:szCs w:val="21"/>
        </w:rPr>
        <w:t>，现开展</w:t>
      </w:r>
      <w:r>
        <w:rPr>
          <w:rFonts w:hint="eastAsia" w:ascii="宋体" w:hAnsi="宋体" w:cs="宋体"/>
          <w:szCs w:val="21"/>
          <w:lang w:val="en-US" w:eastAsia="zh-CN"/>
        </w:rPr>
        <w:t>离线数据保存存储（介质）市场调研</w:t>
      </w:r>
      <w:r>
        <w:rPr>
          <w:rFonts w:hint="eastAsia" w:ascii="宋体" w:hAnsi="宋体"/>
          <w:szCs w:val="21"/>
        </w:rPr>
        <w:t>，欢迎愿意参加本项目市场调研的潜在供应商（本次项目需求的供应商指产品制造商），提供市场调研资料</w:t>
      </w:r>
      <w:r>
        <w:rPr>
          <w:rFonts w:hint="eastAsia" w:ascii="宋体" w:hAnsi="宋体" w:cs="宋体"/>
          <w:szCs w:val="21"/>
        </w:rPr>
        <w:t>。</w:t>
      </w:r>
    </w:p>
    <w:p>
      <w:pPr>
        <w:spacing w:line="360" w:lineRule="auto"/>
        <w:outlineLvl w:val="0"/>
        <w:rPr>
          <w:rFonts w:ascii="宋体" w:hAnsi="宋体"/>
          <w:b/>
          <w:bCs/>
          <w:szCs w:val="21"/>
        </w:rPr>
      </w:pPr>
      <w:r>
        <w:rPr>
          <w:rFonts w:hint="eastAsia" w:ascii="宋体" w:hAnsi="宋体"/>
          <w:b/>
          <w:szCs w:val="21"/>
        </w:rPr>
        <w:t>三</w:t>
      </w:r>
      <w:r>
        <w:rPr>
          <w:rFonts w:ascii="宋体" w:hAnsi="宋体"/>
          <w:b/>
          <w:szCs w:val="21"/>
        </w:rPr>
        <w:t>、</w:t>
      </w:r>
      <w:r>
        <w:rPr>
          <w:rFonts w:hint="eastAsia" w:ascii="宋体" w:hAnsi="宋体"/>
          <w:b/>
          <w:bCs/>
          <w:szCs w:val="21"/>
        </w:rPr>
        <w:t>采购内容</w:t>
      </w:r>
    </w:p>
    <w:p>
      <w:pPr>
        <w:spacing w:line="360" w:lineRule="auto"/>
        <w:ind w:firstLine="420" w:firstLineChars="200"/>
        <w:rPr>
          <w:rFonts w:ascii="宋体" w:hAnsi="宋体" w:cs="宋体"/>
          <w:szCs w:val="21"/>
        </w:rPr>
      </w:pPr>
      <w:r>
        <w:rPr>
          <w:rFonts w:hint="eastAsia" w:ascii="宋体" w:hAnsi="宋体" w:cs="宋体"/>
          <w:szCs w:val="21"/>
        </w:rPr>
        <w:t>本次项目公开征集主要用于</w:t>
      </w:r>
      <w:r>
        <w:rPr>
          <w:rFonts w:hint="eastAsia" w:ascii="宋体" w:hAnsi="宋体" w:cs="宋体"/>
          <w:szCs w:val="21"/>
          <w:lang w:val="en-US" w:eastAsia="zh-CN"/>
        </w:rPr>
        <w:t>离线数据永久归档保存</w:t>
      </w:r>
      <w:r>
        <w:rPr>
          <w:rFonts w:hint="eastAsia" w:ascii="宋体" w:hAnsi="宋体" w:cs="宋体"/>
          <w:szCs w:val="21"/>
        </w:rPr>
        <w:t>。本次项目市场调研是对硬件产品进行选型，具体要求如下：</w:t>
      </w:r>
    </w:p>
    <w:p>
      <w:pPr>
        <w:spacing w:line="360" w:lineRule="auto"/>
        <w:ind w:firstLine="420" w:firstLineChars="200"/>
        <w:rPr>
          <w:rFonts w:ascii="宋体" w:hAnsi="宋体" w:cs="宋体"/>
          <w:szCs w:val="21"/>
        </w:rPr>
      </w:pPr>
      <w:r>
        <w:rPr>
          <w:rFonts w:hint="eastAsia" w:ascii="宋体" w:hAnsi="宋体" w:cs="宋体"/>
          <w:szCs w:val="21"/>
        </w:rPr>
        <w:t>1、此次采购的数据中心硬件设备选型，需根据现有市场的技术方向，保证选型的硬件设备在未来5年具有延续性。</w:t>
      </w:r>
    </w:p>
    <w:p>
      <w:pPr>
        <w:spacing w:line="360" w:lineRule="auto"/>
        <w:ind w:firstLine="420" w:firstLineChars="200"/>
        <w:rPr>
          <w:rFonts w:ascii="宋体" w:hAnsi="宋体" w:cs="宋体"/>
          <w:szCs w:val="21"/>
        </w:rPr>
      </w:pPr>
      <w:r>
        <w:rPr>
          <w:rFonts w:hint="eastAsia" w:ascii="宋体" w:hAnsi="宋体" w:cs="宋体"/>
          <w:szCs w:val="21"/>
        </w:rPr>
        <w:t>2、</w:t>
      </w:r>
      <w:r>
        <w:rPr>
          <w:rFonts w:hint="eastAsia" w:ascii="宋体" w:hAnsi="宋体" w:cs="宋体"/>
          <w:szCs w:val="21"/>
          <w:lang w:val="en-US" w:eastAsia="zh-CN"/>
        </w:rPr>
        <w:t>产品符合市场主流，产品在金融服务行业有一定应用部署</w:t>
      </w:r>
      <w:r>
        <w:rPr>
          <w:rFonts w:hint="eastAsia" w:ascii="宋体" w:hAnsi="宋体" w:cs="宋体"/>
          <w:szCs w:val="21"/>
        </w:rPr>
        <w:t>。</w:t>
      </w:r>
    </w:p>
    <w:p>
      <w:pPr>
        <w:spacing w:line="360" w:lineRule="auto"/>
        <w:ind w:firstLine="420" w:firstLineChars="200"/>
        <w:rPr>
          <w:rFonts w:hint="default" w:ascii="宋体" w:hAnsi="宋体" w:eastAsia="宋体" w:cs="宋体"/>
          <w:szCs w:val="21"/>
          <w:lang w:val="en-US" w:eastAsia="zh-CN"/>
        </w:rPr>
      </w:pPr>
      <w:r>
        <w:rPr>
          <w:rFonts w:hint="eastAsia" w:ascii="宋体" w:hAnsi="宋体" w:cs="宋体"/>
          <w:szCs w:val="21"/>
        </w:rPr>
        <w:t>3、硬件设备分类：产品制造商</w:t>
      </w:r>
      <w:r>
        <w:rPr>
          <w:rFonts w:hint="eastAsia" w:ascii="宋体" w:hAnsi="宋体" w:cs="宋体"/>
          <w:szCs w:val="21"/>
          <w:lang w:val="en-US" w:eastAsia="zh-CN"/>
        </w:rPr>
        <w:t>可</w:t>
      </w:r>
      <w:r>
        <w:rPr>
          <w:rFonts w:hint="eastAsia" w:ascii="宋体" w:hAnsi="宋体" w:cs="宋体"/>
          <w:szCs w:val="21"/>
        </w:rPr>
        <w:t>提供</w:t>
      </w:r>
      <w:r>
        <w:rPr>
          <w:rFonts w:hint="eastAsia" w:ascii="宋体" w:hAnsi="宋体" w:cs="宋体"/>
          <w:szCs w:val="21"/>
          <w:lang w:val="en-US" w:eastAsia="zh-CN"/>
        </w:rPr>
        <w:t>不同类型的存储设备，至少提供一种设备类型资料：</w:t>
      </w:r>
    </w:p>
    <w:p>
      <w:pPr>
        <w:spacing w:line="360" w:lineRule="auto"/>
        <w:ind w:firstLine="840" w:firstLineChars="400"/>
        <w:rPr>
          <w:rFonts w:hint="eastAsia" w:ascii="宋体" w:hAnsi="宋体" w:eastAsia="宋体" w:cs="宋体"/>
          <w:szCs w:val="21"/>
          <w:lang w:val="en-US" w:eastAsia="zh-CN"/>
        </w:rPr>
      </w:pPr>
      <w:r>
        <w:rPr>
          <w:rFonts w:hint="eastAsia" w:ascii="宋体" w:hAnsi="宋体" w:cs="宋体"/>
          <w:szCs w:val="21"/>
        </w:rPr>
        <w:t>硬件分类</w:t>
      </w:r>
      <w:r>
        <w:rPr>
          <w:rFonts w:hint="eastAsia" w:ascii="宋体" w:hAnsi="宋体" w:cs="宋体"/>
          <w:szCs w:val="21"/>
          <w:lang w:val="en-US" w:eastAsia="zh-CN"/>
        </w:rPr>
        <w:t>如下，</w:t>
      </w:r>
    </w:p>
    <w:tbl>
      <w:tblPr>
        <w:tblStyle w:val="15"/>
        <w:tblW w:w="8190" w:type="dxa"/>
        <w:jc w:val="center"/>
        <w:tblLayout w:type="fixed"/>
        <w:tblCellMar>
          <w:top w:w="0" w:type="dxa"/>
          <w:left w:w="108" w:type="dxa"/>
          <w:bottom w:w="0" w:type="dxa"/>
          <w:right w:w="108" w:type="dxa"/>
        </w:tblCellMar>
      </w:tblPr>
      <w:tblGrid>
        <w:gridCol w:w="1639"/>
        <w:gridCol w:w="1498"/>
        <w:gridCol w:w="1269"/>
        <w:gridCol w:w="1892"/>
        <w:gridCol w:w="1892"/>
      </w:tblGrid>
      <w:tr>
        <w:tblPrEx>
          <w:tblCellMar>
            <w:top w:w="0" w:type="dxa"/>
            <w:left w:w="108" w:type="dxa"/>
            <w:bottom w:w="0" w:type="dxa"/>
            <w:right w:w="108" w:type="dxa"/>
          </w:tblCellMar>
        </w:tblPrEx>
        <w:trPr>
          <w:trHeight w:val="48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rPr>
              <w:t>设备类型</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最大单盘容量（TB）</w:t>
            </w: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读写速度（GB/S）</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500TB数据归档所需机柜空间（U）</w:t>
            </w: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其他要求</w:t>
            </w:r>
          </w:p>
        </w:tc>
      </w:tr>
      <w:tr>
        <w:tblPrEx>
          <w:tblCellMar>
            <w:top w:w="0" w:type="dxa"/>
            <w:left w:w="108" w:type="dxa"/>
            <w:bottom w:w="0" w:type="dxa"/>
            <w:right w:w="108" w:type="dxa"/>
          </w:tblCellMar>
        </w:tblPrEx>
        <w:trPr>
          <w:trHeight w:val="62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宋体" w:hAnsi="宋体" w:eastAsia="宋体" w:cs="宋体"/>
                <w:color w:val="000000"/>
                <w:sz w:val="20"/>
                <w:szCs w:val="20"/>
                <w:lang w:eastAsia="zh-CN"/>
              </w:rPr>
            </w:pPr>
            <w:r>
              <w:rPr>
                <w:rFonts w:hint="eastAsia" w:ascii="宋体" w:hAnsi="宋体" w:cs="宋体"/>
                <w:color w:val="000000"/>
                <w:kern w:val="0"/>
                <w:sz w:val="20"/>
                <w:szCs w:val="20"/>
                <w:lang w:val="en-US" w:eastAsia="zh-CN"/>
              </w:rPr>
              <w:t>磁带库</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647"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rPr>
              <w:t>蓝光库</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710"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kern w:val="0"/>
                <w:sz w:val="20"/>
                <w:szCs w:val="20"/>
                <w:lang w:val="en-US" w:eastAsia="zh-CN"/>
              </w:rPr>
              <w:t>虚拟带库</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635" w:hRule="atLeast"/>
          <w:jc w:val="center"/>
        </w:trPr>
        <w:tc>
          <w:tcPr>
            <w:tcW w:w="163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20"/>
                <w:szCs w:val="20"/>
                <w:lang w:val="en-US" w:eastAsia="zh-CN"/>
              </w:rPr>
            </w:pPr>
            <w:r>
              <w:rPr>
                <w:rFonts w:hint="eastAsia" w:ascii="宋体" w:hAnsi="宋体" w:cs="宋体"/>
                <w:color w:val="000000"/>
                <w:sz w:val="20"/>
                <w:szCs w:val="20"/>
                <w:lang w:val="en-US" w:eastAsia="zh-CN"/>
              </w:rPr>
              <w:t>其它</w:t>
            </w:r>
          </w:p>
        </w:tc>
        <w:tc>
          <w:tcPr>
            <w:tcW w:w="149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26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c>
          <w:tcPr>
            <w:tcW w:w="189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20"/>
                <w:szCs w:val="20"/>
              </w:rPr>
            </w:pPr>
          </w:p>
        </w:tc>
      </w:tr>
    </w:tbl>
    <w:p>
      <w:pPr>
        <w:numPr>
          <w:ilvl w:val="0"/>
          <w:numId w:val="1"/>
        </w:numPr>
        <w:spacing w:line="360" w:lineRule="auto"/>
        <w:rPr>
          <w:rFonts w:ascii="宋体" w:hAnsi="宋体"/>
          <w:b/>
          <w:bCs/>
          <w:szCs w:val="21"/>
        </w:rPr>
      </w:pPr>
      <w:r>
        <w:rPr>
          <w:rFonts w:hint="eastAsia" w:ascii="宋体" w:hAnsi="宋体"/>
          <w:b/>
          <w:bCs/>
          <w:szCs w:val="21"/>
        </w:rPr>
        <w:t>其他说明</w:t>
      </w:r>
    </w:p>
    <w:p>
      <w:pPr>
        <w:numPr>
          <w:ilvl w:val="0"/>
          <w:numId w:val="2"/>
        </w:numPr>
        <w:spacing w:line="360" w:lineRule="auto"/>
        <w:ind w:firstLine="420" w:firstLineChars="200"/>
        <w:rPr>
          <w:rFonts w:cs="仿宋_GB2312" w:asciiTheme="minorEastAsia" w:hAnsiTheme="minorEastAsia" w:eastAsiaTheme="minorEastAsia"/>
          <w:color w:val="000000"/>
          <w:szCs w:val="21"/>
        </w:rPr>
      </w:pPr>
      <w:r>
        <w:rPr>
          <w:rFonts w:hint="eastAsia" w:ascii="宋体" w:hAnsi="宋体" w:cs="宋体"/>
          <w:szCs w:val="21"/>
        </w:rPr>
        <w:t>因任何原因出现整机/部件无法供货，供应商应向</w:t>
      </w:r>
      <w:r>
        <w:rPr>
          <w:rFonts w:hint="eastAsia" w:ascii="宋体" w:hAnsi="宋体" w:cs="宋体"/>
          <w:szCs w:val="21"/>
          <w:lang w:eastAsia="zh-CN"/>
        </w:rPr>
        <w:t>采购人</w:t>
      </w:r>
      <w:r>
        <w:rPr>
          <w:rFonts w:hint="eastAsia" w:ascii="宋体" w:hAnsi="宋体" w:cs="宋体"/>
          <w:szCs w:val="21"/>
        </w:rPr>
        <w:t>出具整机/部件的确认函件，并按照合同价格向</w:t>
      </w:r>
      <w:r>
        <w:rPr>
          <w:rFonts w:hint="eastAsia" w:ascii="宋体" w:hAnsi="宋体" w:cs="宋体"/>
          <w:szCs w:val="21"/>
          <w:lang w:eastAsia="zh-CN"/>
        </w:rPr>
        <w:t>采购人</w:t>
      </w:r>
      <w:r>
        <w:rPr>
          <w:rFonts w:hint="eastAsia" w:ascii="宋体" w:hAnsi="宋体" w:cs="宋体"/>
          <w:szCs w:val="21"/>
        </w:rPr>
        <w:t>提供技术参数均不低于原技术需求的更高档次或型号的设备/部件</w:t>
      </w:r>
      <w:r>
        <w:rPr>
          <w:rFonts w:hint="eastAsia" w:cs="仿宋_GB2312" w:asciiTheme="minorEastAsia" w:hAnsiTheme="minorEastAsia" w:eastAsiaTheme="minorEastAsia"/>
          <w:color w:val="000000"/>
          <w:szCs w:val="21"/>
        </w:rPr>
        <w:t>。</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供应商所提供的产品应为厂商自主研发,具有先进的体系架构及较好的前瞻性，并有后续研发系列及良好的发展前景，以保证产品的连续性。供应商应对产品技术的未来发展方向进行说明。</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服务器产品应具有高可用性。设备整体设计应充分考虑可用性要求，关键部件（如内存、电源、硬盘、散热设备、HBA等）的标准配置应采用适当的冗余保护机制，在关键部件发生故障时，系统仍能保持正常运行，满足高可靠性、高安全性、可扩展性、可管理性的应用要求，以保障业务的稳定性和连续性。</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服务器产品应有高可管理性。设备应具有良好的管理接口，易于管理，方便接入。供应商须详细描述其随机配置的系统管理工具（包括故障诊断、远程管理、软件管理、系统迁移、硬件资产管理等），并提供大规模系统管理方案的建议。应支持远程控制管理，包括但不限于：远程健康情况检测、远程开关机、远程重启等功能，支持远程监控管理功能，并提供故障前预警功能。</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w:t>
      </w:r>
      <w:r>
        <w:rPr>
          <w:rFonts w:hint="eastAsia" w:ascii="宋体" w:hAnsi="宋体" w:cs="宋体"/>
          <w:szCs w:val="21"/>
          <w:lang w:val="en-US" w:eastAsia="zh-CN"/>
        </w:rPr>
        <w:t>产</w:t>
      </w:r>
      <w:r>
        <w:rPr>
          <w:rFonts w:hint="eastAsia" w:ascii="宋体" w:hAnsi="宋体" w:cs="宋体"/>
          <w:szCs w:val="21"/>
        </w:rPr>
        <w:t>品应有高可维护性。设备应具备较成熟的故障处理技术，应提供业界通用的硬件故障报警标准管理接口，具备自动故障检测、快速故障恢复能力、可靠的数据保护方案，在出现故障时自动执行系统或部件切换方案。设备应具备在线维护能力，支持如电源、风扇等主要部件的在线维护、更换。</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供应商所提供的产品应具备灵活的扩展性。供应商应提出具体的可扩展方案，方案内容包括整机扩展、内部部件扩展、虚拟技术扩展等。</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供应商所提供的产品应具备良好的兼容性与适配性。供应商应说明其产品对主流硬件（主流品牌磁盘阵列、光纤交换机等）、</w:t>
      </w:r>
      <w:r>
        <w:rPr>
          <w:rFonts w:hint="eastAsia" w:ascii="宋体" w:hAnsi="宋体" w:cs="宋体"/>
          <w:szCs w:val="21"/>
          <w:lang w:val="en-US" w:eastAsia="zh-CN"/>
        </w:rPr>
        <w:t>主流unix、linux、windows操作系统、主流平台NBU、CV、虚拟化平台支持等</w:t>
      </w:r>
      <w:r>
        <w:rPr>
          <w:rFonts w:hint="eastAsia" w:ascii="宋体" w:hAnsi="宋体" w:cs="宋体"/>
          <w:szCs w:val="21"/>
        </w:rPr>
        <w:t>情况。</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供应商应提供其所产品的物理参数，包括但不限于高度、宽度、深度、重量（满配时）、额定功率（满配时）等，并说明其服务器产品对安装环境条件的要求（如电源、温度、湿度、机架、密度等）。</w:t>
      </w:r>
    </w:p>
    <w:p>
      <w:pPr>
        <w:numPr>
          <w:ilvl w:val="0"/>
          <w:numId w:val="2"/>
        </w:numPr>
        <w:spacing w:line="360" w:lineRule="auto"/>
        <w:ind w:firstLine="420" w:firstLineChars="200"/>
        <w:rPr>
          <w:rFonts w:ascii="宋体" w:hAnsi="宋体" w:cs="宋体"/>
          <w:szCs w:val="21"/>
        </w:rPr>
      </w:pPr>
      <w:r>
        <w:rPr>
          <w:rFonts w:hint="eastAsia" w:ascii="宋体" w:hAnsi="宋体" w:cs="宋体"/>
          <w:szCs w:val="21"/>
        </w:rPr>
        <w:t>供应商推荐的</w:t>
      </w:r>
      <w:r>
        <w:rPr>
          <w:rFonts w:hint="eastAsia" w:ascii="宋体" w:hAnsi="宋体" w:cs="宋体"/>
          <w:szCs w:val="21"/>
          <w:lang w:val="en-US" w:eastAsia="zh-CN"/>
        </w:rPr>
        <w:t>产品</w:t>
      </w:r>
      <w:r>
        <w:rPr>
          <w:rFonts w:hint="eastAsia" w:ascii="宋体" w:hAnsi="宋体" w:cs="宋体"/>
          <w:szCs w:val="21"/>
        </w:rPr>
        <w:t>应体现低能耗、低散热等环保理念，采用高密度结构以节省空间。</w:t>
      </w:r>
    </w:p>
    <w:p>
      <w:pPr>
        <w:spacing w:line="360" w:lineRule="auto"/>
        <w:outlineLvl w:val="0"/>
        <w:rPr>
          <w:rFonts w:ascii="宋体" w:hAnsi="宋体" w:cs="宋体"/>
          <w:b/>
          <w:bCs/>
          <w:szCs w:val="21"/>
        </w:rPr>
      </w:pPr>
      <w:r>
        <w:rPr>
          <w:rFonts w:hint="eastAsia" w:ascii="宋体" w:hAnsi="宋体"/>
          <w:b/>
          <w:bCs/>
          <w:szCs w:val="21"/>
        </w:rPr>
        <w:t>五、</w:t>
      </w:r>
      <w:r>
        <w:rPr>
          <w:rFonts w:hint="eastAsia" w:ascii="宋体" w:hAnsi="宋体" w:cs="宋体"/>
          <w:b/>
          <w:bCs/>
          <w:szCs w:val="21"/>
        </w:rPr>
        <w:t>项目总体服务要求</w:t>
      </w:r>
    </w:p>
    <w:p>
      <w:pPr>
        <w:spacing w:line="360" w:lineRule="auto"/>
        <w:ind w:firstLine="422" w:firstLineChars="200"/>
        <w:outlineLvl w:val="0"/>
        <w:rPr>
          <w:rFonts w:cs="楷体_GB2312" w:asciiTheme="minorEastAsia" w:hAnsiTheme="minorEastAsia" w:eastAsiaTheme="minorEastAsia"/>
          <w:b/>
          <w:bCs/>
          <w:color w:val="000000"/>
          <w:kern w:val="28"/>
          <w:szCs w:val="21"/>
        </w:rPr>
      </w:pPr>
      <w:r>
        <w:rPr>
          <w:rFonts w:hint="eastAsia" w:cs="楷体_GB2312" w:asciiTheme="minorEastAsia" w:hAnsiTheme="minorEastAsia" w:eastAsiaTheme="minorEastAsia"/>
          <w:b/>
          <w:bCs/>
          <w:color w:val="000000"/>
          <w:kern w:val="28"/>
          <w:szCs w:val="21"/>
        </w:rPr>
        <w:t>（一）维保服务期</w:t>
      </w:r>
    </w:p>
    <w:p>
      <w:p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本次采购的项目的硬件</w:t>
      </w:r>
      <w:r>
        <w:rPr>
          <w:rStyle w:val="19"/>
          <w:rFonts w:hint="eastAsia"/>
        </w:rPr>
        <w:t>带</w:t>
      </w:r>
      <w:r>
        <w:rPr>
          <w:rFonts w:hint="eastAsia" w:cs="仿宋_GB2312" w:asciiTheme="minorEastAsia" w:hAnsiTheme="minorEastAsia" w:eastAsiaTheme="minorEastAsia"/>
          <w:bCs/>
          <w:szCs w:val="21"/>
        </w:rPr>
        <w:t>五年的原厂（整机及配件）保修和服务，以原厂服务承诺函为准</w:t>
      </w:r>
      <w:r>
        <w:rPr>
          <w:rFonts w:hint="eastAsia" w:cs="仿宋_GB2312" w:asciiTheme="minorEastAsia" w:hAnsiTheme="minorEastAsia" w:eastAsiaTheme="minorEastAsia"/>
          <w:color w:val="000000"/>
          <w:szCs w:val="21"/>
        </w:rPr>
        <w:t>。</w:t>
      </w:r>
    </w:p>
    <w:p>
      <w:pPr>
        <w:spacing w:line="360" w:lineRule="auto"/>
        <w:ind w:firstLine="422" w:firstLineChars="200"/>
        <w:outlineLvl w:val="0"/>
        <w:rPr>
          <w:rFonts w:cs="楷体_GB2312" w:asciiTheme="minorEastAsia" w:hAnsiTheme="minorEastAsia" w:eastAsiaTheme="minorEastAsia"/>
          <w:b/>
          <w:bCs/>
          <w:color w:val="000000"/>
          <w:kern w:val="28"/>
          <w:szCs w:val="21"/>
        </w:rPr>
      </w:pPr>
      <w:r>
        <w:rPr>
          <w:rFonts w:hint="eastAsia" w:cs="楷体_GB2312" w:asciiTheme="minorEastAsia" w:hAnsiTheme="minorEastAsia" w:eastAsiaTheme="minorEastAsia"/>
          <w:b/>
          <w:bCs/>
          <w:color w:val="000000"/>
          <w:kern w:val="28"/>
          <w:szCs w:val="21"/>
        </w:rPr>
        <w:t>（二）服务说明</w:t>
      </w:r>
    </w:p>
    <w:p>
      <w:p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所有服务内容必须由原厂提供，供应商配合协调相关资源。包括提供原厂技术工程师、原厂支援等。</w:t>
      </w:r>
    </w:p>
    <w:p>
      <w:pPr>
        <w:spacing w:line="360" w:lineRule="auto"/>
        <w:ind w:firstLine="422" w:firstLineChars="200"/>
        <w:outlineLvl w:val="0"/>
        <w:rPr>
          <w:rFonts w:cs="楷体_GB2312" w:asciiTheme="minorEastAsia" w:hAnsiTheme="minorEastAsia" w:eastAsiaTheme="minorEastAsia"/>
          <w:b/>
          <w:bCs/>
          <w:color w:val="000000"/>
          <w:kern w:val="28"/>
          <w:szCs w:val="21"/>
        </w:rPr>
      </w:pPr>
      <w:r>
        <w:rPr>
          <w:rFonts w:hint="eastAsia" w:cs="楷体_GB2312" w:asciiTheme="minorEastAsia" w:hAnsiTheme="minorEastAsia" w:eastAsiaTheme="minorEastAsia"/>
          <w:b/>
          <w:bCs/>
          <w:color w:val="000000"/>
          <w:kern w:val="28"/>
          <w:szCs w:val="21"/>
        </w:rPr>
        <w:t>（三）服务内容</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安装与实施服务。软件到货后进行安装、规划、调试、测试、优化、升级等工作，满足</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对设备上线运行的要求。</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常规维保服务。包括保障软件正常运行、保障</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业务稳定的一切服务。</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巡检服务。提供每年4次现场巡检服务，具体巡检时间由</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确定。巡检须派经验丰富的原厂工程师进行预防性检查维护，对配置进行检查，分析系统告警信息并提出整改方案，按</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要求出具巡检报告、整改方案等文档并负责整改实施。</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升级服务。针对产品缺陷或根据</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要求为软件免费升级和补丁更新，保证用户能够及时获得相关服务和技术文档的更新。技术文档包括操作手册、产品说明、系统架构、应急处理、规章制度等。如产品出现重大缺陷时，须主动告知</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升级或应对措施。</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咨询服务。</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可随时向供应商或原厂进行技术咨询。</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应急服务。提供每周7×24小时专人应急服务电话。</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现场服务。按需提供技术人员现场支援的服务。工程师要保持相对的稳定性。在</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场所工作时，技术人员应遵守</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相应的规章制度。</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系统迁移服务。服务期内，如</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有系统迁移需求，供应商有义务根据</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要求提供优选迁移建议服务，如有必要供应商到达</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项目现场提供协助。</w:t>
      </w:r>
    </w:p>
    <w:p>
      <w:pPr>
        <w:numPr>
          <w:ilvl w:val="0"/>
          <w:numId w:val="3"/>
        </w:numPr>
        <w:spacing w:line="360" w:lineRule="auto"/>
        <w:ind w:firstLine="420" w:firstLineChars="200"/>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重点时期现场保障服务。重要节假日（五一、国庆、中秋、春节等）和重要时期（网络攻防演练、上级现场监管检查等）提供专业技术人员现场保障和协助的服务，协助</w:t>
      </w:r>
      <w:r>
        <w:rPr>
          <w:rFonts w:hint="eastAsia" w:cs="仿宋_GB2312" w:asciiTheme="minorEastAsia" w:hAnsiTheme="minorEastAsia" w:eastAsiaTheme="minorEastAsia"/>
          <w:color w:val="000000"/>
          <w:szCs w:val="21"/>
          <w:lang w:eastAsia="zh-CN"/>
        </w:rPr>
        <w:t>采购人</w:t>
      </w:r>
      <w:r>
        <w:rPr>
          <w:rFonts w:hint="eastAsia" w:cs="仿宋_GB2312" w:asciiTheme="minorEastAsia" w:hAnsiTheme="minorEastAsia" w:eastAsiaTheme="minorEastAsia"/>
          <w:color w:val="000000"/>
          <w:szCs w:val="21"/>
        </w:rPr>
        <w:t>防守、加固、溯源和分析等工作。</w:t>
      </w:r>
    </w:p>
    <w:p>
      <w:pPr>
        <w:spacing w:line="360" w:lineRule="auto"/>
        <w:outlineLvl w:val="0"/>
        <w:rPr>
          <w:rFonts w:ascii="宋体" w:hAnsi="宋体"/>
          <w:b/>
          <w:bCs/>
          <w:szCs w:val="21"/>
        </w:rPr>
      </w:pPr>
      <w:r>
        <w:rPr>
          <w:rFonts w:hint="eastAsia" w:ascii="宋体" w:hAnsi="宋体"/>
          <w:b/>
          <w:bCs/>
          <w:szCs w:val="21"/>
        </w:rPr>
        <w:t>五、供应商（产品制造商）要求</w:t>
      </w:r>
    </w:p>
    <w:p>
      <w:pPr>
        <w:tabs>
          <w:tab w:val="left" w:pos="0"/>
        </w:tabs>
        <w:spacing w:line="360" w:lineRule="auto"/>
        <w:rPr>
          <w:rFonts w:cs="仿宋_GB2312" w:asciiTheme="minorEastAsia" w:hAnsiTheme="minorEastAsia"/>
          <w:color w:val="000000"/>
          <w:szCs w:val="21"/>
        </w:rPr>
      </w:pPr>
      <w:r>
        <w:rPr>
          <w:rFonts w:hint="eastAsia" w:cs="仿宋_GB2312" w:asciiTheme="minorEastAsia" w:hAnsiTheme="minorEastAsia" w:eastAsiaTheme="minorEastAsia"/>
          <w:color w:val="000000"/>
          <w:szCs w:val="21"/>
        </w:rPr>
        <w:t>（一）本项目需求供应商指产品制造商。</w:t>
      </w:r>
    </w:p>
    <w:p>
      <w:pPr>
        <w:tabs>
          <w:tab w:val="left" w:pos="0"/>
        </w:tabs>
        <w:spacing w:line="360" w:lineRule="auto"/>
        <w:rPr>
          <w:rFonts w:cs="仿宋_GB2312" w:asciiTheme="minorEastAsia" w:hAnsiTheme="minorEastAsia" w:eastAsiaTheme="minorEastAsia"/>
          <w:color w:val="FF0000"/>
          <w:szCs w:val="21"/>
        </w:rPr>
      </w:pPr>
      <w:r>
        <w:rPr>
          <w:rFonts w:hint="eastAsia" w:cs="仿宋_GB2312" w:asciiTheme="minorEastAsia" w:hAnsiTheme="minorEastAsia" w:eastAsiaTheme="minorEastAsia"/>
          <w:color w:val="000000"/>
          <w:szCs w:val="21"/>
        </w:rPr>
        <w:t>（二）产品制造商具备独立法人资格。</w:t>
      </w:r>
    </w:p>
    <w:p>
      <w:pPr>
        <w:tabs>
          <w:tab w:val="left" w:pos="0"/>
        </w:tabs>
        <w:spacing w:line="360" w:lineRule="auto"/>
        <w:rPr>
          <w:rFonts w:cs="仿宋_GB2312" w:asciiTheme="minorEastAsia" w:hAnsiTheme="minorEastAsia" w:eastAsiaTheme="minorEastAsia"/>
          <w:color w:val="000000"/>
          <w:szCs w:val="21"/>
        </w:rPr>
      </w:pPr>
      <w:r>
        <w:rPr>
          <w:rFonts w:hint="eastAsia" w:cs="仿宋_GB2312" w:asciiTheme="minorEastAsia" w:hAnsiTheme="minorEastAsia" w:eastAsiaTheme="minorEastAsia"/>
          <w:color w:val="000000"/>
          <w:szCs w:val="21"/>
        </w:rPr>
        <w:t>（三）产品制造商的产品从2021年1月1日起至今在全国性银行总行或省级分支机构、省级（或直辖市）农村信用社（或省级（或直辖市）农商银行）、城商行、农商行供货或入围案例，合同金额大于</w:t>
      </w:r>
      <w:r>
        <w:rPr>
          <w:rFonts w:hint="eastAsia" w:cs="仿宋_GB2312" w:asciiTheme="minorEastAsia" w:hAnsiTheme="minorEastAsia" w:eastAsiaTheme="minorEastAsia"/>
          <w:color w:val="000000"/>
          <w:szCs w:val="21"/>
          <w:lang w:val="en-US" w:eastAsia="zh-CN"/>
        </w:rPr>
        <w:t>4</w:t>
      </w:r>
      <w:r>
        <w:rPr>
          <w:rFonts w:hint="eastAsia" w:cs="仿宋_GB2312" w:asciiTheme="minorEastAsia" w:hAnsiTheme="minorEastAsia" w:eastAsiaTheme="minorEastAsia"/>
          <w:color w:val="000000"/>
          <w:szCs w:val="21"/>
        </w:rPr>
        <w:t>0万元以上。</w:t>
      </w:r>
    </w:p>
    <w:p>
      <w:pPr>
        <w:tabs>
          <w:tab w:val="left" w:pos="0"/>
        </w:tabs>
        <w:spacing w:line="360" w:lineRule="auto"/>
        <w:rPr>
          <w:rFonts w:cs="仿宋_GB2312" w:asciiTheme="minorEastAsia" w:hAnsiTheme="minorEastAsia" w:eastAsiaTheme="minorEastAsia"/>
          <w:color w:val="000000"/>
          <w:szCs w:val="21"/>
        </w:rPr>
      </w:pPr>
      <w:bookmarkStart w:id="0" w:name="_GoBack"/>
      <w:bookmarkEnd w:id="0"/>
    </w:p>
    <w:p>
      <w:pPr>
        <w:spacing w:line="360" w:lineRule="auto"/>
        <w:rPr>
          <w:rFonts w:ascii="宋体" w:hAnsi="宋体"/>
          <w:szCs w:val="21"/>
        </w:rPr>
      </w:pPr>
    </w:p>
    <w:sectPr>
      <w:footerReference r:id="rId3" w:type="default"/>
      <w:pgSz w:w="11906" w:h="16838"/>
      <w:pgMar w:top="1134" w:right="1077" w:bottom="1134" w:left="107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3801739"/>
    </w:sdtPr>
    <w:sdtContent>
      <w:p>
        <w:pPr>
          <w:pStyle w:val="11"/>
          <w:jc w:val="center"/>
        </w:pPr>
        <w:r>
          <w:fldChar w:fldCharType="begin"/>
        </w:r>
        <w:r>
          <w:instrText xml:space="preserve">PAGE   \* MERGEFORMAT</w:instrText>
        </w:r>
        <w:r>
          <w:fldChar w:fldCharType="separate"/>
        </w:r>
        <w:r>
          <w:rPr>
            <w:lang w:val="zh-CN"/>
          </w:rPr>
          <w:t>4</w:t>
        </w:r>
        <w:r>
          <w:fldChar w:fldCharType="end"/>
        </w:r>
      </w:p>
    </w:sdtContent>
  </w:sdt>
  <w:p>
    <w:pPr>
      <w:pStyle w:val="11"/>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2032F"/>
    <w:multiLevelType w:val="singleLevel"/>
    <w:tmpl w:val="8372032F"/>
    <w:lvl w:ilvl="0" w:tentative="0">
      <w:start w:val="1"/>
      <w:numFmt w:val="decimal"/>
      <w:suff w:val="nothing"/>
      <w:lvlText w:val="%1、"/>
      <w:lvlJc w:val="left"/>
    </w:lvl>
  </w:abstractNum>
  <w:abstractNum w:abstractNumId="1">
    <w:nsid w:val="F3DEBA44"/>
    <w:multiLevelType w:val="singleLevel"/>
    <w:tmpl w:val="F3DEBA44"/>
    <w:lvl w:ilvl="0" w:tentative="0">
      <w:start w:val="1"/>
      <w:numFmt w:val="decimal"/>
      <w:lvlText w:val="%1."/>
      <w:lvlJc w:val="left"/>
      <w:pPr>
        <w:tabs>
          <w:tab w:val="left" w:pos="0"/>
        </w:tabs>
        <w:ind w:left="0" w:firstLine="0"/>
      </w:pPr>
    </w:lvl>
  </w:abstractNum>
  <w:abstractNum w:abstractNumId="2">
    <w:nsid w:val="0DF69C6C"/>
    <w:multiLevelType w:val="singleLevel"/>
    <w:tmpl w:val="0DF69C6C"/>
    <w:lvl w:ilvl="0" w:tentative="0">
      <w:start w:val="4"/>
      <w:numFmt w:val="chineseCounting"/>
      <w:suff w:val="nothing"/>
      <w:lvlText w:val="%1、"/>
      <w:lvlJc w:val="left"/>
      <w:rPr>
        <w:rFonts w:hint="eastAsia"/>
      </w:rPr>
    </w:lvl>
  </w:abstractNum>
  <w:num w:numId="1">
    <w:abstractNumId w:val="2"/>
  </w:num>
  <w:num w:numId="2">
    <w:abstractNumId w:val="0"/>
  </w:num>
  <w:num w:numId="3">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Y2FiZjYxM2FmMjVmOTMxYTlmZDdkZThjNTllNGUwOWIifQ=="/>
  </w:docVars>
  <w:rsids>
    <w:rsidRoot w:val="009F2FB4"/>
    <w:rsid w:val="0002211E"/>
    <w:rsid w:val="00041D24"/>
    <w:rsid w:val="000D3882"/>
    <w:rsid w:val="000E6541"/>
    <w:rsid w:val="000F0DFD"/>
    <w:rsid w:val="000F33B3"/>
    <w:rsid w:val="000F4946"/>
    <w:rsid w:val="00115306"/>
    <w:rsid w:val="00115BC4"/>
    <w:rsid w:val="001C2DAC"/>
    <w:rsid w:val="001D4644"/>
    <w:rsid w:val="001E7CB5"/>
    <w:rsid w:val="0026628E"/>
    <w:rsid w:val="002B7344"/>
    <w:rsid w:val="002C13F5"/>
    <w:rsid w:val="002C2350"/>
    <w:rsid w:val="002E69AE"/>
    <w:rsid w:val="003000DE"/>
    <w:rsid w:val="003161EC"/>
    <w:rsid w:val="003425BD"/>
    <w:rsid w:val="00372F3B"/>
    <w:rsid w:val="003900F9"/>
    <w:rsid w:val="004B3E2C"/>
    <w:rsid w:val="0052378B"/>
    <w:rsid w:val="00547AA6"/>
    <w:rsid w:val="005539C2"/>
    <w:rsid w:val="0058010C"/>
    <w:rsid w:val="005E0F22"/>
    <w:rsid w:val="005F2DE0"/>
    <w:rsid w:val="00657D6E"/>
    <w:rsid w:val="0067085A"/>
    <w:rsid w:val="0067708D"/>
    <w:rsid w:val="00683ADB"/>
    <w:rsid w:val="00684671"/>
    <w:rsid w:val="00697DF5"/>
    <w:rsid w:val="006B282D"/>
    <w:rsid w:val="006E028B"/>
    <w:rsid w:val="00730CFC"/>
    <w:rsid w:val="00755FE0"/>
    <w:rsid w:val="007C1E65"/>
    <w:rsid w:val="007C4B35"/>
    <w:rsid w:val="007D1572"/>
    <w:rsid w:val="0080423D"/>
    <w:rsid w:val="00812356"/>
    <w:rsid w:val="00833E0B"/>
    <w:rsid w:val="00834783"/>
    <w:rsid w:val="00876154"/>
    <w:rsid w:val="008E739F"/>
    <w:rsid w:val="008F0DA8"/>
    <w:rsid w:val="008F5664"/>
    <w:rsid w:val="00906BCA"/>
    <w:rsid w:val="00932867"/>
    <w:rsid w:val="00932D28"/>
    <w:rsid w:val="00955B58"/>
    <w:rsid w:val="0096229B"/>
    <w:rsid w:val="00967333"/>
    <w:rsid w:val="00997589"/>
    <w:rsid w:val="009C139A"/>
    <w:rsid w:val="009C6873"/>
    <w:rsid w:val="009F2FB4"/>
    <w:rsid w:val="009F5DB2"/>
    <w:rsid w:val="00AC726D"/>
    <w:rsid w:val="00AF0288"/>
    <w:rsid w:val="00AF5E80"/>
    <w:rsid w:val="00AF7968"/>
    <w:rsid w:val="00B71931"/>
    <w:rsid w:val="00BB0D09"/>
    <w:rsid w:val="00BB432E"/>
    <w:rsid w:val="00BD79AF"/>
    <w:rsid w:val="00C046DA"/>
    <w:rsid w:val="00C15B9E"/>
    <w:rsid w:val="00C479E2"/>
    <w:rsid w:val="00C707AE"/>
    <w:rsid w:val="00CD38B9"/>
    <w:rsid w:val="00CD62A6"/>
    <w:rsid w:val="00CE7C21"/>
    <w:rsid w:val="00D809E5"/>
    <w:rsid w:val="00DA0CD7"/>
    <w:rsid w:val="00DD11BD"/>
    <w:rsid w:val="00E21A27"/>
    <w:rsid w:val="00E751AB"/>
    <w:rsid w:val="00EE08E3"/>
    <w:rsid w:val="00FC204D"/>
    <w:rsid w:val="00FC3DC7"/>
    <w:rsid w:val="00FE62F0"/>
    <w:rsid w:val="00FE706B"/>
    <w:rsid w:val="00FF59D4"/>
    <w:rsid w:val="01FA28D5"/>
    <w:rsid w:val="021B1648"/>
    <w:rsid w:val="065A661B"/>
    <w:rsid w:val="068F0794"/>
    <w:rsid w:val="09BB78D2"/>
    <w:rsid w:val="0C43782D"/>
    <w:rsid w:val="0C6C3520"/>
    <w:rsid w:val="0D6B1137"/>
    <w:rsid w:val="0DA46FDA"/>
    <w:rsid w:val="0F075DB7"/>
    <w:rsid w:val="0F704352"/>
    <w:rsid w:val="14C50C1C"/>
    <w:rsid w:val="152378BB"/>
    <w:rsid w:val="170B3BD9"/>
    <w:rsid w:val="1BD85D3B"/>
    <w:rsid w:val="1EE72F62"/>
    <w:rsid w:val="1F2A045F"/>
    <w:rsid w:val="23B63FCF"/>
    <w:rsid w:val="24B11032"/>
    <w:rsid w:val="26270D81"/>
    <w:rsid w:val="27842A64"/>
    <w:rsid w:val="283A00E5"/>
    <w:rsid w:val="29167A5F"/>
    <w:rsid w:val="2D9C21DD"/>
    <w:rsid w:val="300A7A53"/>
    <w:rsid w:val="32831D93"/>
    <w:rsid w:val="35592615"/>
    <w:rsid w:val="375F3A8C"/>
    <w:rsid w:val="376C7AC4"/>
    <w:rsid w:val="39A031F6"/>
    <w:rsid w:val="3A917B8C"/>
    <w:rsid w:val="3D5A7824"/>
    <w:rsid w:val="3E8C0578"/>
    <w:rsid w:val="3FF04866"/>
    <w:rsid w:val="408B76AD"/>
    <w:rsid w:val="41A31322"/>
    <w:rsid w:val="41FC39BA"/>
    <w:rsid w:val="452B449A"/>
    <w:rsid w:val="47242D51"/>
    <w:rsid w:val="496574B5"/>
    <w:rsid w:val="4A79723B"/>
    <w:rsid w:val="4C2D2789"/>
    <w:rsid w:val="4E526C2D"/>
    <w:rsid w:val="50D313A9"/>
    <w:rsid w:val="52097D65"/>
    <w:rsid w:val="562A003B"/>
    <w:rsid w:val="567163DB"/>
    <w:rsid w:val="58234BBB"/>
    <w:rsid w:val="595953A4"/>
    <w:rsid w:val="5A3479AE"/>
    <w:rsid w:val="5D1E4863"/>
    <w:rsid w:val="5F9E226B"/>
    <w:rsid w:val="62A712E9"/>
    <w:rsid w:val="64E84309"/>
    <w:rsid w:val="663A786E"/>
    <w:rsid w:val="69270594"/>
    <w:rsid w:val="6B764C86"/>
    <w:rsid w:val="6D847C22"/>
    <w:rsid w:val="6EBA17FC"/>
    <w:rsid w:val="6EC766B7"/>
    <w:rsid w:val="6F895139"/>
    <w:rsid w:val="6F954ADF"/>
    <w:rsid w:val="6FF14A42"/>
    <w:rsid w:val="71CA4040"/>
    <w:rsid w:val="74975458"/>
    <w:rsid w:val="7611274E"/>
    <w:rsid w:val="76A721DD"/>
    <w:rsid w:val="78856D46"/>
    <w:rsid w:val="78BC37FE"/>
    <w:rsid w:val="7D550B01"/>
    <w:rsid w:val="7E26094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1"/>
    <w:qFormat/>
    <w:uiPriority w:val="0"/>
    <w:pPr>
      <w:keepNext/>
      <w:keepLines/>
      <w:adjustRightInd w:val="0"/>
      <w:spacing w:before="260" w:after="260" w:line="416" w:lineRule="atLeast"/>
      <w:ind w:left="180"/>
      <w:textAlignment w:val="baseline"/>
      <w:outlineLvl w:val="1"/>
    </w:pPr>
    <w:rPr>
      <w:rFonts w:ascii="Arial" w:hAnsi="Arial" w:eastAsia="黑体"/>
      <w:b/>
      <w:sz w:val="32"/>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26"/>
    <w:qFormat/>
    <w:uiPriority w:val="0"/>
    <w:pPr>
      <w:spacing w:after="120"/>
    </w:pPr>
  </w:style>
  <w:style w:type="paragraph" w:customStyle="1" w:styleId="3">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6">
    <w:name w:val="Normal Indent"/>
    <w:basedOn w:val="1"/>
    <w:link w:val="30"/>
    <w:unhideWhenUsed/>
    <w:qFormat/>
    <w:uiPriority w:val="0"/>
    <w:pPr>
      <w:ind w:firstLine="420" w:firstLineChars="200"/>
    </w:pPr>
    <w:rPr>
      <w:rFonts w:ascii="Calibri" w:hAnsi="Calibri"/>
    </w:rPr>
  </w:style>
  <w:style w:type="paragraph" w:styleId="7">
    <w:name w:val="Document Map"/>
    <w:basedOn w:val="1"/>
    <w:link w:val="32"/>
    <w:semiHidden/>
    <w:unhideWhenUsed/>
    <w:qFormat/>
    <w:uiPriority w:val="99"/>
    <w:rPr>
      <w:rFonts w:ascii="宋体"/>
      <w:sz w:val="18"/>
      <w:szCs w:val="18"/>
    </w:rPr>
  </w:style>
  <w:style w:type="paragraph" w:styleId="8">
    <w:name w:val="toa heading"/>
    <w:basedOn w:val="1"/>
    <w:next w:val="1"/>
    <w:unhideWhenUsed/>
    <w:qFormat/>
    <w:uiPriority w:val="99"/>
    <w:pPr>
      <w:spacing w:before="120"/>
    </w:pPr>
    <w:rPr>
      <w:rFonts w:asciiTheme="majorHAnsi" w:hAnsiTheme="majorHAnsi" w:cstheme="majorBidi"/>
      <w:sz w:val="24"/>
    </w:rPr>
  </w:style>
  <w:style w:type="paragraph" w:styleId="9">
    <w:name w:val="annotation text"/>
    <w:basedOn w:val="1"/>
    <w:link w:val="27"/>
    <w:semiHidden/>
    <w:unhideWhenUsed/>
    <w:qFormat/>
    <w:uiPriority w:val="99"/>
    <w:pPr>
      <w:jc w:val="left"/>
    </w:pPr>
  </w:style>
  <w:style w:type="paragraph" w:styleId="10">
    <w:name w:val="Balloon Text"/>
    <w:basedOn w:val="1"/>
    <w:link w:val="29"/>
    <w:semiHidden/>
    <w:unhideWhenUsed/>
    <w:qFormat/>
    <w:uiPriority w:val="99"/>
    <w:rPr>
      <w:sz w:val="18"/>
      <w:szCs w:val="18"/>
    </w:rPr>
  </w:style>
  <w:style w:type="paragraph" w:styleId="11">
    <w:name w:val="footer"/>
    <w:basedOn w:val="1"/>
    <w:link w:val="23"/>
    <w:unhideWhenUsed/>
    <w:qFormat/>
    <w:uiPriority w:val="99"/>
    <w:pPr>
      <w:tabs>
        <w:tab w:val="center" w:pos="4153"/>
        <w:tab w:val="right" w:pos="8306"/>
      </w:tabs>
      <w:snapToGrid w:val="0"/>
      <w:jc w:val="left"/>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pPr>
      <w:widowControl/>
      <w:spacing w:before="100" w:beforeAutospacing="1" w:after="100" w:afterAutospacing="1"/>
      <w:jc w:val="left"/>
    </w:pPr>
    <w:rPr>
      <w:rFonts w:ascii="宋体" w:hAnsi="宋体" w:cs="宋体"/>
      <w:kern w:val="0"/>
      <w:sz w:val="24"/>
    </w:rPr>
  </w:style>
  <w:style w:type="paragraph" w:styleId="14">
    <w:name w:val="annotation subject"/>
    <w:basedOn w:val="9"/>
    <w:next w:val="9"/>
    <w:link w:val="28"/>
    <w:semiHidden/>
    <w:unhideWhenUsed/>
    <w:qFormat/>
    <w:uiPriority w:val="99"/>
    <w:rPr>
      <w:b/>
      <w:bCs/>
    </w:rPr>
  </w:style>
  <w:style w:type="table" w:styleId="16">
    <w:name w:val="Table Grid"/>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8">
    <w:name w:val="Hyperlink"/>
    <w:unhideWhenUsed/>
    <w:qFormat/>
    <w:uiPriority w:val="99"/>
    <w:rPr>
      <w:color w:val="0000FF"/>
      <w:u w:val="single"/>
    </w:rPr>
  </w:style>
  <w:style w:type="character" w:styleId="19">
    <w:name w:val="annotation reference"/>
    <w:unhideWhenUsed/>
    <w:qFormat/>
    <w:uiPriority w:val="99"/>
    <w:rPr>
      <w:rFonts w:cs="Times New Roman"/>
      <w:sz w:val="21"/>
      <w:szCs w:val="21"/>
    </w:rPr>
  </w:style>
  <w:style w:type="paragraph" w:customStyle="1" w:styleId="20">
    <w:name w:val="Table Paragraph"/>
    <w:basedOn w:val="1"/>
    <w:qFormat/>
    <w:uiPriority w:val="1"/>
    <w:pPr>
      <w:autoSpaceDE w:val="0"/>
      <w:autoSpaceDN w:val="0"/>
      <w:adjustRightInd w:val="0"/>
      <w:jc w:val="left"/>
    </w:pPr>
    <w:rPr>
      <w:rFonts w:ascii="宋体" w:cs="宋体"/>
      <w:kern w:val="0"/>
      <w:sz w:val="24"/>
    </w:rPr>
  </w:style>
  <w:style w:type="paragraph" w:customStyle="1" w:styleId="21">
    <w:name w:val="样式4"/>
    <w:basedOn w:val="1"/>
    <w:qFormat/>
    <w:uiPriority w:val="0"/>
    <w:pPr>
      <w:tabs>
        <w:tab w:val="left" w:pos="2328"/>
      </w:tabs>
      <w:ind w:left="2328" w:hanging="708"/>
    </w:pPr>
  </w:style>
  <w:style w:type="character" w:customStyle="1" w:styleId="22">
    <w:name w:val="页眉 Char"/>
    <w:link w:val="12"/>
    <w:qFormat/>
    <w:uiPriority w:val="99"/>
    <w:rPr>
      <w:rFonts w:ascii="Times New Roman" w:hAnsi="Times New Roman" w:eastAsia="宋体" w:cs="Times New Roman"/>
      <w:sz w:val="18"/>
      <w:szCs w:val="18"/>
    </w:rPr>
  </w:style>
  <w:style w:type="character" w:customStyle="1" w:styleId="23">
    <w:name w:val="页脚 Char"/>
    <w:link w:val="11"/>
    <w:qFormat/>
    <w:uiPriority w:val="99"/>
    <w:rPr>
      <w:rFonts w:ascii="Times New Roman" w:hAnsi="Times New Roman" w:eastAsia="宋体" w:cs="Times New Roman"/>
      <w:sz w:val="18"/>
      <w:szCs w:val="18"/>
    </w:rPr>
  </w:style>
  <w:style w:type="character" w:customStyle="1" w:styleId="24">
    <w:name w:val="font11"/>
    <w:qFormat/>
    <w:uiPriority w:val="0"/>
    <w:rPr>
      <w:rFonts w:hint="default" w:ascii="Times New Roman" w:hAnsi="Times New Roman" w:cs="Times New Roman"/>
      <w:color w:val="000000"/>
      <w:sz w:val="24"/>
      <w:szCs w:val="24"/>
      <w:u w:val="none"/>
    </w:rPr>
  </w:style>
  <w:style w:type="character" w:customStyle="1" w:styleId="25">
    <w:name w:val="font21"/>
    <w:qFormat/>
    <w:uiPriority w:val="0"/>
    <w:rPr>
      <w:rFonts w:ascii="Arial" w:hAnsi="Arial" w:cs="Arial"/>
      <w:color w:val="000000"/>
      <w:sz w:val="21"/>
      <w:szCs w:val="21"/>
      <w:u w:val="none"/>
    </w:rPr>
  </w:style>
  <w:style w:type="character" w:customStyle="1" w:styleId="26">
    <w:name w:val="正文文本 Char"/>
    <w:basedOn w:val="17"/>
    <w:link w:val="2"/>
    <w:qFormat/>
    <w:uiPriority w:val="0"/>
    <w:rPr>
      <w:rFonts w:ascii="Times New Roman" w:hAnsi="Times New Roman" w:eastAsia="宋体"/>
      <w:kern w:val="2"/>
      <w:sz w:val="21"/>
      <w:szCs w:val="24"/>
    </w:rPr>
  </w:style>
  <w:style w:type="character" w:customStyle="1" w:styleId="27">
    <w:name w:val="批注文字 Char"/>
    <w:basedOn w:val="17"/>
    <w:link w:val="9"/>
    <w:autoRedefine/>
    <w:semiHidden/>
    <w:qFormat/>
    <w:uiPriority w:val="99"/>
    <w:rPr>
      <w:rFonts w:ascii="Times New Roman" w:hAnsi="Times New Roman" w:eastAsia="宋体"/>
      <w:kern w:val="2"/>
      <w:sz w:val="21"/>
      <w:szCs w:val="24"/>
    </w:rPr>
  </w:style>
  <w:style w:type="character" w:customStyle="1" w:styleId="28">
    <w:name w:val="批注主题 Char"/>
    <w:basedOn w:val="27"/>
    <w:link w:val="14"/>
    <w:autoRedefine/>
    <w:semiHidden/>
    <w:qFormat/>
    <w:uiPriority w:val="99"/>
    <w:rPr>
      <w:rFonts w:ascii="Times New Roman" w:hAnsi="Times New Roman" w:eastAsia="宋体"/>
      <w:b/>
      <w:bCs/>
      <w:kern w:val="2"/>
      <w:sz w:val="21"/>
      <w:szCs w:val="24"/>
    </w:rPr>
  </w:style>
  <w:style w:type="character" w:customStyle="1" w:styleId="29">
    <w:name w:val="批注框文本 Char"/>
    <w:basedOn w:val="17"/>
    <w:link w:val="10"/>
    <w:autoRedefine/>
    <w:semiHidden/>
    <w:qFormat/>
    <w:uiPriority w:val="99"/>
    <w:rPr>
      <w:rFonts w:ascii="Times New Roman" w:hAnsi="Times New Roman" w:eastAsia="宋体"/>
      <w:kern w:val="2"/>
      <w:sz w:val="18"/>
      <w:szCs w:val="18"/>
    </w:rPr>
  </w:style>
  <w:style w:type="character" w:customStyle="1" w:styleId="30">
    <w:name w:val="正文缩进 Char"/>
    <w:link w:val="6"/>
    <w:autoRedefine/>
    <w:qFormat/>
    <w:uiPriority w:val="0"/>
    <w:rPr>
      <w:rFonts w:ascii="Calibri" w:hAnsi="Calibri" w:eastAsia="宋体"/>
      <w:kern w:val="2"/>
      <w:sz w:val="21"/>
      <w:szCs w:val="24"/>
    </w:rPr>
  </w:style>
  <w:style w:type="paragraph" w:customStyle="1" w:styleId="31">
    <w:name w:val="正文cl"/>
    <w:basedOn w:val="1"/>
    <w:autoRedefine/>
    <w:qFormat/>
    <w:uiPriority w:val="0"/>
    <w:pPr>
      <w:snapToGrid w:val="0"/>
      <w:spacing w:line="360" w:lineRule="auto"/>
      <w:ind w:firstLine="600" w:firstLineChars="200"/>
    </w:pPr>
    <w:rPr>
      <w:rFonts w:ascii="Tahoma" w:hAnsi="Tahoma" w:eastAsia="仿宋_GB2312" w:cs="宋体"/>
      <w:sz w:val="30"/>
      <w:szCs w:val="20"/>
    </w:rPr>
  </w:style>
  <w:style w:type="character" w:customStyle="1" w:styleId="32">
    <w:name w:val="文档结构图 Char"/>
    <w:basedOn w:val="17"/>
    <w:link w:val="7"/>
    <w:autoRedefine/>
    <w:semiHidden/>
    <w:qFormat/>
    <w:uiPriority w:val="99"/>
    <w:rPr>
      <w:rFonts w:ascii="宋体"/>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996</Words>
  <Characters>5680</Characters>
  <Lines>47</Lines>
  <Paragraphs>13</Paragraphs>
  <TotalTime>7</TotalTime>
  <ScaleCrop>false</ScaleCrop>
  <LinksUpToDate>false</LinksUpToDate>
  <CharactersWithSpaces>6663</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2023-09-05T08:15:00Z</dcterms:created>
  <dc:creator>User</dc:creator>
  <cp:lastModifiedBy>12137</cp:lastModifiedBy>
  <cp:lastPrinted>2023-05-09T06:57:00Z</cp:lastPrinted>
  <dcterms:modified xsi:type="dcterms:W3CDTF">2024-05-06T08:22:45Z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0AFE010481DC44A08AD0F773538D481C</vt:lpwstr>
  </property>
</Properties>
</file>