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outlineLvl w:val="1"/>
        <w:rPr>
          <w:rFonts w:hint="default"/>
        </w:rPr>
      </w:pPr>
      <w:r>
        <w:rPr>
          <w:b/>
          <w:sz w:val="36"/>
        </w:rPr>
        <w:t>第二章 采购需求</w:t>
      </w:r>
    </w:p>
    <w:p>
      <w:pPr>
        <w:pStyle w:val="7"/>
        <w:outlineLvl w:val="2"/>
        <w:rPr>
          <w:rFonts w:hint="default"/>
        </w:rPr>
      </w:pPr>
      <w:r>
        <w:rPr>
          <w:b/>
          <w:sz w:val="28"/>
        </w:rPr>
        <w:t>一、项目概况：</w:t>
      </w:r>
    </w:p>
    <w:p>
      <w:pPr>
        <w:pStyle w:val="7"/>
        <w:rPr>
          <w:rFonts w:hint="default"/>
          <w:lang w:eastAsia="zh-CN"/>
        </w:rPr>
      </w:pPr>
    </w:p>
    <w:p>
      <w:pPr>
        <w:pStyle w:val="7"/>
        <w:rPr>
          <w:rFonts w:hint="default"/>
          <w:lang w:eastAsia="zh-CN"/>
        </w:rPr>
      </w:pPr>
      <w:r>
        <w:rPr>
          <w:lang w:eastAsia="zh-CN"/>
        </w:rPr>
        <w:t>项目属性：服务类</w:t>
      </w:r>
    </w:p>
    <w:p>
      <w:pPr>
        <w:pStyle w:val="7"/>
        <w:rPr>
          <w:rFonts w:hint="default"/>
          <w:lang w:eastAsia="zh-CN"/>
        </w:rPr>
      </w:pPr>
    </w:p>
    <w:p>
      <w:pPr>
        <w:pStyle w:val="4"/>
        <w:shd w:val="clear" w:color="auto" w:fill="FFFFFF"/>
        <w:spacing w:before="156" w:beforeAutospacing="0" w:after="156" w:afterAutospacing="0"/>
        <w:ind w:firstLine="420" w:firstLineChars="200"/>
        <w:rPr>
          <w:rFonts w:cstheme="minorBidi"/>
          <w:spacing w:val="0"/>
          <w:sz w:val="21"/>
          <w:szCs w:val="21"/>
        </w:rPr>
      </w:pPr>
      <w:r>
        <w:rPr>
          <w:rFonts w:hint="eastAsia" w:cstheme="minorBidi"/>
          <w:spacing w:val="0"/>
          <w:sz w:val="21"/>
          <w:szCs w:val="21"/>
        </w:rPr>
        <w:t>★本次采购产品为非进口产品（进口产品指通过中国海关报关验放进入中国境内且产自关境外的产品）。</w:t>
      </w:r>
    </w:p>
    <w:p>
      <w:pPr>
        <w:pStyle w:val="4"/>
        <w:shd w:val="clear" w:color="auto" w:fill="FFFFFF"/>
        <w:spacing w:before="156" w:beforeAutospacing="0" w:after="156" w:afterAutospacing="0"/>
        <w:ind w:firstLine="420" w:firstLineChars="200"/>
        <w:rPr>
          <w:rFonts w:cstheme="minorBidi"/>
          <w:spacing w:val="0"/>
          <w:sz w:val="21"/>
          <w:szCs w:val="21"/>
        </w:rPr>
      </w:pPr>
      <w:r>
        <w:rPr>
          <w:rFonts w:hint="eastAsia" w:cstheme="minorBidi"/>
          <w:spacing w:val="0"/>
          <w:sz w:val="21"/>
          <w:szCs w:val="21"/>
        </w:rPr>
        <w:t>★凡属于《中华人民共和国实施强制性产品认证的产品目录》的产品，请投标人在投标文件中承诺在交货时提供该产品的“中国强制性产品认证”（CCC认证）证书。</w:t>
      </w:r>
    </w:p>
    <w:p>
      <w:pPr>
        <w:pStyle w:val="4"/>
        <w:shd w:val="clear" w:color="auto" w:fill="FFFFFF"/>
        <w:spacing w:before="156" w:beforeAutospacing="0" w:after="156" w:afterAutospacing="0"/>
        <w:ind w:firstLine="420" w:firstLineChars="200"/>
        <w:rPr>
          <w:rFonts w:cstheme="minorBidi"/>
          <w:spacing w:val="0"/>
          <w:sz w:val="21"/>
          <w:szCs w:val="21"/>
        </w:rPr>
      </w:pPr>
      <w:r>
        <w:rPr>
          <w:rFonts w:hint="eastAsia" w:cstheme="minorBidi"/>
          <w:spacing w:val="0"/>
          <w:sz w:val="21"/>
          <w:szCs w:val="21"/>
        </w:rPr>
        <w:t>工期要求：合同生效后，实际开工日后90个日历天。</w:t>
      </w:r>
    </w:p>
    <w:p>
      <w:pPr>
        <w:pStyle w:val="8"/>
        <w:adjustRightInd w:val="0"/>
        <w:snapToGrid w:val="0"/>
        <w:spacing w:line="360" w:lineRule="auto"/>
        <w:rPr>
          <w:rFonts w:ascii="宋体" w:hAnsi="宋体"/>
          <w:sz w:val="24"/>
          <w:szCs w:val="24"/>
        </w:rPr>
      </w:pPr>
    </w:p>
    <w:p>
      <w:pPr>
        <w:pStyle w:val="8"/>
        <w:widowControl w:val="0"/>
        <w:spacing w:after="156" w:line="360" w:lineRule="auto"/>
        <w:outlineLvl w:val="1"/>
        <w:rPr>
          <w:rFonts w:ascii="宋体" w:hAnsi="宋体" w:cs="宋体"/>
          <w:b/>
          <w:bCs/>
          <w:kern w:val="44"/>
          <w:sz w:val="24"/>
          <w:szCs w:val="24"/>
        </w:rPr>
      </w:pPr>
      <w:bookmarkStart w:id="0" w:name="_Toc88537187"/>
      <w:bookmarkStart w:id="1" w:name="_Toc297020308"/>
      <w:bookmarkStart w:id="2" w:name="_Toc233790259"/>
      <w:bookmarkStart w:id="3" w:name="_Toc233790321"/>
      <w:bookmarkStart w:id="4" w:name="_Toc88273692"/>
      <w:bookmarkStart w:id="5" w:name="_Toc229416854"/>
      <w:bookmarkStart w:id="6" w:name="_Toc260224768"/>
      <w:bookmarkStart w:id="7" w:name="_Toc304976192"/>
      <w:bookmarkStart w:id="8" w:name="_Toc88273669"/>
      <w:bookmarkStart w:id="9" w:name="_Toc164269612"/>
      <w:r>
        <w:rPr>
          <w:rFonts w:hint="eastAsia" w:ascii="宋体" w:hAnsi="宋体" w:cs="宋体"/>
          <w:b/>
          <w:bCs/>
          <w:kern w:val="44"/>
          <w:sz w:val="24"/>
          <w:szCs w:val="24"/>
        </w:rPr>
        <w:t>1</w:t>
      </w:r>
      <w:r>
        <w:rPr>
          <w:rFonts w:ascii="宋体" w:hAnsi="宋体" w:cs="宋体"/>
          <w:b/>
          <w:bCs/>
          <w:kern w:val="44"/>
          <w:sz w:val="24"/>
          <w:szCs w:val="24"/>
        </w:rPr>
        <w:t>.</w:t>
      </w:r>
      <w:r>
        <w:rPr>
          <w:rFonts w:hint="eastAsia" w:ascii="宋体" w:hAnsi="宋体" w:cs="宋体"/>
          <w:b/>
          <w:bCs/>
          <w:kern w:val="44"/>
          <w:sz w:val="24"/>
          <w:szCs w:val="24"/>
        </w:rPr>
        <w:t>项目</w:t>
      </w:r>
      <w:bookmarkEnd w:id="0"/>
      <w:bookmarkEnd w:id="1"/>
      <w:bookmarkEnd w:id="2"/>
      <w:bookmarkEnd w:id="3"/>
      <w:bookmarkEnd w:id="4"/>
      <w:bookmarkEnd w:id="5"/>
      <w:bookmarkEnd w:id="6"/>
      <w:bookmarkEnd w:id="7"/>
      <w:bookmarkEnd w:id="8"/>
      <w:r>
        <w:rPr>
          <w:rFonts w:hint="eastAsia" w:ascii="宋体" w:hAnsi="宋体" w:cs="宋体"/>
          <w:b/>
          <w:bCs/>
          <w:kern w:val="44"/>
          <w:sz w:val="24"/>
          <w:szCs w:val="24"/>
        </w:rPr>
        <w:t>概述</w:t>
      </w:r>
      <w:bookmarkEnd w:id="9"/>
    </w:p>
    <w:p>
      <w:pPr>
        <w:spacing w:line="360" w:lineRule="auto"/>
        <w:ind w:firstLine="420" w:firstLineChars="200"/>
        <w:rPr>
          <w:rFonts w:ascii="宋体" w:hAnsi="宋体"/>
          <w:szCs w:val="21"/>
        </w:rPr>
      </w:pPr>
      <w:r>
        <w:rPr>
          <w:rFonts w:hint="eastAsia" w:ascii="宋体" w:hAnsi="宋体"/>
          <w:szCs w:val="21"/>
        </w:rPr>
        <w:t>随着信息技术在广州大学的广泛应用和深度融合，在教育系统、教育设备、教育环境等纷纷融入信息化元素的同时，加大了攻击者对于相关教育数据的关注程度和攻击面，使广州大学在网络安全面临的威胁持续加大。本项目通过采购一些新的安全设备来替换部分旧的安全设备和补充一些安全设备来达到如下目标。</w:t>
      </w:r>
    </w:p>
    <w:p>
      <w:pPr>
        <w:pStyle w:val="4"/>
        <w:shd w:val="clear" w:color="auto" w:fill="FFFFFF"/>
        <w:spacing w:before="156" w:beforeAutospacing="0" w:after="156" w:afterAutospacing="0"/>
        <w:ind w:firstLine="420" w:firstLineChars="200"/>
        <w:rPr>
          <w:rFonts w:cstheme="minorBidi"/>
          <w:spacing w:val="0"/>
          <w:sz w:val="21"/>
          <w:szCs w:val="21"/>
        </w:rPr>
      </w:pPr>
      <w:r>
        <w:rPr>
          <w:rFonts w:hint="eastAsia" w:cstheme="minorBidi"/>
          <w:spacing w:val="0"/>
          <w:sz w:val="21"/>
          <w:szCs w:val="21"/>
        </w:rPr>
        <w:t>（1）提高数据中心机房部署的应用系统的访问效率，改善师生使用应用系统的使用体验。</w:t>
      </w:r>
    </w:p>
    <w:p>
      <w:pPr>
        <w:pStyle w:val="4"/>
        <w:shd w:val="clear" w:color="auto" w:fill="FFFFFF"/>
        <w:spacing w:before="156" w:beforeAutospacing="0" w:after="156" w:afterAutospacing="0"/>
        <w:ind w:firstLine="420" w:firstLineChars="200"/>
        <w:rPr>
          <w:rFonts w:cstheme="minorBidi"/>
          <w:spacing w:val="0"/>
          <w:sz w:val="21"/>
          <w:szCs w:val="21"/>
        </w:rPr>
      </w:pPr>
      <w:r>
        <w:rPr>
          <w:rFonts w:hint="eastAsia" w:cstheme="minorBidi"/>
          <w:spacing w:val="0"/>
          <w:sz w:val="21"/>
          <w:szCs w:val="21"/>
        </w:rPr>
        <w:t>旧的WEB应用防护系统设备目前已经不满足我们web系统的防护要求。访问量高的时候，出现cpu或者内存过高的情况，会对防护的应用系统造成访问慢的影响。通过替换性能更好的WEB应用防护系统，提高数据中心机房部署的应用系统的访问效率，改善师生使用应用系统的使用体验。</w:t>
      </w:r>
    </w:p>
    <w:p>
      <w:pPr>
        <w:pStyle w:val="4"/>
        <w:shd w:val="clear" w:color="auto" w:fill="FFFFFF"/>
        <w:spacing w:before="156" w:beforeAutospacing="0" w:after="156" w:afterAutospacing="0"/>
        <w:ind w:firstLine="420" w:firstLineChars="200"/>
        <w:rPr>
          <w:rFonts w:cstheme="minorBidi"/>
          <w:spacing w:val="0"/>
          <w:sz w:val="21"/>
          <w:szCs w:val="21"/>
        </w:rPr>
      </w:pPr>
      <w:r>
        <w:rPr>
          <w:rFonts w:hint="eastAsia" w:cstheme="minorBidi"/>
          <w:spacing w:val="0"/>
          <w:sz w:val="21"/>
          <w:szCs w:val="21"/>
        </w:rPr>
        <w:t>（</w:t>
      </w:r>
      <w:r>
        <w:rPr>
          <w:rFonts w:cstheme="minorBidi"/>
          <w:spacing w:val="0"/>
          <w:sz w:val="21"/>
          <w:szCs w:val="21"/>
        </w:rPr>
        <w:t>2</w:t>
      </w:r>
      <w:r>
        <w:rPr>
          <w:rFonts w:hint="eastAsia" w:cstheme="minorBidi"/>
          <w:spacing w:val="0"/>
          <w:sz w:val="21"/>
          <w:szCs w:val="21"/>
        </w:rPr>
        <w:t>）更好的满足《网络安全法》和网络安全等级保护的要求</w:t>
      </w:r>
    </w:p>
    <w:p>
      <w:pPr>
        <w:pStyle w:val="4"/>
        <w:shd w:val="clear" w:color="auto" w:fill="FFFFFF"/>
        <w:spacing w:before="156" w:beforeAutospacing="0" w:after="156" w:afterAutospacing="0"/>
        <w:ind w:firstLine="420" w:firstLineChars="200"/>
        <w:rPr>
          <w:rFonts w:cstheme="minorBidi"/>
          <w:spacing w:val="0"/>
          <w:sz w:val="21"/>
          <w:szCs w:val="21"/>
        </w:rPr>
      </w:pPr>
      <w:r>
        <w:rPr>
          <w:rFonts w:hint="eastAsia" w:cstheme="minorBidi"/>
          <w:spacing w:val="0"/>
          <w:sz w:val="21"/>
          <w:szCs w:val="21"/>
        </w:rPr>
        <w:t>旧的运维安全管理系统设备只有5</w:t>
      </w:r>
      <w:r>
        <w:rPr>
          <w:rFonts w:cstheme="minorBidi"/>
          <w:spacing w:val="0"/>
          <w:sz w:val="21"/>
          <w:szCs w:val="21"/>
        </w:rPr>
        <w:t>00</w:t>
      </w:r>
      <w:r>
        <w:rPr>
          <w:rFonts w:hint="eastAsia" w:cstheme="minorBidi"/>
          <w:spacing w:val="0"/>
          <w:sz w:val="21"/>
          <w:szCs w:val="21"/>
        </w:rPr>
        <w:t>个授权，不能覆盖数据中心内部的所有服务器。因此需要新增一台运维安全管理系统设备来并对内部人员或第三方运维人员误操作和非法操作进行审计监控，以便事后责任追踪，更好的满足网络安全等级保护的要求。</w:t>
      </w:r>
    </w:p>
    <w:p>
      <w:pPr>
        <w:pStyle w:val="4"/>
        <w:shd w:val="clear" w:color="auto" w:fill="FFFFFF"/>
        <w:spacing w:before="156" w:beforeAutospacing="0" w:after="156" w:afterAutospacing="0"/>
        <w:ind w:firstLine="420" w:firstLineChars="200"/>
        <w:rPr>
          <w:rFonts w:cstheme="minorBidi"/>
          <w:spacing w:val="0"/>
          <w:sz w:val="21"/>
          <w:szCs w:val="21"/>
        </w:rPr>
      </w:pPr>
      <w:r>
        <w:rPr>
          <w:rFonts w:hint="eastAsia" w:cstheme="minorBidi"/>
          <w:spacing w:val="0"/>
          <w:sz w:val="21"/>
          <w:szCs w:val="21"/>
        </w:rPr>
        <w:t>需增加一台专门的综合日志审计分析平台设备来更好的满足网络安全法中保留6个月日志的要求。</w:t>
      </w:r>
    </w:p>
    <w:p>
      <w:pPr>
        <w:pStyle w:val="4"/>
        <w:shd w:val="clear" w:color="auto" w:fill="FFFFFF"/>
        <w:spacing w:before="156" w:beforeAutospacing="0" w:after="156" w:afterAutospacing="0"/>
        <w:ind w:firstLine="420" w:firstLineChars="200"/>
        <w:rPr>
          <w:rFonts w:cstheme="minorBidi"/>
          <w:spacing w:val="0"/>
          <w:sz w:val="21"/>
          <w:szCs w:val="21"/>
        </w:rPr>
      </w:pPr>
      <w:r>
        <w:rPr>
          <w:rFonts w:hint="eastAsia" w:cstheme="minorBidi"/>
          <w:spacing w:val="0"/>
          <w:sz w:val="21"/>
          <w:szCs w:val="21"/>
        </w:rPr>
        <w:t>通过对备份系统进行扩容的服务，可以使更多的服务器纳入备份服务，更好的满足网络安全等级保护的要求。</w:t>
      </w:r>
    </w:p>
    <w:p>
      <w:pPr>
        <w:spacing w:line="360" w:lineRule="auto"/>
        <w:ind w:firstLine="420" w:firstLineChars="200"/>
        <w:rPr>
          <w:rFonts w:asciiTheme="minorEastAsia" w:hAnsiTheme="minorEastAsia"/>
          <w:szCs w:val="21"/>
        </w:rPr>
      </w:pPr>
    </w:p>
    <w:p>
      <w:pPr>
        <w:pStyle w:val="8"/>
        <w:widowControl w:val="0"/>
        <w:spacing w:after="156" w:line="360" w:lineRule="auto"/>
        <w:outlineLvl w:val="1"/>
        <w:rPr>
          <w:rFonts w:ascii="宋体" w:hAnsi="宋体" w:cs="宋体"/>
          <w:b/>
          <w:bCs/>
          <w:kern w:val="44"/>
          <w:sz w:val="24"/>
          <w:szCs w:val="24"/>
        </w:rPr>
      </w:pPr>
      <w:bookmarkStart w:id="10" w:name="_Toc260224769"/>
      <w:bookmarkStart w:id="11" w:name="_Toc164269613"/>
      <w:bookmarkStart w:id="12" w:name="_Toc297020309"/>
      <w:bookmarkStart w:id="13" w:name="_Toc304976193"/>
      <w:bookmarkStart w:id="14" w:name="_Toc233790260"/>
      <w:bookmarkStart w:id="15" w:name="_Toc233790322"/>
      <w:r>
        <w:rPr>
          <w:rFonts w:hint="eastAsia" w:ascii="宋体" w:hAnsi="宋体" w:cs="宋体"/>
          <w:b/>
          <w:bCs/>
          <w:kern w:val="44"/>
          <w:sz w:val="24"/>
          <w:szCs w:val="24"/>
        </w:rPr>
        <w:t>2</w:t>
      </w:r>
      <w:r>
        <w:rPr>
          <w:rFonts w:ascii="宋体" w:hAnsi="宋体" w:cs="宋体"/>
          <w:b/>
          <w:bCs/>
          <w:kern w:val="44"/>
          <w:sz w:val="24"/>
          <w:szCs w:val="24"/>
        </w:rPr>
        <w:t>.</w:t>
      </w:r>
      <w:r>
        <w:rPr>
          <w:rFonts w:hint="eastAsia" w:ascii="宋体" w:hAnsi="宋体" w:cs="宋体"/>
          <w:b/>
          <w:bCs/>
          <w:kern w:val="44"/>
          <w:sz w:val="24"/>
          <w:szCs w:val="24"/>
        </w:rPr>
        <w:t>采购内容</w:t>
      </w:r>
      <w:bookmarkEnd w:id="10"/>
      <w:bookmarkEnd w:id="11"/>
      <w:bookmarkEnd w:id="12"/>
      <w:bookmarkEnd w:id="13"/>
      <w:bookmarkEnd w:id="14"/>
      <w:bookmarkEnd w:id="15"/>
    </w:p>
    <w:p>
      <w:pPr>
        <w:pStyle w:val="4"/>
        <w:shd w:val="clear" w:color="auto" w:fill="FFFFFF"/>
        <w:spacing w:before="156" w:beforeAutospacing="0" w:after="156" w:afterAutospacing="0"/>
        <w:ind w:firstLine="420" w:firstLineChars="200"/>
        <w:rPr>
          <w:rFonts w:cstheme="minorBidi"/>
          <w:spacing w:val="0"/>
          <w:sz w:val="21"/>
          <w:szCs w:val="22"/>
        </w:rPr>
      </w:pPr>
      <w:r>
        <w:rPr>
          <w:rFonts w:hint="eastAsia" w:cstheme="minorBidi"/>
          <w:spacing w:val="0"/>
          <w:sz w:val="21"/>
          <w:szCs w:val="22"/>
        </w:rPr>
        <w:t>本项目包括以下内容：</w:t>
      </w:r>
    </w:p>
    <w:p>
      <w:pPr>
        <w:pStyle w:val="4"/>
        <w:shd w:val="clear" w:color="auto" w:fill="FFFFFF"/>
        <w:spacing w:before="156" w:beforeAutospacing="0" w:after="156" w:afterAutospacing="0"/>
        <w:ind w:firstLine="420" w:firstLineChars="200"/>
        <w:rPr>
          <w:rFonts w:cstheme="minorBidi"/>
          <w:spacing w:val="0"/>
          <w:sz w:val="21"/>
          <w:szCs w:val="22"/>
        </w:rPr>
      </w:pPr>
      <w:r>
        <w:rPr>
          <w:rFonts w:hint="eastAsia" w:cstheme="minorBidi"/>
          <w:spacing w:val="0"/>
          <w:sz w:val="21"/>
          <w:szCs w:val="22"/>
        </w:rPr>
        <w:t>本项目采购内容包括运维安全管理系统、WEB应用防护系统、综合日志审计分析平台、备份系统扩容服务。</w:t>
      </w:r>
    </w:p>
    <w:tbl>
      <w:tblPr>
        <w:tblStyle w:val="5"/>
        <w:tblW w:w="88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47"/>
        <w:gridCol w:w="1229"/>
        <w:gridCol w:w="1898"/>
        <w:gridCol w:w="495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5" w:hRule="atLeast"/>
          <w:tblHeader/>
          <w:jc w:val="center"/>
        </w:trPr>
        <w:tc>
          <w:tcPr>
            <w:tcW w:w="747" w:type="dxa"/>
            <w:shd w:val="clear" w:color="000000" w:fill="D9D9D9"/>
            <w:vAlign w:val="center"/>
          </w:tcPr>
          <w:p>
            <w:pPr>
              <w:widowControl/>
              <w:spacing w:line="360" w:lineRule="auto"/>
              <w:jc w:val="center"/>
              <w:rPr>
                <w:rFonts w:ascii="宋体" w:hAnsi="宋体" w:cs="宋体"/>
                <w:b/>
                <w:bCs/>
                <w:color w:val="000000"/>
                <w:kern w:val="0"/>
                <w:sz w:val="24"/>
                <w:szCs w:val="24"/>
              </w:rPr>
            </w:pPr>
            <w:r>
              <w:rPr>
                <w:rFonts w:ascii="宋体" w:hAnsi="宋体" w:cs="宋体"/>
                <w:b/>
                <w:bCs/>
                <w:color w:val="000000"/>
                <w:kern w:val="0"/>
                <w:sz w:val="24"/>
                <w:szCs w:val="24"/>
              </w:rPr>
              <w:t>序号</w:t>
            </w:r>
          </w:p>
        </w:tc>
        <w:tc>
          <w:tcPr>
            <w:tcW w:w="1229" w:type="dxa"/>
            <w:shd w:val="clear" w:color="000000" w:fill="D9D9D9"/>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分项</w:t>
            </w:r>
          </w:p>
        </w:tc>
        <w:tc>
          <w:tcPr>
            <w:tcW w:w="1898" w:type="dxa"/>
            <w:shd w:val="clear" w:color="000000" w:fill="D9D9D9"/>
            <w:vAlign w:val="center"/>
          </w:tcPr>
          <w:p>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数量／单位</w:t>
            </w:r>
          </w:p>
        </w:tc>
        <w:tc>
          <w:tcPr>
            <w:tcW w:w="4957" w:type="dxa"/>
            <w:shd w:val="clear" w:color="000000" w:fill="D9D9D9"/>
            <w:vAlign w:val="center"/>
          </w:tcPr>
          <w:p>
            <w:pPr>
              <w:widowControl/>
              <w:spacing w:line="360" w:lineRule="auto"/>
              <w:jc w:val="center"/>
              <w:rPr>
                <w:rFonts w:ascii="宋体" w:hAnsi="宋体" w:cs="宋体"/>
                <w:b/>
                <w:bCs/>
                <w:color w:val="000000"/>
                <w:kern w:val="0"/>
                <w:sz w:val="24"/>
                <w:szCs w:val="24"/>
              </w:rPr>
            </w:pPr>
            <w:r>
              <w:rPr>
                <w:rFonts w:ascii="宋体" w:hAnsi="宋体" w:cs="宋体"/>
                <w:b/>
                <w:bCs/>
                <w:color w:val="000000"/>
                <w:kern w:val="0"/>
                <w:sz w:val="24"/>
                <w:szCs w:val="24"/>
              </w:rPr>
              <w:t>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 w:hRule="atLeast"/>
          <w:jc w:val="center"/>
        </w:trPr>
        <w:tc>
          <w:tcPr>
            <w:tcW w:w="747" w:type="dxa"/>
            <w:shd w:val="clear" w:color="auto" w:fill="auto"/>
            <w:vAlign w:val="center"/>
          </w:tcPr>
          <w:p>
            <w:pPr>
              <w:widowControl/>
              <w:spacing w:line="360" w:lineRule="auto"/>
              <w:jc w:val="center"/>
              <w:rPr>
                <w:rFonts w:ascii="宋体" w:hAnsi="宋体" w:cs="宋体"/>
                <w:color w:val="000000"/>
                <w:kern w:val="0"/>
                <w:szCs w:val="21"/>
              </w:rPr>
            </w:pPr>
            <w:r>
              <w:rPr>
                <w:rFonts w:ascii="宋体" w:hAnsi="宋体" w:cs="宋体"/>
                <w:color w:val="000000"/>
                <w:kern w:val="0"/>
                <w:szCs w:val="21"/>
              </w:rPr>
              <w:t>1</w:t>
            </w:r>
          </w:p>
        </w:tc>
        <w:tc>
          <w:tcPr>
            <w:tcW w:w="1229" w:type="dxa"/>
            <w:shd w:val="clear" w:color="auto" w:fill="auto"/>
            <w:vAlign w:val="center"/>
          </w:tcPr>
          <w:p>
            <w:pPr>
              <w:widowControl/>
              <w:spacing w:line="360" w:lineRule="auto"/>
              <w:jc w:val="left"/>
              <w:rPr>
                <w:rFonts w:ascii="宋体" w:hAnsi="宋体" w:cs="宋体"/>
                <w:color w:val="000000"/>
                <w:kern w:val="0"/>
                <w:szCs w:val="21"/>
              </w:rPr>
            </w:pPr>
            <w:r>
              <w:rPr>
                <w:rFonts w:hint="eastAsia" w:ascii="宋体" w:hAnsi="宋体"/>
                <w:szCs w:val="24"/>
              </w:rPr>
              <w:t>运维安全管理系统</w:t>
            </w:r>
          </w:p>
        </w:tc>
        <w:tc>
          <w:tcPr>
            <w:tcW w:w="1898" w:type="dxa"/>
            <w:vAlign w:val="center"/>
          </w:tcPr>
          <w:p>
            <w:pPr>
              <w:widowControl/>
              <w:spacing w:line="360" w:lineRule="auto"/>
              <w:jc w:val="center"/>
              <w:rPr>
                <w:rFonts w:ascii="宋体" w:hAnsi="宋体"/>
              </w:rPr>
            </w:pPr>
            <w:r>
              <w:rPr>
                <w:rFonts w:hint="eastAsia" w:ascii="宋体" w:hAnsi="宋体"/>
              </w:rPr>
              <w:t>一台</w:t>
            </w:r>
          </w:p>
        </w:tc>
        <w:tc>
          <w:tcPr>
            <w:tcW w:w="4957" w:type="dxa"/>
            <w:shd w:val="clear" w:color="auto" w:fill="auto"/>
            <w:vAlign w:val="center"/>
          </w:tcPr>
          <w:p>
            <w:pPr>
              <w:spacing w:line="400" w:lineRule="exact"/>
              <w:rPr>
                <w:rFonts w:ascii="宋体" w:hAnsi="宋体"/>
              </w:rPr>
            </w:pPr>
            <w:r>
              <w:rPr>
                <w:rFonts w:hint="eastAsia" w:ascii="宋体" w:hAnsi="宋体"/>
              </w:rPr>
              <w:t>1、【软硬一体】</w:t>
            </w:r>
          </w:p>
          <w:p>
            <w:pPr>
              <w:spacing w:line="400" w:lineRule="exact"/>
              <w:rPr>
                <w:rFonts w:ascii="宋体" w:hAnsi="宋体"/>
              </w:rPr>
            </w:pPr>
            <w:r>
              <w:rPr>
                <w:rFonts w:hint="eastAsia" w:ascii="宋体" w:hAnsi="宋体"/>
              </w:rPr>
              <w:t>2、【性能说明】：字符并发数≥</w:t>
            </w:r>
            <w:r>
              <w:rPr>
                <w:rFonts w:ascii="宋体" w:hAnsi="宋体"/>
              </w:rPr>
              <w:t>33</w:t>
            </w:r>
            <w:r>
              <w:rPr>
                <w:rFonts w:hint="eastAsia" w:ascii="宋体" w:hAnsi="宋体"/>
              </w:rPr>
              <w:t>00，图形并发数≥2000，最大可管理设备数无限制。</w:t>
            </w:r>
          </w:p>
          <w:p>
            <w:pPr>
              <w:spacing w:line="400" w:lineRule="exact"/>
              <w:rPr>
                <w:rFonts w:ascii="宋体" w:hAnsi="宋体"/>
              </w:rPr>
            </w:pPr>
            <w:r>
              <w:rPr>
                <w:rFonts w:hint="eastAsia" w:ascii="宋体" w:hAnsi="宋体"/>
              </w:rPr>
              <w:t>3、【硬件规格】：标准2U硬件，交流冗余电源，硬盘≥4T，千兆电口≥</w:t>
            </w:r>
            <w:r>
              <w:rPr>
                <w:rFonts w:ascii="宋体" w:hAnsi="宋体"/>
              </w:rPr>
              <w:t>8</w:t>
            </w:r>
            <w:r>
              <w:rPr>
                <w:rFonts w:hint="eastAsia" w:ascii="宋体" w:hAnsi="宋体"/>
              </w:rPr>
              <w:t>，千兆光口≥8个，万兆光口≥</w:t>
            </w:r>
            <w:r>
              <w:rPr>
                <w:rFonts w:ascii="宋体" w:hAnsi="宋体"/>
              </w:rPr>
              <w:t>4</w:t>
            </w:r>
            <w:r>
              <w:rPr>
                <w:rFonts w:hint="eastAsia" w:ascii="宋体" w:hAnsi="宋体"/>
              </w:rPr>
              <w:t>。</w:t>
            </w:r>
          </w:p>
          <w:p>
            <w:pPr>
              <w:spacing w:line="400" w:lineRule="exact"/>
              <w:rPr>
                <w:rFonts w:ascii="宋体" w:hAnsi="宋体"/>
              </w:rPr>
            </w:pPr>
            <w:r>
              <w:rPr>
                <w:rFonts w:ascii="宋体" w:hAnsi="宋体"/>
              </w:rPr>
              <w:t>具有国产化的操作系统、硬件平台</w:t>
            </w:r>
            <w:r>
              <w:rPr>
                <w:rFonts w:hint="eastAsia" w:ascii="宋体" w:hAnsi="宋体"/>
              </w:rPr>
              <w:t>，国密</w:t>
            </w:r>
            <w:r>
              <w:rPr>
                <w:rFonts w:ascii="宋体" w:hAnsi="宋体"/>
              </w:rPr>
              <w:t>UKEY，处理器：C*Core32位RISC芯片</w:t>
            </w:r>
            <w:r>
              <w:rPr>
                <w:rFonts w:hint="eastAsia" w:ascii="宋体" w:hAnsi="宋体"/>
              </w:rPr>
              <w:t>，</w:t>
            </w:r>
            <w:r>
              <w:rPr>
                <w:rFonts w:ascii="宋体" w:hAnsi="宋体"/>
              </w:rPr>
              <w:t>SRAM：32KB</w:t>
            </w:r>
            <w:r>
              <w:rPr>
                <w:rFonts w:hint="eastAsia" w:ascii="宋体" w:hAnsi="宋体"/>
              </w:rPr>
              <w:t>，</w:t>
            </w:r>
            <w:r>
              <w:rPr>
                <w:rFonts w:ascii="宋体" w:hAnsi="宋体"/>
              </w:rPr>
              <w:t>EFLASH：256KB，支持国密规范。</w:t>
            </w:r>
          </w:p>
          <w:p>
            <w:pPr>
              <w:spacing w:line="400" w:lineRule="exact"/>
              <w:rPr>
                <w:rFonts w:ascii="宋体" w:hAnsi="宋体"/>
              </w:rPr>
            </w:pPr>
            <w:r>
              <w:rPr>
                <w:rFonts w:hint="eastAsia" w:ascii="宋体" w:hAnsi="宋体"/>
              </w:rPr>
              <w:t>主要功能包括：设备运维、访问控制及异常告警、运维管控、自动化运维、日志管理等。</w:t>
            </w:r>
          </w:p>
          <w:p>
            <w:pPr>
              <w:widowControl/>
              <w:spacing w:line="360" w:lineRule="auto"/>
              <w:jc w:val="left"/>
              <w:rPr>
                <w:rFonts w:ascii="宋体" w:hAnsi="宋体"/>
              </w:rPr>
            </w:pPr>
            <w:r>
              <w:rPr>
                <w:rFonts w:hint="eastAsia"/>
              </w:rPr>
              <w:t>提供相当于或优于</w:t>
            </w:r>
            <w:r>
              <w:rPr>
                <w:rFonts w:hint="eastAsia" w:ascii="宋体" w:hAnsi="宋体"/>
              </w:rPr>
              <w:t>原厂三年维保服务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 w:hRule="atLeast"/>
          <w:jc w:val="center"/>
        </w:trPr>
        <w:tc>
          <w:tcPr>
            <w:tcW w:w="747" w:type="dxa"/>
            <w:shd w:val="clear" w:color="auto" w:fill="auto"/>
            <w:vAlign w:val="center"/>
          </w:tcPr>
          <w:p>
            <w:pPr>
              <w:widowControl/>
              <w:spacing w:line="360" w:lineRule="auto"/>
              <w:jc w:val="center"/>
              <w:rPr>
                <w:rFonts w:ascii="宋体" w:hAnsi="宋体" w:cs="宋体"/>
                <w:color w:val="000000"/>
                <w:kern w:val="0"/>
                <w:szCs w:val="21"/>
              </w:rPr>
            </w:pPr>
            <w:r>
              <w:rPr>
                <w:rFonts w:ascii="宋体" w:hAnsi="宋体" w:cs="宋体"/>
                <w:color w:val="000000"/>
                <w:kern w:val="0"/>
                <w:szCs w:val="21"/>
              </w:rPr>
              <w:t>2</w:t>
            </w:r>
          </w:p>
        </w:tc>
        <w:tc>
          <w:tcPr>
            <w:tcW w:w="1229" w:type="dxa"/>
            <w:shd w:val="clear" w:color="auto" w:fill="auto"/>
            <w:vAlign w:val="center"/>
          </w:tcPr>
          <w:p>
            <w:pPr>
              <w:widowControl/>
              <w:spacing w:line="360" w:lineRule="auto"/>
              <w:jc w:val="left"/>
              <w:rPr>
                <w:rFonts w:ascii="宋体" w:hAnsi="宋体"/>
                <w:szCs w:val="21"/>
              </w:rPr>
            </w:pPr>
            <w:r>
              <w:rPr>
                <w:rFonts w:hint="eastAsia" w:ascii="宋体" w:hAnsi="宋体"/>
                <w:szCs w:val="24"/>
              </w:rPr>
              <w:t>WEB应用防护系统</w:t>
            </w:r>
          </w:p>
        </w:tc>
        <w:tc>
          <w:tcPr>
            <w:tcW w:w="1898" w:type="dxa"/>
            <w:vAlign w:val="center"/>
          </w:tcPr>
          <w:p>
            <w:pPr>
              <w:widowControl/>
              <w:spacing w:line="360" w:lineRule="auto"/>
              <w:jc w:val="center"/>
              <w:rPr>
                <w:rFonts w:ascii="宋体" w:hAnsi="宋体"/>
                <w:szCs w:val="21"/>
              </w:rPr>
            </w:pPr>
            <w:r>
              <w:rPr>
                <w:rFonts w:hint="eastAsia" w:ascii="宋体" w:hAnsi="宋体"/>
                <w:szCs w:val="21"/>
              </w:rPr>
              <w:t>一台</w:t>
            </w:r>
          </w:p>
        </w:tc>
        <w:tc>
          <w:tcPr>
            <w:tcW w:w="4957" w:type="dxa"/>
            <w:shd w:val="clear" w:color="auto" w:fill="auto"/>
            <w:vAlign w:val="center"/>
          </w:tcPr>
          <w:p>
            <w:pPr>
              <w:spacing w:line="400" w:lineRule="exact"/>
              <w:rPr>
                <w:rFonts w:ascii="宋体" w:hAnsi="宋体"/>
              </w:rPr>
            </w:pPr>
            <w:r>
              <w:rPr>
                <w:rFonts w:hint="eastAsia" w:ascii="宋体" w:hAnsi="宋体"/>
              </w:rPr>
              <w:t>1、【软硬一体】</w:t>
            </w:r>
          </w:p>
          <w:p>
            <w:pPr>
              <w:spacing w:line="400" w:lineRule="exact"/>
              <w:rPr>
                <w:rFonts w:ascii="宋体" w:hAnsi="宋体"/>
              </w:rPr>
            </w:pPr>
            <w:r>
              <w:rPr>
                <w:rFonts w:hint="eastAsia" w:ascii="宋体" w:hAnsi="宋体"/>
              </w:rPr>
              <w:t>2、【性能说明】：应用层吞吐量≥10Gbps， Cps≥70000。</w:t>
            </w:r>
          </w:p>
          <w:p>
            <w:pPr>
              <w:spacing w:line="400" w:lineRule="exact"/>
              <w:rPr>
                <w:rFonts w:ascii="宋体" w:hAnsi="宋体"/>
              </w:rPr>
            </w:pPr>
            <w:r>
              <w:rPr>
                <w:rFonts w:hint="eastAsia" w:ascii="宋体" w:hAnsi="宋体"/>
              </w:rPr>
              <w:t>3、【硬件规格】：标准2U硬件,交流冗余电源, 千兆电口≥2，万兆光口≥4（B</w:t>
            </w:r>
            <w:r>
              <w:rPr>
                <w:rFonts w:ascii="宋体" w:hAnsi="宋体"/>
              </w:rPr>
              <w:t>ypass</w:t>
            </w:r>
            <w:r>
              <w:rPr>
                <w:rFonts w:hint="eastAsia" w:ascii="宋体" w:hAnsi="宋体"/>
              </w:rPr>
              <w:t>≥2路），硬盘≥1T。</w:t>
            </w:r>
          </w:p>
          <w:p>
            <w:pPr>
              <w:spacing w:line="400" w:lineRule="exact"/>
              <w:rPr>
                <w:rFonts w:ascii="宋体" w:hAnsi="宋体"/>
              </w:rPr>
            </w:pPr>
            <w:r>
              <w:rPr>
                <w:rFonts w:hint="eastAsia" w:ascii="宋体" w:hAnsi="宋体"/>
              </w:rPr>
              <w:t>主要功能包括：</w:t>
            </w:r>
            <w:r>
              <w:rPr>
                <w:rFonts w:ascii="宋体" w:hAnsi="宋体"/>
              </w:rPr>
              <w:t>TCP Flood防护</w:t>
            </w:r>
            <w:r>
              <w:rPr>
                <w:rFonts w:hint="eastAsia" w:ascii="宋体" w:hAnsi="宋体"/>
              </w:rPr>
              <w:t>,</w:t>
            </w:r>
            <w:r>
              <w:rPr>
                <w:rFonts w:ascii="宋体" w:hAnsi="宋体"/>
              </w:rPr>
              <w:t>HTTP Flood防护</w:t>
            </w:r>
            <w:r>
              <w:rPr>
                <w:rFonts w:hint="eastAsia" w:ascii="宋体" w:hAnsi="宋体"/>
              </w:rPr>
              <w:t>,</w:t>
            </w:r>
            <w:r>
              <w:rPr>
                <w:rFonts w:ascii="宋体" w:hAnsi="宋体"/>
              </w:rPr>
              <w:t>慢速攻击防护</w:t>
            </w:r>
            <w:r>
              <w:rPr>
                <w:rFonts w:hint="eastAsia" w:ascii="宋体" w:hAnsi="宋体"/>
              </w:rPr>
              <w:t>,Web服务器/插件防护，爬虫防护，Web通用防护，文件非法上传防护，非法下载限制等基础防护；扫描防护，Cookie安全，内容过滤，敏感信息过滤，暴力破解防护，XML防护，智能引擎检测等功能。</w:t>
            </w:r>
          </w:p>
          <w:p>
            <w:pPr>
              <w:widowControl/>
              <w:spacing w:line="360" w:lineRule="auto"/>
              <w:jc w:val="left"/>
              <w:rPr>
                <w:rFonts w:ascii="宋体" w:hAnsi="宋体"/>
              </w:rPr>
            </w:pPr>
            <w:r>
              <w:rPr>
                <w:rFonts w:hint="eastAsia"/>
              </w:rPr>
              <w:t>提供相当于或优于</w:t>
            </w:r>
            <w:r>
              <w:rPr>
                <w:rFonts w:hint="eastAsia" w:ascii="宋体" w:hAnsi="宋体"/>
              </w:rPr>
              <w:t>原厂三年维保服务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 w:hRule="atLeast"/>
          <w:jc w:val="center"/>
        </w:trPr>
        <w:tc>
          <w:tcPr>
            <w:tcW w:w="747" w:type="dxa"/>
            <w:shd w:val="clear" w:color="auto" w:fill="auto"/>
            <w:vAlign w:val="center"/>
          </w:tcPr>
          <w:p>
            <w:pPr>
              <w:widowControl/>
              <w:spacing w:line="360" w:lineRule="auto"/>
              <w:jc w:val="center"/>
              <w:rPr>
                <w:rFonts w:ascii="宋体" w:hAnsi="宋体" w:cs="宋体"/>
                <w:color w:val="000000"/>
                <w:kern w:val="0"/>
                <w:szCs w:val="21"/>
              </w:rPr>
            </w:pPr>
            <w:r>
              <w:rPr>
                <w:rFonts w:ascii="宋体" w:hAnsi="宋体" w:cs="宋体"/>
                <w:color w:val="000000"/>
                <w:kern w:val="0"/>
                <w:szCs w:val="21"/>
              </w:rPr>
              <w:t>3</w:t>
            </w:r>
          </w:p>
        </w:tc>
        <w:tc>
          <w:tcPr>
            <w:tcW w:w="1229" w:type="dxa"/>
            <w:shd w:val="clear" w:color="auto" w:fill="auto"/>
            <w:vAlign w:val="center"/>
          </w:tcPr>
          <w:p>
            <w:pPr>
              <w:widowControl/>
              <w:spacing w:line="360" w:lineRule="auto"/>
              <w:jc w:val="left"/>
              <w:rPr>
                <w:rFonts w:ascii="宋体" w:hAnsi="宋体"/>
                <w:szCs w:val="24"/>
              </w:rPr>
            </w:pPr>
            <w:r>
              <w:rPr>
                <w:rFonts w:hint="eastAsia" w:ascii="宋体" w:hAnsi="宋体"/>
                <w:szCs w:val="24"/>
              </w:rPr>
              <w:t>综合日志审计分析平台</w:t>
            </w:r>
          </w:p>
        </w:tc>
        <w:tc>
          <w:tcPr>
            <w:tcW w:w="1898" w:type="dxa"/>
            <w:vAlign w:val="center"/>
          </w:tcPr>
          <w:p>
            <w:pPr>
              <w:widowControl/>
              <w:spacing w:line="360" w:lineRule="auto"/>
              <w:jc w:val="center"/>
              <w:rPr>
                <w:rFonts w:ascii="宋体" w:hAnsi="宋体"/>
                <w:szCs w:val="21"/>
              </w:rPr>
            </w:pPr>
            <w:r>
              <w:rPr>
                <w:rFonts w:hint="eastAsia" w:ascii="宋体" w:hAnsi="宋体"/>
                <w:szCs w:val="21"/>
              </w:rPr>
              <w:t>一台</w:t>
            </w:r>
          </w:p>
          <w:p>
            <w:pPr>
              <w:widowControl/>
              <w:spacing w:line="360" w:lineRule="auto"/>
              <w:jc w:val="left"/>
              <w:rPr>
                <w:rFonts w:ascii="宋体" w:hAnsi="宋体"/>
                <w:szCs w:val="21"/>
              </w:rPr>
            </w:pPr>
          </w:p>
        </w:tc>
        <w:tc>
          <w:tcPr>
            <w:tcW w:w="4957" w:type="dxa"/>
            <w:shd w:val="clear" w:color="auto" w:fill="auto"/>
            <w:vAlign w:val="center"/>
          </w:tcPr>
          <w:p>
            <w:pPr>
              <w:spacing w:line="400" w:lineRule="exact"/>
              <w:rPr>
                <w:rFonts w:ascii="宋体" w:hAnsi="宋体"/>
              </w:rPr>
            </w:pPr>
            <w:r>
              <w:rPr>
                <w:rFonts w:hint="eastAsia" w:ascii="宋体" w:hAnsi="宋体"/>
              </w:rPr>
              <w:t xml:space="preserve">1、【软硬一体】                                   </w:t>
            </w:r>
          </w:p>
          <w:p>
            <w:pPr>
              <w:spacing w:line="400" w:lineRule="exact"/>
              <w:rPr>
                <w:rFonts w:ascii="宋体" w:hAnsi="宋体"/>
              </w:rPr>
            </w:pPr>
            <w:r>
              <w:rPr>
                <w:rFonts w:hint="eastAsia" w:ascii="宋体" w:hAnsi="宋体"/>
              </w:rPr>
              <w:t xml:space="preserve">2、【性能说明】：日志处理能力≥25000EPS，1000个日志源;             </w:t>
            </w:r>
          </w:p>
          <w:p>
            <w:pPr>
              <w:spacing w:line="400" w:lineRule="exact"/>
              <w:rPr>
                <w:rFonts w:ascii="宋体" w:hAnsi="宋体"/>
              </w:rPr>
            </w:pPr>
            <w:r>
              <w:rPr>
                <w:rFonts w:hint="eastAsia" w:ascii="宋体" w:hAnsi="宋体"/>
              </w:rPr>
              <w:t>3、【硬件规格】：标准2U硬件,</w:t>
            </w:r>
          </w:p>
          <w:p>
            <w:pPr>
              <w:spacing w:line="400" w:lineRule="exact"/>
              <w:rPr>
                <w:rFonts w:ascii="宋体" w:hAnsi="宋体"/>
              </w:rPr>
            </w:pPr>
            <w:r>
              <w:rPr>
                <w:rFonts w:hint="eastAsia" w:ascii="宋体" w:hAnsi="宋体"/>
              </w:rPr>
              <w:t>电源：双电源；</w:t>
            </w:r>
          </w:p>
          <w:p>
            <w:pPr>
              <w:spacing w:line="400" w:lineRule="exact"/>
              <w:rPr>
                <w:rFonts w:ascii="宋体" w:hAnsi="宋体"/>
              </w:rPr>
            </w:pPr>
            <w:r>
              <w:rPr>
                <w:rFonts w:hint="eastAsia" w:ascii="宋体" w:hAnsi="宋体"/>
              </w:rPr>
              <w:t>网口：千兆电口≥5</w:t>
            </w:r>
            <w:r>
              <w:rPr>
                <w:rFonts w:hint="eastAsia" w:ascii="宋体" w:hAnsi="宋体"/>
                <w:sz w:val="24"/>
                <w:szCs w:val="24"/>
              </w:rPr>
              <w:t>（包含管理口*1，业务口*4）</w:t>
            </w:r>
            <w:r>
              <w:rPr>
                <w:rFonts w:hint="eastAsia" w:ascii="宋体" w:hAnsi="宋体"/>
              </w:rPr>
              <w:t>，万兆光口≥2；</w:t>
            </w:r>
          </w:p>
          <w:p>
            <w:pPr>
              <w:spacing w:line="400" w:lineRule="exact"/>
              <w:rPr>
                <w:rFonts w:ascii="宋体" w:hAnsi="宋体"/>
              </w:rPr>
            </w:pPr>
            <w:r>
              <w:rPr>
                <w:rFonts w:hint="eastAsia" w:ascii="宋体" w:hAnsi="宋体"/>
              </w:rPr>
              <w:t>芯片</w:t>
            </w:r>
            <w:r>
              <w:rPr>
                <w:rFonts w:ascii="宋体" w:hAnsi="宋体"/>
              </w:rPr>
              <w:t>+操作系统：</w:t>
            </w:r>
            <w:r>
              <w:rPr>
                <w:rFonts w:hint="eastAsia" w:ascii="宋体" w:hAnsi="宋体"/>
              </w:rPr>
              <w:t>相当于或优于</w:t>
            </w:r>
            <w:r>
              <w:rPr>
                <w:rFonts w:ascii="宋体" w:hAnsi="宋体"/>
              </w:rPr>
              <w:t>鲲鹏920+统信UOS</w:t>
            </w:r>
          </w:p>
          <w:p>
            <w:pPr>
              <w:spacing w:line="400" w:lineRule="exact"/>
              <w:rPr>
                <w:rFonts w:ascii="宋体" w:hAnsi="宋体"/>
              </w:rPr>
            </w:pPr>
            <w:r>
              <w:rPr>
                <w:rFonts w:hint="eastAsia" w:ascii="宋体" w:hAnsi="宋体"/>
              </w:rPr>
              <w:t>内存≥</w:t>
            </w:r>
            <w:r>
              <w:rPr>
                <w:rFonts w:ascii="宋体" w:hAnsi="宋体"/>
              </w:rPr>
              <w:t>512</w:t>
            </w:r>
            <w:r>
              <w:rPr>
                <w:rFonts w:hint="eastAsia" w:ascii="宋体" w:hAnsi="宋体"/>
              </w:rPr>
              <w:t>G；</w:t>
            </w:r>
          </w:p>
          <w:p>
            <w:pPr>
              <w:spacing w:line="400" w:lineRule="exact"/>
              <w:rPr>
                <w:rFonts w:ascii="宋体" w:hAnsi="宋体"/>
              </w:rPr>
            </w:pPr>
            <w:r>
              <w:rPr>
                <w:rFonts w:hint="eastAsia" w:ascii="宋体" w:hAnsi="宋体"/>
              </w:rPr>
              <w:t>硬盘≥6T*</w:t>
            </w:r>
            <w:r>
              <w:rPr>
                <w:rFonts w:ascii="宋体" w:hAnsi="宋体"/>
              </w:rPr>
              <w:t>12</w:t>
            </w:r>
            <w:r>
              <w:rPr>
                <w:rFonts w:hint="eastAsia" w:ascii="宋体" w:hAnsi="宋体"/>
              </w:rPr>
              <w:t>；</w:t>
            </w:r>
          </w:p>
          <w:p>
            <w:pPr>
              <w:spacing w:line="400" w:lineRule="exact"/>
              <w:rPr>
                <w:rFonts w:ascii="宋体" w:hAnsi="宋体"/>
              </w:rPr>
            </w:pPr>
            <w:r>
              <w:rPr>
                <w:rFonts w:hint="eastAsia" w:ascii="宋体" w:hAnsi="宋体"/>
              </w:rPr>
              <w:t>主要功能包括：日志收集、日志分析、日志查询、日志备份等功能；日志收集包括支持Syslog、SNMP Trap、HTTP、ODBC/JDBC、WMI、FTP、SFTP协议日志收集，支持目前主流的网络安全设备、交换设备、路由设备、操作系统、应用系统等。</w:t>
            </w:r>
          </w:p>
          <w:p>
            <w:pPr>
              <w:spacing w:line="400" w:lineRule="exact"/>
              <w:rPr>
                <w:rFonts w:ascii="宋体" w:hAnsi="宋体"/>
                <w:szCs w:val="21"/>
              </w:rPr>
            </w:pPr>
            <w:r>
              <w:rPr>
                <w:rFonts w:hint="eastAsia"/>
              </w:rPr>
              <w:t>提供相当于或优于</w:t>
            </w:r>
            <w:r>
              <w:rPr>
                <w:rFonts w:hint="eastAsia" w:ascii="宋体" w:hAnsi="宋体"/>
              </w:rPr>
              <w:t>原厂三年维保服务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 w:hRule="atLeast"/>
          <w:jc w:val="center"/>
        </w:trPr>
        <w:tc>
          <w:tcPr>
            <w:tcW w:w="747" w:type="dxa"/>
            <w:shd w:val="clear" w:color="auto" w:fill="auto"/>
            <w:vAlign w:val="center"/>
          </w:tcPr>
          <w:p>
            <w:pPr>
              <w:widowControl/>
              <w:spacing w:line="360" w:lineRule="auto"/>
              <w:jc w:val="center"/>
              <w:rPr>
                <w:rFonts w:ascii="宋体" w:hAnsi="宋体" w:cs="宋体"/>
                <w:color w:val="000000"/>
                <w:kern w:val="0"/>
                <w:szCs w:val="21"/>
              </w:rPr>
            </w:pPr>
            <w:r>
              <w:rPr>
                <w:rFonts w:ascii="宋体" w:hAnsi="宋体" w:cs="宋体"/>
                <w:color w:val="000000"/>
                <w:kern w:val="0"/>
                <w:szCs w:val="21"/>
              </w:rPr>
              <w:t>4</w:t>
            </w:r>
          </w:p>
        </w:tc>
        <w:tc>
          <w:tcPr>
            <w:tcW w:w="1229" w:type="dxa"/>
            <w:shd w:val="clear" w:color="auto" w:fill="auto"/>
            <w:vAlign w:val="center"/>
          </w:tcPr>
          <w:p>
            <w:pPr>
              <w:widowControl/>
              <w:spacing w:line="360" w:lineRule="auto"/>
              <w:jc w:val="left"/>
              <w:rPr>
                <w:rFonts w:ascii="宋体" w:hAnsi="宋体"/>
                <w:color w:val="000000"/>
                <w:kern w:val="0"/>
                <w:szCs w:val="21"/>
              </w:rPr>
            </w:pPr>
            <w:r>
              <w:rPr>
                <w:rFonts w:hint="eastAsia" w:ascii="宋体" w:hAnsi="宋体"/>
                <w:szCs w:val="24"/>
              </w:rPr>
              <w:t>备份系统扩容服务</w:t>
            </w:r>
          </w:p>
        </w:tc>
        <w:tc>
          <w:tcPr>
            <w:tcW w:w="1898" w:type="dxa"/>
            <w:vAlign w:val="center"/>
          </w:tcPr>
          <w:p>
            <w:pPr>
              <w:spacing w:line="360" w:lineRule="auto"/>
              <w:jc w:val="center"/>
              <w:rPr>
                <w:rFonts w:ascii="宋体" w:hAnsi="宋体"/>
                <w:color w:val="000000"/>
                <w:szCs w:val="21"/>
              </w:rPr>
            </w:pPr>
            <w:r>
              <w:rPr>
                <w:rFonts w:hint="eastAsia" w:ascii="宋体" w:hAnsi="宋体"/>
                <w:color w:val="000000"/>
                <w:szCs w:val="21"/>
              </w:rPr>
              <w:t>一套</w:t>
            </w:r>
          </w:p>
        </w:tc>
        <w:tc>
          <w:tcPr>
            <w:tcW w:w="4957" w:type="dxa"/>
            <w:shd w:val="clear" w:color="auto" w:fill="auto"/>
            <w:vAlign w:val="center"/>
          </w:tcPr>
          <w:p>
            <w:pPr>
              <w:spacing w:line="400" w:lineRule="exact"/>
              <w:rPr>
                <w:rFonts w:ascii="宋体" w:hAnsi="宋体"/>
              </w:rPr>
            </w:pPr>
            <w:r>
              <w:rPr>
                <w:rFonts w:hint="eastAsia" w:ascii="宋体" w:hAnsi="宋体"/>
              </w:rPr>
              <w:t>（</w:t>
            </w:r>
            <w:r>
              <w:rPr>
                <w:rFonts w:ascii="宋体" w:hAnsi="宋体"/>
              </w:rPr>
              <w:t>1）对已有爱数备份系统提供扩容授权服务，共增加</w:t>
            </w:r>
            <w:r>
              <w:rPr>
                <w:rFonts w:hint="eastAsia" w:ascii="宋体" w:hAnsi="宋体"/>
              </w:rPr>
              <w:t>7</w:t>
            </w:r>
            <w:r>
              <w:rPr>
                <w:rFonts w:ascii="宋体" w:hAnsi="宋体"/>
              </w:rPr>
              <w:t>5TB授权</w:t>
            </w:r>
            <w:r>
              <w:rPr>
                <w:rFonts w:hint="eastAsia" w:ascii="宋体" w:hAnsi="宋体"/>
              </w:rPr>
              <w:t>，其中大学城校区增加5</w:t>
            </w:r>
            <w:r>
              <w:rPr>
                <w:rFonts w:ascii="宋体" w:hAnsi="宋体"/>
              </w:rPr>
              <w:t>0TB</w:t>
            </w:r>
            <w:r>
              <w:rPr>
                <w:rFonts w:hint="eastAsia" w:ascii="宋体" w:hAnsi="宋体"/>
              </w:rPr>
              <w:t>授权</w:t>
            </w:r>
            <w:r>
              <w:rPr>
                <w:rFonts w:ascii="宋体" w:hAnsi="宋体"/>
              </w:rPr>
              <w:t>,</w:t>
            </w:r>
            <w:r>
              <w:rPr>
                <w:rFonts w:hint="eastAsia" w:ascii="宋体" w:hAnsi="宋体"/>
              </w:rPr>
              <w:t>桂花岗校区作为异地备份增加2</w:t>
            </w:r>
            <w:r>
              <w:rPr>
                <w:rFonts w:ascii="宋体" w:hAnsi="宋体"/>
              </w:rPr>
              <w:t>5</w:t>
            </w:r>
            <w:r>
              <w:rPr>
                <w:rFonts w:hint="eastAsia" w:ascii="宋体" w:hAnsi="宋体"/>
              </w:rPr>
              <w:t>TB授权。</w:t>
            </w:r>
          </w:p>
          <w:p>
            <w:pPr>
              <w:spacing w:line="400" w:lineRule="exact"/>
              <w:rPr>
                <w:rFonts w:ascii="宋体" w:hAnsi="宋体"/>
              </w:rPr>
            </w:pPr>
            <w:r>
              <w:rPr>
                <w:rFonts w:hint="eastAsia" w:ascii="宋体" w:hAnsi="宋体"/>
              </w:rPr>
              <w:t>（</w:t>
            </w:r>
            <w:r>
              <w:rPr>
                <w:rFonts w:ascii="宋体" w:hAnsi="宋体"/>
              </w:rPr>
              <w:t>2）增加重复数据删除代理授权，实现重复数据删除功能。多个备份任务可以共享同一个重删指纹池，也可以根据数据的不同单独设置专属重删指纹池，支持并行重复数据删除，解决存储空间压力问题。</w:t>
            </w:r>
          </w:p>
          <w:p>
            <w:pPr>
              <w:spacing w:line="400" w:lineRule="exact"/>
              <w:rPr>
                <w:rFonts w:ascii="宋体" w:hAnsi="宋体"/>
              </w:rPr>
            </w:pPr>
            <w:r>
              <w:rPr>
                <w:rFonts w:hint="eastAsia" w:ascii="宋体" w:hAnsi="宋体"/>
              </w:rPr>
              <w:t>以上两个授权均为永久使用授权。</w:t>
            </w:r>
          </w:p>
          <w:p>
            <w:pPr>
              <w:spacing w:line="400" w:lineRule="exact"/>
              <w:rPr>
                <w:rFonts w:ascii="宋体" w:hAnsi="宋体"/>
              </w:rPr>
            </w:pPr>
            <w:r>
              <w:rPr>
                <w:rFonts w:hint="eastAsia" w:ascii="宋体" w:hAnsi="宋体"/>
              </w:rPr>
              <w:t>（</w:t>
            </w:r>
            <w:r>
              <w:rPr>
                <w:rFonts w:ascii="宋体" w:hAnsi="宋体"/>
              </w:rPr>
              <w:t>3）完成项目交付的管理、业务场景的梳理和规划、产品的部署线及业务上线后的保障与支持。根据客户的实际需求进行灵活配置。</w:t>
            </w:r>
          </w:p>
          <w:p>
            <w:pPr>
              <w:spacing w:line="400" w:lineRule="exact"/>
              <w:rPr>
                <w:rFonts w:ascii="宋体" w:hAnsi="宋体"/>
              </w:rPr>
            </w:pPr>
            <w:r>
              <w:rPr>
                <w:rFonts w:hint="eastAsia" w:ascii="宋体" w:hAnsi="宋体"/>
              </w:rPr>
              <w:t>（</w:t>
            </w:r>
            <w:r>
              <w:rPr>
                <w:rFonts w:ascii="宋体" w:hAnsi="宋体"/>
              </w:rPr>
              <w:t>4）提供</w:t>
            </w:r>
            <w:r>
              <w:rPr>
                <w:rFonts w:hint="eastAsia"/>
              </w:rPr>
              <w:t>相当于或优于</w:t>
            </w:r>
            <w:r>
              <w:rPr>
                <w:rFonts w:ascii="宋体" w:hAnsi="宋体"/>
              </w:rPr>
              <w:t>原厂三年维保服务授权。</w:t>
            </w:r>
          </w:p>
        </w:tc>
      </w:tr>
    </w:tbl>
    <w:p>
      <w:pPr>
        <w:spacing w:line="360" w:lineRule="auto"/>
        <w:rPr>
          <w:rFonts w:ascii="宋体" w:hAnsi="宋体"/>
          <w:sz w:val="24"/>
          <w:szCs w:val="24"/>
        </w:rPr>
      </w:pPr>
    </w:p>
    <w:p>
      <w:pPr>
        <w:pStyle w:val="9"/>
        <w:numPr>
          <w:ilvl w:val="0"/>
          <w:numId w:val="0"/>
        </w:numPr>
        <w:spacing w:before="156" w:after="156"/>
        <w:jc w:val="left"/>
        <w:outlineLvl w:val="2"/>
        <w:rPr>
          <w:sz w:val="24"/>
          <w:szCs w:val="24"/>
        </w:rPr>
      </w:pPr>
      <w:bookmarkStart w:id="16" w:name="_Toc164269614"/>
      <w:r>
        <w:rPr>
          <w:rFonts w:hint="eastAsia"/>
          <w:sz w:val="24"/>
          <w:szCs w:val="24"/>
        </w:rPr>
        <w:t>2</w:t>
      </w:r>
      <w:r>
        <w:rPr>
          <w:sz w:val="24"/>
          <w:szCs w:val="24"/>
        </w:rPr>
        <w:t>.1</w:t>
      </w:r>
      <w:r>
        <w:rPr>
          <w:rFonts w:hint="eastAsia"/>
          <w:sz w:val="24"/>
          <w:szCs w:val="24"/>
        </w:rPr>
        <w:t>运维安全管理系统</w:t>
      </w:r>
      <w:bookmarkEnd w:id="16"/>
    </w:p>
    <w:p>
      <w:pPr>
        <w:spacing w:line="400" w:lineRule="exact"/>
        <w:ind w:firstLine="420" w:firstLineChars="200"/>
        <w:rPr>
          <w:rFonts w:ascii="宋体" w:hAnsi="宋体"/>
        </w:rPr>
      </w:pPr>
      <w:r>
        <w:rPr>
          <w:rFonts w:hint="eastAsia" w:ascii="宋体" w:hAnsi="宋体"/>
        </w:rPr>
        <w:t>随着信息化的发展，学校IT系统不断发展，网络规模迅速扩大、设备数量激增，建设重点逐步从网络平台建设，转向以深化应用、提升效益为特征的运行维护阶段，IT系统运维与安全管理正逐渐走向融合。信息系统的安全运行直接关系学校效益，构建一个强健的IT运维安全管理体系对学校信息化的发展至关重要，对运维管理安全性提出了更高要求。由于代维人员流动性大、对操作行为缺少监控带来的风险日益凸显。因此，需要运维安全管理系统通过严格的权限控制和操作行为审计，加强对代维人员的行为管理，从而达到消隐患、避风险的目的。</w:t>
      </w:r>
    </w:p>
    <w:p>
      <w:pPr>
        <w:spacing w:line="400" w:lineRule="exact"/>
        <w:ind w:firstLine="420" w:firstLineChars="200"/>
        <w:rPr>
          <w:rFonts w:ascii="宋体" w:hAnsi="宋体"/>
        </w:rPr>
      </w:pPr>
      <w:r>
        <w:rPr>
          <w:rFonts w:hint="eastAsia" w:ascii="宋体" w:hAnsi="宋体"/>
        </w:rPr>
        <w:t>目前学校使用的运维安全管理系统设备是2</w:t>
      </w:r>
      <w:r>
        <w:rPr>
          <w:rFonts w:ascii="宋体" w:hAnsi="宋体"/>
        </w:rPr>
        <w:t>017</w:t>
      </w:r>
      <w:r>
        <w:rPr>
          <w:rFonts w:hint="eastAsia" w:ascii="宋体" w:hAnsi="宋体"/>
        </w:rPr>
        <w:t>年采购的，只有5</w:t>
      </w:r>
      <w:r>
        <w:rPr>
          <w:rFonts w:ascii="宋体" w:hAnsi="宋体"/>
        </w:rPr>
        <w:t>00</w:t>
      </w:r>
      <w:r>
        <w:rPr>
          <w:rFonts w:hint="eastAsia" w:ascii="宋体" w:hAnsi="宋体"/>
        </w:rPr>
        <w:t>个授权，性能也不够。我们仅仅是数据中心的服务器（含虚拟化+物理）就已8</w:t>
      </w:r>
      <w:r>
        <w:rPr>
          <w:rFonts w:ascii="宋体" w:hAnsi="宋体"/>
        </w:rPr>
        <w:t>17</w:t>
      </w:r>
      <w:r>
        <w:rPr>
          <w:rFonts w:hint="eastAsia" w:ascii="宋体" w:hAnsi="宋体"/>
        </w:rPr>
        <w:t>台，为了更好满足操作系统的操作需要管控和审计的安全要求，急需增加一台运维安全管理系统设备，该设备参数要求如下。</w:t>
      </w:r>
    </w:p>
    <w:p>
      <w:pPr>
        <w:spacing w:line="400" w:lineRule="exact"/>
        <w:rPr>
          <w:rFonts w:ascii="宋体" w:hAnsi="宋体"/>
        </w:rPr>
      </w:pPr>
      <w:r>
        <w:rPr>
          <w:rFonts w:hint="eastAsia" w:ascii="宋体" w:hAnsi="宋体"/>
        </w:rPr>
        <w:t>1、【软硬一体】</w:t>
      </w:r>
    </w:p>
    <w:p>
      <w:pPr>
        <w:spacing w:line="400" w:lineRule="exact"/>
        <w:rPr>
          <w:rFonts w:ascii="宋体" w:hAnsi="宋体"/>
        </w:rPr>
      </w:pPr>
      <w:r>
        <w:rPr>
          <w:rFonts w:hint="eastAsia" w:ascii="宋体" w:hAnsi="宋体"/>
        </w:rPr>
        <w:t>2、【性能说明】：字符并发数≥</w:t>
      </w:r>
      <w:r>
        <w:rPr>
          <w:rFonts w:ascii="宋体" w:hAnsi="宋体"/>
        </w:rPr>
        <w:t>33</w:t>
      </w:r>
      <w:r>
        <w:rPr>
          <w:rFonts w:hint="eastAsia" w:ascii="宋体" w:hAnsi="宋体"/>
        </w:rPr>
        <w:t>00，图形并发数≥2000，最大可管理设备数无限制。</w:t>
      </w:r>
    </w:p>
    <w:p>
      <w:pPr>
        <w:spacing w:line="400" w:lineRule="exact"/>
        <w:rPr>
          <w:rFonts w:ascii="宋体" w:hAnsi="宋体"/>
        </w:rPr>
      </w:pPr>
      <w:r>
        <w:rPr>
          <w:rFonts w:hint="eastAsia" w:ascii="宋体" w:hAnsi="宋体"/>
        </w:rPr>
        <w:t>3、【硬件规格】：标准2U硬件，交流冗余电源，硬盘≥4T，千兆电口≥</w:t>
      </w:r>
      <w:r>
        <w:rPr>
          <w:rFonts w:ascii="宋体" w:hAnsi="宋体"/>
        </w:rPr>
        <w:t>8</w:t>
      </w:r>
      <w:r>
        <w:rPr>
          <w:rFonts w:hint="eastAsia" w:ascii="宋体" w:hAnsi="宋体"/>
        </w:rPr>
        <w:t>，千兆光口≥8个，万兆光口≥</w:t>
      </w:r>
      <w:r>
        <w:rPr>
          <w:rFonts w:ascii="宋体" w:hAnsi="宋体"/>
        </w:rPr>
        <w:t>4</w:t>
      </w:r>
      <w:r>
        <w:rPr>
          <w:rFonts w:hint="eastAsia" w:ascii="宋体" w:hAnsi="宋体"/>
        </w:rPr>
        <w:t>。</w:t>
      </w:r>
    </w:p>
    <w:p>
      <w:pPr>
        <w:spacing w:line="400" w:lineRule="exact"/>
        <w:rPr>
          <w:rFonts w:ascii="宋体" w:hAnsi="宋体"/>
        </w:rPr>
      </w:pPr>
      <w:r>
        <w:rPr>
          <w:rFonts w:ascii="宋体" w:hAnsi="宋体"/>
        </w:rPr>
        <w:t>具有国产化的操作系统、硬件平台</w:t>
      </w:r>
      <w:r>
        <w:rPr>
          <w:rFonts w:hint="eastAsia" w:ascii="宋体" w:hAnsi="宋体"/>
        </w:rPr>
        <w:t>，国密</w:t>
      </w:r>
      <w:r>
        <w:rPr>
          <w:rFonts w:ascii="宋体" w:hAnsi="宋体"/>
        </w:rPr>
        <w:t>UKEY，处理器：C*Core32位RISC芯片</w:t>
      </w:r>
      <w:r>
        <w:rPr>
          <w:rFonts w:hint="eastAsia" w:ascii="宋体" w:hAnsi="宋体"/>
        </w:rPr>
        <w:t>，</w:t>
      </w:r>
      <w:r>
        <w:rPr>
          <w:rFonts w:ascii="宋体" w:hAnsi="宋体"/>
        </w:rPr>
        <w:t>SRAM：32KB</w:t>
      </w:r>
      <w:r>
        <w:rPr>
          <w:rFonts w:hint="eastAsia" w:ascii="宋体" w:hAnsi="宋体"/>
        </w:rPr>
        <w:t>，</w:t>
      </w:r>
      <w:r>
        <w:rPr>
          <w:rFonts w:ascii="宋体" w:hAnsi="宋体"/>
        </w:rPr>
        <w:t>EFLASH：256KB，支持国密规范。</w:t>
      </w:r>
    </w:p>
    <w:p>
      <w:pPr>
        <w:spacing w:line="400" w:lineRule="exact"/>
        <w:rPr>
          <w:rFonts w:ascii="宋体" w:hAnsi="宋体"/>
        </w:rPr>
      </w:pPr>
      <w:r>
        <w:rPr>
          <w:rFonts w:hint="eastAsia" w:ascii="宋体" w:hAnsi="宋体"/>
        </w:rPr>
        <w:t>主要功能包括：设备运维、访问控制及异常告警、运维管控、自动化运维、日志管理等。</w:t>
      </w:r>
    </w:p>
    <w:p>
      <w:pPr>
        <w:rPr>
          <w:rFonts w:ascii="宋体" w:hAnsi="宋体"/>
        </w:rPr>
      </w:pPr>
      <w:r>
        <w:rPr>
          <w:rFonts w:hint="eastAsia"/>
        </w:rPr>
        <w:t>提供相当于或优于</w:t>
      </w:r>
      <w:r>
        <w:rPr>
          <w:rFonts w:hint="eastAsia" w:ascii="宋体" w:hAnsi="宋体"/>
        </w:rPr>
        <w:t>原厂三年维保服务</w:t>
      </w:r>
    </w:p>
    <w:p>
      <w:pPr>
        <w:spacing w:line="360" w:lineRule="auto"/>
        <w:ind w:firstLine="420" w:firstLineChars="200"/>
        <w:rPr>
          <w:rFonts w:ascii="宋体" w:hAnsi="宋体"/>
          <w:szCs w:val="21"/>
        </w:rPr>
      </w:pPr>
      <w:r>
        <w:rPr>
          <w:rFonts w:hint="eastAsia" w:ascii="宋体" w:hAnsi="宋体"/>
          <w:szCs w:val="21"/>
        </w:rPr>
        <w:t>技术指标参数见表：</w:t>
      </w:r>
    </w:p>
    <w:tbl>
      <w:tblPr>
        <w:tblStyle w:val="5"/>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843"/>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12" w:type="dxa"/>
            <w:shd w:val="clear" w:color="auto" w:fill="D9D9D9"/>
            <w:vAlign w:val="center"/>
          </w:tcPr>
          <w:p>
            <w:pPr>
              <w:jc w:val="center"/>
              <w:rPr>
                <w:rFonts w:ascii="宋体" w:hAnsi="宋体"/>
                <w:szCs w:val="21"/>
              </w:rPr>
            </w:pPr>
            <w:r>
              <w:rPr>
                <w:rFonts w:hint="eastAsia" w:ascii="宋体" w:hAnsi="宋体" w:cs="Arial"/>
                <w:b/>
                <w:szCs w:val="21"/>
              </w:rPr>
              <w:t>序号</w:t>
            </w:r>
          </w:p>
        </w:tc>
        <w:tc>
          <w:tcPr>
            <w:tcW w:w="1843" w:type="dxa"/>
            <w:shd w:val="clear" w:color="auto" w:fill="D9D9D9"/>
            <w:vAlign w:val="center"/>
          </w:tcPr>
          <w:p>
            <w:pPr>
              <w:jc w:val="center"/>
              <w:rPr>
                <w:rFonts w:ascii="宋体" w:hAnsi="宋体"/>
                <w:szCs w:val="21"/>
              </w:rPr>
            </w:pPr>
            <w:r>
              <w:rPr>
                <w:rFonts w:hint="eastAsia" w:ascii="宋体" w:hAnsi="宋体"/>
                <w:szCs w:val="21"/>
              </w:rPr>
              <w:t>指标项</w:t>
            </w:r>
          </w:p>
        </w:tc>
        <w:tc>
          <w:tcPr>
            <w:tcW w:w="6191" w:type="dxa"/>
            <w:shd w:val="clear" w:color="auto" w:fill="D9D9D9"/>
            <w:vAlign w:val="center"/>
          </w:tcPr>
          <w:p>
            <w:pPr>
              <w:jc w:val="center"/>
              <w:rPr>
                <w:rFonts w:ascii="宋体" w:hAnsi="宋体"/>
                <w:szCs w:val="21"/>
              </w:rPr>
            </w:pPr>
            <w:r>
              <w:rPr>
                <w:rFonts w:hint="eastAsia" w:ascii="宋体" w:hAnsi="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12" w:type="dxa"/>
            <w:vAlign w:val="center"/>
          </w:tcPr>
          <w:p>
            <w:pPr>
              <w:ind w:left="420" w:hanging="420"/>
              <w:jc w:val="center"/>
              <w:rPr>
                <w:rFonts w:ascii="宋体" w:hAnsi="宋体"/>
                <w:szCs w:val="21"/>
              </w:rPr>
            </w:pPr>
            <w:r>
              <w:rPr>
                <w:rFonts w:ascii="宋体" w:hAnsi="宋体"/>
                <w:szCs w:val="21"/>
              </w:rPr>
              <w:t>1.</w:t>
            </w:r>
          </w:p>
        </w:tc>
        <w:tc>
          <w:tcPr>
            <w:tcW w:w="1843" w:type="dxa"/>
            <w:shd w:val="clear" w:color="auto" w:fill="auto"/>
            <w:vAlign w:val="center"/>
          </w:tcPr>
          <w:p>
            <w:pPr>
              <w:jc w:val="center"/>
              <w:rPr>
                <w:rFonts w:ascii="宋体" w:hAnsi="宋体"/>
                <w:szCs w:val="21"/>
              </w:rPr>
            </w:pPr>
            <w:r>
              <w:rPr>
                <w:rFonts w:hint="eastAsia" w:ascii="宋体" w:hAnsi="宋体"/>
                <w:szCs w:val="21"/>
              </w:rPr>
              <w:t>接口</w:t>
            </w:r>
            <w:r>
              <w:rPr>
                <w:rFonts w:ascii="宋体" w:hAnsi="宋体"/>
                <w:szCs w:val="21"/>
              </w:rPr>
              <w:t>与性能指标</w:t>
            </w:r>
          </w:p>
        </w:tc>
        <w:tc>
          <w:tcPr>
            <w:tcW w:w="6191" w:type="dxa"/>
            <w:shd w:val="clear" w:color="auto" w:fill="auto"/>
            <w:vAlign w:val="center"/>
          </w:tcPr>
          <w:p>
            <w:pPr>
              <w:rPr>
                <w:rFonts w:ascii="宋体" w:hAnsi="宋体"/>
                <w:szCs w:val="21"/>
              </w:rPr>
            </w:pPr>
            <w:r>
              <w:rPr>
                <w:rFonts w:ascii="宋体" w:hAnsi="宋体" w:cs="Arial"/>
                <w:sz w:val="24"/>
                <w:szCs w:val="24"/>
                <w:highlight w:val="white"/>
              </w:rPr>
              <w:t>★</w:t>
            </w:r>
            <w:r>
              <w:rPr>
                <w:rFonts w:ascii="宋体" w:hAnsi="宋体"/>
              </w:rPr>
              <w:t>系统应为2U标准式机架硬件设备，全内置封闭式结构，具有国产化的操作系统、硬件平台，</w:t>
            </w:r>
            <w:r>
              <w:rPr>
                <w:rFonts w:hint="eastAsia" w:ascii="宋体" w:hAnsi="宋体"/>
                <w:szCs w:val="21"/>
              </w:rPr>
              <w:t>≥8个千兆电口，≥8个千兆光口，≥4个万兆光口。存储空间不低于4T；最大可管理设备数不低于无限个，本次授权不少于无限</w:t>
            </w:r>
            <w:r>
              <w:rPr>
                <w:rFonts w:hint="eastAsia" w:ascii="宋体" w:hAnsi="宋体"/>
              </w:rPr>
              <w:t>个</w:t>
            </w:r>
            <w:r>
              <w:rPr>
                <w:rFonts w:ascii="宋体" w:hAnsi="宋体"/>
              </w:rPr>
              <w:t>设备</w:t>
            </w:r>
            <w:r>
              <w:rPr>
                <w:rFonts w:hint="eastAsia" w:ascii="宋体" w:hAnsi="宋体"/>
                <w:szCs w:val="21"/>
              </w:rPr>
              <w:t>，字符并发数不少于3300个，图形并发数不少于</w:t>
            </w:r>
            <w:r>
              <w:rPr>
                <w:rFonts w:ascii="宋体" w:hAnsi="宋体"/>
                <w:szCs w:val="21"/>
              </w:rPr>
              <w:t>2000</w:t>
            </w: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2" w:type="dxa"/>
            <w:vAlign w:val="center"/>
          </w:tcPr>
          <w:p>
            <w:pPr>
              <w:ind w:left="420" w:hanging="420"/>
              <w:jc w:val="center"/>
              <w:rPr>
                <w:rFonts w:ascii="宋体" w:hAnsi="宋体"/>
                <w:szCs w:val="21"/>
              </w:rPr>
            </w:pPr>
            <w:r>
              <w:rPr>
                <w:rFonts w:ascii="宋体" w:hAnsi="宋体"/>
                <w:szCs w:val="21"/>
              </w:rPr>
              <w:t>2.</w:t>
            </w:r>
          </w:p>
        </w:tc>
        <w:tc>
          <w:tcPr>
            <w:tcW w:w="1843" w:type="dxa"/>
            <w:shd w:val="clear" w:color="auto" w:fill="auto"/>
            <w:vAlign w:val="center"/>
          </w:tcPr>
          <w:p>
            <w:pPr>
              <w:jc w:val="center"/>
              <w:rPr>
                <w:rFonts w:ascii="宋体" w:hAnsi="宋体"/>
                <w:szCs w:val="21"/>
              </w:rPr>
            </w:pPr>
            <w:r>
              <w:rPr>
                <w:rFonts w:hint="eastAsia" w:ascii="宋体" w:hAnsi="宋体"/>
                <w:szCs w:val="21"/>
              </w:rPr>
              <w:t>网络访问</w:t>
            </w:r>
          </w:p>
        </w:tc>
        <w:tc>
          <w:tcPr>
            <w:tcW w:w="6191" w:type="dxa"/>
            <w:shd w:val="clear" w:color="auto" w:fill="auto"/>
            <w:vAlign w:val="center"/>
          </w:tcPr>
          <w:p>
            <w:pPr>
              <w:rPr>
                <w:rFonts w:ascii="宋体" w:hAnsi="宋体"/>
                <w:szCs w:val="21"/>
              </w:rPr>
            </w:pPr>
            <w:r>
              <w:rPr>
                <w:rFonts w:hint="eastAsia" w:ascii="宋体" w:hAnsi="宋体"/>
                <w:szCs w:val="21"/>
              </w:rPr>
              <w:t>支持基于IP的DNAT网络环境部署，通过映射后的IP信息能够访问堡垒机。（</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12" w:type="dxa"/>
            <w:vAlign w:val="center"/>
          </w:tcPr>
          <w:p>
            <w:pPr>
              <w:ind w:left="420" w:hanging="420"/>
              <w:jc w:val="center"/>
              <w:rPr>
                <w:rFonts w:ascii="宋体" w:hAnsi="宋体"/>
                <w:szCs w:val="21"/>
              </w:rPr>
            </w:pPr>
            <w:r>
              <w:rPr>
                <w:rFonts w:ascii="宋体" w:hAnsi="宋体"/>
                <w:szCs w:val="21"/>
              </w:rPr>
              <w:t>3.</w:t>
            </w:r>
          </w:p>
        </w:tc>
        <w:tc>
          <w:tcPr>
            <w:tcW w:w="1843" w:type="dxa"/>
            <w:shd w:val="clear" w:color="auto" w:fill="auto"/>
            <w:vAlign w:val="center"/>
          </w:tcPr>
          <w:p>
            <w:pPr>
              <w:jc w:val="center"/>
              <w:rPr>
                <w:rFonts w:ascii="宋体" w:hAnsi="宋体"/>
                <w:szCs w:val="21"/>
              </w:rPr>
            </w:pPr>
            <w:r>
              <w:rPr>
                <w:rFonts w:hint="eastAsia" w:ascii="宋体" w:hAnsi="宋体"/>
                <w:szCs w:val="21"/>
              </w:rPr>
              <w:t>远程访问</w:t>
            </w:r>
          </w:p>
        </w:tc>
        <w:tc>
          <w:tcPr>
            <w:tcW w:w="6191" w:type="dxa"/>
            <w:shd w:val="clear" w:color="auto" w:fill="auto"/>
            <w:vAlign w:val="center"/>
          </w:tcPr>
          <w:p>
            <w:pPr>
              <w:rPr>
                <w:rFonts w:ascii="宋体" w:hAnsi="宋体"/>
                <w:szCs w:val="21"/>
              </w:rPr>
            </w:pPr>
            <w:r>
              <w:rPr>
                <w:rFonts w:hint="eastAsia" w:ascii="宋体" w:hAnsi="宋体"/>
                <w:szCs w:val="21"/>
              </w:rPr>
              <w:t>▲支持基于SDP技术的远程接入，无需额外部署VPN设备。支持服务隐藏功能，开启后，攻击者无法扫描到对应服务端口。支持服务端口代理功能，支持可将多个服务端口代理成一个，支持客户端在开启VPN的情况下，通过SDP技术和该端口建立安全隧道。（</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12" w:type="dxa"/>
            <w:vAlign w:val="center"/>
          </w:tcPr>
          <w:p>
            <w:pPr>
              <w:ind w:left="420" w:hanging="420"/>
              <w:jc w:val="center"/>
              <w:rPr>
                <w:rFonts w:ascii="宋体" w:hAnsi="宋体"/>
                <w:szCs w:val="21"/>
              </w:rPr>
            </w:pPr>
            <w:r>
              <w:rPr>
                <w:rFonts w:ascii="宋体" w:hAnsi="宋体"/>
                <w:szCs w:val="21"/>
              </w:rPr>
              <w:t>4.</w:t>
            </w:r>
          </w:p>
        </w:tc>
        <w:tc>
          <w:tcPr>
            <w:tcW w:w="1843" w:type="dxa"/>
            <w:vMerge w:val="restart"/>
            <w:shd w:val="clear" w:color="auto" w:fill="auto"/>
            <w:vAlign w:val="center"/>
          </w:tcPr>
          <w:p>
            <w:pPr>
              <w:jc w:val="center"/>
              <w:rPr>
                <w:rFonts w:ascii="宋体" w:hAnsi="宋体"/>
                <w:szCs w:val="21"/>
              </w:rPr>
            </w:pPr>
            <w:r>
              <w:rPr>
                <w:rFonts w:hint="eastAsia" w:ascii="宋体" w:hAnsi="宋体"/>
                <w:szCs w:val="21"/>
              </w:rPr>
              <w:t>多级组织管理/分权分域</w:t>
            </w:r>
          </w:p>
        </w:tc>
        <w:tc>
          <w:tcPr>
            <w:tcW w:w="6191" w:type="dxa"/>
            <w:shd w:val="clear" w:color="auto" w:fill="auto"/>
            <w:vAlign w:val="center"/>
          </w:tcPr>
          <w:p>
            <w:pPr>
              <w:rPr>
                <w:rFonts w:ascii="宋体" w:hAnsi="宋体"/>
                <w:szCs w:val="21"/>
              </w:rPr>
            </w:pPr>
            <w:r>
              <w:rPr>
                <w:rFonts w:hint="eastAsia" w:ascii="宋体" w:hAnsi="宋体"/>
                <w:szCs w:val="21"/>
              </w:rPr>
              <w:t>支持划分多级组织架构（至少10个层级），支持管理员批量导入用户信息，可通过勾选账户进行批量操作如停用/启用、冻结、移除本组织成员。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12" w:type="dxa"/>
            <w:vAlign w:val="center"/>
          </w:tcPr>
          <w:p>
            <w:pPr>
              <w:ind w:left="420" w:hanging="420"/>
              <w:jc w:val="center"/>
              <w:rPr>
                <w:rFonts w:ascii="宋体" w:hAnsi="宋体"/>
                <w:szCs w:val="21"/>
              </w:rPr>
            </w:pPr>
            <w:r>
              <w:rPr>
                <w:rFonts w:ascii="宋体" w:hAnsi="宋体"/>
                <w:szCs w:val="21"/>
              </w:rPr>
              <w:t>5.</w:t>
            </w:r>
          </w:p>
        </w:tc>
        <w:tc>
          <w:tcPr>
            <w:tcW w:w="1843" w:type="dxa"/>
            <w:vMerge w:val="continue"/>
            <w:shd w:val="clear" w:color="auto" w:fill="auto"/>
            <w:vAlign w:val="center"/>
          </w:tcPr>
          <w:p>
            <w:pPr>
              <w:jc w:val="center"/>
              <w:rPr>
                <w:rFonts w:ascii="宋体" w:hAnsi="宋体"/>
                <w:szCs w:val="21"/>
              </w:rPr>
            </w:pPr>
          </w:p>
        </w:tc>
        <w:tc>
          <w:tcPr>
            <w:tcW w:w="6191" w:type="dxa"/>
            <w:shd w:val="clear" w:color="auto" w:fill="auto"/>
            <w:vAlign w:val="center"/>
          </w:tcPr>
          <w:p>
            <w:pPr>
              <w:rPr>
                <w:rFonts w:ascii="宋体" w:hAnsi="宋体"/>
                <w:szCs w:val="21"/>
              </w:rPr>
            </w:pPr>
            <w:r>
              <w:rPr>
                <w:rFonts w:hint="eastAsia" w:ascii="宋体" w:hAnsi="宋体"/>
                <w:szCs w:val="21"/>
              </w:rPr>
              <w:t>支持划分多级组织架构（至少10个层级），不同层级有独立的用户管理，用户角色管理，资产管理，密码管理、策略管理、审计管理的权限角色，支持不同角色相互组合。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612" w:type="dxa"/>
            <w:vAlign w:val="center"/>
          </w:tcPr>
          <w:p>
            <w:pPr>
              <w:ind w:left="420" w:hanging="420"/>
              <w:jc w:val="center"/>
              <w:rPr>
                <w:rFonts w:ascii="宋体" w:hAnsi="宋体"/>
                <w:szCs w:val="21"/>
              </w:rPr>
            </w:pPr>
            <w:r>
              <w:rPr>
                <w:rFonts w:ascii="宋体" w:hAnsi="宋体"/>
                <w:szCs w:val="21"/>
              </w:rPr>
              <w:t>6.</w:t>
            </w:r>
          </w:p>
        </w:tc>
        <w:tc>
          <w:tcPr>
            <w:tcW w:w="1843" w:type="dxa"/>
            <w:shd w:val="clear" w:color="auto" w:fill="auto"/>
            <w:vAlign w:val="center"/>
          </w:tcPr>
          <w:p>
            <w:pPr>
              <w:jc w:val="center"/>
              <w:rPr>
                <w:rFonts w:ascii="宋体" w:hAnsi="宋体"/>
                <w:szCs w:val="21"/>
              </w:rPr>
            </w:pPr>
            <w:r>
              <w:rPr>
                <w:rFonts w:hint="eastAsia" w:ascii="宋体" w:hAnsi="宋体"/>
                <w:szCs w:val="21"/>
              </w:rPr>
              <w:t>个性化</w:t>
            </w:r>
          </w:p>
        </w:tc>
        <w:tc>
          <w:tcPr>
            <w:tcW w:w="6191" w:type="dxa"/>
            <w:shd w:val="clear" w:color="auto" w:fill="auto"/>
            <w:vAlign w:val="center"/>
          </w:tcPr>
          <w:p>
            <w:pPr>
              <w:rPr>
                <w:rFonts w:ascii="宋体" w:hAnsi="宋体"/>
                <w:szCs w:val="21"/>
              </w:rPr>
            </w:pPr>
            <w:r>
              <w:rPr>
                <w:rFonts w:hint="eastAsia" w:ascii="宋体" w:hAnsi="宋体"/>
                <w:szCs w:val="21"/>
              </w:rPr>
              <w:t>支持页面风格个性化配置，可以自定义“系统名称”、“系统标签”、“系统图标”、“登录页logo”和"网站ico"，无需额外定制。（</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2" w:type="dxa"/>
            <w:vAlign w:val="center"/>
          </w:tcPr>
          <w:p>
            <w:pPr>
              <w:ind w:left="420" w:hanging="420"/>
              <w:jc w:val="center"/>
              <w:rPr>
                <w:rFonts w:ascii="宋体" w:hAnsi="宋体"/>
                <w:szCs w:val="21"/>
              </w:rPr>
            </w:pPr>
            <w:r>
              <w:rPr>
                <w:rFonts w:ascii="宋体" w:hAnsi="宋体"/>
                <w:szCs w:val="21"/>
              </w:rPr>
              <w:t>7.</w:t>
            </w:r>
          </w:p>
        </w:tc>
        <w:tc>
          <w:tcPr>
            <w:tcW w:w="1843" w:type="dxa"/>
            <w:shd w:val="clear" w:color="auto" w:fill="auto"/>
            <w:vAlign w:val="center"/>
          </w:tcPr>
          <w:p>
            <w:pPr>
              <w:jc w:val="center"/>
              <w:rPr>
                <w:rFonts w:ascii="宋体" w:hAnsi="宋体"/>
                <w:szCs w:val="21"/>
              </w:rPr>
            </w:pPr>
            <w:r>
              <w:rPr>
                <w:rFonts w:hint="eastAsia" w:ascii="宋体" w:hAnsi="宋体"/>
                <w:szCs w:val="21"/>
              </w:rPr>
              <w:t>分布式/</w:t>
            </w:r>
            <w:r>
              <w:rPr>
                <w:rFonts w:ascii="宋体" w:hAnsi="宋体"/>
                <w:szCs w:val="21"/>
              </w:rPr>
              <w:t>集群</w:t>
            </w:r>
          </w:p>
        </w:tc>
        <w:tc>
          <w:tcPr>
            <w:tcW w:w="6191" w:type="dxa"/>
            <w:shd w:val="clear" w:color="auto" w:fill="auto"/>
          </w:tcPr>
          <w:p>
            <w:pPr>
              <w:rPr>
                <w:rFonts w:ascii="宋体" w:hAnsi="宋体"/>
                <w:szCs w:val="21"/>
              </w:rPr>
            </w:pPr>
            <w:r>
              <w:rPr>
                <w:rFonts w:hint="eastAsia" w:ascii="宋体" w:hAnsi="宋体"/>
                <w:szCs w:val="21"/>
              </w:rPr>
              <w:t>支持堡垒机系统定义为控制器模式和网关模式，控制器模式支持单机或H</w:t>
            </w:r>
            <w:r>
              <w:rPr>
                <w:rFonts w:ascii="宋体" w:hAnsi="宋体"/>
                <w:szCs w:val="21"/>
              </w:rPr>
              <w:t>A</w:t>
            </w:r>
            <w:r>
              <w:rPr>
                <w:rFonts w:hint="eastAsia" w:ascii="宋体" w:hAnsi="宋体"/>
                <w:szCs w:val="21"/>
              </w:rPr>
              <w:t>部署。网关模式支持单台或多台集群部署。（</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2" w:type="dxa"/>
            <w:vAlign w:val="center"/>
          </w:tcPr>
          <w:p>
            <w:pPr>
              <w:ind w:left="420" w:hanging="420"/>
              <w:jc w:val="center"/>
              <w:rPr>
                <w:rFonts w:ascii="宋体" w:hAnsi="宋体"/>
                <w:szCs w:val="21"/>
              </w:rPr>
            </w:pPr>
            <w:r>
              <w:rPr>
                <w:rFonts w:ascii="宋体" w:hAnsi="宋体"/>
                <w:szCs w:val="21"/>
              </w:rPr>
              <w:t>8.</w:t>
            </w:r>
          </w:p>
        </w:tc>
        <w:tc>
          <w:tcPr>
            <w:tcW w:w="1843" w:type="dxa"/>
            <w:vMerge w:val="restart"/>
            <w:shd w:val="clear" w:color="auto" w:fill="auto"/>
            <w:vAlign w:val="center"/>
          </w:tcPr>
          <w:p>
            <w:pPr>
              <w:jc w:val="center"/>
              <w:rPr>
                <w:rFonts w:ascii="宋体" w:hAnsi="宋体"/>
                <w:szCs w:val="21"/>
              </w:rPr>
            </w:pPr>
            <w:r>
              <w:rPr>
                <w:rFonts w:hint="eastAsia" w:ascii="宋体" w:hAnsi="宋体"/>
                <w:szCs w:val="21"/>
              </w:rPr>
              <w:t>客户端</w:t>
            </w:r>
          </w:p>
        </w:tc>
        <w:tc>
          <w:tcPr>
            <w:tcW w:w="6191" w:type="dxa"/>
            <w:shd w:val="clear" w:color="auto" w:fill="auto"/>
            <w:vAlign w:val="center"/>
          </w:tcPr>
          <w:p>
            <w:pPr>
              <w:rPr>
                <w:rFonts w:ascii="宋体" w:hAnsi="宋体"/>
                <w:szCs w:val="21"/>
              </w:rPr>
            </w:pPr>
            <w:r>
              <w:rPr>
                <w:rFonts w:hint="eastAsia" w:ascii="宋体" w:hAnsi="宋体"/>
                <w:szCs w:val="21"/>
              </w:rPr>
              <w:t>堡垒机系统支持BS以及CS模式，支持免费专用客户端，支持在windows、linux、国产化等操作系统下部署，支持在客户端上完成日常运维工作。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2" w:type="dxa"/>
            <w:vAlign w:val="center"/>
          </w:tcPr>
          <w:p>
            <w:pPr>
              <w:ind w:left="420" w:hanging="420"/>
              <w:jc w:val="center"/>
              <w:rPr>
                <w:rFonts w:ascii="宋体" w:hAnsi="宋体"/>
                <w:szCs w:val="21"/>
              </w:rPr>
            </w:pPr>
            <w:r>
              <w:rPr>
                <w:rFonts w:ascii="宋体" w:hAnsi="宋体"/>
                <w:szCs w:val="21"/>
              </w:rPr>
              <w:t>9.</w:t>
            </w:r>
          </w:p>
        </w:tc>
        <w:tc>
          <w:tcPr>
            <w:tcW w:w="1843" w:type="dxa"/>
            <w:vMerge w:val="continue"/>
            <w:shd w:val="clear" w:color="auto" w:fill="auto"/>
            <w:vAlign w:val="center"/>
          </w:tcPr>
          <w:p>
            <w:pPr>
              <w:jc w:val="center"/>
              <w:rPr>
                <w:rFonts w:ascii="宋体" w:hAnsi="宋体"/>
                <w:szCs w:val="21"/>
              </w:rPr>
            </w:pPr>
          </w:p>
        </w:tc>
        <w:tc>
          <w:tcPr>
            <w:tcW w:w="6191" w:type="dxa"/>
            <w:shd w:val="clear" w:color="auto" w:fill="auto"/>
            <w:vAlign w:val="center"/>
          </w:tcPr>
          <w:p>
            <w:pPr>
              <w:rPr>
                <w:rFonts w:ascii="宋体" w:hAnsi="宋体"/>
                <w:szCs w:val="21"/>
              </w:rPr>
            </w:pPr>
            <w:r>
              <w:rPr>
                <w:rFonts w:hint="eastAsia" w:ascii="宋体" w:hAnsi="宋体"/>
                <w:szCs w:val="21"/>
              </w:rPr>
              <w:t>支持堡垒机专用客户端和堡垒机建立加密隧道，隧道加密算法可按需选择是国密或者标密。</w:t>
            </w:r>
            <w:r>
              <w:rPr>
                <w:rFonts w:hint="eastAsia"/>
                <w:b/>
                <w:bCs/>
                <w:color w:val="000000"/>
              </w:rPr>
              <w:t>（提供功能演示）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2" w:type="dxa"/>
            <w:vAlign w:val="center"/>
          </w:tcPr>
          <w:p>
            <w:pPr>
              <w:ind w:left="420" w:hanging="420"/>
              <w:jc w:val="center"/>
              <w:rPr>
                <w:rFonts w:ascii="宋体" w:hAnsi="宋体"/>
                <w:szCs w:val="21"/>
              </w:rPr>
            </w:pPr>
            <w:r>
              <w:rPr>
                <w:rFonts w:ascii="宋体" w:hAnsi="宋体"/>
                <w:szCs w:val="21"/>
              </w:rPr>
              <w:t>10.</w:t>
            </w:r>
          </w:p>
        </w:tc>
        <w:tc>
          <w:tcPr>
            <w:tcW w:w="1843" w:type="dxa"/>
            <w:shd w:val="clear" w:color="auto" w:fill="auto"/>
            <w:vAlign w:val="center"/>
          </w:tcPr>
          <w:p>
            <w:pPr>
              <w:jc w:val="center"/>
              <w:rPr>
                <w:rFonts w:ascii="宋体" w:hAnsi="宋体"/>
                <w:szCs w:val="21"/>
              </w:rPr>
            </w:pPr>
            <w:r>
              <w:rPr>
                <w:rFonts w:hint="eastAsia" w:ascii="宋体" w:hAnsi="宋体"/>
                <w:szCs w:val="21"/>
              </w:rPr>
              <w:t>用户角色自定义</w:t>
            </w:r>
          </w:p>
        </w:tc>
        <w:tc>
          <w:tcPr>
            <w:tcW w:w="6191" w:type="dxa"/>
            <w:shd w:val="clear" w:color="auto" w:fill="auto"/>
            <w:vAlign w:val="center"/>
          </w:tcPr>
          <w:p>
            <w:pPr>
              <w:rPr>
                <w:rFonts w:ascii="宋体" w:hAnsi="宋体"/>
                <w:szCs w:val="21"/>
              </w:rPr>
            </w:pPr>
            <w:r>
              <w:rPr>
                <w:rFonts w:hint="eastAsia" w:ascii="宋体" w:hAnsi="宋体"/>
                <w:szCs w:val="21"/>
              </w:rPr>
              <w:t>堡垒机具有用户角色权限自定义功能，可对用户进行细粒度权限划分，可细分用户管理，用户角色管理，资产管理，密码管理、策略管理、审计管理，支持不同角色相互组合。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2" w:type="dxa"/>
            <w:vAlign w:val="center"/>
          </w:tcPr>
          <w:p>
            <w:pPr>
              <w:ind w:left="420" w:hanging="420"/>
              <w:jc w:val="center"/>
              <w:rPr>
                <w:rFonts w:ascii="宋体" w:hAnsi="宋体"/>
                <w:szCs w:val="21"/>
              </w:rPr>
            </w:pPr>
            <w:r>
              <w:rPr>
                <w:rFonts w:ascii="宋体" w:hAnsi="宋体"/>
                <w:szCs w:val="21"/>
              </w:rPr>
              <w:t>11.</w:t>
            </w:r>
          </w:p>
        </w:tc>
        <w:tc>
          <w:tcPr>
            <w:tcW w:w="1843" w:type="dxa"/>
            <w:shd w:val="clear" w:color="auto" w:fill="auto"/>
            <w:vAlign w:val="center"/>
          </w:tcPr>
          <w:p>
            <w:pPr>
              <w:jc w:val="center"/>
              <w:rPr>
                <w:rFonts w:ascii="宋体" w:hAnsi="宋体"/>
                <w:szCs w:val="21"/>
              </w:rPr>
            </w:pPr>
            <w:r>
              <w:rPr>
                <w:rFonts w:hint="eastAsia" w:ascii="宋体" w:hAnsi="宋体"/>
                <w:szCs w:val="21"/>
              </w:rPr>
              <w:t>终端安全基线检查</w:t>
            </w:r>
          </w:p>
        </w:tc>
        <w:tc>
          <w:tcPr>
            <w:tcW w:w="6191" w:type="dxa"/>
            <w:shd w:val="clear" w:color="auto" w:fill="auto"/>
          </w:tcPr>
          <w:p>
            <w:pPr>
              <w:rPr>
                <w:rFonts w:ascii="宋体" w:hAnsi="宋体"/>
                <w:szCs w:val="21"/>
              </w:rPr>
            </w:pPr>
            <w:r>
              <w:rPr>
                <w:rFonts w:hint="eastAsia" w:ascii="宋体" w:hAnsi="宋体"/>
                <w:szCs w:val="21"/>
              </w:rPr>
              <w:t>支持终端合规检查策略，</w:t>
            </w:r>
            <w:r>
              <w:rPr>
                <w:rFonts w:ascii="宋体" w:hAnsi="宋体"/>
                <w:szCs w:val="21"/>
              </w:rPr>
              <w:t>包含针对Windows补丁检测、操作系统版本检测、端口检测、进程检测和安装应用检测</w:t>
            </w:r>
            <w:r>
              <w:rPr>
                <w:rFonts w:hint="eastAsia" w:ascii="宋体" w:hAnsi="宋体"/>
                <w:szCs w:val="21"/>
              </w:rPr>
              <w:t>；支持</w:t>
            </w:r>
            <w:r>
              <w:rPr>
                <w:rFonts w:ascii="宋体" w:hAnsi="宋体"/>
                <w:szCs w:val="21"/>
              </w:rPr>
              <w:t>可由管理员自定义配置合规策略，自定义范围包括但不限于检查项、告警等级、执行操作等。</w:t>
            </w:r>
            <w:r>
              <w:rPr>
                <w:rFonts w:hint="eastAsia" w:ascii="宋体" w:hAnsi="宋体"/>
                <w:szCs w:val="21"/>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12" w:type="dxa"/>
            <w:vAlign w:val="center"/>
          </w:tcPr>
          <w:p>
            <w:pPr>
              <w:ind w:left="420" w:hanging="420"/>
              <w:jc w:val="center"/>
              <w:rPr>
                <w:rFonts w:ascii="宋体" w:hAnsi="宋体"/>
                <w:szCs w:val="21"/>
              </w:rPr>
            </w:pPr>
            <w:r>
              <w:rPr>
                <w:rFonts w:ascii="宋体" w:hAnsi="宋体"/>
                <w:szCs w:val="21"/>
              </w:rPr>
              <w:t>12.</w:t>
            </w:r>
          </w:p>
        </w:tc>
        <w:tc>
          <w:tcPr>
            <w:tcW w:w="1843" w:type="dxa"/>
            <w:shd w:val="clear" w:color="auto" w:fill="auto"/>
            <w:vAlign w:val="center"/>
          </w:tcPr>
          <w:p>
            <w:pPr>
              <w:jc w:val="center"/>
              <w:rPr>
                <w:rFonts w:ascii="宋体" w:hAnsi="宋体"/>
                <w:szCs w:val="21"/>
              </w:rPr>
            </w:pPr>
            <w:r>
              <w:rPr>
                <w:rFonts w:hint="eastAsia" w:ascii="宋体" w:hAnsi="宋体"/>
                <w:szCs w:val="21"/>
              </w:rPr>
              <w:t>账号安全基线检查</w:t>
            </w:r>
          </w:p>
        </w:tc>
        <w:tc>
          <w:tcPr>
            <w:tcW w:w="6191" w:type="dxa"/>
            <w:shd w:val="clear" w:color="auto" w:fill="auto"/>
          </w:tcPr>
          <w:p>
            <w:pPr>
              <w:rPr>
                <w:rFonts w:ascii="宋体" w:hAnsi="宋体"/>
                <w:szCs w:val="21"/>
              </w:rPr>
            </w:pPr>
            <w:r>
              <w:rPr>
                <w:rFonts w:hint="eastAsia" w:ascii="宋体" w:hAnsi="宋体"/>
                <w:szCs w:val="21"/>
              </w:rPr>
              <w:t>支持</w:t>
            </w:r>
            <w:r>
              <w:rPr>
                <w:rFonts w:ascii="宋体" w:hAnsi="宋体"/>
                <w:szCs w:val="21"/>
              </w:rPr>
              <w:t>账户安全</w:t>
            </w:r>
            <w:r>
              <w:rPr>
                <w:rFonts w:hint="eastAsia" w:ascii="宋体" w:hAnsi="宋体"/>
                <w:szCs w:val="21"/>
              </w:rPr>
              <w:t>策略，</w:t>
            </w:r>
            <w:r>
              <w:rPr>
                <w:rFonts w:ascii="宋体" w:hAnsi="宋体"/>
                <w:szCs w:val="21"/>
              </w:rPr>
              <w:t>可以对爆破登录、弱密码认证、僵尸账号认证、</w:t>
            </w:r>
            <w:r>
              <w:rPr>
                <w:rFonts w:hint="eastAsia" w:ascii="宋体" w:hAnsi="宋体"/>
                <w:szCs w:val="21"/>
              </w:rPr>
              <w:t>不合规终端认证、非常用时间使用、非常用终端认证、非常用地理位置认证、非常用网络认证</w:t>
            </w:r>
            <w:r>
              <w:rPr>
                <w:rFonts w:ascii="宋体" w:hAnsi="宋体"/>
                <w:szCs w:val="21"/>
              </w:rPr>
              <w:t>进行识别并采取相关的处置措施</w:t>
            </w:r>
            <w:r>
              <w:rPr>
                <w:rFonts w:hint="eastAsia" w:ascii="宋体" w:hAnsi="宋体"/>
                <w:szCs w:val="21"/>
              </w:rPr>
              <w:t>，处置措施包括仅告警、警告、增强认证、禁止认证。（提供功能截图证明）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2" w:type="dxa"/>
            <w:vAlign w:val="center"/>
          </w:tcPr>
          <w:p>
            <w:pPr>
              <w:ind w:left="420" w:hanging="420"/>
              <w:jc w:val="center"/>
              <w:rPr>
                <w:rFonts w:ascii="宋体" w:hAnsi="宋体"/>
                <w:szCs w:val="21"/>
              </w:rPr>
            </w:pPr>
            <w:r>
              <w:rPr>
                <w:rFonts w:ascii="宋体" w:hAnsi="宋体"/>
                <w:szCs w:val="21"/>
              </w:rPr>
              <w:t>13.</w:t>
            </w:r>
          </w:p>
        </w:tc>
        <w:tc>
          <w:tcPr>
            <w:tcW w:w="1843" w:type="dxa"/>
            <w:vMerge w:val="restart"/>
            <w:shd w:val="clear" w:color="auto" w:fill="auto"/>
            <w:vAlign w:val="center"/>
          </w:tcPr>
          <w:p>
            <w:pPr>
              <w:jc w:val="center"/>
              <w:rPr>
                <w:rFonts w:ascii="宋体" w:hAnsi="宋体"/>
                <w:szCs w:val="21"/>
              </w:rPr>
            </w:pPr>
            <w:r>
              <w:rPr>
                <w:rFonts w:hint="eastAsia" w:ascii="宋体" w:hAnsi="宋体"/>
                <w:szCs w:val="21"/>
              </w:rPr>
              <w:t>认证策略</w:t>
            </w:r>
          </w:p>
        </w:tc>
        <w:tc>
          <w:tcPr>
            <w:tcW w:w="6191" w:type="dxa"/>
            <w:shd w:val="clear" w:color="auto" w:fill="auto"/>
          </w:tcPr>
          <w:p>
            <w:pPr>
              <w:rPr>
                <w:rFonts w:ascii="宋体" w:hAnsi="宋体"/>
                <w:szCs w:val="21"/>
              </w:rPr>
            </w:pPr>
            <w:r>
              <w:rPr>
                <w:rFonts w:hint="eastAsia" w:ascii="宋体" w:hAnsi="宋体"/>
                <w:szCs w:val="21"/>
              </w:rPr>
              <w:t>支持根据机构/角色/访问时间/地理位置/网络地址/终端类型来定义用户的认证方式和是否必须使用双因子认证，精细化管理用户认证策略且在同一策略条件内，支持为不同客户端（桌面端、Web门户）接入用户提供不同认证方式选择。（</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2" w:type="dxa"/>
            <w:vAlign w:val="center"/>
          </w:tcPr>
          <w:p>
            <w:pPr>
              <w:ind w:left="420" w:hanging="420"/>
              <w:jc w:val="center"/>
              <w:rPr>
                <w:rFonts w:ascii="宋体" w:hAnsi="宋体"/>
                <w:szCs w:val="21"/>
              </w:rPr>
            </w:pPr>
            <w:r>
              <w:rPr>
                <w:rFonts w:ascii="宋体" w:hAnsi="宋体"/>
                <w:szCs w:val="21"/>
              </w:rPr>
              <w:t>14.</w:t>
            </w:r>
          </w:p>
        </w:tc>
        <w:tc>
          <w:tcPr>
            <w:tcW w:w="1843" w:type="dxa"/>
            <w:vMerge w:val="continue"/>
            <w:shd w:val="clear" w:color="auto" w:fill="auto"/>
            <w:vAlign w:val="center"/>
          </w:tcPr>
          <w:p>
            <w:pPr>
              <w:jc w:val="center"/>
              <w:rPr>
                <w:rFonts w:ascii="宋体" w:hAnsi="宋体"/>
                <w:szCs w:val="21"/>
              </w:rPr>
            </w:pPr>
          </w:p>
        </w:tc>
        <w:tc>
          <w:tcPr>
            <w:tcW w:w="6191" w:type="dxa"/>
            <w:shd w:val="clear" w:color="auto" w:fill="auto"/>
          </w:tcPr>
          <w:p>
            <w:pPr>
              <w:widowControl/>
              <w:spacing w:line="240" w:lineRule="atLeast"/>
              <w:rPr>
                <w:rFonts w:ascii="宋体" w:hAnsi="宋体"/>
                <w:kern w:val="0"/>
                <w:szCs w:val="21"/>
              </w:rPr>
            </w:pPr>
            <w:r>
              <w:rPr>
                <w:rFonts w:hint="eastAsia" w:ascii="宋体" w:hAnsi="宋体"/>
                <w:kern w:val="0"/>
                <w:szCs w:val="21"/>
              </w:rPr>
              <w:t>用户登录堡垒机支持多种认证方式，包括本地静态密码认证、LDAP认证、RADIUS认证、USBKEY认证、PIN+软件OTP、短信认证、企微扫码认证、钉钉扫码认证、OAuth2.0等身份认证方式。</w:t>
            </w:r>
            <w:r>
              <w:rPr>
                <w:rFonts w:hint="eastAsia"/>
                <w:b/>
                <w:bCs/>
                <w:color w:val="000000"/>
              </w:rPr>
              <w:t>（提供功能演示）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12" w:type="dxa"/>
            <w:vAlign w:val="center"/>
          </w:tcPr>
          <w:p>
            <w:pPr>
              <w:ind w:left="420" w:hanging="420"/>
              <w:jc w:val="center"/>
              <w:rPr>
                <w:rFonts w:ascii="宋体" w:hAnsi="宋体"/>
                <w:szCs w:val="21"/>
              </w:rPr>
            </w:pPr>
            <w:r>
              <w:rPr>
                <w:rFonts w:ascii="宋体" w:hAnsi="宋体"/>
                <w:szCs w:val="21"/>
              </w:rPr>
              <w:t>15.</w:t>
            </w:r>
          </w:p>
        </w:tc>
        <w:tc>
          <w:tcPr>
            <w:tcW w:w="1843" w:type="dxa"/>
            <w:shd w:val="clear" w:color="auto" w:fill="auto"/>
            <w:vAlign w:val="center"/>
          </w:tcPr>
          <w:p>
            <w:pPr>
              <w:jc w:val="center"/>
              <w:rPr>
                <w:rFonts w:ascii="宋体" w:hAnsi="宋体"/>
                <w:szCs w:val="21"/>
              </w:rPr>
            </w:pPr>
            <w:r>
              <w:rPr>
                <w:rFonts w:hint="eastAsia" w:ascii="宋体" w:hAnsi="宋体"/>
                <w:szCs w:val="21"/>
              </w:rPr>
              <w:t>自身安全性</w:t>
            </w:r>
          </w:p>
        </w:tc>
        <w:tc>
          <w:tcPr>
            <w:tcW w:w="6191" w:type="dxa"/>
            <w:shd w:val="clear" w:color="auto" w:fill="auto"/>
            <w:vAlign w:val="center"/>
          </w:tcPr>
          <w:p>
            <w:pPr>
              <w:rPr>
                <w:rFonts w:ascii="宋体" w:hAnsi="宋体"/>
                <w:szCs w:val="21"/>
              </w:rPr>
            </w:pPr>
            <w:r>
              <w:rPr>
                <w:rFonts w:hint="eastAsia" w:ascii="宋体" w:hAnsi="宋体"/>
                <w:szCs w:val="21"/>
              </w:rPr>
              <w:t>▲堡垒机托管大量的服务器密码信息，为了保证堡垒机的安全性，厂商需在信息安全领域有丰富的经验与先进的技术，须有对系统漏洞进行发现、验证、以及提供应急服务的技术能力。自主发现并提交CVE的安全漏洞数不少于2</w:t>
            </w:r>
            <w:r>
              <w:rPr>
                <w:rFonts w:ascii="宋体" w:hAnsi="宋体"/>
                <w:szCs w:val="21"/>
              </w:rPr>
              <w:t>0</w:t>
            </w:r>
            <w:r>
              <w:rPr>
                <w:rFonts w:hint="eastAsia" w:ascii="宋体" w:hAnsi="宋体"/>
                <w:szCs w:val="21"/>
              </w:rPr>
              <w:t>个。（提供CVE官方的截图证明）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12" w:type="dxa"/>
            <w:vAlign w:val="center"/>
          </w:tcPr>
          <w:p>
            <w:pPr>
              <w:ind w:left="420" w:hanging="420"/>
              <w:jc w:val="center"/>
              <w:rPr>
                <w:rFonts w:ascii="宋体" w:hAnsi="宋体"/>
                <w:szCs w:val="21"/>
              </w:rPr>
            </w:pPr>
            <w:r>
              <w:rPr>
                <w:rFonts w:ascii="宋体" w:hAnsi="宋体"/>
                <w:szCs w:val="21"/>
              </w:rPr>
              <w:t>16.</w:t>
            </w:r>
          </w:p>
        </w:tc>
        <w:tc>
          <w:tcPr>
            <w:tcW w:w="1843" w:type="dxa"/>
            <w:vMerge w:val="restart"/>
            <w:shd w:val="clear" w:color="auto" w:fill="auto"/>
            <w:vAlign w:val="center"/>
          </w:tcPr>
          <w:p>
            <w:pPr>
              <w:jc w:val="center"/>
              <w:rPr>
                <w:rFonts w:ascii="宋体" w:hAnsi="宋体"/>
                <w:szCs w:val="21"/>
              </w:rPr>
            </w:pPr>
            <w:r>
              <w:rPr>
                <w:rFonts w:hint="eastAsia" w:ascii="宋体" w:hAnsi="宋体"/>
                <w:szCs w:val="21"/>
              </w:rPr>
              <w:t>授权策略</w:t>
            </w:r>
          </w:p>
        </w:tc>
        <w:tc>
          <w:tcPr>
            <w:tcW w:w="6191" w:type="dxa"/>
            <w:shd w:val="clear" w:color="auto" w:fill="auto"/>
          </w:tcPr>
          <w:p>
            <w:pPr>
              <w:rPr>
                <w:rFonts w:ascii="宋体" w:hAnsi="宋体"/>
                <w:szCs w:val="21"/>
              </w:rPr>
            </w:pPr>
            <w:r>
              <w:rPr>
                <w:rFonts w:hint="eastAsia" w:ascii="宋体" w:hAnsi="宋体"/>
                <w:szCs w:val="21"/>
              </w:rPr>
              <w:t>▲</w:t>
            </w:r>
            <w:r>
              <w:rPr>
                <w:rFonts w:ascii="宋体" w:hAnsi="宋体"/>
                <w:szCs w:val="21"/>
              </w:rPr>
              <w:t>支持基于组织机构、角色、属性和账户的静态授权，通过不同授权模型满足运维管控要求。</w:t>
            </w:r>
            <w:r>
              <w:rPr>
                <w:rFonts w:hint="eastAsia" w:ascii="宋体" w:hAnsi="宋体"/>
                <w:szCs w:val="21"/>
              </w:rPr>
              <w:t>（</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12" w:type="dxa"/>
            <w:vAlign w:val="center"/>
          </w:tcPr>
          <w:p>
            <w:pPr>
              <w:ind w:left="420" w:hanging="420"/>
              <w:jc w:val="center"/>
              <w:rPr>
                <w:rFonts w:ascii="宋体" w:hAnsi="宋体"/>
                <w:szCs w:val="21"/>
              </w:rPr>
            </w:pPr>
            <w:r>
              <w:rPr>
                <w:rFonts w:ascii="宋体" w:hAnsi="宋体"/>
                <w:szCs w:val="21"/>
              </w:rPr>
              <w:t>17.</w:t>
            </w:r>
          </w:p>
        </w:tc>
        <w:tc>
          <w:tcPr>
            <w:tcW w:w="1843" w:type="dxa"/>
            <w:vMerge w:val="continue"/>
            <w:shd w:val="clear" w:color="auto" w:fill="auto"/>
            <w:vAlign w:val="center"/>
          </w:tcPr>
          <w:p>
            <w:pPr>
              <w:jc w:val="center"/>
              <w:rPr>
                <w:rFonts w:ascii="宋体" w:hAnsi="宋体"/>
                <w:szCs w:val="21"/>
              </w:rPr>
            </w:pPr>
          </w:p>
        </w:tc>
        <w:tc>
          <w:tcPr>
            <w:tcW w:w="6191" w:type="dxa"/>
            <w:shd w:val="clear" w:color="auto" w:fill="auto"/>
          </w:tcPr>
          <w:p>
            <w:pPr>
              <w:rPr>
                <w:rFonts w:ascii="宋体" w:hAnsi="宋体"/>
                <w:szCs w:val="21"/>
              </w:rPr>
            </w:pPr>
            <w:r>
              <w:rPr>
                <w:rFonts w:ascii="宋体" w:hAnsi="宋体"/>
                <w:szCs w:val="21"/>
              </w:rPr>
              <w:t>支持基于网络、位置</w:t>
            </w:r>
            <w:r>
              <w:rPr>
                <w:rFonts w:hint="eastAsia" w:ascii="宋体" w:hAnsi="宋体"/>
                <w:szCs w:val="21"/>
              </w:rPr>
              <w:t>、时间</w:t>
            </w:r>
            <w:r>
              <w:rPr>
                <w:rFonts w:ascii="宋体" w:hAnsi="宋体"/>
                <w:szCs w:val="21"/>
              </w:rPr>
              <w:t>的动态授权，并支持仅告警、二次认证、授权审批和阻断的授权管理动作。</w:t>
            </w:r>
            <w:r>
              <w:rPr>
                <w:rFonts w:hint="eastAsia" w:ascii="宋体" w:hAnsi="宋体"/>
                <w:szCs w:val="21"/>
              </w:rPr>
              <w:t>（</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2" w:type="dxa"/>
            <w:vAlign w:val="center"/>
          </w:tcPr>
          <w:p>
            <w:pPr>
              <w:ind w:left="420" w:hanging="420"/>
              <w:jc w:val="center"/>
              <w:rPr>
                <w:rFonts w:ascii="宋体" w:hAnsi="宋体"/>
                <w:szCs w:val="21"/>
              </w:rPr>
            </w:pPr>
            <w:r>
              <w:rPr>
                <w:rFonts w:ascii="宋体" w:hAnsi="宋体"/>
                <w:szCs w:val="21"/>
              </w:rPr>
              <w:t>18.</w:t>
            </w:r>
          </w:p>
        </w:tc>
        <w:tc>
          <w:tcPr>
            <w:tcW w:w="1843" w:type="dxa"/>
            <w:shd w:val="clear" w:color="auto" w:fill="auto"/>
            <w:vAlign w:val="center"/>
          </w:tcPr>
          <w:p>
            <w:pPr>
              <w:jc w:val="center"/>
              <w:rPr>
                <w:rFonts w:ascii="宋体" w:hAnsi="宋体"/>
                <w:szCs w:val="21"/>
              </w:rPr>
            </w:pPr>
            <w:r>
              <w:rPr>
                <w:rFonts w:hint="eastAsia" w:ascii="宋体" w:hAnsi="宋体"/>
                <w:szCs w:val="21"/>
              </w:rPr>
              <w:t>自动分析处理</w:t>
            </w:r>
          </w:p>
        </w:tc>
        <w:tc>
          <w:tcPr>
            <w:tcW w:w="6191" w:type="dxa"/>
            <w:shd w:val="clear" w:color="auto" w:fill="auto"/>
            <w:vAlign w:val="center"/>
          </w:tcPr>
          <w:p>
            <w:pPr>
              <w:rPr>
                <w:rFonts w:ascii="宋体" w:hAnsi="宋体"/>
                <w:szCs w:val="21"/>
              </w:rPr>
            </w:pPr>
            <w:r>
              <w:rPr>
                <w:rFonts w:hint="eastAsia" w:ascii="宋体" w:hAnsi="宋体"/>
                <w:szCs w:val="21"/>
              </w:rPr>
              <w:t>▲支持获取用户在客户端远程桌面上进行图形运维操作所对应的、通过堡垒机发往服务器的事件请求</w:t>
            </w:r>
            <w:r>
              <w:rPr>
                <w:rFonts w:ascii="宋体" w:hAnsi="宋体" w:cs="Tahoma"/>
                <w:szCs w:val="21"/>
                <w:shd w:val="clear" w:color="auto" w:fill="FFFFFF"/>
              </w:rPr>
              <w:t>，根据事件请求获取事件类型，根据事件类型获取权重值，获取服务器根据事件请求而返回的响应画面集</w:t>
            </w:r>
            <w:r>
              <w:rPr>
                <w:rFonts w:hint="eastAsia" w:ascii="宋体" w:hAnsi="宋体"/>
                <w:szCs w:val="21"/>
              </w:rPr>
              <w:t>，计算图形运维操作的有效性信息，解决了现有技术中人工评估运维人员操作的有效性所存在的效率低，耗费时间长，准确性差的问题。（请提供工业和信息化部或经济和信息化委员会或国家知识产权局</w:t>
            </w:r>
            <w:r>
              <w:rPr>
                <w:rFonts w:hint="eastAsia"/>
              </w:rPr>
              <w:t>或其他国家认可的第三方机构</w:t>
            </w:r>
            <w:r>
              <w:rPr>
                <w:rFonts w:hint="eastAsia" w:ascii="宋体" w:hAnsi="宋体"/>
                <w:szCs w:val="21"/>
              </w:rPr>
              <w:t>发的相关证明）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Align w:val="center"/>
          </w:tcPr>
          <w:p>
            <w:pPr>
              <w:ind w:left="420" w:hanging="420"/>
              <w:jc w:val="center"/>
              <w:rPr>
                <w:rFonts w:ascii="宋体" w:hAnsi="宋体"/>
                <w:szCs w:val="21"/>
              </w:rPr>
            </w:pPr>
            <w:r>
              <w:rPr>
                <w:rFonts w:ascii="宋体" w:hAnsi="宋体"/>
                <w:szCs w:val="21"/>
              </w:rPr>
              <w:t>19.</w:t>
            </w:r>
          </w:p>
        </w:tc>
        <w:tc>
          <w:tcPr>
            <w:tcW w:w="1843" w:type="dxa"/>
            <w:shd w:val="clear" w:color="auto" w:fill="auto"/>
            <w:vAlign w:val="center"/>
          </w:tcPr>
          <w:p>
            <w:pPr>
              <w:jc w:val="center"/>
              <w:rPr>
                <w:rFonts w:ascii="宋体" w:hAnsi="宋体"/>
                <w:szCs w:val="21"/>
              </w:rPr>
            </w:pPr>
            <w:r>
              <w:rPr>
                <w:rFonts w:hint="eastAsia" w:ascii="宋体" w:hAnsi="宋体"/>
                <w:szCs w:val="21"/>
              </w:rPr>
              <w:t>本地文件客户端运维</w:t>
            </w:r>
          </w:p>
        </w:tc>
        <w:tc>
          <w:tcPr>
            <w:tcW w:w="6191" w:type="dxa"/>
            <w:shd w:val="clear" w:color="auto" w:fill="auto"/>
            <w:vAlign w:val="center"/>
          </w:tcPr>
          <w:p>
            <w:pPr>
              <w:rPr>
                <w:rFonts w:ascii="宋体" w:hAnsi="宋体"/>
                <w:szCs w:val="21"/>
              </w:rPr>
            </w:pPr>
            <w:r>
              <w:rPr>
                <w:rFonts w:hint="eastAsia" w:ascii="宋体" w:hAnsi="宋体"/>
                <w:szCs w:val="21"/>
              </w:rPr>
              <w:t>支持本地文件客户端程序如winscp,xftp等客户端登录堡垒机，实现了在第三方客户端预先不知道服务器信息的情况下可以获取要访问的服务器信息以及能够访问的服务器信息，进而可以连接用户需要的服务器。（</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12" w:type="dxa"/>
            <w:vAlign w:val="center"/>
          </w:tcPr>
          <w:p>
            <w:pPr>
              <w:ind w:left="420" w:hanging="420"/>
              <w:jc w:val="center"/>
              <w:rPr>
                <w:rFonts w:ascii="宋体" w:hAnsi="宋体"/>
                <w:szCs w:val="21"/>
              </w:rPr>
            </w:pPr>
            <w:r>
              <w:rPr>
                <w:rFonts w:ascii="宋体" w:hAnsi="宋体"/>
                <w:szCs w:val="21"/>
              </w:rPr>
              <w:t>20.</w:t>
            </w:r>
          </w:p>
        </w:tc>
        <w:tc>
          <w:tcPr>
            <w:tcW w:w="1843" w:type="dxa"/>
            <w:vMerge w:val="restart"/>
            <w:shd w:val="clear" w:color="auto" w:fill="auto"/>
            <w:vAlign w:val="center"/>
          </w:tcPr>
          <w:p>
            <w:pPr>
              <w:jc w:val="center"/>
              <w:rPr>
                <w:rFonts w:ascii="宋体" w:hAnsi="宋体"/>
                <w:szCs w:val="21"/>
              </w:rPr>
            </w:pPr>
            <w:r>
              <w:rPr>
                <w:rFonts w:hint="eastAsia" w:ascii="宋体" w:hAnsi="宋体"/>
                <w:szCs w:val="21"/>
              </w:rPr>
              <w:t>产品资质</w:t>
            </w:r>
          </w:p>
        </w:tc>
        <w:tc>
          <w:tcPr>
            <w:tcW w:w="6191" w:type="dxa"/>
            <w:shd w:val="clear" w:color="auto" w:fill="auto"/>
            <w:vAlign w:val="center"/>
          </w:tcPr>
          <w:p>
            <w:pPr>
              <w:rPr>
                <w:rFonts w:ascii="宋体" w:hAnsi="宋体"/>
                <w:szCs w:val="21"/>
              </w:rPr>
            </w:pPr>
            <w:r>
              <w:rPr>
                <w:rFonts w:hint="eastAsia" w:ascii="宋体" w:hAnsi="宋体"/>
                <w:szCs w:val="21"/>
              </w:rPr>
              <w:t>拥有软件著作权证书。（提供证书扫描件）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12" w:type="dxa"/>
            <w:vAlign w:val="center"/>
          </w:tcPr>
          <w:p>
            <w:pPr>
              <w:ind w:left="420" w:hanging="420"/>
              <w:jc w:val="center"/>
              <w:rPr>
                <w:rFonts w:ascii="宋体" w:hAnsi="宋体"/>
                <w:szCs w:val="21"/>
              </w:rPr>
            </w:pPr>
            <w:r>
              <w:rPr>
                <w:rFonts w:ascii="宋体" w:hAnsi="宋体"/>
                <w:szCs w:val="21"/>
              </w:rPr>
              <w:t>21.</w:t>
            </w:r>
          </w:p>
        </w:tc>
        <w:tc>
          <w:tcPr>
            <w:tcW w:w="1843" w:type="dxa"/>
            <w:vMerge w:val="continue"/>
            <w:vAlign w:val="center"/>
          </w:tcPr>
          <w:p>
            <w:pPr>
              <w:jc w:val="center"/>
              <w:rPr>
                <w:rFonts w:ascii="宋体" w:hAnsi="宋体"/>
                <w:szCs w:val="21"/>
              </w:rPr>
            </w:pPr>
          </w:p>
        </w:tc>
        <w:tc>
          <w:tcPr>
            <w:tcW w:w="6191" w:type="dxa"/>
          </w:tcPr>
          <w:p>
            <w:pPr>
              <w:rPr>
                <w:rFonts w:ascii="宋体" w:hAnsi="宋体"/>
                <w:szCs w:val="21"/>
              </w:rPr>
            </w:pPr>
            <w:r>
              <w:rPr>
                <w:rFonts w:hint="eastAsia" w:ascii="宋体" w:hAnsi="宋体"/>
                <w:szCs w:val="21"/>
              </w:rPr>
              <w:t>拥有信息技术产品安全测评证书（分级评估证书EAL3+）。（提供证书扫描件）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12" w:type="dxa"/>
            <w:vAlign w:val="center"/>
          </w:tcPr>
          <w:p>
            <w:pPr>
              <w:jc w:val="center"/>
              <w:rPr>
                <w:rFonts w:ascii="宋体" w:hAnsi="宋体"/>
                <w:szCs w:val="21"/>
              </w:rPr>
            </w:pPr>
            <w:r>
              <w:rPr>
                <w:rFonts w:hint="eastAsia" w:ascii="宋体" w:hAnsi="宋体"/>
                <w:szCs w:val="21"/>
              </w:rPr>
              <w:t>2</w:t>
            </w:r>
            <w:r>
              <w:rPr>
                <w:rFonts w:ascii="宋体" w:hAnsi="宋体"/>
                <w:szCs w:val="21"/>
              </w:rPr>
              <w:t>2.</w:t>
            </w:r>
          </w:p>
        </w:tc>
        <w:tc>
          <w:tcPr>
            <w:tcW w:w="1843" w:type="dxa"/>
            <w:vMerge w:val="continue"/>
            <w:vAlign w:val="center"/>
          </w:tcPr>
          <w:p>
            <w:pPr>
              <w:jc w:val="center"/>
              <w:rPr>
                <w:rFonts w:ascii="宋体" w:hAnsi="宋体"/>
                <w:szCs w:val="21"/>
              </w:rPr>
            </w:pPr>
          </w:p>
        </w:tc>
        <w:tc>
          <w:tcPr>
            <w:tcW w:w="6191" w:type="dxa"/>
          </w:tcPr>
          <w:p>
            <w:pPr>
              <w:rPr>
                <w:rFonts w:ascii="宋体" w:hAnsi="宋体"/>
                <w:szCs w:val="21"/>
              </w:rPr>
            </w:pPr>
            <w:r>
              <w:rPr>
                <w:rFonts w:hint="eastAsia" w:ascii="宋体" w:hAnsi="宋体"/>
                <w:szCs w:val="21"/>
              </w:rPr>
              <w:t>通过IPv6 Ready Logo测试认证,</w:t>
            </w:r>
            <w:r>
              <w:rPr>
                <w:rFonts w:ascii="宋体" w:hAnsi="宋体"/>
                <w:szCs w:val="21"/>
              </w:rPr>
              <w:t>提供</w:t>
            </w:r>
            <w:r>
              <w:rPr>
                <w:rFonts w:hint="eastAsia" w:ascii="宋体" w:hAnsi="宋体"/>
                <w:szCs w:val="21"/>
              </w:rPr>
              <w:t>IPv6 Ready Logo证书。（提供证书扫描件）</w:t>
            </w:r>
          </w:p>
        </w:tc>
      </w:tr>
    </w:tbl>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szCs w:val="21"/>
        </w:rPr>
      </w:pPr>
    </w:p>
    <w:p>
      <w:pPr>
        <w:pStyle w:val="9"/>
        <w:numPr>
          <w:ilvl w:val="0"/>
          <w:numId w:val="0"/>
        </w:numPr>
        <w:spacing w:before="156" w:after="156"/>
        <w:jc w:val="left"/>
        <w:outlineLvl w:val="2"/>
        <w:rPr>
          <w:sz w:val="24"/>
          <w:szCs w:val="24"/>
        </w:rPr>
      </w:pPr>
      <w:bookmarkStart w:id="17" w:name="_Toc164269615"/>
      <w:r>
        <w:rPr>
          <w:rFonts w:hint="eastAsia"/>
          <w:sz w:val="24"/>
          <w:szCs w:val="24"/>
        </w:rPr>
        <w:t>2</w:t>
      </w:r>
      <w:r>
        <w:rPr>
          <w:sz w:val="24"/>
          <w:szCs w:val="24"/>
        </w:rPr>
        <w:t xml:space="preserve">.2 </w:t>
      </w:r>
      <w:r>
        <w:rPr>
          <w:rFonts w:hint="eastAsia"/>
          <w:sz w:val="24"/>
          <w:szCs w:val="24"/>
        </w:rPr>
        <w:t>WEB应用防护系统</w:t>
      </w:r>
      <w:bookmarkEnd w:id="17"/>
    </w:p>
    <w:p>
      <w:pPr>
        <w:spacing w:line="400" w:lineRule="exact"/>
        <w:ind w:firstLine="420" w:firstLineChars="200"/>
        <w:rPr>
          <w:rFonts w:ascii="宋体" w:hAnsi="宋体"/>
        </w:rPr>
      </w:pPr>
      <w:bookmarkStart w:id="18" w:name="_Hlk133337486"/>
      <w:r>
        <w:rPr>
          <w:rFonts w:hint="eastAsia" w:ascii="宋体" w:hAnsi="宋体"/>
        </w:rPr>
        <w:t>随着学校信息化建设的不断发展，学校的重要信息系统越来越多，服务全校的业务也越来越多。大量早期开发的Web应用，由于历史原因，都存在不同程度的安全问题。对于这些已上线、正提供生产的Web应用，由于其定制化特点决定了没有通用补丁可用，而整改代码因代价过大变得较难施行或者需要较长的整改周期。WEB应用防护系统可以对学校现有的WEB网站进行防护，同时尽可能弥补WEB应用存在的安全问题。</w:t>
      </w:r>
    </w:p>
    <w:p>
      <w:pPr>
        <w:spacing w:line="400" w:lineRule="exact"/>
        <w:ind w:firstLine="420" w:firstLineChars="200"/>
        <w:rPr>
          <w:rFonts w:ascii="宋体" w:hAnsi="宋体"/>
        </w:rPr>
      </w:pPr>
      <w:r>
        <w:rPr>
          <w:rFonts w:hint="eastAsia" w:ascii="宋体" w:hAnsi="宋体"/>
        </w:rPr>
        <w:t>目前学校使用的WEB应用防护系统设备是2017年采购的，应用层吞吐量3Gbps, 20,000cps,目前已经不满足我们web系统的防护要求，访问量高的时候，出现cpu或者内存过高的情况。急需增加一台性能更强的WEB应用防护系统设备，该设备参数要求如下。</w:t>
      </w:r>
    </w:p>
    <w:p>
      <w:pPr>
        <w:spacing w:line="400" w:lineRule="exact"/>
        <w:rPr>
          <w:rFonts w:ascii="宋体" w:hAnsi="宋体"/>
        </w:rPr>
      </w:pPr>
      <w:r>
        <w:rPr>
          <w:rFonts w:hint="eastAsia" w:ascii="宋体" w:hAnsi="宋体"/>
        </w:rPr>
        <w:t>1、【软硬一体】</w:t>
      </w:r>
    </w:p>
    <w:p>
      <w:pPr>
        <w:spacing w:line="400" w:lineRule="exact"/>
        <w:rPr>
          <w:rFonts w:ascii="宋体" w:hAnsi="宋体"/>
        </w:rPr>
      </w:pPr>
      <w:r>
        <w:rPr>
          <w:rFonts w:hint="eastAsia" w:ascii="宋体" w:hAnsi="宋体"/>
        </w:rPr>
        <w:t>2、【性能说明】：应用层吞吐量≥10Gbps， Cps≥70000。</w:t>
      </w:r>
    </w:p>
    <w:p>
      <w:pPr>
        <w:spacing w:line="400" w:lineRule="exact"/>
        <w:rPr>
          <w:rFonts w:ascii="宋体" w:hAnsi="宋体"/>
        </w:rPr>
      </w:pPr>
      <w:r>
        <w:rPr>
          <w:rFonts w:hint="eastAsia" w:ascii="宋体" w:hAnsi="宋体"/>
        </w:rPr>
        <w:t>3、【硬件规格】：标准2U硬件,交流冗余电源, 千兆电口≥2，万兆光口≥</w:t>
      </w:r>
      <w:r>
        <w:rPr>
          <w:rFonts w:ascii="宋体" w:hAnsi="宋体"/>
        </w:rPr>
        <w:t>4</w:t>
      </w:r>
      <w:r>
        <w:rPr>
          <w:rFonts w:hint="eastAsia" w:ascii="宋体" w:hAnsi="宋体"/>
        </w:rPr>
        <w:t>（B</w:t>
      </w:r>
      <w:r>
        <w:rPr>
          <w:rFonts w:ascii="宋体" w:hAnsi="宋体"/>
        </w:rPr>
        <w:t>ypass</w:t>
      </w:r>
      <w:r>
        <w:rPr>
          <w:rFonts w:hint="eastAsia" w:ascii="宋体" w:hAnsi="宋体"/>
        </w:rPr>
        <w:t>≥2路），硬盘≥1T。</w:t>
      </w:r>
    </w:p>
    <w:p>
      <w:pPr>
        <w:spacing w:line="400" w:lineRule="exact"/>
        <w:rPr>
          <w:rFonts w:ascii="宋体" w:hAnsi="宋体"/>
        </w:rPr>
      </w:pPr>
      <w:r>
        <w:rPr>
          <w:rFonts w:hint="eastAsia" w:ascii="宋体" w:hAnsi="宋体"/>
        </w:rPr>
        <w:t>主要功能包括：</w:t>
      </w:r>
      <w:r>
        <w:rPr>
          <w:rFonts w:ascii="宋体" w:hAnsi="宋体"/>
        </w:rPr>
        <w:t>TCP Flood防护</w:t>
      </w:r>
      <w:r>
        <w:rPr>
          <w:rFonts w:hint="eastAsia" w:ascii="宋体" w:hAnsi="宋体"/>
        </w:rPr>
        <w:t>,</w:t>
      </w:r>
      <w:r>
        <w:rPr>
          <w:rFonts w:ascii="宋体" w:hAnsi="宋体"/>
        </w:rPr>
        <w:t>HTTP Flood防护</w:t>
      </w:r>
      <w:r>
        <w:rPr>
          <w:rFonts w:hint="eastAsia" w:ascii="宋体" w:hAnsi="宋体"/>
        </w:rPr>
        <w:t>,</w:t>
      </w:r>
      <w:r>
        <w:rPr>
          <w:rFonts w:ascii="宋体" w:hAnsi="宋体"/>
        </w:rPr>
        <w:t>慢速攻击防护</w:t>
      </w:r>
      <w:r>
        <w:rPr>
          <w:rFonts w:hint="eastAsia" w:ascii="宋体" w:hAnsi="宋体"/>
        </w:rPr>
        <w:t>,Web服务器/插件防护，爬虫防护，Web通用防护，文件非法上传防护，非法下载限制等基础防护；扫描防护，Cookie安全，内容过滤，敏感信息过滤，暴力破解防护，XML防护，智能引擎检测等功能。</w:t>
      </w:r>
    </w:p>
    <w:p>
      <w:pPr>
        <w:spacing w:line="400" w:lineRule="exact"/>
        <w:rPr>
          <w:rFonts w:ascii="宋体" w:hAnsi="宋体"/>
        </w:rPr>
      </w:pPr>
      <w:r>
        <w:rPr>
          <w:rFonts w:hint="eastAsia"/>
        </w:rPr>
        <w:t>提供相当于或优于</w:t>
      </w:r>
      <w:r>
        <w:rPr>
          <w:rFonts w:hint="eastAsia" w:ascii="宋体" w:hAnsi="宋体"/>
        </w:rPr>
        <w:t>原厂三年维保服务</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技术指标参数见表：</w:t>
      </w:r>
    </w:p>
    <w:p>
      <w:pPr>
        <w:rPr>
          <w:rFonts w:ascii="宋体" w:hAnsi="宋体"/>
        </w:rPr>
      </w:pPr>
    </w:p>
    <w:tbl>
      <w:tblPr>
        <w:tblStyle w:val="5"/>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929"/>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BFBFBF"/>
            <w:vAlign w:val="center"/>
          </w:tcPr>
          <w:p>
            <w:pPr>
              <w:jc w:val="center"/>
              <w:rPr>
                <w:rFonts w:ascii="宋体" w:hAnsi="宋体" w:cs="Arial"/>
                <w:b/>
                <w:szCs w:val="21"/>
              </w:rPr>
            </w:pPr>
            <w:r>
              <w:rPr>
                <w:rFonts w:hint="eastAsia" w:ascii="宋体" w:hAnsi="宋体" w:cs="Arial"/>
                <w:b/>
                <w:szCs w:val="21"/>
              </w:rPr>
              <w:t>序号</w:t>
            </w:r>
          </w:p>
        </w:tc>
        <w:tc>
          <w:tcPr>
            <w:tcW w:w="1929" w:type="dxa"/>
            <w:shd w:val="clear" w:color="auto" w:fill="BFBFBF"/>
            <w:vAlign w:val="center"/>
          </w:tcPr>
          <w:p>
            <w:pPr>
              <w:jc w:val="center"/>
              <w:rPr>
                <w:rFonts w:ascii="宋体" w:hAnsi="宋体" w:cs="Arial"/>
                <w:b/>
                <w:szCs w:val="21"/>
              </w:rPr>
            </w:pPr>
            <w:r>
              <w:rPr>
                <w:rFonts w:hint="eastAsia" w:ascii="宋体" w:hAnsi="宋体" w:cs="Arial"/>
                <w:b/>
                <w:szCs w:val="21"/>
              </w:rPr>
              <w:t>指标项</w:t>
            </w:r>
          </w:p>
        </w:tc>
        <w:tc>
          <w:tcPr>
            <w:tcW w:w="6085" w:type="dxa"/>
            <w:shd w:val="clear" w:color="auto" w:fill="BFBFBF"/>
            <w:vAlign w:val="center"/>
          </w:tcPr>
          <w:p>
            <w:pPr>
              <w:jc w:val="center"/>
              <w:rPr>
                <w:rFonts w:ascii="宋体" w:hAnsi="宋体" w:cs="Arial"/>
                <w:b/>
                <w:szCs w:val="21"/>
              </w:rPr>
            </w:pPr>
            <w:r>
              <w:rPr>
                <w:rFonts w:hint="eastAsia" w:ascii="宋体" w:hAnsi="宋体" w:cs="Arial"/>
                <w:b/>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硬件性能接口</w:t>
            </w:r>
          </w:p>
        </w:tc>
        <w:tc>
          <w:tcPr>
            <w:tcW w:w="6085" w:type="dxa"/>
            <w:vAlign w:val="center"/>
          </w:tcPr>
          <w:p>
            <w:pPr>
              <w:jc w:val="left"/>
              <w:rPr>
                <w:rFonts w:ascii="宋体" w:hAnsi="宋体"/>
                <w:szCs w:val="21"/>
              </w:rPr>
            </w:pPr>
            <w:r>
              <w:rPr>
                <w:rFonts w:ascii="宋体" w:hAnsi="宋体" w:cs="Arial"/>
                <w:sz w:val="24"/>
                <w:szCs w:val="24"/>
                <w:highlight w:val="white"/>
              </w:rPr>
              <w:t>★</w:t>
            </w:r>
            <w:r>
              <w:rPr>
                <w:rFonts w:hint="eastAsia" w:ascii="宋体" w:hAnsi="宋体"/>
                <w:szCs w:val="21"/>
              </w:rPr>
              <w:t>含交流双电源，</w:t>
            </w:r>
            <w:r>
              <w:rPr>
                <w:rFonts w:hint="eastAsia" w:ascii="宋体" w:hAnsi="宋体" w:cs="Arial"/>
                <w:szCs w:val="21"/>
              </w:rPr>
              <w:t>≥</w:t>
            </w:r>
            <w:r>
              <w:rPr>
                <w:rFonts w:ascii="宋体" w:hAnsi="宋体"/>
                <w:szCs w:val="21"/>
              </w:rPr>
              <w:t>2</w:t>
            </w:r>
            <w:r>
              <w:rPr>
                <w:rFonts w:hint="eastAsia" w:ascii="宋体" w:hAnsi="宋体"/>
                <w:szCs w:val="21"/>
              </w:rPr>
              <w:t>*USB接口，</w:t>
            </w:r>
            <w:r>
              <w:rPr>
                <w:rFonts w:hint="eastAsia" w:ascii="宋体" w:hAnsi="宋体" w:cs="Arial"/>
                <w:szCs w:val="21"/>
              </w:rPr>
              <w:t>≥</w:t>
            </w:r>
            <w:r>
              <w:rPr>
                <w:rFonts w:ascii="宋体" w:hAnsi="宋体"/>
                <w:szCs w:val="21"/>
              </w:rPr>
              <w:t>1</w:t>
            </w:r>
            <w:r>
              <w:rPr>
                <w:rFonts w:hint="eastAsia" w:ascii="宋体" w:hAnsi="宋体"/>
                <w:szCs w:val="21"/>
              </w:rPr>
              <w:t>*RJ45串口，</w:t>
            </w:r>
            <w:r>
              <w:rPr>
                <w:rFonts w:hint="eastAsia" w:ascii="宋体" w:hAnsi="宋体" w:cs="Arial"/>
                <w:szCs w:val="21"/>
              </w:rPr>
              <w:t>≥</w:t>
            </w:r>
            <w:r>
              <w:rPr>
                <w:rFonts w:ascii="宋体" w:hAnsi="宋体"/>
                <w:szCs w:val="21"/>
              </w:rPr>
              <w:t>2</w:t>
            </w:r>
            <w:r>
              <w:rPr>
                <w:rFonts w:hint="eastAsia" w:ascii="宋体" w:hAnsi="宋体"/>
                <w:szCs w:val="21"/>
              </w:rPr>
              <w:t>*GE管理口</w:t>
            </w:r>
            <w:r>
              <w:rPr>
                <w:rFonts w:hint="eastAsia" w:ascii="宋体" w:hAnsi="宋体" w:cs="Arial"/>
                <w:szCs w:val="21"/>
              </w:rPr>
              <w:t>，网络层吞吐≥</w:t>
            </w:r>
            <w:r>
              <w:rPr>
                <w:rFonts w:ascii="宋体" w:hAnsi="宋体" w:cs="Arial"/>
                <w:szCs w:val="21"/>
              </w:rPr>
              <w:t>20G</w:t>
            </w:r>
            <w:r>
              <w:rPr>
                <w:rFonts w:hint="eastAsia" w:ascii="宋体" w:hAnsi="宋体" w:cs="Arial"/>
                <w:szCs w:val="21"/>
              </w:rPr>
              <w:t>，应用层吞吐≥</w:t>
            </w:r>
            <w:r>
              <w:rPr>
                <w:rFonts w:ascii="宋体" w:hAnsi="宋体" w:cs="Arial"/>
                <w:szCs w:val="21"/>
              </w:rPr>
              <w:t>10G</w:t>
            </w:r>
            <w:r>
              <w:rPr>
                <w:rFonts w:hint="eastAsia" w:ascii="宋体" w:hAnsi="宋体"/>
                <w:szCs w:val="21"/>
              </w:rPr>
              <w:t>，</w:t>
            </w:r>
            <w:r>
              <w:rPr>
                <w:rFonts w:hint="eastAsia" w:ascii="宋体" w:hAnsi="宋体" w:cs="Arial"/>
                <w:szCs w:val="21"/>
              </w:rPr>
              <w:t>≥</w:t>
            </w:r>
            <w:r>
              <w:rPr>
                <w:rFonts w:hint="eastAsia" w:ascii="宋体" w:hAnsi="宋体"/>
                <w:szCs w:val="21"/>
              </w:rPr>
              <w:t>4个</w:t>
            </w:r>
            <w:r>
              <w:rPr>
                <w:rFonts w:ascii="宋体" w:hAnsi="宋体"/>
                <w:szCs w:val="21"/>
              </w:rPr>
              <w:t>万兆</w:t>
            </w:r>
            <w:r>
              <w:rPr>
                <w:rFonts w:hint="eastAsia" w:ascii="宋体" w:hAnsi="宋体"/>
                <w:szCs w:val="21"/>
              </w:rPr>
              <w:t>光口</w:t>
            </w:r>
            <w:r>
              <w:rPr>
                <w:rFonts w:hint="eastAsia" w:ascii="宋体" w:hAnsi="宋体"/>
              </w:rPr>
              <w:t>（B</w:t>
            </w:r>
            <w:r>
              <w:rPr>
                <w:rFonts w:ascii="宋体" w:hAnsi="宋体"/>
              </w:rPr>
              <w:t>ypass</w:t>
            </w:r>
            <w:r>
              <w:rPr>
                <w:rFonts w:hint="eastAsia" w:ascii="宋体" w:hAnsi="宋体"/>
              </w:rPr>
              <w:t>≥2路）</w:t>
            </w:r>
            <w:r>
              <w:rPr>
                <w:rFonts w:hint="eastAsia" w:ascii="宋体" w:hAnsi="宋体"/>
                <w:szCs w:val="21"/>
              </w:rPr>
              <w:t>，并且所有业务接口均无需授权全部可用，需要自带硬盘进行日志存储，硬盘空间不小于1T</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部署能力</w:t>
            </w:r>
          </w:p>
        </w:tc>
        <w:tc>
          <w:tcPr>
            <w:tcW w:w="6085" w:type="dxa"/>
            <w:vAlign w:val="center"/>
          </w:tcPr>
          <w:p>
            <w:pPr>
              <w:widowControl/>
              <w:spacing w:line="360" w:lineRule="exact"/>
              <w:jc w:val="left"/>
              <w:textAlignment w:val="center"/>
              <w:rPr>
                <w:rFonts w:ascii="宋体" w:hAnsi="宋体" w:cs="Arial"/>
                <w:szCs w:val="21"/>
              </w:rPr>
            </w:pPr>
            <w:r>
              <w:rPr>
                <w:rFonts w:hint="eastAsia" w:ascii="宋体" w:hAnsi="宋体" w:cs="Arial"/>
                <w:szCs w:val="21"/>
              </w:rPr>
              <w:t>支持在线部署、旁路部署、VRRP协议、反向代理部署，镜像部署。旁路部署支持流量牵引、二层回注、跨接回注及PBR回注方式。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HA部署能力</w:t>
            </w:r>
          </w:p>
        </w:tc>
        <w:tc>
          <w:tcPr>
            <w:tcW w:w="6085" w:type="dxa"/>
            <w:vAlign w:val="center"/>
          </w:tcPr>
          <w:p>
            <w:pPr>
              <w:widowControl/>
              <w:spacing w:line="360" w:lineRule="exact"/>
              <w:jc w:val="left"/>
              <w:textAlignment w:val="center"/>
              <w:rPr>
                <w:rFonts w:ascii="宋体" w:hAnsi="宋体" w:cs="Arial"/>
                <w:szCs w:val="21"/>
              </w:rPr>
            </w:pPr>
            <w:r>
              <w:rPr>
                <w:rFonts w:hint="eastAsia" w:ascii="宋体" w:hAnsi="宋体" w:cs="Arial"/>
                <w:szCs w:val="21"/>
              </w:rPr>
              <w:t>支持A/S部署模式（链路切换、配置同步）；支持VRRP协议。支持非对称路由下的部署</w:t>
            </w:r>
            <w:r>
              <w:rPr>
                <w:rFonts w:ascii="宋体" w:hAnsi="宋体"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紧急模式</w:t>
            </w:r>
          </w:p>
        </w:tc>
        <w:tc>
          <w:tcPr>
            <w:tcW w:w="6085" w:type="dxa"/>
            <w:vAlign w:val="center"/>
          </w:tcPr>
          <w:p>
            <w:pPr>
              <w:pStyle w:val="7"/>
              <w:ind w:firstLine="380"/>
              <w:jc w:val="both"/>
              <w:rPr>
                <w:rFonts w:hint="default" w:ascii="宋体" w:hAnsi="宋体" w:cs="Arial"/>
                <w:color w:val="000000"/>
                <w:szCs w:val="21"/>
              </w:rPr>
            </w:pPr>
            <w:r>
              <w:rPr>
                <w:rFonts w:ascii="宋体" w:hAnsi="宋体" w:cs="Arial"/>
                <w:szCs w:val="21"/>
              </w:rPr>
              <w:t>支持紧急模式，</w:t>
            </w:r>
            <w:r>
              <w:rPr>
                <w:rFonts w:ascii="宋体" w:hAnsi="宋体"/>
                <w:szCs w:val="21"/>
              </w:rPr>
              <w:t>支持配置并发连接数阈值，</w:t>
            </w:r>
            <w:r>
              <w:rPr>
                <w:rFonts w:ascii="宋体" w:hAnsi="宋体" w:cs="Arial"/>
                <w:szCs w:val="21"/>
              </w:rPr>
              <w:t>当并发连接数超过阀值时，WAF自动进入紧急模式，已经代理的连接正常代理，对新增的请求不进行代理，直接转发，防止WAF成为访问瓶颈。当连接数恢复正常时，自动退出紧急模式。</w:t>
            </w:r>
            <w:r>
              <w:rPr>
                <w:b/>
                <w:bCs/>
                <w:color w:val="000000"/>
                <w:sz w:val="21"/>
              </w:rPr>
              <w:t>（提供功能演示）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例外策略</w:t>
            </w:r>
          </w:p>
        </w:tc>
        <w:tc>
          <w:tcPr>
            <w:tcW w:w="6085" w:type="dxa"/>
            <w:vAlign w:val="center"/>
          </w:tcPr>
          <w:p>
            <w:pPr>
              <w:jc w:val="left"/>
              <w:rPr>
                <w:rFonts w:ascii="宋体" w:hAnsi="宋体" w:cs="Arial"/>
                <w:szCs w:val="21"/>
              </w:rPr>
            </w:pPr>
            <w:r>
              <w:rPr>
                <w:rFonts w:hint="eastAsia" w:ascii="宋体" w:hAnsi="宋体" w:cs="Arial"/>
                <w:szCs w:val="21"/>
              </w:rPr>
              <w:t>支持对安全策略的一键式例外配置。</w:t>
            </w:r>
            <w:r>
              <w:rPr>
                <w:rFonts w:hint="eastAsia" w:ascii="宋体" w:hAnsi="宋体"/>
                <w:szCs w:val="21"/>
              </w:rPr>
              <w:t>（</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HTTP RFC符合性</w:t>
            </w:r>
          </w:p>
        </w:tc>
        <w:tc>
          <w:tcPr>
            <w:tcW w:w="6085" w:type="dxa"/>
            <w:vAlign w:val="center"/>
          </w:tcPr>
          <w:p>
            <w:pPr>
              <w:jc w:val="left"/>
              <w:rPr>
                <w:rFonts w:ascii="宋体" w:hAnsi="宋体" w:cs="Arial"/>
                <w:szCs w:val="21"/>
              </w:rPr>
            </w:pPr>
            <w:r>
              <w:rPr>
                <w:rFonts w:hint="eastAsia" w:ascii="宋体" w:hAnsi="宋体" w:cs="Arial"/>
                <w:szCs w:val="21"/>
              </w:rPr>
              <w:t>支持对</w:t>
            </w:r>
            <w:r>
              <w:rPr>
                <w:rFonts w:ascii="宋体" w:hAnsi="宋体" w:cs="Arial"/>
                <w:szCs w:val="21"/>
              </w:rPr>
              <w:t>HTTP</w:t>
            </w:r>
            <w:r>
              <w:rPr>
                <w:rFonts w:hint="eastAsia" w:ascii="宋体" w:hAnsi="宋体" w:cs="Arial"/>
                <w:szCs w:val="21"/>
              </w:rPr>
              <w:t>协议合法性进行验证，提供HTTP协议防护功能。</w:t>
            </w:r>
            <w:r>
              <w:rPr>
                <w:rFonts w:hint="eastAsia" w:ascii="宋体" w:hAnsi="宋体"/>
                <w:szCs w:val="21"/>
              </w:rPr>
              <w:t>（</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规则体系</w:t>
            </w:r>
          </w:p>
        </w:tc>
        <w:tc>
          <w:tcPr>
            <w:tcW w:w="6085" w:type="dxa"/>
            <w:vAlign w:val="center"/>
          </w:tcPr>
          <w:p>
            <w:pPr>
              <w:jc w:val="left"/>
              <w:rPr>
                <w:rFonts w:ascii="宋体" w:hAnsi="宋体" w:cs="Arial"/>
                <w:szCs w:val="21"/>
              </w:rPr>
            </w:pPr>
            <w:r>
              <w:rPr>
                <w:rFonts w:hint="eastAsia" w:ascii="宋体" w:hAnsi="宋体" w:cs="Arial"/>
                <w:szCs w:val="21"/>
              </w:rPr>
              <w:t>系统提供可配置的内置规则；且支持自定义规则，规则属性要求支持“检测方向（请求或响应）”、“检测对象（URI/URI-path/Host/参数名/参数/Header-name/Header/Cookie名/Version/请求方法/Request-Body）”、匹配操作、特征签名等丰富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HTTPS支持</w:t>
            </w:r>
          </w:p>
        </w:tc>
        <w:tc>
          <w:tcPr>
            <w:tcW w:w="6085" w:type="dxa"/>
            <w:vAlign w:val="center"/>
          </w:tcPr>
          <w:p>
            <w:pPr>
              <w:jc w:val="left"/>
              <w:rPr>
                <w:rFonts w:ascii="宋体" w:hAnsi="宋体" w:cs="Arial"/>
                <w:szCs w:val="21"/>
              </w:rPr>
            </w:pPr>
            <w:r>
              <w:rPr>
                <w:rFonts w:hint="eastAsia" w:ascii="宋体" w:hAnsi="宋体" w:cs="Arial"/>
                <w:szCs w:val="21"/>
              </w:rPr>
              <w:t>支持对SSL（HTTPS）加密会话进行分析。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WEB基础架构防护</w:t>
            </w:r>
          </w:p>
        </w:tc>
        <w:tc>
          <w:tcPr>
            <w:tcW w:w="6085" w:type="dxa"/>
            <w:vAlign w:val="center"/>
          </w:tcPr>
          <w:p>
            <w:pPr>
              <w:jc w:val="left"/>
              <w:rPr>
                <w:rFonts w:ascii="宋体" w:hAnsi="宋体" w:cs="Arial"/>
                <w:szCs w:val="21"/>
              </w:rPr>
            </w:pPr>
            <w:r>
              <w:rPr>
                <w:rFonts w:hint="eastAsia" w:ascii="宋体" w:hAnsi="宋体" w:cs="Arial"/>
                <w:szCs w:val="21"/>
              </w:rPr>
              <w:t>支持防护：蠕虫、缓冲区溢出、CGI信息扫描、目录遍历等攻击。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restart"/>
            <w:vAlign w:val="center"/>
          </w:tcPr>
          <w:p>
            <w:pPr>
              <w:jc w:val="center"/>
              <w:rPr>
                <w:rFonts w:ascii="宋体" w:hAnsi="宋体" w:cs="Arial"/>
                <w:szCs w:val="21"/>
              </w:rPr>
            </w:pPr>
            <w:r>
              <w:rPr>
                <w:rFonts w:hint="eastAsia" w:ascii="宋体" w:hAnsi="宋体" w:cs="Arial"/>
                <w:szCs w:val="21"/>
              </w:rPr>
              <w:t>WEB应用安全防护</w:t>
            </w:r>
          </w:p>
        </w:tc>
        <w:tc>
          <w:tcPr>
            <w:tcW w:w="6085" w:type="dxa"/>
            <w:vAlign w:val="center"/>
          </w:tcPr>
          <w:p>
            <w:pPr>
              <w:rPr>
                <w:rFonts w:ascii="宋体" w:hAnsi="宋体" w:cs="Arial"/>
                <w:szCs w:val="21"/>
              </w:rPr>
            </w:pPr>
            <w:r>
              <w:rPr>
                <w:rFonts w:hint="eastAsia" w:ascii="宋体" w:hAnsi="宋体" w:cs="Arial"/>
                <w:szCs w:val="21"/>
              </w:rPr>
              <w:t>支持SQL注入、XSS防护，支持使HTTP头域中的Cookie、Referer、User-Agent，Except字段过防护策略</w:t>
            </w:r>
            <w:r>
              <w:rPr>
                <w:rFonts w:ascii="宋体" w:hAnsi="宋体" w:cs="Arial"/>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vAlign w:val="center"/>
          </w:tcPr>
          <w:p>
            <w:pPr>
              <w:rPr>
                <w:rFonts w:ascii="宋体" w:hAnsi="宋体" w:cs="Arial"/>
                <w:szCs w:val="21"/>
              </w:rPr>
            </w:pPr>
            <w:r>
              <w:rPr>
                <w:rFonts w:hint="eastAsia" w:ascii="宋体" w:hAnsi="宋体" w:cs="Arial"/>
                <w:szCs w:val="21"/>
              </w:rPr>
              <w:t>设备的漏洞防护库应有专业漏洞挖掘团队维护，漏洞挖掘团队须有对系统漏洞进行发现、验证、以及提供应急服务的技术能力。自主发现并提交CVE安全漏洞数不少于</w:t>
            </w:r>
            <w:r>
              <w:rPr>
                <w:rFonts w:ascii="宋体" w:hAnsi="宋体" w:cs="Arial"/>
                <w:szCs w:val="21"/>
              </w:rPr>
              <w:t>20</w:t>
            </w:r>
            <w:r>
              <w:rPr>
                <w:rFonts w:hint="eastAsia" w:ascii="宋体" w:hAnsi="宋体" w:cs="Arial"/>
                <w:szCs w:val="21"/>
              </w:rPr>
              <w:t>个。</w:t>
            </w:r>
            <w:r>
              <w:rPr>
                <w:rFonts w:hint="eastAsia" w:ascii="宋体" w:hAnsi="宋体"/>
                <w:szCs w:val="21"/>
              </w:rPr>
              <w:t>（提供CVE官方的截图证明）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tcPr>
          <w:p>
            <w:pPr>
              <w:jc w:val="left"/>
              <w:rPr>
                <w:rFonts w:ascii="宋体" w:hAnsi="宋体" w:cs="Arial"/>
                <w:szCs w:val="21"/>
              </w:rPr>
            </w:pPr>
            <w:r>
              <w:rPr>
                <w:rFonts w:hint="eastAsia" w:ascii="宋体" w:hAnsi="宋体" w:cs="Arial"/>
                <w:szCs w:val="21"/>
              </w:rPr>
              <w:t>支持CSRF（跨站请求伪造）防护。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tcPr>
          <w:p>
            <w:pPr>
              <w:jc w:val="left"/>
              <w:rPr>
                <w:rFonts w:ascii="宋体" w:hAnsi="宋体" w:cs="Arial"/>
                <w:szCs w:val="21"/>
              </w:rPr>
            </w:pPr>
            <w:r>
              <w:rPr>
                <w:rFonts w:hint="eastAsia" w:ascii="宋体" w:hAnsi="宋体" w:cs="Arial"/>
                <w:szCs w:val="21"/>
              </w:rPr>
              <w:t>支持扫描防护，可对请求量进行统计分析，判断依据包含：</w:t>
            </w:r>
          </w:p>
          <w:p>
            <w:pPr>
              <w:jc w:val="left"/>
              <w:rPr>
                <w:rFonts w:ascii="宋体" w:hAnsi="宋体" w:cs="Arial"/>
                <w:szCs w:val="21"/>
              </w:rPr>
            </w:pPr>
            <w:r>
              <w:rPr>
                <w:rFonts w:hint="eastAsia" w:ascii="宋体" w:hAnsi="宋体" w:cs="Arial"/>
                <w:szCs w:val="21"/>
              </w:rPr>
              <w:t>在一定样本数前提下，通过请求离散率判别</w:t>
            </w:r>
          </w:p>
          <w:p>
            <w:pPr>
              <w:jc w:val="left"/>
              <w:rPr>
                <w:rFonts w:ascii="宋体" w:hAnsi="宋体" w:cs="Arial"/>
                <w:szCs w:val="21"/>
              </w:rPr>
            </w:pPr>
            <w:r>
              <w:rPr>
                <w:rFonts w:hint="eastAsia" w:ascii="宋体" w:hAnsi="宋体" w:cs="Arial"/>
                <w:szCs w:val="21"/>
              </w:rPr>
              <w:t>在一定样本数前提下，</w:t>
            </w:r>
            <w:r>
              <w:rPr>
                <w:rFonts w:ascii="宋体" w:hAnsi="宋体" w:cs="Arial"/>
                <w:szCs w:val="21"/>
              </w:rPr>
              <w:t>WEB服务器成功应答比例及失败应答比例</w:t>
            </w:r>
          </w:p>
          <w:p>
            <w:pPr>
              <w:jc w:val="left"/>
              <w:rPr>
                <w:rFonts w:ascii="宋体" w:hAnsi="宋体" w:cs="Arial"/>
                <w:szCs w:val="21"/>
              </w:rPr>
            </w:pPr>
            <w:r>
              <w:rPr>
                <w:rFonts w:hint="eastAsia" w:ascii="宋体" w:hAnsi="宋体" w:cs="Arial"/>
                <w:szCs w:val="21"/>
              </w:rPr>
              <w:t>在一定样本数前提下，触发告警数上限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tcPr>
          <w:p>
            <w:pPr>
              <w:jc w:val="left"/>
              <w:rPr>
                <w:rFonts w:ascii="宋体" w:hAnsi="宋体" w:cs="Arial"/>
                <w:szCs w:val="21"/>
              </w:rPr>
            </w:pPr>
            <w:r>
              <w:rPr>
                <w:rFonts w:hint="eastAsia" w:ascii="宋体" w:hAnsi="宋体" w:cs="Arial"/>
                <w:szCs w:val="21"/>
              </w:rPr>
              <w:t>▲支持识别判定自动扫描行为，在设定周期内采集发送端向网站服务器发送的访问请求消息和网站服务器向发送端返回的响应消息，将设定周期等分为至少两个子周期，依次统计每个子周期内访问请求消息个数，确定发送端请求可信度，判定发送端是否发生了自动扫描的行为。（须提供工业和信息化部或经济和信息化委员会或国家知识产权局</w:t>
            </w:r>
            <w:r>
              <w:rPr>
                <w:rFonts w:hint="eastAsia"/>
              </w:rPr>
              <w:t>或其他国家认可的第三方机构的</w:t>
            </w:r>
            <w:r>
              <w:rPr>
                <w:rFonts w:hint="eastAsia" w:ascii="宋体" w:hAnsi="宋体" w:cs="Arial"/>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tcPr>
          <w:p>
            <w:pPr>
              <w:jc w:val="left"/>
              <w:rPr>
                <w:rFonts w:ascii="宋体" w:hAnsi="宋体" w:cs="Arial"/>
                <w:szCs w:val="21"/>
              </w:rPr>
            </w:pPr>
            <w:r>
              <w:rPr>
                <w:rFonts w:hint="eastAsia" w:ascii="宋体" w:hAnsi="宋体" w:cs="Arial"/>
                <w:szCs w:val="21"/>
              </w:rPr>
              <w:t>支持Cookie安全机制，包括加密和签名的防护方法，支持Cookie自学习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tcPr>
          <w:p>
            <w:pPr>
              <w:jc w:val="left"/>
              <w:rPr>
                <w:rFonts w:ascii="宋体" w:hAnsi="宋体" w:cs="Arial"/>
                <w:szCs w:val="21"/>
              </w:rPr>
            </w:pPr>
            <w:r>
              <w:rPr>
                <w:rFonts w:hint="eastAsia" w:ascii="宋体" w:hAnsi="宋体" w:cs="Arial"/>
                <w:szCs w:val="21"/>
              </w:rPr>
              <w:t>支持盗链防护，可采用Referer和Cookie算法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tcPr>
          <w:p>
            <w:pPr>
              <w:jc w:val="left"/>
              <w:rPr>
                <w:rFonts w:ascii="宋体" w:hAnsi="宋体" w:cs="Arial"/>
                <w:szCs w:val="21"/>
              </w:rPr>
            </w:pPr>
            <w:r>
              <w:rPr>
                <w:rFonts w:hint="eastAsia" w:ascii="宋体" w:hAnsi="宋体" w:cs="Arial"/>
                <w:szCs w:val="21"/>
              </w:rPr>
              <w:t>支持对服务器状态码进行过滤和伪装的安全策略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tcPr>
          <w:p>
            <w:pPr>
              <w:jc w:val="left"/>
              <w:rPr>
                <w:rFonts w:ascii="宋体" w:hAnsi="宋体" w:cs="Arial"/>
                <w:szCs w:val="21"/>
              </w:rPr>
            </w:pPr>
            <w:r>
              <w:rPr>
                <w:rFonts w:hint="eastAsia" w:ascii="宋体" w:hAnsi="宋体" w:cs="Arial"/>
                <w:szCs w:val="21"/>
              </w:rPr>
              <w:t>产品提供URL访问控制功能，能够基于多种HTTP方法执行访问控制，包括：</w:t>
            </w:r>
            <w:r>
              <w:rPr>
                <w:rFonts w:ascii="宋体" w:hAnsi="宋体" w:cs="Arial"/>
                <w:szCs w:val="21"/>
              </w:rPr>
              <w:t>GET</w:t>
            </w:r>
            <w:r>
              <w:rPr>
                <w:rFonts w:hint="eastAsia" w:ascii="宋体" w:hAnsi="宋体" w:cs="Arial"/>
                <w:szCs w:val="21"/>
              </w:rPr>
              <w:t>、</w:t>
            </w:r>
            <w:r>
              <w:rPr>
                <w:rFonts w:ascii="宋体" w:hAnsi="宋体" w:cs="Arial"/>
                <w:szCs w:val="21"/>
              </w:rPr>
              <w:t>POST</w:t>
            </w:r>
            <w:r>
              <w:rPr>
                <w:rFonts w:hint="eastAsia" w:ascii="宋体" w:hAnsi="宋体" w:cs="Arial"/>
                <w:szCs w:val="21"/>
              </w:rPr>
              <w:t>、</w:t>
            </w:r>
            <w:r>
              <w:rPr>
                <w:rFonts w:ascii="宋体" w:hAnsi="宋体" w:cs="Arial"/>
                <w:szCs w:val="21"/>
              </w:rPr>
              <w:t>UNKNOWN</w:t>
            </w:r>
            <w:r>
              <w:rPr>
                <w:rFonts w:hint="eastAsia" w:ascii="宋体" w:hAnsi="宋体" w:cs="Arial"/>
                <w:szCs w:val="21"/>
              </w:rPr>
              <w:t>、</w:t>
            </w:r>
            <w:r>
              <w:rPr>
                <w:rFonts w:ascii="宋体" w:hAnsi="宋体" w:cs="Arial"/>
                <w:szCs w:val="21"/>
              </w:rPr>
              <w:t>HEAD</w:t>
            </w:r>
            <w:r>
              <w:rPr>
                <w:rFonts w:hint="eastAsia" w:ascii="宋体" w:hAnsi="宋体" w:cs="Arial"/>
                <w:szCs w:val="21"/>
              </w:rPr>
              <w:t>、</w:t>
            </w:r>
            <w:r>
              <w:rPr>
                <w:rFonts w:ascii="宋体" w:hAnsi="宋体" w:cs="Arial"/>
                <w:szCs w:val="21"/>
              </w:rPr>
              <w:t>PUT</w:t>
            </w:r>
            <w:r>
              <w:rPr>
                <w:rFonts w:hint="eastAsia" w:ascii="宋体" w:hAnsi="宋体" w:cs="Arial"/>
                <w:szCs w:val="21"/>
              </w:rPr>
              <w:t>、</w:t>
            </w:r>
            <w:r>
              <w:rPr>
                <w:rFonts w:ascii="宋体" w:hAnsi="宋体" w:cs="Arial"/>
                <w:szCs w:val="21"/>
              </w:rPr>
              <w:t>DELETE</w:t>
            </w:r>
            <w:r>
              <w:rPr>
                <w:rFonts w:hint="eastAsia" w:ascii="宋体" w:hAnsi="宋体" w:cs="Arial"/>
                <w:szCs w:val="21"/>
              </w:rPr>
              <w:t>、</w:t>
            </w:r>
            <w:r>
              <w:rPr>
                <w:rFonts w:ascii="宋体" w:hAnsi="宋体" w:cs="Arial"/>
                <w:szCs w:val="21"/>
              </w:rPr>
              <w:t>MKCOL</w:t>
            </w:r>
            <w:r>
              <w:rPr>
                <w:rFonts w:hint="eastAsia" w:ascii="宋体" w:hAnsi="宋体" w:cs="Arial"/>
                <w:szCs w:val="21"/>
              </w:rPr>
              <w:t>、</w:t>
            </w:r>
            <w:r>
              <w:rPr>
                <w:rFonts w:ascii="宋体" w:hAnsi="宋体" w:cs="Arial"/>
                <w:szCs w:val="21"/>
              </w:rPr>
              <w:t>COPY</w:t>
            </w:r>
            <w:r>
              <w:rPr>
                <w:rFonts w:hint="eastAsia" w:ascii="宋体" w:hAnsi="宋体" w:cs="Arial"/>
                <w:szCs w:val="21"/>
              </w:rPr>
              <w:t>、</w:t>
            </w:r>
            <w:r>
              <w:rPr>
                <w:rFonts w:ascii="宋体" w:hAnsi="宋体" w:cs="Arial"/>
                <w:szCs w:val="21"/>
              </w:rPr>
              <w:t>MOVE</w:t>
            </w:r>
            <w:r>
              <w:rPr>
                <w:rFonts w:hint="eastAsia" w:ascii="宋体" w:hAnsi="宋体" w:cs="Arial"/>
                <w:szCs w:val="21"/>
              </w:rPr>
              <w:t>、</w:t>
            </w:r>
            <w:r>
              <w:rPr>
                <w:rFonts w:ascii="宋体" w:hAnsi="宋体" w:cs="Arial"/>
                <w:szCs w:val="21"/>
              </w:rPr>
              <w:t>OPTIONS</w:t>
            </w:r>
            <w:r>
              <w:rPr>
                <w:rFonts w:hint="eastAsia" w:ascii="宋体" w:hAnsi="宋体" w:cs="Arial"/>
                <w:szCs w:val="21"/>
              </w:rPr>
              <w:t>、</w:t>
            </w:r>
            <w:r>
              <w:rPr>
                <w:rFonts w:ascii="宋体" w:hAnsi="宋体" w:cs="Arial"/>
                <w:szCs w:val="21"/>
              </w:rPr>
              <w:t>PROPFIND</w:t>
            </w:r>
            <w:r>
              <w:rPr>
                <w:rFonts w:hint="eastAsia" w:ascii="宋体" w:hAnsi="宋体" w:cs="Arial"/>
                <w:szCs w:val="21"/>
              </w:rPr>
              <w:t>、</w:t>
            </w:r>
            <w:r>
              <w:rPr>
                <w:rFonts w:ascii="宋体" w:hAnsi="宋体" w:cs="Arial"/>
                <w:szCs w:val="21"/>
              </w:rPr>
              <w:t>PROPPATCH</w:t>
            </w:r>
            <w:r>
              <w:rPr>
                <w:rFonts w:hint="eastAsia" w:ascii="宋体" w:hAnsi="宋体" w:cs="Arial"/>
                <w:szCs w:val="21"/>
              </w:rPr>
              <w:t>、</w:t>
            </w:r>
            <w:r>
              <w:rPr>
                <w:rFonts w:ascii="宋体" w:hAnsi="宋体" w:cs="Arial"/>
                <w:szCs w:val="21"/>
              </w:rPr>
              <w:t>LOCK</w:t>
            </w:r>
            <w:r>
              <w:rPr>
                <w:rFonts w:hint="eastAsia" w:ascii="宋体" w:hAnsi="宋体" w:cs="Arial"/>
                <w:szCs w:val="21"/>
              </w:rPr>
              <w:t>、</w:t>
            </w:r>
            <w:r>
              <w:rPr>
                <w:rFonts w:ascii="宋体" w:hAnsi="宋体" w:cs="Arial"/>
                <w:szCs w:val="21"/>
              </w:rPr>
              <w:t>UNLOCK TRACE</w:t>
            </w:r>
            <w:r>
              <w:rPr>
                <w:rFonts w:hint="eastAsia" w:ascii="宋体" w:hAnsi="宋体" w:cs="Arial"/>
                <w:szCs w:val="21"/>
              </w:rPr>
              <w:t>、</w:t>
            </w:r>
            <w:r>
              <w:rPr>
                <w:rFonts w:ascii="宋体" w:hAnsi="宋体" w:cs="Arial"/>
                <w:szCs w:val="21"/>
              </w:rPr>
              <w:t>SEARCH</w:t>
            </w:r>
            <w:r>
              <w:rPr>
                <w:rFonts w:hint="eastAsia" w:ascii="宋体" w:hAnsi="宋体" w:cs="Arial"/>
                <w:szCs w:val="21"/>
              </w:rPr>
              <w:t>、</w:t>
            </w:r>
            <w:r>
              <w:rPr>
                <w:rFonts w:ascii="宋体" w:hAnsi="宋体" w:cs="Arial"/>
                <w:szCs w:val="21"/>
              </w:rPr>
              <w:t>CONNECT</w:t>
            </w:r>
            <w:r>
              <w:rPr>
                <w:rFonts w:hint="eastAsia" w:ascii="宋体" w:hAnsi="宋体" w:cs="Arial"/>
                <w:szCs w:val="21"/>
              </w:rPr>
              <w:t>。</w:t>
            </w:r>
            <w:r>
              <w:rPr>
                <w:rFonts w:hint="eastAsia" w:ascii="宋体" w:hAnsi="宋体"/>
                <w:szCs w:val="21"/>
              </w:rPr>
              <w:t>（</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tcPr>
          <w:p>
            <w:pPr>
              <w:jc w:val="left"/>
              <w:rPr>
                <w:rFonts w:ascii="宋体" w:hAnsi="宋体" w:cs="Arial"/>
                <w:szCs w:val="21"/>
              </w:rPr>
            </w:pPr>
            <w:r>
              <w:rPr>
                <w:rFonts w:hint="eastAsia" w:ascii="宋体" w:hAnsi="宋体" w:cs="Arial"/>
                <w:szCs w:val="21"/>
              </w:rPr>
              <w:t>▲支持完善的漏洞攻击防御库，应支持定期漏洞收集和挖掘升级能力，产品厂商支持获得漏洞情报的一线咨讯，同时自身研究中心最少获得</w:t>
            </w:r>
            <w:r>
              <w:rPr>
                <w:rFonts w:ascii="宋体" w:hAnsi="宋体" w:cs="Arial"/>
                <w:szCs w:val="21"/>
              </w:rPr>
              <w:t>4</w:t>
            </w:r>
            <w:r>
              <w:rPr>
                <w:rFonts w:hint="eastAsia" w:ascii="宋体" w:hAnsi="宋体" w:cs="Arial"/>
                <w:szCs w:val="21"/>
              </w:rPr>
              <w:t>次微软MBB(漏洞绕过赏金计划)。（提供相关证明材料）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暴力破解防护</w:t>
            </w:r>
          </w:p>
        </w:tc>
        <w:tc>
          <w:tcPr>
            <w:tcW w:w="6085" w:type="dxa"/>
            <w:vAlign w:val="center"/>
          </w:tcPr>
          <w:p>
            <w:pPr>
              <w:rPr>
                <w:rFonts w:ascii="宋体" w:hAnsi="宋体" w:cs="Arial"/>
                <w:szCs w:val="21"/>
              </w:rPr>
            </w:pPr>
            <w:r>
              <w:rPr>
                <w:rFonts w:hint="eastAsia" w:ascii="宋体" w:hAnsi="宋体" w:cs="Arial"/>
                <w:szCs w:val="21"/>
              </w:rPr>
              <w:t>支持暴力破解防护，支持基于GET或POST分别设置触发阈值。能够识别Form、Ajax、Jsonp等多种登录验证方式。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restart"/>
            <w:vAlign w:val="center"/>
          </w:tcPr>
          <w:p>
            <w:pPr>
              <w:jc w:val="center"/>
              <w:rPr>
                <w:rFonts w:ascii="宋体" w:hAnsi="宋体" w:cs="Arial"/>
                <w:szCs w:val="21"/>
              </w:rPr>
            </w:pPr>
            <w:r>
              <w:rPr>
                <w:rFonts w:hint="eastAsia" w:ascii="宋体" w:hAnsi="宋体" w:cs="Arial"/>
                <w:szCs w:val="21"/>
              </w:rPr>
              <w:t>会话</w:t>
            </w:r>
            <w:r>
              <w:rPr>
                <w:rFonts w:ascii="宋体" w:hAnsi="宋体" w:cs="Arial"/>
                <w:szCs w:val="21"/>
              </w:rPr>
              <w:t>跟踪</w:t>
            </w:r>
          </w:p>
        </w:tc>
        <w:tc>
          <w:tcPr>
            <w:tcW w:w="6085" w:type="dxa"/>
            <w:vAlign w:val="center"/>
          </w:tcPr>
          <w:p>
            <w:pPr>
              <w:rPr>
                <w:rFonts w:ascii="宋体" w:hAnsi="宋体" w:cs="Arial"/>
                <w:szCs w:val="21"/>
              </w:rPr>
            </w:pPr>
            <w:r>
              <w:rPr>
                <w:rFonts w:hint="eastAsia" w:ascii="宋体" w:hAnsi="宋体" w:cs="Arial"/>
                <w:szCs w:val="21"/>
              </w:rPr>
              <w:t>支持会话追踪能力，能够关联用户的web请求及所有操作，达到攻击链还原，用户行为研究及攻击动机挖掘的目的。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vAlign w:val="center"/>
          </w:tcPr>
          <w:p>
            <w:pPr>
              <w:rPr>
                <w:rFonts w:ascii="宋体" w:hAnsi="宋体" w:cs="Arial"/>
                <w:szCs w:val="21"/>
              </w:rPr>
            </w:pPr>
            <w:r>
              <w:rPr>
                <w:rFonts w:hint="eastAsia" w:ascii="宋体" w:hAnsi="宋体" w:cs="Arial"/>
                <w:szCs w:val="21"/>
              </w:rPr>
              <w:t>能够对会话的类别进行有效识别，支持的会话类别应至少包括：</w:t>
            </w:r>
            <w:r>
              <w:rPr>
                <w:rFonts w:ascii="宋体" w:hAnsi="宋体" w:cs="Arial"/>
                <w:szCs w:val="21"/>
              </w:rPr>
              <w:t>ASP-DOT-NET-session、ASPSESSIONID-session、</w:t>
            </w:r>
            <w:r>
              <w:rPr>
                <w:rFonts w:hint="eastAsia" w:ascii="宋体" w:hAnsi="宋体" w:cs="Arial"/>
                <w:szCs w:val="21"/>
              </w:rPr>
              <w:t>ColdFusion-session、J2EE-JSESSIONID-Cookie-session、J2EE-JSESSIONID-URL-session、J2EE-session、JWS-ID-session、PHP-BB-MYSQL-session、PHPSESSID-session、PHPSESSIONID-session、SAP-session等。</w:t>
            </w:r>
            <w:r>
              <w:rPr>
                <w:rFonts w:hint="eastAsia" w:ascii="宋体" w:hAnsi="宋体"/>
                <w:szCs w:val="21"/>
              </w:rPr>
              <w:t>（</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数据泄露防护</w:t>
            </w:r>
          </w:p>
        </w:tc>
        <w:tc>
          <w:tcPr>
            <w:tcW w:w="6085" w:type="dxa"/>
            <w:vAlign w:val="center"/>
          </w:tcPr>
          <w:p>
            <w:pPr>
              <w:rPr>
                <w:rFonts w:ascii="宋体" w:hAnsi="宋体" w:cs="Arial"/>
                <w:szCs w:val="21"/>
              </w:rPr>
            </w:pPr>
            <w:r>
              <w:rPr>
                <w:rFonts w:hint="eastAsia" w:ascii="宋体" w:hAnsi="宋体" w:cs="Arial"/>
                <w:szCs w:val="21"/>
              </w:rPr>
              <w:t>对流出数据内容进行安全审查，对敏感关键字实施过滤，防止身份证等隐私信息非法泄露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kern w:val="0"/>
                <w:szCs w:val="21"/>
              </w:rPr>
            </w:pPr>
            <w:r>
              <w:rPr>
                <w:rFonts w:hint="eastAsia" w:ascii="宋体" w:hAnsi="宋体"/>
                <w:kern w:val="0"/>
                <w:szCs w:val="21"/>
              </w:rPr>
              <w:t>XML防护</w:t>
            </w:r>
          </w:p>
        </w:tc>
        <w:tc>
          <w:tcPr>
            <w:tcW w:w="6085" w:type="dxa"/>
            <w:vAlign w:val="center"/>
          </w:tcPr>
          <w:p>
            <w:pPr>
              <w:widowControl/>
              <w:spacing w:line="360" w:lineRule="exact"/>
              <w:jc w:val="left"/>
              <w:textAlignment w:val="center"/>
              <w:rPr>
                <w:rFonts w:ascii="宋体" w:hAnsi="宋体" w:cs="Arial"/>
                <w:szCs w:val="21"/>
              </w:rPr>
            </w:pPr>
            <w:r>
              <w:rPr>
                <w:rFonts w:ascii="宋体" w:hAnsi="宋体"/>
                <w:kern w:val="0"/>
                <w:szCs w:val="21"/>
              </w:rPr>
              <w:t>包括</w:t>
            </w:r>
            <w:r>
              <w:rPr>
                <w:rFonts w:hint="eastAsia" w:ascii="宋体" w:hAnsi="宋体" w:cs="Arial"/>
                <w:szCs w:val="21"/>
              </w:rPr>
              <w:t>XML基础校验、</w:t>
            </w:r>
            <w:r>
              <w:rPr>
                <w:rFonts w:ascii="宋体" w:hAnsi="宋体"/>
                <w:kern w:val="0"/>
                <w:szCs w:val="21"/>
              </w:rPr>
              <w:t>Schema校验以及SOAP校验</w:t>
            </w:r>
            <w:r>
              <w:rPr>
                <w:rFonts w:hint="eastAsia" w:ascii="宋体" w:hAnsi="宋体"/>
                <w:kern w:val="0"/>
                <w:szCs w:val="21"/>
              </w:rPr>
              <w:t>。</w:t>
            </w:r>
            <w:r>
              <w:rPr>
                <w:rFonts w:hint="eastAsia"/>
                <w:b/>
                <w:bCs/>
                <w:color w:val="000000"/>
              </w:rPr>
              <w:t>（提供功能演示）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网络层访问控制</w:t>
            </w:r>
          </w:p>
        </w:tc>
        <w:tc>
          <w:tcPr>
            <w:tcW w:w="6085" w:type="dxa"/>
          </w:tcPr>
          <w:p>
            <w:pPr>
              <w:jc w:val="left"/>
              <w:rPr>
                <w:rFonts w:ascii="宋体" w:hAnsi="宋体" w:cs="Arial"/>
                <w:szCs w:val="21"/>
              </w:rPr>
            </w:pPr>
            <w:r>
              <w:rPr>
                <w:rFonts w:hint="eastAsia" w:ascii="宋体" w:hAnsi="宋体" w:cs="Arial"/>
                <w:szCs w:val="21"/>
              </w:rPr>
              <w:t>支持基于五元组（源</w:t>
            </w:r>
            <w:r>
              <w:rPr>
                <w:rFonts w:ascii="宋体" w:hAnsi="宋体" w:cs="Arial"/>
                <w:szCs w:val="21"/>
              </w:rPr>
              <w:t>IP</w:t>
            </w:r>
            <w:r>
              <w:rPr>
                <w:rFonts w:hint="eastAsia" w:ascii="宋体" w:hAnsi="宋体" w:cs="Arial"/>
                <w:szCs w:val="21"/>
              </w:rPr>
              <w:t>地址、目的</w:t>
            </w:r>
            <w:r>
              <w:rPr>
                <w:rFonts w:ascii="宋体" w:hAnsi="宋体" w:cs="Arial"/>
                <w:szCs w:val="21"/>
              </w:rPr>
              <w:t>IP</w:t>
            </w:r>
            <w:r>
              <w:rPr>
                <w:rFonts w:hint="eastAsia" w:ascii="宋体" w:hAnsi="宋体" w:cs="Arial"/>
                <w:szCs w:val="21"/>
              </w:rPr>
              <w:t>地址、源端口、目的源口、协议类型）及接口的网络层访问控制功能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第三方日志对接</w:t>
            </w:r>
          </w:p>
        </w:tc>
        <w:tc>
          <w:tcPr>
            <w:tcW w:w="6085" w:type="dxa"/>
            <w:vAlign w:val="center"/>
          </w:tcPr>
          <w:p>
            <w:pPr>
              <w:jc w:val="left"/>
              <w:rPr>
                <w:rFonts w:ascii="宋体" w:hAnsi="宋体" w:cs="Arial"/>
                <w:szCs w:val="21"/>
              </w:rPr>
            </w:pPr>
            <w:r>
              <w:rPr>
                <w:rFonts w:hint="eastAsia" w:ascii="宋体" w:hAnsi="宋体" w:cs="Arial"/>
                <w:szCs w:val="21"/>
              </w:rPr>
              <w:t>支持通过syslog和snmp两种方式将日志发送到第三方日志平台进行分析，Syslog方式支持通过Base</w:t>
            </w:r>
            <w:r>
              <w:rPr>
                <w:rFonts w:ascii="宋体" w:hAnsi="宋体" w:cs="Arial"/>
                <w:szCs w:val="21"/>
              </w:rPr>
              <w:t>64编码进行发送</w:t>
            </w:r>
            <w:r>
              <w:rPr>
                <w:rFonts w:hint="eastAsia" w:ascii="宋体" w:hAnsi="宋体" w:cs="Arial"/>
                <w:szCs w:val="21"/>
              </w:rPr>
              <w:t>，包含服务器漏洞、 爬虫防护、防篡改、智能补丁、防盗链、Cookie安全、IP信誉控制、Web访问日志、会话追踪、慢速攻击、XML攻击等类型日志，应支持按类别设置是否发送（能够筛选只发送部分的日志）。因Web访问日志量较大，应支持设置Web访问日志量只发送到第三方日志平台，不保存在设备本地存储，</w:t>
            </w:r>
            <w:r>
              <w:rPr>
                <w:rFonts w:hint="eastAsia" w:ascii="宋体" w:hAnsi="宋体"/>
                <w:szCs w:val="21"/>
              </w:rPr>
              <w:t>（</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Base64编码攻击防护</w:t>
            </w:r>
          </w:p>
        </w:tc>
        <w:tc>
          <w:tcPr>
            <w:tcW w:w="6085" w:type="dxa"/>
          </w:tcPr>
          <w:p>
            <w:pPr>
              <w:jc w:val="left"/>
              <w:rPr>
                <w:rFonts w:ascii="宋体" w:hAnsi="宋体" w:cs="Arial"/>
                <w:szCs w:val="21"/>
              </w:rPr>
            </w:pPr>
            <w:r>
              <w:rPr>
                <w:rFonts w:hint="eastAsia" w:ascii="宋体" w:hAnsi="宋体" w:cs="Arial"/>
                <w:szCs w:val="21"/>
              </w:rPr>
              <w:t>为防止web攻击手段采用base</w:t>
            </w:r>
            <w:r>
              <w:rPr>
                <w:rFonts w:ascii="宋体" w:hAnsi="宋体" w:cs="Arial"/>
                <w:szCs w:val="21"/>
              </w:rPr>
              <w:t>64编码混淆真实攻击意图</w:t>
            </w:r>
            <w:r>
              <w:rPr>
                <w:rFonts w:hint="eastAsia" w:ascii="宋体" w:hAnsi="宋体" w:cs="Arial"/>
                <w:szCs w:val="21"/>
              </w:rPr>
              <w:t xml:space="preserve">，WAF应支持 Base64编码攻击防护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restart"/>
            <w:vAlign w:val="center"/>
          </w:tcPr>
          <w:p>
            <w:pPr>
              <w:jc w:val="center"/>
              <w:rPr>
                <w:rFonts w:ascii="宋体" w:hAnsi="宋体" w:cs="Arial"/>
                <w:szCs w:val="21"/>
              </w:rPr>
            </w:pPr>
            <w:r>
              <w:rPr>
                <w:rFonts w:hint="eastAsia" w:ascii="宋体" w:hAnsi="宋体" w:cs="Arial"/>
                <w:szCs w:val="21"/>
              </w:rPr>
              <w:t>HTTPS支持</w:t>
            </w:r>
          </w:p>
        </w:tc>
        <w:tc>
          <w:tcPr>
            <w:tcW w:w="6085" w:type="dxa"/>
          </w:tcPr>
          <w:p>
            <w:pPr>
              <w:jc w:val="left"/>
              <w:rPr>
                <w:rFonts w:ascii="宋体" w:hAnsi="宋体" w:cs="Arial"/>
                <w:szCs w:val="21"/>
              </w:rPr>
            </w:pPr>
            <w:r>
              <w:rPr>
                <w:rFonts w:hint="eastAsia" w:ascii="宋体" w:hAnsi="宋体" w:cs="Arial"/>
                <w:szCs w:val="21"/>
              </w:rPr>
              <w:t>支持HTTPS国密算法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tcPr>
          <w:p>
            <w:pPr>
              <w:jc w:val="left"/>
              <w:rPr>
                <w:rFonts w:ascii="宋体" w:hAnsi="宋体" w:cs="Arial"/>
                <w:szCs w:val="21"/>
              </w:rPr>
            </w:pPr>
            <w:r>
              <w:rPr>
                <w:rFonts w:hint="eastAsia" w:ascii="宋体" w:hAnsi="宋体" w:cs="Arial"/>
                <w:szCs w:val="21"/>
              </w:rPr>
              <w:t>支持镜像监听模式下HTTPS流量的解析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tcPr>
          <w:p>
            <w:pPr>
              <w:jc w:val="left"/>
              <w:rPr>
                <w:rFonts w:ascii="宋体" w:hAnsi="宋体" w:cs="Arial"/>
                <w:szCs w:val="21"/>
              </w:rPr>
            </w:pPr>
            <w:r>
              <w:rPr>
                <w:rFonts w:hint="eastAsia" w:ascii="宋体" w:hAnsi="宋体" w:cs="Arial"/>
                <w:szCs w:val="21"/>
              </w:rPr>
              <w:t>HTTPS支持配置HSTS功能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网页压缩</w:t>
            </w:r>
          </w:p>
        </w:tc>
        <w:tc>
          <w:tcPr>
            <w:tcW w:w="6085" w:type="dxa"/>
          </w:tcPr>
          <w:p>
            <w:pPr>
              <w:jc w:val="left"/>
              <w:rPr>
                <w:rFonts w:ascii="宋体" w:hAnsi="宋体" w:cs="Arial"/>
                <w:szCs w:val="21"/>
              </w:rPr>
            </w:pPr>
            <w:r>
              <w:rPr>
                <w:rFonts w:hint="eastAsia" w:ascii="宋体" w:hAnsi="宋体" w:cs="Arial"/>
                <w:szCs w:val="21"/>
              </w:rPr>
              <w:t>支持gzip网页压缩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国内web框架及组件</w:t>
            </w:r>
          </w:p>
        </w:tc>
        <w:tc>
          <w:tcPr>
            <w:tcW w:w="6085" w:type="dxa"/>
          </w:tcPr>
          <w:p>
            <w:pPr>
              <w:jc w:val="left"/>
              <w:rPr>
                <w:rFonts w:ascii="宋体" w:hAnsi="宋体" w:cs="Arial"/>
                <w:szCs w:val="21"/>
              </w:rPr>
            </w:pPr>
            <w:r>
              <w:rPr>
                <w:rFonts w:hint="eastAsia" w:ascii="宋体" w:hAnsi="宋体" w:cs="Arial"/>
                <w:szCs w:val="21"/>
              </w:rPr>
              <w:t>支持国内广泛使用的本土化自产web框架及组件，如：织梦dedecms、ECShop等系统及其衍生模版的漏洞，应具备防护规则库。</w:t>
            </w:r>
            <w:r>
              <w:rPr>
                <w:rFonts w:hint="eastAsia" w:ascii="宋体" w:hAnsi="宋体"/>
                <w:szCs w:val="21"/>
              </w:rPr>
              <w:t>（</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ascii="宋体" w:hAnsi="宋体" w:cs="Arial"/>
                <w:szCs w:val="21"/>
              </w:rPr>
              <w:t>GEOIP</w:t>
            </w:r>
          </w:p>
        </w:tc>
        <w:tc>
          <w:tcPr>
            <w:tcW w:w="6085" w:type="dxa"/>
          </w:tcPr>
          <w:p>
            <w:pPr>
              <w:widowControl/>
              <w:spacing w:line="360" w:lineRule="exact"/>
              <w:jc w:val="left"/>
              <w:textAlignment w:val="center"/>
              <w:rPr>
                <w:rFonts w:ascii="宋体" w:hAnsi="宋体" w:cs="Arial"/>
                <w:szCs w:val="21"/>
              </w:rPr>
            </w:pPr>
            <w:r>
              <w:rPr>
                <w:rFonts w:hint="eastAsia" w:ascii="宋体" w:hAnsi="宋体" w:cs="Arial"/>
                <w:szCs w:val="21"/>
              </w:rPr>
              <w:t xml:space="preserve">可根据已知自身业务地理分布的客户，对特定区域访问进行控制，有效拦截地域性的攻击；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ascii="宋体" w:hAnsi="宋体" w:cs="Arial"/>
                <w:szCs w:val="21"/>
              </w:rPr>
              <w:t>误报处置</w:t>
            </w:r>
          </w:p>
        </w:tc>
        <w:tc>
          <w:tcPr>
            <w:tcW w:w="6085" w:type="dxa"/>
          </w:tcPr>
          <w:p>
            <w:pPr>
              <w:widowControl/>
              <w:spacing w:line="360" w:lineRule="exact"/>
              <w:jc w:val="left"/>
              <w:textAlignment w:val="center"/>
              <w:rPr>
                <w:rFonts w:ascii="宋体" w:hAnsi="宋体" w:cs="Arial"/>
                <w:szCs w:val="21"/>
              </w:rPr>
            </w:pPr>
            <w:r>
              <w:rPr>
                <w:rFonts w:hint="eastAsia" w:ascii="宋体" w:hAnsi="宋体" w:cs="Arial"/>
                <w:szCs w:val="21"/>
              </w:rPr>
              <w:t>▲支持误报分析功能，可通过自动、手动方式对周期内的日志进行分析，并且根据分析结果进行自动策略调整，提升检测精度，减少告警噪音。</w:t>
            </w:r>
            <w:r>
              <w:rPr>
                <w:rFonts w:hint="eastAsia" w:ascii="宋体" w:hAnsi="宋体"/>
                <w:szCs w:val="21"/>
              </w:rPr>
              <w:t>（</w:t>
            </w:r>
            <w:r>
              <w:rPr>
                <w:rFonts w:hint="eastAsia" w:ascii="宋体" w:hAnsi="宋体" w:cs="宋体"/>
                <w:color w:val="000000"/>
                <w:kern w:val="0"/>
                <w:sz w:val="20"/>
                <w:szCs w:val="20"/>
              </w:rPr>
              <w:t>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ascii="宋体" w:hAnsi="宋体" w:cs="Arial"/>
                <w:szCs w:val="21"/>
              </w:rPr>
              <w:t>升级管理</w:t>
            </w:r>
          </w:p>
        </w:tc>
        <w:tc>
          <w:tcPr>
            <w:tcW w:w="6085" w:type="dxa"/>
          </w:tcPr>
          <w:p>
            <w:pPr>
              <w:widowControl/>
              <w:spacing w:line="360" w:lineRule="exact"/>
              <w:jc w:val="left"/>
              <w:textAlignment w:val="center"/>
              <w:rPr>
                <w:rFonts w:ascii="宋体" w:hAnsi="宋体" w:cs="Arial"/>
                <w:szCs w:val="21"/>
              </w:rPr>
            </w:pPr>
            <w:r>
              <w:rPr>
                <w:rFonts w:hint="eastAsia" w:ascii="宋体" w:hAnsi="宋体" w:cs="Arial"/>
                <w:szCs w:val="21"/>
              </w:rPr>
              <w:t>系统应提供多种升级方式，至少提供自动在线升级、离线升级两种方式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restart"/>
            <w:vAlign w:val="center"/>
          </w:tcPr>
          <w:p>
            <w:pPr>
              <w:jc w:val="center"/>
              <w:rPr>
                <w:rFonts w:ascii="宋体" w:hAnsi="宋体" w:cs="Arial"/>
                <w:szCs w:val="21"/>
              </w:rPr>
            </w:pPr>
            <w:r>
              <w:rPr>
                <w:rFonts w:hint="eastAsia" w:ascii="宋体" w:hAnsi="宋体" w:cs="Arial"/>
                <w:szCs w:val="21"/>
              </w:rPr>
              <w:t>IP信誉</w:t>
            </w:r>
          </w:p>
        </w:tc>
        <w:tc>
          <w:tcPr>
            <w:tcW w:w="6085" w:type="dxa"/>
          </w:tcPr>
          <w:p>
            <w:pPr>
              <w:widowControl/>
              <w:spacing w:line="360" w:lineRule="exact"/>
              <w:jc w:val="left"/>
              <w:textAlignment w:val="center"/>
              <w:rPr>
                <w:rFonts w:ascii="宋体" w:hAnsi="宋体" w:cs="Arial"/>
                <w:szCs w:val="21"/>
              </w:rPr>
            </w:pPr>
            <w:r>
              <w:rPr>
                <w:rFonts w:hint="eastAsia" w:ascii="宋体" w:hAnsi="宋体" w:cs="Arial"/>
                <w:szCs w:val="21"/>
              </w:rPr>
              <w:t xml:space="preserve">利用威胁情报建立IP风险画像，提供6类信誉数据DDos攻击、安全漏洞、垃圾邮件、Web攻击、扫描源、Botnet客户端；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tcPr>
          <w:p>
            <w:pPr>
              <w:widowControl/>
              <w:spacing w:line="360" w:lineRule="exact"/>
              <w:jc w:val="left"/>
              <w:textAlignment w:val="center"/>
              <w:rPr>
                <w:rFonts w:ascii="宋体" w:hAnsi="宋体" w:cs="Arial"/>
                <w:szCs w:val="21"/>
              </w:rPr>
            </w:pPr>
            <w:r>
              <w:rPr>
                <w:rFonts w:hint="eastAsia" w:ascii="宋体" w:hAnsi="宋体" w:cs="Arial"/>
                <w:szCs w:val="21"/>
              </w:rPr>
              <w:t>▲所使用的信誉库的及时性以及准确率，要求所使用的情报在</w:t>
            </w:r>
            <w:r>
              <w:rPr>
                <w:rFonts w:ascii="宋体" w:hAnsi="宋体" w:cs="Arial"/>
                <w:szCs w:val="21"/>
              </w:rPr>
              <w:t>IDC</w:t>
            </w:r>
            <w:r>
              <w:rPr>
                <w:rFonts w:hint="eastAsia" w:ascii="宋体" w:hAnsi="宋体" w:cs="Arial"/>
                <w:szCs w:val="21"/>
              </w:rPr>
              <w:t>的安全分析、情报、响应和编排市场占有率排名内为前六。（提供第三方报告证明）。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Merge w:val="continue"/>
            <w:vAlign w:val="center"/>
          </w:tcPr>
          <w:p>
            <w:pPr>
              <w:jc w:val="center"/>
              <w:rPr>
                <w:rFonts w:ascii="宋体" w:hAnsi="宋体" w:cs="Arial"/>
                <w:szCs w:val="21"/>
              </w:rPr>
            </w:pPr>
          </w:p>
        </w:tc>
        <w:tc>
          <w:tcPr>
            <w:tcW w:w="6085" w:type="dxa"/>
          </w:tcPr>
          <w:p>
            <w:pPr>
              <w:widowControl/>
              <w:spacing w:line="360" w:lineRule="exact"/>
              <w:jc w:val="left"/>
              <w:textAlignment w:val="center"/>
              <w:rPr>
                <w:rFonts w:ascii="宋体" w:hAnsi="宋体" w:cs="Arial"/>
                <w:szCs w:val="21"/>
              </w:rPr>
            </w:pPr>
            <w:r>
              <w:rPr>
                <w:rFonts w:hint="eastAsia" w:ascii="宋体" w:hAnsi="宋体" w:cs="Arial"/>
                <w:szCs w:val="21"/>
              </w:rPr>
              <w:t>厂商应建立自身的恶意网站信息库，并与非盈利组织(威胁软件阻止stopbadware协会、信息安全产业RSA协会或中国区域科学协会RSAC）进行信息交换，确保恶意网站信息库的准确性。（提供信息交换证明）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widowControl/>
              <w:numPr>
                <w:ilvl w:val="0"/>
                <w:numId w:val="2"/>
              </w:numPr>
              <w:ind w:left="0" w:firstLine="0"/>
              <w:jc w:val="center"/>
              <w:rPr>
                <w:rFonts w:ascii="宋体" w:hAnsi="宋体"/>
                <w:kern w:val="0"/>
                <w:szCs w:val="21"/>
              </w:rPr>
            </w:pPr>
          </w:p>
        </w:tc>
        <w:tc>
          <w:tcPr>
            <w:tcW w:w="1929" w:type="dxa"/>
            <w:vAlign w:val="center"/>
          </w:tcPr>
          <w:p>
            <w:pPr>
              <w:jc w:val="center"/>
              <w:rPr>
                <w:rFonts w:ascii="宋体" w:hAnsi="宋体" w:cs="Arial"/>
                <w:szCs w:val="21"/>
              </w:rPr>
            </w:pPr>
            <w:r>
              <w:rPr>
                <w:rFonts w:hint="eastAsia" w:ascii="宋体" w:hAnsi="宋体" w:cs="Arial"/>
                <w:szCs w:val="21"/>
              </w:rPr>
              <w:t>流量清洗</w:t>
            </w:r>
          </w:p>
        </w:tc>
        <w:tc>
          <w:tcPr>
            <w:tcW w:w="6085" w:type="dxa"/>
          </w:tcPr>
          <w:p>
            <w:pPr>
              <w:jc w:val="left"/>
              <w:rPr>
                <w:rFonts w:ascii="宋体" w:hAnsi="宋体" w:cs="Arial"/>
                <w:szCs w:val="21"/>
              </w:rPr>
            </w:pPr>
            <w:r>
              <w:rPr>
                <w:rFonts w:hint="eastAsia" w:ascii="宋体" w:hAnsi="宋体" w:cs="Arial"/>
                <w:szCs w:val="21"/>
              </w:rPr>
              <w:t>提供本地清洗服务，能够对用户侧流量型及精细型DDOS攻击进行防护，防护能力应具备如下要求：</w:t>
            </w:r>
          </w:p>
          <w:p>
            <w:pPr>
              <w:jc w:val="left"/>
              <w:rPr>
                <w:rFonts w:ascii="宋体" w:hAnsi="宋体" w:cs="Arial"/>
                <w:szCs w:val="21"/>
              </w:rPr>
            </w:pPr>
            <w:r>
              <w:rPr>
                <w:rFonts w:hint="eastAsia" w:ascii="宋体" w:hAnsi="宋体" w:cs="Arial"/>
                <w:szCs w:val="21"/>
              </w:rPr>
              <w:t>支持TCP Flood防护，提供配置界面截图证明</w:t>
            </w:r>
          </w:p>
          <w:p>
            <w:pPr>
              <w:jc w:val="left"/>
              <w:rPr>
                <w:rFonts w:ascii="宋体" w:hAnsi="宋体" w:cs="Arial"/>
                <w:szCs w:val="21"/>
              </w:rPr>
            </w:pPr>
            <w:r>
              <w:rPr>
                <w:rFonts w:hint="eastAsia" w:ascii="宋体" w:hAnsi="宋体" w:cs="Arial"/>
                <w:szCs w:val="21"/>
              </w:rPr>
              <w:t>支持HTTP Flood防护，检测算法支持</w:t>
            </w:r>
            <w:r>
              <w:rPr>
                <w:rFonts w:ascii="宋体" w:hAnsi="宋体" w:cs="Arial"/>
                <w:szCs w:val="21"/>
              </w:rPr>
              <w:t>4</w:t>
            </w:r>
            <w:r>
              <w:rPr>
                <w:rFonts w:hint="eastAsia" w:ascii="宋体" w:hAnsi="宋体" w:cs="Arial"/>
                <w:szCs w:val="21"/>
              </w:rPr>
              <w:t>种，包括：http cookies、url cookies、ascii-image、bmp-image</w:t>
            </w:r>
            <w:r>
              <w:rPr>
                <w:rFonts w:ascii="宋体" w:hAnsi="宋体" w:cs="Arial"/>
                <w:szCs w:val="21"/>
              </w:rPr>
              <w:t xml:space="preserve"> </w:t>
            </w:r>
          </w:p>
          <w:p>
            <w:pPr>
              <w:jc w:val="left"/>
              <w:rPr>
                <w:rFonts w:ascii="宋体" w:hAnsi="宋体" w:cs="Arial"/>
                <w:szCs w:val="21"/>
              </w:rPr>
            </w:pPr>
            <w:r>
              <w:rPr>
                <w:rFonts w:hint="eastAsia" w:ascii="宋体" w:hAnsi="宋体" w:cs="Arial"/>
                <w:szCs w:val="21"/>
              </w:rPr>
              <w:t>支持对慢速攻击的防护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ind w:left="0" w:firstLine="0"/>
              <w:jc w:val="center"/>
              <w:rPr>
                <w:rFonts w:ascii="宋体" w:hAnsi="宋体"/>
                <w:kern w:val="0"/>
                <w:szCs w:val="21"/>
              </w:rPr>
            </w:pPr>
          </w:p>
        </w:tc>
        <w:tc>
          <w:tcPr>
            <w:tcW w:w="1929" w:type="dxa"/>
            <w:vMerge w:val="restart"/>
            <w:tcBorders>
              <w:top w:val="single" w:color="auto" w:sz="4" w:space="0"/>
              <w:left w:val="single" w:color="auto" w:sz="4" w:space="0"/>
              <w:right w:val="single" w:color="auto" w:sz="4" w:space="0"/>
            </w:tcBorders>
            <w:vAlign w:val="center"/>
          </w:tcPr>
          <w:p>
            <w:pPr>
              <w:jc w:val="center"/>
              <w:rPr>
                <w:rFonts w:ascii="宋体" w:hAnsi="宋体" w:cs="Arial"/>
                <w:szCs w:val="21"/>
              </w:rPr>
            </w:pPr>
            <w:r>
              <w:rPr>
                <w:rFonts w:hint="eastAsia" w:ascii="宋体" w:hAnsi="宋体" w:cs="Arial"/>
                <w:szCs w:val="21"/>
              </w:rPr>
              <w:t>产品资质</w:t>
            </w:r>
          </w:p>
        </w:tc>
        <w:tc>
          <w:tcPr>
            <w:tcW w:w="608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textAlignment w:val="center"/>
              <w:rPr>
                <w:rFonts w:ascii="宋体" w:hAnsi="宋体" w:cs="Arial"/>
                <w:szCs w:val="21"/>
              </w:rPr>
            </w:pPr>
            <w:r>
              <w:rPr>
                <w:rFonts w:hint="eastAsia" w:ascii="宋体" w:hAnsi="宋体" w:cs="Arial"/>
                <w:szCs w:val="21"/>
              </w:rPr>
              <w:t>产品取得《中国国家信息安全产品认证证书》或网络关键设备和网络安全专用产品安全认证/中国国家信息安全产品认证证书。（提供证书扫描件证明）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ind w:left="0" w:firstLine="0"/>
              <w:jc w:val="center"/>
              <w:rPr>
                <w:rFonts w:ascii="宋体" w:hAnsi="宋体"/>
                <w:kern w:val="0"/>
                <w:szCs w:val="21"/>
              </w:rPr>
            </w:pPr>
          </w:p>
        </w:tc>
        <w:tc>
          <w:tcPr>
            <w:tcW w:w="1929" w:type="dxa"/>
            <w:vMerge w:val="continue"/>
            <w:tcBorders>
              <w:left w:val="single" w:color="auto" w:sz="4" w:space="0"/>
              <w:right w:val="single" w:color="auto" w:sz="4" w:space="0"/>
            </w:tcBorders>
            <w:vAlign w:val="center"/>
          </w:tcPr>
          <w:p>
            <w:pPr>
              <w:jc w:val="center"/>
              <w:rPr>
                <w:rFonts w:ascii="宋体" w:hAnsi="宋体" w:cs="Arial"/>
                <w:szCs w:val="21"/>
              </w:rPr>
            </w:pPr>
          </w:p>
        </w:tc>
        <w:tc>
          <w:tcPr>
            <w:tcW w:w="608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textAlignment w:val="center"/>
              <w:rPr>
                <w:rFonts w:ascii="宋体" w:hAnsi="宋体" w:cs="Arial"/>
                <w:szCs w:val="21"/>
              </w:rPr>
            </w:pPr>
            <w:r>
              <w:rPr>
                <w:rFonts w:hint="eastAsia" w:ascii="宋体" w:hAnsi="宋体" w:cs="Arial"/>
                <w:szCs w:val="21"/>
              </w:rPr>
              <w:t>《国家信息安全测评信息技术产品安全测评证书》，并获得EAL3级别以上。（提供证书扫描件证明）</w:t>
            </w:r>
          </w:p>
        </w:tc>
      </w:tr>
    </w:tbl>
    <w:p>
      <w:pPr>
        <w:rPr>
          <w:rFonts w:ascii="宋体" w:hAnsi="宋体"/>
        </w:rPr>
      </w:pPr>
    </w:p>
    <w:p>
      <w:pPr>
        <w:spacing w:line="360" w:lineRule="auto"/>
        <w:ind w:firstLine="420" w:firstLineChars="200"/>
        <w:rPr>
          <w:rFonts w:ascii="宋体" w:hAnsi="宋体"/>
          <w:szCs w:val="21"/>
        </w:rPr>
      </w:pPr>
    </w:p>
    <w:bookmarkEnd w:id="18"/>
    <w:p>
      <w:pPr>
        <w:pStyle w:val="9"/>
        <w:numPr>
          <w:ilvl w:val="0"/>
          <w:numId w:val="0"/>
        </w:numPr>
        <w:spacing w:before="156" w:after="156"/>
        <w:jc w:val="left"/>
        <w:outlineLvl w:val="2"/>
        <w:rPr>
          <w:sz w:val="24"/>
          <w:szCs w:val="24"/>
        </w:rPr>
      </w:pPr>
      <w:bookmarkStart w:id="19" w:name="_Toc164269616"/>
      <w:r>
        <w:rPr>
          <w:rFonts w:hint="eastAsia"/>
          <w:sz w:val="24"/>
          <w:szCs w:val="24"/>
        </w:rPr>
        <w:t>2</w:t>
      </w:r>
      <w:r>
        <w:rPr>
          <w:sz w:val="24"/>
          <w:szCs w:val="24"/>
        </w:rPr>
        <w:t xml:space="preserve">.3 </w:t>
      </w:r>
      <w:r>
        <w:rPr>
          <w:rFonts w:hint="eastAsia"/>
          <w:sz w:val="24"/>
          <w:szCs w:val="24"/>
        </w:rPr>
        <w:t>综合日志审计分析平台</w:t>
      </w:r>
      <w:bookmarkEnd w:id="19"/>
    </w:p>
    <w:p>
      <w:pPr>
        <w:spacing w:line="400" w:lineRule="exact"/>
        <w:ind w:firstLine="420" w:firstLineChars="200"/>
        <w:rPr>
          <w:rFonts w:ascii="宋体" w:hAnsi="宋体"/>
        </w:rPr>
      </w:pPr>
      <w:r>
        <w:rPr>
          <w:rFonts w:hint="eastAsia" w:ascii="宋体" w:hAnsi="宋体"/>
        </w:rPr>
        <w:t>综合日志审计分析平台是对日志数据的综合性管理平台，是网络安全解决方案中极其重要的组成部分，通过对各种日志数据的全面采集、解析和深度的关联分析，及时的全面感知各种安全威胁和异常行为事件；提供了事前可预警、事后可审计的这种安全管理能力，也符合相关法律法规对日志数据的留存审计要求。因此，需增加一台专门的综合日志审计分析平台设备，该设备参数要求如下。</w:t>
      </w:r>
    </w:p>
    <w:p>
      <w:pPr>
        <w:spacing w:line="400" w:lineRule="exact"/>
        <w:ind w:firstLine="420" w:firstLineChars="200"/>
        <w:rPr>
          <w:rFonts w:ascii="宋体" w:hAnsi="宋体"/>
        </w:rPr>
      </w:pPr>
      <w:r>
        <w:rPr>
          <w:rFonts w:hint="eastAsia" w:ascii="宋体" w:hAnsi="宋体"/>
        </w:rPr>
        <w:t xml:space="preserve">1、【软硬一体】                                   </w:t>
      </w:r>
    </w:p>
    <w:p>
      <w:pPr>
        <w:spacing w:line="400" w:lineRule="exact"/>
        <w:ind w:firstLine="420" w:firstLineChars="200"/>
        <w:rPr>
          <w:rFonts w:ascii="宋体" w:hAnsi="宋体"/>
        </w:rPr>
      </w:pPr>
      <w:r>
        <w:rPr>
          <w:rFonts w:hint="eastAsia" w:ascii="宋体" w:hAnsi="宋体"/>
        </w:rPr>
        <w:t xml:space="preserve">2、【性能说明】：日志处理能力≥25000EPS，1000个日志源;             </w:t>
      </w:r>
    </w:p>
    <w:p>
      <w:pPr>
        <w:spacing w:line="400" w:lineRule="exact"/>
        <w:ind w:firstLine="420" w:firstLineChars="200"/>
        <w:rPr>
          <w:rFonts w:ascii="宋体" w:hAnsi="宋体"/>
        </w:rPr>
      </w:pPr>
      <w:r>
        <w:rPr>
          <w:rFonts w:hint="eastAsia" w:ascii="宋体" w:hAnsi="宋体"/>
        </w:rPr>
        <w:t>3、【硬件规格】：标准2U硬件,</w:t>
      </w:r>
    </w:p>
    <w:p>
      <w:pPr>
        <w:spacing w:line="400" w:lineRule="exact"/>
        <w:ind w:firstLine="420" w:firstLineChars="200"/>
        <w:rPr>
          <w:rFonts w:ascii="宋体" w:hAnsi="宋体"/>
        </w:rPr>
      </w:pPr>
      <w:r>
        <w:rPr>
          <w:rFonts w:hint="eastAsia" w:ascii="宋体" w:hAnsi="宋体"/>
        </w:rPr>
        <w:t>电源：双电源；</w:t>
      </w:r>
    </w:p>
    <w:p>
      <w:pPr>
        <w:spacing w:line="400" w:lineRule="exact"/>
        <w:ind w:firstLine="420" w:firstLineChars="200"/>
        <w:rPr>
          <w:rFonts w:ascii="宋体" w:hAnsi="宋体"/>
        </w:rPr>
      </w:pPr>
      <w:r>
        <w:rPr>
          <w:rFonts w:hint="eastAsia" w:ascii="宋体" w:hAnsi="宋体"/>
        </w:rPr>
        <w:t>网口：千兆电口≥</w:t>
      </w:r>
      <w:r>
        <w:rPr>
          <w:rFonts w:ascii="宋体" w:hAnsi="宋体"/>
        </w:rPr>
        <w:t>5</w:t>
      </w:r>
      <w:r>
        <w:rPr>
          <w:rFonts w:hint="eastAsia" w:ascii="宋体" w:hAnsi="宋体"/>
        </w:rPr>
        <w:t>（包含管理口*1，业务口*4），万兆光口≥2；</w:t>
      </w:r>
    </w:p>
    <w:p>
      <w:pPr>
        <w:spacing w:line="400" w:lineRule="exact"/>
        <w:ind w:firstLine="420" w:firstLineChars="200"/>
        <w:rPr>
          <w:rFonts w:ascii="宋体" w:hAnsi="宋体"/>
        </w:rPr>
      </w:pPr>
      <w:r>
        <w:rPr>
          <w:rFonts w:hint="eastAsia" w:ascii="宋体" w:hAnsi="宋体"/>
        </w:rPr>
        <w:t>芯片</w:t>
      </w:r>
      <w:r>
        <w:rPr>
          <w:rFonts w:ascii="宋体" w:hAnsi="宋体"/>
        </w:rPr>
        <w:t>+操作系统：</w:t>
      </w:r>
      <w:r>
        <w:rPr>
          <w:rFonts w:hint="eastAsia" w:ascii="宋体" w:hAnsi="宋体"/>
        </w:rPr>
        <w:t>相当于或优于</w:t>
      </w:r>
      <w:r>
        <w:rPr>
          <w:rFonts w:ascii="宋体" w:hAnsi="宋体"/>
        </w:rPr>
        <w:t>鲲鹏920+统信UOS</w:t>
      </w:r>
    </w:p>
    <w:p>
      <w:pPr>
        <w:spacing w:line="400" w:lineRule="exact"/>
        <w:ind w:firstLine="420" w:firstLineChars="200"/>
        <w:rPr>
          <w:rFonts w:ascii="宋体" w:hAnsi="宋体"/>
        </w:rPr>
      </w:pPr>
      <w:r>
        <w:rPr>
          <w:rFonts w:hint="eastAsia" w:ascii="宋体" w:hAnsi="宋体"/>
        </w:rPr>
        <w:t>内存≥</w:t>
      </w:r>
      <w:r>
        <w:rPr>
          <w:rFonts w:ascii="宋体" w:hAnsi="宋体"/>
        </w:rPr>
        <w:t>512</w:t>
      </w:r>
      <w:r>
        <w:rPr>
          <w:rFonts w:hint="eastAsia" w:ascii="宋体" w:hAnsi="宋体"/>
        </w:rPr>
        <w:t>G；</w:t>
      </w:r>
    </w:p>
    <w:p>
      <w:pPr>
        <w:spacing w:line="400" w:lineRule="exact"/>
        <w:ind w:firstLine="420" w:firstLineChars="200"/>
        <w:rPr>
          <w:rFonts w:ascii="宋体" w:hAnsi="宋体"/>
        </w:rPr>
      </w:pPr>
      <w:r>
        <w:rPr>
          <w:rFonts w:hint="eastAsia" w:ascii="宋体" w:hAnsi="宋体"/>
        </w:rPr>
        <w:t>硬盘≥6T*</w:t>
      </w:r>
      <w:r>
        <w:rPr>
          <w:rFonts w:ascii="宋体" w:hAnsi="宋体"/>
        </w:rPr>
        <w:t>12</w:t>
      </w:r>
      <w:r>
        <w:rPr>
          <w:rFonts w:hint="eastAsia" w:ascii="宋体" w:hAnsi="宋体"/>
        </w:rPr>
        <w:t>；</w:t>
      </w:r>
    </w:p>
    <w:p>
      <w:pPr>
        <w:spacing w:line="400" w:lineRule="exact"/>
        <w:ind w:firstLine="420" w:firstLineChars="200"/>
        <w:rPr>
          <w:rFonts w:ascii="宋体" w:hAnsi="宋体"/>
        </w:rPr>
      </w:pPr>
      <w:r>
        <w:rPr>
          <w:rFonts w:hint="eastAsia" w:ascii="宋体" w:hAnsi="宋体"/>
        </w:rPr>
        <w:t>主要功能包括：日志收集、日志分析、日志查询、日志备份等功能；日志收集包括支持Syslog、SNMP Trap、HTTP、ODBC/JDBC、WMI、FTP、SFTP协议日志收集，支持目前主流的网络安全设备、交换设备、路由设备、操作系统、应用系统等。</w:t>
      </w:r>
    </w:p>
    <w:p>
      <w:pPr>
        <w:spacing w:line="400" w:lineRule="exact"/>
        <w:ind w:firstLine="420" w:firstLineChars="200"/>
        <w:rPr>
          <w:rFonts w:ascii="宋体" w:hAnsi="宋体"/>
        </w:rPr>
      </w:pPr>
      <w:r>
        <w:rPr>
          <w:rFonts w:hint="eastAsia"/>
        </w:rPr>
        <w:t>提供相当于或优于</w:t>
      </w:r>
      <w:r>
        <w:rPr>
          <w:rFonts w:hint="eastAsia" w:ascii="宋体" w:hAnsi="宋体"/>
        </w:rPr>
        <w:t>原厂三年维保服务</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技术指标参数见表：</w:t>
      </w:r>
    </w:p>
    <w:p>
      <w:pPr>
        <w:spacing w:line="400" w:lineRule="exact"/>
        <w:ind w:firstLine="420" w:firstLineChars="200"/>
        <w:rPr>
          <w:rFonts w:ascii="宋体" w:hAnsi="宋体"/>
        </w:rPr>
      </w:pPr>
    </w:p>
    <w:tbl>
      <w:tblPr>
        <w:tblStyle w:val="5"/>
        <w:tblW w:w="8359" w:type="dxa"/>
        <w:tblInd w:w="0" w:type="dxa"/>
        <w:tblLayout w:type="autofit"/>
        <w:tblCellMar>
          <w:top w:w="0" w:type="dxa"/>
          <w:left w:w="108" w:type="dxa"/>
          <w:bottom w:w="0" w:type="dxa"/>
          <w:right w:w="108" w:type="dxa"/>
        </w:tblCellMar>
      </w:tblPr>
      <w:tblGrid>
        <w:gridCol w:w="972"/>
        <w:gridCol w:w="972"/>
        <w:gridCol w:w="6415"/>
      </w:tblGrid>
      <w:tr>
        <w:tblPrEx>
          <w:tblCellMar>
            <w:top w:w="0" w:type="dxa"/>
            <w:left w:w="108" w:type="dxa"/>
            <w:bottom w:w="0" w:type="dxa"/>
            <w:right w:w="108" w:type="dxa"/>
          </w:tblCellMar>
        </w:tblPrEx>
        <w:trPr>
          <w:trHeight w:val="348"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b/>
                <w:bCs/>
                <w:color w:val="000000"/>
                <w:kern w:val="0"/>
                <w:sz w:val="20"/>
                <w:szCs w:val="20"/>
              </w:rPr>
            </w:pPr>
            <w:bookmarkStart w:id="20" w:name="_Hlk164246989"/>
            <w:r>
              <w:rPr>
                <w:rFonts w:hint="eastAsia" w:ascii="宋体" w:hAnsi="宋体" w:cs="宋体"/>
                <w:b/>
                <w:bCs/>
                <w:color w:val="000000"/>
                <w:kern w:val="0"/>
                <w:sz w:val="20"/>
                <w:szCs w:val="20"/>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指标项</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技术参数</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性能要求</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Arial"/>
                <w:sz w:val="24"/>
                <w:szCs w:val="24"/>
                <w:highlight w:val="white"/>
              </w:rPr>
              <w:t>★</w:t>
            </w:r>
            <w:r>
              <w:rPr>
                <w:rFonts w:hint="eastAsia" w:ascii="宋体" w:hAnsi="宋体" w:cs="宋体"/>
                <w:color w:val="000000"/>
                <w:kern w:val="0"/>
                <w:sz w:val="20"/>
                <w:szCs w:val="20"/>
              </w:rPr>
              <w:t>授权资产数≥1000个；数据平均处理能力≥25000EPS；数据峰值处理能力≥40000EPS；</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硬件要求</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ascii="宋体" w:hAnsi="宋体" w:cs="Arial"/>
                <w:sz w:val="24"/>
                <w:szCs w:val="24"/>
                <w:highlight w:val="white"/>
              </w:rPr>
              <w:t>★</w:t>
            </w:r>
            <w:r>
              <w:rPr>
                <w:rFonts w:hint="eastAsia" w:ascii="宋体" w:hAnsi="宋体" w:cs="宋体"/>
                <w:color w:val="000000"/>
                <w:kern w:val="0"/>
                <w:sz w:val="20"/>
                <w:szCs w:val="20"/>
              </w:rPr>
              <w:t>标准2U硬件，国产自主可控芯片、自主可控操作系统，内存≥512G（32G*16），硬盘≥6T*12（raid5）， 电源≥双电源， 网口≥5个千兆电口（包含管理口*1，业务口*4） ≥2个万兆光口（含2个万兆SFP多模光模块）；</w:t>
            </w:r>
          </w:p>
        </w:tc>
      </w:tr>
      <w:tr>
        <w:tblPrEx>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72" w:type="dxa"/>
            <w:vMerge w:val="restart"/>
            <w:tcBorders>
              <w:top w:val="single" w:color="000000" w:sz="4" w:space="0"/>
              <w:left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功能扩展</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▲采用解决方案包上传对产品进行功能扩展，无需代码开发。 </w:t>
            </w:r>
            <w:r>
              <w:rPr>
                <w:rFonts w:hint="eastAsia" w:ascii="宋体" w:hAnsi="宋体"/>
                <w:szCs w:val="21"/>
              </w:rPr>
              <w:t>（</w:t>
            </w:r>
            <w:r>
              <w:rPr>
                <w:rFonts w:hint="eastAsia" w:ascii="宋体" w:hAnsi="宋体" w:cs="宋体"/>
                <w:color w:val="000000"/>
                <w:kern w:val="0"/>
                <w:sz w:val="20"/>
                <w:szCs w:val="20"/>
              </w:rPr>
              <w:t>提供功能截图证明）</w:t>
            </w:r>
          </w:p>
        </w:tc>
      </w:tr>
      <w:tr>
        <w:tblPrEx>
          <w:tblCellMar>
            <w:top w:w="0" w:type="dxa"/>
            <w:left w:w="108" w:type="dxa"/>
            <w:bottom w:w="0" w:type="dxa"/>
            <w:right w:w="108" w:type="dxa"/>
          </w:tblCellMar>
        </w:tblPrEx>
        <w:trPr>
          <w:trHeight w:val="480" w:hRule="atLeast"/>
        </w:trPr>
        <w:tc>
          <w:tcPr>
            <w:tcW w:w="972" w:type="dxa"/>
            <w:tcBorders>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p>
        </w:tc>
        <w:tc>
          <w:tcPr>
            <w:tcW w:w="972"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支持kafka日志接收转发、大数据安全域同步、APT沙箱报告转发等大数据联调功能。Kafka收发支持SSL加密。</w:t>
            </w:r>
          </w:p>
        </w:tc>
      </w:tr>
      <w:tr>
        <w:tblPrEx>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日志收集</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支持Syslog、SNMP Trap、HTTP、ODBC/JDBC、WMI、FTP、SFTP协议日志收集；支持阿里云SLS日志的采集。</w:t>
            </w:r>
          </w:p>
        </w:tc>
      </w:tr>
      <w:tr>
        <w:tblPrEx>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支持使用代理（Agent）方式提取日志并收集，安装包支持界面下载，且安装支持可视化向导。</w:t>
            </w:r>
          </w:p>
        </w:tc>
      </w:tr>
      <w:tr>
        <w:tblPrEx>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▲支持对Agent进行统一管控，包括卸载、升级、启动及停止操作，支持将日志收集策略统一分发 。</w:t>
            </w:r>
            <w:r>
              <w:rPr>
                <w:rFonts w:hint="eastAsia" w:ascii="宋体" w:hAnsi="宋体"/>
                <w:szCs w:val="21"/>
              </w:rPr>
              <w:t>（</w:t>
            </w:r>
            <w:r>
              <w:rPr>
                <w:rFonts w:hint="eastAsia" w:ascii="宋体" w:hAnsi="宋体" w:cs="宋体"/>
                <w:color w:val="000000"/>
                <w:kern w:val="0"/>
                <w:sz w:val="20"/>
                <w:szCs w:val="20"/>
              </w:rPr>
              <w:t>提供功能截图证明）</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支持目前主流的网络安全设备、交换设备、路由设备、操作系统、应用系统等。</w:t>
            </w:r>
          </w:p>
        </w:tc>
      </w:tr>
      <w:tr>
        <w:tblPrEx>
          <w:tblCellMar>
            <w:top w:w="0" w:type="dxa"/>
            <w:left w:w="108" w:type="dxa"/>
            <w:bottom w:w="0" w:type="dxa"/>
            <w:right w:w="108" w:type="dxa"/>
          </w:tblCellMar>
        </w:tblPrEx>
        <w:trPr>
          <w:trHeight w:val="2160"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的设备厂家包括但不限于：Cisco(思科)、Juniper、联想网御/网御神州、F5、华为、H3C、微软、绿盟、飞塔(Fortinet)、Foundry、天融信、启明星辰、天网、趋势、东软、Nokia、CheckPoint、Hillstone(山石)、安恒信息、珠海伟思、BEA、中国电信、安氏、帕拉迪、APC、Arbor、Clam、戴尔（Dell）、Digium、东方电子、EMC、中国电力科学研究院、Eudora、Google、冠群金辰、Linksys、McAFee、Netapp、永达、Sonicwall、Vigor、天存、Symantec（赛门铁克）、Hardened-PHP、Foundertech(方正)、三零盛安、Allot、蓝盾、IBM、金诺网安、网威、Nortel(北电)、Citrix(思杰)、Watchguard、中兴、阿帕奇、Windows系统日志、Linux/UNIX syslog、IIS、Apache等。</w:t>
            </w:r>
          </w:p>
        </w:tc>
      </w:tr>
      <w:tr>
        <w:tblPrEx>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日志分析</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▲支持解析规则性能以界面列表形式显示，可了解解析耗时、解析成功或失败次数等信息 </w:t>
            </w:r>
            <w:r>
              <w:rPr>
                <w:rFonts w:hint="eastAsia" w:ascii="宋体" w:hAnsi="宋体"/>
                <w:szCs w:val="21"/>
              </w:rPr>
              <w:t>（</w:t>
            </w:r>
            <w:r>
              <w:rPr>
                <w:rFonts w:hint="eastAsia" w:ascii="宋体" w:hAnsi="宋体" w:cs="宋体"/>
                <w:color w:val="000000"/>
                <w:kern w:val="0"/>
                <w:sz w:val="20"/>
                <w:szCs w:val="20"/>
              </w:rPr>
              <w:t>提供功能截图证明）</w:t>
            </w:r>
          </w:p>
        </w:tc>
      </w:tr>
      <w:tr>
        <w:tblPrEx>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0</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▲三维关联分析；支持通过资产、安全知识库、弱点库三个维度分析事件是否存在威胁，并形成关联事件（提供功能截图证明和第三方检测报</w:t>
            </w:r>
            <w:r>
              <w:rPr>
                <w:rFonts w:hint="eastAsia" w:ascii="宋体" w:hAnsi="宋体" w:cs="宋体"/>
                <w:kern w:val="0"/>
                <w:sz w:val="20"/>
                <w:szCs w:val="20"/>
              </w:rPr>
              <w:t>告）</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1</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0"/>
                <w:szCs w:val="20"/>
              </w:rPr>
            </w:pPr>
            <w:r>
              <w:rPr>
                <w:rFonts w:ascii="宋体" w:hAnsi="宋体" w:cs="宋体"/>
                <w:color w:val="000000"/>
                <w:kern w:val="0"/>
                <w:sz w:val="20"/>
                <w:szCs w:val="20"/>
              </w:rPr>
              <w:t>可以基于日志等级进行过滤</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2</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0"/>
                <w:szCs w:val="20"/>
              </w:rPr>
            </w:pPr>
            <w:r>
              <w:rPr>
                <w:rFonts w:ascii="宋体" w:hAnsi="宋体" w:cs="宋体"/>
                <w:color w:val="000000"/>
                <w:kern w:val="0"/>
                <w:sz w:val="20"/>
                <w:szCs w:val="20"/>
              </w:rPr>
              <w:t>可以通过自定义配置过滤掉用户不关心的日志。</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3</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0"/>
                <w:szCs w:val="20"/>
              </w:rPr>
            </w:pPr>
            <w:r>
              <w:rPr>
                <w:rFonts w:ascii="宋体" w:hAnsi="宋体" w:cs="宋体"/>
                <w:color w:val="000000"/>
                <w:kern w:val="0"/>
                <w:sz w:val="20"/>
                <w:szCs w:val="20"/>
              </w:rPr>
              <w:t>支持对收集到的重复日志进行自动聚合归并，减少日志量。</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4</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bottom"/>
          </w:tcPr>
          <w:p>
            <w:pPr>
              <w:pStyle w:val="7"/>
              <w:ind w:firstLine="380"/>
              <w:jc w:val="both"/>
              <w:rPr>
                <w:rFonts w:hint="default" w:ascii="宋体" w:hAnsi="宋体" w:cs="宋体"/>
                <w:color w:val="000000"/>
                <w:sz w:val="21"/>
              </w:rPr>
            </w:pPr>
            <w:r>
              <w:rPr>
                <w:rFonts w:ascii="宋体" w:hAnsi="宋体" w:cs="宋体"/>
                <w:color w:val="000000"/>
              </w:rPr>
              <w:t>具备安全评估模型，评估模型基于设备故障、认证登录、攻击威胁、可用性、系统脆弱性等纬度加权平均计算总体安全指数。安全评估模型可以显示总体评分、历史评分趋势。</w:t>
            </w:r>
            <w:r>
              <w:rPr>
                <w:b/>
                <w:bCs/>
                <w:color w:val="000000"/>
                <w:sz w:val="21"/>
              </w:rPr>
              <w:t>（提供功能演示）</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5</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0"/>
                <w:szCs w:val="20"/>
              </w:rPr>
            </w:pPr>
            <w:r>
              <w:rPr>
                <w:rFonts w:ascii="宋体" w:hAnsi="宋体" w:cs="宋体"/>
                <w:color w:val="000000"/>
                <w:kern w:val="0"/>
                <w:sz w:val="20"/>
                <w:szCs w:val="20"/>
              </w:rPr>
              <w:t>支持可由用户定义和修改的日志聚合归并逻辑规则</w:t>
            </w:r>
          </w:p>
        </w:tc>
      </w:tr>
      <w:tr>
        <w:tblPrEx>
          <w:tblCellMar>
            <w:top w:w="0" w:type="dxa"/>
            <w:left w:w="108" w:type="dxa"/>
            <w:bottom w:w="0" w:type="dxa"/>
            <w:right w:w="108" w:type="dxa"/>
          </w:tblCellMar>
        </w:tblPrEx>
        <w:trPr>
          <w:trHeight w:val="720"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应用性能监控</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▲通过在目标主机上安装Agent程序，支持监测目标主机的CPU利用率、内存使用率、磁</w:t>
            </w:r>
            <w:r>
              <w:rPr>
                <w:rFonts w:hint="eastAsia" w:ascii="宋体" w:hAnsi="宋体" w:cs="宋体"/>
                <w:kern w:val="0"/>
                <w:sz w:val="20"/>
                <w:szCs w:val="20"/>
              </w:rPr>
              <w:t>盘使用率、磁盘使用情况、流量等信息（提供功能截图证明和第三方检测报告）</w:t>
            </w:r>
            <w:r>
              <w:rPr>
                <w:rFonts w:hint="eastAsia" w:ascii="宋体" w:hAnsi="宋体" w:cs="宋体"/>
                <w:color w:val="000000"/>
                <w:kern w:val="0"/>
                <w:sz w:val="20"/>
                <w:szCs w:val="20"/>
              </w:rPr>
              <w:t xml:space="preserve"> </w:t>
            </w:r>
          </w:p>
        </w:tc>
      </w:tr>
      <w:tr>
        <w:tblPrEx>
          <w:tblCellMar>
            <w:top w:w="0" w:type="dxa"/>
            <w:left w:w="108" w:type="dxa"/>
            <w:bottom w:w="0" w:type="dxa"/>
            <w:right w:w="108" w:type="dxa"/>
          </w:tblCellMar>
        </w:tblPrEx>
        <w:trPr>
          <w:trHeight w:val="720"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7</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支持监控Windows操作系统以下参数：CPU使用率、内存使用率、磁盘使用率、网络发送流量、网络接收流量、网络发送接收总流量、交换区使用率、磁盘总使用率、进程数、线程数；</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8</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日志备份</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0"/>
                <w:szCs w:val="20"/>
              </w:rPr>
            </w:pPr>
            <w:r>
              <w:rPr>
                <w:rFonts w:ascii="宋体" w:hAnsi="宋体" w:cs="宋体"/>
                <w:color w:val="000000"/>
                <w:kern w:val="0"/>
                <w:sz w:val="20"/>
                <w:szCs w:val="20"/>
              </w:rPr>
              <w:t>可设置日志存储备份策略。包括系统日志保存期（天）、硬盘使用率百分比等策略。</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9</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0"/>
                <w:szCs w:val="20"/>
              </w:rPr>
            </w:pPr>
            <w:r>
              <w:rPr>
                <w:rFonts w:ascii="宋体" w:hAnsi="宋体" w:cs="宋体"/>
                <w:color w:val="000000"/>
                <w:kern w:val="0"/>
                <w:sz w:val="20"/>
                <w:szCs w:val="20"/>
              </w:rPr>
              <w:t>支持日志本地备份及恢复。</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0</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支持日志备份自动传送到远程服务器。</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1</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支持从远程仓库恢复数据。</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2</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支持FTP、SAMBA、NFS和FILE，4种方式的远程服务器。</w:t>
            </w:r>
          </w:p>
        </w:tc>
      </w:tr>
      <w:tr>
        <w:tblPrEx>
          <w:tblCellMar>
            <w:top w:w="0" w:type="dxa"/>
            <w:left w:w="108" w:type="dxa"/>
            <w:bottom w:w="0" w:type="dxa"/>
            <w:right w:w="108" w:type="dxa"/>
          </w:tblCellMar>
        </w:tblPrEx>
        <w:trPr>
          <w:trHeight w:val="720"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资产管理</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▲资产拓扑支持按照实际的用户环境进行编辑发布并可以和资产进行绑定，拓扑可以显示资产采集的事件数量被采集资产的状态等信息（提供功能截图证明和第三方检测报告</w:t>
            </w:r>
            <w:r>
              <w:rPr>
                <w:rFonts w:hint="eastAsia" w:ascii="宋体" w:hAnsi="宋体" w:cs="宋体"/>
                <w:kern w:val="0"/>
                <w:sz w:val="20"/>
                <w:szCs w:val="20"/>
              </w:rPr>
              <w:t>）</w:t>
            </w:r>
          </w:p>
        </w:tc>
      </w:tr>
      <w:tr>
        <w:tblPrEx>
          <w:tblCellMar>
            <w:top w:w="0" w:type="dxa"/>
            <w:left w:w="108" w:type="dxa"/>
            <w:bottom w:w="0" w:type="dxa"/>
            <w:right w:w="108"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4</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部署方式</w:t>
            </w: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支持分布式部署，支持页面一键添加子节点，自动进行绑定添加，采集器可以选择同步日志范围，按需转发数据</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5</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支持集中式管理和升级模式</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6</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支持分级管理模式</w:t>
            </w:r>
          </w:p>
        </w:tc>
      </w:tr>
      <w:tr>
        <w:tblPrEx>
          <w:tblCellMar>
            <w:top w:w="0" w:type="dxa"/>
            <w:left w:w="108" w:type="dxa"/>
            <w:bottom w:w="0" w:type="dxa"/>
            <w:right w:w="108" w:type="dxa"/>
          </w:tblCellMar>
        </w:tblPrEx>
        <w:trPr>
          <w:trHeight w:val="276" w:hRule="atLeast"/>
        </w:trPr>
        <w:tc>
          <w:tcPr>
            <w:tcW w:w="972" w:type="dxa"/>
            <w:tcBorders>
              <w:top w:val="single" w:color="000000" w:sz="4" w:space="0"/>
              <w:left w:val="single" w:color="000000" w:sz="4" w:space="0"/>
              <w:bottom w:val="single" w:color="000000" w:sz="4" w:space="0"/>
              <w:right w:val="single" w:color="000000" w:sz="4" w:space="0"/>
            </w:tcBorders>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7</w:t>
            </w:r>
          </w:p>
        </w:tc>
        <w:tc>
          <w:tcPr>
            <w:tcW w:w="9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6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采用B/S架构操作方式，无需客户端安装</w:t>
            </w:r>
          </w:p>
        </w:tc>
      </w:tr>
      <w:bookmarkEnd w:id="20"/>
    </w:tbl>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pStyle w:val="9"/>
        <w:numPr>
          <w:ilvl w:val="0"/>
          <w:numId w:val="0"/>
        </w:numPr>
        <w:spacing w:before="156" w:after="156"/>
        <w:jc w:val="left"/>
        <w:outlineLvl w:val="2"/>
        <w:rPr>
          <w:sz w:val="24"/>
          <w:szCs w:val="24"/>
        </w:rPr>
      </w:pPr>
      <w:bookmarkStart w:id="21" w:name="_Toc164269617"/>
      <w:r>
        <w:rPr>
          <w:sz w:val="24"/>
          <w:szCs w:val="24"/>
        </w:rPr>
        <w:t>2.4</w:t>
      </w:r>
      <w:r>
        <w:rPr>
          <w:rFonts w:hint="eastAsia"/>
          <w:sz w:val="24"/>
          <w:szCs w:val="24"/>
        </w:rPr>
        <w:t xml:space="preserve"> 备份系统扩容服务</w:t>
      </w:r>
      <w:bookmarkEnd w:id="21"/>
    </w:p>
    <w:p>
      <w:pPr>
        <w:spacing w:line="400" w:lineRule="exact"/>
        <w:ind w:firstLine="420" w:firstLineChars="200"/>
        <w:rPr>
          <w:rFonts w:ascii="宋体" w:hAnsi="宋体"/>
        </w:rPr>
      </w:pPr>
      <w:r>
        <w:rPr>
          <w:rFonts w:hint="eastAsia" w:ascii="宋体" w:hAnsi="宋体"/>
        </w:rPr>
        <w:t>随着广州大学信息化的推进，学校的</w:t>
      </w:r>
      <w:r>
        <w:rPr>
          <w:rFonts w:ascii="宋体" w:hAnsi="宋体"/>
        </w:rPr>
        <w:t>IT系统不断发展，对数据的安全保障也提出了更高的要求。因此，构建更完善的数据备份系统对保障数据安全至关重要。目前，广州大学使用的备份系统已平稳运行近两年，备份系统针对广州大学重要信息系统和需要等保测评的系统了本地备份和异动备份，备份系统包括linux和windows系统，备份内容包括信息系统的文件数据、数据库、中间件、日志等信息内容。随着广州大学建设软件系统的增加和产生的数据快速增长，备份系统的可用容量已逐渐减少至不足10T。因此，需要对已有的备份系统进行扩容，增加可用空间，</w:t>
      </w:r>
      <w:r>
        <w:rPr>
          <w:rFonts w:hint="eastAsia" w:ascii="宋体" w:hAnsi="宋体"/>
        </w:rPr>
        <w:t>同时需要开启重删功能，提高备份空间的利用率。因此需要备份系统扩容服务，该服务要求如下。</w:t>
      </w:r>
    </w:p>
    <w:p>
      <w:pPr>
        <w:spacing w:line="400" w:lineRule="exact"/>
        <w:rPr>
          <w:rFonts w:ascii="宋体" w:hAnsi="宋体"/>
        </w:rPr>
      </w:pPr>
      <w:r>
        <w:rPr>
          <w:rFonts w:hint="eastAsia" w:ascii="宋体" w:hAnsi="宋体"/>
        </w:rPr>
        <w:t>（</w:t>
      </w:r>
      <w:r>
        <w:rPr>
          <w:rFonts w:ascii="宋体" w:hAnsi="宋体"/>
        </w:rPr>
        <w:t>1）对已有爱数备份系统提供扩容授权服务，共增加</w:t>
      </w:r>
      <w:r>
        <w:rPr>
          <w:rFonts w:hint="eastAsia" w:ascii="宋体" w:hAnsi="宋体"/>
        </w:rPr>
        <w:t>7</w:t>
      </w:r>
      <w:r>
        <w:rPr>
          <w:rFonts w:ascii="宋体" w:hAnsi="宋体"/>
        </w:rPr>
        <w:t>5TB授权</w:t>
      </w:r>
      <w:r>
        <w:rPr>
          <w:rFonts w:hint="eastAsia" w:ascii="宋体" w:hAnsi="宋体"/>
        </w:rPr>
        <w:t>，其中大学城校区增加5</w:t>
      </w:r>
      <w:r>
        <w:rPr>
          <w:rFonts w:ascii="宋体" w:hAnsi="宋体"/>
        </w:rPr>
        <w:t>0TB</w:t>
      </w:r>
      <w:r>
        <w:rPr>
          <w:rFonts w:hint="eastAsia" w:ascii="宋体" w:hAnsi="宋体"/>
        </w:rPr>
        <w:t>授权</w:t>
      </w:r>
      <w:r>
        <w:rPr>
          <w:rFonts w:ascii="宋体" w:hAnsi="宋体"/>
        </w:rPr>
        <w:t>,</w:t>
      </w:r>
      <w:r>
        <w:rPr>
          <w:rFonts w:hint="eastAsia" w:ascii="宋体" w:hAnsi="宋体"/>
        </w:rPr>
        <w:t>桂花岗校区作为异地备份增加2</w:t>
      </w:r>
      <w:r>
        <w:rPr>
          <w:rFonts w:ascii="宋体" w:hAnsi="宋体"/>
        </w:rPr>
        <w:t>5</w:t>
      </w:r>
      <w:r>
        <w:rPr>
          <w:rFonts w:hint="eastAsia" w:ascii="宋体" w:hAnsi="宋体"/>
        </w:rPr>
        <w:t>TB授权。</w:t>
      </w:r>
    </w:p>
    <w:p>
      <w:pPr>
        <w:spacing w:line="400" w:lineRule="exact"/>
        <w:rPr>
          <w:rFonts w:ascii="宋体" w:hAnsi="宋体"/>
        </w:rPr>
      </w:pPr>
      <w:r>
        <w:rPr>
          <w:rFonts w:hint="eastAsia" w:ascii="宋体" w:hAnsi="宋体"/>
        </w:rPr>
        <w:t>（</w:t>
      </w:r>
      <w:r>
        <w:rPr>
          <w:rFonts w:ascii="宋体" w:hAnsi="宋体"/>
        </w:rPr>
        <w:t>2）增加重复数据删除代理授权，实现重复数据删除功能。多个备份任务可以共享同一个重删指纹池，也可以根据数据的不同单独设置专属重删指纹池，支持并行重复数据删除，解决存储空间压力问题。</w:t>
      </w:r>
    </w:p>
    <w:p>
      <w:pPr>
        <w:spacing w:line="400" w:lineRule="exact"/>
        <w:rPr>
          <w:rFonts w:ascii="宋体" w:hAnsi="宋体"/>
        </w:rPr>
      </w:pPr>
      <w:r>
        <w:rPr>
          <w:rFonts w:hint="eastAsia" w:ascii="宋体" w:hAnsi="宋体"/>
        </w:rPr>
        <w:t>以上两个授权均为永久使用授权。</w:t>
      </w:r>
    </w:p>
    <w:p>
      <w:pPr>
        <w:spacing w:line="400" w:lineRule="exact"/>
        <w:rPr>
          <w:rFonts w:ascii="宋体" w:hAnsi="宋体"/>
        </w:rPr>
      </w:pPr>
      <w:r>
        <w:rPr>
          <w:rFonts w:hint="eastAsia" w:ascii="宋体" w:hAnsi="宋体"/>
        </w:rPr>
        <w:t>（</w:t>
      </w:r>
      <w:r>
        <w:rPr>
          <w:rFonts w:ascii="宋体" w:hAnsi="宋体"/>
        </w:rPr>
        <w:t>3）完成项目交付的管理、业务场景的梳理和规划、产品的部署线及业务上线后的保障与支持。根据客户的实际需求进行灵活配置。</w:t>
      </w:r>
    </w:p>
    <w:p>
      <w:pPr>
        <w:rPr>
          <w:rFonts w:ascii="宋体" w:hAnsi="宋体"/>
        </w:rPr>
      </w:pPr>
      <w:r>
        <w:rPr>
          <w:rFonts w:hint="eastAsia" w:ascii="宋体" w:hAnsi="宋体"/>
        </w:rPr>
        <w:t>（</w:t>
      </w:r>
      <w:r>
        <w:rPr>
          <w:rFonts w:ascii="宋体" w:hAnsi="宋体"/>
        </w:rPr>
        <w:t>4）提供</w:t>
      </w:r>
      <w:r>
        <w:rPr>
          <w:rFonts w:hint="eastAsia"/>
        </w:rPr>
        <w:t>相当于或优于</w:t>
      </w:r>
      <w:r>
        <w:rPr>
          <w:rFonts w:ascii="宋体" w:hAnsi="宋体"/>
        </w:rPr>
        <w:t>原厂三年维保服务授权。</w:t>
      </w:r>
    </w:p>
    <w:p>
      <w:pPr>
        <w:ind w:firstLine="480"/>
        <w:rPr>
          <w:rFonts w:ascii="宋体" w:hAnsi="宋体"/>
        </w:rPr>
      </w:pPr>
    </w:p>
    <w:p>
      <w:pPr>
        <w:ind w:firstLine="480"/>
        <w:rPr>
          <w:rFonts w:ascii="宋体" w:hAnsi="宋体"/>
        </w:rPr>
      </w:pPr>
    </w:p>
    <w:p>
      <w:pPr>
        <w:ind w:firstLine="480"/>
        <w:rPr>
          <w:rFonts w:ascii="宋体" w:hAnsi="宋体"/>
        </w:rPr>
      </w:pPr>
    </w:p>
    <w:p>
      <w:pPr>
        <w:pStyle w:val="3"/>
        <w:spacing w:after="156"/>
      </w:pPr>
    </w:p>
    <w:p>
      <w:pPr>
        <w:pStyle w:val="8"/>
        <w:widowControl w:val="0"/>
        <w:spacing w:after="156" w:line="360" w:lineRule="auto"/>
        <w:outlineLvl w:val="1"/>
        <w:rPr>
          <w:rFonts w:ascii="宋体" w:hAnsi="宋体" w:cs="宋体"/>
          <w:b/>
          <w:bCs/>
          <w:kern w:val="44"/>
          <w:sz w:val="24"/>
          <w:szCs w:val="24"/>
        </w:rPr>
      </w:pPr>
      <w:bookmarkStart w:id="22" w:name="_Toc164269618"/>
      <w:r>
        <w:rPr>
          <w:rFonts w:ascii="宋体" w:hAnsi="宋体" w:cs="宋体"/>
          <w:b/>
          <w:bCs/>
          <w:kern w:val="44"/>
          <w:sz w:val="24"/>
          <w:szCs w:val="24"/>
        </w:rPr>
        <w:t>3</w:t>
      </w:r>
      <w:r>
        <w:rPr>
          <w:rFonts w:hint="eastAsia" w:ascii="宋体" w:hAnsi="宋体" w:cs="宋体"/>
          <w:b/>
          <w:bCs/>
          <w:kern w:val="44"/>
          <w:sz w:val="24"/>
          <w:szCs w:val="24"/>
        </w:rPr>
        <w:t xml:space="preserve"> 项目总体要求</w:t>
      </w:r>
      <w:bookmarkEnd w:id="22"/>
    </w:p>
    <w:p>
      <w:pPr>
        <w:pStyle w:val="9"/>
        <w:numPr>
          <w:ilvl w:val="0"/>
          <w:numId w:val="0"/>
        </w:numPr>
        <w:spacing w:before="156" w:after="156"/>
        <w:jc w:val="left"/>
        <w:outlineLvl w:val="2"/>
        <w:rPr>
          <w:sz w:val="24"/>
          <w:szCs w:val="24"/>
        </w:rPr>
      </w:pPr>
      <w:bookmarkStart w:id="23" w:name="_Toc164269619"/>
      <w:r>
        <w:rPr>
          <w:sz w:val="24"/>
          <w:szCs w:val="24"/>
        </w:rPr>
        <w:t>3.</w:t>
      </w:r>
      <w:r>
        <w:rPr>
          <w:rFonts w:hint="eastAsia"/>
          <w:sz w:val="24"/>
          <w:szCs w:val="24"/>
        </w:rPr>
        <w:t>1服务承诺</w:t>
      </w:r>
      <w:bookmarkEnd w:id="23"/>
    </w:p>
    <w:p>
      <w:pPr>
        <w:pStyle w:val="2"/>
        <w:rPr>
          <w:rFonts w:ascii="宋体" w:hAnsi="宋体"/>
        </w:rPr>
      </w:pPr>
      <w:r>
        <w:rPr>
          <w:rFonts w:hint="eastAsia" w:ascii="宋体" w:hAnsi="宋体"/>
        </w:rPr>
        <w:t>投标人需承诺：投标人须在中标后提供本项目整体三年售后服务承诺函</w:t>
      </w:r>
      <w:r>
        <w:rPr>
          <w:rFonts w:hint="eastAsia"/>
        </w:rPr>
        <w:t>（承诺函格式自拟）</w:t>
      </w:r>
      <w:r>
        <w:rPr>
          <w:rFonts w:hint="eastAsia" w:ascii="宋体" w:hAnsi="宋体"/>
        </w:rPr>
        <w:t>。</w:t>
      </w:r>
    </w:p>
    <w:p>
      <w:pPr>
        <w:pStyle w:val="9"/>
        <w:numPr>
          <w:ilvl w:val="0"/>
          <w:numId w:val="0"/>
        </w:numPr>
        <w:spacing w:before="156" w:after="156"/>
        <w:jc w:val="left"/>
        <w:outlineLvl w:val="2"/>
        <w:rPr>
          <w:sz w:val="24"/>
          <w:szCs w:val="24"/>
        </w:rPr>
      </w:pPr>
      <w:bookmarkStart w:id="24" w:name="_Toc164269620"/>
      <w:r>
        <w:rPr>
          <w:sz w:val="24"/>
          <w:szCs w:val="24"/>
        </w:rPr>
        <w:t>3.</w:t>
      </w:r>
      <w:r>
        <w:rPr>
          <w:rFonts w:hint="eastAsia"/>
          <w:sz w:val="24"/>
          <w:szCs w:val="24"/>
        </w:rPr>
        <w:t>2价格承诺</w:t>
      </w:r>
      <w:bookmarkEnd w:id="24"/>
    </w:p>
    <w:p>
      <w:pPr>
        <w:pStyle w:val="10"/>
        <w:spacing w:line="360" w:lineRule="auto"/>
        <w:ind w:left="420" w:firstLine="420" w:firstLineChars="200"/>
        <w:rPr>
          <w:rFonts w:ascii="宋体" w:hAnsi="宋体" w:cs="宋体"/>
        </w:rPr>
      </w:pPr>
      <w:r>
        <w:rPr>
          <w:rFonts w:hint="eastAsia" w:ascii="宋体" w:hAnsi="宋体" w:cs="宋体"/>
        </w:rPr>
        <w:t>本项目所需辅材，如招标文件无具体数量的，由投标人根据技术方案要求和现场情况提供，实际使用数量与中标人的投标数量不符时不对合同总价产生变更。</w:t>
      </w:r>
    </w:p>
    <w:p>
      <w:pPr>
        <w:pStyle w:val="9"/>
        <w:numPr>
          <w:ilvl w:val="0"/>
          <w:numId w:val="0"/>
        </w:numPr>
        <w:spacing w:before="156" w:after="156"/>
        <w:jc w:val="left"/>
        <w:outlineLvl w:val="2"/>
        <w:rPr>
          <w:sz w:val="24"/>
          <w:szCs w:val="24"/>
        </w:rPr>
      </w:pPr>
      <w:bookmarkStart w:id="25" w:name="_Toc164269621"/>
      <w:bookmarkStart w:id="26" w:name="_Toc495504011"/>
      <w:r>
        <w:rPr>
          <w:sz w:val="24"/>
          <w:szCs w:val="24"/>
        </w:rPr>
        <w:t>3.</w:t>
      </w:r>
      <w:r>
        <w:rPr>
          <w:rFonts w:hint="eastAsia"/>
          <w:sz w:val="24"/>
          <w:szCs w:val="24"/>
        </w:rPr>
        <w:t>3项目实施要求</w:t>
      </w:r>
      <w:bookmarkEnd w:id="25"/>
      <w:bookmarkEnd w:id="26"/>
    </w:p>
    <w:p>
      <w:pPr>
        <w:pStyle w:val="10"/>
        <w:spacing w:line="360" w:lineRule="auto"/>
        <w:ind w:firstLine="420" w:firstLineChars="200"/>
        <w:rPr>
          <w:rFonts w:ascii="宋体" w:hAnsi="宋体" w:cs="宋体"/>
          <w:b/>
          <w:bCs/>
          <w:szCs w:val="20"/>
        </w:rPr>
      </w:pPr>
      <w:r>
        <w:rPr>
          <w:rFonts w:ascii="Segoe UI Symbol" w:hAnsi="Segoe UI Symbol" w:cs="Segoe UI Symbol"/>
        </w:rPr>
        <w:t>★</w:t>
      </w:r>
      <w:r>
        <w:rPr>
          <w:rFonts w:hint="eastAsia" w:ascii="宋体" w:hAnsi="宋体" w:cs="宋体"/>
          <w:b/>
          <w:szCs w:val="20"/>
        </w:rPr>
        <w:t>本项目为交钥匙工程，投标人必须配备满足本项目软硬件系统正常运转的必要配件、辅助材料等（包括未在招标要求中明确出现，而满足系统整体要求所必须的），</w:t>
      </w:r>
      <w:r>
        <w:rPr>
          <w:rFonts w:hint="eastAsia" w:ascii="宋体" w:hAnsi="宋体" w:cs="宋体"/>
          <w:b/>
          <w:bCs/>
          <w:szCs w:val="20"/>
        </w:rPr>
        <w:t>包括但不限于提供保障设备网络正常运行所需的跳线、光模块、理线架等。以及投标人必须承诺投标人项目总报价已经包含项目实施过程中可能涉及到的人工、运输、搬运(包括场内二次装卸）、环境清扫、成品保护、保修服务等一切相关费用。</w:t>
      </w:r>
    </w:p>
    <w:p>
      <w:pPr>
        <w:pStyle w:val="10"/>
        <w:spacing w:line="360" w:lineRule="auto"/>
        <w:ind w:firstLine="422" w:firstLineChars="200"/>
        <w:rPr>
          <w:rFonts w:ascii="宋体" w:hAnsi="宋体" w:cs="宋体"/>
          <w:b/>
          <w:bCs/>
          <w:szCs w:val="20"/>
        </w:rPr>
      </w:pPr>
      <w:r>
        <w:rPr>
          <w:rFonts w:hint="eastAsia" w:ascii="宋体" w:hAnsi="宋体" w:cs="宋体"/>
          <w:b/>
          <w:bCs/>
          <w:kern w:val="0"/>
          <w:szCs w:val="20"/>
        </w:rPr>
        <w:t>1、总体要求</w:t>
      </w:r>
    </w:p>
    <w:p>
      <w:pPr>
        <w:pStyle w:val="10"/>
        <w:spacing w:line="360" w:lineRule="auto"/>
        <w:ind w:left="420" w:firstLine="420" w:firstLineChars="200"/>
        <w:rPr>
          <w:rFonts w:ascii="宋体" w:hAnsi="宋体" w:cs="宋体"/>
        </w:rPr>
      </w:pPr>
      <w:r>
        <w:rPr>
          <w:rFonts w:hint="eastAsia" w:ascii="宋体" w:hAnsi="宋体" w:cs="宋体"/>
        </w:rPr>
        <w:t>（1）严格按照项目合同的建设内容及工期进行项目实施，保障学校正当权益。</w:t>
      </w:r>
    </w:p>
    <w:p>
      <w:pPr>
        <w:pStyle w:val="10"/>
        <w:spacing w:line="360" w:lineRule="auto"/>
        <w:ind w:left="420" w:firstLine="420" w:firstLineChars="200"/>
        <w:rPr>
          <w:rFonts w:ascii="宋体" w:hAnsi="宋体" w:cs="宋体"/>
        </w:rPr>
      </w:pPr>
      <w:r>
        <w:rPr>
          <w:rFonts w:hint="eastAsia" w:ascii="宋体" w:hAnsi="宋体" w:cs="宋体"/>
        </w:rPr>
        <w:t>（2）项目实施过程中，若涉及合同内容实质性变更的(含合同货物型号、规格参数、数量，工期、合同款支付方式等)，须按变更事项履行审批程序(含用户部门提出申请、承办部门审核、律师和审计处审核、校领导审核、签订补充合同)</w:t>
      </w:r>
    </w:p>
    <w:p>
      <w:pPr>
        <w:pStyle w:val="10"/>
        <w:spacing w:line="360" w:lineRule="auto"/>
        <w:ind w:firstLine="422" w:firstLineChars="200"/>
        <w:rPr>
          <w:rFonts w:ascii="宋体" w:hAnsi="宋体" w:cs="宋体"/>
        </w:rPr>
      </w:pPr>
      <w:r>
        <w:rPr>
          <w:rFonts w:hint="eastAsia" w:ascii="宋体" w:hAnsi="宋体" w:cs="宋体"/>
          <w:b/>
          <w:bCs/>
          <w:kern w:val="0"/>
          <w:szCs w:val="20"/>
        </w:rPr>
        <w:t>2、安装要求：</w:t>
      </w:r>
    </w:p>
    <w:p>
      <w:pPr>
        <w:pStyle w:val="10"/>
        <w:spacing w:line="360" w:lineRule="auto"/>
        <w:ind w:left="420" w:firstLine="420" w:firstLineChars="200"/>
        <w:rPr>
          <w:rFonts w:ascii="宋体" w:hAnsi="宋体" w:cs="宋体"/>
        </w:rPr>
      </w:pPr>
      <w:r>
        <w:rPr>
          <w:rFonts w:hint="eastAsia" w:ascii="宋体" w:hAnsi="宋体" w:cs="宋体"/>
        </w:rPr>
        <w:t>（1）投标人需向采购人提供本项目采购的所有硬件及软件的安装和维护服务的全部内容，并在需要的时候配合设备使用单位完成整个系统的联调工作。若本项目采购的设备产品等方面的配置或要求中出现不合理或不完整的问题时，投标人有责任和义务在投标文件中提出补充修改方案并征得采购人同意后付诸实施。</w:t>
      </w:r>
    </w:p>
    <w:p>
      <w:pPr>
        <w:pStyle w:val="10"/>
        <w:spacing w:line="360" w:lineRule="auto"/>
        <w:ind w:left="420" w:firstLine="420" w:firstLineChars="200"/>
        <w:rPr>
          <w:rFonts w:ascii="宋体" w:hAnsi="宋体" w:cs="宋体"/>
        </w:rPr>
      </w:pPr>
      <w:r>
        <w:rPr>
          <w:rFonts w:hint="eastAsia" w:ascii="宋体" w:hAnsi="宋体" w:cs="宋体"/>
        </w:rPr>
        <w:t>（2）要求投标人需具有良好信誉和相关实力的技术队伍。</w:t>
      </w:r>
    </w:p>
    <w:p>
      <w:pPr>
        <w:pStyle w:val="10"/>
        <w:spacing w:line="360" w:lineRule="auto"/>
        <w:ind w:left="420" w:firstLine="420" w:firstLineChars="200"/>
        <w:rPr>
          <w:rFonts w:ascii="宋体" w:hAnsi="宋体" w:cs="宋体"/>
        </w:rPr>
      </w:pPr>
      <w:r>
        <w:rPr>
          <w:rFonts w:hint="eastAsia" w:ascii="宋体" w:hAnsi="宋体" w:cs="宋体"/>
        </w:rPr>
        <w:t>（3）投标人需本着认真负责态度，组织技术队伍，做好投标的整体方案，并书面提出长期保修、维护、服务以及今后技术支持的措施计划和承诺。</w:t>
      </w:r>
    </w:p>
    <w:p>
      <w:pPr>
        <w:pStyle w:val="10"/>
        <w:spacing w:line="360" w:lineRule="auto"/>
        <w:ind w:left="420" w:firstLine="420" w:firstLineChars="200"/>
        <w:rPr>
          <w:rFonts w:ascii="宋体" w:hAnsi="宋体" w:cs="宋体"/>
        </w:rPr>
      </w:pPr>
      <w:r>
        <w:rPr>
          <w:rFonts w:hint="eastAsia" w:ascii="宋体" w:hAnsi="宋体" w:cs="宋体"/>
        </w:rPr>
        <w:t>（4）安装调试在设备到货后3个工作日内开始进行。采购人须提供设备运行所需校园网接入等环境。</w:t>
      </w:r>
    </w:p>
    <w:p>
      <w:pPr>
        <w:pStyle w:val="10"/>
        <w:spacing w:line="360" w:lineRule="auto"/>
        <w:ind w:left="420" w:firstLine="420" w:firstLineChars="200"/>
        <w:rPr>
          <w:rFonts w:ascii="宋体" w:hAnsi="宋体" w:cs="宋体"/>
        </w:rPr>
      </w:pPr>
      <w:r>
        <w:rPr>
          <w:rFonts w:hint="eastAsia" w:ascii="宋体" w:hAnsi="宋体" w:cs="宋体"/>
        </w:rPr>
        <w:t>（5）所有设备均需由投标人送货上门并安装调试。采购人不再支付任何费用。</w:t>
      </w:r>
    </w:p>
    <w:p>
      <w:pPr>
        <w:pStyle w:val="10"/>
        <w:spacing w:line="360" w:lineRule="auto"/>
        <w:ind w:left="420" w:firstLine="420" w:firstLineChars="200"/>
        <w:rPr>
          <w:rFonts w:ascii="宋体" w:hAnsi="宋体" w:cs="宋体"/>
        </w:rPr>
      </w:pPr>
      <w:r>
        <w:rPr>
          <w:rFonts w:hint="eastAsia" w:ascii="宋体" w:hAnsi="宋体" w:cs="宋体"/>
        </w:rPr>
        <w:t>（6）自系统安装工作一开始，投标人需允许采购单位的工作人员一起参与系统的安装、测试、诊断及解决遇到的问题等各项工作。</w:t>
      </w:r>
    </w:p>
    <w:p>
      <w:pPr>
        <w:pStyle w:val="10"/>
        <w:spacing w:line="360" w:lineRule="auto"/>
        <w:ind w:left="420" w:firstLine="422" w:firstLineChars="200"/>
        <w:rPr>
          <w:rFonts w:ascii="宋体" w:hAnsi="宋体" w:cs="宋体"/>
        </w:rPr>
      </w:pPr>
      <w:r>
        <w:rPr>
          <w:rFonts w:hint="eastAsia" w:ascii="宋体" w:hAnsi="宋体" w:cs="宋体"/>
          <w:b/>
          <w:bCs/>
          <w:kern w:val="0"/>
          <w:szCs w:val="20"/>
        </w:rPr>
        <w:t>3、开箱检验</w:t>
      </w:r>
    </w:p>
    <w:p>
      <w:pPr>
        <w:pStyle w:val="10"/>
        <w:spacing w:line="360" w:lineRule="auto"/>
        <w:ind w:left="420" w:firstLine="420" w:firstLineChars="200"/>
        <w:rPr>
          <w:rFonts w:ascii="宋体" w:hAnsi="宋体" w:cs="宋体"/>
        </w:rPr>
      </w:pPr>
      <w:r>
        <w:rPr>
          <w:rFonts w:hint="eastAsia" w:ascii="宋体" w:hAnsi="宋体" w:cs="宋体"/>
        </w:rPr>
        <w:t>（1）所有设备、器材在开箱时需完好，无破损。配置与装箱单相符。数量、质量及性能不低于合同要求。</w:t>
      </w:r>
    </w:p>
    <w:p>
      <w:pPr>
        <w:pStyle w:val="10"/>
        <w:spacing w:line="360" w:lineRule="auto"/>
        <w:ind w:left="420" w:firstLine="420" w:firstLineChars="200"/>
        <w:rPr>
          <w:rFonts w:ascii="宋体" w:hAnsi="宋体" w:cs="宋体"/>
        </w:rPr>
      </w:pPr>
      <w:r>
        <w:rPr>
          <w:rFonts w:hint="eastAsia" w:ascii="宋体" w:hAnsi="宋体" w:cs="宋体"/>
        </w:rPr>
        <w:t>（2）拆箱后，投标人需对其全部产品、零件、配件、用户许可证书、资料、介质造册登记，并与装箱单对比，如有出入需立即书面记录，由供货商解决，如影响安装则按合同有关条款处理。登记册作为验收文档之一。</w:t>
      </w:r>
    </w:p>
    <w:p>
      <w:pPr>
        <w:pStyle w:val="10"/>
        <w:spacing w:line="360" w:lineRule="auto"/>
        <w:ind w:firstLine="843" w:firstLineChars="400"/>
        <w:rPr>
          <w:rFonts w:ascii="宋体" w:hAnsi="宋体" w:cs="宋体"/>
        </w:rPr>
      </w:pPr>
      <w:r>
        <w:rPr>
          <w:rFonts w:hint="eastAsia" w:ascii="宋体" w:hAnsi="宋体" w:cs="宋体"/>
          <w:b/>
          <w:bCs/>
          <w:kern w:val="0"/>
          <w:szCs w:val="20"/>
        </w:rPr>
        <w:t>4、系统测试</w:t>
      </w:r>
    </w:p>
    <w:p>
      <w:pPr>
        <w:pStyle w:val="10"/>
        <w:spacing w:line="360" w:lineRule="auto"/>
        <w:ind w:left="420" w:firstLine="420" w:firstLineChars="200"/>
        <w:rPr>
          <w:rFonts w:ascii="宋体" w:hAnsi="宋体" w:cs="宋体"/>
        </w:rPr>
      </w:pPr>
      <w:r>
        <w:rPr>
          <w:rFonts w:hint="eastAsia" w:ascii="宋体" w:hAnsi="宋体" w:cs="宋体"/>
        </w:rPr>
        <w:t>（1） 单项测试：单项产品安装完成后，由投标人进行产品自身性能的测试。设备通电测试需单台进行，所有设备通电自检正常后，才能相互联结。</w:t>
      </w:r>
    </w:p>
    <w:p>
      <w:pPr>
        <w:pStyle w:val="10"/>
        <w:spacing w:line="360" w:lineRule="auto"/>
        <w:ind w:left="420" w:firstLine="420" w:firstLineChars="200"/>
        <w:rPr>
          <w:rFonts w:ascii="宋体" w:hAnsi="宋体" w:cs="宋体"/>
        </w:rPr>
      </w:pPr>
      <w:r>
        <w:rPr>
          <w:rFonts w:hint="eastAsia" w:ascii="宋体" w:hAnsi="宋体" w:cs="宋体"/>
        </w:rPr>
        <w:t>（2）网络联机测试：设备系统安装完成后，由投标人和设备使用单位对所有采购的产品进行联网运行，并进行相应的联机测试。</w:t>
      </w:r>
    </w:p>
    <w:p>
      <w:pPr>
        <w:pStyle w:val="10"/>
        <w:spacing w:line="360" w:lineRule="auto"/>
        <w:ind w:left="420" w:firstLine="420" w:firstLineChars="200"/>
        <w:rPr>
          <w:rFonts w:ascii="宋体" w:hAnsi="宋体" w:cs="宋体"/>
        </w:rPr>
      </w:pPr>
      <w:r>
        <w:rPr>
          <w:rFonts w:hint="eastAsia" w:ascii="宋体" w:hAnsi="宋体" w:cs="宋体"/>
        </w:rPr>
        <w:t>（3）系统运行正常，均达到标书要求的功能、性能和产品技术规格中的性能要求，联机测试通过。</w:t>
      </w:r>
    </w:p>
    <w:p>
      <w:pPr>
        <w:pStyle w:val="10"/>
        <w:spacing w:line="360" w:lineRule="auto"/>
        <w:ind w:left="420" w:firstLine="420" w:firstLineChars="200"/>
        <w:rPr>
          <w:rFonts w:ascii="宋体" w:hAnsi="宋体" w:cs="宋体"/>
        </w:rPr>
      </w:pPr>
      <w:r>
        <w:rPr>
          <w:rFonts w:hint="eastAsia" w:ascii="宋体" w:hAnsi="宋体" w:cs="宋体"/>
        </w:rPr>
        <w:t>（4）如商检或系统测试中发现设备性能指标或功能上不符合标书和合同时，将被看作性能不合格，设备使用单位有权拒收并要求赔偿。</w:t>
      </w:r>
    </w:p>
    <w:p>
      <w:pPr>
        <w:pStyle w:val="10"/>
        <w:spacing w:line="360" w:lineRule="auto"/>
        <w:ind w:left="420" w:firstLine="420" w:firstLineChars="200"/>
        <w:rPr>
          <w:rFonts w:ascii="宋体" w:hAnsi="宋体" w:cs="宋体"/>
        </w:rPr>
      </w:pPr>
      <w:r>
        <w:rPr>
          <w:rFonts w:hint="eastAsia" w:ascii="宋体" w:hAnsi="宋体" w:cs="宋体"/>
        </w:rPr>
        <w:t xml:space="preserve">（5）投标人需负责在项目验收时将系统的全部有关产品说明书、原厂家安装手册、技术文件、资料、及安装、验收报告等文档，软件系统提供物理介质、电子及纸质许可证交付设备使用单位。 </w:t>
      </w:r>
    </w:p>
    <w:p>
      <w:pPr>
        <w:pStyle w:val="9"/>
        <w:numPr>
          <w:ilvl w:val="0"/>
          <w:numId w:val="0"/>
        </w:numPr>
        <w:spacing w:before="156" w:after="156"/>
        <w:jc w:val="left"/>
        <w:outlineLvl w:val="2"/>
        <w:rPr>
          <w:sz w:val="24"/>
          <w:szCs w:val="24"/>
        </w:rPr>
      </w:pPr>
      <w:bookmarkStart w:id="27" w:name="_Toc164269622"/>
      <w:r>
        <w:rPr>
          <w:sz w:val="24"/>
          <w:szCs w:val="24"/>
        </w:rPr>
        <w:t>3.</w:t>
      </w:r>
      <w:r>
        <w:rPr>
          <w:rFonts w:hint="eastAsia"/>
          <w:sz w:val="24"/>
          <w:szCs w:val="24"/>
        </w:rPr>
        <w:t>4项目验收要求</w:t>
      </w:r>
      <w:bookmarkEnd w:id="27"/>
    </w:p>
    <w:p>
      <w:pPr>
        <w:pStyle w:val="11"/>
        <w:spacing w:line="360" w:lineRule="auto"/>
        <w:ind w:firstLine="420" w:firstLineChars="200"/>
        <w:rPr>
          <w:rFonts w:ascii="宋体" w:hAnsi="宋体" w:cs="宋体"/>
          <w:szCs w:val="20"/>
        </w:rPr>
      </w:pPr>
      <w:r>
        <w:rPr>
          <w:rFonts w:hint="eastAsia" w:ascii="宋体" w:hAnsi="宋体" w:cs="宋体"/>
          <w:szCs w:val="20"/>
        </w:rPr>
        <w:t>1、验收标准：按照《广州市政务信息化项目管理办法》及其验收规范标准等相关文件要求进行验收。项目验收包括项目初步验收、试运行、验收测评、安全评估、合同验收及项目终验环节。</w:t>
      </w:r>
    </w:p>
    <w:p>
      <w:pPr>
        <w:pStyle w:val="11"/>
        <w:spacing w:line="360" w:lineRule="auto"/>
        <w:ind w:firstLine="420" w:firstLineChars="200"/>
        <w:rPr>
          <w:rFonts w:ascii="宋体" w:hAnsi="宋体" w:cs="宋体"/>
          <w:szCs w:val="20"/>
        </w:rPr>
      </w:pPr>
      <w:r>
        <w:rPr>
          <w:rFonts w:hint="eastAsia" w:ascii="宋体" w:hAnsi="宋体" w:cs="宋体"/>
          <w:szCs w:val="20"/>
        </w:rPr>
        <w:t>2、项目初步验收由采购人组织进行。《项目初步验收报告》之出具必须具备以下条件：</w:t>
      </w:r>
    </w:p>
    <w:p>
      <w:pPr>
        <w:pStyle w:val="11"/>
        <w:spacing w:line="360" w:lineRule="auto"/>
        <w:ind w:firstLine="420" w:firstLineChars="200"/>
        <w:rPr>
          <w:rFonts w:ascii="宋体" w:hAnsi="宋体" w:cs="宋体"/>
          <w:szCs w:val="20"/>
        </w:rPr>
      </w:pPr>
      <w:r>
        <w:rPr>
          <w:rFonts w:hint="eastAsia" w:ascii="宋体" w:hAnsi="宋体" w:cs="宋体"/>
          <w:szCs w:val="20"/>
        </w:rPr>
        <w:t>（1）完成合同约定的全部建设内容，合同标的物（定作物）达到了本合同所列用户需求和技术要求、成果和技术文档全部交付、安装调试完毕；</w:t>
      </w:r>
    </w:p>
    <w:p>
      <w:pPr>
        <w:pStyle w:val="11"/>
        <w:spacing w:line="360" w:lineRule="auto"/>
        <w:ind w:firstLine="420" w:firstLineChars="200"/>
        <w:rPr>
          <w:rFonts w:ascii="宋体" w:hAnsi="宋体" w:cs="宋体"/>
          <w:szCs w:val="20"/>
        </w:rPr>
      </w:pPr>
      <w:r>
        <w:rPr>
          <w:rFonts w:hint="eastAsia" w:ascii="宋体" w:hAnsi="宋体" w:cs="宋体"/>
          <w:szCs w:val="20"/>
        </w:rPr>
        <w:t>（2）验收文档齐全完整；</w:t>
      </w:r>
    </w:p>
    <w:p>
      <w:pPr>
        <w:pStyle w:val="11"/>
        <w:spacing w:line="360" w:lineRule="auto"/>
        <w:ind w:firstLine="420" w:firstLineChars="200"/>
        <w:rPr>
          <w:rFonts w:ascii="宋体" w:hAnsi="宋体" w:cs="宋体"/>
          <w:szCs w:val="20"/>
        </w:rPr>
      </w:pPr>
      <w:r>
        <w:rPr>
          <w:rFonts w:hint="eastAsia" w:ascii="宋体" w:hAnsi="宋体" w:cs="宋体"/>
          <w:szCs w:val="20"/>
        </w:rPr>
        <w:t>（3）采购人签章出具表述“项目已按合同完成全部建设内容、符合采购人使用需求、同意申请验收”的书面意见；</w:t>
      </w:r>
    </w:p>
    <w:p>
      <w:pPr>
        <w:pStyle w:val="11"/>
        <w:spacing w:line="360" w:lineRule="auto"/>
        <w:ind w:firstLine="420" w:firstLineChars="200"/>
        <w:rPr>
          <w:rFonts w:ascii="宋体" w:hAnsi="宋体" w:cs="宋体"/>
          <w:szCs w:val="20"/>
        </w:rPr>
      </w:pPr>
      <w:r>
        <w:rPr>
          <w:rFonts w:hint="eastAsia" w:ascii="宋体" w:hAnsi="宋体" w:cs="宋体"/>
          <w:szCs w:val="20"/>
        </w:rPr>
        <w:t>（4）通过</w:t>
      </w:r>
      <w:r>
        <w:rPr>
          <w:rStyle w:val="12"/>
          <w:rFonts w:hint="eastAsia" w:hAnsi="宋体"/>
          <w:szCs w:val="20"/>
        </w:rPr>
        <w:t>由采购人按照《广州市政务信息化项目管理办法》的要求另行委托第三方测评机构对合同标的物（定作物）进行的验收测评</w:t>
      </w:r>
      <w:r>
        <w:rPr>
          <w:rFonts w:hint="eastAsia" w:ascii="宋体" w:hAnsi="宋体" w:cs="宋体"/>
          <w:szCs w:val="20"/>
        </w:rPr>
        <w:t>。</w:t>
      </w:r>
    </w:p>
    <w:p>
      <w:pPr>
        <w:pStyle w:val="11"/>
        <w:spacing w:line="360" w:lineRule="auto"/>
        <w:ind w:firstLine="420" w:firstLineChars="200"/>
        <w:rPr>
          <w:rFonts w:ascii="宋体" w:hAnsi="宋体" w:cs="宋体"/>
          <w:szCs w:val="20"/>
        </w:rPr>
      </w:pPr>
      <w:r>
        <w:rPr>
          <w:rFonts w:hint="eastAsia" w:ascii="宋体" w:hAnsi="宋体" w:cs="宋体"/>
          <w:szCs w:val="20"/>
        </w:rPr>
        <w:t>3、90个日历天的项目试运行期，试运行期自签发合格的《项目初步验收报告》当天起算。试运行期内中标方未收到来自采购人的修理、修复、复检、重新安装、重新调试等请求或者质量异议的，则试运行期满后视项目试运行合格并出具试运行报告。如果试运行期内发生非采购人人为毁损原因所致的质量问题，则试运行期起算时间应以该质量问题得到解决之日重新起算，且合同项下的试运行合格之时间点应整体顺延。</w:t>
      </w:r>
    </w:p>
    <w:p>
      <w:pPr>
        <w:pStyle w:val="13"/>
        <w:tabs>
          <w:tab w:val="left" w:pos="714"/>
        </w:tabs>
        <w:spacing w:line="360" w:lineRule="auto"/>
        <w:ind w:firstLine="420" w:firstLineChars="200"/>
        <w:rPr>
          <w:rStyle w:val="12"/>
          <w:rFonts w:hAnsi="宋体" w:cs="Times New Roman"/>
          <w:szCs w:val="21"/>
        </w:rPr>
      </w:pPr>
      <w:r>
        <w:rPr>
          <w:rStyle w:val="12"/>
          <w:rFonts w:hAnsi="宋体"/>
          <w:szCs w:val="21"/>
        </w:rPr>
        <w:t>4</w:t>
      </w:r>
      <w:r>
        <w:rPr>
          <w:rStyle w:val="12"/>
          <w:rFonts w:hint="eastAsia" w:hAnsi="宋体"/>
          <w:szCs w:val="21"/>
        </w:rPr>
        <w:t>、由采购人按照《广州市政务信息化项目管理办法》的要求另行委托第三方测评（评估）机构对合同标的物（定作物）进行验收测评和安全评估，中标方须按测评（评估）机构出具的报告进行免费整改并使合同标的物（定作物）通过验收测评和安全评估；经过两次测评（评估）后合同标的物（定作物）仍不符合验收测评和安全评估要求的，采购人有权单方解除合同且中标方应按合同总价的百分之三十支付违约金。凡进行合同标的物（定作物）整改须以不得影响或破坏采购人数据信息资料为基本原则。</w:t>
      </w:r>
    </w:p>
    <w:p>
      <w:pPr>
        <w:pStyle w:val="13"/>
        <w:tabs>
          <w:tab w:val="left" w:pos="714"/>
        </w:tabs>
        <w:spacing w:line="360" w:lineRule="auto"/>
        <w:ind w:firstLine="420" w:firstLineChars="200"/>
        <w:rPr>
          <w:rStyle w:val="12"/>
          <w:rFonts w:hAnsi="宋体"/>
          <w:szCs w:val="21"/>
        </w:rPr>
      </w:pPr>
      <w:r>
        <w:rPr>
          <w:rFonts w:hint="eastAsia" w:ascii="宋体" w:cs="宋体"/>
          <w:szCs w:val="21"/>
        </w:rPr>
        <w:t>5、若已完成合同标的物（定作物）信息系统安全</w:t>
      </w:r>
      <w:r>
        <w:rPr>
          <w:rFonts w:hint="eastAsia" w:ascii="宋体" w:hAnsi="宋体" w:cs="宋体"/>
          <w:szCs w:val="21"/>
        </w:rPr>
        <w:t>等级测评的可代替安全评估。</w:t>
      </w:r>
    </w:p>
    <w:p>
      <w:pPr>
        <w:pStyle w:val="11"/>
        <w:spacing w:line="360" w:lineRule="auto"/>
        <w:ind w:firstLine="420" w:firstLineChars="200"/>
        <w:rPr>
          <w:rFonts w:ascii="宋体" w:cs="宋体"/>
          <w:szCs w:val="20"/>
        </w:rPr>
      </w:pPr>
      <w:r>
        <w:rPr>
          <w:rFonts w:hint="eastAsia" w:ascii="宋体" w:hAnsi="宋体" w:cs="宋体"/>
          <w:szCs w:val="20"/>
        </w:rPr>
        <w:t>6、在本合同</w:t>
      </w:r>
      <w:r>
        <w:rPr>
          <w:rFonts w:hint="eastAsia" w:ascii="宋体" w:cs="宋体"/>
          <w:szCs w:val="20"/>
        </w:rPr>
        <w:t>标的物（定作物）完成上述</w:t>
      </w:r>
      <w:r>
        <w:rPr>
          <w:rFonts w:hint="eastAsia" w:ascii="宋体" w:hAnsi="宋体" w:cs="宋体"/>
          <w:szCs w:val="20"/>
        </w:rPr>
        <w:t>标的物（定作物）验收、试运行、安全评估通过后，由采购人出具合同验收意见。</w:t>
      </w:r>
    </w:p>
    <w:p>
      <w:pPr>
        <w:pStyle w:val="14"/>
        <w:adjustRightInd w:val="0"/>
        <w:spacing w:line="360" w:lineRule="auto"/>
        <w:ind w:firstLine="420" w:firstLineChars="200"/>
        <w:rPr>
          <w:szCs w:val="21"/>
        </w:rPr>
      </w:pPr>
      <w:r>
        <w:rPr>
          <w:rFonts w:hint="eastAsia" w:ascii="宋体" w:hAnsi="宋体" w:cs="宋体"/>
          <w:szCs w:val="21"/>
        </w:rPr>
        <w:t>7、</w:t>
      </w:r>
      <w:r>
        <w:rPr>
          <w:rFonts w:hint="eastAsia" w:ascii="宋体" w:cs="宋体"/>
          <w:szCs w:val="21"/>
        </w:rPr>
        <w:t>按政府信息化主管部门对采购人信息化项目的审核文件，本项目作为采购人信息化项目的其中一个子项目，项目终验由政府信息化主管部门按“整体立项、整体终验”的原则进行，中标人有义务配合采购人做好项目终验的相关工作。</w:t>
      </w:r>
    </w:p>
    <w:p>
      <w:pPr>
        <w:pStyle w:val="14"/>
        <w:widowControl/>
        <w:adjustRightInd w:val="0"/>
        <w:snapToGrid w:val="0"/>
        <w:spacing w:line="360" w:lineRule="auto"/>
        <w:ind w:left="120" w:leftChars="57" w:firstLine="315" w:firstLineChars="150"/>
        <w:rPr>
          <w:rFonts w:ascii="宋体" w:hAnsi="宋体"/>
          <w:szCs w:val="21"/>
        </w:rPr>
      </w:pPr>
      <w:r>
        <w:rPr>
          <w:szCs w:val="21"/>
        </w:rPr>
        <w:t>8</w:t>
      </w:r>
      <w:r>
        <w:rPr>
          <w:rFonts w:hint="eastAsia"/>
          <w:szCs w:val="21"/>
        </w:rPr>
        <w:t>、</w:t>
      </w:r>
      <w:r>
        <w:rPr>
          <w:rFonts w:ascii="Segoe UI Symbol" w:hAnsi="Segoe UI Symbol" w:cs="Segoe UI Symbol"/>
        </w:rPr>
        <w:t>★</w:t>
      </w:r>
      <w:r>
        <w:rPr>
          <w:rFonts w:hint="eastAsia" w:ascii="宋体" w:hAnsi="宋体" w:cs="Segoe UI Symbol"/>
          <w:szCs w:val="21"/>
        </w:rPr>
        <w:t>为保证项目顺利通过广州市政府信息化主管部门组织的终验，投标人必须承诺：项目及所投产品能通过由采购人招标确定的第三方机构的验收测评、符合性检查及项目终验</w:t>
      </w:r>
      <w:r>
        <w:rPr>
          <w:rFonts w:hint="eastAsia"/>
        </w:rPr>
        <w:t>（提供承诺函，格式自拟）</w:t>
      </w:r>
      <w:r>
        <w:rPr>
          <w:rFonts w:hint="eastAsia" w:ascii="宋体" w:hAnsi="宋体" w:cs="Segoe UI Symbol"/>
          <w:szCs w:val="21"/>
        </w:rPr>
        <w:t>。</w:t>
      </w:r>
    </w:p>
    <w:p>
      <w:pPr>
        <w:pStyle w:val="9"/>
        <w:numPr>
          <w:ilvl w:val="0"/>
          <w:numId w:val="0"/>
        </w:numPr>
        <w:spacing w:before="156" w:after="156"/>
        <w:jc w:val="left"/>
        <w:outlineLvl w:val="2"/>
        <w:rPr>
          <w:sz w:val="24"/>
          <w:szCs w:val="24"/>
        </w:rPr>
      </w:pPr>
      <w:bookmarkStart w:id="28" w:name="_Toc164269623"/>
      <w:r>
        <w:rPr>
          <w:sz w:val="24"/>
          <w:szCs w:val="24"/>
        </w:rPr>
        <w:t>3.</w:t>
      </w:r>
      <w:r>
        <w:rPr>
          <w:rFonts w:hint="eastAsia"/>
          <w:sz w:val="24"/>
          <w:szCs w:val="24"/>
        </w:rPr>
        <w:t>5项目培训要求</w:t>
      </w:r>
      <w:bookmarkEnd w:id="28"/>
    </w:p>
    <w:p>
      <w:pPr>
        <w:pStyle w:val="15"/>
        <w:spacing w:line="360" w:lineRule="auto"/>
        <w:ind w:firstLine="420" w:firstLineChars="200"/>
        <w:rPr>
          <w:rFonts w:ascii="宋体" w:hAnsi="宋体"/>
          <w:szCs w:val="20"/>
        </w:rPr>
      </w:pPr>
      <w:r>
        <w:rPr>
          <w:rFonts w:hint="eastAsia" w:ascii="宋体" w:hAnsi="宋体"/>
          <w:szCs w:val="20"/>
        </w:rPr>
        <w:t>1、所提供的培训课程表随投标文件一起提交。培训授课人需是所投产品厂家的工程师、技术员等。</w:t>
      </w:r>
    </w:p>
    <w:p>
      <w:pPr>
        <w:pStyle w:val="15"/>
        <w:spacing w:line="360" w:lineRule="auto"/>
        <w:ind w:firstLine="420" w:firstLineChars="200"/>
        <w:rPr>
          <w:rFonts w:ascii="宋体" w:hAnsi="宋体"/>
          <w:szCs w:val="20"/>
        </w:rPr>
      </w:pPr>
      <w:r>
        <w:rPr>
          <w:rFonts w:hint="eastAsia" w:ascii="宋体" w:hAnsi="宋体"/>
          <w:szCs w:val="20"/>
        </w:rPr>
        <w:t>2、投标人需为所有被培训人员提供培训用文字资料和讲义等相关用品。所有的资料需是中文书写。</w:t>
      </w:r>
    </w:p>
    <w:p>
      <w:pPr>
        <w:pStyle w:val="15"/>
        <w:spacing w:line="360" w:lineRule="auto"/>
        <w:ind w:firstLine="420" w:firstLineChars="200"/>
        <w:rPr>
          <w:rFonts w:ascii="宋体" w:hAnsi="宋体"/>
          <w:szCs w:val="20"/>
        </w:rPr>
      </w:pPr>
      <w:r>
        <w:rPr>
          <w:rFonts w:hint="eastAsia" w:ascii="宋体" w:hAnsi="宋体"/>
          <w:szCs w:val="20"/>
        </w:rPr>
        <w:t>3、投标人需将所有培训费用（含培训教材费）及各项支出列入“售后服务和培训价格表” ，所有的费用需分别报价并计入投标总价。</w:t>
      </w:r>
    </w:p>
    <w:p>
      <w:pPr>
        <w:pStyle w:val="15"/>
        <w:spacing w:line="360" w:lineRule="auto"/>
        <w:ind w:firstLine="420" w:firstLineChars="200"/>
        <w:rPr>
          <w:rFonts w:ascii="宋体" w:hAnsi="宋体"/>
          <w:szCs w:val="20"/>
        </w:rPr>
      </w:pPr>
      <w:r>
        <w:rPr>
          <w:rFonts w:hint="eastAsia" w:ascii="宋体" w:hAnsi="宋体"/>
          <w:szCs w:val="20"/>
        </w:rPr>
        <w:t>4、培训内容与课程：提供所购设备、软件等内容的使用和维护管理培训。</w:t>
      </w:r>
    </w:p>
    <w:p>
      <w:pPr>
        <w:pStyle w:val="9"/>
        <w:numPr>
          <w:ilvl w:val="0"/>
          <w:numId w:val="0"/>
        </w:numPr>
        <w:spacing w:before="156" w:after="156"/>
        <w:jc w:val="left"/>
        <w:outlineLvl w:val="2"/>
        <w:rPr>
          <w:sz w:val="24"/>
          <w:szCs w:val="24"/>
        </w:rPr>
      </w:pPr>
      <w:bookmarkStart w:id="29" w:name="_Toc164269624"/>
      <w:r>
        <w:rPr>
          <w:sz w:val="24"/>
          <w:szCs w:val="24"/>
        </w:rPr>
        <w:t>3.</w:t>
      </w:r>
      <w:r>
        <w:rPr>
          <w:rFonts w:hint="eastAsia"/>
          <w:sz w:val="24"/>
          <w:szCs w:val="24"/>
        </w:rPr>
        <w:t>6售后服务要求</w:t>
      </w:r>
      <w:bookmarkEnd w:id="29"/>
    </w:p>
    <w:p>
      <w:pPr>
        <w:pStyle w:val="15"/>
        <w:spacing w:line="360" w:lineRule="auto"/>
        <w:ind w:firstLine="420" w:firstLineChars="200"/>
        <w:rPr>
          <w:rFonts w:ascii="宋体" w:hAnsi="宋体"/>
          <w:szCs w:val="20"/>
        </w:rPr>
      </w:pPr>
      <w:r>
        <w:rPr>
          <w:rFonts w:hint="eastAsia" w:ascii="宋体" w:hAnsi="宋体"/>
          <w:szCs w:val="20"/>
        </w:rPr>
        <w:t>为保障系统的正常运行，及时解决问题，要求提供属地化的售后服务。</w:t>
      </w:r>
    </w:p>
    <w:p>
      <w:pPr>
        <w:pStyle w:val="15"/>
        <w:spacing w:line="360" w:lineRule="auto"/>
        <w:ind w:firstLine="420" w:firstLineChars="200"/>
        <w:rPr>
          <w:rFonts w:ascii="宋体" w:hAnsi="宋体"/>
          <w:szCs w:val="20"/>
        </w:rPr>
      </w:pPr>
      <w:r>
        <w:rPr>
          <w:rFonts w:hint="eastAsia" w:ascii="宋体" w:hAnsi="宋体"/>
          <w:szCs w:val="20"/>
        </w:rPr>
        <w:t>（1）售后服务从项目合同验收通过之日起计算。</w:t>
      </w:r>
    </w:p>
    <w:p>
      <w:pPr>
        <w:pStyle w:val="15"/>
        <w:spacing w:line="360" w:lineRule="auto"/>
        <w:ind w:firstLine="420" w:firstLineChars="200"/>
        <w:rPr>
          <w:rFonts w:ascii="宋体" w:hAnsi="宋体"/>
          <w:szCs w:val="20"/>
        </w:rPr>
      </w:pPr>
      <w:r>
        <w:rPr>
          <w:rFonts w:hint="eastAsia" w:ascii="宋体" w:hAnsi="宋体"/>
          <w:szCs w:val="20"/>
        </w:rPr>
        <w:t>（2）中标人在项目合同验收合格后，必须提供所投产品（三年）的免费上门维护期。在维护期内，若涉及系统升级，提供应用系统版本免费升级及对软件进行维护和完善，费用计入投标总价；</w:t>
      </w:r>
    </w:p>
    <w:p>
      <w:pPr>
        <w:pStyle w:val="15"/>
        <w:spacing w:line="360" w:lineRule="auto"/>
        <w:ind w:firstLine="420" w:firstLineChars="200"/>
        <w:rPr>
          <w:rFonts w:ascii="宋体" w:hAnsi="宋体"/>
          <w:szCs w:val="20"/>
        </w:rPr>
      </w:pPr>
      <w:r>
        <w:rPr>
          <w:rFonts w:hint="eastAsia" w:ascii="宋体" w:hAnsi="宋体"/>
          <w:szCs w:val="20"/>
        </w:rPr>
        <w:t>（3）所有保修服务方式均为中标人上门保修，即由中投标人派员到业主使用现场维护。由此产生的一切费用均由中标人承担；</w:t>
      </w:r>
    </w:p>
    <w:p>
      <w:pPr>
        <w:pStyle w:val="15"/>
        <w:spacing w:line="360" w:lineRule="auto"/>
        <w:ind w:firstLine="420" w:firstLineChars="200"/>
        <w:rPr>
          <w:rFonts w:ascii="宋体" w:hAnsi="宋体"/>
          <w:szCs w:val="20"/>
        </w:rPr>
      </w:pPr>
      <w:r>
        <w:rPr>
          <w:rFonts w:hint="eastAsia" w:ascii="宋体" w:hAnsi="宋体"/>
          <w:szCs w:val="20"/>
        </w:rPr>
        <w:t>（4）全天候24小时服务响应，中标人的维护工程师应在接到报障后2个小时内到现场处理应用系统出现的故障。</w:t>
      </w:r>
    </w:p>
    <w:p>
      <w:pPr>
        <w:rPr>
          <w:szCs w:val="24"/>
        </w:rPr>
      </w:pPr>
    </w:p>
    <w:p>
      <w:pPr>
        <w:pStyle w:val="9"/>
        <w:numPr>
          <w:ilvl w:val="0"/>
          <w:numId w:val="0"/>
        </w:numPr>
        <w:spacing w:before="156" w:after="156"/>
        <w:jc w:val="left"/>
        <w:outlineLvl w:val="2"/>
        <w:rPr>
          <w:sz w:val="24"/>
          <w:szCs w:val="24"/>
        </w:rPr>
      </w:pPr>
      <w:bookmarkStart w:id="30" w:name="_Toc164269625"/>
      <w:r>
        <w:rPr>
          <w:sz w:val="24"/>
          <w:szCs w:val="24"/>
        </w:rPr>
        <w:t>3.</w:t>
      </w:r>
      <w:r>
        <w:rPr>
          <w:rFonts w:hint="eastAsia"/>
          <w:sz w:val="24"/>
          <w:szCs w:val="24"/>
        </w:rPr>
        <w:t>7付款方式</w:t>
      </w:r>
      <w:bookmarkEnd w:id="30"/>
    </w:p>
    <w:p>
      <w:pPr>
        <w:pStyle w:val="15"/>
        <w:ind w:firstLine="420" w:firstLineChars="200"/>
        <w:rPr>
          <w:rFonts w:ascii="宋体" w:hAnsi="宋体"/>
          <w:szCs w:val="20"/>
        </w:rPr>
      </w:pPr>
      <w:bookmarkStart w:id="31" w:name="_Hlk48725346"/>
      <w:r>
        <w:rPr>
          <w:rFonts w:hint="eastAsia" w:ascii="宋体" w:hAnsi="宋体"/>
          <w:szCs w:val="20"/>
        </w:rPr>
        <w:t>（一）本合同款总额分四次支付。合同签署之后7个工作日内，采购人收齐中标人通知及提供的付款发票和其他必要的付款凭证的情形下，采购人自该付款资料提交日起5个工作日内向广州市财政国库支付执行机构提交支付凭证资料、办理财政国库集中支付手续，再由其向中标人核拨合同总价的40%款额。</w:t>
      </w:r>
    </w:p>
    <w:p>
      <w:pPr>
        <w:pStyle w:val="15"/>
        <w:ind w:firstLine="420" w:firstLineChars="200"/>
        <w:rPr>
          <w:rFonts w:ascii="宋体" w:hAnsi="宋体"/>
          <w:szCs w:val="20"/>
        </w:rPr>
      </w:pPr>
      <w:r>
        <w:rPr>
          <w:rFonts w:hint="eastAsia" w:ascii="宋体" w:hAnsi="宋体"/>
          <w:szCs w:val="20"/>
        </w:rPr>
        <w:t>（二）合同款第二次支付，本合同中主要设备全部到货后，采购人在收齐中标人提供的付款发票和其他必要的付款凭证的情形下，采购人自该付款资料提交日起5个工作日内向广州市财政国库支付执行机构提交支付凭证资料、办理财政国库集中支付手续，再由其向中标人核拨合同总价的20%款额。</w:t>
      </w:r>
    </w:p>
    <w:p>
      <w:pPr>
        <w:pStyle w:val="15"/>
        <w:ind w:firstLine="420" w:firstLineChars="200"/>
        <w:rPr>
          <w:rFonts w:ascii="宋体" w:hAnsi="宋体"/>
          <w:szCs w:val="20"/>
        </w:rPr>
      </w:pPr>
      <w:r>
        <w:rPr>
          <w:rFonts w:hint="eastAsia" w:ascii="宋体" w:hAnsi="宋体"/>
          <w:szCs w:val="20"/>
        </w:rPr>
        <w:t>（三）合同款第三次支付，按本合同验收方式之标的物（定作物）验收合格后，采购人在收齐中标方提供的付款发票和其他必要的付款凭证的情形下，采购人自该付款资料提交日起5个工作日内向广州市财政国库支付执行机构提交支付凭证资料、办理财政国库集中支付手续，再由其向中标人核拨合同总价的30%款额。</w:t>
      </w:r>
    </w:p>
    <w:p>
      <w:pPr>
        <w:pStyle w:val="15"/>
        <w:ind w:firstLine="420" w:firstLineChars="200"/>
        <w:rPr>
          <w:rFonts w:ascii="宋体" w:hAnsi="宋体"/>
          <w:szCs w:val="20"/>
        </w:rPr>
      </w:pPr>
      <w:r>
        <w:rPr>
          <w:rFonts w:hint="eastAsia" w:ascii="宋体" w:hAnsi="宋体"/>
          <w:szCs w:val="20"/>
        </w:rPr>
        <w:t>（四）合同余款的支付，按本合同验收方式之合同验收合格后、在采购人收齐中标人交付的合法有效并与本合同条款相一致的发票等支付凭证之日起的5个工作日内支付相应合同余款。</w:t>
      </w:r>
      <w:bookmarkEnd w:id="31"/>
    </w:p>
    <w:p>
      <w:pPr>
        <w:pStyle w:val="15"/>
        <w:ind w:firstLine="420" w:firstLineChars="200"/>
        <w:rPr>
          <w:rFonts w:ascii="宋体" w:hAnsi="宋体"/>
          <w:szCs w:val="20"/>
        </w:rPr>
      </w:pPr>
    </w:p>
    <w:p>
      <w:pPr>
        <w:pStyle w:val="9"/>
        <w:numPr>
          <w:ilvl w:val="0"/>
          <w:numId w:val="0"/>
        </w:numPr>
        <w:spacing w:before="156" w:after="156"/>
        <w:jc w:val="left"/>
        <w:outlineLvl w:val="2"/>
        <w:rPr>
          <w:sz w:val="24"/>
          <w:szCs w:val="24"/>
        </w:rPr>
      </w:pPr>
      <w:bookmarkStart w:id="32" w:name="_Toc164269626"/>
      <w:r>
        <w:rPr>
          <w:sz w:val="24"/>
          <w:szCs w:val="24"/>
        </w:rPr>
        <w:t>3.</w:t>
      </w:r>
      <w:r>
        <w:rPr>
          <w:rFonts w:hint="eastAsia"/>
          <w:sz w:val="24"/>
          <w:szCs w:val="24"/>
        </w:rPr>
        <w:t>8原型演示</w:t>
      </w:r>
      <w:bookmarkEnd w:id="32"/>
    </w:p>
    <w:p>
      <w:pPr>
        <w:ind w:firstLine="420" w:firstLineChars="200"/>
        <w:rPr>
          <w:rFonts w:ascii="宋体" w:hAnsi="宋体"/>
          <w:szCs w:val="20"/>
        </w:rPr>
      </w:pPr>
      <w:r>
        <w:rPr>
          <w:rFonts w:hint="eastAsia" w:ascii="宋体" w:hAnsi="宋体"/>
          <w:szCs w:val="20"/>
        </w:rPr>
        <w:t>(一)本项目要求在评审过程中进行原型演示，建议供应商在投标文件解密时间截止后1小时内到达采购代理机构等候。原型演示开始时间由评标委员会确定，如供应商未在评标委员会规定的时间内到达原型演示地点进行原型演示，评标委员会有权视其放弃原型演示。等候地点：广州市天河区天润路445号广州市政府采购中心（太阳广场）四楼。</w:t>
      </w:r>
    </w:p>
    <w:p>
      <w:pPr>
        <w:ind w:firstLine="425"/>
        <w:rPr>
          <w:rFonts w:ascii="宋体" w:hAnsi="宋体"/>
          <w:szCs w:val="20"/>
        </w:rPr>
      </w:pPr>
      <w:r>
        <w:rPr>
          <w:rFonts w:hint="eastAsia" w:ascii="宋体" w:hAnsi="宋体"/>
          <w:szCs w:val="20"/>
        </w:rPr>
        <w:t>(二) 本项目由有效投标人于评标过程中进行原型演示，请投标人自行准备相关文件。</w:t>
      </w:r>
    </w:p>
    <w:p>
      <w:pPr>
        <w:ind w:firstLine="426"/>
        <w:rPr>
          <w:rFonts w:ascii="宋体" w:hAnsi="宋体"/>
          <w:szCs w:val="20"/>
        </w:rPr>
      </w:pPr>
      <w:r>
        <w:rPr>
          <w:rFonts w:hint="eastAsia" w:ascii="宋体" w:hAnsi="宋体"/>
          <w:szCs w:val="20"/>
        </w:rPr>
        <w:t>(三)授权委托代理人须凭身份证原件参加原型演示，参加人数不超过3人（含授权委托代理人在内）。</w:t>
      </w:r>
    </w:p>
    <w:p>
      <w:pPr>
        <w:ind w:firstLine="425"/>
        <w:rPr>
          <w:rFonts w:ascii="宋体" w:hAnsi="宋体"/>
          <w:szCs w:val="20"/>
        </w:rPr>
      </w:pPr>
      <w:r>
        <w:rPr>
          <w:rFonts w:hint="eastAsia" w:ascii="宋体" w:hAnsi="宋体"/>
          <w:szCs w:val="20"/>
        </w:rPr>
        <w:t>(四) 如原型演示过程中需要用到电脑等设备，请投标人自带，评标现场仅提供电源和投影设备。</w:t>
      </w:r>
    </w:p>
    <w:p>
      <w:pPr>
        <w:ind w:firstLine="420" w:firstLineChars="200"/>
        <w:rPr>
          <w:rFonts w:ascii="宋体" w:hAnsi="宋体"/>
          <w:szCs w:val="20"/>
        </w:rPr>
      </w:pPr>
      <w:r>
        <w:rPr>
          <w:rFonts w:hint="eastAsia" w:ascii="宋体" w:hAnsi="宋体"/>
          <w:szCs w:val="20"/>
        </w:rPr>
        <w:t>(五) 原型演示时间15分钟。</w:t>
      </w:r>
    </w:p>
    <w:p>
      <w:pPr>
        <w:ind w:firstLine="425"/>
        <w:rPr>
          <w:rFonts w:ascii="宋体" w:hAnsi="宋体"/>
          <w:szCs w:val="20"/>
        </w:rPr>
      </w:pPr>
      <w:r>
        <w:rPr>
          <w:rFonts w:hint="eastAsia" w:ascii="宋体" w:hAnsi="宋体"/>
          <w:szCs w:val="20"/>
        </w:rPr>
        <w:t>(六) 原型演示内容：</w:t>
      </w:r>
    </w:p>
    <w:p>
      <w:pPr>
        <w:widowControl/>
        <w:rPr>
          <w:rFonts w:ascii="宋体" w:hAnsi="宋体" w:cs="宋体"/>
          <w:b/>
          <w:color w:val="000000" w:themeColor="text1"/>
          <w:kern w:val="0"/>
          <w:szCs w:val="21"/>
          <w14:textFill>
            <w14:solidFill>
              <w14:schemeClr w14:val="tx1"/>
            </w14:solidFill>
          </w14:textFill>
        </w:rPr>
      </w:pPr>
      <w:r>
        <w:rPr>
          <w:rFonts w:hint="eastAsia" w:ascii="宋体" w:hAnsi="宋体" w:cs="宋体"/>
          <w:b/>
          <w:bCs/>
          <w:kern w:val="0"/>
          <w:szCs w:val="21"/>
          <w:lang w:eastAsia="zh-TW"/>
        </w:rPr>
        <w:t>要求投标人远程登录投标设备，对</w:t>
      </w:r>
      <w:r>
        <w:rPr>
          <w:rFonts w:hint="eastAsia" w:ascii="宋体" w:hAnsi="宋体" w:cs="宋体"/>
          <w:b/>
          <w:bCs/>
          <w:kern w:val="0"/>
          <w:szCs w:val="21"/>
        </w:rPr>
        <w:t>运维安全管理系统、W</w:t>
      </w:r>
      <w:r>
        <w:rPr>
          <w:rFonts w:ascii="宋体" w:hAnsi="宋体" w:cs="宋体"/>
          <w:b/>
          <w:bCs/>
          <w:kern w:val="0"/>
          <w:szCs w:val="21"/>
        </w:rPr>
        <w:t>EB</w:t>
      </w:r>
      <w:r>
        <w:rPr>
          <w:rFonts w:hint="eastAsia" w:ascii="宋体" w:hAnsi="宋体" w:cs="宋体"/>
          <w:b/>
          <w:bCs/>
          <w:kern w:val="0"/>
          <w:szCs w:val="21"/>
        </w:rPr>
        <w:t>应用防护系统、综合日志审计分析平台</w:t>
      </w:r>
      <w:r>
        <w:rPr>
          <w:rFonts w:hint="eastAsia" w:ascii="宋体" w:hAnsi="宋体" w:cs="宋体"/>
          <w:b/>
          <w:color w:val="000000" w:themeColor="text1"/>
          <w:kern w:val="0"/>
          <w:szCs w:val="21"/>
          <w14:textFill>
            <w14:solidFill>
              <w14:schemeClr w14:val="tx1"/>
            </w14:solidFill>
          </w14:textFill>
        </w:rPr>
        <w:t>的功能要求进行现场演示：</w:t>
      </w:r>
    </w:p>
    <w:p>
      <w:bookmarkStart w:id="33" w:name="_Hlk164246912"/>
      <w:r>
        <w:rPr>
          <w:rFonts w:hint="eastAsia"/>
        </w:rPr>
        <w:t>运维安全管理系统:</w:t>
      </w:r>
    </w:p>
    <w:p>
      <w:pPr>
        <w:widowControl/>
        <w:spacing w:line="240" w:lineRule="atLeast"/>
        <w:rPr>
          <w:rFonts w:ascii="宋体" w:hAnsi="宋体"/>
          <w:kern w:val="0"/>
          <w:szCs w:val="21"/>
        </w:rPr>
      </w:pPr>
      <w:r>
        <w:rPr>
          <w:rFonts w:hint="eastAsia" w:ascii="宋体" w:hAnsi="宋体"/>
          <w:kern w:val="0"/>
          <w:szCs w:val="21"/>
        </w:rPr>
        <w:t>1、用户登录堡垒机支持多种认证方式，包括本地静态密码认证、LDAP认证、RADIUS认证、USBKEY认证、PIN+软件OTP、短信认证、企微扫码认证、钉钉扫码认证、OAuth2.0等身份认证方式。</w:t>
      </w:r>
    </w:p>
    <w:p>
      <w:pPr>
        <w:widowControl/>
        <w:spacing w:line="240" w:lineRule="atLeast"/>
        <w:rPr>
          <w:rFonts w:ascii="宋体" w:hAnsi="宋体"/>
          <w:kern w:val="0"/>
          <w:szCs w:val="21"/>
        </w:rPr>
      </w:pPr>
      <w:r>
        <w:rPr>
          <w:rFonts w:hint="eastAsia" w:ascii="宋体" w:hAnsi="宋体"/>
          <w:kern w:val="0"/>
          <w:szCs w:val="21"/>
        </w:rPr>
        <w:t>2、支持堡垒机专用客户端和堡垒机建立加密隧道，隧道加密算法可按需选择是国密或者标密。</w:t>
      </w:r>
    </w:p>
    <w:p/>
    <w:p>
      <w:r>
        <w:rPr>
          <w:rFonts w:hint="eastAsia"/>
        </w:rPr>
        <w:t>WEB应用防护系统:</w:t>
      </w:r>
    </w:p>
    <w:p>
      <w:pPr>
        <w:widowControl/>
        <w:spacing w:line="240" w:lineRule="atLeast"/>
        <w:rPr>
          <w:rFonts w:ascii="宋体" w:hAnsi="宋体"/>
          <w:kern w:val="0"/>
          <w:szCs w:val="21"/>
        </w:rPr>
      </w:pPr>
      <w:r>
        <w:rPr>
          <w:rFonts w:ascii="宋体" w:hAnsi="宋体"/>
          <w:kern w:val="0"/>
          <w:szCs w:val="21"/>
        </w:rPr>
        <w:t>1、支持紧急模式</w:t>
      </w:r>
      <w:r>
        <w:rPr>
          <w:rFonts w:hint="eastAsia" w:ascii="宋体" w:hAnsi="宋体"/>
          <w:kern w:val="0"/>
          <w:szCs w:val="21"/>
        </w:rPr>
        <w:t>，</w:t>
      </w:r>
      <w:r>
        <w:rPr>
          <w:rFonts w:ascii="宋体" w:hAnsi="宋体"/>
          <w:kern w:val="0"/>
          <w:szCs w:val="21"/>
        </w:rPr>
        <w:t>支持配置并发连接数阈值，当并发连接数超过设置阀值时，WAF自动进入紧急模式，已经代理的连接正常代理，对新增的请求直接转发；当连接数恢复正常时，自动退出紧急模式。</w:t>
      </w:r>
    </w:p>
    <w:p>
      <w:pPr>
        <w:widowControl/>
        <w:spacing w:line="240" w:lineRule="atLeast"/>
        <w:rPr>
          <w:rFonts w:ascii="宋体" w:hAnsi="宋体"/>
          <w:kern w:val="0"/>
          <w:szCs w:val="21"/>
        </w:rPr>
      </w:pPr>
      <w:r>
        <w:rPr>
          <w:rFonts w:ascii="宋体" w:hAnsi="宋体"/>
          <w:kern w:val="0"/>
          <w:szCs w:val="21"/>
        </w:rPr>
        <w:t>2、支持XML防护，包括XML基础校验、Schema校验以及SOAP校验</w:t>
      </w:r>
    </w:p>
    <w:bookmarkEnd w:id="33"/>
    <w:p>
      <w:pPr>
        <w:rPr>
          <w:rFonts w:ascii="宋体" w:hAnsi="宋体"/>
          <w:kern w:val="0"/>
          <w:szCs w:val="21"/>
        </w:rPr>
      </w:pPr>
    </w:p>
    <w:p>
      <w:pPr>
        <w:widowControl/>
        <w:rPr>
          <w:rFonts w:ascii="宋体" w:hAnsi="宋体"/>
          <w:kern w:val="0"/>
          <w:szCs w:val="21"/>
        </w:rPr>
      </w:pPr>
      <w:r>
        <w:rPr>
          <w:rFonts w:hint="eastAsia" w:ascii="宋体" w:hAnsi="宋体"/>
          <w:kern w:val="0"/>
          <w:szCs w:val="21"/>
        </w:rPr>
        <w:t>综合日志审计分析平台：</w:t>
      </w:r>
    </w:p>
    <w:p>
      <w:pPr>
        <w:widowControl/>
        <w:rPr>
          <w:rFonts w:ascii="宋体" w:hAnsi="宋体"/>
          <w:kern w:val="0"/>
          <w:szCs w:val="21"/>
        </w:rPr>
      </w:pPr>
      <w:r>
        <w:rPr>
          <w:rFonts w:ascii="宋体" w:hAnsi="宋体"/>
          <w:kern w:val="0"/>
          <w:szCs w:val="21"/>
        </w:rPr>
        <w:t>1、具备安全评估模型，评估模型基于设备故障、认证登录、攻击威胁、可用性、系统脆弱性等纬度加权平均计算总体安全指数。安全评估模型可以显示总体评分、历史评分趋势。</w:t>
      </w:r>
    </w:p>
    <w:p>
      <w:pPr>
        <w:ind w:firstLine="480"/>
      </w:pPr>
    </w:p>
    <w:p>
      <w:pPr>
        <w:ind w:firstLine="480"/>
      </w:pPr>
    </w:p>
    <w:p>
      <w:pPr>
        <w:pStyle w:val="7"/>
        <w:rPr>
          <w:rFonts w:hint="default"/>
        </w:rPr>
      </w:pPr>
    </w:p>
    <w:p>
      <w:bookmarkStart w:id="34" w:name="_GoBack"/>
      <w:bookmarkEnd w:id="3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ind w:left="845"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9454638"/>
    <w:multiLevelType w:val="multilevel"/>
    <w:tmpl w:val="39454638"/>
    <w:lvl w:ilvl="0" w:tentative="0">
      <w:start w:val="2"/>
      <w:numFmt w:val="chineseCountingThousand"/>
      <w:pStyle w:val="9"/>
      <w:suff w:val="space"/>
      <w:lvlText w:val="第%1章"/>
      <w:lvlJc w:val="left"/>
      <w:pPr>
        <w:ind w:left="420" w:firstLine="0"/>
      </w:pPr>
    </w:lvl>
    <w:lvl w:ilvl="1" w:tentative="0">
      <w:start w:val="1"/>
      <w:numFmt w:val="decimal"/>
      <w:isLgl/>
      <w:suff w:val="space"/>
      <w:lvlText w:val="%1.%2"/>
      <w:lvlJc w:val="left"/>
      <w:pPr>
        <w:ind w:left="993" w:hanging="567"/>
      </w:pPr>
    </w:lvl>
    <w:lvl w:ilvl="2" w:tentative="0">
      <w:start w:val="1"/>
      <w:numFmt w:val="decimal"/>
      <w:isLgl/>
      <w:suff w:val="space"/>
      <w:lvlText w:val="%1.%2.%3"/>
      <w:lvlJc w:val="left"/>
      <w:pPr>
        <w:ind w:left="2007" w:hanging="1327"/>
      </w:pPr>
      <w:rPr>
        <w:color w:val="auto"/>
      </w:rPr>
    </w:lvl>
    <w:lvl w:ilvl="3" w:tentative="0">
      <w:start w:val="1"/>
      <w:numFmt w:val="decimal"/>
      <w:isLgl/>
      <w:suff w:val="space"/>
      <w:lvlText w:val="%1.%2.%3.%4"/>
      <w:lvlJc w:val="left"/>
      <w:pPr>
        <w:ind w:left="1428" w:hanging="464"/>
      </w:pPr>
    </w:lvl>
    <w:lvl w:ilvl="4" w:tentative="0">
      <w:start w:val="1"/>
      <w:numFmt w:val="decimal"/>
      <w:lvlText w:val="%1.%2.%3.%4.%5"/>
      <w:lvlJc w:val="left"/>
      <w:pPr>
        <w:tabs>
          <w:tab w:val="left" w:pos="2554"/>
        </w:tabs>
        <w:ind w:left="2324" w:hanging="850"/>
      </w:pPr>
    </w:lvl>
    <w:lvl w:ilvl="5" w:tentative="0">
      <w:start w:val="1"/>
      <w:numFmt w:val="decimal"/>
      <w:lvlText w:val="%1.%2.%3.%4.%5.%6"/>
      <w:lvlJc w:val="left"/>
      <w:pPr>
        <w:tabs>
          <w:tab w:val="left" w:pos="3339"/>
        </w:tabs>
        <w:ind w:left="3033" w:hanging="1134"/>
      </w:pPr>
    </w:lvl>
    <w:lvl w:ilvl="6" w:tentative="0">
      <w:start w:val="1"/>
      <w:numFmt w:val="decimal"/>
      <w:lvlText w:val="%1.%2.%3.%4.%5.%6.%7"/>
      <w:lvlJc w:val="left"/>
      <w:pPr>
        <w:tabs>
          <w:tab w:val="left" w:pos="3764"/>
        </w:tabs>
        <w:ind w:left="3600" w:hanging="1276"/>
      </w:pPr>
    </w:lvl>
    <w:lvl w:ilvl="7" w:tentative="0">
      <w:start w:val="1"/>
      <w:numFmt w:val="decimal"/>
      <w:lvlText w:val="%1.%2.%3.%4.%5.%6.%7.%8"/>
      <w:lvlJc w:val="left"/>
      <w:pPr>
        <w:tabs>
          <w:tab w:val="left" w:pos="4549"/>
        </w:tabs>
        <w:ind w:left="4167" w:hanging="1418"/>
      </w:pPr>
    </w:lvl>
    <w:lvl w:ilvl="8" w:tentative="0">
      <w:start w:val="1"/>
      <w:numFmt w:val="decimal"/>
      <w:lvlText w:val="%1.%2.%3.%4.%5.%6.%7.%8.%9"/>
      <w:lvlJc w:val="left"/>
      <w:pPr>
        <w:tabs>
          <w:tab w:val="left" w:pos="4975"/>
        </w:tabs>
        <w:ind w:left="4875" w:hanging="170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DdmMWJhZTM5ZTFiNDc4OTNmMWM0ZTQxMDcwZjkifQ=="/>
  </w:docVars>
  <w:rsids>
    <w:rsidRoot w:val="270F060F"/>
    <w:rsid w:val="270F0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rPr>
      <w:rFonts w:ascii="Times New Roman" w:hAnsi="Times New Roman"/>
      <w:szCs w:val="20"/>
    </w:rPr>
  </w:style>
  <w:style w:type="paragraph" w:styleId="4">
    <w:name w:val="Normal (Web)"/>
    <w:basedOn w:val="1"/>
    <w:qFormat/>
    <w:uiPriority w:val="99"/>
    <w:pPr>
      <w:widowControl/>
      <w:spacing w:before="100" w:beforeAutospacing="1" w:after="100" w:afterAutospacing="1" w:line="400" w:lineRule="exact"/>
      <w:jc w:val="left"/>
    </w:pPr>
    <w:rPr>
      <w:rFonts w:ascii="宋体" w:hAnsi="宋体" w:cs="宋体"/>
      <w:spacing w:val="8"/>
      <w:sz w:val="24"/>
      <w:szCs w:val="24"/>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 w:type="paragraph" w:customStyle="1" w:styleId="8">
    <w:name w:val="正文_0"/>
    <w:qFormat/>
    <w:uiPriority w:val="0"/>
    <w:rPr>
      <w:rFonts w:ascii="Times New Roman" w:hAnsi="Times New Roman" w:eastAsia="宋体" w:cs="Times New Roman"/>
      <w:sz w:val="21"/>
      <w:szCs w:val="22"/>
      <w:lang w:val="en-US" w:eastAsia="zh-CN" w:bidi="ar-SA"/>
    </w:rPr>
  </w:style>
  <w:style w:type="paragraph" w:customStyle="1" w:styleId="9">
    <w:name w:val="第二章"/>
    <w:basedOn w:val="1"/>
    <w:next w:val="1"/>
    <w:qFormat/>
    <w:uiPriority w:val="0"/>
    <w:pPr>
      <w:keepNext/>
      <w:keepLines/>
      <w:numPr>
        <w:ilvl w:val="0"/>
        <w:numId w:val="1"/>
      </w:numPr>
      <w:spacing w:before="200" w:after="200" w:line="360" w:lineRule="auto"/>
      <w:jc w:val="center"/>
      <w:outlineLvl w:val="0"/>
    </w:pPr>
    <w:rPr>
      <w:rFonts w:ascii="宋体" w:hAnsi="宋体"/>
      <w:b/>
      <w:bCs/>
      <w:kern w:val="44"/>
      <w:sz w:val="30"/>
      <w:szCs w:val="30"/>
    </w:rPr>
  </w:style>
  <w:style w:type="paragraph" w:customStyle="1" w:styleId="1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0_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2">
    <w:name w:val="10"/>
    <w:qFormat/>
    <w:uiPriority w:val="0"/>
    <w:rPr>
      <w:rFonts w:hint="default" w:ascii="Calibri" w:hAnsi="Calibri" w:cs="Calibri"/>
    </w:rPr>
  </w:style>
  <w:style w:type="paragraph" w:customStyle="1" w:styleId="13">
    <w:name w:val="正文_1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2024-05-24T06:37:00Z</dcterms:created>
  <dc:creator>黄熙栋</dc:creator>
  <cp:lastModifiedBy>黄熙栋</cp:lastModifiedBy>
  <dcterms:modified xsi:type="dcterms:W3CDTF">2024-05-24T06:37:31Z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6D9E1F26AD124A779BED6CF6014A4C22_11</vt:lpwstr>
  </property>
</Properties>
</file>