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A773">
      <w:pPr>
        <w:spacing w:line="360" w:lineRule="auto"/>
        <w:ind w:firstLine="0" w:firstLineChars="0"/>
        <w:jc w:val="center"/>
        <w:rPr>
          <w:rFonts w:hint="eastAsia" w:ascii="宋体" w:hAnsi="宋体" w:eastAsia="宋体" w:cs="Times New Roman"/>
          <w:b/>
          <w:sz w:val="32"/>
        </w:rPr>
      </w:pPr>
      <w:r>
        <w:rPr>
          <w:rFonts w:hint="eastAsia" w:ascii="宋体" w:hAnsi="宋体" w:eastAsia="宋体" w:cs="Times New Roman"/>
          <w:b/>
          <w:sz w:val="32"/>
        </w:rPr>
        <w:t>中铁四局集团有限公司第六工程分公司</w:t>
      </w:r>
    </w:p>
    <w:p w14:paraId="27F0151C">
      <w:pPr>
        <w:spacing w:line="360" w:lineRule="auto"/>
        <w:ind w:firstLine="0" w:firstLineChars="0"/>
        <w:jc w:val="center"/>
        <w:rPr>
          <w:sz w:val="32"/>
        </w:rPr>
      </w:pPr>
      <w:r>
        <w:rPr>
          <w:rFonts w:hint="eastAsia"/>
          <w:b/>
          <w:sz w:val="32"/>
          <w:lang w:eastAsia="zh-CN"/>
        </w:rPr>
        <w:t>2025-2026年度宜宾区域</w:t>
      </w:r>
      <w:r>
        <w:rPr>
          <w:rFonts w:hint="eastAsia" w:ascii="宋体" w:hAnsi="宋体"/>
          <w:b/>
          <w:sz w:val="32"/>
        </w:rPr>
        <w:t>商品砼</w:t>
      </w:r>
      <w:r>
        <w:rPr>
          <w:rFonts w:hint="eastAsia"/>
          <w:b/>
          <w:sz w:val="32"/>
        </w:rPr>
        <w:t>框架协议采购招标公告</w:t>
      </w:r>
    </w:p>
    <w:p w14:paraId="2E457BE5">
      <w:pPr>
        <w:rPr>
          <w:rFonts w:hint="eastAsia" w:asciiTheme="minorEastAsia" w:hAnsiTheme="minorEastAsia" w:eastAsiaTheme="minorEastAsia"/>
          <w:lang w:eastAsia="zh-CN"/>
        </w:rPr>
      </w:pPr>
      <w:r>
        <w:rPr>
          <w:rFonts w:hint="eastAsia" w:asciiTheme="minorEastAsia" w:hAnsiTheme="minorEastAsia" w:eastAsiaTheme="minorEastAsia"/>
        </w:rPr>
        <w:t>招标编号：</w:t>
      </w:r>
      <w:r>
        <w:rPr>
          <w:rFonts w:hint="eastAsia" w:asciiTheme="minorEastAsia" w:hAnsiTheme="minorEastAsia" w:eastAsiaTheme="minorEastAsia"/>
          <w:lang w:eastAsia="zh-CN"/>
        </w:rPr>
        <w:t>ZTSJWZKJ-LGSF-2025-003</w:t>
      </w:r>
    </w:p>
    <w:p w14:paraId="5C26B8C0">
      <w:pPr>
        <w:pStyle w:val="5"/>
        <w:spacing w:line="400" w:lineRule="exact"/>
        <w:rPr>
          <w:rFonts w:cs="宋体"/>
        </w:rPr>
      </w:pPr>
      <w:bookmarkStart w:id="0" w:name="_Toc8925"/>
      <w:bookmarkStart w:id="1" w:name="_Toc166350675"/>
      <w:bookmarkStart w:id="2" w:name="_Toc6634"/>
      <w:bookmarkStart w:id="3" w:name="_Toc13513"/>
      <w:bookmarkStart w:id="4" w:name="_Toc27625"/>
      <w:bookmarkStart w:id="5" w:name="_Toc5967"/>
      <w:bookmarkStart w:id="6" w:name="_Toc12231"/>
      <w:bookmarkStart w:id="7" w:name="_Toc7788"/>
      <w:bookmarkStart w:id="8" w:name="_Toc22054"/>
      <w:bookmarkStart w:id="9" w:name="_Toc24722"/>
      <w:bookmarkStart w:id="10" w:name="_Toc15292"/>
      <w:bookmarkStart w:id="11" w:name="_Toc3211"/>
      <w:bookmarkStart w:id="12" w:name="_Toc17573"/>
      <w:r>
        <w:t>1</w:t>
      </w:r>
      <w:r>
        <w:rPr>
          <w:rFonts w:hint="eastAsia"/>
        </w:rPr>
        <w:t>．招标依据</w:t>
      </w:r>
      <w:bookmarkEnd w:id="0"/>
      <w:bookmarkEnd w:id="1"/>
      <w:bookmarkEnd w:id="2"/>
      <w:bookmarkEnd w:id="3"/>
      <w:bookmarkEnd w:id="4"/>
      <w:bookmarkEnd w:id="5"/>
      <w:bookmarkEnd w:id="6"/>
      <w:bookmarkEnd w:id="7"/>
      <w:bookmarkEnd w:id="8"/>
      <w:bookmarkEnd w:id="9"/>
      <w:bookmarkEnd w:id="10"/>
      <w:bookmarkEnd w:id="11"/>
      <w:bookmarkEnd w:id="12"/>
    </w:p>
    <w:p w14:paraId="70768DE5">
      <w:pPr>
        <w:spacing w:line="400" w:lineRule="exact"/>
        <w:ind w:firstLine="420" w:firstLineChars="200"/>
        <w:jc w:val="left"/>
        <w:rPr>
          <w:rFonts w:ascii="宋体" w:hAnsi="宋体"/>
        </w:rPr>
      </w:pPr>
      <w:r>
        <w:rPr>
          <w:rFonts w:ascii="宋体" w:hAnsi="宋体"/>
        </w:rPr>
        <w:t>1.1</w:t>
      </w:r>
      <w:r>
        <w:rPr>
          <w:rFonts w:hint="eastAsia" w:ascii="宋体" w:hAnsi="宋体"/>
        </w:rPr>
        <w:t>《中华人民共和国招标投标法》（中华人民共和国主席令第</w:t>
      </w:r>
      <w:r>
        <w:rPr>
          <w:rFonts w:ascii="宋体" w:hAnsi="宋体"/>
        </w:rPr>
        <w:t>21</w:t>
      </w:r>
      <w:r>
        <w:rPr>
          <w:rFonts w:hint="eastAsia" w:ascii="宋体" w:hAnsi="宋体"/>
        </w:rPr>
        <w:t>号）；</w:t>
      </w:r>
    </w:p>
    <w:p w14:paraId="1CD36B4B">
      <w:pPr>
        <w:spacing w:line="400" w:lineRule="exact"/>
        <w:ind w:firstLine="420" w:firstLineChars="200"/>
        <w:jc w:val="left"/>
        <w:rPr>
          <w:rFonts w:ascii="宋体" w:hAnsi="宋体"/>
        </w:rPr>
      </w:pPr>
      <w:r>
        <w:rPr>
          <w:rFonts w:ascii="宋体" w:hAnsi="宋体"/>
        </w:rPr>
        <w:t>1.2</w:t>
      </w:r>
      <w:r>
        <w:rPr>
          <w:rFonts w:hint="eastAsia" w:ascii="宋体" w:hAnsi="宋体"/>
        </w:rPr>
        <w:t>《中华人民共和国招标投标实施条例》（中华人民共和国国务院令第</w:t>
      </w:r>
      <w:r>
        <w:rPr>
          <w:rFonts w:ascii="宋体" w:hAnsi="宋体"/>
        </w:rPr>
        <w:t>613</w:t>
      </w:r>
      <w:r>
        <w:rPr>
          <w:rFonts w:hint="eastAsia" w:ascii="宋体" w:hAnsi="宋体"/>
        </w:rPr>
        <w:t>号）；</w:t>
      </w:r>
    </w:p>
    <w:p w14:paraId="3A38BED4">
      <w:pPr>
        <w:spacing w:line="400" w:lineRule="exact"/>
        <w:ind w:firstLine="420" w:firstLineChars="200"/>
        <w:jc w:val="left"/>
        <w:rPr>
          <w:rFonts w:ascii="宋体" w:hAnsi="宋体"/>
        </w:rPr>
      </w:pPr>
      <w:r>
        <w:rPr>
          <w:rFonts w:ascii="宋体" w:hAnsi="宋体"/>
        </w:rPr>
        <w:t>1.3</w:t>
      </w:r>
      <w:r>
        <w:rPr>
          <w:rFonts w:hint="eastAsia" w:ascii="宋体" w:hAnsi="宋体"/>
        </w:rPr>
        <w:t>《评标委员会和评标办法暂行规定》（国家发展改革委第23号令）；</w:t>
      </w:r>
    </w:p>
    <w:p w14:paraId="12A03DA6">
      <w:pPr>
        <w:spacing w:line="400" w:lineRule="exact"/>
        <w:ind w:firstLine="420" w:firstLineChars="200"/>
        <w:jc w:val="left"/>
        <w:rPr>
          <w:rFonts w:ascii="宋体" w:hAnsi="宋体"/>
        </w:rPr>
      </w:pPr>
      <w:r>
        <w:rPr>
          <w:rFonts w:ascii="宋体" w:hAnsi="宋体"/>
        </w:rPr>
        <w:t>1.4</w:t>
      </w:r>
      <w:r>
        <w:rPr>
          <w:rFonts w:hint="eastAsia" w:ascii="宋体" w:hAnsi="宋体"/>
        </w:rPr>
        <w:t>《中国中铁股份有限公司框架协议采购管理规定》；</w:t>
      </w:r>
    </w:p>
    <w:p w14:paraId="6AD01643">
      <w:pPr>
        <w:spacing w:line="400" w:lineRule="exact"/>
        <w:ind w:firstLine="420" w:firstLineChars="200"/>
        <w:jc w:val="left"/>
        <w:rPr>
          <w:rFonts w:ascii="宋体" w:hAnsi="宋体"/>
        </w:rPr>
      </w:pPr>
      <w:r>
        <w:rPr>
          <w:rFonts w:hint="eastAsia" w:ascii="宋体" w:hAnsi="宋体"/>
        </w:rPr>
        <w:t>1.5其它相关法律、法规、规章。</w:t>
      </w:r>
    </w:p>
    <w:p w14:paraId="6BEFC512">
      <w:pPr>
        <w:pStyle w:val="5"/>
        <w:spacing w:line="400" w:lineRule="exact"/>
      </w:pPr>
      <w:bookmarkStart w:id="13" w:name="_Toc11515"/>
      <w:bookmarkStart w:id="14" w:name="_Toc23653"/>
      <w:bookmarkStart w:id="15" w:name="_Toc28983"/>
      <w:bookmarkStart w:id="16" w:name="_Toc2557"/>
      <w:bookmarkStart w:id="17" w:name="_Toc166350676"/>
      <w:bookmarkStart w:id="18" w:name="_Toc7434"/>
      <w:bookmarkStart w:id="19" w:name="_Toc20986"/>
      <w:bookmarkStart w:id="20" w:name="_Toc3475"/>
      <w:bookmarkStart w:id="21" w:name="_Toc5861"/>
      <w:bookmarkStart w:id="22" w:name="_Toc19313"/>
      <w:bookmarkStart w:id="23" w:name="_Toc20832"/>
      <w:bookmarkStart w:id="24" w:name="_Toc30718"/>
      <w:bookmarkStart w:id="25" w:name="_Toc8519"/>
      <w:r>
        <w:t>2</w:t>
      </w:r>
      <w:r>
        <w:rPr>
          <w:rFonts w:hint="eastAsia"/>
        </w:rPr>
        <w:t>．采购单位概况与招标内容</w:t>
      </w:r>
      <w:bookmarkEnd w:id="13"/>
      <w:bookmarkEnd w:id="14"/>
      <w:bookmarkEnd w:id="15"/>
      <w:bookmarkEnd w:id="16"/>
      <w:bookmarkEnd w:id="17"/>
      <w:bookmarkEnd w:id="18"/>
      <w:bookmarkEnd w:id="19"/>
      <w:bookmarkEnd w:id="20"/>
      <w:bookmarkEnd w:id="21"/>
      <w:bookmarkEnd w:id="22"/>
      <w:bookmarkEnd w:id="23"/>
      <w:bookmarkEnd w:id="24"/>
      <w:bookmarkEnd w:id="25"/>
    </w:p>
    <w:p w14:paraId="253608BC">
      <w:pPr>
        <w:spacing w:line="400" w:lineRule="exact"/>
        <w:ind w:firstLine="422" w:firstLineChars="200"/>
        <w:jc w:val="left"/>
        <w:rPr>
          <w:rFonts w:ascii="宋体" w:hAnsi="宋体"/>
        </w:rPr>
      </w:pPr>
      <w:r>
        <w:rPr>
          <w:rFonts w:ascii="宋体" w:hAnsi="宋体"/>
          <w:b/>
        </w:rPr>
        <w:t>2.1</w:t>
      </w:r>
      <w:r>
        <w:rPr>
          <w:rFonts w:hint="eastAsia" w:ascii="宋体" w:hAnsi="宋体"/>
          <w:b/>
        </w:rPr>
        <w:t>采购单位概况</w:t>
      </w:r>
      <w:r>
        <w:rPr>
          <w:rFonts w:hint="eastAsia" w:ascii="宋体" w:hAnsi="宋体"/>
        </w:rPr>
        <w:t>：</w:t>
      </w:r>
    </w:p>
    <w:p w14:paraId="17C4BA62">
      <w:pPr>
        <w:spacing w:line="400" w:lineRule="exact"/>
        <w:ind w:firstLine="420" w:firstLineChars="200"/>
        <w:jc w:val="left"/>
        <w:rPr>
          <w:rFonts w:ascii="宋体" w:hAnsi="宋体"/>
          <w:i/>
          <w:iCs/>
        </w:rPr>
      </w:pPr>
      <w:r>
        <w:rPr>
          <w:rFonts w:hint="eastAsia" w:ascii="宋体" w:hAnsi="宋体"/>
        </w:rPr>
        <w:t>中铁四局集团有限公司第六工程分公司是</w:t>
      </w:r>
      <w:r>
        <w:rPr>
          <w:rFonts w:hint="eastAsia" w:ascii="宋体" w:hAnsi="宋体" w:cs="宋体"/>
          <w:szCs w:val="21"/>
        </w:rPr>
        <w:t>中国中铁四局集团有限公司下属分公司，是</w:t>
      </w:r>
      <w:r>
        <w:rPr>
          <w:rFonts w:hint="eastAsia" w:ascii="宋体" w:hAnsi="宋体"/>
        </w:rPr>
        <w:t>集市政道桥、新型城镇化建设、铁路专用线、公路及配套工程等于一体的综合施工专业化公司，主责区域市场为</w:t>
      </w:r>
      <w:r>
        <w:rPr>
          <w:rFonts w:hint="eastAsia" w:ascii="宋体" w:hAnsi="宋体" w:cs="宋体"/>
          <w:szCs w:val="21"/>
        </w:rPr>
        <w:t>陕西省、四川省、重庆市，是集团公司开发西南、西北市场的“桥头堡和排头兵”</w:t>
      </w:r>
      <w:r>
        <w:rPr>
          <w:rFonts w:hint="eastAsia" w:ascii="宋体" w:hAnsi="宋体"/>
        </w:rPr>
        <w:t>。在建项目涉及铁路、区域内公路、市政、城轨、房建、水利、新能源等多项产业，公司本部位于中国陕西省西安市。</w:t>
      </w:r>
    </w:p>
    <w:p w14:paraId="1EBBB251">
      <w:pPr>
        <w:spacing w:line="400" w:lineRule="exact"/>
        <w:ind w:firstLine="422" w:firstLineChars="200"/>
        <w:jc w:val="left"/>
        <w:rPr>
          <w:rFonts w:ascii="宋体" w:hAnsi="宋体"/>
        </w:rPr>
      </w:pPr>
      <w:r>
        <w:rPr>
          <w:rFonts w:ascii="宋体" w:hAnsi="宋体"/>
          <w:b/>
        </w:rPr>
        <w:t>2.2</w:t>
      </w:r>
      <w:r>
        <w:rPr>
          <w:rFonts w:hint="eastAsia" w:ascii="宋体" w:hAnsi="宋体"/>
          <w:b/>
        </w:rPr>
        <w:t>招标内容</w:t>
      </w:r>
      <w:r>
        <w:rPr>
          <w:rFonts w:hint="eastAsia" w:ascii="宋体" w:hAnsi="宋体"/>
        </w:rPr>
        <w:t>：</w:t>
      </w:r>
    </w:p>
    <w:p w14:paraId="713C50A7">
      <w:pPr>
        <w:spacing w:line="400" w:lineRule="exact"/>
        <w:ind w:firstLine="420" w:firstLineChars="200"/>
        <w:jc w:val="left"/>
        <w:rPr>
          <w:rFonts w:ascii="宋体" w:hAnsi="宋体"/>
        </w:rPr>
      </w:pPr>
      <w:r>
        <w:rPr>
          <w:rFonts w:ascii="宋体" w:hAnsi="宋体"/>
        </w:rPr>
        <w:t>2.2.1</w:t>
      </w:r>
      <w:r>
        <w:rPr>
          <w:rFonts w:hint="eastAsia" w:ascii="宋体" w:hAnsi="宋体"/>
        </w:rPr>
        <w:t>作为中国中铁四局集团有限公司下属分公司，为提高我公司在建和新开工项目采购效率，降低采购成本，更好的和供应商建立长期稳定、互惠共赢的合作、现决定对中铁四局集团有限公司第六工程分公司</w:t>
      </w:r>
      <w:r>
        <w:rPr>
          <w:rFonts w:hint="eastAsia" w:ascii="宋体" w:hAnsi="宋体"/>
          <w:lang w:eastAsia="zh-CN"/>
        </w:rPr>
        <w:t>2025-2026年度宜宾区域</w:t>
      </w:r>
      <w:r>
        <w:rPr>
          <w:rFonts w:hint="eastAsia" w:ascii="宋体" w:hAnsi="宋体"/>
        </w:rPr>
        <w:t>需采购的商品砼实行框架协议招标采购，选择一定数量供应商作为入围供应商，与招标人签订年度采购框架协议，确定上限价格，有效期</w:t>
      </w:r>
      <w:r>
        <w:rPr>
          <w:rFonts w:hint="eastAsia" w:ascii="宋体" w:hAnsi="宋体"/>
          <w:lang w:val="en-US" w:eastAsia="zh-CN"/>
        </w:rPr>
        <w:t>1</w:t>
      </w:r>
      <w:r>
        <w:rPr>
          <w:rFonts w:hint="eastAsia" w:ascii="宋体" w:hAnsi="宋体"/>
        </w:rPr>
        <w:t>年。框架协议有效期内，中铁四局集团有限公司第六工程分公司</w:t>
      </w:r>
      <w:r>
        <w:rPr>
          <w:rFonts w:hint="eastAsia" w:ascii="宋体" w:hAnsi="宋体"/>
          <w:lang w:eastAsia="zh-CN"/>
        </w:rPr>
        <w:t>宜宾区域</w:t>
      </w:r>
      <w:r>
        <w:rPr>
          <w:rFonts w:hint="eastAsia" w:ascii="宋体" w:hAnsi="宋体"/>
        </w:rPr>
        <w:t>内工程项目采购框架协议所涵盖的商品砼时，与本次招标签署框架采购协议的入围供应商通过二次竞价的方式实施采购。</w:t>
      </w:r>
    </w:p>
    <w:p w14:paraId="4A4487C1">
      <w:pPr>
        <w:spacing w:line="400" w:lineRule="exact"/>
        <w:ind w:firstLine="420" w:firstLineChars="200"/>
        <w:jc w:val="left"/>
        <w:rPr>
          <w:rFonts w:ascii="宋体" w:hAnsi="宋体"/>
        </w:rPr>
      </w:pPr>
      <w:r>
        <w:rPr>
          <w:rFonts w:ascii="宋体" w:hAnsi="宋体"/>
        </w:rPr>
        <w:t>2.2.2</w:t>
      </w:r>
      <w:r>
        <w:rPr>
          <w:rFonts w:hint="eastAsia" w:ascii="宋体" w:hAnsi="宋体"/>
        </w:rPr>
        <w:t>本次框架协议招标采购物资品种、包件划分详见附表1。</w:t>
      </w:r>
    </w:p>
    <w:p w14:paraId="6704CF3C">
      <w:pPr>
        <w:spacing w:line="400" w:lineRule="exact"/>
        <w:ind w:firstLine="420" w:firstLineChars="200"/>
        <w:jc w:val="left"/>
        <w:rPr>
          <w:rFonts w:ascii="宋体" w:hAnsi="宋体"/>
        </w:rPr>
      </w:pPr>
      <w:r>
        <w:rPr>
          <w:rFonts w:hint="eastAsia" w:ascii="宋体" w:hAnsi="宋体"/>
        </w:rPr>
        <w:t>2.2.3本次框架协议采购各包件内数量不作为实际供应依据，仅针对投标人报价及评标需要，具体供应数量以实际需求为准。</w:t>
      </w:r>
    </w:p>
    <w:p w14:paraId="0C18F46A">
      <w:pPr>
        <w:spacing w:line="400" w:lineRule="exact"/>
        <w:ind w:firstLine="422" w:firstLineChars="200"/>
        <w:jc w:val="left"/>
        <w:rPr>
          <w:rFonts w:ascii="宋体" w:hAnsi="宋体"/>
        </w:rPr>
      </w:pPr>
      <w:r>
        <w:rPr>
          <w:rFonts w:hint="eastAsia" w:ascii="宋体" w:hAnsi="宋体"/>
          <w:b/>
        </w:rPr>
        <w:t>2.3招标人发布招标结果公示前，有权组织相关人员对评标委员会推荐的框架协议入围候选人生产厂家进行实地考察，生产厂家需予以配合和协助。被推荐并通过考察的入围候选人，招标人确定其为入围供应商。</w:t>
      </w:r>
    </w:p>
    <w:p w14:paraId="30E685E3">
      <w:pPr>
        <w:pStyle w:val="5"/>
        <w:spacing w:line="400" w:lineRule="exact"/>
      </w:pPr>
      <w:bookmarkStart w:id="26" w:name="_Toc5472"/>
      <w:bookmarkStart w:id="27" w:name="_Toc166350677"/>
      <w:bookmarkStart w:id="28" w:name="_Toc27448"/>
      <w:bookmarkStart w:id="29" w:name="_Toc24846"/>
      <w:bookmarkStart w:id="30" w:name="_Toc4247"/>
      <w:bookmarkStart w:id="31" w:name="_Toc19614"/>
      <w:bookmarkStart w:id="32" w:name="_Toc17786"/>
      <w:bookmarkStart w:id="33" w:name="_Toc31563"/>
      <w:bookmarkStart w:id="34" w:name="_Toc22421"/>
      <w:bookmarkStart w:id="35" w:name="_Toc30851"/>
      <w:bookmarkStart w:id="36" w:name="_Toc20087"/>
      <w:bookmarkStart w:id="37" w:name="_Toc10170"/>
      <w:bookmarkStart w:id="38" w:name="_Toc30151"/>
      <w:r>
        <w:t>3</w:t>
      </w:r>
      <w:r>
        <w:rPr>
          <w:rFonts w:hint="eastAsia"/>
        </w:rPr>
        <w:t>．投标人资格要求</w:t>
      </w:r>
      <w:bookmarkEnd w:id="26"/>
      <w:bookmarkEnd w:id="27"/>
      <w:bookmarkEnd w:id="28"/>
      <w:bookmarkEnd w:id="29"/>
      <w:bookmarkEnd w:id="30"/>
      <w:bookmarkEnd w:id="31"/>
      <w:bookmarkEnd w:id="32"/>
      <w:bookmarkEnd w:id="33"/>
      <w:bookmarkEnd w:id="34"/>
      <w:bookmarkEnd w:id="35"/>
      <w:bookmarkEnd w:id="36"/>
      <w:bookmarkEnd w:id="37"/>
      <w:bookmarkEnd w:id="38"/>
    </w:p>
    <w:p w14:paraId="2853FD8C">
      <w:pPr>
        <w:spacing w:line="400" w:lineRule="exact"/>
        <w:ind w:firstLine="420" w:firstLineChars="200"/>
        <w:jc w:val="left"/>
        <w:rPr>
          <w:rFonts w:ascii="宋体" w:hAnsi="宋体"/>
        </w:rPr>
      </w:pPr>
      <w:r>
        <w:rPr>
          <w:rFonts w:ascii="宋体" w:hAnsi="宋体"/>
        </w:rPr>
        <w:t>3.1</w:t>
      </w:r>
      <w:r>
        <w:rPr>
          <w:rFonts w:hint="eastAsia" w:ascii="宋体" w:hAnsi="宋体"/>
        </w:rPr>
        <w:t>本次招标投标人资格条件要求详见附表1。</w:t>
      </w:r>
    </w:p>
    <w:p w14:paraId="6CE343AA">
      <w:pPr>
        <w:spacing w:line="400" w:lineRule="exact"/>
        <w:ind w:firstLine="420" w:firstLineChars="200"/>
        <w:jc w:val="left"/>
        <w:rPr>
          <w:rFonts w:ascii="宋体" w:hAnsi="宋体"/>
        </w:rPr>
      </w:pPr>
      <w:r>
        <w:rPr>
          <w:rFonts w:ascii="宋体" w:hAnsi="宋体"/>
        </w:rPr>
        <w:t>3.2</w:t>
      </w:r>
      <w:r>
        <w:rPr>
          <w:rFonts w:hint="eastAsia" w:ascii="宋体" w:hAnsi="宋体"/>
        </w:rPr>
        <w:t>本次招标不接受联合体投标。</w:t>
      </w:r>
      <w:bookmarkStart w:id="131" w:name="_GoBack"/>
      <w:bookmarkEnd w:id="131"/>
    </w:p>
    <w:p w14:paraId="2BA8EBA3">
      <w:pPr>
        <w:spacing w:line="400" w:lineRule="exact"/>
        <w:ind w:firstLine="420" w:firstLineChars="200"/>
        <w:jc w:val="left"/>
        <w:rPr>
          <w:rFonts w:ascii="宋体" w:hAnsi="宋体"/>
        </w:rPr>
      </w:pPr>
      <w:r>
        <w:rPr>
          <w:rFonts w:hint="eastAsia" w:ascii="宋体" w:hAnsi="宋体"/>
        </w:rPr>
        <w:t>3.3本次招标物资一包一投，投标人按包件分别编制投标文件。</w:t>
      </w:r>
    </w:p>
    <w:p w14:paraId="2E646ED6">
      <w:pPr>
        <w:pStyle w:val="5"/>
        <w:spacing w:line="400" w:lineRule="exact"/>
        <w:rPr>
          <w:rFonts w:cs="宋体"/>
        </w:rPr>
      </w:pPr>
      <w:bookmarkStart w:id="39" w:name="_Toc9221"/>
      <w:bookmarkStart w:id="40" w:name="_Toc25552"/>
      <w:bookmarkStart w:id="41" w:name="_Toc21183"/>
      <w:bookmarkStart w:id="42" w:name="_Toc7726"/>
      <w:bookmarkStart w:id="43" w:name="_Toc166350678"/>
      <w:bookmarkStart w:id="44" w:name="_Toc4417"/>
      <w:bookmarkStart w:id="45" w:name="_Toc10745"/>
      <w:bookmarkStart w:id="46" w:name="_Toc21712"/>
      <w:bookmarkStart w:id="47" w:name="_Toc24674"/>
      <w:bookmarkStart w:id="48" w:name="_Toc20622"/>
      <w:bookmarkStart w:id="49" w:name="_Toc31690"/>
      <w:bookmarkStart w:id="50" w:name="_Toc31332"/>
      <w:bookmarkStart w:id="51" w:name="_Toc27628"/>
      <w:r>
        <w:t>4</w:t>
      </w:r>
      <w:r>
        <w:rPr>
          <w:rFonts w:hint="eastAsia"/>
        </w:rPr>
        <w:t>．资格审查方式</w:t>
      </w:r>
      <w:bookmarkEnd w:id="39"/>
      <w:bookmarkEnd w:id="40"/>
      <w:bookmarkEnd w:id="41"/>
      <w:bookmarkEnd w:id="42"/>
      <w:bookmarkEnd w:id="43"/>
      <w:bookmarkEnd w:id="44"/>
      <w:bookmarkEnd w:id="45"/>
      <w:bookmarkEnd w:id="46"/>
      <w:bookmarkEnd w:id="47"/>
      <w:bookmarkEnd w:id="48"/>
      <w:bookmarkEnd w:id="49"/>
      <w:bookmarkEnd w:id="50"/>
      <w:bookmarkEnd w:id="51"/>
    </w:p>
    <w:p w14:paraId="3A41D76F">
      <w:pPr>
        <w:spacing w:line="400" w:lineRule="exact"/>
        <w:ind w:firstLine="420" w:firstLineChars="200"/>
        <w:jc w:val="left"/>
        <w:rPr>
          <w:rFonts w:ascii="宋体" w:hAnsi="宋体"/>
        </w:rPr>
      </w:pPr>
      <w:r>
        <w:rPr>
          <w:rFonts w:hint="eastAsia" w:ascii="宋体" w:hAnsi="宋体"/>
        </w:rPr>
        <w:t>本次招标投标人的资质审查采用资格后审方式，评标办法采用经评审的最低投标价法。</w:t>
      </w:r>
    </w:p>
    <w:p w14:paraId="7E6913BD">
      <w:pPr>
        <w:pStyle w:val="5"/>
        <w:spacing w:line="400" w:lineRule="exact"/>
      </w:pPr>
      <w:bookmarkStart w:id="52" w:name="_Toc9040"/>
      <w:bookmarkStart w:id="53" w:name="_Toc17777"/>
      <w:bookmarkStart w:id="54" w:name="_Toc31240"/>
      <w:bookmarkStart w:id="55" w:name="_Toc2107"/>
      <w:bookmarkStart w:id="56" w:name="_Toc28990"/>
      <w:bookmarkStart w:id="57" w:name="_Toc11156"/>
      <w:bookmarkStart w:id="58" w:name="_Toc166350679"/>
      <w:bookmarkStart w:id="59" w:name="_Toc2490"/>
      <w:bookmarkStart w:id="60" w:name="_Toc29893"/>
      <w:bookmarkStart w:id="61" w:name="_Toc11653"/>
      <w:bookmarkStart w:id="62" w:name="_Toc12670"/>
      <w:bookmarkStart w:id="63" w:name="_Toc25744"/>
      <w:bookmarkStart w:id="64" w:name="_Toc32131"/>
      <w:r>
        <w:t>5</w:t>
      </w:r>
      <w:r>
        <w:rPr>
          <w:rFonts w:hint="eastAsia"/>
        </w:rPr>
        <w:t>．招标文件的获取</w:t>
      </w:r>
      <w:bookmarkEnd w:id="52"/>
      <w:bookmarkEnd w:id="53"/>
      <w:bookmarkEnd w:id="54"/>
      <w:bookmarkEnd w:id="55"/>
      <w:bookmarkEnd w:id="56"/>
      <w:bookmarkEnd w:id="57"/>
      <w:bookmarkEnd w:id="58"/>
      <w:bookmarkEnd w:id="59"/>
      <w:bookmarkEnd w:id="60"/>
      <w:bookmarkEnd w:id="61"/>
      <w:bookmarkEnd w:id="62"/>
      <w:bookmarkEnd w:id="63"/>
      <w:bookmarkEnd w:id="64"/>
    </w:p>
    <w:p w14:paraId="51D2C7DE">
      <w:pPr>
        <w:spacing w:line="400" w:lineRule="exact"/>
        <w:ind w:firstLine="420" w:firstLineChars="200"/>
        <w:jc w:val="left"/>
        <w:rPr>
          <w:rFonts w:ascii="宋体" w:hAnsi="宋体"/>
        </w:rPr>
      </w:pPr>
      <w:r>
        <w:rPr>
          <w:rFonts w:hint="eastAsia" w:ascii="宋体" w:hAnsi="宋体"/>
        </w:rPr>
        <w:t>5.1凡有意参加投标的潜在投标人请于公告之日起至</w:t>
      </w:r>
      <w:r>
        <w:rPr>
          <w:rFonts w:hint="eastAsia" w:ascii="宋体" w:hAnsi="宋体"/>
          <w:highlight w:val="yellow"/>
        </w:rPr>
        <w:t>202</w:t>
      </w:r>
      <w:r>
        <w:rPr>
          <w:rFonts w:hint="eastAsia" w:ascii="宋体" w:hAnsi="宋体"/>
          <w:highlight w:val="yellow"/>
          <w:lang w:val="en-US" w:eastAsia="zh-CN"/>
        </w:rPr>
        <w:t>5</w:t>
      </w:r>
      <w:r>
        <w:rPr>
          <w:rFonts w:hint="eastAsia" w:ascii="宋体" w:hAnsi="宋体"/>
          <w:highlight w:val="yellow"/>
        </w:rPr>
        <w:t>年7月</w:t>
      </w:r>
      <w:r>
        <w:rPr>
          <w:rFonts w:hint="eastAsia" w:ascii="宋体" w:hAnsi="宋体"/>
          <w:highlight w:val="yellow"/>
          <w:lang w:val="en-US" w:eastAsia="zh-CN"/>
        </w:rPr>
        <w:t>30</w:t>
      </w:r>
      <w:r>
        <w:rPr>
          <w:rFonts w:hint="eastAsia" w:ascii="宋体" w:hAnsi="宋体"/>
          <w:highlight w:val="yellow"/>
        </w:rPr>
        <w:t>日</w:t>
      </w:r>
      <w:r>
        <w:rPr>
          <w:rFonts w:hint="eastAsia" w:ascii="宋体" w:hAnsi="宋体"/>
          <w:highlight w:val="yellow"/>
          <w:lang w:val="en-US" w:eastAsia="zh-CN"/>
        </w:rPr>
        <w:t>24</w:t>
      </w:r>
      <w:r>
        <w:rPr>
          <w:rFonts w:hint="eastAsia" w:ascii="宋体" w:hAnsi="宋体"/>
          <w:highlight w:val="yellow"/>
        </w:rPr>
        <w:t>时</w:t>
      </w:r>
      <w:r>
        <w:rPr>
          <w:rFonts w:hint="eastAsia" w:ascii="宋体" w:hAnsi="宋体"/>
          <w:highlight w:val="yellow"/>
          <w:lang w:val="en-US" w:eastAsia="zh-CN"/>
        </w:rPr>
        <w:t>00</w:t>
      </w:r>
      <w:r>
        <w:rPr>
          <w:rFonts w:hint="eastAsia" w:ascii="宋体" w:hAnsi="宋体"/>
          <w:highlight w:val="yellow"/>
        </w:rPr>
        <w:t>分前</w:t>
      </w:r>
      <w:r>
        <w:rPr>
          <w:rFonts w:hint="eastAsia" w:ascii="宋体" w:hAnsi="宋体"/>
        </w:rPr>
        <w:t>（北京时间、下同），在中国中铁采购电子商务平台上进行响应并获取招标文件，操作流程如下：</w:t>
      </w:r>
    </w:p>
    <w:p w14:paraId="1FDD8F1D">
      <w:pPr>
        <w:spacing w:line="400" w:lineRule="exact"/>
        <w:ind w:firstLine="420" w:firstLineChars="200"/>
        <w:jc w:val="left"/>
        <w:rPr>
          <w:rFonts w:ascii="宋体" w:hAnsi="宋体"/>
        </w:rPr>
      </w:pPr>
      <w:r>
        <w:rPr>
          <w:rFonts w:hint="eastAsia" w:ascii="宋体" w:hAnsi="宋体"/>
        </w:rPr>
        <w:t>5.1.1首先在中国中铁采购电子商务平台(www.crecgec.com)注册成为平台用户，</w:t>
      </w:r>
      <w:r>
        <w:rPr>
          <w:rFonts w:hint="eastAsia" w:ascii="宋体" w:hAnsi="宋体"/>
          <w:b/>
          <w:bCs/>
        </w:rPr>
        <w:t>建议提前操作</w:t>
      </w:r>
      <w:r>
        <w:rPr>
          <w:rFonts w:hint="eastAsia" w:ascii="宋体" w:hAnsi="宋体"/>
        </w:rPr>
        <w:t>。（客服热线4006010100）</w:t>
      </w:r>
    </w:p>
    <w:p w14:paraId="791B013C">
      <w:pPr>
        <w:spacing w:line="400" w:lineRule="exact"/>
        <w:ind w:firstLine="420" w:firstLineChars="200"/>
        <w:jc w:val="left"/>
        <w:rPr>
          <w:rFonts w:ascii="宋体" w:hAnsi="宋体"/>
        </w:rPr>
      </w:pPr>
      <w:r>
        <w:rPr>
          <w:rFonts w:hint="eastAsia" w:ascii="宋体" w:hAnsi="宋体"/>
        </w:rPr>
        <w:t>5.1.2已注册成功的潜在投标人：请在获取招标文件的规定时间内登录中国中铁采购电子商务平台进入“供方交易系统（二期）登录”--在“我的交易”中点击“最新公告”--在对应项目点击展开包件，选中所投包件点击 “标书获取”—下载招标文件—“填写联系方式、联系人“—  完成“标书获取”操作，即可进行后续各项投标工作，具体操作流程详见附件《供应商简易操作指南》。（注：参与多包件投标时，需对所投每个包件分别进行上述“标书获取”操作。若未在规定时间内完成“标书获取”操作，则无法对该包件进行后续各项投标工作。）</w:t>
      </w:r>
    </w:p>
    <w:p w14:paraId="5190D60D">
      <w:pPr>
        <w:spacing w:line="400" w:lineRule="exact"/>
        <w:ind w:firstLine="420" w:firstLineChars="200"/>
        <w:jc w:val="left"/>
        <w:rPr>
          <w:rFonts w:ascii="宋体" w:hAnsi="宋体"/>
        </w:rPr>
      </w:pPr>
      <w:r>
        <w:rPr>
          <w:rFonts w:hint="eastAsia" w:ascii="宋体" w:hAnsi="宋体"/>
        </w:rPr>
        <w:t>5.1.3潜在投标人在平台完成包件响应后，即可在规定时间内登陆中国中铁采购电子商务平台免费获取电子版招标文件（电子版招标文件以PDF版为准）。如有问题可咨询本次招标文件获取联系人。</w:t>
      </w:r>
    </w:p>
    <w:p w14:paraId="509BBDE3">
      <w:pPr>
        <w:spacing w:line="400" w:lineRule="exact"/>
        <w:ind w:firstLine="420" w:firstLineChars="200"/>
        <w:jc w:val="left"/>
        <w:rPr>
          <w:rFonts w:ascii="宋体" w:hAnsi="宋体"/>
        </w:rPr>
      </w:pPr>
      <w:r>
        <w:rPr>
          <w:rFonts w:hint="eastAsia" w:ascii="宋体" w:hAnsi="宋体"/>
        </w:rPr>
        <w:t>5.2</w:t>
      </w:r>
      <w:r>
        <w:rPr>
          <w:rFonts w:hint="eastAsia" w:ascii="宋体" w:hAnsi="宋体"/>
          <w:b/>
        </w:rPr>
        <w:t>本次框架协议采购按包件收取入围供应商成交服务费1万元，由入围供应商分摊</w:t>
      </w:r>
      <w:r>
        <w:rPr>
          <w:rFonts w:hint="eastAsia" w:ascii="宋体" w:hAnsi="宋体"/>
          <w:b/>
          <w:bCs/>
          <w:kern w:val="0"/>
          <w:szCs w:val="21"/>
        </w:rPr>
        <w:t>，</w:t>
      </w:r>
      <w:r>
        <w:rPr>
          <w:rFonts w:hint="eastAsia" w:ascii="宋体" w:hAnsi="宋体"/>
        </w:rPr>
        <w:t>该费用由投标人报价时予以考虑。入围供应商须按照采购文件规定的收费标准在框架协议签订前缴纳。</w:t>
      </w:r>
    </w:p>
    <w:p w14:paraId="248E9C17">
      <w:pPr>
        <w:spacing w:line="400" w:lineRule="exact"/>
        <w:ind w:firstLine="420" w:firstLineChars="200"/>
        <w:jc w:val="left"/>
        <w:rPr>
          <w:rFonts w:ascii="宋体" w:hAnsi="宋体"/>
        </w:rPr>
      </w:pPr>
      <w:r>
        <w:rPr>
          <w:rFonts w:hint="eastAsia" w:ascii="宋体" w:hAnsi="宋体"/>
        </w:rPr>
        <w:t>入围供应商采用电汇或银行转账的形式缴纳成交服务费至指定账户（账户信息详见第二章供应商须知前附表），并在汇款单上注明：招标编号+包件号+成交服务费，汇款单位名称与入围供应商名称须完全一致。</w:t>
      </w:r>
    </w:p>
    <w:p w14:paraId="332BB1C5">
      <w:pPr>
        <w:pStyle w:val="5"/>
        <w:numPr>
          <w:ilvl w:val="0"/>
          <w:numId w:val="1"/>
        </w:numPr>
        <w:spacing w:line="400" w:lineRule="exact"/>
      </w:pPr>
      <w:bookmarkStart w:id="65" w:name="_Toc2229"/>
      <w:bookmarkStart w:id="66" w:name="_Toc5590"/>
      <w:bookmarkStart w:id="67" w:name="_Toc1107"/>
      <w:bookmarkStart w:id="68" w:name="_Toc12536"/>
      <w:bookmarkStart w:id="69" w:name="_Toc16508"/>
      <w:bookmarkStart w:id="70" w:name="_Toc20924"/>
      <w:bookmarkStart w:id="71" w:name="_Toc166350680"/>
      <w:bookmarkStart w:id="72" w:name="_Toc15714"/>
      <w:bookmarkStart w:id="73" w:name="_Toc31028"/>
      <w:bookmarkStart w:id="74" w:name="_Toc2619"/>
      <w:bookmarkStart w:id="75" w:name="_Toc14364"/>
      <w:bookmarkStart w:id="76" w:name="_Toc11071"/>
      <w:bookmarkStart w:id="77" w:name="_Toc11790"/>
      <w:r>
        <w:rPr>
          <w:rFonts w:hint="eastAsia"/>
        </w:rPr>
        <w:t>投标文件的递交</w:t>
      </w:r>
      <w:bookmarkEnd w:id="65"/>
      <w:bookmarkEnd w:id="66"/>
      <w:bookmarkEnd w:id="67"/>
      <w:bookmarkEnd w:id="68"/>
      <w:bookmarkEnd w:id="69"/>
      <w:bookmarkEnd w:id="70"/>
      <w:bookmarkEnd w:id="71"/>
      <w:bookmarkEnd w:id="72"/>
      <w:bookmarkEnd w:id="73"/>
      <w:bookmarkEnd w:id="74"/>
      <w:bookmarkEnd w:id="75"/>
      <w:bookmarkEnd w:id="76"/>
      <w:bookmarkEnd w:id="77"/>
    </w:p>
    <w:p w14:paraId="4D6867F8">
      <w:pPr>
        <w:spacing w:line="400" w:lineRule="exact"/>
        <w:ind w:firstLine="420" w:firstLineChars="200"/>
        <w:jc w:val="left"/>
        <w:rPr>
          <w:rFonts w:ascii="宋体" w:hAnsi="宋体"/>
        </w:rPr>
      </w:pPr>
      <w:r>
        <w:rPr>
          <w:rFonts w:hint="eastAsia" w:ascii="宋体" w:hAnsi="宋体"/>
        </w:rPr>
        <w:t>6.1 本次招标投标文件通过中国中铁采购电子商务平台在线上传，不接受纸质版投标文件。</w:t>
      </w:r>
    </w:p>
    <w:p w14:paraId="63FB468C">
      <w:pPr>
        <w:spacing w:line="400" w:lineRule="exact"/>
        <w:ind w:firstLine="420" w:firstLineChars="200"/>
        <w:jc w:val="left"/>
        <w:rPr>
          <w:rFonts w:ascii="宋体" w:hAnsi="宋体"/>
        </w:rPr>
      </w:pPr>
      <w:r>
        <w:rPr>
          <w:rFonts w:hint="eastAsia" w:ascii="宋体" w:hAnsi="宋体"/>
        </w:rPr>
        <w:t xml:space="preserve">线上递交投标文件的截止时间为 </w:t>
      </w:r>
      <w:r>
        <w:rPr>
          <w:rFonts w:hint="eastAsia" w:ascii="宋体" w:hAnsi="宋体"/>
          <w:highlight w:val="yellow"/>
        </w:rPr>
        <w:t>202</w:t>
      </w:r>
      <w:r>
        <w:rPr>
          <w:rFonts w:hint="eastAsia" w:ascii="宋体" w:hAnsi="宋体"/>
          <w:highlight w:val="yellow"/>
          <w:lang w:val="en-US" w:eastAsia="zh-CN"/>
        </w:rPr>
        <w:t>5</w:t>
      </w:r>
      <w:r>
        <w:rPr>
          <w:rFonts w:hint="eastAsia" w:ascii="宋体" w:hAnsi="宋体"/>
          <w:highlight w:val="yellow"/>
        </w:rPr>
        <w:t>年</w:t>
      </w:r>
      <w:r>
        <w:rPr>
          <w:rFonts w:hint="eastAsia" w:ascii="宋体" w:hAnsi="宋体"/>
          <w:highlight w:val="yellow"/>
          <w:lang w:val="en-US" w:eastAsia="zh-CN"/>
        </w:rPr>
        <w:t>8</w:t>
      </w:r>
      <w:r>
        <w:rPr>
          <w:rFonts w:hint="eastAsia" w:ascii="宋体" w:hAnsi="宋体"/>
          <w:highlight w:val="yellow"/>
        </w:rPr>
        <w:t>月</w:t>
      </w:r>
      <w:r>
        <w:rPr>
          <w:rFonts w:hint="eastAsia" w:ascii="宋体" w:hAnsi="宋体"/>
          <w:highlight w:val="yellow"/>
          <w:lang w:val="en-US" w:eastAsia="zh-CN"/>
        </w:rPr>
        <w:t>5</w:t>
      </w:r>
      <w:r>
        <w:rPr>
          <w:rFonts w:hint="eastAsia" w:ascii="宋体" w:hAnsi="宋体"/>
          <w:highlight w:val="yellow"/>
        </w:rPr>
        <w:t>日上午</w:t>
      </w:r>
      <w:r>
        <w:rPr>
          <w:rFonts w:hint="eastAsia" w:ascii="宋体" w:hAnsi="宋体"/>
          <w:highlight w:val="yellow"/>
          <w:lang w:val="en-US" w:eastAsia="zh-CN"/>
        </w:rPr>
        <w:t>9</w:t>
      </w:r>
      <w:r>
        <w:rPr>
          <w:rFonts w:hint="eastAsia" w:ascii="宋体" w:hAnsi="宋体"/>
          <w:highlight w:val="yellow"/>
        </w:rPr>
        <w:t>时</w:t>
      </w:r>
      <w:r>
        <w:rPr>
          <w:rFonts w:hint="eastAsia" w:ascii="宋体" w:hAnsi="宋体"/>
          <w:highlight w:val="yellow"/>
          <w:lang w:val="en-US" w:eastAsia="zh-CN"/>
        </w:rPr>
        <w:t>20</w:t>
      </w:r>
      <w:r>
        <w:rPr>
          <w:rFonts w:hint="eastAsia" w:ascii="宋体" w:hAnsi="宋体"/>
          <w:highlight w:val="yellow"/>
        </w:rPr>
        <w:t>分</w:t>
      </w:r>
      <w:r>
        <w:rPr>
          <w:rFonts w:hint="eastAsia" w:ascii="宋体" w:hAnsi="宋体"/>
        </w:rPr>
        <w:t>（即为开标时间），投标人须于截止时间前在中国中铁采购电子商务平台（www.crecgec.com）</w:t>
      </w:r>
      <w:r>
        <w:rPr>
          <w:rFonts w:hint="eastAsia" w:ascii="宋体" w:hAnsi="宋体"/>
          <w:b/>
          <w:bCs/>
        </w:rPr>
        <w:t>进行报价并上传电子版投标文件（PDF格式）</w:t>
      </w:r>
      <w:r>
        <w:rPr>
          <w:rFonts w:hint="eastAsia" w:ascii="宋体" w:hAnsi="宋体"/>
        </w:rPr>
        <w:t>(注：为保证投标文件顺利上传，建议投标人提前报价和上传投标文件，上传时如遇到问题请联系电商平台客服热线4006010100)。</w:t>
      </w:r>
    </w:p>
    <w:p w14:paraId="460A870B">
      <w:pPr>
        <w:spacing w:line="400" w:lineRule="exact"/>
        <w:ind w:firstLine="420" w:firstLineChars="200"/>
        <w:jc w:val="left"/>
        <w:rPr>
          <w:rFonts w:ascii="宋体" w:hAnsi="宋体"/>
        </w:rPr>
      </w:pPr>
      <w:r>
        <w:rPr>
          <w:rFonts w:hint="eastAsia" w:ascii="宋体" w:hAnsi="宋体"/>
        </w:rPr>
        <w:t>6.2投标人应对上传平台的投标文件内容进行核对，如出现错传、漏传或下载后无法打开的投标文件均视为无效。逾期未在中国中铁采购电子商务平台进行报价同时上传投标文件的，视为主动放弃投标。</w:t>
      </w:r>
    </w:p>
    <w:p w14:paraId="0285C8C3">
      <w:pPr>
        <w:spacing w:line="400" w:lineRule="exact"/>
        <w:ind w:firstLine="420" w:firstLineChars="200"/>
        <w:jc w:val="left"/>
        <w:rPr>
          <w:rFonts w:ascii="宋体" w:hAnsi="宋体"/>
        </w:rPr>
      </w:pPr>
      <w:r>
        <w:rPr>
          <w:rFonts w:hint="eastAsia" w:ascii="宋体" w:hAnsi="宋体"/>
          <w:bCs/>
          <w:kern w:val="0"/>
        </w:rPr>
        <w:t>6.3本次招标仅接收已响应并已经足额缴纳投标保证金的潜在投标人的投标文件，如投标人被评为202</w:t>
      </w:r>
      <w:r>
        <w:rPr>
          <w:rFonts w:hint="eastAsia" w:ascii="宋体" w:hAnsi="宋体"/>
          <w:bCs/>
          <w:kern w:val="0"/>
          <w:lang w:val="en-US" w:eastAsia="zh-CN"/>
        </w:rPr>
        <w:t>4</w:t>
      </w:r>
      <w:r>
        <w:rPr>
          <w:rFonts w:hint="eastAsia" w:ascii="宋体" w:hAnsi="宋体"/>
          <w:bCs/>
          <w:kern w:val="0"/>
        </w:rPr>
        <w:t>年度中铁四局集团优质供应商，提供申请（含证明资料）可免交本次投标保证金。</w:t>
      </w:r>
    </w:p>
    <w:p w14:paraId="40788413">
      <w:pPr>
        <w:pStyle w:val="5"/>
        <w:spacing w:line="400" w:lineRule="exact"/>
      </w:pPr>
      <w:bookmarkStart w:id="78" w:name="_Toc166350681"/>
      <w:bookmarkStart w:id="79" w:name="_Toc19696"/>
      <w:bookmarkStart w:id="80" w:name="_Toc6137"/>
      <w:bookmarkStart w:id="81" w:name="_Toc27964"/>
      <w:bookmarkStart w:id="82" w:name="_Toc22150"/>
      <w:bookmarkStart w:id="83" w:name="_Toc29419"/>
      <w:bookmarkStart w:id="84" w:name="_Toc19192"/>
      <w:bookmarkStart w:id="85" w:name="_Toc12758"/>
      <w:bookmarkStart w:id="86" w:name="_Toc7456"/>
      <w:bookmarkStart w:id="87" w:name="_Toc2458"/>
      <w:bookmarkStart w:id="88" w:name="_Toc22758"/>
      <w:bookmarkStart w:id="89" w:name="_Toc25474"/>
      <w:bookmarkStart w:id="90" w:name="_Toc23795"/>
      <w:r>
        <w:rPr>
          <w:rFonts w:hint="eastAsia"/>
        </w:rPr>
        <w:t>7．开标</w:t>
      </w:r>
      <w:bookmarkEnd w:id="78"/>
      <w:bookmarkEnd w:id="79"/>
      <w:bookmarkEnd w:id="80"/>
      <w:bookmarkEnd w:id="81"/>
      <w:bookmarkEnd w:id="82"/>
      <w:bookmarkEnd w:id="83"/>
      <w:bookmarkEnd w:id="84"/>
      <w:bookmarkEnd w:id="85"/>
      <w:bookmarkEnd w:id="86"/>
      <w:bookmarkEnd w:id="87"/>
      <w:bookmarkEnd w:id="88"/>
      <w:bookmarkEnd w:id="89"/>
      <w:bookmarkEnd w:id="90"/>
    </w:p>
    <w:p w14:paraId="40C8EDC5">
      <w:pPr>
        <w:spacing w:line="400" w:lineRule="exact"/>
        <w:ind w:firstLine="420" w:firstLineChars="200"/>
        <w:jc w:val="left"/>
        <w:rPr>
          <w:rFonts w:ascii="宋体" w:hAnsi="宋体"/>
        </w:rPr>
      </w:pPr>
      <w:r>
        <w:rPr>
          <w:rFonts w:hint="eastAsia" w:ascii="宋体" w:hAnsi="宋体"/>
        </w:rPr>
        <w:t xml:space="preserve">7.1开标时间： </w:t>
      </w:r>
      <w:r>
        <w:rPr>
          <w:rFonts w:hint="eastAsia" w:ascii="宋体" w:hAnsi="宋体"/>
          <w:highlight w:val="yellow"/>
        </w:rPr>
        <w:t>202</w:t>
      </w:r>
      <w:r>
        <w:rPr>
          <w:rFonts w:hint="eastAsia" w:ascii="宋体" w:hAnsi="宋体"/>
          <w:highlight w:val="yellow"/>
          <w:lang w:val="en-US" w:eastAsia="zh-CN"/>
        </w:rPr>
        <w:t>5</w:t>
      </w:r>
      <w:r>
        <w:rPr>
          <w:rFonts w:hint="eastAsia" w:ascii="宋体" w:hAnsi="宋体"/>
          <w:highlight w:val="yellow"/>
        </w:rPr>
        <w:t>年</w:t>
      </w:r>
      <w:r>
        <w:rPr>
          <w:rFonts w:hint="eastAsia" w:ascii="宋体" w:hAnsi="宋体"/>
          <w:highlight w:val="yellow"/>
          <w:lang w:val="en-US" w:eastAsia="zh-CN"/>
        </w:rPr>
        <w:t>8</w:t>
      </w:r>
      <w:r>
        <w:rPr>
          <w:rFonts w:hint="eastAsia" w:ascii="宋体" w:hAnsi="宋体"/>
          <w:highlight w:val="yellow"/>
        </w:rPr>
        <w:t>月</w:t>
      </w:r>
      <w:r>
        <w:rPr>
          <w:rFonts w:hint="eastAsia" w:ascii="宋体" w:hAnsi="宋体"/>
          <w:highlight w:val="yellow"/>
          <w:lang w:val="en-US" w:eastAsia="zh-CN"/>
        </w:rPr>
        <w:t>5</w:t>
      </w:r>
      <w:r>
        <w:rPr>
          <w:rFonts w:hint="eastAsia" w:ascii="宋体" w:hAnsi="宋体"/>
          <w:highlight w:val="yellow"/>
        </w:rPr>
        <w:t>日上午</w:t>
      </w:r>
      <w:r>
        <w:rPr>
          <w:rFonts w:hint="eastAsia" w:ascii="宋体" w:hAnsi="宋体"/>
          <w:highlight w:val="yellow"/>
          <w:lang w:val="en-US" w:eastAsia="zh-CN"/>
        </w:rPr>
        <w:t>9</w:t>
      </w:r>
      <w:r>
        <w:rPr>
          <w:rFonts w:hint="eastAsia" w:ascii="宋体" w:hAnsi="宋体"/>
          <w:highlight w:val="yellow"/>
        </w:rPr>
        <w:t>时</w:t>
      </w:r>
      <w:r>
        <w:rPr>
          <w:rFonts w:hint="eastAsia" w:ascii="宋体" w:hAnsi="宋体"/>
          <w:highlight w:val="yellow"/>
          <w:lang w:val="en-US" w:eastAsia="zh-CN"/>
        </w:rPr>
        <w:t>20</w:t>
      </w:r>
      <w:r>
        <w:rPr>
          <w:rFonts w:hint="eastAsia" w:ascii="宋体" w:hAnsi="宋体"/>
          <w:highlight w:val="yellow"/>
        </w:rPr>
        <w:t>分</w:t>
      </w:r>
      <w:r>
        <w:rPr>
          <w:rFonts w:hint="eastAsia" w:ascii="宋体" w:hAnsi="宋体"/>
        </w:rPr>
        <w:t>（投标截止时间）。</w:t>
      </w:r>
    </w:p>
    <w:p w14:paraId="1A25CE85">
      <w:pPr>
        <w:spacing w:line="400" w:lineRule="exact"/>
        <w:ind w:firstLine="420" w:firstLineChars="200"/>
        <w:jc w:val="left"/>
        <w:rPr>
          <w:rFonts w:ascii="宋体" w:hAnsi="宋体"/>
        </w:rPr>
      </w:pPr>
      <w:r>
        <w:rPr>
          <w:rFonts w:hint="eastAsia" w:ascii="宋体" w:hAnsi="宋体"/>
        </w:rPr>
        <w:t>7.2开标平台：本次招标通过中国中铁采购电子商务平台（www.crecgec.com）在线开标，投标人无须到现场参加开标。</w:t>
      </w:r>
    </w:p>
    <w:p w14:paraId="6ED4476D">
      <w:pPr>
        <w:spacing w:line="400" w:lineRule="exact"/>
        <w:ind w:firstLine="420" w:firstLineChars="200"/>
        <w:jc w:val="left"/>
        <w:rPr>
          <w:rFonts w:ascii="宋体" w:hAnsi="宋体"/>
        </w:rPr>
      </w:pPr>
      <w:r>
        <w:rPr>
          <w:rFonts w:hint="eastAsia" w:ascii="宋体" w:hAnsi="宋体"/>
        </w:rPr>
        <w:t>7.3开标方式：在开标规定的时间，投标人登录中国中铁采购电子商务平台（www.crecgec.com）进入线上开标大厅参加开标。开标工作人员执行“开标”操作后，投标报价自动解锁，投标人可在线查看包件所有报价。唱标结束后投标人需完成在线签字确认手续，未签字视为同意开标结果，具体操作流程详见附件《供应商简易操作指南》。</w:t>
      </w:r>
    </w:p>
    <w:p w14:paraId="00FBFEB5">
      <w:pPr>
        <w:spacing w:line="400" w:lineRule="exact"/>
        <w:ind w:firstLine="420" w:firstLineChars="200"/>
        <w:jc w:val="left"/>
        <w:rPr>
          <w:rFonts w:ascii="宋体" w:hAnsi="宋体"/>
        </w:rPr>
      </w:pPr>
      <w:r>
        <w:rPr>
          <w:rFonts w:hint="eastAsia" w:ascii="宋体" w:hAnsi="宋体"/>
        </w:rPr>
        <w:t>7.4届时请投标人密切关注中国中铁采购电子商务平台。上述安排如有变化，招标组织单位将通过发布公告的媒介发布通知。</w:t>
      </w:r>
    </w:p>
    <w:p w14:paraId="063C9861">
      <w:pPr>
        <w:pStyle w:val="5"/>
        <w:spacing w:line="400" w:lineRule="exact"/>
        <w:ind w:firstLine="0" w:firstLineChars="0"/>
      </w:pPr>
      <w:bookmarkStart w:id="91" w:name="_Toc4579"/>
      <w:bookmarkStart w:id="92" w:name="_Toc10214"/>
      <w:bookmarkStart w:id="93" w:name="_Toc27562"/>
      <w:bookmarkStart w:id="94" w:name="_Toc7604"/>
      <w:bookmarkStart w:id="95" w:name="_Toc28850"/>
      <w:bookmarkStart w:id="96" w:name="_Toc24086"/>
      <w:bookmarkStart w:id="97" w:name="_Toc10236"/>
      <w:bookmarkStart w:id="98" w:name="_Toc29513"/>
      <w:bookmarkStart w:id="99" w:name="_Toc7136"/>
      <w:bookmarkStart w:id="100" w:name="_Toc26575"/>
      <w:bookmarkStart w:id="101" w:name="_Toc13664"/>
      <w:r>
        <w:rPr>
          <w:rFonts w:hint="eastAsia"/>
        </w:rPr>
        <w:t>8．发布公告的媒介</w:t>
      </w:r>
      <w:bookmarkEnd w:id="91"/>
      <w:bookmarkEnd w:id="92"/>
      <w:bookmarkEnd w:id="93"/>
      <w:bookmarkEnd w:id="94"/>
      <w:bookmarkEnd w:id="95"/>
      <w:bookmarkEnd w:id="96"/>
      <w:bookmarkEnd w:id="97"/>
      <w:bookmarkEnd w:id="98"/>
      <w:bookmarkEnd w:id="99"/>
      <w:bookmarkEnd w:id="100"/>
      <w:bookmarkEnd w:id="101"/>
    </w:p>
    <w:p w14:paraId="3DC4E40B">
      <w:pPr>
        <w:spacing w:line="400" w:lineRule="exact"/>
        <w:ind w:firstLine="420" w:firstLineChars="200"/>
        <w:jc w:val="left"/>
        <w:rPr>
          <w:rFonts w:ascii="宋体" w:hAnsi="宋体"/>
        </w:rPr>
      </w:pPr>
      <w:r>
        <w:rPr>
          <w:rFonts w:hint="eastAsia" w:ascii="宋体" w:hAnsi="宋体"/>
        </w:rPr>
        <w:t>本次招标公告在中国中铁采购电子商务平台（www.crecgec.com）和中国招标投标公共服务平台（http://www.cebpubservice.com/）上同时发布。</w:t>
      </w:r>
    </w:p>
    <w:p w14:paraId="219D7687">
      <w:pPr>
        <w:pStyle w:val="5"/>
        <w:spacing w:line="400" w:lineRule="exact"/>
      </w:pPr>
      <w:bookmarkStart w:id="102" w:name="_Toc96"/>
      <w:bookmarkStart w:id="103" w:name="_Toc18794"/>
      <w:bookmarkStart w:id="104" w:name="_Toc30583"/>
      <w:bookmarkStart w:id="105" w:name="_Toc28124"/>
      <w:bookmarkStart w:id="106" w:name="_Toc4159"/>
      <w:bookmarkStart w:id="107" w:name="_Toc166350682"/>
      <w:bookmarkStart w:id="108" w:name="_Toc21164"/>
      <w:bookmarkStart w:id="109" w:name="_Toc12367"/>
      <w:bookmarkStart w:id="110" w:name="_Toc10478"/>
      <w:bookmarkStart w:id="111" w:name="_Toc22424"/>
      <w:bookmarkStart w:id="112" w:name="_Toc24374"/>
      <w:bookmarkStart w:id="113" w:name="_Toc27923"/>
      <w:bookmarkStart w:id="114" w:name="_Toc27960"/>
      <w:r>
        <w:rPr>
          <w:rFonts w:hint="eastAsia"/>
        </w:rPr>
        <w:t>9．招标人信息</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AA631B3">
      <w:pPr>
        <w:spacing w:line="400" w:lineRule="exact"/>
        <w:ind w:firstLine="420" w:firstLineChars="200"/>
        <w:jc w:val="left"/>
        <w:rPr>
          <w:rFonts w:ascii="宋体" w:hAnsi="宋体"/>
        </w:rPr>
      </w:pPr>
      <w:r>
        <w:rPr>
          <w:rFonts w:hint="eastAsia" w:ascii="宋体" w:hAnsi="宋体"/>
        </w:rPr>
        <w:t>9.1  招标人：中铁四局集团有限公司第六工程分公司</w:t>
      </w:r>
    </w:p>
    <w:p w14:paraId="14F7D229">
      <w:pPr>
        <w:spacing w:line="400" w:lineRule="exact"/>
        <w:ind w:firstLine="420" w:firstLineChars="200"/>
        <w:jc w:val="left"/>
        <w:rPr>
          <w:rFonts w:ascii="宋体" w:hAnsi="宋体"/>
        </w:rPr>
      </w:pPr>
      <w:r>
        <w:rPr>
          <w:rFonts w:hint="eastAsia" w:ascii="宋体" w:hAnsi="宋体"/>
        </w:rPr>
        <w:t>招标</w:t>
      </w:r>
      <w:r>
        <w:rPr>
          <w:rFonts w:hint="eastAsia" w:ascii="宋体" w:hAnsi="宋体"/>
          <w:lang w:eastAsia="zh-CN"/>
        </w:rPr>
        <w:t>流程及业务</w:t>
      </w:r>
      <w:r>
        <w:rPr>
          <w:rFonts w:hint="eastAsia" w:ascii="宋体" w:hAnsi="宋体"/>
        </w:rPr>
        <w:t xml:space="preserve">联系人：刘工     联系电话：15029397542                   </w:t>
      </w:r>
    </w:p>
    <w:p w14:paraId="36FD3D58">
      <w:pPr>
        <w:spacing w:line="400" w:lineRule="exact"/>
        <w:ind w:firstLine="420" w:firstLineChars="200"/>
        <w:jc w:val="left"/>
        <w:rPr>
          <w:rFonts w:hint="eastAsia" w:ascii="宋体" w:hAnsi="宋体"/>
          <w:lang w:val="en-US" w:eastAsia="zh-CN"/>
        </w:rPr>
      </w:pPr>
      <w:r>
        <w:rPr>
          <w:rFonts w:hint="eastAsia" w:ascii="宋体" w:hAnsi="宋体"/>
          <w:lang w:eastAsia="zh-CN"/>
        </w:rPr>
        <w:t>招标答疑联系人：郑工</w:t>
      </w:r>
      <w:r>
        <w:rPr>
          <w:rFonts w:hint="eastAsia" w:ascii="宋体" w:hAnsi="宋体"/>
          <w:lang w:val="en-US" w:eastAsia="zh-CN"/>
        </w:rPr>
        <w:t xml:space="preserve">           </w:t>
      </w:r>
      <w:r>
        <w:rPr>
          <w:rFonts w:hint="eastAsia" w:ascii="宋体" w:hAnsi="宋体"/>
        </w:rPr>
        <w:t>联系电话：</w:t>
      </w:r>
      <w:bookmarkStart w:id="115" w:name="OLE_LINK1"/>
      <w:r>
        <w:rPr>
          <w:rFonts w:hint="eastAsia" w:ascii="宋体" w:hAnsi="宋体"/>
          <w:lang w:val="en-US" w:eastAsia="zh-CN"/>
        </w:rPr>
        <w:t>18292675826</w:t>
      </w:r>
    </w:p>
    <w:bookmarkEnd w:id="115"/>
    <w:p w14:paraId="59342AE9">
      <w:pPr>
        <w:spacing w:line="400" w:lineRule="exact"/>
        <w:ind w:firstLine="420" w:firstLineChars="200"/>
        <w:jc w:val="left"/>
        <w:rPr>
          <w:rFonts w:ascii="宋体" w:hAnsi="宋体"/>
        </w:rPr>
      </w:pPr>
      <w:r>
        <w:rPr>
          <w:rFonts w:hint="eastAsia" w:ascii="宋体" w:hAnsi="宋体"/>
        </w:rPr>
        <w:t xml:space="preserve">9.2  招标文件获取联系人：丁工         联系电话： 0551-82574620                       </w:t>
      </w:r>
    </w:p>
    <w:p w14:paraId="49E26FDE">
      <w:pPr>
        <w:spacing w:line="400" w:lineRule="exact"/>
        <w:rPr>
          <w:rFonts w:ascii="宋体" w:hAnsi="宋体"/>
        </w:rPr>
      </w:pPr>
    </w:p>
    <w:p w14:paraId="31943D0A">
      <w:pPr>
        <w:spacing w:line="400" w:lineRule="exact"/>
        <w:rPr>
          <w:rFonts w:ascii="宋体" w:hAnsi="宋体"/>
        </w:rPr>
      </w:pPr>
    </w:p>
    <w:p w14:paraId="40F6462C">
      <w:pPr>
        <w:spacing w:line="400" w:lineRule="exact"/>
        <w:jc w:val="right"/>
        <w:rPr>
          <w:rFonts w:ascii="宋体" w:hAnsi="宋体"/>
        </w:rPr>
        <w:sectPr>
          <w:pgSz w:w="11906" w:h="16838"/>
          <w:pgMar w:top="1440" w:right="1800" w:bottom="1440" w:left="1800" w:header="851" w:footer="992" w:gutter="0"/>
          <w:pgNumType w:chapStyle="1"/>
          <w:cols w:space="425" w:num="1"/>
          <w:docGrid w:type="lines" w:linePitch="312" w:charSpace="0"/>
        </w:sectPr>
      </w:pPr>
      <w:r>
        <w:rPr>
          <w:rFonts w:hint="eastAsia" w:ascii="宋体" w:hAnsi="宋体"/>
          <w:szCs w:val="21"/>
        </w:rPr>
        <w:t>二〇二</w:t>
      </w:r>
      <w:r>
        <w:rPr>
          <w:rFonts w:hint="eastAsia" w:ascii="宋体" w:hAnsi="宋体"/>
          <w:szCs w:val="21"/>
          <w:lang w:eastAsia="zh-CN"/>
        </w:rPr>
        <w:t>五</w:t>
      </w:r>
      <w:r>
        <w:rPr>
          <w:rFonts w:hint="eastAsia" w:ascii="宋体" w:hAnsi="宋体"/>
          <w:szCs w:val="21"/>
        </w:rPr>
        <w:t>年七月</w:t>
      </w:r>
    </w:p>
    <w:p w14:paraId="51562371">
      <w:pPr>
        <w:ind w:firstLine="422"/>
        <w:jc w:val="left"/>
        <w:rPr>
          <w:rFonts w:asciiTheme="minorEastAsia" w:hAnsiTheme="minorEastAsia" w:eastAsiaTheme="minorEastAsia"/>
        </w:rPr>
      </w:pPr>
      <w:bookmarkStart w:id="116" w:name="_Toc5595"/>
      <w:bookmarkStart w:id="117" w:name="_Toc26947"/>
      <w:bookmarkStart w:id="118" w:name="_Toc166350683"/>
      <w:bookmarkStart w:id="119" w:name="_Toc3505"/>
      <w:bookmarkStart w:id="120" w:name="_Toc7270"/>
      <w:bookmarkStart w:id="121" w:name="_Toc18278"/>
      <w:bookmarkStart w:id="122" w:name="_Toc2849"/>
      <w:bookmarkStart w:id="123" w:name="_Toc14711"/>
      <w:bookmarkStart w:id="124" w:name="_Toc1792"/>
      <w:bookmarkStart w:id="125" w:name="_Toc27942"/>
      <w:bookmarkStart w:id="126" w:name="_Toc11652"/>
      <w:bookmarkStart w:id="127" w:name="_Toc21347"/>
      <w:bookmarkStart w:id="128" w:name="_Toc12156"/>
      <w:r>
        <w:rPr>
          <w:rStyle w:val="6"/>
          <w:rFonts w:hint="eastAsia"/>
          <w:color w:val="auto"/>
        </w:rPr>
        <w:t>附表1：</w:t>
      </w:r>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Theme="minorEastAsia" w:hAnsiTheme="minorEastAsia" w:eastAsiaTheme="minorEastAsia"/>
        </w:rPr>
        <w:t xml:space="preserve">                                         </w:t>
      </w:r>
      <w:r>
        <w:rPr>
          <w:rFonts w:hint="eastAsia" w:asciiTheme="minorEastAsia" w:hAnsiTheme="minorEastAsia" w:eastAsiaTheme="minorEastAsia"/>
          <w:b/>
          <w:bCs/>
        </w:rPr>
        <w:t>商品砼框架协议采购包件划分表</w:t>
      </w:r>
    </w:p>
    <w:p w14:paraId="4B75BCCE">
      <w:pPr>
        <w:jc w:val="left"/>
        <w:rPr>
          <w:rFonts w:asciiTheme="minorEastAsia" w:hAnsiTheme="minorEastAsia" w:eastAsiaTheme="minorEastAsia"/>
          <w:b/>
          <w:bCs/>
        </w:rPr>
      </w:pPr>
      <w:r>
        <w:rPr>
          <w:rFonts w:hint="eastAsia" w:asciiTheme="minorEastAsia" w:hAnsiTheme="minorEastAsia" w:eastAsiaTheme="minorEastAsia"/>
          <w:b/>
          <w:bCs/>
        </w:rPr>
        <w:t>包件号：SPT-0</w:t>
      </w:r>
      <w:r>
        <w:rPr>
          <w:rFonts w:hint="eastAsia" w:asciiTheme="minorEastAsia" w:hAnsiTheme="minorEastAsia" w:eastAsiaTheme="minorEastAsia"/>
          <w:b/>
          <w:bCs/>
          <w:lang w:val="en-US" w:eastAsia="zh-CN"/>
        </w:rPr>
        <w:t>1</w:t>
      </w:r>
      <w:r>
        <w:rPr>
          <w:rFonts w:asciiTheme="minorEastAsia" w:hAnsiTheme="minorEastAsia" w:eastAsiaTheme="minorEastAsia"/>
          <w:b/>
          <w:bCs/>
        </w:rPr>
        <w:t xml:space="preserve"> </w:t>
      </w:r>
      <w:r>
        <w:rPr>
          <w:rFonts w:hint="eastAsia" w:asciiTheme="minorEastAsia" w:hAnsiTheme="minorEastAsia" w:eastAsiaTheme="minorEastAsia"/>
          <w:b/>
          <w:bCs/>
        </w:rPr>
        <w:t xml:space="preserve">                                                                                                      宜宾市屏山县区域</w:t>
      </w:r>
    </w:p>
    <w:tbl>
      <w:tblPr>
        <w:tblStyle w:val="3"/>
        <w:tblW w:w="16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705"/>
        <w:gridCol w:w="669"/>
        <w:gridCol w:w="873"/>
        <w:gridCol w:w="993"/>
        <w:gridCol w:w="11392"/>
        <w:gridCol w:w="1290"/>
      </w:tblGrid>
      <w:tr w14:paraId="56C9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409" w:type="dxa"/>
            <w:tcBorders>
              <w:top w:val="single" w:color="auto" w:sz="4" w:space="0"/>
              <w:left w:val="single" w:color="auto" w:sz="4" w:space="0"/>
              <w:bottom w:val="single" w:color="auto" w:sz="4" w:space="0"/>
              <w:right w:val="single" w:color="auto" w:sz="4" w:space="0"/>
            </w:tcBorders>
            <w:vAlign w:val="center"/>
          </w:tcPr>
          <w:p w14:paraId="53A136FA">
            <w:pPr>
              <w:rPr>
                <w:rFonts w:ascii="宋体" w:hAnsi="宋体"/>
              </w:rPr>
            </w:pPr>
            <w:r>
              <w:rPr>
                <w:rFonts w:hint="eastAsia" w:ascii="宋体" w:hAnsi="宋体"/>
              </w:rPr>
              <w:t>序号</w:t>
            </w:r>
          </w:p>
        </w:tc>
        <w:tc>
          <w:tcPr>
            <w:tcW w:w="705" w:type="dxa"/>
            <w:tcBorders>
              <w:top w:val="single" w:color="auto" w:sz="4" w:space="0"/>
              <w:left w:val="single" w:color="auto" w:sz="4" w:space="0"/>
              <w:bottom w:val="single" w:color="auto" w:sz="4" w:space="0"/>
              <w:right w:val="single" w:color="auto" w:sz="4" w:space="0"/>
            </w:tcBorders>
            <w:vAlign w:val="center"/>
          </w:tcPr>
          <w:p w14:paraId="53C090CA">
            <w:pPr>
              <w:rPr>
                <w:rFonts w:ascii="宋体" w:hAnsi="宋体"/>
              </w:rPr>
            </w:pPr>
            <w:r>
              <w:rPr>
                <w:rFonts w:hint="eastAsia" w:ascii="宋体" w:hAnsi="宋体"/>
              </w:rPr>
              <w:t>物资名称</w:t>
            </w:r>
          </w:p>
        </w:tc>
        <w:tc>
          <w:tcPr>
            <w:tcW w:w="669" w:type="dxa"/>
            <w:tcBorders>
              <w:top w:val="single" w:color="auto" w:sz="4" w:space="0"/>
              <w:left w:val="single" w:color="auto" w:sz="4" w:space="0"/>
              <w:bottom w:val="single" w:color="auto" w:sz="4" w:space="0"/>
              <w:right w:val="single" w:color="auto" w:sz="4" w:space="0"/>
            </w:tcBorders>
            <w:vAlign w:val="center"/>
          </w:tcPr>
          <w:p w14:paraId="404B0E5A">
            <w:pPr>
              <w:rPr>
                <w:rFonts w:ascii="宋体" w:hAnsi="宋体"/>
              </w:rPr>
            </w:pPr>
            <w:r>
              <w:rPr>
                <w:rFonts w:hint="eastAsia" w:ascii="宋体" w:hAnsi="宋体"/>
              </w:rPr>
              <w:t>计量单位</w:t>
            </w:r>
          </w:p>
        </w:tc>
        <w:tc>
          <w:tcPr>
            <w:tcW w:w="873" w:type="dxa"/>
            <w:tcBorders>
              <w:top w:val="single" w:color="auto" w:sz="4" w:space="0"/>
              <w:left w:val="single" w:color="auto" w:sz="4" w:space="0"/>
              <w:bottom w:val="single" w:color="auto" w:sz="4" w:space="0"/>
              <w:right w:val="single" w:color="auto" w:sz="4" w:space="0"/>
            </w:tcBorders>
            <w:vAlign w:val="center"/>
          </w:tcPr>
          <w:p w14:paraId="2957C642">
            <w:pPr>
              <w:rPr>
                <w:rFonts w:ascii="宋体" w:hAnsi="宋体"/>
              </w:rPr>
            </w:pPr>
            <w:r>
              <w:rPr>
                <w:rFonts w:hint="eastAsia" w:ascii="宋体" w:hAnsi="宋体"/>
              </w:rPr>
              <w:t>包件</w:t>
            </w:r>
          </w:p>
          <w:p w14:paraId="65325E67">
            <w:pPr>
              <w:rPr>
                <w:rFonts w:ascii="宋体" w:hAnsi="宋体"/>
              </w:rPr>
            </w:pPr>
            <w:r>
              <w:rPr>
                <w:rFonts w:hint="eastAsia" w:ascii="宋体" w:hAnsi="宋体"/>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6C8C6D8D">
            <w:pPr>
              <w:rPr>
                <w:rFonts w:ascii="宋体" w:hAnsi="宋体"/>
              </w:rPr>
            </w:pPr>
            <w:r>
              <w:rPr>
                <w:rFonts w:hint="eastAsia" w:ascii="宋体" w:hAnsi="宋体"/>
              </w:rPr>
              <w:t>招标人</w:t>
            </w:r>
          </w:p>
        </w:tc>
        <w:tc>
          <w:tcPr>
            <w:tcW w:w="11392" w:type="dxa"/>
            <w:tcBorders>
              <w:top w:val="single" w:color="auto" w:sz="4" w:space="0"/>
              <w:left w:val="single" w:color="auto" w:sz="4" w:space="0"/>
              <w:bottom w:val="single" w:color="auto" w:sz="4" w:space="0"/>
              <w:right w:val="single" w:color="auto" w:sz="4" w:space="0"/>
            </w:tcBorders>
            <w:vAlign w:val="center"/>
          </w:tcPr>
          <w:p w14:paraId="2E0C6484">
            <w:pPr>
              <w:rPr>
                <w:rFonts w:ascii="宋体" w:hAnsi="宋体"/>
              </w:rPr>
            </w:pPr>
            <w:r>
              <w:rPr>
                <w:rFonts w:hint="eastAsia" w:ascii="宋体" w:hAnsi="宋体"/>
              </w:rPr>
              <w:t>投标人资格条件</w:t>
            </w:r>
          </w:p>
        </w:tc>
        <w:tc>
          <w:tcPr>
            <w:tcW w:w="1290" w:type="dxa"/>
            <w:tcBorders>
              <w:top w:val="single" w:color="auto" w:sz="4" w:space="0"/>
              <w:left w:val="single" w:color="auto" w:sz="4" w:space="0"/>
              <w:right w:val="single" w:color="auto" w:sz="4" w:space="0"/>
            </w:tcBorders>
            <w:vAlign w:val="center"/>
          </w:tcPr>
          <w:p w14:paraId="09EA30E0">
            <w:pPr>
              <w:rPr>
                <w:rFonts w:ascii="宋体" w:hAnsi="宋体"/>
                <w:szCs w:val="21"/>
              </w:rPr>
            </w:pPr>
            <w:r>
              <w:rPr>
                <w:rFonts w:hint="eastAsia" w:ascii="宋体" w:hAnsi="宋体"/>
              </w:rPr>
              <w:t>投标保证金(万元)</w:t>
            </w:r>
          </w:p>
        </w:tc>
      </w:tr>
      <w:tr w14:paraId="139B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14:paraId="2981AC4D">
            <w:r>
              <w:rPr>
                <w:rFonts w:hint="eastAsia"/>
              </w:rPr>
              <w:t>1</w:t>
            </w:r>
          </w:p>
        </w:tc>
        <w:tc>
          <w:tcPr>
            <w:tcW w:w="705" w:type="dxa"/>
            <w:tcBorders>
              <w:top w:val="single" w:color="auto" w:sz="4" w:space="0"/>
              <w:left w:val="single" w:color="auto" w:sz="4" w:space="0"/>
              <w:bottom w:val="single" w:color="auto" w:sz="4" w:space="0"/>
              <w:right w:val="single" w:color="auto" w:sz="4" w:space="0"/>
            </w:tcBorders>
            <w:vAlign w:val="center"/>
          </w:tcPr>
          <w:p w14:paraId="0C4C43AD">
            <w:r>
              <w:rPr>
                <w:rFonts w:hint="eastAsia"/>
              </w:rPr>
              <w:t>商品砼</w:t>
            </w:r>
          </w:p>
        </w:tc>
        <w:tc>
          <w:tcPr>
            <w:tcW w:w="669" w:type="dxa"/>
            <w:tcBorders>
              <w:top w:val="single" w:color="auto" w:sz="4" w:space="0"/>
              <w:left w:val="single" w:color="auto" w:sz="4" w:space="0"/>
              <w:bottom w:val="single" w:color="auto" w:sz="4" w:space="0"/>
              <w:right w:val="single" w:color="auto" w:sz="4" w:space="0"/>
            </w:tcBorders>
            <w:vAlign w:val="center"/>
          </w:tcPr>
          <w:p w14:paraId="1CC4636E">
            <w:r>
              <w:rPr>
                <w:rFonts w:hint="eastAsia"/>
              </w:rPr>
              <w:t>立方米</w:t>
            </w:r>
          </w:p>
        </w:tc>
        <w:tc>
          <w:tcPr>
            <w:tcW w:w="873" w:type="dxa"/>
            <w:tcBorders>
              <w:top w:val="single" w:color="auto" w:sz="4" w:space="0"/>
              <w:left w:val="single" w:color="auto" w:sz="4" w:space="0"/>
              <w:bottom w:val="single" w:color="auto" w:sz="4" w:space="0"/>
              <w:right w:val="single" w:color="auto" w:sz="4" w:space="0"/>
            </w:tcBorders>
            <w:vAlign w:val="center"/>
          </w:tcPr>
          <w:p w14:paraId="4286491C">
            <w:r>
              <w:rPr>
                <w:rFonts w:hint="eastAsia"/>
              </w:rPr>
              <w:t>5000</w:t>
            </w:r>
            <w:r>
              <w:t xml:space="preserve"> </w:t>
            </w:r>
          </w:p>
        </w:tc>
        <w:tc>
          <w:tcPr>
            <w:tcW w:w="993" w:type="dxa"/>
            <w:tcBorders>
              <w:top w:val="single" w:color="auto" w:sz="4" w:space="0"/>
              <w:left w:val="single" w:color="auto" w:sz="4" w:space="0"/>
              <w:bottom w:val="single" w:color="auto" w:sz="4" w:space="0"/>
              <w:right w:val="single" w:color="auto" w:sz="4" w:space="0"/>
            </w:tcBorders>
            <w:vAlign w:val="center"/>
          </w:tcPr>
          <w:p w14:paraId="01B61128">
            <w:r>
              <w:rPr>
                <w:rFonts w:hint="eastAsia" w:ascii="Times New Roman" w:hAnsi="Times New Roman" w:cs="Times New Roman"/>
                <w:kern w:val="2"/>
                <w:sz w:val="21"/>
                <w:szCs w:val="24"/>
              </w:rPr>
              <w:t>中铁四局集团有限公司第六工程分公</w:t>
            </w:r>
            <w:r>
              <w:rPr>
                <w:rFonts w:hint="eastAsia" w:ascii="Times New Roman" w:hAnsi="Times New Roman" w:cs="Times New Roman"/>
                <w:kern w:val="2"/>
                <w:szCs w:val="24"/>
              </w:rPr>
              <w:t>司</w:t>
            </w:r>
          </w:p>
        </w:tc>
        <w:tc>
          <w:tcPr>
            <w:tcW w:w="11392" w:type="dxa"/>
            <w:tcBorders>
              <w:top w:val="single" w:color="auto" w:sz="4" w:space="0"/>
              <w:left w:val="single" w:color="auto" w:sz="4" w:space="0"/>
              <w:bottom w:val="single" w:color="auto" w:sz="4" w:space="0"/>
              <w:right w:val="single" w:color="auto" w:sz="4" w:space="0"/>
            </w:tcBorders>
            <w:vAlign w:val="center"/>
          </w:tcPr>
          <w:p w14:paraId="41E0E88C">
            <w:pPr>
              <w:spacing w:beforeLines="-2147483648" w:afterLines="-2147483648" w:line="240" w:lineRule="auto"/>
              <w:jc w:val="left"/>
              <w:rPr>
                <w:rFonts w:hint="eastAsia" w:ascii="Times New Roman" w:hAnsi="Times New Roman" w:cs="Times New Roman"/>
                <w:b w:val="0"/>
                <w:bCs w:val="0"/>
                <w:sz w:val="21"/>
                <w:szCs w:val="24"/>
              </w:rPr>
            </w:pPr>
            <w:r>
              <w:rPr>
                <w:rFonts w:hint="eastAsia" w:ascii="Times New Roman" w:hAnsi="Times New Roman"/>
                <w:sz w:val="21"/>
                <w:szCs w:val="24"/>
              </w:rPr>
              <w:t>1</w:t>
            </w:r>
            <w:r>
              <w:rPr>
                <w:rFonts w:hint="eastAsia" w:ascii="Times New Roman" w:hAnsi="Times New Roman" w:cs="Times New Roman"/>
                <w:sz w:val="21"/>
                <w:szCs w:val="24"/>
              </w:rPr>
              <w:t>．营业范围：在中华人民共和国境内依法注册，具有独立法人资格、具有投标物资生产</w:t>
            </w:r>
            <w:r>
              <w:rPr>
                <w:rFonts w:hint="eastAsia" w:ascii="Times New Roman" w:hAnsi="Times New Roman" w:cs="Times New Roman"/>
                <w:sz w:val="21"/>
                <w:szCs w:val="24"/>
                <w:lang w:eastAsia="zh-CN"/>
              </w:rPr>
              <w:t>及</w:t>
            </w:r>
            <w:r>
              <w:rPr>
                <w:rFonts w:hint="eastAsia" w:ascii="Times New Roman" w:hAnsi="Times New Roman" w:cs="Times New Roman"/>
                <w:sz w:val="21"/>
                <w:szCs w:val="24"/>
              </w:rPr>
              <w:t>供应经验的生产厂家，并且具有合法、有效的营业执照</w:t>
            </w:r>
            <w:r>
              <w:rPr>
                <w:rFonts w:hint="eastAsia" w:ascii="Times New Roman" w:hAnsi="Times New Roman" w:cs="Times New Roman"/>
                <w:sz w:val="21"/>
                <w:szCs w:val="24"/>
                <w:lang w:eastAsia="zh-CN"/>
              </w:rPr>
              <w:t>，</w:t>
            </w:r>
            <w:r>
              <w:rPr>
                <w:rFonts w:hint="eastAsia" w:ascii="Times New Roman" w:hAnsi="Times New Roman" w:cs="Times New Roman"/>
                <w:sz w:val="21"/>
                <w:szCs w:val="24"/>
                <w:lang w:val="en-US" w:eastAsia="zh-CN"/>
              </w:rPr>
              <w:t>不接受分公司投标</w:t>
            </w:r>
            <w:r>
              <w:rPr>
                <w:rFonts w:hint="eastAsia" w:ascii="Times New Roman" w:hAnsi="Times New Roman" w:cs="Times New Roman"/>
                <w:sz w:val="21"/>
                <w:szCs w:val="24"/>
              </w:rPr>
              <w:t>。</w:t>
            </w:r>
            <w:r>
              <w:rPr>
                <w:rFonts w:hint="eastAsia" w:ascii="Times New Roman" w:hAnsi="Times New Roman" w:cs="Times New Roman"/>
                <w:b w:val="0"/>
                <w:bCs w:val="0"/>
                <w:sz w:val="21"/>
                <w:szCs w:val="24"/>
              </w:rPr>
              <w:br w:type="textWrapping"/>
            </w:r>
            <w:r>
              <w:rPr>
                <w:rFonts w:hint="eastAsia" w:ascii="Times New Roman" w:hAnsi="Times New Roman" w:cs="Times New Roman"/>
                <w:b w:val="0"/>
                <w:bCs w:val="0"/>
                <w:sz w:val="21"/>
                <w:szCs w:val="24"/>
              </w:rPr>
              <w:t>2．生产供应能力：投标人须具备年产</w:t>
            </w:r>
            <w:r>
              <w:rPr>
                <w:rFonts w:hint="eastAsia" w:ascii="Times New Roman" w:hAnsi="Times New Roman" w:cs="Times New Roman"/>
                <w:b w:val="0"/>
                <w:bCs w:val="0"/>
                <w:sz w:val="21"/>
                <w:szCs w:val="24"/>
                <w:lang w:val="en-US" w:eastAsia="zh-CN"/>
              </w:rPr>
              <w:t>4</w:t>
            </w:r>
            <w:r>
              <w:rPr>
                <w:rFonts w:hint="eastAsia" w:ascii="Times New Roman" w:hAnsi="Times New Roman" w:cs="Times New Roman"/>
                <w:b w:val="0"/>
                <w:bCs w:val="0"/>
                <w:sz w:val="21"/>
                <w:szCs w:val="24"/>
              </w:rPr>
              <w:t>0万立方米（含）以上的生产能力，制造地、生产线、原材料、生产工艺、装备必须符合国家产业发展、环保等政策的相关规定</w:t>
            </w:r>
            <w:r>
              <w:rPr>
                <w:rFonts w:hint="eastAsia" w:ascii="Times New Roman" w:hAnsi="Times New Roman" w:cs="Times New Roman"/>
                <w:b w:val="0"/>
                <w:bCs w:val="0"/>
                <w:sz w:val="21"/>
                <w:szCs w:val="24"/>
                <w:lang w:eastAsia="zh-CN"/>
              </w:rPr>
              <w:t>；</w:t>
            </w:r>
            <w:r>
              <w:rPr>
                <w:rFonts w:hint="eastAsia" w:ascii="Times New Roman" w:hAnsi="Times New Roman" w:cs="Times New Roman"/>
                <w:b w:val="0"/>
                <w:bCs w:val="0"/>
                <w:iCs w:val="0"/>
                <w:sz w:val="21"/>
                <w:szCs w:val="24"/>
              </w:rPr>
              <w:t>具有与对应产能相配套的2条1</w:t>
            </w:r>
            <w:r>
              <w:rPr>
                <w:rFonts w:hint="eastAsia" w:ascii="Times New Roman" w:hAnsi="Times New Roman" w:cs="Times New Roman"/>
                <w:b w:val="0"/>
                <w:bCs w:val="0"/>
                <w:iCs w:val="0"/>
                <w:sz w:val="21"/>
                <w:szCs w:val="24"/>
                <w:lang w:val="en-US" w:eastAsia="zh-CN"/>
              </w:rPr>
              <w:t>2</w:t>
            </w:r>
            <w:r>
              <w:rPr>
                <w:rFonts w:hint="eastAsia" w:ascii="Times New Roman" w:hAnsi="Times New Roman" w:cs="Times New Roman"/>
                <w:b w:val="0"/>
                <w:bCs w:val="0"/>
                <w:iCs w:val="0"/>
                <w:sz w:val="21"/>
                <w:szCs w:val="24"/>
              </w:rPr>
              <w:t>0型及以上生产线，生产线需提供产权证明资料（发票或产权转让资料等）</w:t>
            </w:r>
            <w:r>
              <w:rPr>
                <w:rFonts w:hint="eastAsia" w:ascii="Times New Roman" w:hAnsi="Times New Roman" w:cs="Times New Roman"/>
                <w:b w:val="0"/>
                <w:bCs w:val="0"/>
                <w:iCs w:val="0"/>
                <w:sz w:val="21"/>
                <w:szCs w:val="24"/>
                <w:lang w:eastAsia="zh-CN"/>
              </w:rPr>
              <w:t>；</w:t>
            </w:r>
            <w:r>
              <w:rPr>
                <w:rFonts w:hint="eastAsia" w:ascii="Times New Roman" w:hAnsi="Times New Roman" w:cs="Times New Roman"/>
                <w:b w:val="0"/>
                <w:bCs w:val="0"/>
                <w:sz w:val="21"/>
                <w:szCs w:val="24"/>
              </w:rPr>
              <w:t>须常备罐车不少于</w:t>
            </w:r>
            <w:r>
              <w:rPr>
                <w:rFonts w:hint="eastAsia" w:ascii="Times New Roman" w:hAnsi="Times New Roman" w:cs="Times New Roman"/>
                <w:b w:val="0"/>
                <w:bCs w:val="0"/>
                <w:sz w:val="21"/>
                <w:szCs w:val="24"/>
                <w:lang w:val="en-US" w:eastAsia="zh-CN"/>
              </w:rPr>
              <w:t>3</w:t>
            </w:r>
            <w:r>
              <w:rPr>
                <w:rFonts w:hint="eastAsia" w:ascii="Times New Roman" w:hAnsi="Times New Roman" w:cs="Times New Roman"/>
                <w:b w:val="0"/>
                <w:bCs w:val="0"/>
                <w:sz w:val="21"/>
                <w:szCs w:val="24"/>
              </w:rPr>
              <w:t>0辆，天泵不少于</w:t>
            </w:r>
            <w:r>
              <w:rPr>
                <w:rFonts w:hint="eastAsia" w:ascii="Times New Roman" w:hAnsi="Times New Roman" w:cs="Times New Roman"/>
                <w:b w:val="0"/>
                <w:bCs w:val="0"/>
                <w:sz w:val="21"/>
                <w:szCs w:val="24"/>
                <w:lang w:val="en-US" w:eastAsia="zh-CN"/>
              </w:rPr>
              <w:t>3</w:t>
            </w:r>
            <w:r>
              <w:rPr>
                <w:rFonts w:hint="eastAsia" w:ascii="Times New Roman" w:hAnsi="Times New Roman" w:cs="Times New Roman"/>
                <w:b w:val="0"/>
                <w:bCs w:val="0"/>
                <w:sz w:val="21"/>
                <w:szCs w:val="24"/>
              </w:rPr>
              <w:t>辆，地泵不少于</w:t>
            </w:r>
            <w:r>
              <w:rPr>
                <w:rFonts w:hint="eastAsia" w:ascii="Times New Roman" w:hAnsi="Times New Roman" w:cs="Times New Roman"/>
                <w:b w:val="0"/>
                <w:bCs w:val="0"/>
                <w:sz w:val="21"/>
                <w:szCs w:val="24"/>
                <w:lang w:val="en-US" w:eastAsia="zh-CN"/>
              </w:rPr>
              <w:t>2</w:t>
            </w:r>
            <w:r>
              <w:rPr>
                <w:rFonts w:hint="eastAsia" w:ascii="Times New Roman" w:hAnsi="Times New Roman" w:cs="Times New Roman"/>
                <w:b w:val="0"/>
                <w:bCs w:val="0"/>
                <w:sz w:val="21"/>
                <w:szCs w:val="24"/>
              </w:rPr>
              <w:t>辆（需提供设备台账，</w:t>
            </w:r>
            <w:r>
              <w:rPr>
                <w:rFonts w:hint="eastAsia" w:ascii="Times New Roman" w:hAnsi="Times New Roman" w:cs="Times New Roman"/>
                <w:b w:val="0"/>
                <w:bCs w:val="0"/>
                <w:sz w:val="21"/>
                <w:szCs w:val="24"/>
                <w:lang w:eastAsia="zh-CN"/>
              </w:rPr>
              <w:t>外租设备提供外租合同，</w:t>
            </w:r>
            <w:r>
              <w:rPr>
                <w:rFonts w:hint="eastAsia" w:ascii="Times New Roman" w:hAnsi="Times New Roman" w:cs="Times New Roman"/>
                <w:b w:val="0"/>
                <w:bCs w:val="0"/>
                <w:sz w:val="21"/>
                <w:szCs w:val="24"/>
              </w:rPr>
              <w:t>开标后将实地考察验证）</w:t>
            </w:r>
            <w:r>
              <w:rPr>
                <w:rFonts w:hint="eastAsia" w:ascii="Times New Roman" w:hAnsi="Times New Roman" w:cs="Times New Roman"/>
                <w:b w:val="0"/>
                <w:bCs w:val="0"/>
                <w:sz w:val="21"/>
                <w:szCs w:val="24"/>
                <w:lang w:eastAsia="zh-CN"/>
              </w:rPr>
              <w:t>；具有主要检测设备（包含但不限于）：压力试验机、水泥检测设备、粗细骨料检测设备</w:t>
            </w:r>
            <w:r>
              <w:rPr>
                <w:rFonts w:hint="eastAsia" w:ascii="Times New Roman" w:hAnsi="Times New Roman" w:cs="Times New Roman"/>
                <w:b w:val="0"/>
                <w:bCs w:val="0"/>
                <w:sz w:val="21"/>
                <w:szCs w:val="24"/>
                <w:lang w:val="en-US" w:eastAsia="zh-CN"/>
              </w:rPr>
              <w:t>等</w:t>
            </w:r>
            <w:r>
              <w:rPr>
                <w:rFonts w:hint="eastAsia" w:ascii="Times New Roman" w:hAnsi="Times New Roman" w:cs="Times New Roman"/>
                <w:sz w:val="21"/>
                <w:szCs w:val="24"/>
                <w:lang w:eastAsia="zh-CN"/>
              </w:rPr>
              <w:t>，并提供相关证明材料；</w:t>
            </w:r>
            <w:r>
              <w:rPr>
                <w:rFonts w:hint="eastAsia" w:ascii="Times New Roman" w:hAnsi="Times New Roman" w:cs="Times New Roman"/>
                <w:b w:val="0"/>
                <w:bCs w:val="0"/>
                <w:sz w:val="21"/>
                <w:szCs w:val="24"/>
              </w:rPr>
              <w:t>现场派专人协调供应，满足项目混凝土计划或泵车计划上报后24小时内到达现场并实现连续浇筑的能力</w:t>
            </w:r>
            <w:r>
              <w:rPr>
                <w:rFonts w:hint="eastAsia" w:ascii="Times New Roman" w:hAnsi="Times New Roman" w:cs="Times New Roman"/>
                <w:b w:val="0"/>
                <w:bCs w:val="0"/>
                <w:sz w:val="21"/>
                <w:szCs w:val="24"/>
                <w:lang w:eastAsia="zh-CN"/>
              </w:rPr>
              <w:t>；</w:t>
            </w:r>
            <w:r>
              <w:rPr>
                <w:rFonts w:hint="eastAsia" w:ascii="Times New Roman" w:hAnsi="Times New Roman" w:cs="Times New Roman"/>
                <w:b w:val="0"/>
                <w:bCs w:val="0"/>
                <w:sz w:val="21"/>
                <w:szCs w:val="24"/>
              </w:rPr>
              <w:t>不接受租赁其他单位生产线及实际经营权已出租和转让的单位参与，具有建筑业企业资质证书（预拌混凝土专业承包）。</w:t>
            </w:r>
          </w:p>
          <w:p w14:paraId="33FC9D0E">
            <w:pPr>
              <w:spacing w:line="240" w:lineRule="auto"/>
              <w:jc w:val="left"/>
              <w:rPr>
                <w:rFonts w:hint="eastAsia" w:ascii="Times New Roman" w:hAnsi="Times New Roman"/>
                <w:b w:val="0"/>
                <w:bCs w:val="0"/>
                <w:sz w:val="21"/>
                <w:szCs w:val="24"/>
              </w:rPr>
            </w:pPr>
            <w:r>
              <w:rPr>
                <w:rFonts w:hint="eastAsia" w:ascii="Times New Roman" w:hAnsi="Times New Roman" w:cs="Times New Roman"/>
                <w:b w:val="0"/>
                <w:bCs w:val="0"/>
                <w:sz w:val="21"/>
                <w:szCs w:val="24"/>
              </w:rPr>
              <w:t>3．财务能力：投标人注册资本不低于1000万元（含）人民币，</w:t>
            </w:r>
            <w:r>
              <w:rPr>
                <w:rFonts w:hint="eastAsia" w:ascii="Times New Roman" w:hAnsi="Times New Roman"/>
                <w:b w:val="0"/>
                <w:bCs w:val="0"/>
                <w:sz w:val="21"/>
                <w:szCs w:val="24"/>
              </w:rPr>
              <w:t>具有良好的资金财务状况，能够开具增值税专用发票。具有202</w:t>
            </w:r>
            <w:r>
              <w:rPr>
                <w:rFonts w:hint="eastAsia"/>
                <w:b w:val="0"/>
                <w:bCs w:val="0"/>
                <w:sz w:val="21"/>
                <w:szCs w:val="24"/>
                <w:lang w:eastAsia="zh-CN"/>
              </w:rPr>
              <w:t>3</w:t>
            </w:r>
            <w:r>
              <w:rPr>
                <w:rFonts w:hint="eastAsia" w:ascii="Times New Roman" w:hAnsi="Times New Roman"/>
                <w:b w:val="0"/>
                <w:bCs w:val="0"/>
                <w:sz w:val="21"/>
                <w:szCs w:val="24"/>
              </w:rPr>
              <w:t>年-202</w:t>
            </w:r>
            <w:r>
              <w:rPr>
                <w:rFonts w:hint="eastAsia" w:ascii="Times New Roman" w:hAnsi="Times New Roman"/>
                <w:b w:val="0"/>
                <w:bCs w:val="0"/>
                <w:sz w:val="21"/>
                <w:szCs w:val="24"/>
                <w:lang w:val="en-US" w:eastAsia="zh-CN"/>
              </w:rPr>
              <w:t>4</w:t>
            </w:r>
            <w:r>
              <w:rPr>
                <w:rFonts w:hint="eastAsia" w:ascii="Times New Roman" w:hAnsi="Times New Roman"/>
                <w:b w:val="0"/>
                <w:bCs w:val="0"/>
                <w:sz w:val="21"/>
                <w:szCs w:val="24"/>
              </w:rPr>
              <w:t>年</w:t>
            </w:r>
            <w:r>
              <w:rPr>
                <w:rFonts w:hint="eastAsia" w:ascii="Times New Roman" w:hAnsi="Times New Roman"/>
                <w:b w:val="0"/>
                <w:bCs w:val="0"/>
                <w:sz w:val="21"/>
                <w:szCs w:val="24"/>
                <w:lang w:eastAsia="zh-CN"/>
              </w:rPr>
              <w:t>连续</w:t>
            </w:r>
            <w:r>
              <w:rPr>
                <w:rFonts w:hint="eastAsia" w:ascii="Times New Roman" w:hAnsi="Times New Roman"/>
                <w:b w:val="0"/>
                <w:bCs w:val="0"/>
                <w:sz w:val="21"/>
                <w:szCs w:val="24"/>
              </w:rPr>
              <w:t>两年财务会计报表(包含资产负债表、现金流量表、利润表和财务报表附注)，且每年对应主营业务收入均达到</w:t>
            </w:r>
            <w:r>
              <w:rPr>
                <w:rFonts w:hint="eastAsia" w:ascii="Times New Roman" w:hAnsi="Times New Roman"/>
                <w:b w:val="0"/>
                <w:bCs w:val="0"/>
                <w:sz w:val="21"/>
                <w:szCs w:val="24"/>
                <w:lang w:val="en-US" w:eastAsia="zh-CN"/>
              </w:rPr>
              <w:t>1</w:t>
            </w:r>
            <w:r>
              <w:rPr>
                <w:rFonts w:hint="eastAsia" w:ascii="Times New Roman" w:hAnsi="Times New Roman"/>
                <w:b w:val="0"/>
                <w:bCs w:val="0"/>
                <w:sz w:val="21"/>
                <w:szCs w:val="24"/>
              </w:rPr>
              <w:t>000万元以上，新成立公司仅需提供成立后年份的财务会计报表。投标人须提供税务机关出具的最近6个月的《税收完税证明》。</w:t>
            </w:r>
          </w:p>
          <w:p w14:paraId="10B2503B">
            <w:pPr>
              <w:keepNext w:val="0"/>
              <w:keepLines w:val="0"/>
              <w:suppressLineNumbers w:val="0"/>
              <w:spacing w:before="0" w:beforeLines="-2147483648" w:beforeAutospacing="0" w:after="0" w:afterLines="-2147483648" w:afterAutospacing="0" w:line="240" w:lineRule="auto"/>
              <w:ind w:left="0" w:right="0"/>
              <w:jc w:val="left"/>
            </w:pPr>
            <w:r>
              <w:rPr>
                <w:rFonts w:hint="eastAsia" w:ascii="Times New Roman" w:hAnsi="Times New Roman"/>
                <w:b w:val="0"/>
                <w:bCs w:val="0"/>
                <w:sz w:val="21"/>
                <w:szCs w:val="24"/>
              </w:rPr>
              <w:t>4．质量保证能力：产品符合国家现行标准，</w:t>
            </w:r>
            <w:r>
              <w:rPr>
                <w:rFonts w:hint="eastAsia" w:ascii="Times New Roman" w:hAnsi="Times New Roman" w:cs="Times New Roman"/>
                <w:sz w:val="21"/>
                <w:szCs w:val="24"/>
              </w:rPr>
              <w:t>具有2024年1月1日至开标之日由专业检验、检测机构（须取得CMA计量认证资质）出具的投标物资（必须为投标物资生产厂产品，检测委托单位必须为投标人）</w:t>
            </w:r>
            <w:r>
              <w:rPr>
                <w:rFonts w:hint="eastAsia" w:ascii="Times New Roman" w:hAnsi="Times New Roman"/>
                <w:b w:val="0"/>
                <w:bCs w:val="0"/>
                <w:sz w:val="21"/>
                <w:szCs w:val="24"/>
                <w:lang w:eastAsia="zh-CN"/>
              </w:rPr>
              <w:t>有效合格的</w:t>
            </w:r>
            <w:r>
              <w:rPr>
                <w:rFonts w:hint="eastAsia" w:ascii="Times New Roman" w:hAnsi="Times New Roman"/>
                <w:b w:val="0"/>
                <w:bCs w:val="0"/>
                <w:sz w:val="21"/>
                <w:szCs w:val="24"/>
              </w:rPr>
              <w:t>C30、C40、C50成品混凝土28天强度报告各一份，同时提供C30、C40、C50成品混凝土配合比各一份。</w:t>
            </w:r>
            <w:r>
              <w:rPr>
                <w:rFonts w:hint="eastAsia" w:ascii="Times New Roman" w:hAnsi="Times New Roman"/>
                <w:b w:val="0"/>
                <w:bCs w:val="0"/>
                <w:sz w:val="21"/>
                <w:szCs w:val="24"/>
              </w:rPr>
              <w:br w:type="textWrapping"/>
            </w:r>
            <w:r>
              <w:rPr>
                <w:rFonts w:hint="eastAsia" w:ascii="Times New Roman" w:hAnsi="Times New Roman"/>
                <w:b w:val="0"/>
                <w:bCs w:val="0"/>
                <w:sz w:val="21"/>
                <w:szCs w:val="24"/>
              </w:rPr>
              <w:t>5．供货业绩：投标人提供202</w:t>
            </w:r>
            <w:r>
              <w:rPr>
                <w:rFonts w:hint="eastAsia" w:ascii="Times New Roman" w:hAnsi="Times New Roman"/>
                <w:b w:val="0"/>
                <w:bCs w:val="0"/>
                <w:sz w:val="21"/>
                <w:szCs w:val="24"/>
                <w:lang w:val="en-US" w:eastAsia="zh-CN"/>
              </w:rPr>
              <w:t>3</w:t>
            </w:r>
            <w:r>
              <w:rPr>
                <w:rFonts w:hint="eastAsia" w:ascii="Times New Roman" w:hAnsi="Times New Roman"/>
                <w:b w:val="0"/>
                <w:bCs w:val="0"/>
                <w:sz w:val="21"/>
                <w:szCs w:val="24"/>
              </w:rPr>
              <w:t>年1月1日至开标</w:t>
            </w:r>
            <w:r>
              <w:rPr>
                <w:rFonts w:hint="eastAsia" w:ascii="Times New Roman" w:hAnsi="Times New Roman" w:cs="Times New Roman"/>
                <w:sz w:val="21"/>
                <w:szCs w:val="24"/>
              </w:rPr>
              <w:t>之日市政、房建、轨道交通类型等国家大中型基建项目的投标物资供货业绩相关证明材料（含合同协议书及对应供货发票，时间以合同签订时间为准）至少2份，单份合同金额不低于1000万元，并提供与中铁四局集团（含下属单位）202</w:t>
            </w:r>
            <w:r>
              <w:rPr>
                <w:rFonts w:hint="eastAsia" w:ascii="Times New Roman" w:hAnsi="Times New Roman" w:cs="Times New Roman"/>
                <w:sz w:val="21"/>
                <w:szCs w:val="24"/>
                <w:lang w:val="en-US" w:eastAsia="zh-CN"/>
              </w:rPr>
              <w:t>3</w:t>
            </w:r>
            <w:r>
              <w:rPr>
                <w:rFonts w:hint="eastAsia" w:ascii="Times New Roman" w:hAnsi="Times New Roman" w:cs="Times New Roman"/>
                <w:sz w:val="21"/>
                <w:szCs w:val="24"/>
              </w:rPr>
              <w:t>年-202</w:t>
            </w:r>
            <w:r>
              <w:rPr>
                <w:rFonts w:hint="eastAsia" w:ascii="Times New Roman" w:hAnsi="Times New Roman" w:cs="Times New Roman"/>
                <w:sz w:val="21"/>
                <w:szCs w:val="24"/>
                <w:lang w:val="en-US" w:eastAsia="zh-CN"/>
              </w:rPr>
              <w:t>5</w:t>
            </w:r>
            <w:r>
              <w:rPr>
                <w:rFonts w:hint="eastAsia" w:ascii="Times New Roman" w:hAnsi="Times New Roman" w:cs="Times New Roman"/>
                <w:sz w:val="21"/>
                <w:szCs w:val="24"/>
              </w:rPr>
              <w:t>年所有签订合同业绩台账，包含项目名称、合同额等（无合作可不提供）。</w:t>
            </w:r>
            <w:r>
              <w:rPr>
                <w:rFonts w:hint="eastAsia" w:ascii="Times New Roman" w:hAnsi="Times New Roman"/>
                <w:b w:val="0"/>
                <w:bCs w:val="0"/>
                <w:sz w:val="21"/>
                <w:szCs w:val="24"/>
              </w:rPr>
              <w:br w:type="textWrapping"/>
            </w:r>
            <w:r>
              <w:rPr>
                <w:rFonts w:hint="eastAsia" w:ascii="Times New Roman" w:hAnsi="Times New Roman"/>
                <w:b w:val="0"/>
                <w:bCs w:val="0"/>
                <w:sz w:val="21"/>
                <w:szCs w:val="24"/>
              </w:rPr>
              <w:t>6．履约信用：</w:t>
            </w:r>
            <w:r>
              <w:rPr>
                <w:rFonts w:hint="eastAsia" w:ascii="Times New Roman" w:hAnsi="Times New Roman" w:cs="Times New Roman"/>
                <w:sz w:val="21"/>
                <w:szCs w:val="24"/>
                <w:lang w:val="en-US" w:eastAsia="zh-CN"/>
              </w:rPr>
              <w:t>投标</w:t>
            </w:r>
            <w:r>
              <w:rPr>
                <w:rFonts w:hint="eastAsia" w:ascii="Times New Roman" w:hAnsi="Times New Roman" w:cs="Times New Roman"/>
                <w:sz w:val="21"/>
                <w:szCs w:val="24"/>
              </w:rPr>
              <w:t>人必须具有良好的社会信誉，2023年1月1日至开标之日没有与骗取合同有关的犯罪或严重违法行为而引起的诉讼和仲裁；</w:t>
            </w:r>
            <w:r>
              <w:rPr>
                <w:rFonts w:hint="eastAsia" w:ascii="Times New Roman" w:hAnsi="Times New Roman" w:eastAsia="宋体" w:cs="Times New Roman"/>
                <w:sz w:val="21"/>
                <w:szCs w:val="24"/>
              </w:rPr>
              <w:t>投标人未被国家企业信用信息公示系统列入“严重违法失信企业名单、经营异常名录”，未被中国执行信息公开网列入“失信被执行人”，未被信用中国列入“行政处罚”“严重失信”“经营异常”（提供以上网站查询结果截图）</w:t>
            </w:r>
            <w:r>
              <w:rPr>
                <w:rFonts w:hint="eastAsia" w:ascii="Times New Roman" w:hAnsi="Times New Roman" w:eastAsia="宋体" w:cs="Times New Roman"/>
                <w:sz w:val="21"/>
                <w:szCs w:val="24"/>
                <w:lang w:val="en-US" w:eastAsia="zh-CN"/>
              </w:rPr>
              <w:t>且处于公示期内</w:t>
            </w:r>
            <w:r>
              <w:rPr>
                <w:rFonts w:hint="eastAsia" w:ascii="Times New Roman" w:hAnsi="Times New Roman" w:eastAsia="宋体" w:cs="Times New Roman"/>
                <w:sz w:val="21"/>
                <w:szCs w:val="24"/>
              </w:rPr>
              <w:t>。未被行业内、中国中铁股份有限公司、中铁四局集团、招标人列入 “供应商信用评价结果”“分级管理名录”</w:t>
            </w:r>
            <w:r>
              <w:rPr>
                <w:rFonts w:hint="eastAsia" w:ascii="Times New Roman" w:hAnsi="Times New Roman" w:eastAsia="宋体" w:cs="Times New Roman"/>
                <w:sz w:val="21"/>
                <w:szCs w:val="24"/>
                <w:lang w:val="en-US" w:eastAsia="zh-CN"/>
              </w:rPr>
              <w:t>且处于限制交易期内</w:t>
            </w:r>
            <w:r>
              <w:rPr>
                <w:rFonts w:hint="eastAsia" w:ascii="Times New Roman" w:hAnsi="Times New Roman" w:eastAsia="宋体" w:cs="Times New Roman"/>
                <w:sz w:val="21"/>
                <w:szCs w:val="24"/>
              </w:rPr>
              <w:t>。</w:t>
            </w:r>
            <w:r>
              <w:rPr>
                <w:rFonts w:hint="eastAsia" w:ascii="Times New Roman" w:hAnsi="Times New Roman"/>
                <w:sz w:val="21"/>
                <w:szCs w:val="24"/>
              </w:rPr>
              <w:br w:type="textWrapping"/>
            </w:r>
            <w:r>
              <w:rPr>
                <w:rFonts w:hint="eastAsia" w:ascii="Times New Roman" w:hAnsi="Times New Roman"/>
                <w:sz w:val="21"/>
                <w:szCs w:val="24"/>
              </w:rPr>
              <w:t>7．其他：</w:t>
            </w:r>
            <w:r>
              <w:rPr>
                <w:rFonts w:hint="eastAsia" w:ascii="Times New Roman" w:hAnsi="Times New Roman"/>
                <w:sz w:val="21"/>
                <w:szCs w:val="24"/>
                <w:lang w:val="en-US" w:eastAsia="zh-CN"/>
              </w:rPr>
              <w:t>生</w:t>
            </w:r>
            <w:r>
              <w:rPr>
                <w:rFonts w:hint="eastAsia" w:ascii="Times New Roman" w:hAnsi="Times New Roman" w:eastAsia="宋体" w:cs="Times New Roman"/>
                <w:sz w:val="21"/>
                <w:szCs w:val="24"/>
                <w:lang w:eastAsia="zh-CN"/>
              </w:rPr>
              <w:t>产厂在供应过程中，不得提供贴牌产品，且不允许分包、转包。</w:t>
            </w:r>
            <w:r>
              <w:rPr>
                <w:rFonts w:hint="eastAsia" w:ascii="Times New Roman" w:hAnsi="Times New Roman"/>
                <w:sz w:val="21"/>
                <w:szCs w:val="24"/>
              </w:rPr>
              <w:t>投标人提供料仓标准化照片，明确可接受施工单位随时到搅拌站及操作控制室进行检查，其中包括原材料抽检、试验室检查、控制室配合比检测等，要求在实施项目合同开始履行直至工程竣工结束，投标人留存全过程生产资料（包含每盘配合比数据、原材料数据等）便于施工单位随时抽调检查，若投标人存在提供中铁四局项目资料数据不全、拒绝提供、数据造假等情形，视为投标人存在重大违约行为，招标人将其列入“供应商分级管理”并上报中国中铁股份有限公司。</w:t>
            </w:r>
          </w:p>
        </w:tc>
        <w:tc>
          <w:tcPr>
            <w:tcW w:w="1290" w:type="dxa"/>
            <w:tcBorders>
              <w:top w:val="single" w:color="auto" w:sz="4" w:space="0"/>
              <w:left w:val="single" w:color="auto" w:sz="4" w:space="0"/>
              <w:right w:val="single" w:color="auto" w:sz="4" w:space="0"/>
            </w:tcBorders>
            <w:vAlign w:val="center"/>
          </w:tcPr>
          <w:p w14:paraId="703D6BB1">
            <w:pPr>
              <w:rPr>
                <w:rFonts w:hint="eastAsia" w:eastAsia="宋体"/>
                <w:lang w:eastAsia="zh-CN"/>
              </w:rPr>
            </w:pPr>
            <w:r>
              <w:rPr>
                <w:rFonts w:hint="eastAsia"/>
                <w:lang w:val="en-US" w:eastAsia="zh-CN"/>
              </w:rPr>
              <w:t>2</w:t>
            </w:r>
          </w:p>
        </w:tc>
      </w:tr>
    </w:tbl>
    <w:p w14:paraId="56D4C646">
      <w:pPr>
        <w:spacing w:line="240" w:lineRule="auto"/>
        <w:jc w:val="left"/>
        <w:rPr>
          <w:rFonts w:hint="eastAsia" w:ascii="Times New Roman" w:hAnsi="Times New Roman"/>
          <w:sz w:val="21"/>
          <w:szCs w:val="24"/>
        </w:rPr>
      </w:pPr>
      <w:r>
        <w:rPr>
          <w:rFonts w:hint="eastAsia"/>
        </w:rPr>
        <w:t xml:space="preserve"> 注：</w:t>
      </w:r>
      <w:r>
        <w:rPr>
          <w:rFonts w:hint="eastAsia" w:ascii="Times New Roman" w:hAnsi="Times New Roman"/>
          <w:sz w:val="21"/>
          <w:szCs w:val="24"/>
        </w:rPr>
        <w:t>1.本次框架协议采购包件内数量不作为实际供应依据，仅针对投标人报价及评标需要，具体供应数量以实际需求为准。</w:t>
      </w:r>
    </w:p>
    <w:p w14:paraId="3733FA8D">
      <w:pPr>
        <w:numPr>
          <w:ilvl w:val="-1"/>
          <w:numId w:val="0"/>
        </w:numPr>
        <w:spacing w:line="240" w:lineRule="auto"/>
        <w:jc w:val="left"/>
        <w:rPr>
          <w:rFonts w:hint="eastAsia" w:ascii="Times New Roman" w:hAnsi="Times New Roman"/>
          <w:sz w:val="21"/>
          <w:szCs w:val="24"/>
        </w:rPr>
      </w:pPr>
      <w:r>
        <w:rPr>
          <w:rFonts w:hint="eastAsia" w:ascii="Times New Roman" w:hAnsi="Times New Roman"/>
          <w:sz w:val="21"/>
          <w:szCs w:val="24"/>
        </w:rPr>
        <w:t>2.要求投标人搅拌站距离招标区域运距不得超过</w:t>
      </w:r>
      <w:r>
        <w:rPr>
          <w:rFonts w:hint="eastAsia" w:ascii="Times New Roman" w:hAnsi="Times New Roman"/>
          <w:sz w:val="21"/>
          <w:szCs w:val="24"/>
          <w:lang w:val="en-US" w:eastAsia="zh-CN"/>
        </w:rPr>
        <w:t>4</w:t>
      </w:r>
      <w:r>
        <w:rPr>
          <w:rFonts w:hint="eastAsia" w:ascii="Times New Roman" w:hAnsi="Times New Roman"/>
          <w:sz w:val="21"/>
          <w:szCs w:val="24"/>
        </w:rPr>
        <w:t>0公里，投标人在文件中需提供具体搅拌站地址，并附上百度地图标注。</w:t>
      </w:r>
    </w:p>
    <w:p w14:paraId="12CD9027">
      <w:pPr>
        <w:numPr>
          <w:ilvl w:val="-1"/>
          <w:numId w:val="0"/>
        </w:numPr>
        <w:spacing w:line="240" w:lineRule="auto"/>
        <w:jc w:val="left"/>
        <w:rPr>
          <w:rFonts w:hint="eastAsia" w:ascii="Times New Roman" w:hAnsi="Times New Roman"/>
          <w:sz w:val="21"/>
          <w:szCs w:val="24"/>
        </w:rPr>
      </w:pPr>
      <w:r>
        <w:rPr>
          <w:rFonts w:hint="eastAsia" w:ascii="Times New Roman" w:hAnsi="Times New Roman"/>
          <w:sz w:val="21"/>
          <w:szCs w:val="24"/>
          <w:lang w:val="en-US" w:eastAsia="zh-CN"/>
        </w:rPr>
        <w:t>3.具体项目二次竞价时，</w:t>
      </w:r>
      <w:r>
        <w:rPr>
          <w:rFonts w:hint="eastAsia" w:ascii="Times New Roman" w:hAnsi="Times New Roman"/>
          <w:sz w:val="21"/>
          <w:szCs w:val="24"/>
          <w:lang w:eastAsia="zh-CN"/>
        </w:rPr>
        <w:t>若实测入围供应</w:t>
      </w:r>
      <w:r>
        <w:rPr>
          <w:rFonts w:hint="eastAsia" w:ascii="Times New Roman" w:hAnsi="Times New Roman" w:cs="Times New Roman"/>
          <w:b w:val="0"/>
          <w:bCs w:val="0"/>
          <w:spacing w:val="0"/>
          <w:sz w:val="21"/>
          <w:szCs w:val="24"/>
          <w:lang w:eastAsia="zh-CN"/>
        </w:rPr>
        <w:t>商生产地距离项目施工点</w:t>
      </w:r>
      <w:r>
        <w:rPr>
          <w:rFonts w:hint="eastAsia" w:ascii="Times New Roman" w:hAnsi="Times New Roman" w:eastAsia="宋体" w:cs="Times New Roman"/>
          <w:b w:val="0"/>
          <w:bCs w:val="0"/>
          <w:spacing w:val="0"/>
          <w:sz w:val="21"/>
          <w:szCs w:val="24"/>
        </w:rPr>
        <w:t>运距</w:t>
      </w:r>
      <w:r>
        <w:rPr>
          <w:rFonts w:hint="eastAsia" w:ascii="Times New Roman" w:hAnsi="Times New Roman" w:cs="Times New Roman"/>
          <w:b w:val="0"/>
          <w:bCs w:val="0"/>
          <w:spacing w:val="0"/>
          <w:sz w:val="21"/>
          <w:szCs w:val="24"/>
          <w:lang w:eastAsia="zh-CN"/>
        </w:rPr>
        <w:t>超</w:t>
      </w:r>
      <w:r>
        <w:rPr>
          <w:rFonts w:hint="eastAsia" w:ascii="Times New Roman" w:hAnsi="Times New Roman" w:eastAsia="宋体" w:cs="Times New Roman"/>
          <w:b w:val="0"/>
          <w:bCs w:val="0"/>
          <w:spacing w:val="0"/>
          <w:sz w:val="21"/>
          <w:szCs w:val="24"/>
        </w:rPr>
        <w:t xml:space="preserve"> </w:t>
      </w:r>
      <w:r>
        <w:rPr>
          <w:rFonts w:hint="eastAsia" w:ascii="Times New Roman" w:hAnsi="Times New Roman" w:cs="Times New Roman"/>
          <w:b w:val="0"/>
          <w:bCs w:val="0"/>
          <w:spacing w:val="0"/>
          <w:sz w:val="21"/>
          <w:szCs w:val="24"/>
          <w:shd w:val="clear"/>
          <w:lang w:val="en-US" w:eastAsia="zh-CN"/>
        </w:rPr>
        <w:t>30公里（含）</w:t>
      </w:r>
      <w:r>
        <w:rPr>
          <w:rFonts w:hint="eastAsia" w:ascii="Times New Roman" w:hAnsi="Times New Roman" w:cs="Times New Roman"/>
          <w:b w:val="0"/>
          <w:bCs w:val="0"/>
          <w:spacing w:val="0"/>
          <w:sz w:val="21"/>
          <w:szCs w:val="24"/>
          <w:lang w:eastAsia="zh-CN"/>
        </w:rPr>
        <w:t>以上，二次竞价可不参与报价但需出具书面说明</w:t>
      </w:r>
      <w:r>
        <w:rPr>
          <w:rFonts w:hint="eastAsia" w:ascii="Times New Roman" w:hAnsi="Times New Roman" w:eastAsia="宋体" w:cs="Times New Roman"/>
          <w:b w:val="0"/>
          <w:bCs w:val="0"/>
          <w:spacing w:val="0"/>
          <w:sz w:val="21"/>
          <w:szCs w:val="24"/>
        </w:rPr>
        <w:t>。</w:t>
      </w:r>
    </w:p>
    <w:p w14:paraId="5275A2C1">
      <w:pPr>
        <w:widowControl/>
        <w:numPr>
          <w:ilvl w:val="-1"/>
          <w:numId w:val="0"/>
        </w:numPr>
        <w:spacing w:line="240" w:lineRule="auto"/>
        <w:jc w:val="left"/>
        <w:rPr>
          <w:rFonts w:hint="eastAsia" w:ascii="Times New Roman" w:hAnsi="Times New Roman" w:eastAsia="宋体"/>
          <w:sz w:val="21"/>
          <w:szCs w:val="24"/>
          <w:lang w:val="en-US" w:eastAsia="zh-CN"/>
        </w:rPr>
      </w:pPr>
      <w:r>
        <w:rPr>
          <w:rFonts w:hint="eastAsia" w:ascii="Times New Roman" w:hAnsi="Times New Roman"/>
          <w:sz w:val="21"/>
          <w:szCs w:val="24"/>
          <w:lang w:val="en-US" w:eastAsia="zh-CN"/>
        </w:rPr>
        <w:t>4.</w:t>
      </w:r>
      <w:r>
        <w:rPr>
          <w:rFonts w:hint="eastAsia" w:ascii="Times New Roman" w:hAnsi="Times New Roman" w:eastAsia="宋体" w:cs="Times New Roman"/>
          <w:b w:val="0"/>
          <w:bCs w:val="0"/>
          <w:spacing w:val="0"/>
          <w:sz w:val="21"/>
          <w:szCs w:val="24"/>
        </w:rPr>
        <w:t>区域内当前入围供应商较少或者有新增项目，入围供应商生产能力已饱和，无法满足当前供应需求，采购单位可根据实际情况组织</w:t>
      </w:r>
      <w:r>
        <w:rPr>
          <w:rFonts w:hint="eastAsia" w:ascii="Times New Roman" w:hAnsi="Times New Roman" w:eastAsia="宋体" w:cs="Times New Roman"/>
          <w:b w:val="0"/>
          <w:bCs w:val="0"/>
          <w:spacing w:val="0"/>
          <w:sz w:val="21"/>
          <w:szCs w:val="24"/>
          <w:lang w:eastAsia="zh-CN"/>
        </w:rPr>
        <w:t>招标或竞谈</w:t>
      </w:r>
      <w:r>
        <w:rPr>
          <w:rFonts w:hint="eastAsia" w:ascii="Times New Roman" w:hAnsi="Times New Roman" w:eastAsia="宋体" w:cs="Times New Roman"/>
          <w:b w:val="0"/>
          <w:bCs w:val="0"/>
          <w:spacing w:val="0"/>
          <w:sz w:val="21"/>
          <w:szCs w:val="24"/>
        </w:rPr>
        <w:t>，增加该区域供应商数量，已入围单位对此要表示理解与支持。</w:t>
      </w:r>
    </w:p>
    <w:p w14:paraId="73802F23">
      <w:pPr>
        <w:numPr>
          <w:ilvl w:val="-1"/>
          <w:numId w:val="0"/>
        </w:numPr>
        <w:spacing w:line="240" w:lineRule="auto"/>
        <w:jc w:val="left"/>
        <w:rPr>
          <w:rFonts w:hint="eastAsia" w:ascii="Times New Roman" w:hAnsi="Times New Roman"/>
          <w:sz w:val="21"/>
          <w:szCs w:val="24"/>
        </w:rPr>
      </w:pPr>
      <w:r>
        <w:rPr>
          <w:rFonts w:hint="eastAsia" w:ascii="Times New Roman" w:hAnsi="Times New Roman" w:cs="Times New Roman"/>
          <w:sz w:val="21"/>
          <w:szCs w:val="24"/>
          <w:lang w:eastAsia="zh-CN"/>
        </w:rPr>
        <w:t>5</w:t>
      </w:r>
      <w:r>
        <w:rPr>
          <w:rFonts w:hint="eastAsia" w:ascii="Times New Roman" w:hAnsi="Times New Roman"/>
          <w:sz w:val="21"/>
          <w:szCs w:val="24"/>
        </w:rPr>
        <w:t>.</w:t>
      </w:r>
      <w:r>
        <w:rPr>
          <w:rFonts w:hint="eastAsia" w:ascii="Times New Roman" w:hAnsi="Times New Roman"/>
          <w:sz w:val="21"/>
          <w:szCs w:val="24"/>
          <w:lang w:val="en-US" w:eastAsia="zh-CN"/>
        </w:rPr>
        <w:t>投</w:t>
      </w:r>
      <w:r>
        <w:rPr>
          <w:rFonts w:hint="eastAsia" w:ascii="Times New Roman" w:hAnsi="Times New Roman"/>
          <w:sz w:val="21"/>
          <w:szCs w:val="24"/>
        </w:rPr>
        <w:t>标保证金可采用银行转账或金融机构出具的投标保函的形式缴纳。</w:t>
      </w:r>
    </w:p>
    <w:p w14:paraId="5BF8B4ED">
      <w:pPr>
        <w:ind w:firstLine="5040" w:firstLineChars="2400"/>
        <w:jc w:val="left"/>
        <w:rPr>
          <w:rFonts w:hint="eastAsia" w:asciiTheme="minorEastAsia" w:hAnsiTheme="minorEastAsia" w:eastAsiaTheme="minorEastAsia"/>
        </w:rPr>
      </w:pPr>
      <w:r>
        <w:rPr>
          <w:rFonts w:hint="eastAsia" w:asciiTheme="minorEastAsia" w:hAnsiTheme="minorEastAsia" w:eastAsiaTheme="minorEastAsia"/>
        </w:rPr>
        <w:t xml:space="preserve"> </w:t>
      </w:r>
    </w:p>
    <w:p w14:paraId="30AD4AF1">
      <w:pPr>
        <w:pStyle w:val="2"/>
        <w:rPr>
          <w:rFonts w:hint="eastAsia" w:asciiTheme="minorEastAsia" w:hAnsiTheme="minorEastAsia" w:eastAsiaTheme="minorEastAsia"/>
        </w:rPr>
      </w:pPr>
    </w:p>
    <w:p w14:paraId="02BA283F">
      <w:pPr>
        <w:rPr>
          <w:rFonts w:hint="eastAsia" w:asciiTheme="minorEastAsia" w:hAnsiTheme="minorEastAsia" w:eastAsiaTheme="minorEastAsia"/>
        </w:rPr>
      </w:pPr>
    </w:p>
    <w:p w14:paraId="5EFBF66F">
      <w:pPr>
        <w:pStyle w:val="2"/>
        <w:rPr>
          <w:rFonts w:hint="eastAsia" w:asciiTheme="minorEastAsia" w:hAnsiTheme="minorEastAsia" w:eastAsiaTheme="minorEastAsia"/>
        </w:rPr>
      </w:pPr>
    </w:p>
    <w:p w14:paraId="68B384D4">
      <w:pPr>
        <w:jc w:val="both"/>
        <w:rPr>
          <w:rFonts w:hint="eastAsia" w:asciiTheme="minorEastAsia" w:hAnsiTheme="minorEastAsia" w:eastAsiaTheme="minorEastAsia"/>
        </w:rPr>
      </w:pPr>
    </w:p>
    <w:p w14:paraId="18D9CC00">
      <w:pPr>
        <w:pStyle w:val="2"/>
        <w:rPr>
          <w:rFonts w:hint="eastAsia"/>
        </w:rPr>
      </w:pPr>
    </w:p>
    <w:p w14:paraId="2628F859">
      <w:pPr>
        <w:ind w:firstLine="5460" w:firstLineChars="2600"/>
        <w:jc w:val="left"/>
        <w:rPr>
          <w:rFonts w:asciiTheme="minorEastAsia" w:hAnsiTheme="minorEastAsia" w:eastAsiaTheme="minorEastAsia"/>
        </w:rPr>
      </w:pPr>
      <w:r>
        <w:rPr>
          <w:rFonts w:hint="eastAsia" w:asciiTheme="minorEastAsia" w:hAnsiTheme="minorEastAsia" w:eastAsiaTheme="minorEastAsia"/>
        </w:rPr>
        <w:t xml:space="preserve"> 商品砼框架协议采购包件划分表</w:t>
      </w:r>
    </w:p>
    <w:p w14:paraId="7F7A67FD">
      <w:pPr>
        <w:jc w:val="left"/>
        <w:rPr>
          <w:rFonts w:asciiTheme="minorEastAsia" w:hAnsiTheme="minorEastAsia" w:eastAsiaTheme="minorEastAsia"/>
          <w:b/>
          <w:bCs/>
        </w:rPr>
      </w:pPr>
      <w:r>
        <w:rPr>
          <w:rFonts w:hint="eastAsia" w:asciiTheme="minorEastAsia" w:hAnsiTheme="minorEastAsia" w:eastAsiaTheme="minorEastAsia"/>
          <w:b/>
          <w:bCs/>
        </w:rPr>
        <w:t>包件号：SPT-0</w:t>
      </w:r>
      <w:r>
        <w:rPr>
          <w:rFonts w:hint="eastAsia" w:asciiTheme="minorEastAsia" w:hAnsiTheme="minorEastAsia" w:eastAsiaTheme="minorEastAsia"/>
          <w:b/>
          <w:bCs/>
          <w:lang w:val="en-US" w:eastAsia="zh-CN"/>
        </w:rPr>
        <w:t>2</w:t>
      </w:r>
      <w:r>
        <w:rPr>
          <w:rFonts w:asciiTheme="minorEastAsia" w:hAnsiTheme="minorEastAsia" w:eastAsiaTheme="minorEastAsia"/>
          <w:b/>
          <w:bCs/>
        </w:rPr>
        <w:t xml:space="preserve"> </w:t>
      </w:r>
      <w:r>
        <w:rPr>
          <w:rFonts w:hint="eastAsia" w:asciiTheme="minorEastAsia" w:hAnsiTheme="minorEastAsia" w:eastAsiaTheme="minorEastAsia"/>
          <w:b/>
          <w:bCs/>
        </w:rPr>
        <w:t xml:space="preserve">                                                                </w:t>
      </w:r>
      <w:bookmarkStart w:id="129" w:name="OLE_LINK4"/>
      <w:r>
        <w:rPr>
          <w:rFonts w:hint="eastAsia" w:asciiTheme="minorEastAsia" w:hAnsiTheme="minorEastAsia" w:eastAsiaTheme="minorEastAsia"/>
          <w:b/>
          <w:bCs/>
        </w:rPr>
        <w:t>宜宾</w:t>
      </w:r>
      <w:bookmarkStart w:id="130" w:name="OLE_LINK3"/>
      <w:r>
        <w:rPr>
          <w:rFonts w:hint="eastAsia" w:asciiTheme="minorEastAsia" w:hAnsiTheme="minorEastAsia" w:eastAsiaTheme="minorEastAsia"/>
          <w:b/>
          <w:bCs/>
        </w:rPr>
        <w:t>市高县、翠屏区、叙州区、三江新区</w:t>
      </w:r>
      <w:r>
        <w:rPr>
          <w:rFonts w:hint="eastAsia" w:asciiTheme="minorEastAsia" w:hAnsiTheme="minorEastAsia" w:eastAsiaTheme="minorEastAsia"/>
          <w:b/>
          <w:bCs/>
          <w:lang w:eastAsia="zh-CN"/>
        </w:rPr>
        <w:t>区域</w:t>
      </w:r>
      <w:bookmarkEnd w:id="129"/>
      <w:bookmarkEnd w:id="130"/>
    </w:p>
    <w:tbl>
      <w:tblPr>
        <w:tblStyle w:val="3"/>
        <w:tblW w:w="16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705"/>
        <w:gridCol w:w="669"/>
        <w:gridCol w:w="873"/>
        <w:gridCol w:w="993"/>
        <w:gridCol w:w="11392"/>
        <w:gridCol w:w="1290"/>
      </w:tblGrid>
      <w:tr w14:paraId="733F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409" w:type="dxa"/>
            <w:tcBorders>
              <w:top w:val="single" w:color="auto" w:sz="4" w:space="0"/>
              <w:left w:val="single" w:color="auto" w:sz="4" w:space="0"/>
              <w:bottom w:val="single" w:color="auto" w:sz="4" w:space="0"/>
              <w:right w:val="single" w:color="auto" w:sz="4" w:space="0"/>
            </w:tcBorders>
            <w:vAlign w:val="center"/>
          </w:tcPr>
          <w:p w14:paraId="488A32E4">
            <w:pPr>
              <w:rPr>
                <w:rFonts w:ascii="宋体" w:hAnsi="宋体"/>
              </w:rPr>
            </w:pPr>
            <w:r>
              <w:rPr>
                <w:rFonts w:hint="eastAsia" w:ascii="宋体" w:hAnsi="宋体"/>
              </w:rPr>
              <w:t>序号</w:t>
            </w:r>
          </w:p>
        </w:tc>
        <w:tc>
          <w:tcPr>
            <w:tcW w:w="705" w:type="dxa"/>
            <w:tcBorders>
              <w:top w:val="single" w:color="auto" w:sz="4" w:space="0"/>
              <w:left w:val="single" w:color="auto" w:sz="4" w:space="0"/>
              <w:bottom w:val="single" w:color="auto" w:sz="4" w:space="0"/>
              <w:right w:val="single" w:color="auto" w:sz="4" w:space="0"/>
            </w:tcBorders>
            <w:vAlign w:val="center"/>
          </w:tcPr>
          <w:p w14:paraId="64471E6A">
            <w:pPr>
              <w:rPr>
                <w:rFonts w:ascii="宋体" w:hAnsi="宋体"/>
              </w:rPr>
            </w:pPr>
            <w:r>
              <w:rPr>
                <w:rFonts w:hint="eastAsia" w:ascii="宋体" w:hAnsi="宋体"/>
              </w:rPr>
              <w:t>物资名称</w:t>
            </w:r>
          </w:p>
        </w:tc>
        <w:tc>
          <w:tcPr>
            <w:tcW w:w="669" w:type="dxa"/>
            <w:tcBorders>
              <w:top w:val="single" w:color="auto" w:sz="4" w:space="0"/>
              <w:left w:val="single" w:color="auto" w:sz="4" w:space="0"/>
              <w:bottom w:val="single" w:color="auto" w:sz="4" w:space="0"/>
              <w:right w:val="single" w:color="auto" w:sz="4" w:space="0"/>
            </w:tcBorders>
            <w:vAlign w:val="center"/>
          </w:tcPr>
          <w:p w14:paraId="64CB0CA4">
            <w:pPr>
              <w:rPr>
                <w:rFonts w:ascii="宋体" w:hAnsi="宋体"/>
              </w:rPr>
            </w:pPr>
            <w:r>
              <w:rPr>
                <w:rFonts w:hint="eastAsia" w:ascii="宋体" w:hAnsi="宋体"/>
              </w:rPr>
              <w:t>计量单位</w:t>
            </w:r>
          </w:p>
        </w:tc>
        <w:tc>
          <w:tcPr>
            <w:tcW w:w="873" w:type="dxa"/>
            <w:tcBorders>
              <w:top w:val="single" w:color="auto" w:sz="4" w:space="0"/>
              <w:left w:val="single" w:color="auto" w:sz="4" w:space="0"/>
              <w:bottom w:val="single" w:color="auto" w:sz="4" w:space="0"/>
              <w:right w:val="single" w:color="auto" w:sz="4" w:space="0"/>
            </w:tcBorders>
            <w:vAlign w:val="center"/>
          </w:tcPr>
          <w:p w14:paraId="59D1066C">
            <w:pPr>
              <w:rPr>
                <w:rFonts w:ascii="宋体" w:hAnsi="宋体"/>
              </w:rPr>
            </w:pPr>
            <w:r>
              <w:rPr>
                <w:rFonts w:hint="eastAsia" w:ascii="宋体" w:hAnsi="宋体"/>
              </w:rPr>
              <w:t>包件</w:t>
            </w:r>
          </w:p>
          <w:p w14:paraId="1334692F">
            <w:pPr>
              <w:rPr>
                <w:rFonts w:ascii="宋体" w:hAnsi="宋体"/>
              </w:rPr>
            </w:pPr>
            <w:r>
              <w:rPr>
                <w:rFonts w:hint="eastAsia" w:ascii="宋体" w:hAnsi="宋体"/>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7B246833">
            <w:pPr>
              <w:rPr>
                <w:rFonts w:ascii="宋体" w:hAnsi="宋体"/>
              </w:rPr>
            </w:pPr>
            <w:r>
              <w:rPr>
                <w:rFonts w:hint="eastAsia" w:ascii="宋体" w:hAnsi="宋体"/>
              </w:rPr>
              <w:t>招标人</w:t>
            </w:r>
          </w:p>
        </w:tc>
        <w:tc>
          <w:tcPr>
            <w:tcW w:w="11392" w:type="dxa"/>
            <w:tcBorders>
              <w:top w:val="single" w:color="auto" w:sz="4" w:space="0"/>
              <w:left w:val="single" w:color="auto" w:sz="4" w:space="0"/>
              <w:bottom w:val="single" w:color="auto" w:sz="4" w:space="0"/>
              <w:right w:val="single" w:color="auto" w:sz="4" w:space="0"/>
            </w:tcBorders>
            <w:vAlign w:val="center"/>
          </w:tcPr>
          <w:p w14:paraId="63F31BB0">
            <w:pPr>
              <w:rPr>
                <w:rFonts w:ascii="宋体" w:hAnsi="宋体"/>
              </w:rPr>
            </w:pPr>
            <w:r>
              <w:rPr>
                <w:rFonts w:hint="eastAsia" w:ascii="宋体" w:hAnsi="宋体"/>
              </w:rPr>
              <w:t>投标人资格条件</w:t>
            </w:r>
          </w:p>
        </w:tc>
        <w:tc>
          <w:tcPr>
            <w:tcW w:w="1290" w:type="dxa"/>
            <w:tcBorders>
              <w:top w:val="single" w:color="auto" w:sz="4" w:space="0"/>
              <w:left w:val="single" w:color="auto" w:sz="4" w:space="0"/>
              <w:right w:val="single" w:color="auto" w:sz="4" w:space="0"/>
            </w:tcBorders>
            <w:vAlign w:val="center"/>
          </w:tcPr>
          <w:p w14:paraId="758699E2">
            <w:pPr>
              <w:rPr>
                <w:rFonts w:ascii="宋体" w:hAnsi="宋体"/>
                <w:szCs w:val="21"/>
              </w:rPr>
            </w:pPr>
            <w:r>
              <w:rPr>
                <w:rFonts w:hint="eastAsia" w:ascii="宋体" w:hAnsi="宋体"/>
              </w:rPr>
              <w:t>投标保证金(万元)</w:t>
            </w:r>
          </w:p>
        </w:tc>
      </w:tr>
      <w:tr w14:paraId="44BF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409" w:type="dxa"/>
            <w:vMerge w:val="restart"/>
            <w:tcBorders>
              <w:top w:val="single" w:color="auto" w:sz="4" w:space="0"/>
              <w:left w:val="single" w:color="auto" w:sz="4" w:space="0"/>
              <w:right w:val="single" w:color="auto" w:sz="4" w:space="0"/>
            </w:tcBorders>
            <w:vAlign w:val="center"/>
          </w:tcPr>
          <w:p w14:paraId="536F1639">
            <w:r>
              <w:rPr>
                <w:rFonts w:hint="eastAsia"/>
              </w:rPr>
              <w:t>1</w:t>
            </w:r>
          </w:p>
        </w:tc>
        <w:tc>
          <w:tcPr>
            <w:tcW w:w="705" w:type="dxa"/>
            <w:tcBorders>
              <w:top w:val="single" w:color="auto" w:sz="4" w:space="0"/>
              <w:left w:val="single" w:color="auto" w:sz="4" w:space="0"/>
              <w:right w:val="single" w:color="auto" w:sz="4" w:space="0"/>
            </w:tcBorders>
            <w:vAlign w:val="center"/>
          </w:tcPr>
          <w:p w14:paraId="752A3FC2">
            <w:r>
              <w:rPr>
                <w:rFonts w:hint="eastAsia"/>
              </w:rPr>
              <w:t>商品砼</w:t>
            </w:r>
          </w:p>
        </w:tc>
        <w:tc>
          <w:tcPr>
            <w:tcW w:w="669" w:type="dxa"/>
            <w:vMerge w:val="restart"/>
            <w:tcBorders>
              <w:top w:val="single" w:color="auto" w:sz="4" w:space="0"/>
              <w:left w:val="single" w:color="auto" w:sz="4" w:space="0"/>
              <w:right w:val="single" w:color="auto" w:sz="4" w:space="0"/>
            </w:tcBorders>
            <w:vAlign w:val="center"/>
          </w:tcPr>
          <w:p w14:paraId="69661362">
            <w:r>
              <w:rPr>
                <w:rFonts w:hint="eastAsia"/>
              </w:rPr>
              <w:t>立方米</w:t>
            </w:r>
          </w:p>
        </w:tc>
        <w:tc>
          <w:tcPr>
            <w:tcW w:w="873" w:type="dxa"/>
            <w:tcBorders>
              <w:top w:val="single" w:color="auto" w:sz="4" w:space="0"/>
              <w:left w:val="single" w:color="auto" w:sz="4" w:space="0"/>
              <w:bottom w:val="single" w:color="auto" w:sz="4" w:space="0"/>
              <w:right w:val="single" w:color="auto" w:sz="4" w:space="0"/>
            </w:tcBorders>
            <w:vAlign w:val="center"/>
          </w:tcPr>
          <w:p w14:paraId="3822D5FD">
            <w:r>
              <w:rPr>
                <w:rFonts w:hint="eastAsia"/>
                <w:lang w:val="en-US" w:eastAsia="zh-CN"/>
              </w:rPr>
              <w:t>20</w:t>
            </w:r>
            <w:r>
              <w:rPr>
                <w:rFonts w:hint="eastAsia"/>
              </w:rPr>
              <w:t>000</w:t>
            </w:r>
            <w:r>
              <w:t xml:space="preserve"> </w:t>
            </w:r>
          </w:p>
        </w:tc>
        <w:tc>
          <w:tcPr>
            <w:tcW w:w="993" w:type="dxa"/>
            <w:vMerge w:val="restart"/>
            <w:tcBorders>
              <w:top w:val="single" w:color="auto" w:sz="4" w:space="0"/>
              <w:left w:val="single" w:color="auto" w:sz="4" w:space="0"/>
              <w:right w:val="single" w:color="auto" w:sz="4" w:space="0"/>
            </w:tcBorders>
            <w:vAlign w:val="center"/>
          </w:tcPr>
          <w:p w14:paraId="05AA291D">
            <w:r>
              <w:rPr>
                <w:rFonts w:hint="eastAsia" w:ascii="宋体" w:hAnsi="宋体" w:cs="宋体"/>
                <w:kern w:val="0"/>
                <w:sz w:val="18"/>
                <w:szCs w:val="18"/>
              </w:rPr>
              <w:t>中铁四局集团有限公司第六工程分公</w:t>
            </w:r>
            <w:r>
              <w:rPr>
                <w:rFonts w:hint="eastAsia" w:ascii="宋体" w:hAnsi="宋体" w:cs="宋体"/>
                <w:kern w:val="0"/>
                <w:szCs w:val="21"/>
              </w:rPr>
              <w:t>司</w:t>
            </w:r>
          </w:p>
        </w:tc>
        <w:tc>
          <w:tcPr>
            <w:tcW w:w="11392" w:type="dxa"/>
            <w:vMerge w:val="restart"/>
            <w:tcBorders>
              <w:top w:val="single" w:color="auto" w:sz="4" w:space="0"/>
              <w:left w:val="single" w:color="auto" w:sz="4" w:space="0"/>
              <w:right w:val="single" w:color="auto" w:sz="4" w:space="0"/>
            </w:tcBorders>
            <w:vAlign w:val="center"/>
          </w:tcPr>
          <w:p w14:paraId="48B47266">
            <w:pPr>
              <w:spacing w:beforeLines="-2147483648" w:afterLines="-2147483648" w:line="240" w:lineRule="auto"/>
              <w:jc w:val="left"/>
              <w:rPr>
                <w:rFonts w:hint="eastAsia" w:ascii="Times New Roman" w:hAnsi="Times New Roman"/>
                <w:b w:val="0"/>
                <w:bCs w:val="0"/>
                <w:sz w:val="21"/>
                <w:szCs w:val="24"/>
              </w:rPr>
            </w:pPr>
            <w:r>
              <w:rPr>
                <w:rFonts w:hint="eastAsia" w:ascii="Times New Roman" w:hAnsi="Times New Roman"/>
                <w:sz w:val="21"/>
                <w:szCs w:val="24"/>
              </w:rPr>
              <w:t>1．营业范围：在中华人民共和国境内依法注册，具有独立法人资格、具有投标物资生产</w:t>
            </w:r>
            <w:r>
              <w:rPr>
                <w:rFonts w:hint="eastAsia" w:ascii="Times New Roman" w:hAnsi="Times New Roman"/>
                <w:sz w:val="21"/>
                <w:szCs w:val="24"/>
                <w:lang w:eastAsia="zh-CN"/>
              </w:rPr>
              <w:t>及</w:t>
            </w:r>
            <w:r>
              <w:rPr>
                <w:rFonts w:hint="eastAsia" w:ascii="Times New Roman" w:hAnsi="Times New Roman"/>
                <w:sz w:val="21"/>
                <w:szCs w:val="24"/>
              </w:rPr>
              <w:t>供应经验的生产厂家，并且具有合法、有效的营业执照</w:t>
            </w:r>
            <w:r>
              <w:rPr>
                <w:rFonts w:hint="eastAsia" w:ascii="Times New Roman" w:hAnsi="Times New Roman" w:cs="Times New Roman"/>
                <w:sz w:val="21"/>
                <w:szCs w:val="24"/>
                <w:lang w:eastAsia="zh-CN"/>
              </w:rPr>
              <w:t>，</w:t>
            </w:r>
            <w:r>
              <w:rPr>
                <w:rFonts w:hint="eastAsia" w:ascii="Times New Roman" w:hAnsi="Times New Roman" w:cs="Times New Roman"/>
                <w:sz w:val="21"/>
                <w:szCs w:val="24"/>
                <w:lang w:val="en-US" w:eastAsia="zh-CN"/>
              </w:rPr>
              <w:t>不接受分公司投标</w:t>
            </w:r>
            <w:r>
              <w:rPr>
                <w:rFonts w:hint="eastAsia" w:ascii="Times New Roman" w:hAnsi="Times New Roman"/>
                <w:sz w:val="21"/>
                <w:szCs w:val="24"/>
              </w:rPr>
              <w:t>。</w:t>
            </w:r>
            <w:r>
              <w:rPr>
                <w:rFonts w:hint="eastAsia" w:ascii="Times New Roman" w:hAnsi="Times New Roman"/>
                <w:b w:val="0"/>
                <w:bCs w:val="0"/>
                <w:sz w:val="21"/>
                <w:szCs w:val="24"/>
              </w:rPr>
              <w:br w:type="textWrapping"/>
            </w:r>
            <w:r>
              <w:rPr>
                <w:rFonts w:hint="eastAsia" w:ascii="Times New Roman" w:hAnsi="Times New Roman"/>
                <w:b w:val="0"/>
                <w:bCs w:val="0"/>
                <w:sz w:val="21"/>
                <w:szCs w:val="24"/>
              </w:rPr>
              <w:t>2．生产供应能力：投标人须具备年产</w:t>
            </w:r>
            <w:r>
              <w:rPr>
                <w:rFonts w:hint="eastAsia" w:ascii="Times New Roman" w:hAnsi="Times New Roman" w:cs="Times New Roman"/>
                <w:b w:val="0"/>
                <w:bCs w:val="0"/>
                <w:sz w:val="21"/>
                <w:szCs w:val="24"/>
                <w:lang w:val="en-US" w:eastAsia="zh-CN"/>
              </w:rPr>
              <w:t>8</w:t>
            </w:r>
            <w:r>
              <w:rPr>
                <w:rFonts w:hint="eastAsia" w:ascii="Times New Roman" w:hAnsi="Times New Roman"/>
                <w:b w:val="0"/>
                <w:bCs w:val="0"/>
                <w:sz w:val="21"/>
                <w:szCs w:val="24"/>
              </w:rPr>
              <w:t>0万立方米（含）以上的生产能力，制造地、生产线、原材料、生产工艺、装备必须符合国家产业发展、环保等政策的相关规定</w:t>
            </w:r>
            <w:r>
              <w:rPr>
                <w:rFonts w:hint="eastAsia" w:ascii="Times New Roman" w:hAnsi="Times New Roman"/>
                <w:b w:val="0"/>
                <w:bCs w:val="0"/>
                <w:sz w:val="21"/>
                <w:szCs w:val="24"/>
                <w:lang w:eastAsia="zh-CN"/>
              </w:rPr>
              <w:t>；</w:t>
            </w:r>
            <w:r>
              <w:rPr>
                <w:rFonts w:hint="eastAsia" w:ascii="Times New Roman" w:hAnsi="Times New Roman"/>
                <w:b w:val="0"/>
                <w:bCs w:val="0"/>
                <w:iCs w:val="0"/>
                <w:sz w:val="21"/>
                <w:szCs w:val="24"/>
              </w:rPr>
              <w:t>具有与对应产能相配套的2条180型及以上生产线，生产线需提供产权证明资料（发票或产权转让资料等）</w:t>
            </w:r>
            <w:r>
              <w:rPr>
                <w:rFonts w:hint="eastAsia" w:ascii="Times New Roman" w:hAnsi="Times New Roman"/>
                <w:b w:val="0"/>
                <w:bCs w:val="0"/>
                <w:iCs w:val="0"/>
                <w:sz w:val="21"/>
                <w:szCs w:val="24"/>
                <w:lang w:eastAsia="zh-CN"/>
              </w:rPr>
              <w:t>；</w:t>
            </w:r>
            <w:r>
              <w:rPr>
                <w:rFonts w:hint="eastAsia" w:ascii="Times New Roman" w:hAnsi="Times New Roman"/>
                <w:b w:val="0"/>
                <w:bCs w:val="0"/>
                <w:sz w:val="21"/>
                <w:szCs w:val="24"/>
              </w:rPr>
              <w:t>须常备罐车不少于50辆</w:t>
            </w:r>
            <w:r>
              <w:rPr>
                <w:rFonts w:hint="eastAsia" w:ascii="Times New Roman" w:hAnsi="Times New Roman"/>
                <w:b w:val="0"/>
                <w:bCs w:val="0"/>
                <w:sz w:val="21"/>
                <w:szCs w:val="24"/>
                <w:lang w:eastAsia="zh-CN"/>
              </w:rPr>
              <w:t>（其中电车不少于</w:t>
            </w:r>
            <w:r>
              <w:rPr>
                <w:rFonts w:hint="eastAsia" w:ascii="Times New Roman" w:hAnsi="Times New Roman"/>
                <w:b w:val="0"/>
                <w:bCs w:val="0"/>
                <w:sz w:val="21"/>
                <w:szCs w:val="24"/>
                <w:lang w:val="en-US" w:eastAsia="zh-CN"/>
              </w:rPr>
              <w:t>30量</w:t>
            </w:r>
            <w:r>
              <w:rPr>
                <w:rFonts w:hint="eastAsia" w:ascii="Times New Roman" w:hAnsi="Times New Roman"/>
                <w:b w:val="0"/>
                <w:bCs w:val="0"/>
                <w:sz w:val="21"/>
                <w:szCs w:val="24"/>
                <w:lang w:eastAsia="zh-CN"/>
              </w:rPr>
              <w:t>）</w:t>
            </w:r>
            <w:r>
              <w:rPr>
                <w:rFonts w:hint="eastAsia" w:ascii="Times New Roman" w:hAnsi="Times New Roman"/>
                <w:b w:val="0"/>
                <w:bCs w:val="0"/>
                <w:sz w:val="21"/>
                <w:szCs w:val="24"/>
              </w:rPr>
              <w:t>，天泵不少于</w:t>
            </w:r>
            <w:r>
              <w:rPr>
                <w:rFonts w:hint="eastAsia" w:ascii="Times New Roman" w:hAnsi="Times New Roman" w:cs="Times New Roman"/>
                <w:b w:val="0"/>
                <w:bCs w:val="0"/>
                <w:sz w:val="21"/>
                <w:szCs w:val="24"/>
                <w:lang w:eastAsia="zh-CN"/>
              </w:rPr>
              <w:t>6</w:t>
            </w:r>
            <w:r>
              <w:rPr>
                <w:rFonts w:hint="eastAsia" w:ascii="Times New Roman" w:hAnsi="Times New Roman"/>
                <w:b w:val="0"/>
                <w:bCs w:val="0"/>
                <w:sz w:val="21"/>
                <w:szCs w:val="24"/>
              </w:rPr>
              <w:t>辆，地泵不少于</w:t>
            </w:r>
            <w:r>
              <w:rPr>
                <w:rFonts w:hint="eastAsia" w:ascii="Times New Roman" w:hAnsi="Times New Roman" w:cs="Times New Roman"/>
                <w:b w:val="0"/>
                <w:bCs w:val="0"/>
                <w:sz w:val="21"/>
                <w:szCs w:val="24"/>
                <w:lang w:eastAsia="zh-CN"/>
              </w:rPr>
              <w:t>3</w:t>
            </w:r>
            <w:r>
              <w:rPr>
                <w:rFonts w:hint="eastAsia" w:ascii="Times New Roman" w:hAnsi="Times New Roman"/>
                <w:b w:val="0"/>
                <w:bCs w:val="0"/>
                <w:sz w:val="21"/>
                <w:szCs w:val="24"/>
              </w:rPr>
              <w:t>辆（需提供设备台账，</w:t>
            </w:r>
            <w:r>
              <w:rPr>
                <w:rFonts w:hint="eastAsia" w:ascii="Times New Roman" w:hAnsi="Times New Roman"/>
                <w:b w:val="0"/>
                <w:bCs w:val="0"/>
                <w:sz w:val="21"/>
                <w:szCs w:val="24"/>
                <w:lang w:eastAsia="zh-CN"/>
              </w:rPr>
              <w:t>外租设备提供外租合同，</w:t>
            </w:r>
            <w:r>
              <w:rPr>
                <w:rFonts w:hint="eastAsia" w:ascii="Times New Roman" w:hAnsi="Times New Roman"/>
                <w:b w:val="0"/>
                <w:bCs w:val="0"/>
                <w:sz w:val="21"/>
                <w:szCs w:val="24"/>
              </w:rPr>
              <w:t>开标后将实地考察验证）</w:t>
            </w:r>
            <w:r>
              <w:rPr>
                <w:rFonts w:hint="eastAsia" w:ascii="Times New Roman" w:hAnsi="Times New Roman"/>
                <w:b w:val="0"/>
                <w:bCs w:val="0"/>
                <w:sz w:val="21"/>
                <w:szCs w:val="24"/>
                <w:lang w:eastAsia="zh-CN"/>
              </w:rPr>
              <w:t>；</w:t>
            </w:r>
            <w:r>
              <w:rPr>
                <w:rFonts w:hint="eastAsia" w:ascii="Times New Roman" w:hAnsi="Times New Roman" w:cs="Times New Roman"/>
                <w:b w:val="0"/>
                <w:bCs w:val="0"/>
                <w:sz w:val="21"/>
                <w:szCs w:val="24"/>
                <w:lang w:eastAsia="zh-CN"/>
              </w:rPr>
              <w:t>具有主要检测设备（包含但不限于）：压力试验机、水泥检测设备、粗细骨料检测设备</w:t>
            </w:r>
            <w:r>
              <w:rPr>
                <w:rFonts w:hint="eastAsia" w:ascii="Times New Roman" w:hAnsi="Times New Roman" w:cs="Times New Roman"/>
                <w:b w:val="0"/>
                <w:bCs w:val="0"/>
                <w:sz w:val="21"/>
                <w:szCs w:val="24"/>
                <w:lang w:val="en-US" w:eastAsia="zh-CN"/>
              </w:rPr>
              <w:t>等</w:t>
            </w:r>
            <w:r>
              <w:rPr>
                <w:rFonts w:hint="eastAsia" w:ascii="Times New Roman" w:hAnsi="Times New Roman" w:cs="Times New Roman"/>
                <w:sz w:val="21"/>
                <w:szCs w:val="24"/>
                <w:lang w:eastAsia="zh-CN"/>
              </w:rPr>
              <w:t>，并提供相关证明材料；</w:t>
            </w:r>
            <w:r>
              <w:rPr>
                <w:rFonts w:hint="eastAsia" w:ascii="Times New Roman" w:hAnsi="Times New Roman"/>
                <w:b w:val="0"/>
                <w:bCs w:val="0"/>
                <w:sz w:val="21"/>
                <w:szCs w:val="24"/>
              </w:rPr>
              <w:t>现场派专人协调供应，满足项目混凝土计划或泵车计划上报后24小时内到达现场并实现连续浇筑的能力</w:t>
            </w:r>
            <w:r>
              <w:rPr>
                <w:rFonts w:hint="eastAsia" w:ascii="Times New Roman" w:hAnsi="Times New Roman"/>
                <w:b w:val="0"/>
                <w:bCs w:val="0"/>
                <w:sz w:val="21"/>
                <w:szCs w:val="24"/>
                <w:lang w:eastAsia="zh-CN"/>
              </w:rPr>
              <w:t>；</w:t>
            </w:r>
            <w:r>
              <w:rPr>
                <w:rFonts w:hint="eastAsia" w:ascii="Times New Roman" w:hAnsi="Times New Roman" w:cs="Times New Roman"/>
                <w:b w:val="0"/>
                <w:bCs w:val="0"/>
                <w:sz w:val="21"/>
                <w:szCs w:val="24"/>
              </w:rPr>
              <w:t>不接受租赁其他单位生产线及实际经营权已出租和转让的单位参与，具有建筑业企业资质证书（预拌混凝土专业承包）。</w:t>
            </w:r>
          </w:p>
          <w:p w14:paraId="745B4AD4">
            <w:pPr>
              <w:spacing w:line="240" w:lineRule="auto"/>
              <w:jc w:val="left"/>
              <w:rPr>
                <w:rFonts w:hint="eastAsia" w:ascii="Times New Roman" w:hAnsi="Times New Roman"/>
                <w:b w:val="0"/>
                <w:bCs w:val="0"/>
                <w:sz w:val="21"/>
                <w:szCs w:val="24"/>
              </w:rPr>
            </w:pPr>
            <w:r>
              <w:rPr>
                <w:rFonts w:hint="eastAsia" w:ascii="Times New Roman" w:hAnsi="Times New Roman"/>
                <w:b w:val="0"/>
                <w:bCs w:val="0"/>
                <w:sz w:val="21"/>
                <w:szCs w:val="24"/>
              </w:rPr>
              <w:t>3．财务能力：投标人注册资本不低于1000万元（含）人民币，具有良好的资金财务状况，能够开具增值税专用发票。具有202</w:t>
            </w:r>
            <w:r>
              <w:rPr>
                <w:rFonts w:hint="eastAsia"/>
                <w:b w:val="0"/>
                <w:bCs w:val="0"/>
                <w:sz w:val="21"/>
                <w:szCs w:val="24"/>
                <w:lang w:eastAsia="zh-CN"/>
              </w:rPr>
              <w:t>3</w:t>
            </w:r>
            <w:r>
              <w:rPr>
                <w:rFonts w:hint="eastAsia" w:ascii="Times New Roman" w:hAnsi="Times New Roman"/>
                <w:b w:val="0"/>
                <w:bCs w:val="0"/>
                <w:sz w:val="21"/>
                <w:szCs w:val="24"/>
              </w:rPr>
              <w:t>年-202</w:t>
            </w:r>
            <w:r>
              <w:rPr>
                <w:rFonts w:hint="eastAsia" w:ascii="Times New Roman" w:hAnsi="Times New Roman"/>
                <w:b w:val="0"/>
                <w:bCs w:val="0"/>
                <w:sz w:val="21"/>
                <w:szCs w:val="24"/>
                <w:lang w:val="en-US" w:eastAsia="zh-CN"/>
              </w:rPr>
              <w:t>4</w:t>
            </w:r>
            <w:r>
              <w:rPr>
                <w:rFonts w:hint="eastAsia" w:ascii="Times New Roman" w:hAnsi="Times New Roman"/>
                <w:b w:val="0"/>
                <w:bCs w:val="0"/>
                <w:sz w:val="21"/>
                <w:szCs w:val="24"/>
              </w:rPr>
              <w:t>年</w:t>
            </w:r>
            <w:r>
              <w:rPr>
                <w:rFonts w:hint="eastAsia" w:ascii="Times New Roman" w:hAnsi="Times New Roman"/>
                <w:b w:val="0"/>
                <w:bCs w:val="0"/>
                <w:sz w:val="21"/>
                <w:szCs w:val="24"/>
                <w:lang w:eastAsia="zh-CN"/>
              </w:rPr>
              <w:t>连续</w:t>
            </w:r>
            <w:r>
              <w:rPr>
                <w:rFonts w:hint="eastAsia" w:ascii="Times New Roman" w:hAnsi="Times New Roman"/>
                <w:b w:val="0"/>
                <w:bCs w:val="0"/>
                <w:sz w:val="21"/>
                <w:szCs w:val="24"/>
              </w:rPr>
              <w:t>两年财务会计报表(包含资产负债表、现金流量表、利润表和财务报表附注)，且每年对应主营业务收入均达到</w:t>
            </w:r>
            <w:r>
              <w:rPr>
                <w:rFonts w:hint="eastAsia" w:ascii="Times New Roman" w:hAnsi="Times New Roman"/>
                <w:b w:val="0"/>
                <w:bCs w:val="0"/>
                <w:sz w:val="21"/>
                <w:szCs w:val="24"/>
                <w:lang w:val="en-US" w:eastAsia="zh-CN"/>
              </w:rPr>
              <w:t>2</w:t>
            </w:r>
            <w:r>
              <w:rPr>
                <w:rFonts w:hint="eastAsia" w:ascii="Times New Roman" w:hAnsi="Times New Roman"/>
                <w:b w:val="0"/>
                <w:bCs w:val="0"/>
                <w:sz w:val="21"/>
                <w:szCs w:val="24"/>
              </w:rPr>
              <w:t>000万元以上，新成立公司仅需提供成立后年份的财务会计报表。投标人须提供税务机关出具的最近6个月的《税收完税证明》。</w:t>
            </w:r>
          </w:p>
          <w:p w14:paraId="269F86A8">
            <w:pPr>
              <w:spacing w:line="240" w:lineRule="auto"/>
              <w:jc w:val="left"/>
            </w:pPr>
            <w:r>
              <w:rPr>
                <w:rFonts w:hint="eastAsia" w:ascii="Times New Roman" w:hAnsi="Times New Roman"/>
                <w:b w:val="0"/>
                <w:bCs w:val="0"/>
                <w:sz w:val="21"/>
                <w:szCs w:val="24"/>
              </w:rPr>
              <w:t>4．质量保证能力：产品符合国家现行标准，</w:t>
            </w:r>
            <w:r>
              <w:rPr>
                <w:rFonts w:hint="eastAsia" w:ascii="Times New Roman" w:hAnsi="Times New Roman" w:cs="Times New Roman"/>
                <w:sz w:val="21"/>
                <w:szCs w:val="24"/>
              </w:rPr>
              <w:t>具有2024年1月1日至开标之日由专业检验、检测机构（须取得CMA计量认证资质）出具的投标物资（必须为投标物资生产厂产品，检测委托单位必须为投标人）</w:t>
            </w:r>
            <w:r>
              <w:rPr>
                <w:rFonts w:hint="eastAsia" w:ascii="Times New Roman" w:hAnsi="Times New Roman"/>
                <w:b w:val="0"/>
                <w:bCs w:val="0"/>
                <w:sz w:val="21"/>
                <w:szCs w:val="24"/>
                <w:lang w:eastAsia="zh-CN"/>
              </w:rPr>
              <w:t>有效合格的</w:t>
            </w:r>
            <w:r>
              <w:rPr>
                <w:rFonts w:hint="eastAsia" w:ascii="Times New Roman" w:hAnsi="Times New Roman"/>
                <w:b w:val="0"/>
                <w:bCs w:val="0"/>
                <w:sz w:val="21"/>
                <w:szCs w:val="24"/>
              </w:rPr>
              <w:t>C30、C40、C50成品混凝土28天强度报告各一份，同时提供C30、C40、C50成品混凝土配合比各一份。</w:t>
            </w:r>
            <w:r>
              <w:rPr>
                <w:rFonts w:hint="eastAsia" w:ascii="Times New Roman" w:hAnsi="Times New Roman"/>
                <w:b w:val="0"/>
                <w:bCs w:val="0"/>
                <w:sz w:val="21"/>
                <w:szCs w:val="24"/>
              </w:rPr>
              <w:br w:type="textWrapping"/>
            </w:r>
            <w:r>
              <w:rPr>
                <w:rFonts w:hint="eastAsia" w:ascii="Times New Roman" w:hAnsi="Times New Roman"/>
                <w:b w:val="0"/>
                <w:bCs w:val="0"/>
                <w:sz w:val="21"/>
                <w:szCs w:val="24"/>
              </w:rPr>
              <w:t>5．供货业绩：投标人提供202</w:t>
            </w:r>
            <w:r>
              <w:rPr>
                <w:rFonts w:hint="eastAsia" w:ascii="Times New Roman" w:hAnsi="Times New Roman"/>
                <w:b w:val="0"/>
                <w:bCs w:val="0"/>
                <w:sz w:val="21"/>
                <w:szCs w:val="24"/>
                <w:lang w:val="en-US" w:eastAsia="zh-CN"/>
              </w:rPr>
              <w:t>3</w:t>
            </w:r>
            <w:r>
              <w:rPr>
                <w:rFonts w:hint="eastAsia" w:ascii="Times New Roman" w:hAnsi="Times New Roman"/>
                <w:b w:val="0"/>
                <w:bCs w:val="0"/>
                <w:sz w:val="21"/>
                <w:szCs w:val="24"/>
              </w:rPr>
              <w:t>年1月1日至开标之日市政、房建、轨道交通类型等国家大中型基建项目的投标物资供货业绩相关证明材料（含合同协议书及对应供货发票，时间以合同签订时间为准）至少2份，单份合同金额不低于1000万元</w:t>
            </w:r>
            <w:r>
              <w:rPr>
                <w:rFonts w:hint="eastAsia" w:ascii="Times New Roman" w:hAnsi="Times New Roman" w:cs="Times New Roman"/>
                <w:sz w:val="21"/>
                <w:szCs w:val="24"/>
              </w:rPr>
              <w:t>并提供与中铁四局集团（含下属单位）202</w:t>
            </w:r>
            <w:r>
              <w:rPr>
                <w:rFonts w:hint="eastAsia" w:ascii="Times New Roman" w:hAnsi="Times New Roman" w:cs="Times New Roman"/>
                <w:sz w:val="21"/>
                <w:szCs w:val="24"/>
                <w:lang w:val="en-US" w:eastAsia="zh-CN"/>
              </w:rPr>
              <w:t>3</w:t>
            </w:r>
            <w:r>
              <w:rPr>
                <w:rFonts w:hint="eastAsia" w:ascii="Times New Roman" w:hAnsi="Times New Roman" w:cs="Times New Roman"/>
                <w:sz w:val="21"/>
                <w:szCs w:val="24"/>
              </w:rPr>
              <w:t>年-202</w:t>
            </w:r>
            <w:r>
              <w:rPr>
                <w:rFonts w:hint="eastAsia" w:ascii="Times New Roman" w:hAnsi="Times New Roman" w:cs="Times New Roman"/>
                <w:sz w:val="21"/>
                <w:szCs w:val="24"/>
                <w:lang w:val="en-US" w:eastAsia="zh-CN"/>
              </w:rPr>
              <w:t>5</w:t>
            </w:r>
            <w:r>
              <w:rPr>
                <w:rFonts w:hint="eastAsia" w:ascii="Times New Roman" w:hAnsi="Times New Roman" w:cs="Times New Roman"/>
                <w:sz w:val="21"/>
                <w:szCs w:val="24"/>
              </w:rPr>
              <w:t>年所有签订合同业绩台账，包含项目名称、合同额等（无合作可不提供）。</w:t>
            </w:r>
            <w:r>
              <w:rPr>
                <w:rFonts w:hint="eastAsia" w:ascii="Times New Roman" w:hAnsi="Times New Roman"/>
                <w:b w:val="0"/>
                <w:bCs w:val="0"/>
                <w:sz w:val="21"/>
                <w:szCs w:val="24"/>
              </w:rPr>
              <w:br w:type="textWrapping"/>
            </w:r>
            <w:r>
              <w:rPr>
                <w:rFonts w:hint="eastAsia" w:ascii="Times New Roman" w:hAnsi="Times New Roman"/>
                <w:b w:val="0"/>
                <w:bCs w:val="0"/>
                <w:sz w:val="21"/>
                <w:szCs w:val="24"/>
              </w:rPr>
              <w:t>6．履约信用：</w:t>
            </w:r>
            <w:r>
              <w:rPr>
                <w:rFonts w:hint="eastAsia" w:ascii="Times New Roman" w:hAnsi="Times New Roman" w:cs="Times New Roman"/>
                <w:sz w:val="21"/>
                <w:szCs w:val="24"/>
                <w:lang w:val="en-US" w:eastAsia="zh-CN"/>
              </w:rPr>
              <w:t>投标</w:t>
            </w:r>
            <w:r>
              <w:rPr>
                <w:rFonts w:hint="eastAsia" w:ascii="Times New Roman" w:hAnsi="Times New Roman" w:cs="Times New Roman"/>
                <w:sz w:val="21"/>
                <w:szCs w:val="24"/>
              </w:rPr>
              <w:t>人必须具有良好的社会信誉，2023年1月1日至开标之日没有与骗取合同有关的犯罪或严重违法行为而引起的诉讼和仲裁；</w:t>
            </w:r>
            <w:r>
              <w:rPr>
                <w:rFonts w:hint="eastAsia" w:ascii="Times New Roman" w:hAnsi="Times New Roman" w:eastAsia="宋体" w:cs="Times New Roman"/>
                <w:sz w:val="21"/>
                <w:szCs w:val="24"/>
              </w:rPr>
              <w:t>投标人未被国家企业信用信息公示系统列入“严重违法失信企业名单、经营异常名录”，未被中国执行信息公开网列入“失信被执行人”，未被信用中国列入“行政处罚”“严重失信”“经营异常”（提供以上网站查询结果截图）</w:t>
            </w:r>
            <w:r>
              <w:rPr>
                <w:rFonts w:hint="eastAsia" w:ascii="Times New Roman" w:hAnsi="Times New Roman" w:eastAsia="宋体" w:cs="Times New Roman"/>
                <w:sz w:val="21"/>
                <w:szCs w:val="24"/>
                <w:lang w:val="en-US" w:eastAsia="zh-CN"/>
              </w:rPr>
              <w:t>且处于公示期内</w:t>
            </w:r>
            <w:r>
              <w:rPr>
                <w:rFonts w:hint="eastAsia" w:ascii="Times New Roman" w:hAnsi="Times New Roman" w:eastAsia="宋体" w:cs="Times New Roman"/>
                <w:sz w:val="21"/>
                <w:szCs w:val="24"/>
              </w:rPr>
              <w:t>。未被行业内、中国中铁股份有限公司、中铁四局集团、招标人列入 “供应商信用评价结果”“分级管理名录”</w:t>
            </w:r>
            <w:r>
              <w:rPr>
                <w:rFonts w:hint="eastAsia" w:ascii="Times New Roman" w:hAnsi="Times New Roman" w:eastAsia="宋体" w:cs="Times New Roman"/>
                <w:sz w:val="21"/>
                <w:szCs w:val="24"/>
                <w:lang w:val="en-US" w:eastAsia="zh-CN"/>
              </w:rPr>
              <w:t>且处于限制交易期内</w:t>
            </w:r>
            <w:r>
              <w:rPr>
                <w:rFonts w:hint="eastAsia" w:ascii="Times New Roman" w:hAnsi="Times New Roman" w:eastAsia="宋体" w:cs="Times New Roman"/>
                <w:sz w:val="21"/>
                <w:szCs w:val="24"/>
              </w:rPr>
              <w:t>。</w:t>
            </w:r>
            <w:r>
              <w:rPr>
                <w:rFonts w:hint="eastAsia" w:ascii="Times New Roman" w:hAnsi="Times New Roman"/>
                <w:sz w:val="21"/>
                <w:szCs w:val="24"/>
              </w:rPr>
              <w:br w:type="textWrapping"/>
            </w:r>
            <w:r>
              <w:rPr>
                <w:rFonts w:hint="eastAsia" w:ascii="Times New Roman" w:hAnsi="Times New Roman"/>
                <w:sz w:val="21"/>
                <w:szCs w:val="24"/>
              </w:rPr>
              <w:t>7．其他：</w:t>
            </w:r>
            <w:r>
              <w:rPr>
                <w:rFonts w:hint="eastAsia" w:ascii="Times New Roman" w:hAnsi="Times New Roman"/>
                <w:sz w:val="21"/>
                <w:szCs w:val="24"/>
                <w:lang w:val="en-US" w:eastAsia="zh-CN"/>
              </w:rPr>
              <w:t>生</w:t>
            </w:r>
            <w:r>
              <w:rPr>
                <w:rFonts w:hint="eastAsia" w:ascii="Times New Roman" w:hAnsi="Times New Roman" w:eastAsia="宋体" w:cs="Times New Roman"/>
                <w:sz w:val="21"/>
                <w:szCs w:val="24"/>
                <w:lang w:eastAsia="zh-CN"/>
              </w:rPr>
              <w:t>产厂在供应过程中，不得提供贴牌产品，且不允许分包、转包。</w:t>
            </w:r>
            <w:r>
              <w:rPr>
                <w:rFonts w:hint="eastAsia" w:ascii="Times New Roman" w:hAnsi="Times New Roman"/>
                <w:sz w:val="21"/>
                <w:szCs w:val="24"/>
              </w:rPr>
              <w:t>投标人提供料仓标准化照片，明确可接受施工单位随时到搅拌站及操作控制室进行检查，其中包括原材料抽检、试验室检查、控制室配合比检测等，要求在实施项目合同开始履行直至工程竣工结束，投标人留存全过程生产资料（包含每盘配合比数据、原材料数据等）便于施工单位随时抽调检查，若投标人存在提供中铁四局项目资料数据不全、拒绝提供、数据造假等情形，视为投标人存在重大违约行为，招标人将其列入“供应商分级管理”并上报中国中铁股份有限公司。</w:t>
            </w:r>
          </w:p>
        </w:tc>
        <w:tc>
          <w:tcPr>
            <w:tcW w:w="1290" w:type="dxa"/>
            <w:vMerge w:val="restart"/>
            <w:tcBorders>
              <w:top w:val="single" w:color="auto" w:sz="4" w:space="0"/>
              <w:left w:val="single" w:color="auto" w:sz="4" w:space="0"/>
              <w:right w:val="single" w:color="auto" w:sz="4" w:space="0"/>
            </w:tcBorders>
            <w:vAlign w:val="center"/>
          </w:tcPr>
          <w:p w14:paraId="2ACF6AF0">
            <w:r>
              <w:rPr>
                <w:rFonts w:hint="eastAsia"/>
              </w:rPr>
              <w:t>5</w:t>
            </w:r>
          </w:p>
        </w:tc>
      </w:tr>
      <w:tr w14:paraId="0A9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409" w:type="dxa"/>
            <w:vMerge w:val="continue"/>
            <w:tcBorders>
              <w:left w:val="single" w:color="auto" w:sz="4" w:space="0"/>
              <w:bottom w:val="single" w:color="auto" w:sz="4" w:space="0"/>
              <w:right w:val="single" w:color="auto" w:sz="4" w:space="0"/>
            </w:tcBorders>
            <w:vAlign w:val="center"/>
          </w:tcPr>
          <w:p w14:paraId="663376E2">
            <w:pPr>
              <w:rPr>
                <w:rFonts w:hint="eastAsia"/>
              </w:rPr>
            </w:pPr>
          </w:p>
        </w:tc>
        <w:tc>
          <w:tcPr>
            <w:tcW w:w="705" w:type="dxa"/>
            <w:tcBorders>
              <w:left w:val="single" w:color="auto" w:sz="4" w:space="0"/>
              <w:bottom w:val="single" w:color="auto" w:sz="4" w:space="0"/>
              <w:right w:val="single" w:color="auto" w:sz="4" w:space="0"/>
            </w:tcBorders>
            <w:vAlign w:val="center"/>
          </w:tcPr>
          <w:p w14:paraId="3149A88E">
            <w:pPr>
              <w:rPr>
                <w:rFonts w:hint="default" w:eastAsia="宋体"/>
                <w:lang w:val="en-US" w:eastAsia="zh-CN"/>
              </w:rPr>
            </w:pPr>
            <w:r>
              <w:rPr>
                <w:rFonts w:hint="eastAsia"/>
                <w:lang w:val="en-US" w:eastAsia="zh-CN"/>
              </w:rPr>
              <w:t>喷射砼</w:t>
            </w:r>
          </w:p>
        </w:tc>
        <w:tc>
          <w:tcPr>
            <w:tcW w:w="669" w:type="dxa"/>
            <w:vMerge w:val="continue"/>
            <w:tcBorders>
              <w:left w:val="single" w:color="auto" w:sz="4" w:space="0"/>
              <w:bottom w:val="single" w:color="auto" w:sz="4" w:space="0"/>
              <w:right w:val="single" w:color="auto" w:sz="4" w:space="0"/>
            </w:tcBorders>
            <w:vAlign w:val="center"/>
          </w:tcPr>
          <w:p w14:paraId="1D4EF23D">
            <w:pPr>
              <w:rPr>
                <w:rFonts w:hint="eastAsia"/>
              </w:rPr>
            </w:pPr>
          </w:p>
        </w:tc>
        <w:tc>
          <w:tcPr>
            <w:tcW w:w="873" w:type="dxa"/>
            <w:tcBorders>
              <w:top w:val="single" w:color="auto" w:sz="4" w:space="0"/>
              <w:left w:val="single" w:color="auto" w:sz="4" w:space="0"/>
              <w:bottom w:val="single" w:color="auto" w:sz="4" w:space="0"/>
              <w:right w:val="single" w:color="auto" w:sz="4" w:space="0"/>
            </w:tcBorders>
            <w:vAlign w:val="center"/>
          </w:tcPr>
          <w:p w14:paraId="19D4CD4C">
            <w:pPr>
              <w:rPr>
                <w:rFonts w:hint="default"/>
                <w:lang w:val="en-US" w:eastAsia="zh-CN"/>
              </w:rPr>
            </w:pPr>
            <w:r>
              <w:rPr>
                <w:rFonts w:hint="eastAsia"/>
                <w:lang w:val="en-US" w:eastAsia="zh-CN"/>
              </w:rPr>
              <w:t>2000</w:t>
            </w:r>
          </w:p>
        </w:tc>
        <w:tc>
          <w:tcPr>
            <w:tcW w:w="993" w:type="dxa"/>
            <w:vMerge w:val="continue"/>
            <w:tcBorders>
              <w:left w:val="single" w:color="auto" w:sz="4" w:space="0"/>
              <w:bottom w:val="single" w:color="auto" w:sz="4" w:space="0"/>
              <w:right w:val="single" w:color="auto" w:sz="4" w:space="0"/>
            </w:tcBorders>
            <w:vAlign w:val="center"/>
          </w:tcPr>
          <w:p w14:paraId="2380F6F4">
            <w:pPr>
              <w:rPr>
                <w:rFonts w:hint="eastAsia" w:ascii="宋体" w:hAnsi="宋体" w:cs="宋体"/>
                <w:kern w:val="0"/>
                <w:sz w:val="18"/>
                <w:szCs w:val="18"/>
              </w:rPr>
            </w:pPr>
          </w:p>
        </w:tc>
        <w:tc>
          <w:tcPr>
            <w:tcW w:w="11392" w:type="dxa"/>
            <w:vMerge w:val="continue"/>
            <w:tcBorders>
              <w:left w:val="single" w:color="auto" w:sz="4" w:space="0"/>
              <w:bottom w:val="single" w:color="auto" w:sz="4" w:space="0"/>
              <w:right w:val="single" w:color="auto" w:sz="4" w:space="0"/>
            </w:tcBorders>
            <w:vAlign w:val="center"/>
          </w:tcPr>
          <w:p w14:paraId="3A33CAC7">
            <w:pPr>
              <w:spacing w:line="240" w:lineRule="auto"/>
              <w:jc w:val="both"/>
              <w:rPr>
                <w:rFonts w:hint="eastAsia" w:ascii="宋体" w:hAnsi="宋体"/>
                <w:b w:val="0"/>
                <w:bCs w:val="0"/>
                <w:sz w:val="18"/>
                <w:szCs w:val="18"/>
              </w:rPr>
            </w:pPr>
          </w:p>
        </w:tc>
        <w:tc>
          <w:tcPr>
            <w:tcW w:w="1290" w:type="dxa"/>
            <w:vMerge w:val="continue"/>
            <w:tcBorders>
              <w:left w:val="single" w:color="auto" w:sz="4" w:space="0"/>
              <w:right w:val="single" w:color="auto" w:sz="4" w:space="0"/>
            </w:tcBorders>
            <w:vAlign w:val="center"/>
          </w:tcPr>
          <w:p w14:paraId="624692C9">
            <w:pPr>
              <w:rPr>
                <w:rFonts w:hint="eastAsia"/>
              </w:rPr>
            </w:pPr>
          </w:p>
        </w:tc>
      </w:tr>
    </w:tbl>
    <w:p w14:paraId="60B801E5">
      <w:pPr>
        <w:spacing w:line="240" w:lineRule="auto"/>
        <w:jc w:val="left"/>
        <w:rPr>
          <w:rFonts w:hint="eastAsia" w:ascii="Times New Roman" w:hAnsi="Times New Roman"/>
          <w:sz w:val="21"/>
          <w:szCs w:val="24"/>
        </w:rPr>
      </w:pPr>
      <w:r>
        <w:rPr>
          <w:rFonts w:hint="eastAsia"/>
        </w:rPr>
        <w:t xml:space="preserve"> 注：</w:t>
      </w:r>
      <w:r>
        <w:rPr>
          <w:rFonts w:hint="eastAsia" w:ascii="Times New Roman" w:hAnsi="Times New Roman"/>
          <w:sz w:val="21"/>
          <w:szCs w:val="24"/>
        </w:rPr>
        <w:t>1.本次框架协议采购包件内数量不作为实际供应依据，仅针对投标人报价及评标需要，具体供应数量以实际需求为准。</w:t>
      </w:r>
    </w:p>
    <w:p w14:paraId="7AD9B21D">
      <w:pPr>
        <w:spacing w:line="240" w:lineRule="auto"/>
        <w:jc w:val="left"/>
        <w:rPr>
          <w:rFonts w:hint="eastAsia" w:ascii="Times New Roman" w:hAnsi="Times New Roman"/>
          <w:sz w:val="21"/>
          <w:szCs w:val="24"/>
        </w:rPr>
      </w:pPr>
      <w:r>
        <w:rPr>
          <w:rFonts w:hint="eastAsia" w:ascii="Times New Roman" w:hAnsi="Times New Roman"/>
          <w:sz w:val="21"/>
          <w:szCs w:val="24"/>
        </w:rPr>
        <w:t>2.要求投标人搅拌站距离招标区域运距不得超过</w:t>
      </w:r>
      <w:r>
        <w:rPr>
          <w:rFonts w:hint="eastAsia" w:ascii="Times New Roman" w:hAnsi="Times New Roman"/>
          <w:sz w:val="21"/>
          <w:szCs w:val="24"/>
          <w:lang w:val="en-US" w:eastAsia="zh-CN"/>
        </w:rPr>
        <w:t>4</w:t>
      </w:r>
      <w:r>
        <w:rPr>
          <w:rFonts w:hint="eastAsia" w:ascii="Times New Roman" w:hAnsi="Times New Roman"/>
          <w:sz w:val="21"/>
          <w:szCs w:val="24"/>
        </w:rPr>
        <w:t>0公里，投标人在文件中需提供具体搅拌站地址，并附上百度地图标注。</w:t>
      </w:r>
    </w:p>
    <w:p w14:paraId="40CCC0E4">
      <w:pPr>
        <w:spacing w:line="240" w:lineRule="auto"/>
        <w:jc w:val="left"/>
        <w:rPr>
          <w:rFonts w:hint="eastAsia" w:ascii="Times New Roman" w:hAnsi="Times New Roman"/>
          <w:sz w:val="21"/>
          <w:szCs w:val="24"/>
        </w:rPr>
      </w:pPr>
      <w:r>
        <w:rPr>
          <w:rFonts w:hint="eastAsia" w:ascii="Times New Roman" w:hAnsi="Times New Roman"/>
          <w:sz w:val="21"/>
          <w:szCs w:val="24"/>
          <w:lang w:val="en-US" w:eastAsia="zh-CN"/>
        </w:rPr>
        <w:t>3.具体项目二次竞价时，</w:t>
      </w:r>
      <w:r>
        <w:rPr>
          <w:rFonts w:hint="eastAsia" w:ascii="Times New Roman" w:hAnsi="Times New Roman"/>
          <w:sz w:val="21"/>
          <w:szCs w:val="24"/>
          <w:lang w:eastAsia="zh-CN"/>
        </w:rPr>
        <w:t>若实测入围供应商生产地距离项目施工点</w:t>
      </w:r>
      <w:r>
        <w:rPr>
          <w:rFonts w:hint="eastAsia" w:ascii="Times New Roman" w:hAnsi="Times New Roman"/>
          <w:sz w:val="21"/>
          <w:szCs w:val="24"/>
        </w:rPr>
        <w:t>运距</w:t>
      </w:r>
      <w:r>
        <w:rPr>
          <w:rFonts w:hint="eastAsia" w:ascii="Times New Roman" w:hAnsi="Times New Roman"/>
          <w:sz w:val="21"/>
          <w:szCs w:val="24"/>
          <w:lang w:eastAsia="zh-CN"/>
        </w:rPr>
        <w:t>超</w:t>
      </w:r>
      <w:r>
        <w:rPr>
          <w:rFonts w:hint="eastAsia" w:ascii="Times New Roman" w:hAnsi="Times New Roman"/>
          <w:sz w:val="21"/>
          <w:szCs w:val="24"/>
        </w:rPr>
        <w:t xml:space="preserve"> </w:t>
      </w:r>
      <w:r>
        <w:rPr>
          <w:rFonts w:hint="eastAsia" w:ascii="Times New Roman" w:hAnsi="Times New Roman"/>
          <w:sz w:val="21"/>
          <w:szCs w:val="24"/>
          <w:lang w:val="en-US" w:eastAsia="zh-CN"/>
        </w:rPr>
        <w:t>30公里（含）</w:t>
      </w:r>
      <w:r>
        <w:rPr>
          <w:rFonts w:hint="eastAsia" w:ascii="Times New Roman" w:hAnsi="Times New Roman"/>
          <w:sz w:val="21"/>
          <w:szCs w:val="24"/>
          <w:lang w:eastAsia="zh-CN"/>
        </w:rPr>
        <w:t>以上，二次竞价可不参与报价但需出具书面说明</w:t>
      </w:r>
      <w:r>
        <w:rPr>
          <w:rFonts w:hint="eastAsia" w:ascii="Times New Roman" w:hAnsi="Times New Roman"/>
          <w:sz w:val="21"/>
          <w:szCs w:val="24"/>
        </w:rPr>
        <w:t>。</w:t>
      </w:r>
    </w:p>
    <w:p w14:paraId="79C02192">
      <w:pPr>
        <w:spacing w:line="240" w:lineRule="auto"/>
        <w:jc w:val="left"/>
        <w:rPr>
          <w:rFonts w:hint="eastAsia" w:ascii="Times New Roman" w:hAnsi="Times New Roman"/>
          <w:sz w:val="21"/>
          <w:szCs w:val="24"/>
          <w:lang w:val="en-US" w:eastAsia="zh-CN"/>
        </w:rPr>
      </w:pPr>
      <w:r>
        <w:rPr>
          <w:rFonts w:hint="eastAsia" w:ascii="Times New Roman" w:hAnsi="Times New Roman"/>
          <w:sz w:val="21"/>
          <w:szCs w:val="24"/>
          <w:lang w:val="en-US" w:eastAsia="zh-CN"/>
        </w:rPr>
        <w:t>4.</w:t>
      </w:r>
      <w:r>
        <w:rPr>
          <w:rFonts w:hint="eastAsia" w:ascii="Times New Roman" w:hAnsi="Times New Roman"/>
          <w:sz w:val="21"/>
          <w:szCs w:val="24"/>
        </w:rPr>
        <w:t>区域内当前入围供应商较少或者有新增项目，入围供应商生产能力已饱和，无法满足当前供应需求，采购单位可根据实际情况组织</w:t>
      </w:r>
      <w:r>
        <w:rPr>
          <w:rFonts w:hint="eastAsia" w:ascii="Times New Roman" w:hAnsi="Times New Roman"/>
          <w:sz w:val="21"/>
          <w:szCs w:val="24"/>
          <w:lang w:eastAsia="zh-CN"/>
        </w:rPr>
        <w:t>招标或竞谈</w:t>
      </w:r>
      <w:r>
        <w:rPr>
          <w:rFonts w:hint="eastAsia" w:ascii="Times New Roman" w:hAnsi="Times New Roman"/>
          <w:sz w:val="21"/>
          <w:szCs w:val="24"/>
        </w:rPr>
        <w:t>，增加该区域供应商数量，已入围单位对此要表示理解与支持。</w:t>
      </w:r>
    </w:p>
    <w:p w14:paraId="5DF83C58">
      <w:pPr>
        <w:jc w:val="left"/>
        <w:rPr>
          <w:rFonts w:hint="eastAsia" w:eastAsia="宋体"/>
          <w:lang w:eastAsia="zh-CN"/>
        </w:rPr>
      </w:pPr>
      <w:r>
        <w:rPr>
          <w:rFonts w:hint="eastAsia" w:ascii="Times New Roman" w:hAnsi="Times New Roman"/>
          <w:sz w:val="21"/>
          <w:szCs w:val="24"/>
          <w:lang w:eastAsia="zh-CN"/>
        </w:rPr>
        <w:t>5</w:t>
      </w:r>
      <w:r>
        <w:rPr>
          <w:rFonts w:hint="eastAsia" w:ascii="Times New Roman" w:hAnsi="Times New Roman"/>
          <w:sz w:val="21"/>
          <w:szCs w:val="24"/>
        </w:rPr>
        <w:t>.</w:t>
      </w:r>
      <w:r>
        <w:rPr>
          <w:rFonts w:hint="eastAsia" w:ascii="Times New Roman" w:hAnsi="Times New Roman"/>
          <w:sz w:val="21"/>
          <w:szCs w:val="24"/>
          <w:lang w:val="en-US" w:eastAsia="zh-CN"/>
        </w:rPr>
        <w:t>投</w:t>
      </w:r>
      <w:r>
        <w:rPr>
          <w:rFonts w:hint="eastAsia" w:ascii="Times New Roman" w:hAnsi="Times New Roman"/>
          <w:sz w:val="21"/>
          <w:szCs w:val="24"/>
        </w:rPr>
        <w:t>标保证金可采用银行转账或金融机构出具的投标保函的形式缴纳</w:t>
      </w:r>
      <w:r>
        <w:rPr>
          <w:rFonts w:hint="eastAsia"/>
          <w:sz w:val="21"/>
          <w:szCs w:val="24"/>
          <w:lang w:eastAsia="zh-CN"/>
        </w:rPr>
        <w:t>。</w:t>
      </w:r>
    </w:p>
    <w:sectPr>
      <w:pgSz w:w="16838" w:h="11906" w:orient="landscape"/>
      <w:pgMar w:top="669"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C4E54"/>
    <w:multiLevelType w:val="singleLevel"/>
    <w:tmpl w:val="275C4E54"/>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F3362"/>
    <w:rsid w:val="30A859F9"/>
    <w:rsid w:val="5DE5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line="240" w:lineRule="auto"/>
      <w:jc w:val="both"/>
      <w:outlineLvl w:val="1"/>
    </w:pPr>
    <w:rPr>
      <w:color w:val="FF0000"/>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目录格式2"/>
    <w:basedOn w:val="2"/>
    <w:link w:val="6"/>
    <w:autoRedefine/>
    <w:qFormat/>
    <w:uiPriority w:val="0"/>
    <w:pPr>
      <w:spacing w:line="380" w:lineRule="exact"/>
      <w:jc w:val="left"/>
    </w:pPr>
    <w:rPr>
      <w:rFonts w:asciiTheme="minorEastAsia" w:hAnsiTheme="minorEastAsia" w:eastAsiaTheme="minorEastAsia"/>
      <w:b/>
      <w:color w:val="auto"/>
      <w:szCs w:val="21"/>
    </w:rPr>
  </w:style>
  <w:style w:type="character" w:customStyle="1" w:styleId="6">
    <w:name w:val="目录格式2 字符"/>
    <w:basedOn w:val="7"/>
    <w:link w:val="5"/>
    <w:autoRedefine/>
    <w:qFormat/>
    <w:uiPriority w:val="0"/>
    <w:rPr>
      <w:rFonts w:asciiTheme="minorEastAsia" w:hAnsiTheme="minorEastAsia" w:eastAsiaTheme="minorEastAsia"/>
      <w:b/>
      <w:color w:val="auto"/>
      <w:szCs w:val="21"/>
    </w:rPr>
  </w:style>
  <w:style w:type="character" w:customStyle="1" w:styleId="7">
    <w:name w:val="标题 2 字符"/>
    <w:link w:val="2"/>
    <w:autoRedefine/>
    <w:qFormat/>
    <w:locked/>
    <w:uiPriority w:val="9"/>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5741</Words>
  <Characters>6163</Characters>
  <Lines>0</Lines>
  <Paragraphs>0</Paragraphs>
  <TotalTime>0</TotalTime>
  <ScaleCrop>false</ScaleCrop>
  <LinksUpToDate>false</LinksUpToDate>
  <CharactersWithSpaces>6460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2024-03-25T07:57:00Z</dcterms:created>
  <dc:creator>LHR</dc:creator>
  <cp:lastModifiedBy>lhc</cp:lastModifiedBy>
  <dcterms:modified xsi:type="dcterms:W3CDTF">2025-07-23T09:04:12Z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9BC1DB98A4A94C5EB08399143F86256B_12</vt:lpwstr>
  </property>
  <property fmtid="{D5CDD505-2E9C-101B-9397-08002B2CF9AE}" pid="4" name="KSOTemplateDocerSaveRecord">
    <vt:lpwstr>eyJoZGlkIjoiMjZmNGI3ZmVjYjFlMjgyYjVjZWViOWY4NWU0YTEwMzciLCJ1c2VySWQiOiI5MjIzOTI1NzMifQ==</vt:lpwstr>
  </property>
</Properties>
</file>