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ABE4D">
      <w:pPr>
        <w:jc w:val="center"/>
        <w:rPr>
          <w:rFonts w:hint="eastAsia" w:ascii="宋体" w:hAnsi="宋体"/>
          <w:b/>
          <w:snapToGrid w:val="0"/>
          <w:color w:val="auto"/>
          <w:spacing w:val="20"/>
          <w:kern w:val="0"/>
          <w:sz w:val="36"/>
          <w:szCs w:val="36"/>
        </w:rPr>
      </w:pPr>
      <w:r>
        <w:rPr>
          <w:rFonts w:hint="eastAsia" w:ascii="宋体" w:hAnsi="宋体"/>
          <w:b/>
          <w:snapToGrid w:val="0"/>
          <w:color w:val="auto"/>
          <w:spacing w:val="20"/>
          <w:kern w:val="0"/>
          <w:sz w:val="36"/>
          <w:szCs w:val="36"/>
        </w:rPr>
        <w:t>工程造价咨询成果报告</w:t>
      </w:r>
    </w:p>
    <w:p w14:paraId="6E0F2946">
      <w:pPr>
        <w:jc w:val="both"/>
        <w:rPr>
          <w:rFonts w:hint="eastAsia" w:ascii="宋体" w:hAnsi="宋体"/>
          <w:b/>
          <w:sz w:val="28"/>
          <w:szCs w:val="28"/>
        </w:rPr>
      </w:pPr>
      <w:r>
        <w:rPr>
          <w:rFonts w:hint="eastAsia" w:ascii="宋体" w:hAnsi="宋体"/>
          <w:b/>
          <w:bCs/>
          <w:sz w:val="28"/>
          <w:szCs w:val="28"/>
          <w:u w:val="single"/>
        </w:rPr>
        <w:t>霞浦县财政投资评审中心</w:t>
      </w:r>
      <w:r>
        <w:rPr>
          <w:rFonts w:hint="eastAsia" w:ascii="宋体" w:hAnsi="宋体"/>
          <w:b/>
          <w:sz w:val="28"/>
          <w:szCs w:val="28"/>
        </w:rPr>
        <w:t>：</w:t>
      </w:r>
    </w:p>
    <w:p w14:paraId="46CCEF9F">
      <w:pPr>
        <w:adjustRightInd w:val="0"/>
        <w:snapToGrid w:val="0"/>
        <w:spacing w:line="600" w:lineRule="exact"/>
        <w:ind w:firstLine="560" w:firstLineChars="200"/>
        <w:rPr>
          <w:rFonts w:hint="eastAsia" w:ascii="宋体" w:hAnsi="宋体"/>
          <w:bCs/>
          <w:spacing w:val="60"/>
          <w:sz w:val="28"/>
          <w:szCs w:val="28"/>
        </w:rPr>
      </w:pPr>
      <w:r>
        <w:rPr>
          <w:rFonts w:hint="eastAsia" w:ascii="宋体" w:hAnsi="宋体"/>
          <w:sz w:val="28"/>
          <w:szCs w:val="28"/>
        </w:rPr>
        <w:t>依据双方工程造价咨询合同和贵单位已提供的与委托咨询项目相关的资料，我们是按照《中价协[2002]第015号通知》规定的执业行为准则和工程造价咨询有关规定，组织专业人员遵循客观、公正的原则，对贵单位委托的</w:t>
      </w:r>
      <w:r>
        <w:rPr>
          <w:rFonts w:hint="eastAsia" w:ascii="宋体" w:hAnsi="宋体"/>
          <w:b/>
          <w:sz w:val="28"/>
          <w:szCs w:val="28"/>
          <w:u w:val="single"/>
          <w:lang w:eastAsia="zh-CN"/>
        </w:rPr>
        <w:t>霞浦县盐田乡西胜村农产品基地建设</w:t>
      </w:r>
      <w:r>
        <w:rPr>
          <w:rFonts w:hint="eastAsia" w:ascii="宋体" w:hAnsi="宋体"/>
          <w:sz w:val="28"/>
          <w:szCs w:val="28"/>
        </w:rPr>
        <w:t>进行</w:t>
      </w:r>
      <w:bookmarkStart w:id="0" w:name="_GoBack"/>
      <w:r>
        <w:rPr>
          <w:rFonts w:hint="eastAsia" w:ascii="宋体" w:hAnsi="宋体"/>
          <w:color w:val="000000" w:themeColor="text1"/>
          <w:sz w:val="28"/>
          <w:szCs w:val="28"/>
          <w14:textFill>
            <w14:solidFill>
              <w14:schemeClr w14:val="tx1"/>
            </w14:solidFill>
          </w14:textFill>
        </w:rPr>
        <w:t>预算审核，</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上述资料的真实性和完整性由</w:t>
      </w:r>
      <w:r>
        <w:rPr>
          <w:rFonts w:hint="eastAsia" w:ascii="仿宋_GB2312" w:hAnsi="仿宋_GB2312" w:eastAsia="仿宋_GB2312" w:cs="仿宋_GB2312"/>
          <w:b/>
          <w:bCs/>
          <w:color w:val="000000" w:themeColor="text1"/>
          <w:sz w:val="28"/>
          <w:szCs w:val="28"/>
          <w:u w:val="single"/>
          <w:lang w:val="en-US" w:eastAsia="zh-CN"/>
          <w14:textFill>
            <w14:solidFill>
              <w14:schemeClr w14:val="tx1"/>
            </w14:solidFill>
          </w14:textFill>
        </w:rPr>
        <w:t>霞浦县盐田畲族乡西胜村民</w:t>
      </w:r>
      <w:bookmarkEnd w:id="0"/>
      <w:r>
        <w:rPr>
          <w:rFonts w:hint="eastAsia" w:ascii="仿宋_GB2312" w:hAnsi="仿宋_GB2312" w:eastAsia="仿宋_GB2312" w:cs="仿宋_GB2312"/>
          <w:b/>
          <w:bCs/>
          <w:sz w:val="28"/>
          <w:szCs w:val="28"/>
          <w:u w:val="single"/>
          <w:lang w:val="en-US" w:eastAsia="zh-CN"/>
        </w:rPr>
        <w:t>委员会</w:t>
      </w:r>
      <w:r>
        <w:rPr>
          <w:rFonts w:hint="eastAsia" w:ascii="仿宋_GB2312" w:hAnsi="仿宋_GB2312" w:eastAsia="仿宋_GB2312" w:cs="仿宋_GB2312"/>
          <w:sz w:val="28"/>
          <w:szCs w:val="28"/>
          <w:lang w:val="en-US" w:eastAsia="zh-CN"/>
        </w:rPr>
        <w:t>负责。</w:t>
      </w:r>
      <w:r>
        <w:rPr>
          <w:rFonts w:hint="eastAsia" w:ascii="宋体" w:hAnsi="宋体"/>
          <w:sz w:val="28"/>
          <w:szCs w:val="28"/>
        </w:rPr>
        <w:t>审核说明附后。</w:t>
      </w:r>
    </w:p>
    <w:p w14:paraId="34DD2739">
      <w:pPr>
        <w:spacing w:line="460" w:lineRule="exact"/>
        <w:ind w:right="-422"/>
        <w:jc w:val="center"/>
        <w:rPr>
          <w:rFonts w:hint="eastAsia" w:ascii="宋体" w:hAnsi="宋体"/>
          <w:bCs/>
          <w:spacing w:val="60"/>
          <w:sz w:val="28"/>
          <w:szCs w:val="28"/>
        </w:rPr>
      </w:pPr>
      <w:r>
        <w:rPr>
          <w:rFonts w:hint="eastAsia" w:ascii="宋体" w:hAnsi="宋体"/>
          <w:bCs/>
          <w:spacing w:val="60"/>
          <w:sz w:val="28"/>
          <w:szCs w:val="28"/>
        </w:rPr>
        <w:t>预算审核成果一览表</w:t>
      </w:r>
    </w:p>
    <w:p w14:paraId="5F5CAE73">
      <w:pPr>
        <w:snapToGrid w:val="0"/>
        <w:spacing w:line="460" w:lineRule="exact"/>
        <w:ind w:right="176" w:firstLine="868" w:firstLineChars="362"/>
        <w:jc w:val="left"/>
        <w:rPr>
          <w:rFonts w:hint="eastAsia" w:ascii="宋体" w:hAnsi="宋体"/>
          <w:sz w:val="24"/>
        </w:rPr>
      </w:pPr>
      <w:r>
        <w:rPr>
          <w:rFonts w:hint="eastAsia" w:ascii="宋体" w:hAnsi="宋体"/>
          <w:sz w:val="24"/>
        </w:rPr>
        <w:t xml:space="preserve">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单  位： 元</w:t>
      </w:r>
    </w:p>
    <w:tbl>
      <w:tblPr>
        <w:tblStyle w:val="2"/>
        <w:tblW w:w="8540" w:type="dxa"/>
        <w:tblInd w:w="210" w:type="dxa"/>
        <w:tblLayout w:type="fixed"/>
        <w:tblCellMar>
          <w:top w:w="0" w:type="dxa"/>
          <w:left w:w="30" w:type="dxa"/>
          <w:bottom w:w="0" w:type="dxa"/>
          <w:right w:w="30" w:type="dxa"/>
        </w:tblCellMar>
      </w:tblPr>
      <w:tblGrid>
        <w:gridCol w:w="2256"/>
        <w:gridCol w:w="1132"/>
        <w:gridCol w:w="1275"/>
        <w:gridCol w:w="1193"/>
        <w:gridCol w:w="1050"/>
        <w:gridCol w:w="967"/>
        <w:gridCol w:w="667"/>
      </w:tblGrid>
      <w:tr w14:paraId="72DB2C6E">
        <w:tblPrEx>
          <w:tblCellMar>
            <w:top w:w="0" w:type="dxa"/>
            <w:left w:w="30" w:type="dxa"/>
            <w:bottom w:w="0" w:type="dxa"/>
            <w:right w:w="30" w:type="dxa"/>
          </w:tblCellMar>
        </w:tblPrEx>
        <w:trPr>
          <w:cantSplit/>
          <w:trHeight w:val="455" w:hRule="atLeast"/>
        </w:trPr>
        <w:tc>
          <w:tcPr>
            <w:tcW w:w="2256" w:type="dxa"/>
            <w:vMerge w:val="restart"/>
            <w:tcBorders>
              <w:top w:val="single" w:color="auto" w:sz="6" w:space="0"/>
              <w:left w:val="single" w:color="auto" w:sz="6" w:space="0"/>
              <w:bottom w:val="single" w:color="auto" w:sz="6" w:space="0"/>
              <w:right w:val="single" w:color="auto" w:sz="6" w:space="0"/>
            </w:tcBorders>
            <w:noWrap w:val="0"/>
            <w:vAlign w:val="center"/>
          </w:tcPr>
          <w:p w14:paraId="796C99BD">
            <w:pPr>
              <w:autoSpaceDE w:val="0"/>
              <w:autoSpaceDN w:val="0"/>
              <w:adjustRightInd w:val="0"/>
              <w:snapToGrid w:val="0"/>
              <w:spacing w:line="460" w:lineRule="exact"/>
              <w:jc w:val="center"/>
              <w:rPr>
                <w:rFonts w:ascii="宋体" w:hAnsi="宋体"/>
                <w:color w:val="000000"/>
                <w:sz w:val="24"/>
              </w:rPr>
            </w:pPr>
            <w:r>
              <w:rPr>
                <w:rFonts w:hint="eastAsia" w:ascii="宋体" w:hAnsi="宋体"/>
                <w:color w:val="000000"/>
                <w:sz w:val="24"/>
              </w:rPr>
              <w:t>费用或项目名称</w:t>
            </w:r>
          </w:p>
        </w:tc>
        <w:tc>
          <w:tcPr>
            <w:tcW w:w="1132" w:type="dxa"/>
            <w:vMerge w:val="restart"/>
            <w:tcBorders>
              <w:top w:val="single" w:color="auto" w:sz="6" w:space="0"/>
              <w:left w:val="single" w:color="auto" w:sz="6" w:space="0"/>
              <w:bottom w:val="single" w:color="auto" w:sz="6" w:space="0"/>
              <w:right w:val="single" w:color="auto" w:sz="6" w:space="0"/>
            </w:tcBorders>
            <w:noWrap w:val="0"/>
            <w:vAlign w:val="center"/>
          </w:tcPr>
          <w:p w14:paraId="34646AFE">
            <w:pPr>
              <w:jc w:val="center"/>
              <w:rPr>
                <w:rFonts w:ascii="宋体" w:hAnsi="宋体"/>
                <w:sz w:val="24"/>
              </w:rPr>
            </w:pPr>
            <w:r>
              <w:rPr>
                <w:rFonts w:hint="eastAsia" w:ascii="宋体" w:hAnsi="宋体"/>
                <w:sz w:val="24"/>
              </w:rPr>
              <w:t>送审数</w:t>
            </w:r>
          </w:p>
        </w:tc>
        <w:tc>
          <w:tcPr>
            <w:tcW w:w="2468" w:type="dxa"/>
            <w:gridSpan w:val="2"/>
            <w:tcBorders>
              <w:top w:val="single" w:color="auto" w:sz="6" w:space="0"/>
              <w:left w:val="single" w:color="auto" w:sz="6" w:space="0"/>
              <w:bottom w:val="single" w:color="auto" w:sz="6" w:space="0"/>
              <w:right w:val="nil"/>
            </w:tcBorders>
            <w:noWrap w:val="0"/>
            <w:vAlign w:val="top"/>
          </w:tcPr>
          <w:p w14:paraId="4C1B697B">
            <w:pPr>
              <w:autoSpaceDE w:val="0"/>
              <w:autoSpaceDN w:val="0"/>
              <w:adjustRightInd w:val="0"/>
              <w:snapToGrid w:val="0"/>
              <w:spacing w:line="460" w:lineRule="exact"/>
              <w:jc w:val="center"/>
              <w:rPr>
                <w:rFonts w:ascii="宋体" w:hAnsi="宋体"/>
                <w:color w:val="000000"/>
                <w:sz w:val="24"/>
              </w:rPr>
            </w:pPr>
            <w:r>
              <w:rPr>
                <w:rFonts w:hint="eastAsia" w:ascii="宋体" w:hAnsi="宋体"/>
                <w:color w:val="000000"/>
                <w:sz w:val="24"/>
              </w:rPr>
              <w:t>审 核 情 况</w:t>
            </w:r>
          </w:p>
        </w:tc>
        <w:tc>
          <w:tcPr>
            <w:tcW w:w="1050" w:type="dxa"/>
            <w:vMerge w:val="restart"/>
            <w:tcBorders>
              <w:top w:val="single" w:color="auto" w:sz="6" w:space="0"/>
              <w:left w:val="single" w:color="auto" w:sz="6" w:space="0"/>
              <w:bottom w:val="single" w:color="auto" w:sz="6" w:space="0"/>
              <w:right w:val="single" w:color="auto" w:sz="6" w:space="0"/>
            </w:tcBorders>
            <w:noWrap w:val="0"/>
            <w:vAlign w:val="center"/>
          </w:tcPr>
          <w:p w14:paraId="599C45DA">
            <w:pPr>
              <w:autoSpaceDE w:val="0"/>
              <w:autoSpaceDN w:val="0"/>
              <w:adjustRightInd w:val="0"/>
              <w:snapToGrid w:val="0"/>
              <w:spacing w:line="460" w:lineRule="exact"/>
              <w:jc w:val="center"/>
              <w:rPr>
                <w:rFonts w:ascii="宋体" w:hAnsi="宋体"/>
                <w:color w:val="000000"/>
                <w:sz w:val="24"/>
              </w:rPr>
            </w:pPr>
            <w:r>
              <w:rPr>
                <w:rFonts w:hint="eastAsia" w:ascii="宋体" w:hAnsi="宋体"/>
                <w:color w:val="000000"/>
                <w:sz w:val="24"/>
              </w:rPr>
              <w:t>审定数</w:t>
            </w:r>
          </w:p>
        </w:tc>
        <w:tc>
          <w:tcPr>
            <w:tcW w:w="967" w:type="dxa"/>
            <w:vMerge w:val="restart"/>
            <w:tcBorders>
              <w:top w:val="single" w:color="auto" w:sz="6" w:space="0"/>
              <w:left w:val="single" w:color="auto" w:sz="6" w:space="0"/>
              <w:right w:val="single" w:color="auto" w:sz="6" w:space="0"/>
            </w:tcBorders>
            <w:noWrap w:val="0"/>
            <w:vAlign w:val="center"/>
          </w:tcPr>
          <w:p w14:paraId="4D6E744D">
            <w:pPr>
              <w:autoSpaceDE w:val="0"/>
              <w:autoSpaceDN w:val="0"/>
              <w:adjustRightInd w:val="0"/>
              <w:snapToGrid w:val="0"/>
              <w:spacing w:line="460" w:lineRule="exact"/>
              <w:jc w:val="center"/>
              <w:rPr>
                <w:rFonts w:hint="eastAsia" w:ascii="宋体" w:hAnsi="宋体"/>
                <w:color w:val="000000"/>
                <w:sz w:val="24"/>
              </w:rPr>
            </w:pPr>
            <w:r>
              <w:rPr>
                <w:rFonts w:hint="eastAsia" w:ascii="宋体" w:hAnsi="宋体"/>
                <w:color w:val="000000"/>
                <w:sz w:val="24"/>
              </w:rPr>
              <w:t>审减（增）率</w:t>
            </w:r>
          </w:p>
        </w:tc>
        <w:tc>
          <w:tcPr>
            <w:tcW w:w="667" w:type="dxa"/>
            <w:vMerge w:val="restart"/>
            <w:tcBorders>
              <w:top w:val="single" w:color="auto" w:sz="6" w:space="0"/>
              <w:left w:val="single" w:color="auto" w:sz="6" w:space="0"/>
              <w:bottom w:val="single" w:color="auto" w:sz="6" w:space="0"/>
              <w:right w:val="single" w:color="auto" w:sz="6" w:space="0"/>
            </w:tcBorders>
            <w:noWrap w:val="0"/>
            <w:vAlign w:val="center"/>
          </w:tcPr>
          <w:p w14:paraId="7A8759FA">
            <w:pPr>
              <w:autoSpaceDE w:val="0"/>
              <w:autoSpaceDN w:val="0"/>
              <w:adjustRightInd w:val="0"/>
              <w:snapToGrid w:val="0"/>
              <w:spacing w:line="460" w:lineRule="exact"/>
              <w:jc w:val="center"/>
              <w:rPr>
                <w:rFonts w:ascii="宋体" w:hAnsi="宋体"/>
                <w:color w:val="000000"/>
                <w:sz w:val="24"/>
              </w:rPr>
            </w:pPr>
            <w:r>
              <w:rPr>
                <w:rFonts w:hint="eastAsia" w:ascii="宋体" w:hAnsi="宋体"/>
                <w:color w:val="000000"/>
                <w:sz w:val="24"/>
              </w:rPr>
              <w:t>备注</w:t>
            </w:r>
          </w:p>
        </w:tc>
      </w:tr>
      <w:tr w14:paraId="75617BD9">
        <w:tblPrEx>
          <w:tblCellMar>
            <w:top w:w="0" w:type="dxa"/>
            <w:left w:w="30" w:type="dxa"/>
            <w:bottom w:w="0" w:type="dxa"/>
            <w:right w:w="30" w:type="dxa"/>
          </w:tblCellMar>
        </w:tblPrEx>
        <w:trPr>
          <w:cantSplit/>
          <w:trHeight w:val="423" w:hRule="atLeast"/>
        </w:trPr>
        <w:tc>
          <w:tcPr>
            <w:tcW w:w="2256" w:type="dxa"/>
            <w:vMerge w:val="continue"/>
            <w:tcBorders>
              <w:top w:val="single" w:color="auto" w:sz="6" w:space="0"/>
              <w:left w:val="single" w:color="auto" w:sz="6" w:space="0"/>
              <w:bottom w:val="single" w:color="auto" w:sz="6" w:space="0"/>
              <w:right w:val="single" w:color="auto" w:sz="6" w:space="0"/>
            </w:tcBorders>
            <w:noWrap w:val="0"/>
            <w:vAlign w:val="center"/>
          </w:tcPr>
          <w:p w14:paraId="4A3F16FE">
            <w:pPr>
              <w:widowControl/>
              <w:jc w:val="left"/>
              <w:rPr>
                <w:rFonts w:ascii="宋体" w:hAnsi="宋体"/>
                <w:color w:val="000000"/>
                <w:sz w:val="24"/>
              </w:rPr>
            </w:pPr>
          </w:p>
        </w:tc>
        <w:tc>
          <w:tcPr>
            <w:tcW w:w="1132" w:type="dxa"/>
            <w:vMerge w:val="continue"/>
            <w:tcBorders>
              <w:top w:val="single" w:color="auto" w:sz="6" w:space="0"/>
              <w:left w:val="single" w:color="auto" w:sz="6" w:space="0"/>
              <w:bottom w:val="single" w:color="auto" w:sz="6" w:space="0"/>
              <w:right w:val="single" w:color="auto" w:sz="6" w:space="0"/>
            </w:tcBorders>
            <w:noWrap w:val="0"/>
            <w:vAlign w:val="center"/>
          </w:tcPr>
          <w:p w14:paraId="5111745B">
            <w:pPr>
              <w:widowControl/>
              <w:jc w:val="left"/>
              <w:rPr>
                <w:rFonts w:ascii="宋体" w:hAnsi="宋体"/>
                <w:sz w:val="24"/>
              </w:rPr>
            </w:pPr>
          </w:p>
        </w:tc>
        <w:tc>
          <w:tcPr>
            <w:tcW w:w="1275" w:type="dxa"/>
            <w:tcBorders>
              <w:top w:val="single" w:color="auto" w:sz="6" w:space="0"/>
              <w:left w:val="single" w:color="auto" w:sz="6" w:space="0"/>
              <w:bottom w:val="single" w:color="auto" w:sz="6" w:space="0"/>
              <w:right w:val="single" w:color="auto" w:sz="6" w:space="0"/>
            </w:tcBorders>
            <w:noWrap w:val="0"/>
            <w:vAlign w:val="top"/>
          </w:tcPr>
          <w:p w14:paraId="443CDAFE">
            <w:pPr>
              <w:autoSpaceDE w:val="0"/>
              <w:autoSpaceDN w:val="0"/>
              <w:adjustRightInd w:val="0"/>
              <w:snapToGrid w:val="0"/>
              <w:spacing w:line="460" w:lineRule="exact"/>
              <w:jc w:val="center"/>
              <w:rPr>
                <w:rFonts w:ascii="宋体" w:hAnsi="宋体"/>
                <w:color w:val="000000"/>
                <w:sz w:val="24"/>
              </w:rPr>
            </w:pPr>
            <w:r>
              <w:rPr>
                <w:rFonts w:hint="eastAsia" w:ascii="宋体" w:hAnsi="宋体"/>
                <w:color w:val="000000"/>
                <w:sz w:val="24"/>
              </w:rPr>
              <w:t>核增数</w:t>
            </w:r>
          </w:p>
        </w:tc>
        <w:tc>
          <w:tcPr>
            <w:tcW w:w="1193" w:type="dxa"/>
            <w:tcBorders>
              <w:top w:val="single" w:color="auto" w:sz="6" w:space="0"/>
              <w:left w:val="single" w:color="auto" w:sz="6" w:space="0"/>
              <w:bottom w:val="single" w:color="auto" w:sz="6" w:space="0"/>
              <w:right w:val="single" w:color="auto" w:sz="6" w:space="0"/>
            </w:tcBorders>
            <w:noWrap w:val="0"/>
            <w:vAlign w:val="top"/>
          </w:tcPr>
          <w:p w14:paraId="1A521A0A">
            <w:pPr>
              <w:autoSpaceDE w:val="0"/>
              <w:autoSpaceDN w:val="0"/>
              <w:adjustRightInd w:val="0"/>
              <w:snapToGrid w:val="0"/>
              <w:spacing w:line="460" w:lineRule="exact"/>
              <w:jc w:val="center"/>
              <w:rPr>
                <w:rFonts w:ascii="宋体" w:hAnsi="宋体"/>
                <w:color w:val="000000"/>
                <w:sz w:val="24"/>
              </w:rPr>
            </w:pPr>
            <w:r>
              <w:rPr>
                <w:rFonts w:hint="eastAsia" w:ascii="宋体" w:hAnsi="宋体"/>
                <w:color w:val="000000"/>
                <w:sz w:val="24"/>
              </w:rPr>
              <w:t>核减数</w:t>
            </w:r>
          </w:p>
        </w:tc>
        <w:tc>
          <w:tcPr>
            <w:tcW w:w="1050" w:type="dxa"/>
            <w:vMerge w:val="continue"/>
            <w:tcBorders>
              <w:top w:val="single" w:color="auto" w:sz="6" w:space="0"/>
              <w:left w:val="single" w:color="auto" w:sz="6" w:space="0"/>
              <w:bottom w:val="single" w:color="auto" w:sz="6" w:space="0"/>
              <w:right w:val="single" w:color="auto" w:sz="6" w:space="0"/>
            </w:tcBorders>
            <w:noWrap w:val="0"/>
            <w:vAlign w:val="center"/>
          </w:tcPr>
          <w:p w14:paraId="14577E5E">
            <w:pPr>
              <w:widowControl/>
              <w:jc w:val="left"/>
              <w:rPr>
                <w:rFonts w:ascii="宋体" w:hAnsi="宋体"/>
                <w:color w:val="000000"/>
                <w:sz w:val="24"/>
              </w:rPr>
            </w:pPr>
          </w:p>
        </w:tc>
        <w:tc>
          <w:tcPr>
            <w:tcW w:w="967" w:type="dxa"/>
            <w:vMerge w:val="continue"/>
            <w:tcBorders>
              <w:left w:val="single" w:color="auto" w:sz="6" w:space="0"/>
              <w:bottom w:val="single" w:color="auto" w:sz="6" w:space="0"/>
              <w:right w:val="single" w:color="auto" w:sz="6" w:space="0"/>
            </w:tcBorders>
            <w:noWrap w:val="0"/>
            <w:vAlign w:val="center"/>
          </w:tcPr>
          <w:p w14:paraId="5E28F3C6">
            <w:pPr>
              <w:widowControl/>
              <w:jc w:val="left"/>
              <w:rPr>
                <w:rFonts w:ascii="宋体" w:hAnsi="宋体"/>
                <w:color w:val="000000"/>
                <w:sz w:val="24"/>
              </w:rPr>
            </w:pPr>
          </w:p>
        </w:tc>
        <w:tc>
          <w:tcPr>
            <w:tcW w:w="667" w:type="dxa"/>
            <w:vMerge w:val="continue"/>
            <w:tcBorders>
              <w:top w:val="single" w:color="auto" w:sz="6" w:space="0"/>
              <w:left w:val="single" w:color="auto" w:sz="6" w:space="0"/>
              <w:bottom w:val="single" w:color="auto" w:sz="6" w:space="0"/>
              <w:right w:val="single" w:color="auto" w:sz="6" w:space="0"/>
            </w:tcBorders>
            <w:noWrap w:val="0"/>
            <w:vAlign w:val="center"/>
          </w:tcPr>
          <w:p w14:paraId="4EC42082">
            <w:pPr>
              <w:widowControl/>
              <w:jc w:val="left"/>
              <w:rPr>
                <w:rFonts w:ascii="宋体" w:hAnsi="宋体"/>
                <w:color w:val="000000"/>
                <w:sz w:val="24"/>
              </w:rPr>
            </w:pPr>
          </w:p>
        </w:tc>
      </w:tr>
      <w:tr w14:paraId="35575485">
        <w:tblPrEx>
          <w:tblCellMar>
            <w:top w:w="0" w:type="dxa"/>
            <w:left w:w="30" w:type="dxa"/>
            <w:bottom w:w="0" w:type="dxa"/>
            <w:right w:w="30" w:type="dxa"/>
          </w:tblCellMar>
        </w:tblPrEx>
        <w:trPr>
          <w:cantSplit/>
          <w:trHeight w:val="454" w:hRule="atLeast"/>
        </w:trPr>
        <w:tc>
          <w:tcPr>
            <w:tcW w:w="2256" w:type="dxa"/>
            <w:tcBorders>
              <w:top w:val="single" w:color="auto" w:sz="6" w:space="0"/>
              <w:left w:val="single" w:color="auto" w:sz="6" w:space="0"/>
              <w:bottom w:val="single" w:color="auto" w:sz="6" w:space="0"/>
              <w:right w:val="single" w:color="auto" w:sz="6" w:space="0"/>
            </w:tcBorders>
            <w:noWrap w:val="0"/>
            <w:vAlign w:val="center"/>
          </w:tcPr>
          <w:p w14:paraId="40EB9D37">
            <w:pPr>
              <w:adjustRightInd w:val="0"/>
              <w:snapToGrid w:val="0"/>
              <w:spacing w:line="400" w:lineRule="exact"/>
              <w:jc w:val="center"/>
              <w:rPr>
                <w:rFonts w:hint="eastAsia" w:ascii="宋体" w:hAnsi="宋体" w:eastAsia="仿宋"/>
                <w:color w:val="FF0000"/>
                <w:szCs w:val="21"/>
                <w:lang w:eastAsia="zh-CN"/>
              </w:rPr>
            </w:pPr>
            <w:r>
              <w:rPr>
                <w:rFonts w:hint="eastAsia" w:ascii="宋体" w:hAnsi="宋体"/>
                <w:color w:val="000000"/>
                <w:sz w:val="24"/>
                <w:lang w:eastAsia="zh-CN"/>
              </w:rPr>
              <w:t>霞浦县盐田乡西胜村农产品基地建设</w:t>
            </w:r>
          </w:p>
        </w:tc>
        <w:tc>
          <w:tcPr>
            <w:tcW w:w="1132" w:type="dxa"/>
            <w:tcBorders>
              <w:top w:val="single" w:color="auto" w:sz="6" w:space="0"/>
              <w:left w:val="single" w:color="auto" w:sz="6" w:space="0"/>
              <w:bottom w:val="single" w:color="auto" w:sz="6" w:space="0"/>
              <w:right w:val="single" w:color="auto" w:sz="6" w:space="0"/>
            </w:tcBorders>
            <w:noWrap w:val="0"/>
            <w:vAlign w:val="center"/>
          </w:tcPr>
          <w:p w14:paraId="324D603A">
            <w:pPr>
              <w:adjustRightInd w:val="0"/>
              <w:snapToGrid w:val="0"/>
              <w:spacing w:line="400" w:lineRule="exact"/>
              <w:jc w:val="center"/>
              <w:rPr>
                <w:rFonts w:hint="eastAsia" w:ascii="宋体" w:hAnsi="宋体"/>
                <w:color w:val="000000"/>
                <w:sz w:val="24"/>
              </w:rPr>
            </w:pPr>
            <w:r>
              <w:rPr>
                <w:rFonts w:hint="eastAsia" w:ascii="宋体" w:hAnsi="宋体"/>
                <w:color w:val="000000"/>
                <w:sz w:val="24"/>
              </w:rPr>
              <w:t>3191592</w:t>
            </w:r>
          </w:p>
        </w:tc>
        <w:tc>
          <w:tcPr>
            <w:tcW w:w="1275" w:type="dxa"/>
            <w:tcBorders>
              <w:top w:val="single" w:color="auto" w:sz="6" w:space="0"/>
              <w:left w:val="single" w:color="auto" w:sz="6" w:space="0"/>
              <w:bottom w:val="single" w:color="auto" w:sz="6" w:space="0"/>
              <w:right w:val="single" w:color="auto" w:sz="6" w:space="0"/>
            </w:tcBorders>
            <w:noWrap w:val="0"/>
            <w:vAlign w:val="center"/>
          </w:tcPr>
          <w:p w14:paraId="3EEB5D46">
            <w:pPr>
              <w:autoSpaceDE w:val="0"/>
              <w:autoSpaceDN w:val="0"/>
              <w:adjustRightInd w:val="0"/>
              <w:snapToGrid w:val="0"/>
              <w:spacing w:line="460" w:lineRule="exact"/>
              <w:jc w:val="center"/>
              <w:rPr>
                <w:rFonts w:hint="eastAsia" w:ascii="宋体" w:hAnsi="宋体" w:eastAsia="仿宋"/>
                <w:color w:val="000000"/>
                <w:sz w:val="24"/>
                <w:lang w:val="en-US" w:eastAsia="zh-CN"/>
              </w:rPr>
            </w:pPr>
            <w:r>
              <w:rPr>
                <w:rFonts w:hint="eastAsia" w:ascii="宋体" w:hAnsi="宋体"/>
                <w:color w:val="000000"/>
                <w:sz w:val="24"/>
                <w:lang w:val="en-US" w:eastAsia="zh-CN"/>
              </w:rPr>
              <w:t>/</w:t>
            </w:r>
          </w:p>
        </w:tc>
        <w:tc>
          <w:tcPr>
            <w:tcW w:w="1193" w:type="dxa"/>
            <w:tcBorders>
              <w:top w:val="single" w:color="auto" w:sz="6" w:space="0"/>
              <w:left w:val="single" w:color="auto" w:sz="6" w:space="0"/>
              <w:bottom w:val="single" w:color="auto" w:sz="6" w:space="0"/>
              <w:right w:val="single" w:color="auto" w:sz="6" w:space="0"/>
            </w:tcBorders>
            <w:noWrap w:val="0"/>
            <w:vAlign w:val="center"/>
          </w:tcPr>
          <w:p w14:paraId="2A174D42">
            <w:pPr>
              <w:adjustRightInd w:val="0"/>
              <w:snapToGrid w:val="0"/>
              <w:spacing w:line="400" w:lineRule="exact"/>
              <w:jc w:val="center"/>
              <w:rPr>
                <w:rFonts w:ascii="宋体" w:hAnsi="宋体"/>
                <w:color w:val="000000"/>
                <w:sz w:val="24"/>
              </w:rPr>
            </w:pPr>
            <w:r>
              <w:rPr>
                <w:rFonts w:hint="eastAsia" w:ascii="宋体" w:hAnsi="宋体"/>
                <w:color w:val="000000"/>
                <w:sz w:val="24"/>
              </w:rPr>
              <w:t>175636</w:t>
            </w:r>
          </w:p>
        </w:tc>
        <w:tc>
          <w:tcPr>
            <w:tcW w:w="1050" w:type="dxa"/>
            <w:tcBorders>
              <w:top w:val="single" w:color="auto" w:sz="6" w:space="0"/>
              <w:left w:val="single" w:color="auto" w:sz="6" w:space="0"/>
              <w:bottom w:val="single" w:color="auto" w:sz="6" w:space="0"/>
              <w:right w:val="single" w:color="auto" w:sz="6" w:space="0"/>
            </w:tcBorders>
            <w:noWrap w:val="0"/>
            <w:vAlign w:val="center"/>
          </w:tcPr>
          <w:p w14:paraId="6D8FAEED">
            <w:pPr>
              <w:widowControl/>
              <w:spacing w:line="460" w:lineRule="exact"/>
              <w:jc w:val="center"/>
              <w:rPr>
                <w:rFonts w:hint="eastAsia" w:ascii="宋体" w:hAnsi="宋体"/>
                <w:color w:val="000000"/>
                <w:sz w:val="24"/>
              </w:rPr>
            </w:pPr>
            <w:r>
              <w:rPr>
                <w:rFonts w:hint="eastAsia" w:ascii="宋体" w:hAnsi="宋体"/>
                <w:color w:val="000000"/>
                <w:sz w:val="24"/>
              </w:rPr>
              <w:t>3015956</w:t>
            </w:r>
          </w:p>
        </w:tc>
        <w:tc>
          <w:tcPr>
            <w:tcW w:w="967" w:type="dxa"/>
            <w:tcBorders>
              <w:top w:val="single" w:color="auto" w:sz="6" w:space="0"/>
              <w:left w:val="single" w:color="auto" w:sz="6" w:space="0"/>
              <w:bottom w:val="single" w:color="auto" w:sz="6" w:space="0"/>
              <w:right w:val="single" w:color="auto" w:sz="6" w:space="0"/>
            </w:tcBorders>
            <w:noWrap w:val="0"/>
            <w:vAlign w:val="center"/>
          </w:tcPr>
          <w:p w14:paraId="799D5182">
            <w:pPr>
              <w:widowControl/>
              <w:spacing w:line="460" w:lineRule="exact"/>
              <w:jc w:val="center"/>
              <w:rPr>
                <w:rFonts w:hint="default" w:ascii="宋体" w:hAnsi="宋体" w:eastAsia="仿宋"/>
                <w:color w:val="000000"/>
                <w:sz w:val="24"/>
                <w:lang w:val="en-US" w:eastAsia="zh-CN"/>
              </w:rPr>
            </w:pPr>
            <w:r>
              <w:rPr>
                <w:rFonts w:hint="eastAsia" w:ascii="宋体" w:hAnsi="宋体"/>
                <w:color w:val="000000"/>
                <w:sz w:val="24"/>
                <w:lang w:val="en-US" w:eastAsia="zh-CN"/>
              </w:rPr>
              <w:t>-5.5%</w:t>
            </w:r>
          </w:p>
        </w:tc>
        <w:tc>
          <w:tcPr>
            <w:tcW w:w="667" w:type="dxa"/>
            <w:tcBorders>
              <w:top w:val="single" w:color="auto" w:sz="6" w:space="0"/>
              <w:left w:val="single" w:color="auto" w:sz="6" w:space="0"/>
              <w:bottom w:val="single" w:color="auto" w:sz="6" w:space="0"/>
              <w:right w:val="single" w:color="auto" w:sz="6" w:space="0"/>
            </w:tcBorders>
            <w:noWrap w:val="0"/>
            <w:vAlign w:val="center"/>
          </w:tcPr>
          <w:p w14:paraId="687EC8FC">
            <w:pPr>
              <w:widowControl/>
              <w:spacing w:line="460" w:lineRule="exact"/>
              <w:jc w:val="center"/>
              <w:rPr>
                <w:rFonts w:ascii="宋体" w:hAnsi="宋体"/>
                <w:color w:val="000000"/>
                <w:sz w:val="24"/>
              </w:rPr>
            </w:pPr>
          </w:p>
        </w:tc>
      </w:tr>
      <w:tr w14:paraId="4CB72A25">
        <w:tblPrEx>
          <w:tblCellMar>
            <w:top w:w="0" w:type="dxa"/>
            <w:left w:w="30" w:type="dxa"/>
            <w:bottom w:w="0" w:type="dxa"/>
            <w:right w:w="30" w:type="dxa"/>
          </w:tblCellMar>
        </w:tblPrEx>
        <w:trPr>
          <w:cantSplit/>
          <w:trHeight w:val="475" w:hRule="atLeast"/>
        </w:trPr>
        <w:tc>
          <w:tcPr>
            <w:tcW w:w="2256" w:type="dxa"/>
            <w:tcBorders>
              <w:top w:val="single" w:color="auto" w:sz="6" w:space="0"/>
              <w:left w:val="single" w:color="auto" w:sz="6" w:space="0"/>
              <w:bottom w:val="single" w:color="auto" w:sz="6" w:space="0"/>
              <w:right w:val="single" w:color="auto" w:sz="6" w:space="0"/>
            </w:tcBorders>
            <w:noWrap w:val="0"/>
            <w:vAlign w:val="center"/>
          </w:tcPr>
          <w:p w14:paraId="47ADFC0E">
            <w:pPr>
              <w:adjustRightInd w:val="0"/>
              <w:snapToGrid w:val="0"/>
              <w:spacing w:line="460" w:lineRule="exact"/>
              <w:jc w:val="center"/>
              <w:rPr>
                <w:rFonts w:hint="eastAsia" w:ascii="宋体" w:hAnsi="宋体"/>
                <w:sz w:val="24"/>
              </w:rPr>
            </w:pPr>
            <w:r>
              <w:rPr>
                <w:rFonts w:hint="eastAsia" w:ascii="宋体" w:hAnsi="宋体"/>
                <w:sz w:val="24"/>
              </w:rPr>
              <w:t>合计</w:t>
            </w:r>
          </w:p>
        </w:tc>
        <w:tc>
          <w:tcPr>
            <w:tcW w:w="1132" w:type="dxa"/>
            <w:tcBorders>
              <w:top w:val="single" w:color="auto" w:sz="6" w:space="0"/>
              <w:left w:val="single" w:color="auto" w:sz="6" w:space="0"/>
              <w:bottom w:val="single" w:color="auto" w:sz="6" w:space="0"/>
              <w:right w:val="single" w:color="auto" w:sz="6" w:space="0"/>
            </w:tcBorders>
            <w:noWrap w:val="0"/>
            <w:vAlign w:val="center"/>
          </w:tcPr>
          <w:p w14:paraId="0506DCA7">
            <w:pPr>
              <w:adjustRightInd w:val="0"/>
              <w:snapToGrid w:val="0"/>
              <w:spacing w:line="400" w:lineRule="exact"/>
              <w:jc w:val="center"/>
              <w:rPr>
                <w:rFonts w:hint="eastAsia" w:ascii="宋体" w:hAnsi="宋体"/>
                <w:color w:val="000000"/>
                <w:sz w:val="24"/>
              </w:rPr>
            </w:pPr>
            <w:r>
              <w:rPr>
                <w:rFonts w:hint="eastAsia" w:ascii="宋体" w:hAnsi="宋体"/>
                <w:color w:val="000000"/>
                <w:sz w:val="24"/>
              </w:rPr>
              <w:t>3191592</w:t>
            </w:r>
          </w:p>
        </w:tc>
        <w:tc>
          <w:tcPr>
            <w:tcW w:w="1275" w:type="dxa"/>
            <w:tcBorders>
              <w:top w:val="single" w:color="auto" w:sz="6" w:space="0"/>
              <w:left w:val="single" w:color="auto" w:sz="6" w:space="0"/>
              <w:bottom w:val="single" w:color="auto" w:sz="6" w:space="0"/>
              <w:right w:val="single" w:color="auto" w:sz="6" w:space="0"/>
            </w:tcBorders>
            <w:noWrap w:val="0"/>
            <w:vAlign w:val="center"/>
          </w:tcPr>
          <w:p w14:paraId="4892285C">
            <w:pPr>
              <w:autoSpaceDE w:val="0"/>
              <w:autoSpaceDN w:val="0"/>
              <w:adjustRightInd w:val="0"/>
              <w:snapToGrid w:val="0"/>
              <w:spacing w:line="460" w:lineRule="exact"/>
              <w:jc w:val="center"/>
              <w:rPr>
                <w:rFonts w:hint="eastAsia" w:ascii="宋体" w:hAnsi="宋体" w:eastAsia="仿宋"/>
                <w:color w:val="000000"/>
                <w:sz w:val="24"/>
                <w:lang w:val="en-US" w:eastAsia="zh-CN"/>
              </w:rPr>
            </w:pPr>
            <w:r>
              <w:rPr>
                <w:rFonts w:hint="eastAsia" w:ascii="宋体" w:hAnsi="宋体"/>
                <w:color w:val="000000"/>
                <w:sz w:val="24"/>
                <w:lang w:val="en-US" w:eastAsia="zh-CN"/>
              </w:rPr>
              <w:t>/</w:t>
            </w:r>
          </w:p>
        </w:tc>
        <w:tc>
          <w:tcPr>
            <w:tcW w:w="1193" w:type="dxa"/>
            <w:tcBorders>
              <w:top w:val="single" w:color="auto" w:sz="6" w:space="0"/>
              <w:left w:val="single" w:color="auto" w:sz="6" w:space="0"/>
              <w:bottom w:val="single" w:color="auto" w:sz="6" w:space="0"/>
              <w:right w:val="single" w:color="auto" w:sz="6" w:space="0"/>
            </w:tcBorders>
            <w:noWrap w:val="0"/>
            <w:vAlign w:val="center"/>
          </w:tcPr>
          <w:p w14:paraId="57455503">
            <w:pPr>
              <w:adjustRightInd w:val="0"/>
              <w:snapToGrid w:val="0"/>
              <w:spacing w:line="400" w:lineRule="exact"/>
              <w:jc w:val="center"/>
              <w:rPr>
                <w:rFonts w:hint="eastAsia" w:ascii="宋体" w:hAnsi="宋体" w:eastAsia="仿宋"/>
                <w:color w:val="000000"/>
                <w:sz w:val="24"/>
                <w:lang w:eastAsia="zh-CN"/>
              </w:rPr>
            </w:pPr>
            <w:r>
              <w:rPr>
                <w:rFonts w:hint="eastAsia" w:ascii="宋体" w:hAnsi="宋体"/>
                <w:color w:val="000000"/>
                <w:sz w:val="24"/>
                <w:lang w:val="en-US" w:eastAsia="zh-CN"/>
              </w:rPr>
              <w:t>175636</w:t>
            </w:r>
          </w:p>
        </w:tc>
        <w:tc>
          <w:tcPr>
            <w:tcW w:w="1050" w:type="dxa"/>
            <w:tcBorders>
              <w:top w:val="single" w:color="auto" w:sz="6" w:space="0"/>
              <w:left w:val="single" w:color="auto" w:sz="6" w:space="0"/>
              <w:bottom w:val="single" w:color="auto" w:sz="6" w:space="0"/>
              <w:right w:val="single" w:color="auto" w:sz="6" w:space="0"/>
            </w:tcBorders>
            <w:noWrap w:val="0"/>
            <w:vAlign w:val="center"/>
          </w:tcPr>
          <w:p w14:paraId="3666C43D">
            <w:pPr>
              <w:widowControl/>
              <w:spacing w:line="460" w:lineRule="exact"/>
              <w:jc w:val="center"/>
              <w:rPr>
                <w:rFonts w:hint="eastAsia" w:ascii="宋体" w:hAnsi="宋体"/>
                <w:color w:val="000000"/>
                <w:sz w:val="24"/>
              </w:rPr>
            </w:pPr>
            <w:r>
              <w:rPr>
                <w:rFonts w:hint="eastAsia" w:ascii="宋体" w:hAnsi="宋体"/>
                <w:color w:val="000000"/>
                <w:sz w:val="24"/>
              </w:rPr>
              <w:t>3015956</w:t>
            </w:r>
          </w:p>
        </w:tc>
        <w:tc>
          <w:tcPr>
            <w:tcW w:w="967" w:type="dxa"/>
            <w:tcBorders>
              <w:top w:val="single" w:color="auto" w:sz="6" w:space="0"/>
              <w:left w:val="single" w:color="auto" w:sz="6" w:space="0"/>
              <w:bottom w:val="single" w:color="auto" w:sz="6" w:space="0"/>
              <w:right w:val="single" w:color="auto" w:sz="6" w:space="0"/>
            </w:tcBorders>
            <w:noWrap w:val="0"/>
            <w:vAlign w:val="center"/>
          </w:tcPr>
          <w:p w14:paraId="00F3D416">
            <w:pPr>
              <w:widowControl/>
              <w:spacing w:line="460" w:lineRule="exact"/>
              <w:jc w:val="center"/>
              <w:rPr>
                <w:rFonts w:ascii="宋体" w:hAnsi="宋体"/>
                <w:color w:val="000000"/>
                <w:sz w:val="24"/>
              </w:rPr>
            </w:pPr>
            <w:r>
              <w:rPr>
                <w:rFonts w:hint="eastAsia" w:ascii="宋体" w:hAnsi="宋体"/>
                <w:color w:val="000000"/>
                <w:sz w:val="24"/>
                <w:lang w:val="en-US" w:eastAsia="zh-CN"/>
              </w:rPr>
              <w:t>-5.5%</w:t>
            </w:r>
          </w:p>
        </w:tc>
        <w:tc>
          <w:tcPr>
            <w:tcW w:w="667" w:type="dxa"/>
            <w:tcBorders>
              <w:top w:val="single" w:color="auto" w:sz="6" w:space="0"/>
              <w:left w:val="single" w:color="auto" w:sz="6" w:space="0"/>
              <w:bottom w:val="single" w:color="auto" w:sz="6" w:space="0"/>
              <w:right w:val="single" w:color="auto" w:sz="6" w:space="0"/>
            </w:tcBorders>
            <w:noWrap w:val="0"/>
            <w:vAlign w:val="top"/>
          </w:tcPr>
          <w:p w14:paraId="792E9D06">
            <w:pPr>
              <w:autoSpaceDE w:val="0"/>
              <w:autoSpaceDN w:val="0"/>
              <w:adjustRightInd w:val="0"/>
              <w:snapToGrid w:val="0"/>
              <w:spacing w:line="460" w:lineRule="exact"/>
              <w:jc w:val="center"/>
              <w:rPr>
                <w:rFonts w:ascii="宋体" w:hAnsi="宋体"/>
                <w:color w:val="000000"/>
                <w:sz w:val="24"/>
              </w:rPr>
            </w:pPr>
          </w:p>
        </w:tc>
      </w:tr>
      <w:tr w14:paraId="387B7F9D">
        <w:tblPrEx>
          <w:tblCellMar>
            <w:top w:w="0" w:type="dxa"/>
            <w:left w:w="30" w:type="dxa"/>
            <w:bottom w:w="0" w:type="dxa"/>
            <w:right w:w="30" w:type="dxa"/>
          </w:tblCellMar>
        </w:tblPrEx>
        <w:trPr>
          <w:cantSplit/>
          <w:trHeight w:val="454" w:hRule="atLeast"/>
        </w:trPr>
        <w:tc>
          <w:tcPr>
            <w:tcW w:w="8540" w:type="dxa"/>
            <w:gridSpan w:val="7"/>
            <w:tcBorders>
              <w:top w:val="single" w:color="auto" w:sz="6" w:space="0"/>
              <w:left w:val="single" w:color="auto" w:sz="6" w:space="0"/>
              <w:bottom w:val="single" w:color="auto" w:sz="6" w:space="0"/>
              <w:right w:val="single" w:color="auto" w:sz="6" w:space="0"/>
            </w:tcBorders>
            <w:noWrap w:val="0"/>
            <w:vAlign w:val="center"/>
          </w:tcPr>
          <w:p w14:paraId="0BE90F6C">
            <w:pPr>
              <w:autoSpaceDE w:val="0"/>
              <w:autoSpaceDN w:val="0"/>
              <w:snapToGrid w:val="0"/>
              <w:spacing w:line="460" w:lineRule="exact"/>
              <w:jc w:val="both"/>
              <w:rPr>
                <w:rFonts w:hint="default" w:ascii="宋体" w:hAnsi="宋体"/>
                <w:color w:val="000000"/>
                <w:sz w:val="24"/>
                <w:lang w:val="en-US"/>
              </w:rPr>
            </w:pPr>
            <w:r>
              <w:rPr>
                <w:rFonts w:hint="eastAsia" w:ascii="宋体" w:hAnsi="宋体"/>
                <w:color w:val="000000"/>
                <w:sz w:val="24"/>
              </w:rPr>
              <w:t>审定数（大写）</w:t>
            </w:r>
            <w:r>
              <w:rPr>
                <w:rFonts w:hint="eastAsia" w:ascii="宋体" w:hAnsi="宋体"/>
                <w:color w:val="000000"/>
                <w:sz w:val="24"/>
                <w:lang w:eastAsia="zh-CN"/>
              </w:rPr>
              <w:t>：</w:t>
            </w:r>
            <w:r>
              <w:rPr>
                <w:rFonts w:hint="eastAsia" w:ascii="宋体" w:hAnsi="宋体"/>
                <w:color w:val="000000"/>
                <w:sz w:val="24"/>
                <w:lang w:val="en-US" w:eastAsia="zh-CN"/>
              </w:rPr>
              <w:t>叁佰零壹万伍仟玖佰伍拾陆元整</w:t>
            </w:r>
          </w:p>
        </w:tc>
      </w:tr>
    </w:tbl>
    <w:p w14:paraId="6F623EFB">
      <w:pPr>
        <w:spacing w:line="720" w:lineRule="exact"/>
        <w:ind w:right="-737"/>
        <w:rPr>
          <w:rFonts w:hint="eastAsia" w:ascii="宋体" w:hAnsi="宋体"/>
          <w:sz w:val="24"/>
        </w:rPr>
      </w:pPr>
    </w:p>
    <w:p w14:paraId="638B4CBD">
      <w:pPr>
        <w:spacing w:line="720" w:lineRule="exact"/>
        <w:ind w:right="-737"/>
        <w:rPr>
          <w:rFonts w:hint="eastAsia" w:ascii="宋体" w:hAnsi="宋体"/>
          <w:sz w:val="24"/>
        </w:rPr>
      </w:pPr>
      <w:r>
        <w:rPr>
          <w:rFonts w:hint="eastAsia" w:ascii="宋体" w:hAnsi="宋体"/>
          <w:sz w:val="24"/>
        </w:rPr>
        <w:t xml:space="preserve">审核人：                                </w:t>
      </w:r>
    </w:p>
    <w:p w14:paraId="272787A6">
      <w:pPr>
        <w:spacing w:line="720" w:lineRule="exact"/>
        <w:jc w:val="right"/>
        <w:rPr>
          <w:rFonts w:hint="eastAsia" w:ascii="宋体" w:hAnsi="宋体"/>
          <w:sz w:val="24"/>
          <w:lang w:val="en-US" w:eastAsia="zh-CN"/>
        </w:rPr>
      </w:pPr>
      <w:r>
        <w:rPr>
          <w:rFonts w:hint="eastAsia" w:ascii="宋体" w:hAnsi="宋体"/>
          <w:sz w:val="24"/>
          <w:lang w:val="en-US" w:eastAsia="zh-CN"/>
        </w:rPr>
        <w:t>助审单位</w:t>
      </w:r>
    </w:p>
    <w:p w14:paraId="03050862">
      <w:pPr>
        <w:spacing w:line="720" w:lineRule="exact"/>
        <w:rPr>
          <w:rFonts w:hint="eastAsia" w:ascii="宋体" w:hAnsi="宋体"/>
          <w:sz w:val="24"/>
        </w:rPr>
      </w:pPr>
      <w:r>
        <w:rPr>
          <w:rFonts w:hint="eastAsia" w:ascii="宋体" w:hAnsi="宋体"/>
          <w:sz w:val="24"/>
        </w:rPr>
        <w:t xml:space="preserve">复核人：                                 </w:t>
      </w:r>
      <w:r>
        <w:rPr>
          <w:rFonts w:hint="eastAsia" w:ascii="宋体" w:hAnsi="宋体"/>
          <w:sz w:val="24"/>
          <w:lang w:val="en-US" w:eastAsia="zh-CN"/>
        </w:rPr>
        <w:t xml:space="preserve">         </w:t>
      </w:r>
      <w:r>
        <w:rPr>
          <w:rFonts w:hint="eastAsia" w:ascii="宋体" w:hAnsi="宋体"/>
          <w:sz w:val="24"/>
        </w:rPr>
        <w:t xml:space="preserve">  </w:t>
      </w:r>
      <w:r>
        <w:rPr>
          <w:rFonts w:hint="eastAsia" w:ascii="宋体" w:hAnsi="宋体"/>
          <w:sz w:val="24"/>
          <w:lang w:val="en-US" w:eastAsia="zh-CN"/>
        </w:rPr>
        <w:t>2025</w:t>
      </w:r>
      <w:r>
        <w:rPr>
          <w:rFonts w:hint="eastAsia" w:ascii="宋体" w:hAnsi="宋体"/>
          <w:sz w:val="24"/>
        </w:rPr>
        <w:t xml:space="preserve">年 </w:t>
      </w:r>
      <w:r>
        <w:rPr>
          <w:rFonts w:hint="eastAsia" w:ascii="宋体" w:hAnsi="宋体"/>
          <w:sz w:val="24"/>
          <w:lang w:val="en-US" w:eastAsia="zh-CN"/>
        </w:rPr>
        <w:t>11</w:t>
      </w:r>
      <w:r>
        <w:rPr>
          <w:rFonts w:hint="eastAsia" w:ascii="宋体" w:hAnsi="宋体"/>
          <w:sz w:val="24"/>
        </w:rPr>
        <w:t>月</w:t>
      </w:r>
      <w:r>
        <w:rPr>
          <w:rFonts w:hint="eastAsia" w:ascii="宋体" w:hAnsi="宋体"/>
          <w:sz w:val="24"/>
          <w:lang w:val="en-US" w:eastAsia="zh-CN"/>
        </w:rPr>
        <w:t>27</w:t>
      </w:r>
      <w:r>
        <w:rPr>
          <w:rFonts w:hint="eastAsia" w:ascii="宋体" w:hAnsi="宋体"/>
          <w:sz w:val="24"/>
        </w:rPr>
        <w:t>日</w:t>
      </w:r>
    </w:p>
    <w:p w14:paraId="109ACB9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3F18C8"/>
    <w:rsid w:val="11021150"/>
    <w:rsid w:val="114A1D1E"/>
    <w:rsid w:val="1B181AFB"/>
    <w:rsid w:val="1B38113D"/>
    <w:rsid w:val="28085AC2"/>
    <w:rsid w:val="280D2C33"/>
    <w:rsid w:val="2D783200"/>
    <w:rsid w:val="31D43CD4"/>
    <w:rsid w:val="37DA7DAA"/>
    <w:rsid w:val="3D436746"/>
    <w:rsid w:val="3D513A82"/>
    <w:rsid w:val="3E7C07B8"/>
    <w:rsid w:val="3F465926"/>
    <w:rsid w:val="469559E1"/>
    <w:rsid w:val="6738615E"/>
    <w:rsid w:val="71471D42"/>
    <w:rsid w:val="78ED351D"/>
    <w:rsid w:val="79C649CC"/>
    <w:rsid w:val="7A9B0681"/>
    <w:rsid w:val="7DBF5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color w:val="000000"/>
      <w:kern w:val="2"/>
      <w:sz w:val="32"/>
      <w:szCs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289</Words>
  <Characters>343</Characters>
  <Lines>0</Lines>
  <Paragraphs>0</Paragraphs>
  <TotalTime>3</TotalTime>
  <ScaleCrop>false</ScaleCrop>
  <LinksUpToDate>false</LinksUpToDate>
  <CharactersWithSpaces>469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2025-02-19T06:38:00Z</dcterms:created>
  <dc:creator>Administrator</dc:creator>
  <cp:lastModifiedBy>诺</cp:lastModifiedBy>
  <dcterms:modified xsi:type="dcterms:W3CDTF">2025-11-28T02:59:54Z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eyJoZGlkIjoiOGMyMDUzY2JlMjkyZjg1YTQ3ZjIxZTBhNzk2MWY3NzIiLCJ1c2VySWQiOiIzMTMxNjk0NDUifQ==</vt:lpwstr>
  </property>
  <property fmtid="{D5CDD505-2E9C-101B-9397-08002B2CF9AE}" pid="4" name="ICV">
    <vt:lpwstr>E11BDE3ABA044FA59FF1A0C221858B35_12</vt:lpwstr>
  </property>
</Properties>
</file>