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仿宋" w:hAnsi="仿宋" w:eastAsia="仿宋"/>
          <w:color w:val="auto"/>
          <w:sz w:val="52"/>
          <w:szCs w:val="52"/>
          <w:highlight w:val="none"/>
        </w:rPr>
      </w:pPr>
      <w:bookmarkStart w:id="149" w:name="_GoBack"/>
    </w:p>
    <w:p>
      <w:pPr>
        <w:pStyle w:val="2"/>
        <w:rPr>
          <w:rFonts w:ascii="仿宋" w:hAnsi="仿宋" w:eastAsia="仿宋"/>
          <w:color w:val="auto"/>
          <w:sz w:val="52"/>
          <w:szCs w:val="52"/>
          <w:highlight w:val="none"/>
        </w:rPr>
      </w:pPr>
    </w:p>
    <w:p>
      <w:pPr>
        <w:pStyle w:val="2"/>
        <w:rPr>
          <w:rFonts w:ascii="仿宋" w:hAnsi="仿宋" w:eastAsia="仿宋"/>
          <w:color w:val="auto"/>
          <w:sz w:val="52"/>
          <w:szCs w:val="52"/>
          <w:highlight w:val="none"/>
        </w:rPr>
      </w:pPr>
    </w:p>
    <w:p>
      <w:pPr>
        <w:pStyle w:val="2"/>
        <w:rPr>
          <w:rFonts w:ascii="仿宋" w:hAnsi="仿宋" w:eastAsia="仿宋"/>
          <w:color w:val="auto"/>
          <w:sz w:val="52"/>
          <w:szCs w:val="52"/>
          <w:highlight w:val="none"/>
        </w:rPr>
      </w:pPr>
    </w:p>
    <w:p>
      <w:pPr>
        <w:pStyle w:val="15"/>
        <w:jc w:val="center"/>
        <w:rPr>
          <w:rFonts w:hint="eastAsia" w:ascii="仿宋" w:hAnsi="仿宋" w:eastAsia="仿宋"/>
          <w:color w:val="auto"/>
          <w:spacing w:val="30"/>
          <w:kern w:val="52"/>
          <w:sz w:val="64"/>
          <w:szCs w:val="64"/>
          <w:highlight w:val="none"/>
          <w:lang w:eastAsia="zh-CN"/>
        </w:rPr>
      </w:pPr>
      <w:r>
        <w:rPr>
          <w:rFonts w:hint="eastAsia" w:ascii="仿宋" w:hAnsi="仿宋" w:eastAsia="仿宋"/>
          <w:color w:val="auto"/>
          <w:spacing w:val="30"/>
          <w:kern w:val="52"/>
          <w:sz w:val="64"/>
          <w:szCs w:val="64"/>
          <w:highlight w:val="none"/>
          <w:lang w:eastAsia="zh-CN"/>
        </w:rPr>
        <w:t>广西科文招标有限公司</w:t>
      </w:r>
    </w:p>
    <w:p>
      <w:pPr>
        <w:pStyle w:val="15"/>
        <w:jc w:val="center"/>
        <w:rPr>
          <w:rFonts w:ascii="仿宋" w:hAnsi="仿宋" w:eastAsia="仿宋"/>
          <w:color w:val="auto"/>
          <w:spacing w:val="28"/>
          <w:sz w:val="64"/>
          <w:szCs w:val="64"/>
          <w:highlight w:val="none"/>
        </w:rPr>
      </w:pPr>
      <w:r>
        <w:rPr>
          <w:rFonts w:ascii="仿宋" w:hAnsi="仿宋" w:eastAsia="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hQAKNYAAAAIAQAADwAAAAAAAAABACAAAAAiAAAA&#10;ZHJzL2Rvd25yZXYueG1sUEsBAhQAFAAAAAgAh07iQHmAG1nQAQAAiwMAAA4AAAAAAAAAAQAgAAAA&#10;JQEAAGRycy9lMm9Eb2MueG1sUEsFBgAAAAAGAAYAWQEAAGcFA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ascii="仿宋" w:hAnsi="仿宋" w:eastAsia="仿宋"/>
          <w:color w:val="auto"/>
          <w:sz w:val="120"/>
          <w:szCs w:val="120"/>
          <w:highlight w:val="none"/>
        </w:rPr>
      </w:pPr>
      <w:r>
        <w:rPr>
          <w:rFonts w:hint="eastAsia" w:ascii="仿宋" w:hAnsi="仿宋" w:eastAsia="仿宋"/>
          <w:color w:val="auto"/>
          <w:sz w:val="120"/>
          <w:szCs w:val="120"/>
          <w:highlight w:val="none"/>
        </w:rPr>
        <w:t>招 标 文 件</w:t>
      </w:r>
    </w:p>
    <w:p>
      <w:pPr>
        <w:pStyle w:val="15"/>
        <w:snapToGrid w:val="0"/>
        <w:spacing w:line="360" w:lineRule="auto"/>
        <w:ind w:firstLine="1977" w:firstLineChars="691"/>
        <w:rPr>
          <w:rFonts w:ascii="仿宋" w:hAnsi="仿宋" w:eastAsia="仿宋"/>
          <w:b/>
          <w:bCs/>
          <w:color w:val="auto"/>
          <w:w w:val="95"/>
          <w:sz w:val="30"/>
          <w:szCs w:val="30"/>
          <w:highlight w:val="none"/>
        </w:rPr>
      </w:pPr>
    </w:p>
    <w:p>
      <w:pPr>
        <w:pStyle w:val="15"/>
        <w:snapToGrid w:val="0"/>
        <w:spacing w:line="360" w:lineRule="auto"/>
        <w:ind w:firstLine="1977" w:firstLineChars="691"/>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项目名称：化生学院一流学科建设设备采购</w:t>
      </w:r>
    </w:p>
    <w:p>
      <w:pPr>
        <w:pStyle w:val="15"/>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项目编号：</w:t>
      </w:r>
      <w:r>
        <w:rPr>
          <w:rFonts w:hint="eastAsia" w:ascii="仿宋" w:hAnsi="仿宋" w:eastAsia="仿宋"/>
          <w:b/>
          <w:bCs/>
          <w:color w:val="auto"/>
          <w:sz w:val="30"/>
          <w:szCs w:val="30"/>
          <w:highlight w:val="none"/>
          <w:lang w:eastAsia="zh-CN"/>
        </w:rPr>
        <w:t>GXZC2024-G1-002928-KWZB</w:t>
      </w:r>
    </w:p>
    <w:p>
      <w:pPr>
        <w:pStyle w:val="15"/>
        <w:snapToGrid w:val="0"/>
        <w:spacing w:line="360" w:lineRule="auto"/>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 xml:space="preserve"> </w:t>
      </w:r>
    </w:p>
    <w:p>
      <w:pPr>
        <w:pStyle w:val="15"/>
        <w:snapToGrid w:val="0"/>
        <w:spacing w:line="360" w:lineRule="auto"/>
        <w:ind w:firstLine="1977" w:firstLineChars="691"/>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w w:val="95"/>
          <w:sz w:val="30"/>
          <w:szCs w:val="30"/>
          <w:highlight w:val="none"/>
        </w:rPr>
      </w:pPr>
    </w:p>
    <w:p>
      <w:pPr>
        <w:pStyle w:val="15"/>
        <w:snapToGrid w:val="0"/>
        <w:spacing w:line="360" w:lineRule="auto"/>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采购人：桂林理工大学</w:t>
      </w:r>
    </w:p>
    <w:p>
      <w:pPr>
        <w:pStyle w:val="15"/>
        <w:snapToGrid w:val="0"/>
        <w:spacing w:line="360" w:lineRule="auto"/>
        <w:jc w:val="center"/>
        <w:rPr>
          <w:rFonts w:hint="eastAsia"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rPr>
        <w:t>采购代理机构：</w:t>
      </w:r>
      <w:r>
        <w:rPr>
          <w:rFonts w:hint="eastAsia" w:ascii="仿宋" w:hAnsi="仿宋" w:eastAsia="仿宋"/>
          <w:b/>
          <w:bCs/>
          <w:color w:val="auto"/>
          <w:sz w:val="30"/>
          <w:szCs w:val="30"/>
          <w:highlight w:val="none"/>
          <w:lang w:eastAsia="zh-CN"/>
        </w:rPr>
        <w:t>广西科文招标有限公司</w:t>
      </w:r>
    </w:p>
    <w:p>
      <w:pPr>
        <w:pStyle w:val="15"/>
        <w:snapToGrid w:val="0"/>
        <w:spacing w:line="360" w:lineRule="auto"/>
        <w:jc w:val="center"/>
        <w:rPr>
          <w:rFonts w:ascii="仿宋" w:hAnsi="仿宋" w:eastAsia="仿宋"/>
          <w:color w:val="auto"/>
          <w:szCs w:val="20"/>
          <w:highlight w:val="none"/>
        </w:rPr>
      </w:pPr>
      <w:r>
        <w:rPr>
          <w:rFonts w:hint="eastAsia" w:ascii="仿宋" w:hAnsi="仿宋" w:eastAsia="仿宋"/>
          <w:b/>
          <w:bCs/>
          <w:color w:val="auto"/>
          <w:sz w:val="30"/>
          <w:szCs w:val="30"/>
          <w:highlight w:val="none"/>
        </w:rPr>
        <w:t>2024年</w:t>
      </w:r>
      <w:r>
        <w:rPr>
          <w:rFonts w:hint="eastAsia" w:ascii="仿宋" w:hAnsi="仿宋" w:eastAsia="仿宋"/>
          <w:b/>
          <w:bCs/>
          <w:color w:val="auto"/>
          <w:sz w:val="30"/>
          <w:szCs w:val="30"/>
          <w:highlight w:val="none"/>
          <w:lang w:val="en-US" w:eastAsia="zh-CN"/>
        </w:rPr>
        <w:t>4</w:t>
      </w:r>
      <w:r>
        <w:rPr>
          <w:rFonts w:hint="eastAsia" w:ascii="仿宋" w:hAnsi="仿宋" w:eastAsia="仿宋"/>
          <w:b/>
          <w:bCs/>
          <w:color w:val="auto"/>
          <w:sz w:val="30"/>
          <w:szCs w:val="30"/>
          <w:highlight w:val="none"/>
        </w:rPr>
        <w:t>月</w:t>
      </w:r>
    </w:p>
    <w:p>
      <w:pPr>
        <w:pStyle w:val="10"/>
        <w:jc w:val="center"/>
        <w:rPr>
          <w:rFonts w:ascii="仿宋" w:hAnsi="仿宋" w:eastAsia="仿宋"/>
          <w:color w:val="auto"/>
          <w:highlight w:val="none"/>
        </w:rPr>
        <w:sectPr>
          <w:footerReference r:id="rId5" w:type="first"/>
          <w:headerReference r:id="rId3" w:type="default"/>
          <w:footerReference r:id="rId4" w:type="even"/>
          <w:pgSz w:w="11906" w:h="16838"/>
          <w:pgMar w:top="907" w:right="851" w:bottom="907" w:left="851" w:header="851" w:footer="567" w:gutter="0"/>
          <w:cols w:space="720" w:num="1"/>
          <w:titlePg/>
          <w:docGrid w:linePitch="312" w:charSpace="0"/>
        </w:sectPr>
      </w:pPr>
    </w:p>
    <w:p>
      <w:pPr>
        <w:pStyle w:val="10"/>
        <w:jc w:val="center"/>
        <w:rPr>
          <w:rFonts w:ascii="仿宋" w:hAnsi="仿宋" w:eastAsia="仿宋"/>
          <w:color w:val="auto"/>
          <w:highlight w:val="none"/>
        </w:rPr>
      </w:pPr>
    </w:p>
    <w:p>
      <w:pPr>
        <w:pStyle w:val="15"/>
        <w:spacing w:before="120" w:after="120" w:line="360" w:lineRule="auto"/>
        <w:jc w:val="center"/>
        <w:rPr>
          <w:rFonts w:ascii="仿宋" w:hAnsi="仿宋" w:eastAsia="仿宋"/>
          <w:color w:val="auto"/>
          <w:highlight w:val="none"/>
        </w:rPr>
      </w:pPr>
    </w:p>
    <w:p>
      <w:pPr>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  录</w:t>
      </w:r>
    </w:p>
    <w:p>
      <w:pPr>
        <w:spacing w:line="48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第一章  招标公告</w:t>
      </w:r>
      <w:r>
        <w:rPr>
          <w:rFonts w:hint="eastAsia" w:ascii="仿宋" w:hAnsi="仿宋" w:eastAsia="仿宋"/>
          <w:color w:val="auto"/>
          <w:sz w:val="28"/>
          <w:szCs w:val="28"/>
          <w:highlight w:val="none"/>
        </w:rPr>
        <w:tab/>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rPr>
        <w:t>2</w:t>
      </w:r>
    </w:p>
    <w:p>
      <w:pPr>
        <w:spacing w:line="48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第二章  采购需求</w:t>
      </w:r>
      <w:r>
        <w:rPr>
          <w:rFonts w:hint="eastAsia" w:ascii="仿宋" w:hAnsi="仿宋" w:eastAsia="仿宋"/>
          <w:color w:val="auto"/>
          <w:sz w:val="28"/>
          <w:szCs w:val="28"/>
          <w:highlight w:val="none"/>
        </w:rPr>
        <w:tab/>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lang w:val="en-US" w:eastAsia="zh-CN"/>
        </w:rPr>
        <w:t>6</w:t>
      </w:r>
    </w:p>
    <w:p>
      <w:pPr>
        <w:spacing w:line="48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第三章  投标人须知</w:t>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9</w:t>
      </w:r>
    </w:p>
    <w:p>
      <w:pPr>
        <w:spacing w:line="48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第四章  评标方法及评标标准</w:t>
      </w:r>
      <w:r>
        <w:rPr>
          <w:rFonts w:hint="eastAsia" w:ascii="仿宋" w:hAnsi="仿宋" w:eastAsia="仿宋"/>
          <w:color w:val="auto"/>
          <w:sz w:val="28"/>
          <w:szCs w:val="28"/>
          <w:highlight w:val="none"/>
        </w:rPr>
        <w:tab/>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9</w:t>
      </w:r>
    </w:p>
    <w:p>
      <w:pPr>
        <w:spacing w:line="48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第五章  拟签订的合同文本</w:t>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val="en-US" w:eastAsia="zh-CN"/>
        </w:rPr>
        <w:t>6</w:t>
      </w:r>
    </w:p>
    <w:p>
      <w:pPr>
        <w:spacing w:line="48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第六章　投标文件格式</w:t>
      </w:r>
      <w:r>
        <w:rPr>
          <w:rFonts w:hint="eastAsia" w:ascii="仿宋" w:hAnsi="仿宋" w:eastAsia="仿宋"/>
          <w:color w:val="auto"/>
          <w:sz w:val="28"/>
          <w:szCs w:val="28"/>
          <w:highlight w:val="none"/>
        </w:rPr>
        <w:tab/>
      </w:r>
      <w:r>
        <w:rPr>
          <w:rFonts w:hint="eastAsia" w:ascii="仿宋" w:hAnsi="仿宋" w:eastAsia="仿宋"/>
          <w:b w:val="0"/>
          <w:bCs w:val="0"/>
          <w:color w:val="auto"/>
          <w:sz w:val="15"/>
          <w:szCs w:val="15"/>
          <w:highlight w:val="none"/>
          <w:lang w:val="en-US" w:eastAsia="zh-CN"/>
        </w:rPr>
        <w:t>·········································</w:t>
      </w:r>
      <w:r>
        <w:rPr>
          <w:rFonts w:hint="eastAsia"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2</w:t>
      </w:r>
    </w:p>
    <w:p>
      <w:pPr>
        <w:spacing w:before="120" w:beforeLines="50" w:line="480" w:lineRule="exact"/>
        <w:rPr>
          <w:rFonts w:ascii="仿宋" w:hAnsi="仿宋" w:eastAsia="仿宋"/>
          <w:color w:val="auto"/>
          <w:sz w:val="30"/>
          <w:highlight w:val="none"/>
        </w:rPr>
      </w:pPr>
    </w:p>
    <w:p>
      <w:pPr>
        <w:pStyle w:val="10"/>
        <w:rPr>
          <w:rFonts w:ascii="仿宋" w:hAnsi="仿宋" w:eastAsia="仿宋" w:cs="宋体"/>
          <w:b/>
          <w:bCs/>
          <w:color w:val="auto"/>
          <w:highlight w:val="none"/>
        </w:rPr>
      </w:pPr>
      <w:bookmarkStart w:id="0" w:name="_Toc254970630"/>
      <w:bookmarkStart w:id="1" w:name="_Toc254970489"/>
    </w:p>
    <w:p>
      <w:pPr>
        <w:pStyle w:val="4"/>
        <w:keepNext w:val="0"/>
        <w:keepLines w:val="0"/>
        <w:tabs>
          <w:tab w:val="left" w:pos="0"/>
          <w:tab w:val="left" w:pos="3165"/>
          <w:tab w:val="center" w:pos="4153"/>
        </w:tabs>
        <w:autoSpaceDE w:val="0"/>
        <w:autoSpaceDN w:val="0"/>
        <w:adjustRightInd w:val="0"/>
        <w:spacing w:before="0" w:after="0" w:line="500" w:lineRule="exact"/>
        <w:jc w:val="center"/>
        <w:rPr>
          <w:rFonts w:ascii="仿宋" w:hAnsi="仿宋" w:eastAsia="仿宋"/>
          <w:color w:val="auto"/>
          <w:highlight w:val="none"/>
        </w:rPr>
      </w:pPr>
      <w:r>
        <w:rPr>
          <w:rFonts w:ascii="仿宋" w:hAnsi="仿宋" w:eastAsia="仿宋" w:cs="宋体"/>
          <w:b w:val="0"/>
          <w:bCs w:val="0"/>
          <w:color w:val="auto"/>
          <w:highlight w:val="none"/>
        </w:rPr>
        <w:br w:type="page"/>
      </w:r>
      <w:bookmarkStart w:id="2" w:name="_Toc74320800"/>
      <w:r>
        <w:rPr>
          <w:rFonts w:hint="eastAsia" w:ascii="仿宋" w:hAnsi="仿宋" w:eastAsia="仿宋"/>
          <w:color w:val="auto"/>
          <w:highlight w:val="none"/>
        </w:rPr>
        <w:t>第一章</w:t>
      </w:r>
      <w:bookmarkEnd w:id="0"/>
      <w:bookmarkEnd w:id="1"/>
      <w:bookmarkStart w:id="3" w:name="_Toc35393789"/>
      <w:bookmarkStart w:id="4" w:name="_Toc28359001"/>
      <w:r>
        <w:rPr>
          <w:rFonts w:hint="eastAsia" w:ascii="仿宋" w:hAnsi="仿宋" w:eastAsia="仿宋"/>
          <w:color w:val="auto"/>
          <w:highlight w:val="none"/>
        </w:rPr>
        <w:t xml:space="preserve"> 招标公告</w:t>
      </w:r>
      <w:bookmarkEnd w:id="2"/>
      <w:bookmarkEnd w:id="3"/>
      <w:bookmarkEnd w:id="4"/>
    </w:p>
    <w:p>
      <w:pPr>
        <w:pStyle w:val="4"/>
        <w:keepNext w:val="0"/>
        <w:keepLines w:val="0"/>
        <w:tabs>
          <w:tab w:val="left" w:pos="0"/>
          <w:tab w:val="left" w:pos="3165"/>
          <w:tab w:val="center" w:pos="4153"/>
        </w:tabs>
        <w:autoSpaceDE w:val="0"/>
        <w:autoSpaceDN w:val="0"/>
        <w:adjustRightInd w:val="0"/>
        <w:spacing w:before="120" w:beforeLines="50" w:after="0" w:line="500" w:lineRule="exact"/>
        <w:jc w:val="center"/>
        <w:rPr>
          <w:rFonts w:hint="eastAsia" w:ascii="仿宋" w:hAnsi="仿宋" w:eastAsia="仿宋"/>
          <w:bCs w:val="0"/>
          <w:color w:val="auto"/>
          <w:kern w:val="2"/>
          <w:sz w:val="30"/>
          <w:szCs w:val="30"/>
          <w:highlight w:val="none"/>
        </w:rPr>
      </w:pPr>
      <w:r>
        <w:rPr>
          <w:rFonts w:hint="eastAsia" w:ascii="仿宋" w:hAnsi="仿宋" w:eastAsia="仿宋"/>
          <w:bCs w:val="0"/>
          <w:color w:val="auto"/>
          <w:kern w:val="2"/>
          <w:sz w:val="30"/>
          <w:szCs w:val="30"/>
          <w:highlight w:val="none"/>
        </w:rPr>
        <w:t>化生学院一流学科建设设备采购（</w:t>
      </w:r>
      <w:r>
        <w:rPr>
          <w:rFonts w:hint="eastAsia" w:ascii="仿宋" w:hAnsi="仿宋" w:eastAsia="仿宋"/>
          <w:bCs w:val="0"/>
          <w:color w:val="auto"/>
          <w:kern w:val="2"/>
          <w:sz w:val="30"/>
          <w:szCs w:val="30"/>
          <w:highlight w:val="none"/>
          <w:lang w:eastAsia="zh-CN"/>
        </w:rPr>
        <w:t>GXZC2024-G1-002928-KWZB</w:t>
      </w:r>
      <w:r>
        <w:rPr>
          <w:rFonts w:hint="eastAsia" w:ascii="仿宋" w:hAnsi="仿宋" w:eastAsia="仿宋"/>
          <w:bCs w:val="0"/>
          <w:color w:val="auto"/>
          <w:kern w:val="2"/>
          <w:sz w:val="30"/>
          <w:szCs w:val="30"/>
          <w:highlight w:val="none"/>
        </w:rPr>
        <w:t>）招标公告</w:t>
      </w:r>
    </w:p>
    <w:p>
      <w:pPr>
        <w:rPr>
          <w:color w:val="auto"/>
          <w:highlight w:val="none"/>
        </w:rPr>
      </w:pPr>
    </w:p>
    <w:p>
      <w:pPr>
        <w:pBdr>
          <w:top w:val="single" w:color="auto" w:sz="4" w:space="1"/>
          <w:left w:val="single" w:color="auto" w:sz="4" w:space="4"/>
          <w:bottom w:val="single" w:color="auto" w:sz="4" w:space="1"/>
          <w:right w:val="single" w:color="auto" w:sz="4" w:space="4"/>
        </w:pBdr>
        <w:spacing w:line="360" w:lineRule="auto"/>
        <w:rPr>
          <w:rFonts w:ascii="仿宋" w:hAnsi="仿宋" w:eastAsia="仿宋"/>
          <w:color w:val="auto"/>
          <w:sz w:val="24"/>
          <w:highlight w:val="none"/>
        </w:rPr>
      </w:pPr>
      <w:r>
        <w:rPr>
          <w:rFonts w:hint="eastAsia" w:ascii="仿宋" w:hAnsi="仿宋" w:eastAsia="仿宋"/>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化生学院一流学科建设设备采购项目的潜在投标人应在</w:t>
      </w:r>
      <w:r>
        <w:rPr>
          <w:rFonts w:hint="eastAsia" w:ascii="仿宋" w:hAnsi="仿宋" w:eastAsia="仿宋"/>
          <w:color w:val="auto"/>
          <w:sz w:val="24"/>
          <w:highlight w:val="none"/>
        </w:rPr>
        <w:fldChar w:fldCharType="begin"/>
      </w:r>
      <w:r>
        <w:rPr>
          <w:rFonts w:hint="eastAsia" w:ascii="仿宋" w:hAnsi="仿宋" w:eastAsia="仿宋"/>
          <w:color w:val="auto"/>
          <w:sz w:val="24"/>
          <w:highlight w:val="none"/>
        </w:rPr>
        <w:instrText xml:space="preserve"> HYPERLINK "https://www.zcygov.cn/）获取（下载）招标文件，并于2022年11月" </w:instrText>
      </w:r>
      <w:r>
        <w:rPr>
          <w:rFonts w:hint="eastAsia" w:ascii="仿宋" w:hAnsi="仿宋" w:eastAsia="仿宋"/>
          <w:color w:val="auto"/>
          <w:sz w:val="24"/>
          <w:highlight w:val="none"/>
        </w:rPr>
        <w:fldChar w:fldCharType="separate"/>
      </w:r>
      <w:r>
        <w:rPr>
          <w:rFonts w:hint="eastAsia" w:ascii="仿宋" w:hAnsi="仿宋" w:eastAsia="仿宋"/>
          <w:color w:val="auto"/>
          <w:sz w:val="24"/>
          <w:highlight w:val="none"/>
        </w:rPr>
        <w:t>广西政府采购云平台获取（下载）招标文件，并于2024年</w:t>
      </w:r>
      <w:r>
        <w:rPr>
          <w:rFonts w:hint="eastAsia" w:ascii="仿宋" w:hAnsi="仿宋" w:eastAsia="仿宋"/>
          <w:color w:val="auto"/>
          <w:sz w:val="24"/>
          <w:highlight w:val="none"/>
          <w:lang w:eastAsia="zh-CN"/>
        </w:rPr>
        <w:t>5月16日</w:t>
      </w:r>
      <w:r>
        <w:rPr>
          <w:rFonts w:hint="eastAsia" w:ascii="仿宋" w:hAnsi="仿宋" w:eastAsia="仿宋"/>
          <w:color w:val="auto"/>
          <w:sz w:val="24"/>
          <w:highlight w:val="none"/>
        </w:rPr>
        <w:fldChar w:fldCharType="end"/>
      </w:r>
      <w:r>
        <w:rPr>
          <w:rFonts w:ascii="仿宋" w:hAnsi="仿宋" w:eastAsia="仿宋"/>
          <w:color w:val="auto"/>
          <w:sz w:val="24"/>
          <w:highlight w:val="none"/>
        </w:rPr>
        <w:t>9</w:t>
      </w:r>
      <w:r>
        <w:rPr>
          <w:rFonts w:hint="eastAsia" w:ascii="仿宋" w:hAnsi="仿宋" w:eastAsia="仿宋"/>
          <w:color w:val="auto"/>
          <w:sz w:val="24"/>
          <w:highlight w:val="none"/>
        </w:rPr>
        <w:t>：</w:t>
      </w:r>
      <w:r>
        <w:rPr>
          <w:rFonts w:ascii="仿宋" w:hAnsi="仿宋" w:eastAsia="仿宋"/>
          <w:color w:val="auto"/>
          <w:sz w:val="24"/>
          <w:highlight w:val="none"/>
        </w:rPr>
        <w:t>30</w:t>
      </w:r>
      <w:r>
        <w:rPr>
          <w:rFonts w:hint="eastAsia" w:ascii="仿宋" w:hAnsi="仿宋" w:eastAsia="仿宋"/>
          <w:color w:val="auto"/>
          <w:sz w:val="24"/>
          <w:highlight w:val="none"/>
        </w:rPr>
        <w:t>（北京时间）前递交投标</w:t>
      </w:r>
      <w:r>
        <w:rPr>
          <w:rFonts w:ascii="仿宋" w:hAnsi="仿宋" w:eastAsia="仿宋"/>
          <w:color w:val="auto"/>
          <w:sz w:val="24"/>
          <w:highlight w:val="none"/>
        </w:rPr>
        <w:t>文件</w:t>
      </w:r>
      <w:r>
        <w:rPr>
          <w:rFonts w:hint="eastAsia" w:ascii="仿宋" w:hAnsi="仿宋" w:eastAsia="仿宋"/>
          <w:color w:val="auto"/>
          <w:sz w:val="24"/>
          <w:highlight w:val="none"/>
        </w:rPr>
        <w:t>。</w:t>
      </w:r>
    </w:p>
    <w:p>
      <w:pPr>
        <w:spacing w:line="360" w:lineRule="auto"/>
        <w:rPr>
          <w:rFonts w:ascii="仿宋" w:hAnsi="仿宋" w:eastAsia="仿宋"/>
          <w:b/>
          <w:bCs/>
          <w:color w:val="auto"/>
          <w:sz w:val="24"/>
          <w:highlight w:val="none"/>
        </w:rPr>
      </w:pPr>
      <w:bookmarkStart w:id="5" w:name="_Toc28359079"/>
      <w:bookmarkStart w:id="6" w:name="_Toc35393790"/>
      <w:bookmarkStart w:id="7" w:name="_Toc28359002"/>
      <w:bookmarkStart w:id="8" w:name="_Toc35393621"/>
      <w:bookmarkStart w:id="9" w:name="_Hlk24379207"/>
      <w:r>
        <w:rPr>
          <w:rFonts w:hint="eastAsia" w:ascii="仿宋" w:hAnsi="仿宋" w:eastAsia="仿宋"/>
          <w:b/>
          <w:bCs/>
          <w:color w:val="auto"/>
          <w:sz w:val="24"/>
          <w:highlight w:val="none"/>
        </w:rPr>
        <w:t>一、项目基本情况</w:t>
      </w:r>
      <w:bookmarkEnd w:id="5"/>
      <w:bookmarkEnd w:id="6"/>
      <w:bookmarkEnd w:id="7"/>
      <w:bookmarkEnd w:id="8"/>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项目编号：</w:t>
      </w:r>
      <w:r>
        <w:rPr>
          <w:rFonts w:hint="eastAsia" w:ascii="仿宋" w:hAnsi="仿宋" w:eastAsia="仿宋"/>
          <w:color w:val="auto"/>
          <w:sz w:val="24"/>
          <w:highlight w:val="none"/>
          <w:lang w:eastAsia="zh-CN"/>
        </w:rPr>
        <w:t>GXZC2024-G1-002928-KWZB</w:t>
      </w:r>
      <w:r>
        <w:rPr>
          <w:rFonts w:hint="eastAsia" w:ascii="仿宋" w:hAnsi="仿宋" w:eastAsia="仿宋"/>
          <w:color w:val="auto"/>
          <w:sz w:val="24"/>
          <w:highlight w:val="none"/>
        </w:rPr>
        <w:t>（采购计划编号：广西政采[2024]2529号）</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项目名称：</w:t>
      </w:r>
      <w:r>
        <w:rPr>
          <w:rFonts w:hint="eastAsia" w:ascii="仿宋" w:hAnsi="仿宋" w:eastAsia="仿宋" w:cs="Arial"/>
          <w:bCs/>
          <w:color w:val="auto"/>
          <w:sz w:val="24"/>
          <w:highlight w:val="none"/>
        </w:rPr>
        <w:t>化生学院一流学科建设设备采购</w:t>
      </w:r>
    </w:p>
    <w:bookmarkEnd w:id="9"/>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预算金额：608万元。其中：A分标：325万元；B分标：245万元；C分标：38万元</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采购需求：</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简要规格</w:t>
      </w:r>
      <w:r>
        <w:rPr>
          <w:rFonts w:ascii="仿宋" w:hAnsi="仿宋" w:eastAsia="仿宋"/>
          <w:color w:val="auto"/>
          <w:sz w:val="24"/>
          <w:highlight w:val="none"/>
        </w:rPr>
        <w:t>描述或项目基本概况介绍、用途：</w:t>
      </w:r>
    </w:p>
    <w:tbl>
      <w:tblPr>
        <w:tblStyle w:val="27"/>
        <w:tblW w:w="93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735"/>
        <w:gridCol w:w="2995"/>
        <w:gridCol w:w="1200"/>
        <w:gridCol w:w="1114"/>
        <w:gridCol w:w="2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jc w:val="center"/>
        </w:trPr>
        <w:tc>
          <w:tcPr>
            <w:tcW w:w="770" w:type="dxa"/>
            <w:vAlign w:val="center"/>
          </w:tcPr>
          <w:p>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分标</w:t>
            </w:r>
          </w:p>
        </w:tc>
        <w:tc>
          <w:tcPr>
            <w:tcW w:w="735" w:type="dxa"/>
            <w:vAlign w:val="center"/>
          </w:tcPr>
          <w:p>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项号</w:t>
            </w:r>
          </w:p>
        </w:tc>
        <w:tc>
          <w:tcPr>
            <w:tcW w:w="2995" w:type="dxa"/>
            <w:vAlign w:val="center"/>
          </w:tcPr>
          <w:p>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标的名称</w:t>
            </w:r>
          </w:p>
        </w:tc>
        <w:tc>
          <w:tcPr>
            <w:tcW w:w="1200" w:type="dxa"/>
            <w:vAlign w:val="center"/>
          </w:tcPr>
          <w:p>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1114" w:type="dxa"/>
            <w:vAlign w:val="center"/>
          </w:tcPr>
          <w:p>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c>
          <w:tcPr>
            <w:tcW w:w="2501" w:type="dxa"/>
            <w:tcBorders>
              <w:left w:val="single" w:color="auto" w:sz="4" w:space="0"/>
            </w:tcBorders>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770" w:type="dxa"/>
            <w:vMerge w:val="restart"/>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A</w:t>
            </w:r>
          </w:p>
        </w:tc>
        <w:tc>
          <w:tcPr>
            <w:tcW w:w="73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99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拉曼光谱仪</w:t>
            </w:r>
          </w:p>
        </w:tc>
        <w:tc>
          <w:tcPr>
            <w:tcW w:w="120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套</w:t>
            </w:r>
          </w:p>
        </w:tc>
        <w:tc>
          <w:tcPr>
            <w:tcW w:w="1114"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01" w:type="dxa"/>
            <w:vMerge w:val="restart"/>
            <w:tcBorders>
              <w:left w:val="single" w:color="auto" w:sz="4" w:space="0"/>
            </w:tcBorders>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化生学院一流学科建设设备，具体详见招标文件。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770" w:type="dxa"/>
            <w:vMerge w:val="continue"/>
            <w:vAlign w:val="center"/>
          </w:tcPr>
          <w:p>
            <w:pPr>
              <w:spacing w:line="360" w:lineRule="auto"/>
              <w:jc w:val="center"/>
              <w:rPr>
                <w:rFonts w:ascii="仿宋" w:hAnsi="仿宋" w:eastAsia="仿宋" w:cs="仿宋"/>
                <w:bCs/>
                <w:color w:val="auto"/>
                <w:sz w:val="24"/>
                <w:highlight w:val="none"/>
              </w:rPr>
            </w:pPr>
          </w:p>
        </w:tc>
        <w:tc>
          <w:tcPr>
            <w:tcW w:w="73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299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全自动高性能液相色谱仪</w:t>
            </w:r>
          </w:p>
        </w:tc>
        <w:tc>
          <w:tcPr>
            <w:tcW w:w="120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套</w:t>
            </w:r>
          </w:p>
        </w:tc>
        <w:tc>
          <w:tcPr>
            <w:tcW w:w="1114"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01" w:type="dxa"/>
            <w:vMerge w:val="continue"/>
            <w:tcBorders>
              <w:left w:val="single" w:color="auto" w:sz="4" w:space="0"/>
            </w:tcBorders>
            <w:vAlign w:val="center"/>
          </w:tcPr>
          <w:p>
            <w:pPr>
              <w:spacing w:line="360" w:lineRule="auto"/>
              <w:jc w:val="center"/>
              <w:rPr>
                <w:rFonts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77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B</w:t>
            </w:r>
          </w:p>
        </w:tc>
        <w:tc>
          <w:tcPr>
            <w:tcW w:w="73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99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超分辨荧光显微镜</w:t>
            </w:r>
          </w:p>
        </w:tc>
        <w:tc>
          <w:tcPr>
            <w:tcW w:w="120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套</w:t>
            </w:r>
          </w:p>
        </w:tc>
        <w:tc>
          <w:tcPr>
            <w:tcW w:w="1114"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1 </w:t>
            </w:r>
          </w:p>
        </w:tc>
        <w:tc>
          <w:tcPr>
            <w:tcW w:w="2501" w:type="dxa"/>
            <w:vMerge w:val="continue"/>
            <w:tcBorders>
              <w:left w:val="single" w:color="auto" w:sz="4" w:space="0"/>
            </w:tcBorders>
            <w:vAlign w:val="center"/>
          </w:tcPr>
          <w:p>
            <w:pPr>
              <w:spacing w:line="360" w:lineRule="auto"/>
              <w:jc w:val="center"/>
              <w:rPr>
                <w:rFonts w:ascii="仿宋" w:hAnsi="仿宋" w:eastAsia="仿宋" w:cs="仿宋"/>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77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C</w:t>
            </w:r>
          </w:p>
        </w:tc>
        <w:tc>
          <w:tcPr>
            <w:tcW w:w="73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995"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气相色谱质谱联用仪</w:t>
            </w:r>
          </w:p>
        </w:tc>
        <w:tc>
          <w:tcPr>
            <w:tcW w:w="1200"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套</w:t>
            </w:r>
          </w:p>
        </w:tc>
        <w:tc>
          <w:tcPr>
            <w:tcW w:w="1114" w:type="dxa"/>
            <w:vAlign w:val="center"/>
          </w:tcPr>
          <w:p>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01" w:type="dxa"/>
            <w:vMerge w:val="continue"/>
            <w:tcBorders>
              <w:left w:val="single" w:color="auto" w:sz="4" w:space="0"/>
            </w:tcBorders>
            <w:vAlign w:val="center"/>
          </w:tcPr>
          <w:p>
            <w:pPr>
              <w:spacing w:line="360" w:lineRule="auto"/>
              <w:jc w:val="center"/>
              <w:rPr>
                <w:rFonts w:ascii="仿宋" w:hAnsi="仿宋" w:eastAsia="仿宋" w:cs="仿宋"/>
                <w:bCs/>
                <w:color w:val="auto"/>
                <w:sz w:val="24"/>
                <w:highlight w:val="none"/>
              </w:rPr>
            </w:pPr>
          </w:p>
        </w:tc>
      </w:tr>
    </w:tbl>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合同履行期限：</w:t>
      </w:r>
      <w:r>
        <w:rPr>
          <w:rFonts w:hint="eastAsia" w:ascii="仿宋" w:hAnsi="仿宋" w:eastAsia="仿宋" w:cs="仿宋"/>
          <w:color w:val="auto"/>
          <w:sz w:val="24"/>
          <w:highlight w:val="none"/>
        </w:rPr>
        <w:t>自签订合同之日起</w:t>
      </w:r>
      <w:r>
        <w:rPr>
          <w:rFonts w:hint="eastAsia" w:ascii="仿宋" w:hAnsi="仿宋" w:eastAsia="仿宋" w:cs="仿宋"/>
          <w:color w:val="auto"/>
          <w:sz w:val="24"/>
          <w:highlight w:val="none"/>
          <w:lang w:val="en-US" w:eastAsia="zh-CN"/>
        </w:rPr>
        <w:t>9个月</w:t>
      </w:r>
      <w:r>
        <w:rPr>
          <w:rFonts w:hint="eastAsia" w:ascii="仿宋" w:hAnsi="仿宋" w:eastAsia="仿宋" w:cs="仿宋"/>
          <w:color w:val="auto"/>
          <w:sz w:val="24"/>
          <w:highlight w:val="none"/>
        </w:rPr>
        <w:t>内到货并全部安装调试合格完毕</w:t>
      </w:r>
      <w:r>
        <w:rPr>
          <w:rFonts w:hint="eastAsia" w:ascii="仿宋" w:hAnsi="仿宋" w:eastAsia="仿宋"/>
          <w:color w:val="auto"/>
          <w:sz w:val="24"/>
          <w:highlight w:val="none"/>
        </w:rPr>
        <w:t>。具体详见招标文件。</w:t>
      </w:r>
    </w:p>
    <w:p>
      <w:pPr>
        <w:spacing w:line="360" w:lineRule="auto"/>
        <w:ind w:firstLine="482" w:firstLineChars="200"/>
        <w:rPr>
          <w:rFonts w:ascii="仿宋" w:hAnsi="仿宋" w:eastAsia="仿宋"/>
          <w:color w:val="auto"/>
          <w:sz w:val="24"/>
          <w:highlight w:val="none"/>
        </w:rPr>
      </w:pPr>
      <w:r>
        <w:rPr>
          <w:rFonts w:hint="eastAsia" w:ascii="仿宋" w:hAnsi="仿宋" w:eastAsia="仿宋"/>
          <w:b/>
          <w:bCs/>
          <w:color w:val="auto"/>
          <w:sz w:val="24"/>
          <w:highlight w:val="none"/>
        </w:rPr>
        <w:t>本项目不接受联合体投标。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bookmarkStart w:id="10" w:name="_Toc35393791"/>
      <w:bookmarkStart w:id="11" w:name="_Toc28359003"/>
      <w:bookmarkStart w:id="12" w:name="_Toc35393622"/>
      <w:bookmarkStart w:id="13" w:name="_Toc28359080"/>
      <w:r>
        <w:rPr>
          <w:rFonts w:hint="eastAsia" w:ascii="仿宋" w:hAnsi="仿宋" w:eastAsia="仿宋" w:cs="仿宋"/>
          <w:color w:val="auto"/>
          <w:sz w:val="24"/>
          <w:highlight w:val="none"/>
        </w:rPr>
        <w:t>本项目共分为A、B、C三个分标，投标人可以参与任意一个或多个分标的投标，但最多只能成为其中一个分标的中标人。处理原则如下：若某投标人同时在两个或以上分标综合得分排名第一时，则按A分标→B分标→C分标的先后顺序推荐中标候选人，该投标人一旦被推荐为某一分标的第一中标候选人，则在其综合得分排名第一的后续分标不再推荐为中标侯选人，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p>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二、申请人的资格要求：</w:t>
      </w:r>
      <w:bookmarkEnd w:id="10"/>
      <w:bookmarkEnd w:id="11"/>
      <w:bookmarkEnd w:id="12"/>
      <w:bookmarkEnd w:id="13"/>
    </w:p>
    <w:p>
      <w:pPr>
        <w:spacing w:line="360" w:lineRule="auto"/>
        <w:ind w:firstLine="480" w:firstLineChars="200"/>
        <w:rPr>
          <w:rFonts w:hint="eastAsia" w:ascii="仿宋" w:hAnsi="仿宋" w:eastAsia="仿宋"/>
          <w:color w:val="auto"/>
          <w:sz w:val="24"/>
          <w:highlight w:val="none"/>
          <w:lang w:eastAsia="zh-CN"/>
        </w:rPr>
      </w:pPr>
      <w:bookmarkStart w:id="14" w:name="_Hlk51746371"/>
      <w:bookmarkStart w:id="15" w:name="_Toc28359004"/>
      <w:bookmarkStart w:id="16" w:name="_Toc28359081"/>
      <w:r>
        <w:rPr>
          <w:rFonts w:hint="eastAsia" w:ascii="仿宋" w:hAnsi="仿宋" w:eastAsia="仿宋"/>
          <w:color w:val="auto"/>
          <w:sz w:val="24"/>
          <w:highlight w:val="none"/>
        </w:rPr>
        <w:t>1、满足《中华人民共和国政府采购法》第二十二条规定</w:t>
      </w:r>
      <w:r>
        <w:rPr>
          <w:rFonts w:hint="eastAsia" w:ascii="仿宋" w:hAnsi="仿宋" w:eastAsia="仿宋"/>
          <w:color w:val="auto"/>
          <w:sz w:val="24"/>
          <w:highlight w:val="none"/>
          <w:lang w:val="en-US" w:eastAsia="zh-CN"/>
        </w:rPr>
        <w:t>。</w:t>
      </w:r>
    </w:p>
    <w:p>
      <w:pPr>
        <w:spacing w:line="360" w:lineRule="auto"/>
        <w:ind w:firstLine="480" w:firstLineChars="200"/>
        <w:rPr>
          <w:rFonts w:hint="eastAsia" w:ascii="仿宋" w:hAnsi="仿宋" w:eastAsia="仿宋"/>
          <w:color w:val="auto"/>
          <w:sz w:val="24"/>
          <w:highlight w:val="none"/>
          <w:lang w:eastAsia="zh-CN"/>
        </w:rPr>
      </w:pPr>
      <w:r>
        <w:rPr>
          <w:rFonts w:ascii="仿宋" w:hAnsi="仿宋" w:eastAsia="仿宋"/>
          <w:color w:val="auto"/>
          <w:sz w:val="24"/>
          <w:highlight w:val="none"/>
        </w:rPr>
        <w:t>2</w:t>
      </w:r>
      <w:r>
        <w:rPr>
          <w:rFonts w:hint="eastAsia" w:ascii="仿宋" w:hAnsi="仿宋" w:eastAsia="仿宋"/>
          <w:color w:val="auto"/>
          <w:sz w:val="24"/>
          <w:highlight w:val="none"/>
        </w:rPr>
        <w:t>、落实政府采购政策需满足的资格要求：</w:t>
      </w:r>
      <w:r>
        <w:rPr>
          <w:rFonts w:hint="eastAsia" w:ascii="仿宋" w:hAnsi="仿宋" w:eastAsia="仿宋"/>
          <w:color w:val="auto"/>
          <w:sz w:val="24"/>
          <w:highlight w:val="none"/>
          <w:lang w:eastAsia="zh-CN"/>
        </w:rPr>
        <w:t>本项目非专门面向中小企业采购。</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3、本项目的特定资格要求：无。</w:t>
      </w:r>
    </w:p>
    <w:bookmarkEnd w:id="14"/>
    <w:p>
      <w:pPr>
        <w:spacing w:line="360" w:lineRule="auto"/>
        <w:rPr>
          <w:rFonts w:ascii="仿宋" w:hAnsi="仿宋" w:eastAsia="仿宋"/>
          <w:b/>
          <w:bCs/>
          <w:color w:val="auto"/>
          <w:sz w:val="24"/>
          <w:highlight w:val="none"/>
        </w:rPr>
      </w:pPr>
      <w:bookmarkStart w:id="17" w:name="_Toc35393623"/>
      <w:bookmarkStart w:id="18" w:name="_Toc35393792"/>
      <w:r>
        <w:rPr>
          <w:rFonts w:hint="eastAsia" w:ascii="仿宋" w:hAnsi="仿宋" w:eastAsia="仿宋"/>
          <w:b/>
          <w:bCs/>
          <w:color w:val="auto"/>
          <w:sz w:val="24"/>
          <w:highlight w:val="none"/>
        </w:rPr>
        <w:t>三、获取招标文件</w:t>
      </w:r>
      <w:bookmarkEnd w:id="15"/>
      <w:bookmarkEnd w:id="16"/>
      <w:bookmarkEnd w:id="17"/>
      <w:bookmarkEnd w:id="18"/>
    </w:p>
    <w:p>
      <w:pPr>
        <w:spacing w:line="360" w:lineRule="auto"/>
        <w:ind w:firstLine="480" w:firstLineChars="200"/>
        <w:rPr>
          <w:rFonts w:ascii="仿宋" w:hAnsi="仿宋" w:eastAsia="仿宋" w:cs="宋体"/>
          <w:bCs/>
          <w:color w:val="auto"/>
          <w:kern w:val="0"/>
          <w:sz w:val="24"/>
          <w:highlight w:val="none"/>
        </w:rPr>
      </w:pPr>
      <w:r>
        <w:rPr>
          <w:rFonts w:hint="eastAsia" w:ascii="仿宋" w:hAnsi="仿宋" w:eastAsia="仿宋"/>
          <w:color w:val="auto"/>
          <w:sz w:val="24"/>
          <w:highlight w:val="none"/>
        </w:rPr>
        <w:t>时间： 2024年</w:t>
      </w:r>
      <w:r>
        <w:rPr>
          <w:rFonts w:hint="eastAsia" w:ascii="仿宋" w:hAnsi="仿宋" w:eastAsia="仿宋"/>
          <w:color w:val="auto"/>
          <w:sz w:val="24"/>
          <w:highlight w:val="none"/>
          <w:lang w:val="en-US" w:eastAsia="zh-CN"/>
        </w:rPr>
        <w:t>4月25日</w:t>
      </w:r>
      <w:r>
        <w:rPr>
          <w:rFonts w:hint="eastAsia" w:ascii="仿宋" w:hAnsi="仿宋" w:eastAsia="仿宋"/>
          <w:color w:val="auto"/>
          <w:sz w:val="24"/>
          <w:highlight w:val="none"/>
        </w:rPr>
        <w:t>至 2024年</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日，每天上午00:00-12</w:t>
      </w:r>
      <w:r>
        <w:rPr>
          <w:rFonts w:hint="eastAsia" w:ascii="仿宋" w:hAnsi="仿宋" w:eastAsia="仿宋" w:cs="Arial"/>
          <w:color w:val="auto"/>
          <w:sz w:val="24"/>
          <w:highlight w:val="none"/>
        </w:rPr>
        <w:t>:00；下午12:0</w:t>
      </w:r>
      <w:r>
        <w:rPr>
          <w:rFonts w:ascii="仿宋" w:hAnsi="仿宋" w:eastAsia="仿宋" w:cs="Arial"/>
          <w:color w:val="auto"/>
          <w:sz w:val="24"/>
          <w:highlight w:val="none"/>
        </w:rPr>
        <w:t>1</w:t>
      </w:r>
      <w:r>
        <w:rPr>
          <w:rFonts w:hint="eastAsia" w:ascii="仿宋" w:hAnsi="仿宋" w:eastAsia="仿宋" w:cs="Arial"/>
          <w:color w:val="auto"/>
          <w:sz w:val="24"/>
          <w:highlight w:val="none"/>
        </w:rPr>
        <w:t>-23:59（北京时间，</w:t>
      </w:r>
      <w:r>
        <w:rPr>
          <w:rFonts w:ascii="仿宋" w:hAnsi="仿宋" w:eastAsia="仿宋" w:cs="Arial"/>
          <w:color w:val="auto"/>
          <w:sz w:val="24"/>
          <w:highlight w:val="none"/>
        </w:rPr>
        <w:t>法定节假日</w:t>
      </w:r>
      <w:r>
        <w:rPr>
          <w:rFonts w:hint="eastAsia" w:ascii="仿宋" w:hAnsi="仿宋" w:eastAsia="仿宋" w:cs="Arial"/>
          <w:color w:val="auto"/>
          <w:sz w:val="24"/>
          <w:highlight w:val="none"/>
        </w:rPr>
        <w:t>除外）。</w:t>
      </w:r>
    </w:p>
    <w:p>
      <w:pPr>
        <w:spacing w:line="360" w:lineRule="auto"/>
        <w:ind w:firstLine="480" w:firstLineChars="200"/>
        <w:rPr>
          <w:rFonts w:hint="eastAsia" w:ascii="仿宋" w:hAnsi="仿宋" w:eastAsia="仿宋" w:cs="宋体"/>
          <w:bCs/>
          <w:color w:val="auto"/>
          <w:kern w:val="0"/>
          <w:sz w:val="24"/>
          <w:highlight w:val="none"/>
          <w:lang w:eastAsia="zh-CN"/>
        </w:rPr>
      </w:pPr>
      <w:r>
        <w:rPr>
          <w:rFonts w:hint="eastAsia" w:ascii="仿宋" w:hAnsi="仿宋" w:eastAsia="仿宋" w:cs="宋体"/>
          <w:bCs/>
          <w:color w:val="auto"/>
          <w:kern w:val="0"/>
          <w:sz w:val="24"/>
          <w:highlight w:val="none"/>
        </w:rPr>
        <w:t>地点（网址）：广西政府采购云平台https://www.gcy.zfcg.gxzf.gov.cn/</w:t>
      </w:r>
      <w:r>
        <w:rPr>
          <w:rFonts w:hint="eastAsia" w:ascii="仿宋" w:hAnsi="仿宋" w:eastAsia="仿宋" w:cs="宋体"/>
          <w:bCs/>
          <w:color w:val="auto"/>
          <w:kern w:val="0"/>
          <w:sz w:val="24"/>
          <w:highlight w:val="none"/>
          <w:lang w:eastAsia="zh-CN"/>
        </w:rPr>
        <w:t>。</w:t>
      </w:r>
    </w:p>
    <w:p>
      <w:pPr>
        <w:spacing w:line="360" w:lineRule="auto"/>
        <w:ind w:firstLine="480" w:firstLineChars="200"/>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方式：网上下载。供应商应自行登陆广西政府采购云平台https://www.gcy.zfcg.gxzf.gov.cn/下载招标文件（进入“项目采购”应用，在获取采购文件菜单中选择项目，申请获取采购文件</w:t>
      </w:r>
      <w:r>
        <w:rPr>
          <w:rFonts w:hint="eastAsia" w:ascii="仿宋" w:hAnsi="仿宋" w:eastAsia="仿宋" w:cs="宋体"/>
          <w:bCs/>
          <w:color w:val="auto"/>
          <w:kern w:val="0"/>
          <w:sz w:val="24"/>
          <w:highlight w:val="none"/>
          <w:lang w:eastAsia="zh-CN"/>
        </w:rPr>
        <w:t>）</w:t>
      </w:r>
      <w:r>
        <w:rPr>
          <w:rFonts w:hint="eastAsia" w:ascii="仿宋" w:hAnsi="仿宋" w:eastAsia="仿宋" w:cs="宋体"/>
          <w:bCs/>
          <w:color w:val="auto"/>
          <w:kern w:val="0"/>
          <w:sz w:val="24"/>
          <w:highlight w:val="none"/>
        </w:rPr>
        <w:t>。</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bCs/>
          <w:color w:val="auto"/>
          <w:kern w:val="0"/>
          <w:sz w:val="24"/>
          <w:highlight w:val="none"/>
        </w:rPr>
        <w:t>售价：0</w:t>
      </w:r>
    </w:p>
    <w:p>
      <w:pPr>
        <w:spacing w:line="360" w:lineRule="auto"/>
        <w:rPr>
          <w:rFonts w:ascii="仿宋" w:hAnsi="仿宋" w:eastAsia="仿宋"/>
          <w:b/>
          <w:bCs/>
          <w:color w:val="auto"/>
          <w:sz w:val="24"/>
          <w:highlight w:val="none"/>
        </w:rPr>
      </w:pPr>
      <w:bookmarkStart w:id="19" w:name="_Toc28359005"/>
      <w:bookmarkStart w:id="20" w:name="_Toc28359082"/>
      <w:bookmarkStart w:id="21" w:name="_Toc35393793"/>
      <w:bookmarkStart w:id="22" w:name="_Toc35393624"/>
      <w:r>
        <w:rPr>
          <w:rFonts w:hint="eastAsia" w:ascii="仿宋" w:hAnsi="仿宋" w:eastAsia="仿宋"/>
          <w:b/>
          <w:bCs/>
          <w:color w:val="auto"/>
          <w:sz w:val="24"/>
          <w:highlight w:val="none"/>
        </w:rPr>
        <w:t>四、提交投标文件</w:t>
      </w:r>
      <w:bookmarkEnd w:id="19"/>
      <w:bookmarkEnd w:id="20"/>
      <w:r>
        <w:rPr>
          <w:rFonts w:hint="eastAsia" w:ascii="仿宋" w:hAnsi="仿宋" w:eastAsia="仿宋"/>
          <w:b/>
          <w:bCs/>
          <w:color w:val="auto"/>
          <w:sz w:val="24"/>
          <w:highlight w:val="none"/>
        </w:rPr>
        <w:t>截止时间、开标时间和地点</w:t>
      </w:r>
      <w:bookmarkEnd w:id="21"/>
      <w:bookmarkEnd w:id="22"/>
    </w:p>
    <w:p>
      <w:pPr>
        <w:spacing w:line="360" w:lineRule="auto"/>
        <w:ind w:firstLine="480" w:firstLineChars="200"/>
        <w:rPr>
          <w:rFonts w:hint="eastAsia" w:ascii="仿宋" w:hAnsi="仿宋" w:eastAsia="仿宋"/>
          <w:color w:val="auto"/>
          <w:sz w:val="24"/>
          <w:highlight w:val="none"/>
          <w:lang w:eastAsia="zh-CN"/>
        </w:rPr>
      </w:pPr>
      <w:bookmarkStart w:id="23" w:name="_Toc35393794"/>
      <w:bookmarkStart w:id="24" w:name="_Toc35393625"/>
      <w:bookmarkStart w:id="25" w:name="_Toc28359007"/>
      <w:bookmarkStart w:id="26" w:name="_Toc28359084"/>
      <w:r>
        <w:rPr>
          <w:rFonts w:hint="eastAsia" w:ascii="仿宋" w:hAnsi="仿宋" w:eastAsia="仿宋"/>
          <w:color w:val="auto"/>
          <w:sz w:val="24"/>
          <w:highlight w:val="none"/>
        </w:rPr>
        <w:t>1、提交</w:t>
      </w:r>
      <w:r>
        <w:rPr>
          <w:rFonts w:ascii="仿宋" w:hAnsi="仿宋" w:eastAsia="仿宋"/>
          <w:color w:val="auto"/>
          <w:sz w:val="24"/>
          <w:highlight w:val="none"/>
        </w:rPr>
        <w:t>投标文件</w:t>
      </w:r>
      <w:r>
        <w:rPr>
          <w:rFonts w:hint="eastAsia" w:ascii="仿宋" w:hAnsi="仿宋" w:eastAsia="仿宋" w:cs="宋体"/>
          <w:color w:val="auto"/>
          <w:sz w:val="24"/>
          <w:highlight w:val="none"/>
          <w:lang w:bidi="ar"/>
        </w:rPr>
        <w:t>截止时间</w:t>
      </w:r>
      <w:r>
        <w:rPr>
          <w:rFonts w:hint="eastAsia" w:ascii="仿宋" w:hAnsi="仿宋" w:eastAsia="仿宋"/>
          <w:color w:val="auto"/>
          <w:sz w:val="24"/>
          <w:highlight w:val="none"/>
        </w:rPr>
        <w:t>：</w:t>
      </w:r>
      <w:r>
        <w:rPr>
          <w:rFonts w:hint="eastAsia" w:ascii="仿宋" w:hAnsi="仿宋" w:eastAsia="仿宋" w:cs="Arial"/>
          <w:color w:val="auto"/>
          <w:sz w:val="24"/>
          <w:highlight w:val="none"/>
        </w:rPr>
        <w:t xml:space="preserve"> </w:t>
      </w:r>
      <w:r>
        <w:rPr>
          <w:rFonts w:hint="eastAsia" w:ascii="仿宋" w:hAnsi="仿宋" w:eastAsia="仿宋" w:cs="Arial"/>
          <w:color w:val="auto"/>
          <w:sz w:val="24"/>
          <w:highlight w:val="none"/>
          <w:lang w:eastAsia="zh-CN"/>
        </w:rPr>
        <w:t>2024年5月16日</w:t>
      </w:r>
      <w:r>
        <w:rPr>
          <w:rFonts w:hint="eastAsia" w:ascii="仿宋" w:hAnsi="仿宋" w:eastAsia="仿宋" w:cs="Arial"/>
          <w:color w:val="auto"/>
          <w:sz w:val="24"/>
          <w:highlight w:val="none"/>
        </w:rPr>
        <w:t>0</w:t>
      </w:r>
      <w:r>
        <w:rPr>
          <w:rFonts w:ascii="仿宋" w:hAnsi="仿宋" w:eastAsia="仿宋"/>
          <w:color w:val="auto"/>
          <w:sz w:val="24"/>
          <w:highlight w:val="none"/>
        </w:rPr>
        <w:t>9</w:t>
      </w:r>
      <w:r>
        <w:rPr>
          <w:rFonts w:hint="eastAsia" w:ascii="仿宋" w:hAnsi="仿宋" w:eastAsia="仿宋"/>
          <w:color w:val="auto"/>
          <w:sz w:val="24"/>
          <w:highlight w:val="none"/>
        </w:rPr>
        <w:t>：30（北京时间）</w:t>
      </w:r>
      <w:r>
        <w:rPr>
          <w:rFonts w:hint="eastAsia" w:ascii="仿宋" w:hAnsi="仿宋" w:eastAsia="仿宋"/>
          <w:color w:val="auto"/>
          <w:sz w:val="24"/>
          <w:highlight w:val="none"/>
          <w:lang w:eastAsia="zh-CN"/>
        </w:rPr>
        <w:t>。</w:t>
      </w:r>
    </w:p>
    <w:p>
      <w:pPr>
        <w:spacing w:line="360" w:lineRule="auto"/>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2、投标地点（网址）：通过</w:t>
      </w:r>
      <w:r>
        <w:rPr>
          <w:rFonts w:hint="eastAsia" w:ascii="仿宋" w:hAnsi="仿宋" w:eastAsia="仿宋" w:cs="宋体"/>
          <w:bCs/>
          <w:color w:val="auto"/>
          <w:kern w:val="0"/>
          <w:sz w:val="24"/>
          <w:highlight w:val="none"/>
        </w:rPr>
        <w:t>广西政府采购云平台</w:t>
      </w:r>
      <w:r>
        <w:rPr>
          <w:rFonts w:hint="eastAsia" w:ascii="仿宋" w:hAnsi="仿宋" w:eastAsia="仿宋"/>
          <w:color w:val="auto"/>
          <w:sz w:val="24"/>
          <w:highlight w:val="none"/>
        </w:rPr>
        <w:t>在线提交投标文件</w:t>
      </w:r>
      <w:r>
        <w:rPr>
          <w:rFonts w:hint="eastAsia" w:ascii="仿宋" w:hAnsi="仿宋" w:eastAsia="仿宋"/>
          <w:color w:val="auto"/>
          <w:sz w:val="24"/>
          <w:highlight w:val="none"/>
          <w:lang w:eastAsia="zh-CN"/>
        </w:rPr>
        <w:t>。</w:t>
      </w:r>
    </w:p>
    <w:p>
      <w:pPr>
        <w:spacing w:line="360" w:lineRule="auto"/>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 xml:space="preserve">3、开标时间： </w:t>
      </w:r>
      <w:r>
        <w:rPr>
          <w:rFonts w:hint="eastAsia" w:ascii="仿宋" w:hAnsi="仿宋" w:eastAsia="仿宋"/>
          <w:color w:val="auto"/>
          <w:sz w:val="24"/>
          <w:highlight w:val="none"/>
          <w:lang w:eastAsia="zh-CN"/>
        </w:rPr>
        <w:t>2024年5月16日</w:t>
      </w:r>
      <w:r>
        <w:rPr>
          <w:rFonts w:hint="eastAsia" w:ascii="仿宋" w:hAnsi="仿宋" w:eastAsia="仿宋"/>
          <w:color w:val="auto"/>
          <w:sz w:val="24"/>
          <w:highlight w:val="none"/>
        </w:rPr>
        <w:t xml:space="preserve"> 09:30</w:t>
      </w:r>
      <w:r>
        <w:rPr>
          <w:rFonts w:hint="eastAsia" w:ascii="仿宋" w:hAnsi="仿宋" w:eastAsia="仿宋"/>
          <w:color w:val="auto"/>
          <w:sz w:val="24"/>
          <w:highlight w:val="none"/>
          <w:lang w:eastAsia="zh-CN"/>
        </w:rPr>
        <w:t>。</w:t>
      </w:r>
    </w:p>
    <w:p>
      <w:pPr>
        <w:spacing w:line="360" w:lineRule="auto"/>
        <w:ind w:firstLine="480" w:firstLineChars="200"/>
        <w:rPr>
          <w:rFonts w:hint="eastAsia" w:ascii="仿宋" w:hAnsi="仿宋" w:eastAsia="仿宋" w:cs="宋体"/>
          <w:color w:val="auto"/>
          <w:sz w:val="24"/>
          <w:highlight w:val="none"/>
          <w:lang w:eastAsia="zh-CN" w:bidi="ar"/>
        </w:rPr>
      </w:pPr>
      <w:r>
        <w:rPr>
          <w:rFonts w:hint="eastAsia" w:ascii="仿宋" w:hAnsi="仿宋" w:eastAsia="仿宋"/>
          <w:color w:val="auto"/>
          <w:sz w:val="24"/>
          <w:highlight w:val="none"/>
        </w:rPr>
        <w:t>4、开标地点：</w:t>
      </w:r>
      <w:r>
        <w:rPr>
          <w:rFonts w:hint="eastAsia" w:ascii="仿宋" w:hAnsi="仿宋" w:eastAsia="仿宋" w:cs="宋体"/>
          <w:bCs/>
          <w:color w:val="auto"/>
          <w:kern w:val="0"/>
          <w:sz w:val="24"/>
          <w:highlight w:val="none"/>
        </w:rPr>
        <w:t>广西政府采购云平台https://www.gcy.zfcg.gxzf.gov.cn/</w:t>
      </w:r>
      <w:r>
        <w:rPr>
          <w:rFonts w:hint="eastAsia" w:ascii="仿宋" w:hAnsi="仿宋" w:eastAsia="仿宋" w:cs="宋体"/>
          <w:bCs/>
          <w:color w:val="auto"/>
          <w:kern w:val="0"/>
          <w:sz w:val="24"/>
          <w:highlight w:val="none"/>
          <w:lang w:eastAsia="zh-CN"/>
        </w:rPr>
        <w:t>。</w:t>
      </w:r>
    </w:p>
    <w:p>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五、公告期限</w:t>
      </w:r>
      <w:bookmarkEnd w:id="23"/>
      <w:bookmarkEnd w:id="24"/>
      <w:bookmarkEnd w:id="25"/>
      <w:bookmarkEnd w:id="26"/>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自本公告发布之日起5个工作日。</w:t>
      </w:r>
    </w:p>
    <w:p>
      <w:pPr>
        <w:spacing w:line="360" w:lineRule="auto"/>
        <w:rPr>
          <w:rFonts w:ascii="仿宋" w:hAnsi="仿宋" w:eastAsia="仿宋"/>
          <w:b/>
          <w:bCs/>
          <w:color w:val="auto"/>
          <w:sz w:val="24"/>
          <w:highlight w:val="none"/>
        </w:rPr>
      </w:pPr>
      <w:bookmarkStart w:id="27" w:name="_Toc35393795"/>
      <w:bookmarkStart w:id="28" w:name="_Toc35393626"/>
      <w:r>
        <w:rPr>
          <w:rFonts w:hint="eastAsia" w:ascii="仿宋" w:hAnsi="仿宋" w:eastAsia="仿宋"/>
          <w:b/>
          <w:bCs/>
          <w:color w:val="auto"/>
          <w:sz w:val="24"/>
          <w:highlight w:val="none"/>
        </w:rPr>
        <w:t>六、其他补充事宜</w:t>
      </w:r>
      <w:bookmarkEnd w:id="27"/>
      <w:bookmarkEnd w:id="28"/>
    </w:p>
    <w:p>
      <w:pPr>
        <w:spacing w:line="360" w:lineRule="auto"/>
        <w:ind w:firstLine="480" w:firstLineChars="200"/>
        <w:rPr>
          <w:rFonts w:ascii="仿宋" w:hAnsi="仿宋" w:eastAsia="仿宋" w:cs="宋体"/>
          <w:color w:val="auto"/>
          <w:kern w:val="0"/>
          <w:sz w:val="24"/>
          <w:highlight w:val="none"/>
        </w:rPr>
      </w:pPr>
      <w:bookmarkStart w:id="29" w:name="_Hlk37429674"/>
      <w:r>
        <w:rPr>
          <w:rFonts w:hint="eastAsia" w:ascii="仿宋" w:hAnsi="仿宋" w:eastAsia="仿宋" w:cs="宋体"/>
          <w:color w:val="auto"/>
          <w:kern w:val="0"/>
          <w:sz w:val="24"/>
          <w:highlight w:val="none"/>
        </w:rPr>
        <w:t>1、投标保证金（人民币）：本项目</w:t>
      </w:r>
      <w:r>
        <w:rPr>
          <w:rFonts w:ascii="仿宋" w:hAnsi="仿宋" w:eastAsia="仿宋" w:cs="宋体"/>
          <w:color w:val="auto"/>
          <w:kern w:val="0"/>
          <w:sz w:val="24"/>
          <w:highlight w:val="none"/>
        </w:rPr>
        <w:t>无需缴纳投标</w:t>
      </w:r>
      <w:r>
        <w:rPr>
          <w:rFonts w:hint="eastAsia" w:ascii="仿宋" w:hAnsi="仿宋" w:eastAsia="仿宋" w:cs="宋体"/>
          <w:color w:val="auto"/>
          <w:kern w:val="0"/>
          <w:sz w:val="24"/>
          <w:highlight w:val="none"/>
        </w:rPr>
        <w:t>保证</w:t>
      </w:r>
      <w:r>
        <w:rPr>
          <w:rFonts w:ascii="仿宋" w:hAnsi="仿宋" w:eastAsia="仿宋" w:cs="宋体"/>
          <w:color w:val="auto"/>
          <w:kern w:val="0"/>
          <w:sz w:val="24"/>
          <w:highlight w:val="none"/>
        </w:rPr>
        <w:t>金</w:t>
      </w:r>
      <w:r>
        <w:rPr>
          <w:rFonts w:hint="eastAsia" w:ascii="仿宋" w:hAnsi="仿宋" w:eastAsia="仿宋" w:cs="宋体"/>
          <w:color w:val="auto"/>
          <w:kern w:val="0"/>
          <w:sz w:val="24"/>
          <w:highlight w:val="none"/>
        </w:rPr>
        <w:t>。</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4、网上查询地址：中国政府采购网（www.ccgp.gov.cn）、广西政府采购网（zfcg.gxzf.gov.cn）。</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5、本项目需要落实的政府采购政策：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（1）政府采购促进中小企业发展政策。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（2）政府采购支持采用本国产品的政策。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（3）强制采购节能产品；优先采购节能产品、环境标志产品。</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（4）政府采购促进残疾人就业政策。</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（5）政府采购支持监狱企业发展政策。</w:t>
      </w:r>
    </w:p>
    <w:p>
      <w:pPr>
        <w:widowControl/>
        <w:spacing w:line="360" w:lineRule="auto"/>
        <w:ind w:firstLine="480" w:firstLineChars="200"/>
        <w:rPr>
          <w:rFonts w:ascii="仿宋" w:hAnsi="仿宋" w:eastAsia="仿宋" w:cs="宋体"/>
          <w:color w:val="auto"/>
          <w:sz w:val="24"/>
          <w:highlight w:val="none"/>
          <w:lang w:bidi="ar"/>
        </w:rPr>
      </w:pPr>
      <w:r>
        <w:rPr>
          <w:rFonts w:hint="eastAsia" w:ascii="仿宋" w:hAnsi="仿宋" w:eastAsia="仿宋" w:cs="宋体"/>
          <w:color w:val="auto"/>
          <w:sz w:val="24"/>
          <w:highlight w:val="none"/>
          <w:lang w:bidi="ar"/>
        </w:rPr>
        <w:t>6、投标注意事项：</w:t>
      </w:r>
    </w:p>
    <w:p>
      <w:pPr>
        <w:widowControl/>
        <w:spacing w:line="360" w:lineRule="auto"/>
        <w:ind w:firstLine="480" w:firstLineChars="200"/>
        <w:rPr>
          <w:rFonts w:hint="eastAsia" w:ascii="仿宋" w:hAnsi="仿宋" w:eastAsia="仿宋" w:cs="宋体"/>
          <w:b/>
          <w:color w:val="auto"/>
          <w:sz w:val="24"/>
          <w:highlight w:val="none"/>
          <w:lang w:bidi="ar"/>
        </w:rPr>
      </w:pPr>
      <w:r>
        <w:rPr>
          <w:rFonts w:hint="eastAsia" w:ascii="仿宋" w:hAnsi="仿宋" w:eastAsia="仿宋" w:cs="宋体"/>
          <w:color w:val="auto"/>
          <w:sz w:val="24"/>
          <w:highlight w:val="none"/>
          <w:lang w:bidi="ar"/>
        </w:rPr>
        <w:t>（1）投标文件提交方式：本项目为全流程电子化政府采购项目，通过广西政府采购云平台https://www.gcy.zfcg.gxzf.gov.cn/实行在线电子投标，供应商应先安装“广西政府采购云电子交易客户端”（请自行前往</w:t>
      </w:r>
      <w:r>
        <w:rPr>
          <w:rFonts w:hint="eastAsia" w:ascii="仿宋" w:hAnsi="仿宋" w:eastAsia="仿宋"/>
          <w:b w:val="0"/>
          <w:color w:val="auto"/>
          <w:sz w:val="24"/>
          <w:highlight w:val="none"/>
        </w:rPr>
        <w:t>广西政府采购云平台</w:t>
      </w:r>
      <w:r>
        <w:rPr>
          <w:rFonts w:hint="eastAsia" w:ascii="仿宋" w:hAnsi="仿宋" w:eastAsia="仿宋" w:cs="宋体"/>
          <w:color w:val="auto"/>
          <w:sz w:val="24"/>
          <w:highlight w:val="none"/>
          <w:lang w:bidi="ar"/>
        </w:rPr>
        <w:t>进行下载），并按照本项目招标文件和广西政府采购云平台的要求编制、加密后在投标截止时间前通过网络上传至广西政府采购云平台，</w:t>
      </w:r>
      <w:r>
        <w:rPr>
          <w:rFonts w:hint="eastAsia" w:ascii="仿宋" w:hAnsi="仿宋" w:eastAsia="仿宋" w:cs="宋体"/>
          <w:b/>
          <w:color w:val="auto"/>
          <w:sz w:val="24"/>
          <w:highlight w:val="none"/>
          <w:lang w:bidi="ar"/>
        </w:rPr>
        <w:t>供应商在广西政府采购云平台提交电子版投标文件时，请填写参加远程开标活动经办人联系方式。</w:t>
      </w:r>
    </w:p>
    <w:p>
      <w:pPr>
        <w:widowControl/>
        <w:spacing w:line="360" w:lineRule="auto"/>
        <w:ind w:firstLine="480" w:firstLineChars="200"/>
        <w:rPr>
          <w:rFonts w:ascii="仿宋" w:hAnsi="仿宋" w:eastAsia="仿宋" w:cs="宋体"/>
          <w:color w:val="auto"/>
          <w:sz w:val="24"/>
          <w:highlight w:val="none"/>
          <w:lang w:bidi="ar"/>
        </w:rPr>
      </w:pPr>
      <w:r>
        <w:rPr>
          <w:rFonts w:hint="eastAsia" w:ascii="仿宋" w:hAnsi="仿宋" w:eastAsia="仿宋" w:cs="宋体"/>
          <w:color w:val="auto"/>
          <w:sz w:val="24"/>
          <w:highlight w:val="none"/>
          <w:lang w:bidi="ar"/>
        </w:rPr>
        <w:t>（2）</w:t>
      </w:r>
      <w:r>
        <w:rPr>
          <w:rFonts w:ascii="仿宋" w:hAnsi="仿宋" w:eastAsia="仿宋" w:cs="宋体"/>
          <w:color w:val="auto"/>
          <w:sz w:val="24"/>
          <w:highlight w:val="none"/>
          <w:lang w:bidi="ar"/>
        </w:rPr>
        <w:t>供应商应及时熟悉掌握电子标系统操作指南（见</w:t>
      </w:r>
      <w:r>
        <w:rPr>
          <w:rFonts w:hint="eastAsia" w:ascii="仿宋" w:hAnsi="仿宋" w:eastAsia="仿宋" w:cs="宋体"/>
          <w:color w:val="auto"/>
          <w:sz w:val="24"/>
          <w:highlight w:val="none"/>
          <w:lang w:bidi="ar"/>
        </w:rPr>
        <w:t>广西政府采购云平台</w:t>
      </w:r>
      <w:r>
        <w:rPr>
          <w:rFonts w:ascii="仿宋" w:hAnsi="仿宋" w:eastAsia="仿宋" w:cs="宋体"/>
          <w:color w:val="auto"/>
          <w:sz w:val="24"/>
          <w:highlight w:val="none"/>
          <w:lang w:bidi="ar"/>
        </w:rPr>
        <w:t>电子卖场首页右上角—服务中心—帮助文档—项目采购）</w:t>
      </w:r>
      <w:r>
        <w:rPr>
          <w:rFonts w:hint="eastAsia" w:ascii="仿宋" w:hAnsi="仿宋" w:eastAsia="仿宋" w:cs="宋体"/>
          <w:color w:val="auto"/>
          <w:sz w:val="24"/>
          <w:highlight w:val="none"/>
          <w:lang w:bidi="ar"/>
        </w:rPr>
        <w:t>；</w:t>
      </w:r>
      <w:r>
        <w:rPr>
          <w:rFonts w:ascii="仿宋" w:hAnsi="仿宋" w:eastAsia="仿宋" w:cs="宋体"/>
          <w:color w:val="auto"/>
          <w:sz w:val="24"/>
          <w:highlight w:val="none"/>
          <w:lang w:bidi="ar"/>
        </w:rPr>
        <w:t>及时完成CA申领和绑定。</w:t>
      </w:r>
    </w:p>
    <w:p>
      <w:pPr>
        <w:widowControl/>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pPr>
        <w:widowControl/>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napToGrid w:val="0"/>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bidi="ar"/>
        </w:rPr>
        <w:t>7、CA证书在线解密：供应商投标时，需携带制作投标文件时用来加密的有效数字证书（CA认证）登录</w:t>
      </w:r>
      <w:r>
        <w:rPr>
          <w:rFonts w:hint="eastAsia" w:ascii="仿宋" w:hAnsi="仿宋" w:eastAsia="仿宋" w:cs="宋体"/>
          <w:color w:val="auto"/>
          <w:sz w:val="24"/>
          <w:highlight w:val="none"/>
          <w:lang w:bidi="ar"/>
        </w:rPr>
        <w:t>广西政府采购云平台</w:t>
      </w:r>
      <w:r>
        <w:rPr>
          <w:rFonts w:hint="eastAsia" w:ascii="仿宋" w:hAnsi="仿宋" w:eastAsia="仿宋" w:cs="宋体"/>
          <w:color w:val="auto"/>
          <w:kern w:val="0"/>
          <w:sz w:val="24"/>
          <w:highlight w:val="none"/>
          <w:lang w:bidi="ar"/>
        </w:rPr>
        <w:t>电子开标大厅现场按规定时间对加密的投标文件进行解密，否则后果自负。</w:t>
      </w:r>
    </w:p>
    <w:p>
      <w:pPr>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8、若对项目采购电子交易系统操作有疑问，可登录</w:t>
      </w:r>
      <w:r>
        <w:rPr>
          <w:rFonts w:hint="eastAsia" w:ascii="仿宋" w:hAnsi="仿宋" w:eastAsia="仿宋" w:cs="宋体"/>
          <w:color w:val="auto"/>
          <w:sz w:val="24"/>
          <w:highlight w:val="none"/>
          <w:lang w:bidi="ar"/>
        </w:rPr>
        <w:t>广西政府采购云平台https://www.gcy.zfcg.gxzf.gov.cn/</w:t>
      </w:r>
      <w:r>
        <w:rPr>
          <w:rFonts w:hint="eastAsia" w:ascii="仿宋" w:hAnsi="仿宋" w:eastAsia="仿宋" w:cs="宋体"/>
          <w:color w:val="auto"/>
          <w:kern w:val="0"/>
          <w:sz w:val="24"/>
          <w:highlight w:val="none"/>
        </w:rPr>
        <w:t>，点击右侧咨询小采，获取采小蜜智能服务管家帮助，或拨打</w:t>
      </w:r>
      <w:r>
        <w:rPr>
          <w:rFonts w:hint="eastAsia" w:ascii="仿宋" w:hAnsi="仿宋" w:eastAsia="仿宋" w:cs="宋体"/>
          <w:color w:val="auto"/>
          <w:sz w:val="24"/>
          <w:highlight w:val="none"/>
          <w:lang w:bidi="ar"/>
        </w:rPr>
        <w:t>广西政府采购云平台</w:t>
      </w:r>
      <w:r>
        <w:rPr>
          <w:rFonts w:hint="eastAsia" w:ascii="仿宋" w:hAnsi="仿宋" w:eastAsia="仿宋" w:cs="宋体"/>
          <w:color w:val="auto"/>
          <w:kern w:val="0"/>
          <w:sz w:val="24"/>
          <w:highlight w:val="none"/>
        </w:rPr>
        <w:t>服务热线获取热线服务帮助。</w:t>
      </w:r>
    </w:p>
    <w:bookmarkEnd w:id="29"/>
    <w:p>
      <w:pPr>
        <w:spacing w:line="360" w:lineRule="auto"/>
        <w:rPr>
          <w:rFonts w:ascii="仿宋" w:hAnsi="仿宋" w:eastAsia="仿宋"/>
          <w:b/>
          <w:bCs/>
          <w:color w:val="auto"/>
          <w:sz w:val="24"/>
          <w:highlight w:val="none"/>
        </w:rPr>
      </w:pPr>
      <w:bookmarkStart w:id="30" w:name="_Toc35393627"/>
      <w:bookmarkStart w:id="31" w:name="_Toc28359085"/>
      <w:bookmarkStart w:id="32" w:name="_Toc28359008"/>
      <w:bookmarkStart w:id="33" w:name="_Toc35393796"/>
      <w:r>
        <w:rPr>
          <w:rFonts w:hint="eastAsia" w:ascii="仿宋" w:hAnsi="仿宋" w:eastAsia="仿宋"/>
          <w:b/>
          <w:bCs/>
          <w:color w:val="auto"/>
          <w:sz w:val="24"/>
          <w:highlight w:val="none"/>
        </w:rPr>
        <w:t>七、对本次招标提出询问，请按</w:t>
      </w:r>
      <w:r>
        <w:rPr>
          <w:rFonts w:ascii="仿宋" w:hAnsi="仿宋" w:eastAsia="仿宋"/>
          <w:b/>
          <w:bCs/>
          <w:color w:val="auto"/>
          <w:sz w:val="24"/>
          <w:highlight w:val="none"/>
        </w:rPr>
        <w:t>以下方式</w:t>
      </w:r>
      <w:r>
        <w:rPr>
          <w:rFonts w:hint="eastAsia" w:ascii="仿宋" w:hAnsi="仿宋" w:eastAsia="仿宋"/>
          <w:b/>
          <w:bCs/>
          <w:color w:val="auto"/>
          <w:sz w:val="24"/>
          <w:highlight w:val="none"/>
        </w:rPr>
        <w:t>联系。</w:t>
      </w:r>
      <w:bookmarkEnd w:id="30"/>
      <w:bookmarkEnd w:id="31"/>
      <w:bookmarkEnd w:id="32"/>
      <w:bookmarkEnd w:id="33"/>
    </w:p>
    <w:p>
      <w:pPr>
        <w:spacing w:line="360" w:lineRule="auto"/>
        <w:ind w:firstLine="648" w:firstLineChars="270"/>
        <w:jc w:val="left"/>
        <w:rPr>
          <w:rFonts w:ascii="仿宋" w:hAnsi="仿宋" w:eastAsia="仿宋" w:cs="宋体"/>
          <w:color w:val="auto"/>
          <w:sz w:val="24"/>
          <w:highlight w:val="none"/>
        </w:rPr>
      </w:pPr>
      <w:r>
        <w:rPr>
          <w:rFonts w:hint="eastAsia" w:ascii="仿宋" w:hAnsi="仿宋" w:eastAsia="仿宋" w:cs="宋体"/>
          <w:color w:val="auto"/>
          <w:sz w:val="24"/>
          <w:highlight w:val="none"/>
        </w:rPr>
        <w:t>1.采购人信息</w:t>
      </w:r>
    </w:p>
    <w:p>
      <w:pPr>
        <w:spacing w:line="360" w:lineRule="auto"/>
        <w:ind w:firstLine="648" w:firstLineChars="270"/>
        <w:jc w:val="left"/>
        <w:rPr>
          <w:rFonts w:ascii="仿宋" w:hAnsi="仿宋" w:eastAsia="仿宋"/>
          <w:color w:val="auto"/>
          <w:sz w:val="24"/>
          <w:highlight w:val="none"/>
        </w:rPr>
      </w:pPr>
      <w:r>
        <w:rPr>
          <w:rFonts w:hint="eastAsia" w:ascii="仿宋" w:hAnsi="仿宋" w:eastAsia="仿宋"/>
          <w:color w:val="auto"/>
          <w:sz w:val="24"/>
          <w:highlight w:val="none"/>
        </w:rPr>
        <w:t>名 称：桂林理工大学</w:t>
      </w:r>
    </w:p>
    <w:p>
      <w:pPr>
        <w:spacing w:line="360" w:lineRule="auto"/>
        <w:ind w:firstLine="648" w:firstLineChars="27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地址：桂林市七星区建干路12号</w:t>
      </w:r>
    </w:p>
    <w:p>
      <w:pPr>
        <w:spacing w:line="360" w:lineRule="auto"/>
        <w:ind w:firstLine="648" w:firstLineChars="270"/>
        <w:jc w:val="left"/>
        <w:rPr>
          <w:rFonts w:ascii="仿宋" w:hAnsi="仿宋" w:eastAsia="仿宋"/>
          <w:color w:val="auto"/>
          <w:sz w:val="24"/>
          <w:highlight w:val="none"/>
        </w:rPr>
      </w:pPr>
      <w:bookmarkStart w:id="34" w:name="_Toc28359009"/>
      <w:bookmarkStart w:id="35" w:name="_Toc28359086"/>
      <w:r>
        <w:rPr>
          <w:rFonts w:hint="eastAsia" w:ascii="仿宋" w:hAnsi="仿宋" w:eastAsia="仿宋"/>
          <w:color w:val="auto"/>
          <w:sz w:val="24"/>
          <w:highlight w:val="none"/>
        </w:rPr>
        <w:t>项目联系人：倪老师</w:t>
      </w:r>
    </w:p>
    <w:p>
      <w:pPr>
        <w:spacing w:line="360" w:lineRule="auto"/>
        <w:ind w:firstLine="648" w:firstLineChars="270"/>
        <w:jc w:val="left"/>
        <w:rPr>
          <w:rFonts w:ascii="仿宋" w:hAnsi="仿宋" w:eastAsia="仿宋"/>
          <w:color w:val="auto"/>
          <w:sz w:val="24"/>
          <w:highlight w:val="none"/>
        </w:rPr>
      </w:pPr>
      <w:r>
        <w:rPr>
          <w:rFonts w:hint="eastAsia" w:ascii="仿宋" w:hAnsi="仿宋" w:eastAsia="仿宋"/>
          <w:color w:val="auto"/>
          <w:sz w:val="24"/>
          <w:highlight w:val="none"/>
        </w:rPr>
        <w:t>项目联系方式：</w:t>
      </w:r>
      <w:r>
        <w:rPr>
          <w:rFonts w:ascii="仿宋" w:hAnsi="仿宋" w:eastAsia="仿宋"/>
          <w:color w:val="auto"/>
          <w:sz w:val="24"/>
          <w:highlight w:val="none"/>
        </w:rPr>
        <w:t>0773-5895090</w:t>
      </w:r>
    </w:p>
    <w:p>
      <w:pPr>
        <w:spacing w:line="360" w:lineRule="auto"/>
        <w:ind w:firstLine="648" w:firstLineChars="270"/>
        <w:jc w:val="left"/>
        <w:rPr>
          <w:rFonts w:ascii="仿宋" w:hAnsi="仿宋" w:eastAsia="仿宋"/>
          <w:color w:val="auto"/>
          <w:sz w:val="24"/>
          <w:highlight w:val="none"/>
        </w:rPr>
      </w:pPr>
      <w:r>
        <w:rPr>
          <w:rFonts w:hint="eastAsia" w:ascii="仿宋" w:hAnsi="仿宋" w:eastAsia="仿宋" w:cs="宋体"/>
          <w:color w:val="auto"/>
          <w:sz w:val="24"/>
          <w:highlight w:val="none"/>
        </w:rPr>
        <w:t>2.采购代理机构信息</w:t>
      </w:r>
      <w:bookmarkEnd w:id="34"/>
      <w:bookmarkEnd w:id="35"/>
    </w:p>
    <w:p>
      <w:pPr>
        <w:spacing w:line="360" w:lineRule="auto"/>
        <w:ind w:firstLine="648" w:firstLineChars="270"/>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s="Arial"/>
          <w:color w:val="auto"/>
          <w:sz w:val="24"/>
          <w:highlight w:val="none"/>
          <w:lang w:eastAsia="zh-CN"/>
        </w:rPr>
        <w:t>广西科文招标有限公司</w:t>
      </w:r>
    </w:p>
    <w:p>
      <w:pPr>
        <w:spacing w:line="360" w:lineRule="auto"/>
        <w:ind w:firstLine="648" w:firstLineChars="270"/>
        <w:rPr>
          <w:rFonts w:hint="eastAsia" w:ascii="仿宋" w:hAnsi="仿宋" w:eastAsia="仿宋"/>
          <w:color w:val="auto"/>
          <w:sz w:val="24"/>
          <w:highlight w:val="none"/>
          <w:lang w:eastAsia="zh-CN"/>
        </w:rPr>
      </w:pPr>
      <w:r>
        <w:rPr>
          <w:rFonts w:hint="eastAsia" w:ascii="仿宋" w:hAnsi="仿宋" w:eastAsia="仿宋"/>
          <w:color w:val="auto"/>
          <w:sz w:val="24"/>
          <w:highlight w:val="none"/>
        </w:rPr>
        <w:t>地　址：</w:t>
      </w:r>
      <w:r>
        <w:rPr>
          <w:rFonts w:hint="eastAsia" w:ascii="仿宋" w:hAnsi="仿宋" w:eastAsia="仿宋" w:cs="Arial"/>
          <w:color w:val="auto"/>
          <w:sz w:val="24"/>
          <w:highlight w:val="none"/>
          <w:lang w:eastAsia="zh-CN"/>
        </w:rPr>
        <w:t>广西桂林市七星区穿山东路41号彰泰天街V+国际中心1#楼8F-02</w:t>
      </w:r>
    </w:p>
    <w:p>
      <w:pPr>
        <w:pStyle w:val="15"/>
        <w:spacing w:line="360" w:lineRule="auto"/>
        <w:ind w:firstLine="648" w:firstLineChars="27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项目联系人：</w:t>
      </w:r>
      <w:r>
        <w:rPr>
          <w:rFonts w:hint="eastAsia" w:ascii="仿宋" w:hAnsi="仿宋" w:eastAsia="仿宋"/>
          <w:color w:val="auto"/>
          <w:sz w:val="24"/>
          <w:szCs w:val="24"/>
          <w:highlight w:val="none"/>
          <w:lang w:eastAsia="zh-CN"/>
        </w:rPr>
        <w:t>刘巧云、潘虹</w:t>
      </w:r>
    </w:p>
    <w:p>
      <w:pPr>
        <w:spacing w:line="360" w:lineRule="auto"/>
        <w:ind w:firstLine="648" w:firstLineChars="27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电　话：</w:t>
      </w:r>
      <w:r>
        <w:rPr>
          <w:rFonts w:hint="eastAsia" w:ascii="仿宋" w:hAnsi="仿宋" w:eastAsia="仿宋"/>
          <w:color w:val="auto"/>
          <w:sz w:val="24"/>
          <w:highlight w:val="none"/>
          <w:lang w:eastAsia="zh-CN"/>
        </w:rPr>
        <w:t>0773－</w:t>
      </w:r>
      <w:r>
        <w:rPr>
          <w:rFonts w:hint="eastAsia" w:ascii="仿宋" w:hAnsi="仿宋" w:eastAsia="仿宋"/>
          <w:color w:val="auto"/>
          <w:sz w:val="24"/>
          <w:highlight w:val="none"/>
          <w:lang w:val="en-US" w:eastAsia="zh-CN"/>
        </w:rPr>
        <w:t>2860696</w:t>
      </w:r>
    </w:p>
    <w:p>
      <w:pPr>
        <w:spacing w:line="360" w:lineRule="auto"/>
        <w:jc w:val="right"/>
        <w:rPr>
          <w:rFonts w:ascii="仿宋" w:hAnsi="仿宋" w:eastAsia="仿宋" w:cs="Arial"/>
          <w:color w:val="auto"/>
          <w:sz w:val="24"/>
          <w:highlight w:val="none"/>
        </w:rPr>
      </w:pPr>
    </w:p>
    <w:p>
      <w:pPr>
        <w:spacing w:line="360" w:lineRule="auto"/>
        <w:jc w:val="right"/>
        <w:rPr>
          <w:rFonts w:hint="eastAsia" w:ascii="仿宋" w:hAnsi="仿宋" w:eastAsia="仿宋"/>
          <w:color w:val="auto"/>
          <w:sz w:val="24"/>
          <w:highlight w:val="none"/>
          <w:lang w:eastAsia="zh-CN"/>
        </w:rPr>
      </w:pPr>
      <w:r>
        <w:rPr>
          <w:rFonts w:hint="eastAsia" w:ascii="仿宋" w:hAnsi="仿宋" w:eastAsia="仿宋" w:cs="Arial"/>
          <w:color w:val="auto"/>
          <w:sz w:val="24"/>
          <w:highlight w:val="none"/>
          <w:lang w:eastAsia="zh-CN"/>
        </w:rPr>
        <w:t>广西科文招标有限公司</w:t>
      </w:r>
    </w:p>
    <w:p>
      <w:pPr>
        <w:pStyle w:val="6"/>
        <w:spacing w:line="360" w:lineRule="auto"/>
        <w:jc w:val="right"/>
        <w:rPr>
          <w:rFonts w:ascii="仿宋" w:hAnsi="仿宋" w:cs="Arial"/>
          <w:b w:val="0"/>
          <w:bCs w:val="0"/>
          <w:color w:val="auto"/>
          <w:kern w:val="2"/>
          <w:sz w:val="24"/>
          <w:szCs w:val="24"/>
          <w:highlight w:val="none"/>
        </w:rPr>
      </w:pPr>
      <w:r>
        <w:rPr>
          <w:rFonts w:hint="eastAsia"/>
          <w:color w:val="auto"/>
          <w:highlight w:val="none"/>
        </w:rPr>
        <w:t xml:space="preserve"> </w:t>
      </w:r>
      <w:r>
        <w:rPr>
          <w:rFonts w:hint="eastAsia" w:ascii="仿宋" w:hAnsi="仿宋" w:eastAsia="仿宋" w:cs="Arial"/>
          <w:b w:val="0"/>
          <w:bCs w:val="0"/>
          <w:color w:val="auto"/>
          <w:kern w:val="2"/>
          <w:sz w:val="24"/>
          <w:szCs w:val="24"/>
          <w:highlight w:val="none"/>
          <w:lang w:val="en-US" w:eastAsia="zh-CN" w:bidi="ar-SA"/>
        </w:rPr>
        <w:t xml:space="preserve"> 2024年4月25日</w:t>
      </w:r>
    </w:p>
    <w:p>
      <w:pPr>
        <w:pStyle w:val="4"/>
        <w:keepNext w:val="0"/>
        <w:keepLines w:val="0"/>
        <w:pageBreakBefore/>
        <w:spacing w:before="0" w:after="0" w:line="500" w:lineRule="exact"/>
        <w:jc w:val="center"/>
        <w:rPr>
          <w:rFonts w:ascii="仿宋" w:hAnsi="仿宋" w:eastAsia="仿宋"/>
          <w:color w:val="auto"/>
          <w:highlight w:val="none"/>
        </w:rPr>
      </w:pPr>
      <w:bookmarkStart w:id="36" w:name="_Toc74320801"/>
      <w:bookmarkStart w:id="37" w:name="_Toc254970631"/>
      <w:bookmarkStart w:id="38" w:name="_Toc254970490"/>
      <w:r>
        <w:rPr>
          <w:rFonts w:hint="eastAsia" w:ascii="仿宋" w:hAnsi="仿宋" w:eastAsia="仿宋"/>
          <w:color w:val="auto"/>
          <w:highlight w:val="none"/>
        </w:rPr>
        <w:t>第二章  采购需求</w:t>
      </w:r>
      <w:bookmarkEnd w:id="36"/>
    </w:p>
    <w:p>
      <w:pPr>
        <w:pStyle w:val="14"/>
        <w:rPr>
          <w:rFonts w:ascii="仿宋" w:hAnsi="仿宋" w:eastAsia="仿宋" w:cs="宋体"/>
          <w:b/>
          <w:bCs/>
          <w:color w:val="auto"/>
          <w:highlight w:val="none"/>
        </w:rPr>
      </w:pPr>
    </w:p>
    <w:p>
      <w:pPr>
        <w:spacing w:line="380" w:lineRule="exact"/>
        <w:jc w:val="left"/>
        <w:rPr>
          <w:rFonts w:ascii="仿宋" w:hAnsi="仿宋" w:eastAsia="仿宋" w:cs="宋体"/>
          <w:b/>
          <w:color w:val="auto"/>
          <w:sz w:val="24"/>
          <w:highlight w:val="none"/>
        </w:rPr>
      </w:pPr>
      <w:r>
        <w:rPr>
          <w:rFonts w:hint="eastAsia" w:ascii="仿宋" w:hAnsi="仿宋" w:eastAsia="仿宋" w:cs="宋体"/>
          <w:b/>
          <w:bCs/>
          <w:color w:val="auto"/>
          <w:highlight w:val="none"/>
        </w:rPr>
        <w:t>一、</w:t>
      </w:r>
      <w:r>
        <w:rPr>
          <w:rFonts w:hint="eastAsia" w:ascii="仿宋" w:hAnsi="仿宋" w:eastAsia="仿宋" w:cs="宋体"/>
          <w:b/>
          <w:color w:val="auto"/>
          <w:sz w:val="24"/>
          <w:highlight w:val="none"/>
        </w:rPr>
        <w:t>说明：</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仿宋" w:hAnsi="仿宋" w:eastAsia="仿宋"/>
          <w:b/>
          <w:bCs/>
          <w:color w:val="auto"/>
          <w:sz w:val="24"/>
          <w:highlight w:val="none"/>
        </w:rPr>
        <w:t>中</w:t>
      </w:r>
      <w:r>
        <w:rPr>
          <w:rFonts w:hint="eastAsia" w:ascii="仿宋" w:hAnsi="仿宋" w:eastAsia="仿宋"/>
          <w:b/>
          <w:bCs/>
          <w:color w:val="auto"/>
          <w:sz w:val="24"/>
          <w:highlight w:val="none"/>
        </w:rPr>
        <w:t>的技术要求。</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根据《财政部 发展改革委 生态环境部 市场监管总局关于调整优化节能产品、环境标志产品政府采购执行机制的通知》（财库〔2019〕9号）和《关于印发节能产品政府采购品目清单的通知》（财库〔2019〕19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号）的规定，采购需求中的产品属于节能产品政府采购品目清单内标注“★”的（详见本章后附的节能产品政府采购品目清单），投标人的投标货物必须使用政府强制采购的节能产品，否则投标文件作无效处理。</w:t>
      </w:r>
    </w:p>
    <w:p>
      <w:pPr>
        <w:spacing w:line="380" w:lineRule="exact"/>
        <w:ind w:firstLine="482" w:firstLineChars="200"/>
        <w:jc w:val="left"/>
        <w:rPr>
          <w:rFonts w:ascii="仿宋" w:hAnsi="仿宋" w:eastAsia="仿宋" w:cs="宋体"/>
          <w:b/>
          <w:color w:val="auto"/>
          <w:sz w:val="24"/>
          <w:highlight w:val="none"/>
        </w:rPr>
      </w:pPr>
      <w:r>
        <w:rPr>
          <w:rFonts w:hint="eastAsia" w:ascii="仿宋" w:hAnsi="仿宋" w:eastAsia="仿宋"/>
          <w:b/>
          <w:bCs/>
          <w:color w:val="auto"/>
          <w:sz w:val="24"/>
          <w:highlight w:val="none"/>
        </w:rPr>
        <w:t>3、如投标人投标产品存在侵犯他人的知识产权或者专利成果行为的，由投标人自行承担相应法律责任。</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4、“实质性要求”是指招标文件中已经指明不满足则投标无效的条款，或者不能负偏离的条款，或者采购需求中带“▲”的条款。</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5、未标注 “▲”技术参数发生负偏离的条款数≥ </w:t>
      </w:r>
      <w:r>
        <w:rPr>
          <w:rFonts w:ascii="仿宋" w:hAnsi="仿宋" w:eastAsia="仿宋"/>
          <w:b/>
          <w:bCs/>
          <w:color w:val="auto"/>
          <w:sz w:val="24"/>
          <w:highlight w:val="none"/>
        </w:rPr>
        <w:t>5</w:t>
      </w:r>
      <w:r>
        <w:rPr>
          <w:rFonts w:hint="eastAsia" w:ascii="仿宋" w:hAnsi="仿宋" w:eastAsia="仿宋"/>
          <w:b/>
          <w:bCs/>
          <w:color w:val="auto"/>
          <w:sz w:val="24"/>
          <w:highlight w:val="none"/>
        </w:rPr>
        <w:t>项，则投标文件作无效处理。</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6、本项目</w:t>
      </w:r>
      <w:r>
        <w:rPr>
          <w:rFonts w:hint="eastAsia" w:ascii="仿宋" w:hAnsi="仿宋" w:eastAsia="仿宋" w:cs="宋体"/>
          <w:b/>
          <w:bCs/>
          <w:color w:val="auto"/>
          <w:sz w:val="24"/>
          <w:highlight w:val="none"/>
        </w:rPr>
        <w:t>中小企业划分标准所属行业名称</w:t>
      </w:r>
      <w:r>
        <w:rPr>
          <w:rFonts w:hint="eastAsia" w:ascii="仿宋" w:hAnsi="仿宋" w:eastAsia="仿宋"/>
          <w:b/>
          <w:bCs/>
          <w:color w:val="auto"/>
          <w:sz w:val="24"/>
          <w:highlight w:val="none"/>
        </w:rPr>
        <w:t>（行业名称及划分见本章附件2）：工业。</w:t>
      </w:r>
    </w:p>
    <w:p>
      <w:pPr>
        <w:spacing w:line="38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7、本项目</w:t>
      </w:r>
      <w:r>
        <w:rPr>
          <w:rFonts w:hint="eastAsia" w:ascii="仿宋" w:hAnsi="仿宋" w:eastAsia="仿宋"/>
          <w:b/>
          <w:bCs/>
          <w:color w:val="auto"/>
          <w:sz w:val="24"/>
          <w:highlight w:val="none"/>
          <w:u w:val="single"/>
        </w:rPr>
        <w:t>接受</w:t>
      </w:r>
      <w:r>
        <w:rPr>
          <w:rFonts w:hint="eastAsia" w:ascii="仿宋" w:hAnsi="仿宋" w:eastAsia="仿宋"/>
          <w:b/>
          <w:bCs/>
          <w:color w:val="auto"/>
          <w:sz w:val="24"/>
          <w:highlight w:val="none"/>
        </w:rPr>
        <w:t>进口产品投标。</w:t>
      </w:r>
    </w:p>
    <w:p>
      <w:pPr>
        <w:spacing w:line="380" w:lineRule="exact"/>
        <w:ind w:firstLine="482" w:firstLineChars="200"/>
        <w:jc w:val="left"/>
        <w:rPr>
          <w:rFonts w:ascii="仿宋" w:hAnsi="仿宋" w:eastAsia="仿宋"/>
          <w:b/>
          <w:bCs/>
          <w:color w:val="auto"/>
          <w:sz w:val="24"/>
          <w:highlight w:val="none"/>
        </w:rPr>
      </w:pPr>
    </w:p>
    <w:p>
      <w:pPr>
        <w:pStyle w:val="14"/>
        <w:numPr>
          <w:ilvl w:val="0"/>
          <w:numId w:val="2"/>
        </w:numPr>
        <w:rPr>
          <w:rFonts w:ascii="仿宋" w:hAnsi="仿宋" w:eastAsia="仿宋" w:cs="宋体"/>
          <w:b/>
          <w:bCs/>
          <w:color w:val="auto"/>
          <w:highlight w:val="none"/>
        </w:rPr>
      </w:pPr>
      <w:r>
        <w:rPr>
          <w:rFonts w:ascii="仿宋" w:hAnsi="仿宋" w:eastAsia="仿宋" w:cs="宋体"/>
          <w:b/>
          <w:bCs/>
          <w:color w:val="auto"/>
          <w:highlight w:val="none"/>
        </w:rPr>
        <w:t>采购需求</w:t>
      </w:r>
    </w:p>
    <w:p>
      <w:pPr>
        <w:pStyle w:val="14"/>
        <w:rPr>
          <w:rFonts w:ascii="仿宋" w:hAnsi="仿宋" w:eastAsia="仿宋" w:cs="宋体"/>
          <w:b/>
          <w:bCs/>
          <w:color w:val="auto"/>
          <w:highlight w:val="none"/>
        </w:rPr>
      </w:pPr>
    </w:p>
    <w:p>
      <w:pPr>
        <w:pStyle w:val="14"/>
        <w:rPr>
          <w:rFonts w:ascii="仿宋" w:hAnsi="仿宋" w:eastAsia="仿宋" w:cs="宋体"/>
          <w:b/>
          <w:bCs/>
          <w:color w:val="auto"/>
          <w:highlight w:val="none"/>
        </w:rPr>
      </w:pPr>
      <w:r>
        <w:rPr>
          <w:rFonts w:hint="eastAsia" w:ascii="仿宋" w:hAnsi="仿宋" w:eastAsia="仿宋" w:cs="宋体"/>
          <w:b/>
          <w:bCs/>
          <w:color w:val="auto"/>
          <w:highlight w:val="none"/>
        </w:rPr>
        <w:t>A分标：</w:t>
      </w:r>
    </w:p>
    <w:tbl>
      <w:tblPr>
        <w:tblStyle w:val="27"/>
        <w:tblW w:w="10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1181"/>
        <w:gridCol w:w="183"/>
        <w:gridCol w:w="7055"/>
        <w:gridCol w:w="506"/>
        <w:gridCol w:w="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10036" w:type="dxa"/>
            <w:gridSpan w:val="6"/>
            <w:vAlign w:val="center"/>
          </w:tcPr>
          <w:p>
            <w:pPr>
              <w:widowControl/>
              <w:spacing w:line="380" w:lineRule="exact"/>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587"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项号</w:t>
            </w:r>
          </w:p>
        </w:tc>
        <w:tc>
          <w:tcPr>
            <w:tcW w:w="1181"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货物名称</w:t>
            </w:r>
          </w:p>
        </w:tc>
        <w:tc>
          <w:tcPr>
            <w:tcW w:w="7238" w:type="dxa"/>
            <w:gridSpan w:val="2"/>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color w:val="auto"/>
                <w:sz w:val="24"/>
                <w:highlight w:val="none"/>
              </w:rPr>
              <w:t>项目要求及技术需求</w:t>
            </w:r>
          </w:p>
        </w:tc>
        <w:tc>
          <w:tcPr>
            <w:tcW w:w="506"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524"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8" w:hRule="atLeast"/>
        </w:trPr>
        <w:tc>
          <w:tcPr>
            <w:tcW w:w="587"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181" w:type="dxa"/>
            <w:vAlign w:val="center"/>
          </w:tcPr>
          <w:p>
            <w:pPr>
              <w:spacing w:line="380" w:lineRule="exact"/>
              <w:jc w:val="center"/>
              <w:rPr>
                <w:rFonts w:ascii="仿宋" w:hAnsi="仿宋" w:eastAsia="仿宋" w:cs="仿宋"/>
                <w:color w:val="auto"/>
                <w:spacing w:val="-2"/>
                <w:sz w:val="24"/>
                <w:highlight w:val="none"/>
              </w:rPr>
            </w:pPr>
            <w:r>
              <w:rPr>
                <w:rFonts w:hint="eastAsia" w:ascii="仿宋" w:hAnsi="仿宋" w:eastAsia="仿宋" w:cs="仿宋"/>
                <w:color w:val="auto"/>
                <w:sz w:val="24"/>
                <w:highlight w:val="none"/>
              </w:rPr>
              <w:t>拉曼光谱仪</w:t>
            </w:r>
          </w:p>
        </w:tc>
        <w:tc>
          <w:tcPr>
            <w:tcW w:w="7238" w:type="dxa"/>
            <w:gridSpan w:val="2"/>
          </w:tcPr>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光谱仪主机</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▲要求仪器采用低杂散光光谱仪，焦长750~850mm，同时保证高分辨率和灵敏度。（此项为验收指标）</w:t>
            </w:r>
          </w:p>
          <w:p>
            <w:pPr>
              <w:numPr>
                <w:ilvl w:val="1"/>
                <w:numId w:val="3"/>
              </w:numPr>
              <w:tabs>
                <w:tab w:val="left" w:pos="992"/>
              </w:tabs>
              <w:adjustRightInd w:val="0"/>
              <w:snapToGrid w:val="0"/>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采用机械针孔共焦技术（三维空间滤波），非狭缝和光纤共焦。</w:t>
            </w:r>
          </w:p>
          <w:p>
            <w:pPr>
              <w:numPr>
                <w:ilvl w:val="1"/>
                <w:numId w:val="3"/>
              </w:numPr>
              <w:tabs>
                <w:tab w:val="left" w:pos="992"/>
              </w:tabs>
              <w:adjustRightInd w:val="0"/>
              <w:snapToGrid w:val="0"/>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软件控制自动切换激发波长，包括激光光路，共焦耦合光路和拉曼光路。自动全波长校准，自动拉曼峰位校正，自动拉曼强度校正，自动荧光背景校正，自动曝光，自动批处理等。</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▲光谱数据采集模式：数量≥三种，包括单窗口信号采集（同时谱），多窗口断续信号采集（高低阈值一次采集）和连续扫描信号采集（大范围平滑光谱）。（此项为验收指标）</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光谱仪技术参数</w:t>
            </w:r>
          </w:p>
          <w:p>
            <w:pPr>
              <w:numPr>
                <w:ilvl w:val="1"/>
                <w:numId w:val="3"/>
              </w:numPr>
              <w:tabs>
                <w:tab w:val="left" w:pos="992"/>
              </w:tabs>
              <w:autoSpaceDE w:val="0"/>
              <w:autoSpaceDN w:val="0"/>
              <w:adjustRightInd w:val="0"/>
              <w:spacing w:line="380" w:lineRule="exact"/>
              <w:ind w:left="0" w:leftChars="0" w:firstLine="40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采用 Czerny Turner 全反射式消色差校像散单级光谱仪。</w:t>
            </w:r>
          </w:p>
          <w:p>
            <w:pPr>
              <w:numPr>
                <w:ilvl w:val="1"/>
                <w:numId w:val="3"/>
              </w:numPr>
              <w:tabs>
                <w:tab w:val="left" w:pos="992"/>
              </w:tabs>
              <w:autoSpaceDE w:val="0"/>
              <w:autoSpaceDN w:val="0"/>
              <w:adjustRightInd w:val="0"/>
              <w:spacing w:line="380" w:lineRule="exact"/>
              <w:ind w:left="0" w:leftChars="0" w:firstLine="40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▲光谱分辨率（测试条件：采用≤1800刻线光栅，≥30um狭缝或针孔）：</w:t>
            </w:r>
          </w:p>
          <w:p>
            <w:pPr>
              <w:autoSpaceDE w:val="0"/>
              <w:autoSpaceDN w:val="0"/>
              <w:spacing w:line="380" w:lineRule="exact"/>
              <w:ind w:left="992"/>
              <w:rPr>
                <w:rFonts w:ascii="仿宋" w:hAnsi="仿宋" w:eastAsia="仿宋" w:cs="仿宋"/>
                <w:color w:val="auto"/>
                <w:sz w:val="24"/>
                <w:highlight w:val="none"/>
              </w:rPr>
            </w:pPr>
            <w:r>
              <w:rPr>
                <w:rFonts w:hint="eastAsia" w:ascii="仿宋" w:hAnsi="仿宋" w:eastAsia="仿宋" w:cs="仿宋"/>
                <w:color w:val="auto"/>
                <w:sz w:val="24"/>
                <w:highlight w:val="none"/>
              </w:rPr>
              <w:t>≤0.75cm</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（585nm氖灯线半高宽），</w:t>
            </w:r>
          </w:p>
          <w:p>
            <w:pPr>
              <w:autoSpaceDE w:val="0"/>
              <w:autoSpaceDN w:val="0"/>
              <w:spacing w:line="380" w:lineRule="exact"/>
              <w:ind w:left="992"/>
              <w:rPr>
                <w:rFonts w:ascii="仿宋" w:hAnsi="仿宋" w:eastAsia="仿宋" w:cs="仿宋"/>
                <w:color w:val="auto"/>
                <w:sz w:val="24"/>
                <w:highlight w:val="none"/>
              </w:rPr>
            </w:pPr>
            <w:r>
              <w:rPr>
                <w:rFonts w:hint="eastAsia" w:ascii="仿宋" w:hAnsi="仿宋" w:eastAsia="仿宋" w:cs="仿宋"/>
                <w:color w:val="auto"/>
                <w:sz w:val="24"/>
                <w:highlight w:val="none"/>
              </w:rPr>
              <w:t>≤0.45cm</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（837nm氖灯线半高宽）。（此项为验收指标）</w:t>
            </w:r>
          </w:p>
          <w:p>
            <w:pPr>
              <w:numPr>
                <w:ilvl w:val="1"/>
                <w:numId w:val="3"/>
              </w:numPr>
              <w:tabs>
                <w:tab w:val="left" w:pos="992"/>
              </w:tabs>
              <w:autoSpaceDE w:val="0"/>
              <w:autoSpaceDN w:val="0"/>
              <w:adjustRightInd w:val="0"/>
              <w:spacing w:line="380" w:lineRule="exact"/>
              <w:ind w:left="0" w:leftChars="0" w:firstLine="40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灵敏度：硅三阶峰的信噪比≥20:1，并能观察到四阶峰。</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▲光栅：采用等离子刻蚀全息技术，尺寸：≥76mm×76mm，配置两块光栅覆盖全谱段。</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lang w:val="en-GB"/>
              </w:rPr>
              <w:t>光谱仪平场校正，焦平面</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27mm</w:t>
            </w:r>
            <w:r>
              <w:rPr>
                <w:rFonts w:hint="eastAsia" w:ascii="仿宋" w:hAnsi="仿宋" w:eastAsia="仿宋" w:cs="仿宋"/>
                <w:color w:val="auto"/>
                <w:sz w:val="24"/>
                <w:highlight w:val="none"/>
              </w:rPr>
              <w:t>。</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开放式显微镜 </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采用开放式设计，提供大尺寸空间≥50mm用于原位拉曼光谱实验。通过调节物镜高低聚焦样品，无需调节样品台，保证稳定性。</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配置彩色摄像机。</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白光照明，软件控制自动切换白光照明和拉曼测量。</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▲可见平场消色差物镜：5X，10X，100X，50X长焦，15X紫外物镜及40X紫外物镜。</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共焦光路 </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内置≥2个共焦光路，内置≥2个机械共焦针孔，件控制自动切换双共焦光路。（此项为验收指标）</w:t>
            </w:r>
          </w:p>
          <w:p>
            <w:pPr>
              <w:spacing w:line="380" w:lineRule="exact"/>
              <w:ind w:left="992"/>
              <w:rPr>
                <w:rFonts w:ascii="仿宋" w:hAnsi="仿宋" w:eastAsia="仿宋" w:cs="仿宋"/>
                <w:color w:val="auto"/>
                <w:sz w:val="24"/>
                <w:highlight w:val="none"/>
              </w:rPr>
            </w:pPr>
            <w:r>
              <w:rPr>
                <w:rFonts w:hint="eastAsia" w:ascii="仿宋" w:hAnsi="仿宋" w:eastAsia="仿宋" w:cs="仿宋"/>
                <w:color w:val="auto"/>
                <w:sz w:val="24"/>
                <w:highlight w:val="none"/>
              </w:rPr>
              <w:t>共焦光路1：消色差透射共焦光路，光谱范围400-700nm。</w:t>
            </w:r>
          </w:p>
          <w:p>
            <w:pPr>
              <w:spacing w:line="380" w:lineRule="exact"/>
              <w:ind w:left="992"/>
              <w:rPr>
                <w:rFonts w:ascii="仿宋" w:hAnsi="仿宋" w:eastAsia="仿宋" w:cs="仿宋"/>
                <w:color w:val="auto"/>
                <w:sz w:val="24"/>
                <w:highlight w:val="none"/>
              </w:rPr>
            </w:pPr>
            <w:r>
              <w:rPr>
                <w:rFonts w:hint="eastAsia" w:ascii="仿宋" w:hAnsi="仿宋" w:eastAsia="仿宋" w:cs="仿宋"/>
                <w:color w:val="auto"/>
                <w:sz w:val="24"/>
                <w:highlight w:val="none"/>
              </w:rPr>
              <w:t>共焦光路2：消色差反射式共焦光路，光谱范围200-2100nm。</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拉曼光路共焦针孔：10-1000um软件控制调节，步进1um。</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激光器 </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532nm 单纵模固体激光器，TEM00模式，功率≥100mW。</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532nm干涉滤光片和两个Edge滤光片，低波数≤50cm</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。（此项为验收指标）</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▲325nm HeCd激光器，TEM00模式，功率≥25mW。</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▲325nm干涉滤光片和两个Edge滤光片，低波数≤150cm</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。（此项为验收指标）</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配置2个独立的激光光路，软件控制自动切换。</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▲软件控制自动切换及调节edge滤光片角度，以保证低波数效果。（此项为验收指标）</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XYZ高精密自动平台</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XY扫描范围：X≥75mm，Y≥50mm，Z≥20mm。</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▲XYZ最小步进：≤20nm。</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可扩展显微镜白光成像范围，拼接白光成像。</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▲实时聚焦：支持白光，激光，拉曼信号自动聚焦。</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自动对大范围样品进行三维表面形貌成像，可对表面不平整样品进行拉曼光谱成像。</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超快速成像模块</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软件控制，自动选择普通模式和超快速成像模式，无需更换光学元件和调整仪器。</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集成拉曼软件包，包括实时数据采集，处理，显示等功能，可针对特定拉曼峰位，半高宽，强度，峰面积，全谱modeling分析等进行成像。</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适用于所有激发波长（包括紫外-可见-近红外）。</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▲成像速率≤10ms/光谱（验收指标：扫描一定区域，总时间/总光谱数≤10ms）。（此项为验收指标）</w:t>
            </w:r>
          </w:p>
          <w:p>
            <w:pPr>
              <w:numPr>
                <w:ilvl w:val="0"/>
                <w:numId w:val="3"/>
              </w:numPr>
              <w:tabs>
                <w:tab w:val="left" w:pos="425"/>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显微原位催化反应池</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▲工作范围：≥室温-1000℃，可由软件控制温度</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可使用高腐蚀性气体；使用高传导气体如He不会影响温度控制功能</w:t>
            </w:r>
          </w:p>
          <w:p>
            <w:pPr>
              <w:numPr>
                <w:ilvl w:val="1"/>
                <w:numId w:val="3"/>
              </w:numPr>
              <w:tabs>
                <w:tab w:val="left" w:pos="992"/>
              </w:tabs>
              <w:spacing w:line="380" w:lineRule="exact"/>
              <w:ind w:left="0" w:leftChars="0" w:firstLine="400" w:firstLineChars="0"/>
              <w:rPr>
                <w:rFonts w:ascii="仿宋" w:hAnsi="仿宋" w:eastAsia="仿宋" w:cs="仿宋"/>
                <w:color w:val="auto"/>
                <w:sz w:val="24"/>
                <w:highlight w:val="none"/>
              </w:rPr>
            </w:pPr>
            <w:r>
              <w:rPr>
                <w:rFonts w:hint="eastAsia" w:ascii="仿宋" w:hAnsi="仿宋" w:eastAsia="仿宋" w:cs="仿宋"/>
                <w:color w:val="auto"/>
                <w:sz w:val="24"/>
                <w:highlight w:val="none"/>
              </w:rPr>
              <w:t>压强≥5bar</w:t>
            </w:r>
          </w:p>
          <w:p>
            <w:pPr>
              <w:pStyle w:val="33"/>
              <w:numPr>
                <w:ilvl w:val="0"/>
                <w:numId w:val="3"/>
              </w:numPr>
              <w:tabs>
                <w:tab w:val="left" w:pos="425"/>
              </w:tabs>
              <w:spacing w:line="380" w:lineRule="exact"/>
              <w:ind w:left="0" w:leftChars="0" w:firstLine="40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定制原位电化学反应池</w:t>
            </w:r>
          </w:p>
          <w:p>
            <w:pPr>
              <w:pStyle w:val="33"/>
              <w:numPr>
                <w:ilvl w:val="1"/>
                <w:numId w:val="3"/>
              </w:numPr>
              <w:tabs>
                <w:tab w:val="left" w:pos="992"/>
              </w:tabs>
              <w:spacing w:line="380" w:lineRule="exact"/>
              <w:ind w:left="0" w:leftChars="0" w:firstLine="40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定制配套主机的原位拉曼两电极电池测试池：工作电极距离光窗距离&lt;2mm</w:t>
            </w:r>
          </w:p>
          <w:p>
            <w:pPr>
              <w:pStyle w:val="33"/>
              <w:numPr>
                <w:ilvl w:val="1"/>
                <w:numId w:val="3"/>
              </w:numPr>
              <w:tabs>
                <w:tab w:val="left" w:pos="992"/>
              </w:tabs>
              <w:spacing w:line="380" w:lineRule="exact"/>
              <w:ind w:left="0" w:leftChars="0" w:firstLine="40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定制配套主机的原位拉曼三电极电池测试池: 工作电极距离光窗距离&lt;2mm</w:t>
            </w:r>
          </w:p>
          <w:p>
            <w:pPr>
              <w:pStyle w:val="33"/>
              <w:numPr>
                <w:ilvl w:val="1"/>
                <w:numId w:val="3"/>
              </w:numPr>
              <w:tabs>
                <w:tab w:val="left" w:pos="992"/>
              </w:tabs>
              <w:spacing w:line="380" w:lineRule="exact"/>
              <w:ind w:left="0" w:leftChars="0" w:firstLine="40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配套电化学工作站:恒电位仪电位范围：±10V，最大电流±250mA。恒电流仪电流范围3nA-250mA。</w:t>
            </w:r>
          </w:p>
          <w:p>
            <w:pPr>
              <w:pStyle w:val="33"/>
              <w:numPr>
                <w:ilvl w:val="1"/>
                <w:numId w:val="3"/>
              </w:numPr>
              <w:tabs>
                <w:tab w:val="left" w:pos="992"/>
              </w:tabs>
              <w:spacing w:line="380" w:lineRule="exact"/>
              <w:ind w:left="0" w:leftChars="0" w:firstLine="400" w:firstLineChars="0"/>
              <w:rPr>
                <w:rFonts w:ascii="仿宋" w:hAnsi="仿宋" w:eastAsia="仿宋" w:cs="仿宋"/>
                <w:bCs/>
                <w:color w:val="auto"/>
                <w:szCs w:val="24"/>
                <w:highlight w:val="none"/>
              </w:rPr>
            </w:pPr>
            <w:r>
              <w:rPr>
                <w:rFonts w:hint="eastAsia" w:ascii="仿宋" w:hAnsi="仿宋" w:eastAsia="仿宋" w:cs="仿宋"/>
                <w:color w:val="auto"/>
                <w:szCs w:val="24"/>
                <w:highlight w:val="none"/>
                <w:lang w:val="en-US" w:eastAsia="zh-CN"/>
              </w:rPr>
              <w:t>终端控制系统1套: 配置不低于：i7-12700，内存16G，512G SSD，win10专业版。23.8寸显示器。</w:t>
            </w:r>
          </w:p>
        </w:tc>
        <w:tc>
          <w:tcPr>
            <w:tcW w:w="506" w:type="dxa"/>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套</w:t>
            </w:r>
          </w:p>
        </w:tc>
        <w:tc>
          <w:tcPr>
            <w:tcW w:w="524" w:type="dxa"/>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587"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181" w:type="dxa"/>
            <w:vAlign w:val="center"/>
          </w:tcPr>
          <w:p>
            <w:pPr>
              <w:spacing w:line="380" w:lineRule="exact"/>
              <w:jc w:val="center"/>
              <w:rPr>
                <w:rFonts w:ascii="仿宋" w:hAnsi="仿宋" w:eastAsia="仿宋" w:cs="仿宋"/>
                <w:color w:val="auto"/>
                <w:spacing w:val="-2"/>
                <w:sz w:val="24"/>
                <w:highlight w:val="none"/>
              </w:rPr>
            </w:pPr>
            <w:r>
              <w:rPr>
                <w:rFonts w:hint="eastAsia" w:ascii="仿宋" w:hAnsi="仿宋" w:eastAsia="仿宋" w:cs="仿宋"/>
                <w:color w:val="auto"/>
                <w:sz w:val="24"/>
                <w:highlight w:val="none"/>
              </w:rPr>
              <w:t>全自动高性能液相色谱仪</w:t>
            </w:r>
          </w:p>
        </w:tc>
        <w:tc>
          <w:tcPr>
            <w:tcW w:w="7238" w:type="dxa"/>
            <w:gridSpan w:val="2"/>
          </w:tcPr>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一、工作条件要求：</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1.电源：220V，50Hz电源；</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2.环境温度：4～55℃；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3.环境湿度：＜95%。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二、仪器总体要求：</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1.该系统由：四元梯度泵（内置脱气机）、自动进样器、柱温箱、紫外检测器、馏分收集系统、原装色谱工作站组成；</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 ▲为了便于日后升级跟扩展，要求四元梯度泵、自动进样器（含柱温箱）、紫外检测器、馏分收集系统等模块之间必须为分体式模块化设计，必须相互间完全独立，既可堆叠使用，也可根据需要分开单独使用，不接受一体机式设计；</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3.每个模块均为前面板掀开方式，便于维护跟操作；</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4.各个模块之间的连接通讯方式为CAN连接方式；</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5.所有模块均设有漏液传感器，自动漏液检测跟报警；</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6.所有模块外盖均可回收利用，拆装迅速方便，而且利于通风跟散热。</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三、泵系统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 ▲四元泵，内置四通道真空脱气机，在线柱塞清洗装置；</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 ▲ 必须为串联式双柱塞往复泵，不接受并联方式。必须为齿轮传动，不接受皮带传动。20-100 μL自动连续可变冲程设计，可以在软件中直接调节，至少可以在软件上设定20个冲程；</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 ▲入口主动电磁阀设计，可根据使用流动相种类自动调节，可以确保使用高盐流动相时不会发生堵塞，如果是被动阀设计则视为不满足。</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4.流量范围：0.001-10.0ml/min，增量：0.001ml/min；</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5.流量精度：≤0.07%RSD；</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6.流量准确度：±1%；</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7.压力范围：0-400bar；</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8.压力脉动：＜1.3%；</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9.压力补偿因子：用户可根据流动相压缩系数选择；</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10.PH值范围：1.0-12.5；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11.系统延迟体积：600μL；</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12.组分范围：0～100%，最小递增率为0.1%；</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13.混合精度：＜0.2%RSD。</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四、自动进样器：</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 ▲可进行编程进样，具备柱前衍生化、柱前样品自动稀释和自动混合等复杂进样方式；</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2.样品容量：不低于132位（2ml样品瓶）；</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3.进样范围：0.1~100</w:t>
            </w:r>
            <w:r>
              <w:rPr>
                <w:rFonts w:hint="eastAsia" w:ascii="仿宋" w:hAnsi="仿宋" w:eastAsia="仿宋" w:cs="仿宋"/>
                <w:color w:val="auto"/>
                <w:sz w:val="24"/>
                <w:highlight w:val="none"/>
              </w:rPr>
              <w:sym w:font="Symbol" w:char="F06D"/>
            </w:r>
            <w:r>
              <w:rPr>
                <w:rFonts w:hint="eastAsia" w:ascii="仿宋" w:hAnsi="仿宋" w:eastAsia="仿宋" w:cs="仿宋"/>
                <w:color w:val="auto"/>
                <w:sz w:val="24"/>
                <w:highlight w:val="none"/>
              </w:rPr>
              <w:t>L；扩展范围：0.1~900</w:t>
            </w:r>
            <w:r>
              <w:rPr>
                <w:rFonts w:hint="eastAsia" w:ascii="仿宋" w:hAnsi="仿宋" w:eastAsia="仿宋" w:cs="仿宋"/>
                <w:color w:val="auto"/>
                <w:sz w:val="24"/>
                <w:highlight w:val="none"/>
              </w:rPr>
              <w:sym w:font="Symbol" w:char="F06D"/>
            </w:r>
            <w:r>
              <w:rPr>
                <w:rFonts w:hint="eastAsia" w:ascii="仿宋" w:hAnsi="仿宋" w:eastAsia="仿宋" w:cs="仿宋"/>
                <w:color w:val="auto"/>
                <w:sz w:val="24"/>
                <w:highlight w:val="none"/>
              </w:rPr>
              <w:t>L</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4.进样精度：&lt; 0.25% RSD；</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5.最高耐压：≥600bar。</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6.交叉污染：&lt;0.004%；</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 ▲控制功能：为保证进样的稳定性，要求该进样器采用不产生气泡的高压计量泵取样，如采用落后的注射泵或低压计量泵+脱气机的形式，则视为不满足。</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五、柱温箱</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 ▲为保证结果的稳定性和准确性，要求柱温箱集成在自动进样器内部，如果是外置或分体式柱温箱则视为不满足；</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2.柱温范围：高于环境温度5℃-80℃；</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3.温度稳定性：±0.1℃；</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4.温度准确度：± 0.5℃；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5.柱箱容积：不少于2根30cm的色谱柱。</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六、可变波长检测器</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1.检测器类型：双光束光度计，支持双波长检测；</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2.光源：氘灯；</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 ▲最大数据采集速率：≥120Hz；</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 ▲短期信号噪声：＜±0.25×10-5 AU（在230nm条件下）；</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5.漂移：＜0.8×10-5AU/hr（在230 nm和254 nm条件下，双波长检测）；</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 ▲吸光度线性范围：&gt;2.5 AU；</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7.波长范围：190-600 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8. 波长准确度：±1nm；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9. 波长精度：＜±0.1nm；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10. ▲狭缝宽度：≤6.5nm；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11.时间可编程控制：波长、极性、峰宽、灯开/关；</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12．制备型流通池：≤0.06 mm 流通池光程</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馏分收集系统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1馏分收集的触发模式：时间收集，峰收集，时间表（不同收集模式联合使用）</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2馏分收集模式：不连续收集：适合所有收集容器，在两个收集容器之间，液流被导向废液</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3操作流速：0-10mL/min</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容器及其容量（所有样品容器及其容量，仪器均自动识别，并自动计算实际载样量）： </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4.可搭配试管：100×2ml试管</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5样品盘：100×2ml恒温样品盘</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6最大流量：10 mL/min</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7兼容性：</w:t>
            </w:r>
            <w:r>
              <w:rPr>
                <w:rFonts w:hint="eastAsia" w:ascii="仿宋" w:hAnsi="仿宋" w:eastAsia="仿宋" w:cs="仿宋"/>
                <w:color w:val="auto"/>
                <w:sz w:val="24"/>
                <w:highlight w:val="none"/>
                <w:lang w:eastAsia="zh-CN"/>
              </w:rPr>
              <w:t>1套</w:t>
            </w:r>
            <w:r>
              <w:rPr>
                <w:rFonts w:hint="eastAsia" w:ascii="仿宋" w:hAnsi="仿宋" w:eastAsia="仿宋" w:cs="仿宋"/>
                <w:color w:val="auto"/>
                <w:sz w:val="24"/>
                <w:highlight w:val="none"/>
              </w:rPr>
              <w:t>系统最多可配备4个馏分收集器。</w:t>
            </w:r>
          </w:p>
          <w:p>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五、配置清单</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w:t>
            </w:r>
            <w:r>
              <w:rPr>
                <w:rFonts w:hint="eastAsia" w:ascii="仿宋" w:hAnsi="仿宋" w:eastAsia="仿宋" w:cs="仿宋"/>
                <w:color w:val="auto"/>
                <w:sz w:val="24"/>
                <w:highlight w:val="none"/>
              </w:rPr>
              <w:t>四元泵系统（仪器内置系统，压力范围：0</w:t>
            </w:r>
            <w:r>
              <w:rPr>
                <w:rFonts w:ascii="仿宋" w:hAnsi="仿宋" w:eastAsia="仿宋" w:cs="仿宋"/>
                <w:color w:val="auto"/>
                <w:sz w:val="24"/>
                <w:highlight w:val="none"/>
              </w:rPr>
              <w:t>-400bar</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w:t>
            </w:r>
            <w:r>
              <w:rPr>
                <w:rFonts w:hint="eastAsia" w:ascii="仿宋" w:hAnsi="仿宋" w:eastAsia="仿宋" w:cs="仿宋"/>
                <w:color w:val="auto"/>
                <w:sz w:val="24"/>
                <w:highlight w:val="none"/>
              </w:rPr>
              <w:t xml:space="preserve">安装工具包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ascii="仿宋" w:hAnsi="仿宋" w:eastAsia="仿宋" w:cs="仿宋"/>
                <w:color w:val="auto"/>
                <w:sz w:val="24"/>
                <w:highlight w:val="none"/>
              </w:rPr>
              <w:t>.</w:t>
            </w:r>
            <w:r>
              <w:rPr>
                <w:rFonts w:hint="eastAsia" w:ascii="仿宋" w:hAnsi="仿宋" w:eastAsia="仿宋" w:cs="仿宋"/>
                <w:color w:val="auto"/>
                <w:sz w:val="24"/>
                <w:highlight w:val="none"/>
              </w:rPr>
              <w:t xml:space="preserve">自动进样器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ascii="仿宋" w:hAnsi="仿宋" w:eastAsia="仿宋" w:cs="仿宋"/>
                <w:color w:val="auto"/>
                <w:sz w:val="24"/>
                <w:highlight w:val="none"/>
              </w:rPr>
              <w:t>.集成式柱温箱</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1套</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rPr>
              <w:t xml:space="preserve">紫外检测器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rPr>
              <w:t xml:space="preserve">馏分收集器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7.原装操作软件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1套</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8.2</w:t>
            </w:r>
            <w:r>
              <w:rPr>
                <w:rFonts w:hint="eastAsia" w:ascii="仿宋" w:hAnsi="仿宋" w:eastAsia="仿宋" w:cs="仿宋"/>
                <w:color w:val="auto"/>
                <w:sz w:val="24"/>
                <w:highlight w:val="none"/>
              </w:rPr>
              <w:t xml:space="preserve">ml样品瓶 </w:t>
            </w:r>
            <w:r>
              <w:rPr>
                <w:rFonts w:ascii="仿宋" w:hAnsi="仿宋" w:eastAsia="仿宋" w:cs="仿宋"/>
                <w:color w:val="auto"/>
                <w:sz w:val="24"/>
                <w:highlight w:val="none"/>
              </w:rPr>
              <w:t>100个</w:t>
            </w:r>
            <w:r>
              <w:rPr>
                <w:rFonts w:hint="eastAsia" w:ascii="仿宋" w:hAnsi="仿宋" w:eastAsia="仿宋" w:cs="仿宋"/>
                <w:color w:val="auto"/>
                <w:sz w:val="24"/>
                <w:highlight w:val="none"/>
              </w:rPr>
              <w:t>/</w:t>
            </w:r>
            <w:r>
              <w:rPr>
                <w:rFonts w:ascii="仿宋" w:hAnsi="仿宋" w:eastAsia="仿宋" w:cs="仿宋"/>
                <w:color w:val="auto"/>
                <w:sz w:val="24"/>
                <w:highlight w:val="none"/>
              </w:rPr>
              <w:t xml:space="preserve">套                                  </w:t>
            </w:r>
            <w:r>
              <w:rPr>
                <w:rFonts w:hint="eastAsia" w:ascii="仿宋" w:hAnsi="仿宋" w:eastAsia="仿宋" w:cs="仿宋"/>
                <w:color w:val="auto"/>
                <w:sz w:val="24"/>
                <w:highlight w:val="none"/>
              </w:rPr>
              <w:t>1套</w:t>
            </w:r>
            <w:r>
              <w:rPr>
                <w:rFonts w:ascii="仿宋" w:hAnsi="仿宋" w:eastAsia="仿宋" w:cs="仿宋"/>
                <w:color w:val="auto"/>
                <w:sz w:val="24"/>
                <w:highlight w:val="none"/>
              </w:rPr>
              <w:t xml:space="preserve"> </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9.</w:t>
            </w:r>
            <w:r>
              <w:rPr>
                <w:rFonts w:hint="eastAsia" w:ascii="仿宋" w:hAnsi="仿宋" w:eastAsia="仿宋" w:cs="仿宋"/>
                <w:color w:val="auto"/>
                <w:sz w:val="24"/>
                <w:highlight w:val="none"/>
              </w:rPr>
              <w:t>色谱柱：</w:t>
            </w:r>
            <w:r>
              <w:rPr>
                <w:rFonts w:ascii="仿宋" w:hAnsi="仿宋" w:eastAsia="仿宋" w:cs="仿宋"/>
                <w:color w:val="auto"/>
                <w:sz w:val="24"/>
                <w:highlight w:val="none"/>
              </w:rPr>
              <w:t>ZORBAX SB 80</w:t>
            </w:r>
            <w:r>
              <w:rPr>
                <w:rFonts w:hint="eastAsia" w:ascii="宋体" w:hAnsi="宋体" w:cs="宋体"/>
                <w:color w:val="auto"/>
                <w:sz w:val="24"/>
                <w:highlight w:val="none"/>
              </w:rPr>
              <w:t>Å</w:t>
            </w:r>
            <w:r>
              <w:rPr>
                <w:rFonts w:ascii="仿宋" w:hAnsi="仿宋" w:eastAsia="仿宋" w:cs="仿宋"/>
                <w:color w:val="auto"/>
                <w:sz w:val="24"/>
                <w:highlight w:val="none"/>
              </w:rPr>
              <w:t xml:space="preserve"> C18柱，4.6x250mm，5um</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1根</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10.</w:t>
            </w:r>
            <w:r>
              <w:rPr>
                <w:rFonts w:hint="eastAsia" w:ascii="仿宋" w:hAnsi="仿宋" w:eastAsia="仿宋" w:cs="仿宋"/>
                <w:color w:val="auto"/>
                <w:sz w:val="24"/>
                <w:highlight w:val="none"/>
              </w:rPr>
              <w:t>色谱柱：色谱柱</w:t>
            </w:r>
            <w:r>
              <w:rPr>
                <w:rFonts w:ascii="仿宋" w:hAnsi="仿宋" w:eastAsia="仿宋" w:cs="仿宋"/>
                <w:color w:val="auto"/>
                <w:sz w:val="24"/>
                <w:highlight w:val="none"/>
              </w:rPr>
              <w:t>,ZORBAX SB 80</w:t>
            </w:r>
            <w:r>
              <w:rPr>
                <w:rFonts w:hint="eastAsia" w:ascii="宋体" w:hAnsi="宋体" w:cs="宋体"/>
                <w:color w:val="auto"/>
                <w:sz w:val="24"/>
                <w:highlight w:val="none"/>
              </w:rPr>
              <w:t>Å</w:t>
            </w:r>
            <w:r>
              <w:rPr>
                <w:rFonts w:ascii="仿宋" w:hAnsi="仿宋" w:eastAsia="仿宋" w:cs="仿宋"/>
                <w:color w:val="auto"/>
                <w:sz w:val="24"/>
                <w:highlight w:val="none"/>
              </w:rPr>
              <w:t xml:space="preserve"> C18柱，9.4x250mm，5um  </w:t>
            </w:r>
            <w:r>
              <w:rPr>
                <w:rFonts w:hint="eastAsia" w:ascii="仿宋" w:hAnsi="仿宋" w:eastAsia="仿宋" w:cs="仿宋"/>
                <w:color w:val="auto"/>
                <w:sz w:val="24"/>
                <w:highlight w:val="none"/>
              </w:rPr>
              <w:t>3根</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1</w:t>
            </w:r>
            <w:r>
              <w:rPr>
                <w:rFonts w:hint="eastAsia" w:ascii="仿宋" w:hAnsi="仿宋" w:eastAsia="仿宋" w:cs="仿宋"/>
                <w:color w:val="auto"/>
                <w:sz w:val="24"/>
                <w:highlight w:val="none"/>
              </w:rPr>
              <w:t>．P</w:t>
            </w:r>
            <w:r>
              <w:rPr>
                <w:rFonts w:ascii="仿宋" w:hAnsi="仿宋" w:eastAsia="仿宋" w:cs="仿宋"/>
                <w:color w:val="auto"/>
                <w:sz w:val="24"/>
                <w:highlight w:val="none"/>
              </w:rPr>
              <w:t>TFE滤芯</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5个/包</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2包</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2.1/16英寸</w:t>
            </w:r>
            <w:r>
              <w:rPr>
                <w:rFonts w:hint="eastAsia" w:ascii="仿宋" w:hAnsi="仿宋" w:eastAsia="仿宋" w:cs="仿宋"/>
                <w:color w:val="auto"/>
                <w:sz w:val="24"/>
                <w:highlight w:val="none"/>
              </w:rPr>
              <w:t>P</w:t>
            </w:r>
            <w:r>
              <w:rPr>
                <w:rFonts w:ascii="仿宋" w:hAnsi="仿宋" w:eastAsia="仿宋" w:cs="仿宋"/>
                <w:color w:val="auto"/>
                <w:sz w:val="24"/>
                <w:highlight w:val="none"/>
              </w:rPr>
              <w:t>EEK手紧式接头</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10</w:t>
            </w:r>
            <w:r>
              <w:rPr>
                <w:rFonts w:hint="eastAsia" w:ascii="仿宋" w:hAnsi="仿宋" w:eastAsia="仿宋" w:cs="仿宋"/>
                <w:color w:val="auto"/>
                <w:sz w:val="24"/>
                <w:highlight w:val="none"/>
              </w:rPr>
              <w:t>/</w:t>
            </w:r>
            <w:r>
              <w:rPr>
                <w:rFonts w:ascii="仿宋" w:hAnsi="仿宋" w:eastAsia="仿宋" w:cs="仿宋"/>
                <w:color w:val="auto"/>
                <w:sz w:val="24"/>
                <w:highlight w:val="none"/>
              </w:rPr>
              <w:t>包</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2包</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3.PEEK管</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0.18*1524mm，</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1.6m                          1根</w:t>
            </w:r>
          </w:p>
          <w:p>
            <w:pPr>
              <w:spacing w:line="380" w:lineRule="exact"/>
              <w:jc w:val="left"/>
              <w:rPr>
                <w:rFonts w:ascii="仿宋" w:hAnsi="仿宋" w:eastAsia="仿宋" w:cs="仿宋"/>
                <w:color w:val="auto"/>
                <w:sz w:val="24"/>
                <w:highlight w:val="none"/>
              </w:rPr>
            </w:pPr>
            <w:r>
              <w:rPr>
                <w:rFonts w:ascii="仿宋" w:hAnsi="仿宋" w:eastAsia="仿宋" w:cs="仿宋"/>
                <w:color w:val="auto"/>
                <w:sz w:val="24"/>
                <w:highlight w:val="none"/>
              </w:rPr>
              <w:t>14.管线切割器</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1个</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5</w:t>
            </w:r>
            <w:r>
              <w:rPr>
                <w:rFonts w:hint="eastAsia" w:ascii="仿宋" w:hAnsi="仿宋" w:eastAsia="仿宋" w:cs="仿宋"/>
                <w:color w:val="auto"/>
                <w:sz w:val="24"/>
                <w:highlight w:val="none"/>
              </w:rPr>
              <w:t>.</w:t>
            </w:r>
            <w:r>
              <w:rPr>
                <w:rFonts w:ascii="仿宋" w:hAnsi="仿宋" w:eastAsia="仿宋" w:cs="仿宋"/>
                <w:color w:val="auto"/>
                <w:sz w:val="24"/>
                <w:highlight w:val="none"/>
              </w:rPr>
              <w:t>试管</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16*48mm   100/包</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1包</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6.样品盘</w:t>
            </w:r>
            <w:r>
              <w:rPr>
                <w:rFonts w:hint="eastAsia" w:ascii="仿宋" w:hAnsi="仿宋" w:eastAsia="仿宋" w:cs="仿宋"/>
                <w:color w:val="auto"/>
                <w:sz w:val="24"/>
                <w:highlight w:val="none"/>
              </w:rPr>
              <w:t>：可放置1</w:t>
            </w:r>
            <w:r>
              <w:rPr>
                <w:rFonts w:ascii="仿宋" w:hAnsi="仿宋" w:eastAsia="仿宋" w:cs="仿宋"/>
                <w:color w:val="auto"/>
                <w:sz w:val="24"/>
                <w:highlight w:val="none"/>
              </w:rPr>
              <w:t>26个</w:t>
            </w:r>
            <w:r>
              <w:rPr>
                <w:rFonts w:hint="eastAsia" w:ascii="仿宋" w:hAnsi="仿宋" w:eastAsia="仿宋" w:cs="仿宋"/>
                <w:color w:val="auto"/>
                <w:sz w:val="24"/>
                <w:highlight w:val="none"/>
              </w:rPr>
              <w:t>1</w:t>
            </w:r>
            <w:r>
              <w:rPr>
                <w:rFonts w:ascii="仿宋" w:hAnsi="仿宋" w:eastAsia="仿宋" w:cs="仿宋"/>
                <w:color w:val="auto"/>
                <w:sz w:val="24"/>
                <w:highlight w:val="none"/>
              </w:rPr>
              <w:t>6*100mm试管</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7.进样针开槽针头</w:t>
            </w:r>
            <w:r>
              <w:rPr>
                <w:rFonts w:hint="eastAsia" w:ascii="仿宋" w:hAnsi="仿宋" w:eastAsia="仿宋" w:cs="仿宋"/>
                <w:color w:val="auto"/>
                <w:sz w:val="24"/>
                <w:highlight w:val="none"/>
              </w:rPr>
              <w:t xml:space="preserve"> 用于自动进样器扩展进样 </w:t>
            </w:r>
            <w:r>
              <w:rPr>
                <w:rFonts w:ascii="仿宋" w:hAnsi="仿宋" w:eastAsia="仿宋" w:cs="仿宋"/>
                <w:color w:val="auto"/>
                <w:sz w:val="24"/>
                <w:highlight w:val="none"/>
              </w:rPr>
              <w:t xml:space="preserve">              1根</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8.柱塞杆密封垫</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2个</w:t>
            </w:r>
            <w:r>
              <w:rPr>
                <w:rFonts w:hint="eastAsia" w:ascii="仿宋" w:hAnsi="仿宋" w:eastAsia="仿宋" w:cs="仿宋"/>
                <w:color w:val="auto"/>
                <w:sz w:val="24"/>
                <w:highlight w:val="none"/>
              </w:rPr>
              <w:t>/</w:t>
            </w:r>
            <w:r>
              <w:rPr>
                <w:rFonts w:ascii="仿宋" w:hAnsi="仿宋" w:eastAsia="仿宋" w:cs="仿宋"/>
                <w:color w:val="auto"/>
                <w:sz w:val="24"/>
                <w:highlight w:val="none"/>
              </w:rPr>
              <w:t>包</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1包</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9.工作站硬件（配置不低于：i7-12700，</w:t>
            </w:r>
            <w:r>
              <w:rPr>
                <w:rFonts w:hint="eastAsia" w:ascii="仿宋" w:hAnsi="仿宋" w:eastAsia="仿宋" w:cs="仿宋"/>
                <w:color w:val="auto"/>
                <w:sz w:val="24"/>
                <w:highlight w:val="none"/>
              </w:rPr>
              <w:t>内存1</w:t>
            </w:r>
            <w:r>
              <w:rPr>
                <w:rFonts w:ascii="仿宋" w:hAnsi="仿宋" w:eastAsia="仿宋" w:cs="仿宋"/>
                <w:color w:val="auto"/>
                <w:sz w:val="24"/>
                <w:highlight w:val="none"/>
              </w:rPr>
              <w:t>6G，</w:t>
            </w:r>
            <w:r>
              <w:rPr>
                <w:rFonts w:hint="eastAsia" w:ascii="仿宋" w:hAnsi="仿宋" w:eastAsia="仿宋" w:cs="仿宋"/>
                <w:color w:val="auto"/>
                <w:sz w:val="24"/>
                <w:highlight w:val="none"/>
              </w:rPr>
              <w:t>5</w:t>
            </w:r>
            <w:r>
              <w:rPr>
                <w:rFonts w:ascii="仿宋" w:hAnsi="仿宋" w:eastAsia="仿宋" w:cs="仿宋"/>
                <w:color w:val="auto"/>
                <w:sz w:val="24"/>
                <w:highlight w:val="none"/>
              </w:rPr>
              <w:t>12G SSD，win10专业版。</w:t>
            </w:r>
            <w:r>
              <w:rPr>
                <w:rFonts w:hint="eastAsia" w:ascii="仿宋" w:hAnsi="仿宋" w:eastAsia="仿宋" w:cs="仿宋"/>
                <w:color w:val="auto"/>
                <w:sz w:val="24"/>
                <w:highlight w:val="none"/>
              </w:rPr>
              <w:t>2</w:t>
            </w:r>
            <w:r>
              <w:rPr>
                <w:rFonts w:ascii="仿宋" w:hAnsi="仿宋" w:eastAsia="仿宋" w:cs="仿宋"/>
                <w:color w:val="auto"/>
                <w:sz w:val="24"/>
                <w:highlight w:val="none"/>
              </w:rPr>
              <w:t>3.8寸显示器）</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 xml:space="preserve">                                1套</w:t>
            </w:r>
          </w:p>
        </w:tc>
        <w:tc>
          <w:tcPr>
            <w:tcW w:w="506"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bCs/>
                <w:color w:val="auto"/>
                <w:sz w:val="24"/>
                <w:highlight w:val="none"/>
              </w:rPr>
              <w:t>套</w:t>
            </w:r>
          </w:p>
        </w:tc>
        <w:tc>
          <w:tcPr>
            <w:tcW w:w="524" w:type="dxa"/>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免费保修期</w:t>
            </w:r>
          </w:p>
        </w:tc>
        <w:tc>
          <w:tcPr>
            <w:tcW w:w="8085" w:type="dxa"/>
            <w:gridSpan w:val="3"/>
            <w:tcBorders>
              <w:bottom w:val="nil"/>
            </w:tcBorders>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1．免费保修期：按国家有关产品“三包”规定执行“三包”，免费保修期最短不得少于 1年（免费保修期从设备验收合格之日起计算，项目要求及技术需求中规定的，按规定执行）。免费保修期内免费上门维修（免收维修费和元器件费）、免费更换零部件，并提供终身维修服务。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售后服务要求</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1．免费送货上门，免费按采购人要求安装调试，免费技术培训，直至操作人员熟练操作产品的各项功能。</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w:t>
            </w:r>
            <w:r>
              <w:rPr>
                <w:rFonts w:hint="eastAsia" w:ascii="仿宋" w:hAnsi="仿宋" w:eastAsia="仿宋" w:cs="仿宋"/>
                <w:color w:val="auto"/>
                <w:sz w:val="24"/>
                <w:highlight w:val="none"/>
                <w:lang w:val="zh-CN"/>
              </w:rPr>
              <w:t>产品自带</w:t>
            </w:r>
            <w:r>
              <w:rPr>
                <w:rFonts w:hint="eastAsia" w:ascii="仿宋" w:hAnsi="仿宋" w:eastAsia="仿宋" w:cs="仿宋"/>
                <w:color w:val="auto"/>
                <w:sz w:val="24"/>
                <w:highlight w:val="none"/>
              </w:rPr>
              <w:t>软件的，则须提供免费保修期内免费升级服务。③其余按厂家承诺执行。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交货期及地点</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1．交货期：自签订合同之日起</w:t>
            </w:r>
            <w:r>
              <w:rPr>
                <w:rFonts w:hint="eastAsia" w:ascii="仿宋" w:hAnsi="仿宋" w:eastAsia="仿宋" w:cs="仿宋"/>
                <w:color w:val="auto"/>
                <w:sz w:val="24"/>
                <w:highlight w:val="none"/>
                <w:lang w:val="en-US" w:eastAsia="zh-CN"/>
              </w:rPr>
              <w:t>9个月</w:t>
            </w:r>
            <w:r>
              <w:rPr>
                <w:rFonts w:hint="eastAsia" w:ascii="仿宋" w:hAnsi="仿宋" w:eastAsia="仿宋" w:cs="仿宋"/>
                <w:color w:val="auto"/>
                <w:sz w:val="24"/>
                <w:highlight w:val="none"/>
              </w:rPr>
              <w:t>内到货并全部安装调试合格完毕；</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2．交货地点：广西桂林市采购人指定地点。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规范标准</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1.采购标的需执行国家标准、行业标准、地方标准或者其他标准、规范。</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2.验收过程中所产生的一切费用均由中标供应商承担。报价时应考虑相关费用。</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3.采购项目需求有其他要求的按其要求。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履约保证金：按中标金额的5%收取（如中标供应商为中小微企业的，按中标金额的2%收取），在合同签订之前，中标供应商向采购人交纳履约保证金。</w:t>
            </w:r>
            <w:r>
              <w:rPr>
                <w:rFonts w:hint="eastAsia" w:ascii="仿宋" w:hAnsi="仿宋" w:eastAsia="仿宋" w:cs="仿宋"/>
                <w:color w:val="auto"/>
                <w:sz w:val="24"/>
                <w:highlight w:val="none"/>
              </w:rPr>
              <w:t>履约保证金交纳方式：转账或电汇形式。履约保证金指定账户【开户名称：桂林理工大学，开户银行：中国银行桂林分行，账号：613257488744】。</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须按上述规定的金额、方式将履约保证金转入桂林理工大学账户。否则，不予签订合同。</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履行完合同约定的权利义务（包括免费保修服务等）事项后7个工作日内，由</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向履约保证金收取单位办理退还手续（不计利息）。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付款方式</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通过最终验收后，乙方开具全额发票（教学科研类国产设备必须开具增值税专用发票）给甲方，甲方收到发票后10个工作日内一次性付清100%的合同价款（无息）。如果项目尚未通过甲方验收，但根据项目实际情况确需提前支付预付款的，甲方可要求乙方提供由银行出具的等额预付款保函（保函有效期应涵盖合同约定的交货期和验收合格期），甲方收到有效的银行保函后支付相应的预付款；项目通过最终验收且甲方收到乙方开具的全额发票后，乙方可根据需要向甲方领取预付款保函（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b/>
                <w:color w:val="auto"/>
                <w:sz w:val="24"/>
                <w:highlight w:val="none"/>
              </w:rPr>
              <w:t>本分标</w:t>
            </w:r>
            <w:r>
              <w:rPr>
                <w:rFonts w:hint="eastAsia" w:ascii="仿宋" w:hAnsi="仿宋" w:eastAsia="仿宋" w:cs="仿宋"/>
                <w:b/>
                <w:color w:val="auto"/>
                <w:sz w:val="24"/>
                <w:highlight w:val="none"/>
                <w:u w:val="single"/>
              </w:rPr>
              <w:t>第1项“拉曼光谱仪”</w:t>
            </w:r>
            <w:r>
              <w:rPr>
                <w:rFonts w:hint="eastAsia" w:ascii="仿宋" w:hAnsi="仿宋" w:eastAsia="仿宋" w:cs="仿宋"/>
                <w:b/>
                <w:color w:val="auto"/>
                <w:sz w:val="24"/>
                <w:highlight w:val="none"/>
              </w:rPr>
              <w:t>为本次采购的核心产品</w:t>
            </w:r>
            <w:r>
              <w:rPr>
                <w:rFonts w:hint="eastAsia" w:ascii="仿宋" w:hAnsi="仿宋" w:eastAsia="仿宋" w:cs="仿宋"/>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（三）其他要求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
                <w:color w:val="auto"/>
                <w:sz w:val="24"/>
                <w:highlight w:val="none"/>
              </w:rPr>
            </w:pPr>
            <w:r>
              <w:rPr>
                <w:rFonts w:hint="eastAsia" w:ascii="仿宋" w:hAnsi="仿宋" w:eastAsia="仿宋" w:cs="仿宋"/>
                <w:bCs/>
                <w:color w:val="auto"/>
                <w:sz w:val="24"/>
                <w:highlight w:val="none"/>
              </w:rPr>
              <w:t>投标与验收要求</w:t>
            </w:r>
          </w:p>
        </w:tc>
        <w:tc>
          <w:tcPr>
            <w:tcW w:w="8085" w:type="dxa"/>
            <w:gridSpan w:val="3"/>
          </w:tcPr>
          <w:p>
            <w:pPr>
              <w:pStyle w:val="14"/>
              <w:numPr>
                <w:ilvl w:val="0"/>
                <w:numId w:val="4"/>
              </w:numPr>
              <w:rPr>
                <w:rFonts w:ascii="仿宋" w:hAnsi="仿宋" w:eastAsia="仿宋" w:cs="仿宋"/>
                <w:color w:val="auto"/>
                <w:highlight w:val="none"/>
              </w:rPr>
            </w:pPr>
            <w:r>
              <w:rPr>
                <w:rFonts w:hint="eastAsia" w:ascii="仿宋" w:hAnsi="仿宋" w:eastAsia="仿宋" w:cs="仿宋"/>
                <w:color w:val="auto"/>
                <w:highlight w:val="none"/>
              </w:rPr>
              <w:t>供应商于投标文件中对所投本项目所有产品的技术参数要求作出真实、有效的响应和承诺。所提供的产品必须为原装正品的、全新的、符合国家有关质量标准的产品。设备到货安装前，采购人现场根据招标文件要求及</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承诺逐条对应进行核验，核验不合格的，采购人有权终止合同执行并全部退货，同时报相关监督管理部门处理，由此造成采购人经济损失的由中标人负责承担全部赔偿责任。如有异议，将交由国家认可并具检验检测资格的第三方机构邀请相关专家进行实际检验，所有产生的费用由</w:t>
            </w:r>
            <w:r>
              <w:rPr>
                <w:rFonts w:hint="eastAsia" w:ascii="仿宋" w:hAnsi="仿宋" w:eastAsia="仿宋" w:cs="仿宋"/>
                <w:color w:val="auto"/>
                <w:highlight w:val="none"/>
                <w:lang w:eastAsia="zh-CN"/>
              </w:rPr>
              <w:t>中标供应商</w:t>
            </w:r>
            <w:r>
              <w:rPr>
                <w:rFonts w:hint="eastAsia" w:ascii="仿宋" w:hAnsi="仿宋" w:eastAsia="仿宋" w:cs="仿宋"/>
                <w:color w:val="auto"/>
                <w:highlight w:val="none"/>
              </w:rPr>
              <w:t>承担。</w:t>
            </w:r>
          </w:p>
          <w:p>
            <w:pPr>
              <w:pStyle w:val="14"/>
              <w:numPr>
                <w:ilvl w:val="0"/>
                <w:numId w:val="4"/>
              </w:numPr>
              <w:rPr>
                <w:rFonts w:ascii="仿宋" w:hAnsi="仿宋" w:eastAsia="仿宋" w:cs="仿宋"/>
                <w:color w:val="auto"/>
                <w:highlight w:val="none"/>
              </w:rPr>
            </w:pPr>
            <w:r>
              <w:rPr>
                <w:rFonts w:hint="eastAsia" w:ascii="仿宋" w:hAnsi="仿宋" w:eastAsia="仿宋" w:cs="仿宋"/>
                <w:color w:val="auto"/>
                <w:highlight w:val="none"/>
              </w:rPr>
              <w:t>本分标设备已按规定办妥进口产品采购审核手续，该产品可选用进口产品，但如选用进口产品时必须为全套原装进口产品（即通过中国海关报关验放进入中国境内且产自境外的产品），报价为人民币报价且为免税价（免进口设备的关税及增值税，若供应商选用进口产品竞标的用人民币之外的其他货币报价或不为免税价的，投标文件按无效处理）。同时供应商必须负责办理进口产品所有相关手续并承担所有费用，采购人不再支付除成交价以外的任何费用，采购人协助办理免税审批手续。在进口产品最后报价相同的情况下，优先采购向我国企业转让技术、与我国企业签订消化吸收再创新方案的供应商的进口产品。</w:t>
            </w:r>
          </w:p>
          <w:p>
            <w:pPr>
              <w:pStyle w:val="14"/>
              <w:numPr>
                <w:ilvl w:val="0"/>
                <w:numId w:val="4"/>
              </w:numPr>
              <w:rPr>
                <w:rFonts w:ascii="仿宋" w:hAnsi="仿宋" w:eastAsia="仿宋" w:cs="仿宋"/>
                <w:color w:val="auto"/>
                <w:highlight w:val="none"/>
              </w:rPr>
            </w:pPr>
            <w:r>
              <w:rPr>
                <w:rFonts w:hint="eastAsia" w:ascii="仿宋" w:hAnsi="仿宋" w:eastAsia="仿宋" w:cs="仿宋"/>
                <w:color w:val="auto"/>
                <w:highlight w:val="none"/>
              </w:rPr>
              <w:t>投标人选用进口产品投标的，投标人于投标文件中必须提供所投产品生产厂家或生产厂家在中国境内设立的全资子公司（或控股公司）或总代理公司出具的针对本项目本产品的授权书原件，否则，其投标文件按无效处理。</w:t>
            </w:r>
          </w:p>
          <w:p>
            <w:pPr>
              <w:pStyle w:val="14"/>
              <w:rPr>
                <w:rFonts w:ascii="仿宋" w:hAnsi="仿宋" w:eastAsia="仿宋" w:cs="仿宋"/>
                <w:color w:val="auto"/>
                <w:highlight w:val="none"/>
              </w:rPr>
            </w:pPr>
            <w:r>
              <w:rPr>
                <w:rFonts w:hint="eastAsia" w:ascii="仿宋" w:hAnsi="仿宋" w:eastAsia="仿宋" w:cs="仿宋"/>
                <w:color w:val="auto"/>
                <w:highlight w:val="none"/>
              </w:rPr>
              <w:t>4．供应商在供货时必须提供所投产品生产厂家针对本项目产品出具的授权委托书及售后服务承诺书原件，否则，不予验收。</w:t>
            </w:r>
          </w:p>
          <w:p>
            <w:pPr>
              <w:pStyle w:val="14"/>
              <w:rPr>
                <w:rFonts w:ascii="仿宋" w:hAnsi="仿宋" w:eastAsia="仿宋" w:cs="仿宋"/>
                <w:color w:val="auto"/>
                <w:highlight w:val="none"/>
              </w:rPr>
            </w:pPr>
            <w:r>
              <w:rPr>
                <w:rFonts w:hint="eastAsia" w:ascii="仿宋" w:hAnsi="仿宋" w:eastAsia="仿宋" w:cs="仿宋"/>
                <w:color w:val="auto"/>
                <w:highlight w:val="none"/>
              </w:rPr>
              <w:t>5．以上《项目要求及技术需求》中的“▲”系指实质性要求，若有任意一项负偏离，作投标无效处理。</w:t>
            </w:r>
          </w:p>
          <w:p>
            <w:pPr>
              <w:pStyle w:val="14"/>
              <w:rPr>
                <w:rFonts w:ascii="仿宋" w:hAnsi="仿宋" w:eastAsia="仿宋" w:cs="仿宋"/>
                <w:color w:val="auto"/>
                <w:highlight w:val="none"/>
                <w:lang w:eastAsia="zh-Hans"/>
              </w:rPr>
            </w:pPr>
            <w:r>
              <w:rPr>
                <w:rFonts w:hint="eastAsia" w:ascii="仿宋" w:hAnsi="仿宋" w:eastAsia="仿宋" w:cs="仿宋"/>
                <w:color w:val="auto"/>
                <w:highlight w:val="none"/>
              </w:rPr>
              <w:t>6.以上《项目要求及技术需求》中未标注“▲”的技术参数发生实质性负偏离达5项（含）以上的，作投标无效处理。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（四）投标人的资信要求表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政策性加分条件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政府采购促进中小企业发展管理办法》（财库〔2020〕46号），《关于我区政府采购支持监狱企业发展有关问题的通知》（桂财采[2015]24号），《三部门联合发布关于促进残疾人就业政府采购政策的通知》（财库〔2017〕141号），《关于调整优化节能产品、环境标志产品政府采购执行机制的通知》（财库〔2019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详见评标办法及标准</w:t>
            </w:r>
          </w:p>
        </w:tc>
      </w:tr>
    </w:tbl>
    <w:p>
      <w:pPr>
        <w:snapToGrid w:val="0"/>
        <w:jc w:val="left"/>
        <w:rPr>
          <w:rFonts w:ascii="宋体" w:hAnsi="宋体" w:cs="宋体"/>
          <w:color w:val="auto"/>
          <w:szCs w:val="21"/>
          <w:highlight w:val="none"/>
        </w:rPr>
      </w:pPr>
    </w:p>
    <w:p>
      <w:pPr>
        <w:pStyle w:val="14"/>
        <w:rPr>
          <w:rFonts w:ascii="宋体" w:hAnsi="宋体" w:cs="宋体"/>
          <w:color w:val="auto"/>
          <w:sz w:val="21"/>
          <w:szCs w:val="21"/>
          <w:highlight w:val="none"/>
        </w:rPr>
      </w:pPr>
    </w:p>
    <w:p>
      <w:pPr>
        <w:pStyle w:val="14"/>
        <w:rPr>
          <w:rFonts w:hint="eastAsia" w:ascii="仿宋" w:hAnsi="仿宋" w:eastAsia="仿宋" w:cs="宋体"/>
          <w:b/>
          <w:bCs/>
          <w:color w:val="auto"/>
          <w:highlight w:val="none"/>
        </w:rPr>
      </w:pPr>
    </w:p>
    <w:p>
      <w:pPr>
        <w:pStyle w:val="14"/>
        <w:rPr>
          <w:rFonts w:hint="eastAsia" w:ascii="仿宋" w:hAnsi="仿宋" w:eastAsia="仿宋" w:cs="宋体"/>
          <w:b/>
          <w:bCs/>
          <w:color w:val="auto"/>
          <w:highlight w:val="none"/>
        </w:rPr>
      </w:pPr>
    </w:p>
    <w:p>
      <w:pPr>
        <w:pStyle w:val="14"/>
        <w:rPr>
          <w:rFonts w:ascii="仿宋" w:hAnsi="仿宋" w:eastAsia="仿宋" w:cs="宋体"/>
          <w:b/>
          <w:bCs/>
          <w:color w:val="auto"/>
          <w:highlight w:val="none"/>
        </w:rPr>
      </w:pPr>
      <w:r>
        <w:rPr>
          <w:rFonts w:hint="eastAsia" w:ascii="仿宋" w:hAnsi="仿宋" w:eastAsia="仿宋" w:cs="宋体"/>
          <w:b/>
          <w:bCs/>
          <w:color w:val="auto"/>
          <w:highlight w:val="none"/>
        </w:rPr>
        <w:t>B分标：</w:t>
      </w:r>
    </w:p>
    <w:tbl>
      <w:tblPr>
        <w:tblStyle w:val="27"/>
        <w:tblW w:w="10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1181"/>
        <w:gridCol w:w="183"/>
        <w:gridCol w:w="7055"/>
        <w:gridCol w:w="506"/>
        <w:gridCol w:w="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10036" w:type="dxa"/>
            <w:gridSpan w:val="6"/>
            <w:vAlign w:val="center"/>
          </w:tcPr>
          <w:p>
            <w:pPr>
              <w:widowControl/>
              <w:spacing w:line="380" w:lineRule="exact"/>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587"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项号</w:t>
            </w:r>
          </w:p>
        </w:tc>
        <w:tc>
          <w:tcPr>
            <w:tcW w:w="1181"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货物名称</w:t>
            </w:r>
          </w:p>
        </w:tc>
        <w:tc>
          <w:tcPr>
            <w:tcW w:w="7238" w:type="dxa"/>
            <w:gridSpan w:val="2"/>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color w:val="auto"/>
                <w:sz w:val="24"/>
                <w:highlight w:val="none"/>
              </w:rPr>
              <w:t>项目要求及技术需求</w:t>
            </w:r>
          </w:p>
        </w:tc>
        <w:tc>
          <w:tcPr>
            <w:tcW w:w="506"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524"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587" w:type="dxa"/>
            <w:vAlign w:val="center"/>
          </w:tcPr>
          <w:p>
            <w:pPr>
              <w:spacing w:line="3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1181" w:type="dxa"/>
            <w:vAlign w:val="center"/>
          </w:tcPr>
          <w:p>
            <w:pPr>
              <w:spacing w:line="380" w:lineRule="exact"/>
              <w:jc w:val="center"/>
              <w:rPr>
                <w:rFonts w:ascii="仿宋" w:hAnsi="仿宋" w:eastAsia="仿宋" w:cs="仿宋"/>
                <w:color w:val="auto"/>
                <w:spacing w:val="-2"/>
                <w:sz w:val="24"/>
                <w:highlight w:val="none"/>
              </w:rPr>
            </w:pPr>
            <w:r>
              <w:rPr>
                <w:rFonts w:hint="eastAsia" w:ascii="仿宋" w:hAnsi="仿宋" w:eastAsia="仿宋" w:cs="仿宋"/>
                <w:color w:val="auto"/>
                <w:sz w:val="24"/>
                <w:highlight w:val="none"/>
              </w:rPr>
              <w:t>超分辨荧光显微镜</w:t>
            </w:r>
          </w:p>
        </w:tc>
        <w:tc>
          <w:tcPr>
            <w:tcW w:w="7238" w:type="dxa"/>
            <w:gridSpan w:val="2"/>
          </w:tcPr>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 激光光源部分</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超分辨激光整合器部分：配置激发波长能满足常用荧光染料需要的长寿命高功率固体激光器，激光整合器每个激光器均可实现各通道激光的高速独立调节，均通过AOTF控制强度。 </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1.1 紫外激光器：波长405nm，光纤输出功率≥50mW；</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1.2 蓝光激光器：波长488nm，光纤输出功率≥100mW；</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1.3 绿光激光器：波长561nm，光纤输出功率≥70mW；</w:t>
            </w:r>
            <w:r>
              <w:rPr>
                <w:rFonts w:hint="eastAsia" w:ascii="仿宋" w:hAnsi="仿宋" w:eastAsia="仿宋" w:cs="仿宋"/>
                <w:color w:val="auto"/>
                <w:sz w:val="24"/>
                <w:highlight w:val="none"/>
              </w:rPr>
              <w:tab/>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1.4 红光激光器：波长640nm，光纤输出功率≥140mW；</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1.5 激光器：波长445nm，光纤输出功率≥20mW；</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1.6 激光器：波长515nm，光纤输出功率≥20mW。</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其中405nm、488nm、561nm、640nm用于STORM：405nm用于活化其它成像通道的染料，488nm、561nm、640nm用于STORM成像。</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 随机光学重构超分辨技术部分</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 成像分辨率：纵向（XY）分辨率≤20nm，轴向（Z）分辨率≤50nm。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▲2.2 成像模式：2D-STORM，3D-STORM，3D-Stack多层叠加模式，同时支持染料对成像（normal mode）及单染料连续成像模式（continuous mode）。</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2.3 成像视野：≥80X80μm。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▲2.4 采集速度：≥500Hz。</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2.5 多色成像：≥三色。</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2.6 使用漂移校正算法校正XYZ方向上的位置漂移。</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2.7 借助荧光小球校正XYZ方向上的位置漂移。</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2.8 TIRF照明对焦方式：自动对焦、手动对焦。</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2.9 TIRF照明入射角调节：自动调节（可自动寻找临界角）、手动调节。</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2.10 入射光方向调节范围：360度调节。</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2.11 电动柱状透镜，切换2D，3D成像模式。</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2.12 电动变倍镜（1X，2X，4X，8X）改变照明强度与区域。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2.13 具备实时预览功能，激光自动调节。可在拍摄同时查看原始图像、统计信息及重构的超分辨率图像，在线分析数据可保存。</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2.14 后期分析具备串色校正及色差校正功能，保证图像特异性与图像分辨率。</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2.15 随机光学重构超分辨部分与全电动倒置显微镜为同一品牌产品，不接受第三方拼凑产品。</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 超高灵敏度制冷型SCMOS成像系统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▲3.1 量子效率≥95%；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3.2 全分辨率≥2304X2304；</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3.3 像素尺寸≥6.5X6.5（μm）；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3.4 芯片尺寸≥14.976X14.976（mm）；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3.5 满阱容量≥15000（e）；</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3.6 全分辨率下最大帧频≥89.1 (fps)，最大帧率≥41000（fps）；</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3.7 读取噪声≤0.7electrons，rms；</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3.8 A/D模数转换位数≥16bit。</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 全电动倒置显微镜部分</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 全电动研究型倒置显微镜，主机具备电动Z轴调焦机构，内置智能型1.5倍变倍镜与对中望远镜。显微镜状态指示灯，电动部件控制按钮。具备无线网络功能可通过平板电脑等智能设备实时控制。</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4.2 显微镜光学系统：采用先进的齐焦距离≥60mm独立校正色差无限远光学系统，各光学部件独立、自动校正色差，以达到最优质的图像及最大灵活性、扩展性。</w:t>
            </w:r>
          </w:p>
          <w:p>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 电动4档位光路切换，1档:目镜100%、2档:左侧端口100%、3档:右侧端口100%、4档:目镜20%/左侧端口80%分光。机身左侧端口成像视野≥22mm，右侧端口成像视野≥22mm。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4.4 目镜筒符合人机学，可调节瞳距，FOV≥22mm。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4.5 透射光源：高功率长寿命LED照明，内置复眼光学透镜。</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4.6 七孔位电动聚光镜转盘。起偏镜智能检测，聚光镜工作距离≥30mm。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4.7 六位电动控制物镜转换器，DIC插片智能检测，物镜间具备自动齐焦功能。</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4.8 物镜（均可配合焦点稳定系统使用）：</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（1）复消色差APO物镜10X（N.A. ≥0.45）；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（2）复消色差APO物镜20X（N.A. ≥0.80）；</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（3）STORM专用超高功率复消色差APO物镜100X（N.A. ≥1.49），油浸物镜。</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4.9 六位电动荧光滤镜转盘，内置电动光闸。</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4.10 研究级L型落射荧光照明装置，内置高透过率石英复眼光学透镜。</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▲4.11 荧光光源：四通道高规格LED荧光照明系统，照明直接耦合显微镜，减少光纤传导损耗，可单独控制每个波段的开关和光强；长寿命，预计超过20000小时的运行时间。</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4.12 带通型荧光滤色块：DAPI、FITC、TRITC、Cy5。</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4.13 全自动高精度编码型载物台，有效行程X向≥±57mm，Y向≥±36.5mm，最大速度25mm/s。</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▲4.14 Z轴调节步进≤10nm。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4.15 显微镜焦点稳定系统：毫秒级主动式焦点稳定装置，实时跟踪焦面，兼容全系列观察方式与物镜。使用855nm红外校正激光，提供广泛的荧光染料适应性。兼容玻璃与塑料底培养器皿。</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4.16 电陶瓷高精度Z轴，步进≤3nm，行程≥100μm。</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4.17 显微镜主机为可扩展的双层光路机架，同时具备1.5倍变倍镜和左侧端口、右侧端口，提供绝佳的扩展配置功能，可组合不同功能模块。机身内置智能型1.5倍变倍，配置中间变倍不占用一层光路。</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4.18 主机预留后部端口，为后期升级提供平台。</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 计算机及相关软件部份</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5.1 图像工作站系统：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（1）英特尔(R)至强Xeon两个，需配备双CPU；</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（2）RAM：≥64GB内存；</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（3）硬盘：≥1TB固态硬盘1个，2TB机械硬盘1个；</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（4）光驱：16X DVD+/-RW 刻录机；</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（5）显示器：34寸专业级显示器1个；</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（6）预装64位英文版Windows10 pro操作系统。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5.2 软件系统</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（1）建立在windows 10操作系统上，使用先进程序语言，程序执行效率高、稳定。整个系统程序包括控制、检测、分析功能，设计合理，操作界面友好，操作简便。</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（2）控制电动显微镜。</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（3）选择激光波长，调节激光强度。</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（4）拍摄2-6维图像。</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（5）多通道叠加，三维重建，旋转，生成AVI文件，Average拍摄模式提高信噪比。</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（6）随机重构方式超分辨率图像的解析运算。</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（7）结随机重构方式软件具有对原始文件进行批量处理的功能。</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（8）荧光强度动态分析，动态显示。</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（9）图像调节：亮度，对比度，Gamma；单个通道分别调节或多个通道同时调节。</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（10）工作编程，大量数据分析处理功能。</w:t>
            </w:r>
          </w:p>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 附属装备</w:t>
            </w:r>
            <w:r>
              <w:rPr>
                <w:rFonts w:ascii="仿宋" w:hAnsi="仿宋" w:eastAsia="仿宋" w:cs="仿宋"/>
                <w:i w:val="0"/>
                <w:caps w:val="0"/>
                <w:color w:val="auto"/>
                <w:spacing w:val="0"/>
                <w:kern w:val="0"/>
                <w:sz w:val="18"/>
                <w:szCs w:val="18"/>
                <w:highlight w:val="none"/>
                <w:u w:val="none"/>
                <w:lang w:val="en-US" w:eastAsia="zh-CN" w:bidi="ar"/>
              </w:rPr>
              <w:br w:type="textWrapping"/>
            </w:r>
            <w:r>
              <w:rPr>
                <w:rFonts w:hint="eastAsia" w:ascii="仿宋" w:hAnsi="仿宋" w:eastAsia="仿宋" w:cs="仿宋"/>
                <w:color w:val="auto"/>
                <w:sz w:val="24"/>
                <w:highlight w:val="none"/>
                <w:lang w:val="en-US" w:eastAsia="zh-CN"/>
              </w:rPr>
              <w:t>6.1 工作台：电脑桌尺寸≥长1200mm X宽600mm X高800mm；</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6.2 防震台：尺寸≥长1500mm X宽1000mm X高800mm，台面厚度≥100mm，支撑腿数量4个，支腿尺寸≥120mm X 120mm，隔振方式：气浮隔振（空气弹簧，隔振橡胶）；</w:t>
            </w:r>
            <w:r>
              <w:rPr>
                <w:rFonts w:hint="eastAsia" w:ascii="仿宋" w:hAnsi="仿宋" w:eastAsia="仿宋" w:cs="仿宋"/>
                <w:color w:val="auto"/>
                <w:sz w:val="24"/>
                <w:highlight w:val="none"/>
                <w:lang w:val="en-US" w:eastAsia="zh-CN"/>
              </w:rPr>
              <w:br w:type="textWrapping"/>
            </w:r>
            <w:r>
              <w:rPr>
                <w:rFonts w:hint="eastAsia" w:ascii="仿宋" w:hAnsi="仿宋" w:eastAsia="仿宋" w:cs="仿宋"/>
                <w:color w:val="auto"/>
                <w:sz w:val="24"/>
                <w:highlight w:val="none"/>
                <w:lang w:val="en-US" w:eastAsia="zh-CN"/>
              </w:rPr>
              <w:t>6.3 UPS不间断电源：额定功率4000W，断电后工作≥15分钟。</w:t>
            </w:r>
          </w:p>
        </w:tc>
        <w:tc>
          <w:tcPr>
            <w:tcW w:w="506"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bCs/>
                <w:color w:val="auto"/>
                <w:sz w:val="24"/>
                <w:highlight w:val="none"/>
              </w:rPr>
              <w:t>套</w:t>
            </w:r>
          </w:p>
        </w:tc>
        <w:tc>
          <w:tcPr>
            <w:tcW w:w="524" w:type="dxa"/>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免费保修期</w:t>
            </w:r>
          </w:p>
        </w:tc>
        <w:tc>
          <w:tcPr>
            <w:tcW w:w="8085" w:type="dxa"/>
            <w:gridSpan w:val="3"/>
            <w:tcBorders>
              <w:bottom w:val="nil"/>
            </w:tcBorders>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1．免费保修期：按国家有关产品“三包”规定执行“三包”，免费保修期最短不得少于 1   年（免费保修期从设备验收合格之日起计算，项目要求及技术需求中规定的，按规定执行）。免费保修期内免费上门维修（免收维修费和元器件费）、免费更换零部件，并提供终身维修服务。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售后服务要求</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1．免费送货上门，免费按采购人要求安装调试，免费技术培训，直至操作人员熟练操作产品的各项功能。</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w:t>
            </w:r>
            <w:r>
              <w:rPr>
                <w:rFonts w:hint="eastAsia" w:ascii="仿宋" w:hAnsi="仿宋" w:eastAsia="仿宋" w:cs="仿宋"/>
                <w:color w:val="auto"/>
                <w:sz w:val="24"/>
                <w:highlight w:val="none"/>
                <w:lang w:val="zh-CN"/>
              </w:rPr>
              <w:t>产品自带</w:t>
            </w:r>
            <w:r>
              <w:rPr>
                <w:rFonts w:hint="eastAsia" w:ascii="仿宋" w:hAnsi="仿宋" w:eastAsia="仿宋" w:cs="仿宋"/>
                <w:color w:val="auto"/>
                <w:sz w:val="24"/>
                <w:highlight w:val="none"/>
              </w:rPr>
              <w:t>软件的，则须提供免费保修期内免费升级服务。③其余按厂家承诺执行。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交货期及地点</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1．交货期：自签订合同之日起</w:t>
            </w:r>
            <w:r>
              <w:rPr>
                <w:rFonts w:hint="eastAsia" w:ascii="仿宋" w:hAnsi="仿宋" w:eastAsia="仿宋" w:cs="仿宋"/>
                <w:color w:val="auto"/>
                <w:sz w:val="24"/>
                <w:highlight w:val="none"/>
                <w:lang w:val="en-US" w:eastAsia="zh-CN"/>
              </w:rPr>
              <w:t>9个月内</w:t>
            </w:r>
            <w:r>
              <w:rPr>
                <w:rFonts w:hint="eastAsia" w:ascii="仿宋" w:hAnsi="仿宋" w:eastAsia="仿宋" w:cs="仿宋"/>
                <w:color w:val="auto"/>
                <w:sz w:val="24"/>
                <w:highlight w:val="none"/>
              </w:rPr>
              <w:t>到货并全部安装调试合格完毕；</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2．交货地点：广西桂林市采购人指定地点。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0"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规范标准</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1.采购标的需执行国家标准、行业标准、地方标准或者其他标准、规范。</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2.验收过程中所产生的一切费用均由中标供应商承担。报价时应考虑相关费用。</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3.采购项目需求有其他要求的按其要求。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履约保证金：按中标金额的5%收取（如中标供应商为中小微企业的，按中标金额的2%收取），在合同签订之前，中标供应商向采购人交纳履约保证金。</w:t>
            </w:r>
            <w:r>
              <w:rPr>
                <w:rFonts w:hint="eastAsia" w:ascii="仿宋" w:hAnsi="仿宋" w:eastAsia="仿宋" w:cs="仿宋"/>
                <w:color w:val="auto"/>
                <w:sz w:val="24"/>
                <w:highlight w:val="none"/>
              </w:rPr>
              <w:t>履约保证金交纳方式：转账或电汇形式。履约保证金指定账户【开户名称：桂林理工大学，开户银行：中国银行桂林分行，账号：613257488744】。</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须按上述规定的金额、方式将履约保证金转入桂林理工大学账户。否则，不予签订合同。</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履行完合同约定的权利义务（包括免费保修服务等）事项后7个工作日内，由</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向履约保证金收取单位办理退还手续（不计利息）。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付款方式</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通过最终验收后，乙方开具全额发票（教学科研类国产设备必须开具增值税专用发票）给甲方，甲方收到发票后10个工作日内一次性付清100%的合同价款（无息）。如果项目尚未通过甲方验收，但根据项目实际情况确需提前支付预付款的，甲方可要求乙方提供由银行出具的等额预付款保函（保函有效期应涵盖合同约定的交货期和验收合格期），甲方收到有效的银行保函后支付相应的预付款；项目通过最终验收且甲方收到乙方开具的全额发票后，乙方可根据需要向甲方领取预付款保函（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（三）其他要求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
                <w:color w:val="auto"/>
                <w:sz w:val="24"/>
                <w:highlight w:val="none"/>
              </w:rPr>
            </w:pPr>
            <w:r>
              <w:rPr>
                <w:rFonts w:hint="eastAsia" w:ascii="仿宋" w:hAnsi="仿宋" w:eastAsia="仿宋" w:cs="仿宋"/>
                <w:bCs/>
                <w:color w:val="auto"/>
                <w:sz w:val="24"/>
                <w:highlight w:val="none"/>
              </w:rPr>
              <w:t>投标与验收要求</w:t>
            </w:r>
          </w:p>
        </w:tc>
        <w:tc>
          <w:tcPr>
            <w:tcW w:w="8085" w:type="dxa"/>
            <w:gridSpan w:val="3"/>
          </w:tcPr>
          <w:p>
            <w:pPr>
              <w:pStyle w:val="14"/>
              <w:rPr>
                <w:rFonts w:ascii="仿宋" w:hAnsi="仿宋" w:eastAsia="仿宋" w:cs="仿宋"/>
                <w:color w:val="auto"/>
                <w:highlight w:val="none"/>
              </w:rPr>
            </w:pPr>
            <w:r>
              <w:rPr>
                <w:rFonts w:hint="eastAsia" w:ascii="仿宋" w:hAnsi="仿宋" w:eastAsia="仿宋" w:cs="仿宋"/>
                <w:color w:val="auto"/>
                <w:highlight w:val="none"/>
              </w:rPr>
              <w:t>1.供应商于投标文件中对所投本项目所有产品的技术参数要求作出真实、有效的响应和承诺。所提供的产品必须为原装正品的、全新的、符合国家有关质量标准的产品。设备到货安装前，采购人现场根据招标文件要求及投响应文件承诺逐条对应进行核验，核验不合格的，采购人有权终止合同执行并全部退货，同时报相关监督管理部门处理，由此造成采购人经济损失的由中标人负责承担全部赔偿责任。如有异议，将交由国家认可并具检验检测资格的第三方机构邀请相关专家进行实际检验，所有产生的费用由</w:t>
            </w:r>
            <w:r>
              <w:rPr>
                <w:rFonts w:hint="eastAsia" w:ascii="仿宋" w:hAnsi="仿宋" w:eastAsia="仿宋" w:cs="仿宋"/>
                <w:color w:val="auto"/>
                <w:highlight w:val="none"/>
                <w:lang w:eastAsia="zh-CN"/>
              </w:rPr>
              <w:t>中标供应商</w:t>
            </w:r>
            <w:r>
              <w:rPr>
                <w:rFonts w:hint="eastAsia" w:ascii="仿宋" w:hAnsi="仿宋" w:eastAsia="仿宋" w:cs="仿宋"/>
                <w:color w:val="auto"/>
                <w:highlight w:val="none"/>
              </w:rPr>
              <w:t>承担。</w:t>
            </w:r>
          </w:p>
          <w:p>
            <w:pPr>
              <w:pStyle w:val="14"/>
              <w:rPr>
                <w:rFonts w:ascii="仿宋" w:hAnsi="仿宋" w:eastAsia="仿宋" w:cs="仿宋"/>
                <w:color w:val="auto"/>
                <w:highlight w:val="none"/>
              </w:rPr>
            </w:pPr>
            <w:r>
              <w:rPr>
                <w:rFonts w:hint="eastAsia" w:ascii="仿宋" w:hAnsi="仿宋" w:eastAsia="仿宋" w:cs="仿宋"/>
                <w:color w:val="auto"/>
                <w:highlight w:val="none"/>
              </w:rPr>
              <w:t>2.本分标设备已按规定办妥进口产品采购审核手续，该产品可选用进口产品，但如选用进口产品时必须为全套原装进口产品（即通过中国海关报关验放进入中国境内且产自境外的产品），报价为人民币报价且为免税价（免进口设备的关税及增值税，若供应商选用进口产品竞标的用人民币之外的其他货币报价或不为免税价的，投标文件按无效处理）。同时供应商必须负责办理进口产品所有相关手续并承担所有费用，采购人不再支付除成交价以外的任何费用，采购人协助办理免税审批手续。在进口产品最后报价相同的情况下，优先采购向我国企业转让技术、与我国企业签订消化吸收再创新方案的供应商的进口产品。</w:t>
            </w:r>
          </w:p>
          <w:p>
            <w:pPr>
              <w:pStyle w:val="14"/>
              <w:rPr>
                <w:rFonts w:ascii="仿宋" w:hAnsi="仿宋" w:eastAsia="仿宋" w:cs="仿宋"/>
                <w:color w:val="auto"/>
                <w:highlight w:val="none"/>
              </w:rPr>
            </w:pPr>
            <w:r>
              <w:rPr>
                <w:rFonts w:hint="eastAsia" w:ascii="仿宋" w:hAnsi="仿宋" w:eastAsia="仿宋" w:cs="仿宋"/>
                <w:color w:val="auto"/>
                <w:highlight w:val="none"/>
              </w:rPr>
              <w:t>3.投标人选用进口产品投标的，投标人于投标文件中必须提供所投产品生产厂家或生产厂家在中国境内设立的全资子公司（或控股公司）或总代理公司出具的针对本项目本产品的授权书原件，否则，其投标文件按无效处理。</w:t>
            </w:r>
          </w:p>
          <w:p>
            <w:pPr>
              <w:pStyle w:val="14"/>
              <w:rPr>
                <w:rFonts w:ascii="仿宋" w:hAnsi="仿宋" w:eastAsia="仿宋" w:cs="仿宋"/>
                <w:color w:val="auto"/>
                <w:highlight w:val="none"/>
              </w:rPr>
            </w:pPr>
            <w:r>
              <w:rPr>
                <w:rFonts w:hint="eastAsia" w:ascii="仿宋" w:hAnsi="仿宋" w:eastAsia="仿宋" w:cs="仿宋"/>
                <w:color w:val="auto"/>
                <w:highlight w:val="none"/>
              </w:rPr>
              <w:t>4．供应商在供货时必须提供所投产品生产厂家针对本项目产品出具的授权委托书及售后服务承诺书原件，否则，不予验收。</w:t>
            </w:r>
          </w:p>
          <w:p>
            <w:pPr>
              <w:pStyle w:val="14"/>
              <w:rPr>
                <w:rFonts w:ascii="仿宋" w:hAnsi="仿宋" w:eastAsia="仿宋" w:cs="仿宋"/>
                <w:color w:val="auto"/>
                <w:highlight w:val="none"/>
              </w:rPr>
            </w:pPr>
            <w:r>
              <w:rPr>
                <w:rFonts w:hint="eastAsia" w:ascii="仿宋" w:hAnsi="仿宋" w:eastAsia="仿宋" w:cs="仿宋"/>
                <w:color w:val="auto"/>
                <w:highlight w:val="none"/>
              </w:rPr>
              <w:t>5．以上《项目要求及技术需求》中的“▲”系指实质性要求，若有任意一项负偏离，作投标无效处理。</w:t>
            </w:r>
          </w:p>
          <w:p>
            <w:pPr>
              <w:pStyle w:val="14"/>
              <w:rPr>
                <w:rFonts w:ascii="仿宋" w:hAnsi="仿宋" w:eastAsia="仿宋" w:cs="仿宋"/>
                <w:color w:val="auto"/>
                <w:highlight w:val="none"/>
                <w:lang w:eastAsia="zh-Hans"/>
              </w:rPr>
            </w:pPr>
            <w:r>
              <w:rPr>
                <w:rFonts w:hint="eastAsia" w:ascii="仿宋" w:hAnsi="仿宋" w:eastAsia="仿宋" w:cs="仿宋"/>
                <w:color w:val="auto"/>
                <w:highlight w:val="none"/>
              </w:rPr>
              <w:t>6.以上《项目要求及技术需求》中未标注“▲”的技术参数发生实质性负偏离达5项（含）以上的，作投标无效处理。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（四）投标人的资信要求表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政策性加分条件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政府采购促进中小企业发展管理办法》（财库〔2020〕46号），《关于我区政府采购支持监狱企业发展有关问题的通知》（桂财采[2015]24号），《三部门联合发布关于促进残疾人就业政府采购政策的通知》（财库〔2017〕141号），《关于调整优化节能产品、环境标志产品政府采购执行机制的通知》（财库〔2019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详见评标办法及标准</w:t>
            </w:r>
          </w:p>
        </w:tc>
      </w:tr>
    </w:tbl>
    <w:p>
      <w:pPr>
        <w:snapToGrid w:val="0"/>
        <w:jc w:val="left"/>
        <w:rPr>
          <w:rFonts w:ascii="宋体" w:hAnsi="宋体" w:cs="宋体"/>
          <w:color w:val="auto"/>
          <w:szCs w:val="21"/>
          <w:highlight w:val="none"/>
        </w:rPr>
      </w:pPr>
    </w:p>
    <w:p>
      <w:pPr>
        <w:pStyle w:val="14"/>
        <w:rPr>
          <w:rFonts w:ascii="仿宋" w:hAnsi="仿宋" w:eastAsia="仿宋" w:cs="宋体"/>
          <w:b/>
          <w:bCs/>
          <w:color w:val="auto"/>
          <w:highlight w:val="none"/>
        </w:rPr>
      </w:pPr>
    </w:p>
    <w:p>
      <w:pPr>
        <w:pStyle w:val="14"/>
        <w:keepNext w:val="0"/>
        <w:keepLines w:val="0"/>
        <w:pageBreakBefore/>
        <w:widowControl w:val="0"/>
        <w:kinsoku/>
        <w:wordWrap/>
        <w:overflowPunct/>
        <w:topLinePunct w:val="0"/>
        <w:autoSpaceDE/>
        <w:autoSpaceDN/>
        <w:bidi w:val="0"/>
        <w:adjustRightInd/>
        <w:snapToGrid/>
        <w:textAlignment w:val="auto"/>
        <w:outlineLvl w:val="9"/>
        <w:rPr>
          <w:rFonts w:ascii="仿宋" w:hAnsi="仿宋" w:eastAsia="仿宋" w:cs="宋体"/>
          <w:b/>
          <w:bCs/>
          <w:color w:val="auto"/>
          <w:highlight w:val="none"/>
        </w:rPr>
      </w:pPr>
      <w:r>
        <w:rPr>
          <w:rFonts w:hint="eastAsia" w:ascii="仿宋" w:hAnsi="仿宋" w:eastAsia="仿宋" w:cs="宋体"/>
          <w:b/>
          <w:bCs/>
          <w:color w:val="auto"/>
          <w:highlight w:val="none"/>
        </w:rPr>
        <w:t>C分标：</w:t>
      </w:r>
    </w:p>
    <w:tbl>
      <w:tblPr>
        <w:tblStyle w:val="27"/>
        <w:tblW w:w="10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1181"/>
        <w:gridCol w:w="183"/>
        <w:gridCol w:w="7055"/>
        <w:gridCol w:w="506"/>
        <w:gridCol w:w="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10036" w:type="dxa"/>
            <w:gridSpan w:val="6"/>
            <w:vAlign w:val="center"/>
          </w:tcPr>
          <w:p>
            <w:pPr>
              <w:widowControl/>
              <w:spacing w:line="380" w:lineRule="exact"/>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trPr>
        <w:tc>
          <w:tcPr>
            <w:tcW w:w="587"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项号</w:t>
            </w:r>
          </w:p>
        </w:tc>
        <w:tc>
          <w:tcPr>
            <w:tcW w:w="1181"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货物名称</w:t>
            </w:r>
          </w:p>
        </w:tc>
        <w:tc>
          <w:tcPr>
            <w:tcW w:w="7238" w:type="dxa"/>
            <w:gridSpan w:val="2"/>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color w:val="auto"/>
                <w:sz w:val="24"/>
                <w:highlight w:val="none"/>
              </w:rPr>
              <w:t>项目要求及技术需求</w:t>
            </w:r>
          </w:p>
        </w:tc>
        <w:tc>
          <w:tcPr>
            <w:tcW w:w="506"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524" w:type="dxa"/>
            <w:vAlign w:val="center"/>
          </w:tcPr>
          <w:p>
            <w:pPr>
              <w:widowControl/>
              <w:spacing w:line="38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587" w:type="dxa"/>
            <w:vAlign w:val="center"/>
          </w:tcPr>
          <w:p>
            <w:pPr>
              <w:spacing w:line="3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1181"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气相色谱质谱联用仪</w:t>
            </w:r>
          </w:p>
        </w:tc>
        <w:tc>
          <w:tcPr>
            <w:tcW w:w="7238" w:type="dxa"/>
            <w:gridSpan w:val="2"/>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一、工作条件：</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1.电源：220V，50Hz；</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2.温度：操作环境20˚C -35˚C；</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3.湿度: 操作状态25-50%，非操作状态20-80%。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二、系统功能要求：</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1.色谱性能：保留时间重现性&lt;0.06%，峰面积重现性 &lt; 2% RSD；</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2.最多可同时安装：不少于2个进样口，3个检测器；</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3.要求该系统采用微通道EPC架构，可有效防止颗粒物、水汽和油等气体污染物，可大幅度提高仪器可靠性和使用寿命；</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4.彩色触摸屏：可访问气相色谱设定值、状态信息，仪器配置、流路和色谱图，帮助确认分析是否按预期进行；</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▲5.具备远程智能访问功能，可从任意浏览器（包含平板电脑、笔记本电脑或手机）对仪器进行访问，无需色谱工作站即可编辑 GC方法和序列；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▲6.早期维护反馈 (EMF)：不少于30个计数器，以用于跟踪各种进样口、检测器和自动进样器参数以及消耗品的使用情况。</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三、柱温箱：</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1.操作温度：室温+8-425℃；</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2.温度设定精度：0.1℃；</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3.最大升温速率：75℃/min；</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4.最长运行时间：999.99分钟；</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5.程度升温梯度：20阶（允许负梯度）；</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6.温度稳定性：环境温度每变化1℃,柱温箱温度变化＜0.01℃；</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7.柱温箱降温速率：350℃-50℃，＜5.7 min（25℃室温下）。</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四、分流/不分流进样口：</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1.具备电子压力/流量控制、隔垫吹扫功能；</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2.具备泄漏/限流、压力衰减和分流出口限流测试诊断功能（去螺帽隔垫吹扫和分流出口）；</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3.最高操作温度：400℃；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4.压力设定范围：0-100Psi；</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▲5.最大分流比：12500:1；</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6.流量设置范围：0-500mL/min（以N2为载气时）, 0-1250mL/min（以H2、He为载气时）；</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7.扳转式进样口密封系统：无需工具、无需拆卸螺丝，能够在 30 秒内快速更换进样口衬管，方便使用和维护。</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五、自动进样系统：</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1.液体进样量范围：通常介于0.1-50μL之间；</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2.样品位数：不低于16位；</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3.进样量线性：≥99%；</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4.交叉污染：＜十万分之一；</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5.直接可以柱头进样在250/320/530 um毛细柱；</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6.进样速度：3种模式（高速/低速/自定义速度），吸取样品深度可调；</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7.可实现快速进样，进样速度0.1 sec；</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8.拆装方便：安装后系统自动识别、直接使用，无需重新安装驱动程序等繁琐步骤；</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9.可重叠进样，节省时间，提高效率。</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六、四级杆质谱仪部分技术指标要求：</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1.离子源：配置EI源，独立控温，最高温度可到350℃；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2.气质接口温度: 独立控温，最高温度可到350℃；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3.质量数范围：1.0-1090u；</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▲4.最大离子化能量：≥240eV；</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5.扫描速率：＞10000 u/s；</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▲6.无损双灯丝设计，灯丝受长效保护，提高灯丝寿命，灯丝电流：0-315uA；</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▲7.四极杆质量分析器：石英镀金共轭双曲面四极杆（非金属钼型），能独立控温，可通过软件设定四极杆温度，最高可达200℃；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▲8.质量准确度：OFN单同位素出现在 m/z 271.987±0.005处；</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9.谱图准确度：不低于99.0%；</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10.质量稳定性：优于0.10 u/48小时；</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▲11.仪器检测限指标（验收指标）及灵敏度：IDL: ≤10 fg ，100fg OFN 连续8次进样，99%置信水平下分析计算而得，所有测试中使用的色谱柱规格必须为 30 m × 0.25 mm, 0.25 μm；</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▲12.信噪比：1μL 1pg/μL八氟萘针对标称质量数为 272.0 u 的离子在 50 - 300 u 范围内扫描，信噪比大于 5000:1，所有测试中使用的色谱柱规格必须为 30 m × 0.25 mm, 0.25 μm；</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13.扫描功能:全扫描(Full Scan)、选择离子扫描模式(SIM)、全扫描和选择离子同时扫描（SIM/SCAN）、轮廓图扫描（Profile）。</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七、数据处理系统：</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1.软件：气质串接软件同时包含中文和英文两种软件；</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2.通用谱库：NIST20谱库和化学结构式库 (不少于32万张)；</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▲3.可提供单独的脂肪酸甲酯库(37种)、挥发性有机化合物库(66种)、香精香料库(419种)、毒物库(277种)；</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▲4.ACT标识：仪器具备ACT认证，具备绿色实验室标识，实现实验室效率、生产力和可持续性的相互联系，助力实验室可持续发展目标，以应对碳中和的节能化实验室变化要求。</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八、配置要求：</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1.气相色谱仪主机，1台；</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2.分流/不分流进样口，1个；</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3.质谱接口，1个；</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4.液体自动进样器，1套；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5.质谱系统主机，1套；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6.最新NIST谱库，1套；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7.原装质谱工作站（包含硬件及软件），1套；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8.气相色谱安装工具包，1套；</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9.色谱柱，1根；</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10.</w:t>
            </w:r>
            <w:r>
              <w:rPr>
                <w:rFonts w:ascii="仿宋" w:hAnsi="仿宋" w:eastAsia="仿宋" w:cs="仿宋"/>
                <w:color w:val="auto"/>
                <w:sz w:val="24"/>
                <w:highlight w:val="none"/>
              </w:rPr>
              <w:t>UPS不间断电源</w:t>
            </w:r>
            <w:r>
              <w:rPr>
                <w:rFonts w:hint="eastAsia" w:ascii="仿宋" w:hAnsi="仿宋" w:eastAsia="仿宋" w:cs="仿宋"/>
                <w:color w:val="auto"/>
                <w:sz w:val="24"/>
                <w:highlight w:val="none"/>
              </w:rPr>
              <w:t>，1套。</w:t>
            </w:r>
          </w:p>
        </w:tc>
        <w:tc>
          <w:tcPr>
            <w:tcW w:w="506"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套</w:t>
            </w:r>
          </w:p>
        </w:tc>
        <w:tc>
          <w:tcPr>
            <w:tcW w:w="524" w:type="dxa"/>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免费保修期</w:t>
            </w:r>
          </w:p>
        </w:tc>
        <w:tc>
          <w:tcPr>
            <w:tcW w:w="8085" w:type="dxa"/>
            <w:gridSpan w:val="3"/>
            <w:tcBorders>
              <w:bottom w:val="nil"/>
            </w:tcBorders>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1．免费保修期：按国家有关产品“三包”规定执行“三包”，免费保修期最短不得少于 1   年（免费保修期从设备验收合格之日起计算，项目要求及技术需求中规定的，按规定执行）。免费保修期内免费上门维修（免收维修费和元器件费）、免费更换零部件，并提供终身维修服务。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售后服务要求</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1．免费送货上门，免费按采购人要求安装调试，免费技术培训，直至操作人员熟练操作产品的各项功能。</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w:t>
            </w:r>
            <w:r>
              <w:rPr>
                <w:rFonts w:hint="eastAsia" w:ascii="仿宋" w:hAnsi="仿宋" w:eastAsia="仿宋" w:cs="仿宋"/>
                <w:color w:val="auto"/>
                <w:sz w:val="24"/>
                <w:highlight w:val="none"/>
                <w:lang w:val="zh-CN"/>
              </w:rPr>
              <w:t>产品自带</w:t>
            </w:r>
            <w:r>
              <w:rPr>
                <w:rFonts w:hint="eastAsia" w:ascii="仿宋" w:hAnsi="仿宋" w:eastAsia="仿宋" w:cs="仿宋"/>
                <w:color w:val="auto"/>
                <w:sz w:val="24"/>
                <w:highlight w:val="none"/>
              </w:rPr>
              <w:t>软件的，则须提供免费保修期内免费升级服务。③其余按厂家承诺执行。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交货期及地点</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1．交货期：自签订合同之日起</w:t>
            </w:r>
            <w:r>
              <w:rPr>
                <w:rFonts w:hint="eastAsia" w:ascii="仿宋" w:hAnsi="仿宋" w:eastAsia="仿宋" w:cs="仿宋"/>
                <w:color w:val="auto"/>
                <w:sz w:val="24"/>
                <w:highlight w:val="none"/>
                <w:lang w:val="en-US" w:eastAsia="zh-CN"/>
              </w:rPr>
              <w:t xml:space="preserve"> 9个月</w:t>
            </w:r>
            <w:r>
              <w:rPr>
                <w:rFonts w:hint="eastAsia" w:ascii="仿宋" w:hAnsi="仿宋" w:eastAsia="仿宋" w:cs="仿宋"/>
                <w:color w:val="auto"/>
                <w:sz w:val="24"/>
                <w:highlight w:val="none"/>
              </w:rPr>
              <w:t>内到货并全部安装调试合格完毕；</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2．交货地点：广西桂林市采购人指定地点。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规范标准</w:t>
            </w:r>
          </w:p>
        </w:tc>
        <w:tc>
          <w:tcPr>
            <w:tcW w:w="8085" w:type="dxa"/>
            <w:gridSpan w:val="3"/>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1.采购标的需执行国家标准、行业标准、地方标准或者其他标准、规范。</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2.验收过程中所产生的一切费用均由中标供应商承担。报价时应考虑相关费用。</w:t>
            </w:r>
          </w:p>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3.采购项目需求有其他要求的按其要求。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履约保证金：按中标金额的5%收取（如中标供应商为中小微企业的，按中标金额的2%收取），在合同签订之前，中标供应商向采购人交纳履约保证金。</w:t>
            </w:r>
            <w:r>
              <w:rPr>
                <w:rFonts w:hint="eastAsia" w:ascii="仿宋" w:hAnsi="仿宋" w:eastAsia="仿宋" w:cs="仿宋"/>
                <w:color w:val="auto"/>
                <w:sz w:val="24"/>
                <w:highlight w:val="none"/>
              </w:rPr>
              <w:t>履约保证金交纳方式：转账或电汇形式。履约保证金指定账户【开户名称：桂林理工大学，开户银行：中国银行桂林分行，账号：613257488744】。</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须按上述规定的金额、方式将履约保证金转入桂林理工大学账户。否则，不予签订合同。</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履行完合同约定的权利义务（包括免费保修服务等）事项后7个工作日内，由</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向履约保证金收取单位办理退还手续（不计利息）。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pacing w:line="38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付款方式</w:t>
            </w:r>
          </w:p>
        </w:tc>
        <w:tc>
          <w:tcPr>
            <w:tcW w:w="8085" w:type="dxa"/>
            <w:gridSpan w:val="3"/>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通过最终验收后，乙方开具全额发票（教学科研类国产设备必须开具增值税专用发票）给甲方，甲方收到发票后10个工作日内一次性付清100%的合同价款（无息）。如果项目尚未通过甲方验收，但根据项目实际情况确需提前支付预付款的，甲方可要求乙方提供由银行出具的等额预付款保函（保函有效期应涵盖合同约定的交货期和验收合格期），甲方收到有效的银行保函后支付相应的预付款；项目通过最终验收且甲方收到乙方开具的全额发票后，乙方可根据需要向甲方领取预付款保函（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（三）其他要求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b/>
                <w:color w:val="auto"/>
                <w:sz w:val="24"/>
                <w:highlight w:val="none"/>
              </w:rPr>
            </w:pPr>
            <w:r>
              <w:rPr>
                <w:rFonts w:hint="eastAsia" w:ascii="仿宋" w:hAnsi="仿宋" w:eastAsia="仿宋" w:cs="仿宋"/>
                <w:bCs/>
                <w:color w:val="auto"/>
                <w:sz w:val="24"/>
                <w:highlight w:val="none"/>
              </w:rPr>
              <w:t>投标与验收要求</w:t>
            </w:r>
          </w:p>
        </w:tc>
        <w:tc>
          <w:tcPr>
            <w:tcW w:w="8085" w:type="dxa"/>
            <w:gridSpan w:val="3"/>
          </w:tcPr>
          <w:p>
            <w:pPr>
              <w:pStyle w:val="14"/>
              <w:rPr>
                <w:rFonts w:ascii="仿宋" w:hAnsi="仿宋" w:eastAsia="仿宋" w:cs="仿宋"/>
                <w:color w:val="auto"/>
                <w:highlight w:val="none"/>
              </w:rPr>
            </w:pPr>
            <w:r>
              <w:rPr>
                <w:rFonts w:hint="eastAsia" w:ascii="仿宋" w:hAnsi="仿宋" w:eastAsia="仿宋" w:cs="仿宋"/>
                <w:color w:val="auto"/>
                <w:highlight w:val="none"/>
              </w:rPr>
              <w:t>1.供应商于投标文件中对所投本项目所有产品的技术参数要求作出真实、有效的响应和承诺。所提供的产品必须为原装正品的、全新的、符合国家有关质量标准的产品。设备到货安装前，采购人现场根据招标文件要求及投响应文件承诺逐条对应进行核验，核验不合格的，采购人有权终止合同执行并全部退货，同时报相关监督管理部门处理，由此造成采购人经济损失的由中标人负责承担全部赔偿责任。如有异议，将交由国家认可并具检验检测资格的第三方机构邀请相关专家进行实际检验，所有产生的费用由</w:t>
            </w:r>
            <w:r>
              <w:rPr>
                <w:rFonts w:hint="eastAsia" w:ascii="仿宋" w:hAnsi="仿宋" w:eastAsia="仿宋" w:cs="仿宋"/>
                <w:color w:val="auto"/>
                <w:highlight w:val="none"/>
                <w:lang w:eastAsia="zh-CN"/>
              </w:rPr>
              <w:t>中标供应商</w:t>
            </w:r>
            <w:r>
              <w:rPr>
                <w:rFonts w:hint="eastAsia" w:ascii="仿宋" w:hAnsi="仿宋" w:eastAsia="仿宋" w:cs="仿宋"/>
                <w:color w:val="auto"/>
                <w:highlight w:val="none"/>
              </w:rPr>
              <w:t>承担。</w:t>
            </w:r>
          </w:p>
          <w:p>
            <w:pPr>
              <w:pStyle w:val="14"/>
              <w:rPr>
                <w:rFonts w:ascii="仿宋" w:hAnsi="仿宋" w:eastAsia="仿宋" w:cs="仿宋"/>
                <w:color w:val="auto"/>
                <w:highlight w:val="none"/>
              </w:rPr>
            </w:pPr>
            <w:r>
              <w:rPr>
                <w:rFonts w:hint="eastAsia" w:ascii="仿宋" w:hAnsi="仿宋" w:eastAsia="仿宋" w:cs="仿宋"/>
                <w:color w:val="auto"/>
                <w:highlight w:val="none"/>
              </w:rPr>
              <w:t>2.本分标设备已按规定办妥进口产品采购审核手续，该产品可选用进口产品，但如选用进口产品时必须为全套原装进口产品（即通过中国海关报关验放进入中国境内且产自境外的产品），报价为人民币报价且为免税价（免进口设备的关税及增值税，若供应商选用进口产品竞标的用人民币之外的其他货币报价或不为免税价的，投标文件按无效处理）。同时供应商必须负责办理进口产品所有相关手续并承担所有费用，采购人不再支付除成交价以外的任何费用，采购人协助办理免税审批手续。在进口产品最后报价相同的情况下，优先采购向我国企业转让技术、与我国企业签订消化吸收再创新方案的供应商的进口产品。</w:t>
            </w:r>
          </w:p>
          <w:p>
            <w:pPr>
              <w:pStyle w:val="14"/>
              <w:rPr>
                <w:rFonts w:ascii="仿宋" w:hAnsi="仿宋" w:eastAsia="仿宋" w:cs="仿宋"/>
                <w:color w:val="auto"/>
                <w:highlight w:val="none"/>
              </w:rPr>
            </w:pPr>
            <w:r>
              <w:rPr>
                <w:rFonts w:hint="eastAsia" w:ascii="仿宋" w:hAnsi="仿宋" w:eastAsia="仿宋" w:cs="仿宋"/>
                <w:color w:val="auto"/>
                <w:highlight w:val="none"/>
              </w:rPr>
              <w:t>3.投标人选用进口产品投标的，投标人于投标文件中必须提供所投产品生产厂家或生产厂家在中国境内设立的全资子公司（或控股公司）或总代理公司出具的针对本项目本产品的授权书原件，否则，其投标文件按无效处理。</w:t>
            </w:r>
          </w:p>
          <w:p>
            <w:pPr>
              <w:pStyle w:val="14"/>
              <w:rPr>
                <w:rFonts w:ascii="仿宋" w:hAnsi="仿宋" w:eastAsia="仿宋" w:cs="仿宋"/>
                <w:color w:val="auto"/>
                <w:highlight w:val="none"/>
              </w:rPr>
            </w:pPr>
            <w:r>
              <w:rPr>
                <w:rFonts w:hint="eastAsia" w:ascii="仿宋" w:hAnsi="仿宋" w:eastAsia="仿宋" w:cs="仿宋"/>
                <w:color w:val="auto"/>
                <w:highlight w:val="none"/>
              </w:rPr>
              <w:t>4．供应商在供货时必须提供所投产品生产厂家针对本项目产品出具的授权委托书及售后服务承诺书原件，否则，不予验收。</w:t>
            </w:r>
          </w:p>
          <w:p>
            <w:pPr>
              <w:pStyle w:val="14"/>
              <w:rPr>
                <w:rFonts w:ascii="仿宋" w:hAnsi="仿宋" w:eastAsia="仿宋" w:cs="仿宋"/>
                <w:color w:val="auto"/>
                <w:highlight w:val="none"/>
              </w:rPr>
            </w:pPr>
            <w:r>
              <w:rPr>
                <w:rFonts w:hint="eastAsia" w:ascii="仿宋" w:hAnsi="仿宋" w:eastAsia="仿宋" w:cs="仿宋"/>
                <w:color w:val="auto"/>
                <w:highlight w:val="none"/>
              </w:rPr>
              <w:t>5．以上《项目要求及技术需求》中的“▲”系指实质性要求，若有任意一项负偏离，作投标无效处理。</w:t>
            </w:r>
          </w:p>
          <w:p>
            <w:pPr>
              <w:pStyle w:val="14"/>
              <w:rPr>
                <w:rFonts w:ascii="仿宋" w:hAnsi="仿宋" w:eastAsia="仿宋" w:cs="仿宋"/>
                <w:color w:val="auto"/>
                <w:highlight w:val="none"/>
                <w:lang w:eastAsia="zh-Hans"/>
              </w:rPr>
            </w:pPr>
            <w:r>
              <w:rPr>
                <w:rFonts w:hint="eastAsia" w:ascii="仿宋" w:hAnsi="仿宋" w:eastAsia="仿宋" w:cs="仿宋"/>
                <w:color w:val="auto"/>
                <w:highlight w:val="none"/>
              </w:rPr>
              <w:t>6.以上《项目要求及技术需求》中未标注“▲”的技术参数发生实质性负偏离达5项（含）以上的，作投标无效处理。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0036" w:type="dxa"/>
            <w:gridSpan w:val="6"/>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（四）投标人的资信要求表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政策性加分条件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政府采购促进中小企业发展管理办法》（财库〔2020〕46号），《关于我区政府采购支持监狱企业发展有关问题的通知》（桂财采[2015]24号），《三部门联合发布关于促进残疾人就业政府采购政策的通知》（财库〔2017〕141号），《关于调整优化节能产品、环境标志产品政府采购执行机制的通知》（财库〔2019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1951" w:type="dxa"/>
            <w:gridSpan w:val="3"/>
            <w:vAlign w:val="center"/>
          </w:tcPr>
          <w:p>
            <w:pPr>
              <w:snapToGrid w:val="0"/>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其它加分条件</w:t>
            </w:r>
          </w:p>
        </w:tc>
        <w:tc>
          <w:tcPr>
            <w:tcW w:w="8085" w:type="dxa"/>
            <w:gridSpan w:val="3"/>
            <w:vAlign w:val="center"/>
          </w:tcPr>
          <w:p>
            <w:pPr>
              <w:snapToGrid w:val="0"/>
              <w:spacing w:line="380" w:lineRule="exact"/>
              <w:rPr>
                <w:rFonts w:ascii="仿宋" w:hAnsi="仿宋" w:eastAsia="仿宋" w:cs="仿宋"/>
                <w:color w:val="auto"/>
                <w:kern w:val="0"/>
                <w:sz w:val="24"/>
                <w:highlight w:val="none"/>
                <w:lang w:bidi="ar"/>
              </w:rPr>
            </w:pPr>
            <w:r>
              <w:rPr>
                <w:rFonts w:hint="eastAsia" w:ascii="仿宋" w:hAnsi="仿宋" w:eastAsia="仿宋" w:cs="仿宋"/>
                <w:color w:val="auto"/>
                <w:sz w:val="24"/>
                <w:highlight w:val="none"/>
              </w:rPr>
              <w:t>详见评标办法及标准</w:t>
            </w:r>
          </w:p>
        </w:tc>
      </w:tr>
    </w:tbl>
    <w:p>
      <w:pPr>
        <w:snapToGrid w:val="0"/>
        <w:jc w:val="left"/>
        <w:rPr>
          <w:rFonts w:ascii="宋体" w:hAnsi="宋体" w:cs="宋体"/>
          <w:color w:val="auto"/>
          <w:szCs w:val="21"/>
          <w:highlight w:val="none"/>
        </w:rPr>
      </w:pPr>
    </w:p>
    <w:p>
      <w:pPr>
        <w:pStyle w:val="14"/>
        <w:rPr>
          <w:rFonts w:ascii="宋体" w:hAnsi="宋体" w:cs="宋体"/>
          <w:color w:val="auto"/>
          <w:sz w:val="21"/>
          <w:szCs w:val="21"/>
          <w:highlight w:val="none"/>
        </w:rPr>
      </w:pPr>
    </w:p>
    <w:p>
      <w:pPr>
        <w:pStyle w:val="14"/>
        <w:rPr>
          <w:rFonts w:ascii="宋体" w:hAnsi="宋体" w:cs="宋体"/>
          <w:color w:val="auto"/>
          <w:sz w:val="21"/>
          <w:szCs w:val="21"/>
          <w:highlight w:val="none"/>
        </w:rPr>
      </w:pPr>
    </w:p>
    <w:p>
      <w:pPr>
        <w:pageBreakBefore/>
        <w:spacing w:line="320" w:lineRule="exact"/>
        <w:rPr>
          <w:rFonts w:ascii="仿宋" w:hAnsi="仿宋" w:eastAsia="仿宋" w:cs="宋体"/>
          <w:color w:val="auto"/>
          <w:sz w:val="32"/>
          <w:szCs w:val="32"/>
          <w:highlight w:val="none"/>
        </w:rPr>
      </w:pPr>
      <w:r>
        <w:rPr>
          <w:rFonts w:ascii="仿宋" w:hAnsi="仿宋" w:eastAsia="仿宋" w:cs="Arial"/>
          <w:b/>
          <w:bCs/>
          <w:color w:val="auto"/>
          <w:sz w:val="24"/>
          <w:highlight w:val="none"/>
        </w:rPr>
        <w:t xml:space="preserve"> </w:t>
      </w:r>
      <w:r>
        <w:rPr>
          <w:rFonts w:hint="eastAsia" w:ascii="仿宋" w:hAnsi="仿宋" w:eastAsia="仿宋" w:cs="宋体"/>
          <w:color w:val="auto"/>
          <w:sz w:val="32"/>
          <w:szCs w:val="32"/>
          <w:highlight w:val="none"/>
        </w:rPr>
        <w:t>附件1：</w:t>
      </w:r>
    </w:p>
    <w:p>
      <w:pPr>
        <w:spacing w:line="528" w:lineRule="exact"/>
        <w:jc w:val="center"/>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节能产品政府采购品目清单</w:t>
      </w:r>
    </w:p>
    <w:tbl>
      <w:tblPr>
        <w:tblStyle w:val="27"/>
        <w:tblW w:w="10205" w:type="dxa"/>
        <w:jc w:val="center"/>
        <w:tblInd w:w="0" w:type="dxa"/>
        <w:tblLayout w:type="fixed"/>
        <w:tblCellMar>
          <w:top w:w="0" w:type="dxa"/>
          <w:left w:w="0" w:type="dxa"/>
          <w:bottom w:w="0" w:type="dxa"/>
          <w:right w:w="0" w:type="dxa"/>
        </w:tblCellMar>
      </w:tblPr>
      <w:tblGrid>
        <w:gridCol w:w="716"/>
        <w:gridCol w:w="1590"/>
        <w:gridCol w:w="1981"/>
        <w:gridCol w:w="6"/>
        <w:gridCol w:w="2002"/>
        <w:gridCol w:w="3903"/>
        <w:gridCol w:w="7"/>
      </w:tblGrid>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依据的标准</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44" w:line="283" w:lineRule="auto"/>
              <w:ind w:left="7"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64" w:line="283" w:lineRule="auto"/>
              <w:ind w:left="7" w:right="5"/>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《微型计算机能效限定值及能效等级》（GB28380）</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A0201060101喷墨打</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5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★A0201060102激光</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5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★A0201060104针式</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68"/>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★A0201060401液晶</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8"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《计算机显示器能效限定值及能效等级》（GB21520）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9"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参照《复印机、打印机和传真机能效限定值及能效等级》（GB21521</w:t>
            </w:r>
          </w:p>
          <w:p>
            <w:pPr>
              <w:pStyle w:val="29"/>
              <w:spacing w:before="12" w:line="283" w:lineRule="auto"/>
              <w:ind w:left="7" w:right="5"/>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中打印速度为15页/分的针式打印机相关要求</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《投影机能效限定值及能效等级</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（GB32028）</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《复印机、打印机和传真机能效限定值及能效等级》（GB21521）</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《清水离心泵能效限定值及节能评价值》（GB19762）</w:t>
            </w:r>
          </w:p>
        </w:tc>
      </w:tr>
      <w:tr>
        <w:tblPrEx>
          <w:tblLayout w:type="fixed"/>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A020523制冷空调设备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《冷水机组能效限定值及能效等级》（GB19577），《低环境温度空气源热泵（冷水）机组能效限定值及能效等级》（GB37480）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《水（地）源热泵机组能效限定值及能效等级》（GB30721）</w:t>
            </w:r>
          </w:p>
        </w:tc>
      </w:tr>
      <w:tr>
        <w:tblPrEx>
          <w:tblLayout w:type="fixed"/>
          <w:tblCellMar>
            <w:top w:w="0" w:type="dxa"/>
            <w:left w:w="0" w:type="dxa"/>
            <w:bottom w:w="0" w:type="dxa"/>
            <w:right w:w="0" w:type="dxa"/>
          </w:tblCellMar>
        </w:tblPrEx>
        <w:trPr>
          <w:trHeight w:val="647"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9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9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《溴化锂吸收式冷水机组能效限定值及能效等级》（GB29540）</w:t>
            </w:r>
          </w:p>
        </w:tc>
      </w:tr>
      <w:tr>
        <w:tblPrEx>
          <w:tblLayout w:type="fixed"/>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5"/>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0"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241"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w:t>
            </w:r>
          </w:p>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9"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《单元式空气调节机能效限定值及能效等级》（GB19576）《风管送风式空调机组能效限定值及能效等级》（GB37479）</w:t>
            </w:r>
          </w:p>
        </w:tc>
      </w:tr>
      <w:tr>
        <w:tblPrEx>
          <w:tblLayout w:type="fixed"/>
          <w:tblCellMar>
            <w:top w:w="0" w:type="dxa"/>
            <w:left w:w="0" w:type="dxa"/>
            <w:bottom w:w="0" w:type="dxa"/>
            <w:right w:w="0" w:type="dxa"/>
          </w:tblCellMar>
        </w:tblPrEx>
        <w:trPr>
          <w:trHeight w:val="637" w:hRule="atLeast"/>
          <w:jc w:val="center"/>
        </w:trPr>
        <w:tc>
          <w:tcPr>
            <w:tcW w:w="716"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right w:val="single" w:color="auto" w:sz="4" w:space="0"/>
            </w:tcBorders>
            <w:vAlign w:val="center"/>
          </w:tcPr>
          <w:p>
            <w:pPr>
              <w:pStyle w:val="29"/>
              <w:spacing w:before="8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83"/>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《单元式空气调节机能效限定值及能效等级》（GB19576）</w:t>
            </w:r>
          </w:p>
        </w:tc>
      </w:tr>
      <w:tr>
        <w:tblPrEx>
          <w:tblLayout w:type="fixed"/>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6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《机械通风冷却塔第1部分：中小型开式冷却塔》（GB/T7190.1）</w:t>
            </w:r>
          </w:p>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《机械通风冷却塔第2部分：大型开式冷却塔》（GB/T7190.2</w:t>
            </w:r>
          </w:p>
        </w:tc>
      </w:tr>
      <w:tr>
        <w:tblPrEx>
          <w:tblLayout w:type="fixed"/>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《中小型三相异步电动机能效限定值及能效等级》（GB18613）</w:t>
            </w:r>
          </w:p>
        </w:tc>
      </w:tr>
      <w:tr>
        <w:tblPrEx>
          <w:tblLayout w:type="fixed"/>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p>
        </w:tc>
        <w:tc>
          <w:tcPr>
            <w:tcW w:w="1590" w:type="dxa"/>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《三相配电变压器能效限定值及能效等级》（GB20052）</w:t>
            </w:r>
          </w:p>
        </w:tc>
      </w:tr>
      <w:tr>
        <w:tblPrEx>
          <w:tblLayout w:type="fixed"/>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9</w:t>
            </w:r>
          </w:p>
        </w:tc>
        <w:tc>
          <w:tcPr>
            <w:tcW w:w="1590" w:type="dxa"/>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《管形荧光灯镇流器能效限定值及能效等级》（GB17896）</w:t>
            </w:r>
          </w:p>
        </w:tc>
      </w:tr>
      <w:tr>
        <w:tblPrEx>
          <w:tblLayout w:type="fixed"/>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10</w:t>
            </w:r>
          </w:p>
        </w:tc>
        <w:tc>
          <w:tcPr>
            <w:tcW w:w="1590" w:type="dxa"/>
            <w:vMerge w:val="restart"/>
            <w:tcBorders>
              <w:top w:val="single" w:color="auto" w:sz="4" w:space="0"/>
              <w:left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《家用电冰箱耗电量限定值及能效等级》（GB12021.2）</w:t>
            </w:r>
          </w:p>
        </w:tc>
      </w:tr>
      <w:tr>
        <w:tblPrEx>
          <w:tblLayout w:type="fixed"/>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9"/>
              <w:spacing w:before="171"/>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★A0206180203空调</w:t>
            </w:r>
          </w:p>
          <w:p>
            <w:pPr>
              <w:pStyle w:val="29"/>
              <w:spacing w:before="50"/>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《转速可控型房间空气调节器能效限定值及能效等级》（GB21455-2013），待2019年修订发布后，按《房间空气调节器能效限定值及能效等级》（GB21455-2019）实施。</w:t>
            </w:r>
          </w:p>
        </w:tc>
      </w:tr>
      <w:tr>
        <w:tblPrEx>
          <w:tblLayout w:type="fixed"/>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0"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4"/>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《单元式空气调节机能效限定值及能源效率等级》（GB19576）《风</w:t>
            </w:r>
          </w:p>
        </w:tc>
      </w:tr>
      <w:tr>
        <w:tblPrEx>
          <w:tblLayout w:type="fixed"/>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pStyle w:val="29"/>
              <w:spacing w:line="256" w:lineRule="exact"/>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line="256" w:lineRule="exact"/>
              <w:ind w:lef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管送风式空调机组能效限定值及能效等级》（GB37479）</w:t>
            </w:r>
          </w:p>
        </w:tc>
      </w:tr>
      <w:tr>
        <w:tblPrEx>
          <w:tblLayout w:type="fixed"/>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9"/>
              <w:spacing w:before="16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pPr>
              <w:pStyle w:val="29"/>
              <w:spacing w:before="6"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61"/>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tabs>
                <w:tab w:val="left" w:pos="1608"/>
              </w:tabs>
              <w:spacing w:before="52"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《家用燃气快速热水器和燃气采暖热水炉能效限定值及能效等级》</w:t>
            </w:r>
          </w:p>
          <w:p>
            <w:pPr>
              <w:pStyle w:val="29"/>
              <w:spacing w:before="12"/>
              <w:ind w:left="7"/>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590" w:type="dxa"/>
            <w:vMerge w:val="continue"/>
            <w:tcBorders>
              <w:left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93"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52"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92" w:line="283" w:lineRule="auto"/>
              <w:ind w:left="7" w:right="2"/>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92"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83" w:line="283" w:lineRule="auto"/>
              <w:ind w:left="7"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line="283" w:lineRule="auto"/>
              <w:ind w:right="7"/>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《坐便器水效限定值及水效等级》</w:t>
            </w:r>
          </w:p>
          <w:p>
            <w:pPr>
              <w:pStyle w:val="29"/>
              <w:spacing w:before="124" w:line="283" w:lineRule="auto"/>
              <w:ind w:left="7" w:right="4"/>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4"/>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kern w:val="0"/>
                <w:sz w:val="24"/>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《小便器用水效率限定值及用水效率等级》（GB28377）</w:t>
            </w:r>
          </w:p>
        </w:tc>
      </w:tr>
      <w:tr>
        <w:tblPrEx>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《水嘴用水效率限定值及用水效率等级》（GB 25501）</w:t>
            </w:r>
          </w:p>
        </w:tc>
      </w:tr>
      <w:tr>
        <w:tblPrEx>
          <w:tblLayout w:type="fixed"/>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《便器冲洗阀用水效率限定值及用水效率等级》（GB28379）</w:t>
            </w:r>
          </w:p>
        </w:tc>
      </w:tr>
      <w:tr>
        <w:tblPrEx>
          <w:tblLayout w:type="fixed"/>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pPr>
              <w:pStyle w:val="29"/>
              <w:spacing w:before="124" w:line="283" w:lineRule="auto"/>
              <w:ind w:left="7" w:right="4"/>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《淋浴器用水效率限定值及用水效率等级》（GB28378）</w:t>
            </w:r>
          </w:p>
        </w:tc>
      </w:tr>
    </w:tbl>
    <w:p>
      <w:pPr>
        <w:pStyle w:val="14"/>
        <w:spacing w:line="240" w:lineRule="auto"/>
        <w:rPr>
          <w:rFonts w:ascii="仿宋" w:hAnsi="仿宋" w:eastAsia="仿宋" w:cs="宋体"/>
          <w:color w:val="auto"/>
          <w:highlight w:val="none"/>
        </w:rPr>
      </w:pPr>
      <w:r>
        <w:rPr>
          <w:rFonts w:hint="eastAsia" w:ascii="仿宋" w:hAnsi="仿宋" w:eastAsia="仿宋" w:cs="宋体"/>
          <w:color w:val="auto"/>
          <w:spacing w:val="-3"/>
          <w:highlight w:val="none"/>
        </w:rPr>
        <w:t>注：1.节能产品认证应依据相关国家标准的最新版本，依据国家标准中二级能效（水效）</w:t>
      </w:r>
      <w:r>
        <w:rPr>
          <w:rFonts w:hint="eastAsia" w:ascii="仿宋" w:hAnsi="仿宋" w:eastAsia="仿宋" w:cs="宋体"/>
          <w:color w:val="auto"/>
          <w:highlight w:val="none"/>
        </w:rPr>
        <w:t>指标。</w:t>
      </w:r>
    </w:p>
    <w:p>
      <w:pPr>
        <w:snapToGrid w:val="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    2.以“★”标注的为政府强制采购产品。</w:t>
      </w: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60" w:lineRule="auto"/>
        <w:jc w:val="left"/>
        <w:rPr>
          <w:rFonts w:ascii="仿宋" w:hAnsi="仿宋" w:eastAsia="仿宋" w:cs="Arial"/>
          <w:b/>
          <w:bCs/>
          <w:color w:val="auto"/>
          <w:sz w:val="24"/>
          <w:highlight w:val="none"/>
        </w:rPr>
      </w:pPr>
    </w:p>
    <w:p>
      <w:pPr>
        <w:spacing w:line="320" w:lineRule="exact"/>
        <w:rPr>
          <w:rFonts w:ascii="仿宋" w:hAnsi="仿宋" w:eastAsia="仿宋" w:cs="Arial"/>
          <w:bCs/>
          <w:color w:val="auto"/>
          <w:sz w:val="32"/>
          <w:szCs w:val="32"/>
          <w:highlight w:val="none"/>
        </w:rPr>
      </w:pPr>
      <w:r>
        <w:rPr>
          <w:rFonts w:hint="eastAsia" w:ascii="仿宋" w:hAnsi="仿宋" w:eastAsia="仿宋" w:cs="Arial"/>
          <w:bCs/>
          <w:color w:val="auto"/>
          <w:sz w:val="32"/>
          <w:szCs w:val="32"/>
          <w:highlight w:val="none"/>
        </w:rPr>
        <w:br w:type="page"/>
      </w:r>
      <w:r>
        <w:rPr>
          <w:rFonts w:hint="eastAsia" w:ascii="仿宋" w:hAnsi="仿宋" w:eastAsia="仿宋" w:cs="Arial"/>
          <w:bCs/>
          <w:color w:val="auto"/>
          <w:sz w:val="32"/>
          <w:szCs w:val="32"/>
          <w:highlight w:val="none"/>
        </w:rPr>
        <w:t>附件2：</w:t>
      </w:r>
    </w:p>
    <w:bookmarkEnd w:id="37"/>
    <w:bookmarkEnd w:id="38"/>
    <w:p>
      <w:pPr>
        <w:jc w:val="center"/>
        <w:rPr>
          <w:rFonts w:ascii="仿宋" w:hAnsi="仿宋" w:eastAsia="仿宋" w:cs="Arial Unicode MS"/>
          <w:b/>
          <w:color w:val="auto"/>
          <w:sz w:val="24"/>
          <w:highlight w:val="none"/>
        </w:rPr>
      </w:pPr>
      <w:r>
        <w:rPr>
          <w:rFonts w:hint="eastAsia" w:ascii="仿宋" w:hAnsi="仿宋" w:eastAsia="仿宋" w:cs="Arial Unicode MS"/>
          <w:b/>
          <w:color w:val="auto"/>
          <w:sz w:val="24"/>
          <w:highlight w:val="none"/>
        </w:rPr>
        <w:t>中小微企业划型标准</w:t>
      </w:r>
    </w:p>
    <w:tbl>
      <w:tblPr>
        <w:tblStyle w:val="27"/>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502"/>
        <w:gridCol w:w="778"/>
        <w:gridCol w:w="1234"/>
        <w:gridCol w:w="1867"/>
        <w:gridCol w:w="168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blHeader/>
          <w:jc w:val="center"/>
        </w:trPr>
        <w:tc>
          <w:tcPr>
            <w:tcW w:w="2320"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行业名称</w:t>
            </w:r>
          </w:p>
        </w:tc>
        <w:tc>
          <w:tcPr>
            <w:tcW w:w="1502"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指标名称</w:t>
            </w:r>
          </w:p>
        </w:tc>
        <w:tc>
          <w:tcPr>
            <w:tcW w:w="778"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计量</w:t>
            </w:r>
            <w:r>
              <w:rPr>
                <w:rFonts w:ascii="仿宋" w:hAnsi="仿宋" w:eastAsia="仿宋"/>
                <w:b/>
                <w:bCs/>
                <w:color w:val="auto"/>
                <w:kern w:val="0"/>
                <w:szCs w:val="21"/>
                <w:highlight w:val="none"/>
              </w:rPr>
              <w:br w:type="textWrapping"/>
            </w:r>
            <w:r>
              <w:rPr>
                <w:rFonts w:ascii="仿宋" w:hAnsi="仿宋" w:eastAsia="仿宋"/>
                <w:b/>
                <w:bCs/>
                <w:color w:val="auto"/>
                <w:kern w:val="0"/>
                <w:szCs w:val="21"/>
                <w:highlight w:val="none"/>
              </w:rPr>
              <w:t>单位</w:t>
            </w:r>
          </w:p>
        </w:tc>
        <w:tc>
          <w:tcPr>
            <w:tcW w:w="1234"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大型</w:t>
            </w:r>
          </w:p>
        </w:tc>
        <w:tc>
          <w:tcPr>
            <w:tcW w:w="1867"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中型</w:t>
            </w:r>
          </w:p>
        </w:tc>
        <w:tc>
          <w:tcPr>
            <w:tcW w:w="1686"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小型</w:t>
            </w:r>
          </w:p>
        </w:tc>
        <w:tc>
          <w:tcPr>
            <w:tcW w:w="966" w:type="dxa"/>
            <w:shd w:val="clear" w:color="auto" w:fill="FFFFFF"/>
            <w:vAlign w:val="center"/>
          </w:tcPr>
          <w:p>
            <w:pPr>
              <w:widowControl/>
              <w:spacing w:line="240" w:lineRule="exact"/>
              <w:jc w:val="center"/>
              <w:rPr>
                <w:rFonts w:ascii="仿宋" w:hAnsi="仿宋" w:eastAsia="仿宋"/>
                <w:b/>
                <w:bCs/>
                <w:color w:val="auto"/>
                <w:kern w:val="0"/>
                <w:szCs w:val="21"/>
                <w:highlight w:val="none"/>
              </w:rPr>
            </w:pPr>
            <w:r>
              <w:rPr>
                <w:rFonts w:ascii="仿宋" w:hAnsi="仿宋" w:eastAsia="仿宋"/>
                <w:b/>
                <w:bCs/>
                <w:color w:val="auto"/>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农、林、牧、渔业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50≤Y＜500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工业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2000≤Y＜40000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建筑业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Y≥80000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6000≤Y＜80000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300≤Y＜6000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Z≥80000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5000≤Z＜80000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300≤Z＜5000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批发业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20≤X＜200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5≤X＜20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Y≥40000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5000≤Y＜40000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1000≤Y＜5000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零售业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50≤X＜300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10≤X＜50 </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500≤Y＜20000</w:t>
            </w:r>
          </w:p>
        </w:tc>
        <w:tc>
          <w:tcPr>
            <w:tcW w:w="1686" w:type="dxa"/>
            <w:vAlign w:val="center"/>
          </w:tcPr>
          <w:p>
            <w:pPr>
              <w:widowControl/>
              <w:spacing w:line="240" w:lineRule="exact"/>
              <w:ind w:left="-1" w:leftChars="-1" w:hanging="1"/>
              <w:jc w:val="center"/>
              <w:rPr>
                <w:rFonts w:ascii="仿宋" w:hAnsi="仿宋" w:eastAsia="仿宋"/>
                <w:color w:val="auto"/>
                <w:kern w:val="0"/>
                <w:szCs w:val="21"/>
                <w:highlight w:val="none"/>
              </w:rPr>
            </w:pPr>
            <w:r>
              <w:rPr>
                <w:rFonts w:ascii="仿宋" w:hAnsi="仿宋" w:eastAsia="仿宋"/>
                <w:color w:val="auto"/>
                <w:kern w:val="0"/>
                <w:szCs w:val="21"/>
                <w:highlight w:val="none"/>
              </w:rPr>
              <w:t>100≤Y＜500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交通运输业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200≤Y＜3000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仓储业*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100≤X＜200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邮政业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Y≥30000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2000≤Y＜30000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住宿业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餐饮业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100≤Y＜2000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信息传输业 *</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X≥2000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100≤X＜2000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1000≤Y＜100000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spacing w:val="-12"/>
                <w:kern w:val="0"/>
                <w:szCs w:val="21"/>
                <w:highlight w:val="none"/>
              </w:rPr>
            </w:pPr>
            <w:r>
              <w:rPr>
                <w:rFonts w:ascii="仿宋" w:hAnsi="仿宋" w:eastAsia="仿宋"/>
                <w:color w:val="auto"/>
                <w:spacing w:val="-12"/>
                <w:kern w:val="0"/>
                <w:szCs w:val="21"/>
                <w:highlight w:val="none"/>
              </w:rPr>
              <w:t>软件和信息技术服</w:t>
            </w:r>
            <w:r>
              <w:rPr>
                <w:rFonts w:ascii="仿宋" w:hAnsi="仿宋" w:eastAsia="仿宋"/>
                <w:color w:val="auto"/>
                <w:kern w:val="0"/>
                <w:szCs w:val="21"/>
                <w:highlight w:val="none"/>
              </w:rPr>
              <w:t>务业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 xml:space="preserve">100≤X＜300 </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spacing w:val="-12"/>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房地产开发经营</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Y≥200000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1000≤Y＜200000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5000≤Z＜10000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2000≤Z＜</w:t>
            </w:r>
            <w:r>
              <w:rPr>
                <w:rFonts w:hint="eastAsia" w:ascii="仿宋" w:hAnsi="仿宋" w:eastAsia="仿宋"/>
                <w:color w:val="auto"/>
                <w:kern w:val="0"/>
                <w:szCs w:val="21"/>
                <w:highlight w:val="none"/>
              </w:rPr>
              <w:t>5000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物业管理</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300≤X＜1000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营业收入(Y)</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1000≤Y＜5000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500≤Y＜1000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租赁和商务服务业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color w:val="auto"/>
                <w:kern w:val="0"/>
                <w:szCs w:val="21"/>
                <w:highlight w:val="none"/>
              </w:rPr>
            </w:pP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资产总额(Z)</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万元</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Z≥120000</w:t>
            </w:r>
          </w:p>
        </w:tc>
        <w:tc>
          <w:tcPr>
            <w:tcW w:w="1867"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8000≤Z＜120000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100≤Z＜8000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color w:val="auto"/>
                <w:kern w:val="0"/>
                <w:szCs w:val="21"/>
                <w:highlight w:val="none"/>
              </w:rPr>
            </w:pPr>
            <w:r>
              <w:rPr>
                <w:rFonts w:ascii="仿宋" w:hAnsi="仿宋" w:eastAsia="仿宋"/>
                <w:color w:val="auto"/>
                <w:kern w:val="0"/>
                <w:szCs w:val="21"/>
                <w:highlight w:val="none"/>
              </w:rPr>
              <w:t>其他未列明行业*</w:t>
            </w:r>
          </w:p>
        </w:tc>
        <w:tc>
          <w:tcPr>
            <w:tcW w:w="1502"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从业人员(X)</w:t>
            </w:r>
          </w:p>
        </w:tc>
        <w:tc>
          <w:tcPr>
            <w:tcW w:w="778"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人</w:t>
            </w:r>
          </w:p>
        </w:tc>
        <w:tc>
          <w:tcPr>
            <w:tcW w:w="1234"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X≥300</w:t>
            </w:r>
          </w:p>
        </w:tc>
        <w:tc>
          <w:tcPr>
            <w:tcW w:w="1867" w:type="dxa"/>
            <w:vAlign w:val="center"/>
          </w:tcPr>
          <w:p>
            <w:pPr>
              <w:widowControl/>
              <w:spacing w:line="240" w:lineRule="exact"/>
              <w:ind w:left="19" w:leftChars="-51" w:hanging="126" w:hangingChars="60"/>
              <w:jc w:val="center"/>
              <w:rPr>
                <w:rFonts w:ascii="仿宋" w:hAnsi="仿宋" w:eastAsia="仿宋"/>
                <w:color w:val="auto"/>
                <w:kern w:val="0"/>
                <w:szCs w:val="21"/>
                <w:highlight w:val="none"/>
              </w:rPr>
            </w:pPr>
            <w:r>
              <w:rPr>
                <w:rFonts w:ascii="仿宋" w:hAnsi="仿宋" w:eastAsia="仿宋"/>
                <w:color w:val="auto"/>
                <w:kern w:val="0"/>
                <w:szCs w:val="21"/>
                <w:highlight w:val="none"/>
              </w:rPr>
              <w:t>100≤X＜300</w:t>
            </w:r>
          </w:p>
        </w:tc>
        <w:tc>
          <w:tcPr>
            <w:tcW w:w="168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10≤X＜100</w:t>
            </w:r>
          </w:p>
        </w:tc>
        <w:tc>
          <w:tcPr>
            <w:tcW w:w="966" w:type="dxa"/>
            <w:vAlign w:val="center"/>
          </w:tcPr>
          <w:p>
            <w:pPr>
              <w:widowControl/>
              <w:spacing w:line="240" w:lineRule="exact"/>
              <w:jc w:val="center"/>
              <w:rPr>
                <w:rFonts w:ascii="仿宋" w:hAnsi="仿宋" w:eastAsia="仿宋"/>
                <w:color w:val="auto"/>
                <w:kern w:val="0"/>
                <w:szCs w:val="21"/>
                <w:highlight w:val="none"/>
              </w:rPr>
            </w:pPr>
            <w:r>
              <w:rPr>
                <w:rFonts w:ascii="仿宋" w:hAnsi="仿宋" w:eastAsia="仿宋"/>
                <w:color w:val="auto"/>
                <w:kern w:val="0"/>
                <w:szCs w:val="21"/>
                <w:highlight w:val="none"/>
              </w:rPr>
              <w:t>X＜10</w:t>
            </w:r>
          </w:p>
        </w:tc>
      </w:tr>
    </w:tbl>
    <w:p>
      <w:pPr>
        <w:spacing w:line="300" w:lineRule="exact"/>
        <w:rPr>
          <w:rFonts w:ascii="仿宋" w:hAnsi="仿宋" w:eastAsia="仿宋"/>
          <w:color w:val="auto"/>
          <w:highlight w:val="none"/>
        </w:rPr>
      </w:pPr>
      <w:r>
        <w:rPr>
          <w:rFonts w:hint="eastAsia" w:ascii="仿宋" w:hAnsi="仿宋" w:eastAsia="仿宋" w:cs="宋体"/>
          <w:color w:val="auto"/>
          <w:spacing w:val="8"/>
          <w:kern w:val="0"/>
          <w:szCs w:val="21"/>
          <w:highlight w:val="none"/>
        </w:rPr>
        <w:t>说明：</w:t>
      </w:r>
      <w:r>
        <w:rPr>
          <w:rFonts w:hint="eastAsia" w:ascii="仿宋" w:hAnsi="仿宋" w:eastAsia="仿宋" w:cs="宋体"/>
          <w:color w:val="auto"/>
          <w:spacing w:val="8"/>
          <w:szCs w:val="21"/>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企业划分指标以现行统计制度为准。（</w:t>
      </w:r>
      <w:r>
        <w:rPr>
          <w:rFonts w:hint="eastAsia" w:ascii="仿宋" w:hAnsi="仿宋" w:eastAsia="仿宋"/>
          <w:color w:val="auto"/>
          <w:spacing w:val="8"/>
          <w:szCs w:val="21"/>
          <w:highlight w:val="none"/>
        </w:rPr>
        <w:t>1</w:t>
      </w:r>
      <w:r>
        <w:rPr>
          <w:rFonts w:hint="eastAsia" w:ascii="仿宋" w:hAnsi="仿宋" w:eastAsia="仿宋" w:cs="宋体"/>
          <w:color w:val="auto"/>
          <w:spacing w:val="8"/>
          <w:szCs w:val="21"/>
          <w:highlight w:val="none"/>
        </w:rPr>
        <w:t>）从业人员，是指期末从业人员数，没有期末从业人员数的，采用全年平均人员数代替。（</w:t>
      </w:r>
      <w:r>
        <w:rPr>
          <w:rFonts w:hint="eastAsia" w:ascii="仿宋" w:hAnsi="仿宋" w:eastAsia="仿宋"/>
          <w:color w:val="auto"/>
          <w:spacing w:val="8"/>
          <w:szCs w:val="21"/>
          <w:highlight w:val="none"/>
        </w:rPr>
        <w:t>2</w:t>
      </w:r>
      <w:r>
        <w:rPr>
          <w:rFonts w:hint="eastAsia" w:ascii="仿宋" w:hAnsi="仿宋" w:eastAsia="仿宋" w:cs="宋体"/>
          <w:color w:val="auto"/>
          <w:spacing w:val="8"/>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 w:hAnsi="仿宋" w:eastAsia="仿宋"/>
          <w:color w:val="auto"/>
          <w:spacing w:val="8"/>
          <w:szCs w:val="21"/>
          <w:highlight w:val="none"/>
        </w:rPr>
        <w:t>3</w:t>
      </w:r>
      <w:r>
        <w:rPr>
          <w:rFonts w:hint="eastAsia" w:ascii="仿宋" w:hAnsi="仿宋" w:eastAsia="仿宋" w:cs="宋体"/>
          <w:color w:val="auto"/>
          <w:spacing w:val="8"/>
          <w:szCs w:val="21"/>
          <w:highlight w:val="none"/>
        </w:rPr>
        <w:t>）资产总额，采用资产总计代替。</w:t>
      </w:r>
    </w:p>
    <w:p>
      <w:pPr>
        <w:pageBreakBefore/>
        <w:spacing w:line="428" w:lineRule="exact"/>
        <w:jc w:val="center"/>
        <w:rPr>
          <w:rFonts w:ascii="仿宋" w:hAnsi="仿宋" w:eastAsia="仿宋"/>
          <w:b/>
          <w:color w:val="auto"/>
          <w:sz w:val="44"/>
          <w:szCs w:val="44"/>
          <w:highlight w:val="none"/>
        </w:rPr>
      </w:pPr>
      <w:bookmarkStart w:id="39" w:name="_Toc74320802"/>
      <w:r>
        <w:rPr>
          <w:rFonts w:hint="eastAsia" w:ascii="仿宋" w:hAnsi="仿宋" w:eastAsia="仿宋"/>
          <w:b/>
          <w:color w:val="auto"/>
          <w:sz w:val="44"/>
          <w:szCs w:val="44"/>
          <w:highlight w:val="none"/>
        </w:rPr>
        <w:t>第三章  投标人须知</w:t>
      </w:r>
      <w:bookmarkEnd w:id="39"/>
    </w:p>
    <w:p>
      <w:pPr>
        <w:spacing w:before="120" w:beforeLines="50"/>
        <w:jc w:val="center"/>
        <w:rPr>
          <w:rFonts w:ascii="仿宋" w:hAnsi="仿宋" w:eastAsia="仿宋"/>
          <w:b/>
          <w:color w:val="auto"/>
          <w:sz w:val="24"/>
          <w:highlight w:val="none"/>
        </w:rPr>
      </w:pPr>
      <w:bookmarkStart w:id="40" w:name="_Toc254970667"/>
      <w:bookmarkStart w:id="41" w:name="_Toc254970526"/>
      <w:r>
        <w:rPr>
          <w:rFonts w:hint="eastAsia" w:ascii="仿宋" w:hAnsi="仿宋" w:eastAsia="仿宋"/>
          <w:b/>
          <w:color w:val="auto"/>
          <w:sz w:val="24"/>
          <w:highlight w:val="none"/>
        </w:rPr>
        <w:t>投标人须知前附表</w:t>
      </w:r>
      <w:bookmarkEnd w:id="40"/>
      <w:bookmarkEnd w:id="41"/>
    </w:p>
    <w:tbl>
      <w:tblPr>
        <w:tblStyle w:val="27"/>
        <w:tblW w:w="103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9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条款号</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42" w:name="_9.2"/>
            <w:bookmarkEnd w:id="42"/>
            <w:bookmarkStart w:id="43" w:name="_5"/>
            <w:bookmarkEnd w:id="43"/>
            <w:bookmarkStart w:id="44" w:name="_8.1"/>
            <w:bookmarkEnd w:id="44"/>
            <w:r>
              <w:rPr>
                <w:rFonts w:hint="eastAsia" w:ascii="仿宋" w:hAnsi="仿宋" w:eastAsia="仿宋"/>
                <w:color w:val="auto"/>
                <w:sz w:val="24"/>
                <w:highlight w:val="none"/>
              </w:rPr>
              <w:t>6.1</w:t>
            </w:r>
          </w:p>
        </w:tc>
        <w:tc>
          <w:tcPr>
            <w:tcW w:w="9275"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ascii="仿宋" w:hAnsi="仿宋" w:eastAsia="仿宋"/>
                <w:color w:val="auto"/>
                <w:sz w:val="24"/>
                <w:highlight w:val="none"/>
              </w:rPr>
              <w:t>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bookmarkStart w:id="45" w:name="_Hlk54105293"/>
            <w:r>
              <w:rPr>
                <w:rFonts w:hint="eastAsia" w:ascii="仿宋" w:hAnsi="仿宋" w:eastAsia="仿宋"/>
                <w:color w:val="auto"/>
                <w:sz w:val="24"/>
                <w:highlight w:val="none"/>
              </w:rPr>
              <w:t>如接受联合体投标，</w:t>
            </w:r>
            <w:bookmarkEnd w:id="45"/>
            <w:r>
              <w:rPr>
                <w:rFonts w:hint="eastAsia" w:ascii="仿宋" w:hAnsi="仿宋" w:eastAsia="仿宋"/>
                <w:color w:val="auto"/>
                <w:sz w:val="24"/>
                <w:highlight w:val="none"/>
              </w:rPr>
              <w:t>联合体投标要求如下：</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1、两个以上投标人可以组成一个投标联合体，以一个投标人的身份共同参加投标，联合体投标人的名称应统一按“XXX 公司与 XXX 公司的联合体”的规则填写。</w:t>
            </w:r>
            <w:r>
              <w:rPr>
                <w:rFonts w:hint="eastAsia" w:ascii="仿宋" w:hAnsi="仿宋" w:eastAsia="仿宋"/>
                <w:color w:val="auto"/>
                <w:sz w:val="24"/>
                <w:highlight w:val="none"/>
              </w:rPr>
              <w:tab/>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4、以联合体形式参加政府采购活动的，联合体各方不得再单独参加或者与其他投标人另外组成联合体参加同一合同项下的政府采购活动，否则与之相关的投标文件作废。</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5、联合体中有同类资质的投标人按照联合体分工承担相同工作的，应当按照资质等级较低的投标人确定资质等级。</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6、联合体投标业绩、履约能力按照联合体各方其中较高的一方认定并计算（招标文件另有规定的除外）。</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7、联合体各方均应按照招标文件的规定提交资格证明文件。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7.2</w:t>
            </w:r>
          </w:p>
        </w:tc>
        <w:tc>
          <w:tcPr>
            <w:tcW w:w="9275"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本项目不允许分包。</w:t>
            </w:r>
          </w:p>
          <w:p>
            <w:pPr>
              <w:pStyle w:val="1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□本项目允许分包：</w:t>
            </w:r>
          </w:p>
          <w:p>
            <w:pPr>
              <w:pStyle w:val="1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分包内容：</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w:t>
            </w:r>
          </w:p>
          <w:p>
            <w:pPr>
              <w:pStyle w:val="10"/>
              <w:spacing w:line="400" w:lineRule="exact"/>
              <w:jc w:val="both"/>
              <w:rPr>
                <w:rFonts w:ascii="仿宋" w:hAnsi="仿宋" w:eastAsia="仿宋"/>
                <w:color w:val="auto"/>
                <w:sz w:val="24"/>
                <w:highlight w:val="none"/>
                <w:u w:val="single"/>
              </w:rPr>
            </w:pPr>
            <w:r>
              <w:rPr>
                <w:rFonts w:hint="eastAsia" w:ascii="仿宋" w:hAnsi="仿宋" w:eastAsia="仿宋"/>
                <w:color w:val="auto"/>
                <w:sz w:val="24"/>
                <w:highlight w:val="none"/>
              </w:rPr>
              <w:t>分包金额或者比例：</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8.1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□1、采用最低评标价法的采购项目，提供相同品牌产品（非单一产品采购项目的，指核心产品）的不同投标人评标价相同时，按照下列方式确定一个投标人获得中标人推荐资格：评标委员会随机抽取/按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s="宋体"/>
                <w:color w:val="auto"/>
                <w:sz w:val="24"/>
                <w:highlight w:val="none"/>
              </w:rPr>
              <w:t>按</w:t>
            </w:r>
            <w:r>
              <w:rPr>
                <w:rFonts w:ascii="仿宋" w:hAnsi="仿宋" w:eastAsia="仿宋"/>
                <w:color w:val="auto"/>
                <w:sz w:val="24"/>
                <w:highlight w:val="none"/>
              </w:rPr>
              <w:t>节能环保优先、技术指标高优先、质保期长优先、交货期短优先、故障响应时间短优先的</w:t>
            </w:r>
            <w:r>
              <w:rPr>
                <w:rFonts w:hint="eastAsia" w:ascii="仿宋" w:hAnsi="仿宋" w:eastAsia="仿宋" w:cs="宋体"/>
                <w:color w:val="auto"/>
                <w:sz w:val="24"/>
                <w:highlight w:val="none"/>
              </w:rPr>
              <w:t>顺序依次确定。</w:t>
            </w:r>
          </w:p>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2、采用综合评分法的采购项目，提供相同品牌产品（非单一产品采购项目的，指核心产品）的不同投标人评审得分相同时，按照下列方式确定一个投标人获得中标人推荐资格：□评标委员会随机抽取/</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按</w:t>
            </w:r>
            <w:r>
              <w:rPr>
                <w:rFonts w:ascii="仿宋" w:hAnsi="仿宋" w:eastAsia="仿宋"/>
                <w:color w:val="auto"/>
                <w:sz w:val="24"/>
                <w:highlight w:val="none"/>
              </w:rPr>
              <w:t>投标报价低</w:t>
            </w:r>
            <w:r>
              <w:rPr>
                <w:rFonts w:hint="eastAsia" w:ascii="仿宋" w:hAnsi="仿宋" w:eastAsia="仿宋"/>
                <w:color w:val="auto"/>
                <w:sz w:val="24"/>
                <w:highlight w:val="none"/>
              </w:rPr>
              <w:t>的原则确定，</w:t>
            </w:r>
            <w:r>
              <w:rPr>
                <w:rFonts w:ascii="仿宋" w:hAnsi="仿宋" w:eastAsia="仿宋"/>
                <w:color w:val="auto"/>
                <w:sz w:val="24"/>
                <w:highlight w:val="none"/>
              </w:rPr>
              <w:t>投标报价相同的</w:t>
            </w:r>
            <w:r>
              <w:rPr>
                <w:rFonts w:hint="eastAsia" w:ascii="仿宋" w:hAnsi="仿宋" w:eastAsia="仿宋"/>
                <w:color w:val="auto"/>
                <w:sz w:val="24"/>
                <w:highlight w:val="none"/>
              </w:rPr>
              <w:t>按技术、商务、政策功能得分高低依次确定。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2" w:hRule="atLeast"/>
          <w:jc w:val="center"/>
        </w:trPr>
        <w:tc>
          <w:tcPr>
            <w:tcW w:w="1056"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1.</w:t>
            </w:r>
            <w:r>
              <w:rPr>
                <w:rFonts w:hint="eastAsia" w:ascii="仿宋" w:hAnsi="仿宋" w:eastAsia="仿宋"/>
                <w:color w:val="auto"/>
                <w:sz w:val="24"/>
                <w:highlight w:val="none"/>
              </w:rPr>
              <w:t>5</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本项目不组织现场考察。</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□本项目组织现场考察：</w:t>
            </w:r>
          </w:p>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集中时间：</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，逾期后果自负。集中地点：</w:t>
            </w:r>
            <w:r>
              <w:rPr>
                <w:rFonts w:ascii="仿宋" w:hAnsi="仿宋" w:eastAsia="仿宋"/>
                <w:color w:val="auto"/>
                <w:sz w:val="24"/>
                <w:highlight w:val="none"/>
                <w:u w:val="single"/>
              </w:rPr>
              <w:t xml:space="preserve">    /       </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联系人：</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05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16"/>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不组织召开开标前答疑会</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/□组织召开开标前答疑会</w:t>
            </w:r>
          </w:p>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会议开始时间：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时</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分，逾期后果自负。会议地点：</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联系人：</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；联系电话：</w:t>
            </w:r>
            <w:r>
              <w:rPr>
                <w:rFonts w:ascii="仿宋" w:hAnsi="仿宋" w:eastAsia="仿宋"/>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46" w:name="_13.1"/>
            <w:bookmarkEnd w:id="46"/>
            <w:r>
              <w:rPr>
                <w:rFonts w:hint="eastAsia" w:ascii="仿宋" w:hAnsi="仿宋" w:eastAsia="仿宋"/>
                <w:color w:val="auto"/>
                <w:sz w:val="24"/>
                <w:highlight w:val="none"/>
              </w:rPr>
              <w:t>13.</w:t>
            </w:r>
            <w:bookmarkStart w:id="47" w:name="_Hlt19632543"/>
            <w:r>
              <w:rPr>
                <w:rFonts w:hint="eastAsia" w:ascii="仿宋" w:hAnsi="仿宋" w:eastAsia="仿宋"/>
                <w:color w:val="auto"/>
                <w:sz w:val="24"/>
                <w:highlight w:val="none"/>
              </w:rPr>
              <w:t>1</w:t>
            </w:r>
            <w:bookmarkEnd w:id="47"/>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报价文件: </w:t>
            </w:r>
          </w:p>
          <w:p>
            <w:pPr>
              <w:tabs>
                <w:tab w:val="left" w:pos="459"/>
              </w:tabs>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1、投标函（格式后附）；</w:t>
            </w:r>
            <w:r>
              <w:rPr>
                <w:rFonts w:hint="eastAsia" w:ascii="仿宋" w:hAnsi="仿宋" w:eastAsia="仿宋"/>
                <w:b/>
                <w:color w:val="auto"/>
                <w:sz w:val="24"/>
                <w:highlight w:val="none"/>
              </w:rPr>
              <w:t>（必须提供，否则按无效投标处理）</w:t>
            </w:r>
          </w:p>
          <w:p>
            <w:pPr>
              <w:tabs>
                <w:tab w:val="left" w:pos="459"/>
              </w:tabs>
              <w:snapToGrid w:val="0"/>
              <w:spacing w:line="400" w:lineRule="exact"/>
              <w:jc w:val="left"/>
              <w:rPr>
                <w:rFonts w:ascii="仿宋" w:hAnsi="仿宋" w:eastAsia="仿宋"/>
                <w:color w:val="auto"/>
                <w:sz w:val="24"/>
                <w:highlight w:val="none"/>
              </w:rPr>
            </w:pPr>
            <w:bookmarkStart w:id="48" w:name="_Hlk71299233"/>
            <w:r>
              <w:rPr>
                <w:rFonts w:hint="eastAsia" w:ascii="仿宋" w:hAnsi="仿宋" w:eastAsia="仿宋"/>
                <w:color w:val="auto"/>
                <w:sz w:val="24"/>
                <w:highlight w:val="none"/>
              </w:rPr>
              <w:t>2、开标一览表</w:t>
            </w:r>
            <w:bookmarkEnd w:id="48"/>
            <w:r>
              <w:rPr>
                <w:rFonts w:hint="eastAsia" w:ascii="仿宋" w:hAnsi="仿宋" w:eastAsia="仿宋"/>
                <w:color w:val="auto"/>
                <w:sz w:val="24"/>
                <w:highlight w:val="none"/>
              </w:rPr>
              <w:t xml:space="preserve">（格式后附）； </w:t>
            </w:r>
            <w:r>
              <w:rPr>
                <w:rFonts w:hint="eastAsia" w:ascii="仿宋" w:hAnsi="仿宋" w:eastAsia="仿宋"/>
                <w:b/>
                <w:color w:val="auto"/>
                <w:sz w:val="24"/>
                <w:highlight w:val="none"/>
              </w:rPr>
              <w:t>（必须提供，否则按无效投标处理）</w:t>
            </w:r>
          </w:p>
          <w:p>
            <w:pPr>
              <w:tabs>
                <w:tab w:val="left" w:pos="459"/>
              </w:tabs>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3、投标人针对报价需要说明的其他文件和说明（格式自拟）。</w:t>
            </w:r>
          </w:p>
          <w:p>
            <w:pPr>
              <w:snapToGrid w:val="0"/>
              <w:spacing w:line="400" w:lineRule="exact"/>
              <w:ind w:firstLine="420"/>
              <w:jc w:val="left"/>
              <w:rPr>
                <w:rFonts w:ascii="仿宋" w:hAnsi="仿宋" w:eastAsia="仿宋"/>
                <w:color w:val="auto"/>
                <w:sz w:val="24"/>
                <w:highlight w:val="none"/>
              </w:rPr>
            </w:pPr>
            <w:r>
              <w:rPr>
                <w:rFonts w:hint="eastAsia" w:ascii="仿宋" w:hAnsi="仿宋" w:eastAsia="仿宋"/>
                <w:b/>
                <w:bCs/>
                <w:color w:val="auto"/>
                <w:sz w:val="24"/>
                <w:highlight w:val="none"/>
              </w:rPr>
              <w:t>注：投标函、开标一览表必须由法定代表人或者委托代理人在规定签章处逐一签字并加盖投标人公章，否则按无效投标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49" w:name="_13.2"/>
            <w:bookmarkEnd w:id="49"/>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资格证明文件：</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1、供应商为法人或者其他组织的，</w:t>
            </w:r>
            <w:r>
              <w:rPr>
                <w:rFonts w:hint="eastAsia" w:ascii="仿宋" w:hAnsi="仿宋" w:eastAsia="仿宋"/>
                <w:color w:val="auto"/>
                <w:sz w:val="24"/>
                <w:highlight w:val="none"/>
              </w:rPr>
              <w:t>证明文件为其营业执照复印件（如营业执照或者事业单位法人证书或者执业许可证等）；供应商为自然人的，证明文件为其身份证复印件；</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2、投标人依法缴纳税收的相关材料（2023年6月至2023年12月内任意连续三个月的依法缴纳税收的完税凭证复印件；依法免税的供应商，必须提供相应文件证明其依法免税。从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之日起的依法缴纳税收相应证明文件）；</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3、投标人依法缴纳社会保障资金的相关材料[2023年6月至2023年12月内任意连续三个月的依法缴纳社会保障资金的缴费凭证复印件（缴费凭证指专用收据、完税证明或者社会保险缴纳清单）；依法不需要缴纳社会保障资金的供应商，必须提供相应文件证明不需要缴纳社会保障资金。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之日起到投标文件提交截止时间止不足要求月数的只需提供从</w:t>
            </w:r>
            <w:r>
              <w:rPr>
                <w:rFonts w:ascii="仿宋" w:hAnsi="仿宋" w:eastAsia="仿宋" w:cs="宋体"/>
                <w:color w:val="auto"/>
                <w:sz w:val="24"/>
                <w:highlight w:val="none"/>
              </w:rPr>
              <w:t>成立</w:t>
            </w:r>
            <w:r>
              <w:rPr>
                <w:rFonts w:hint="eastAsia" w:ascii="仿宋" w:hAnsi="仿宋" w:eastAsia="仿宋" w:cs="宋体"/>
                <w:color w:val="auto"/>
                <w:sz w:val="24"/>
                <w:highlight w:val="none"/>
              </w:rPr>
              <w:t>之日起的依法缴纳社会保障资金的相应证明文件]；</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4、投标人财务状况报告【2022年度经审计的财务报告复印件（包括“四表一注”或“三表一注”）或者银行出具的资信证明；投标人属于成立</w:t>
            </w:r>
            <w:r>
              <w:rPr>
                <w:rFonts w:ascii="仿宋" w:hAnsi="仿宋" w:eastAsia="仿宋" w:cs="宋体"/>
                <w:color w:val="auto"/>
                <w:sz w:val="24"/>
                <w:highlight w:val="none"/>
              </w:rPr>
              <w:t>时间</w:t>
            </w:r>
            <w:r>
              <w:rPr>
                <w:rFonts w:hint="eastAsia" w:ascii="仿宋" w:hAnsi="仿宋" w:eastAsia="仿宋" w:cs="宋体"/>
                <w:color w:val="auto"/>
                <w:sz w:val="24"/>
                <w:highlight w:val="none"/>
              </w:rPr>
              <w:t>在规定年度之后</w:t>
            </w:r>
            <w:r>
              <w:rPr>
                <w:rFonts w:ascii="仿宋" w:hAnsi="仿宋" w:eastAsia="仿宋" w:cs="宋体"/>
                <w:color w:val="auto"/>
                <w:sz w:val="24"/>
                <w:highlight w:val="none"/>
              </w:rPr>
              <w:t>的</w:t>
            </w:r>
            <w:r>
              <w:rPr>
                <w:rFonts w:hint="eastAsia" w:ascii="仿宋" w:hAnsi="仿宋" w:eastAsia="仿宋" w:cs="宋体"/>
                <w:color w:val="auto"/>
                <w:sz w:val="24"/>
                <w:highlight w:val="none"/>
              </w:rPr>
              <w:t>法人或其他组织</w:t>
            </w:r>
            <w:r>
              <w:rPr>
                <w:rFonts w:ascii="仿宋" w:hAnsi="仿宋" w:eastAsia="仿宋" w:cs="宋体"/>
                <w:color w:val="auto"/>
                <w:sz w:val="24"/>
                <w:highlight w:val="none"/>
              </w:rPr>
              <w:t>，需提供成立</w:t>
            </w:r>
            <w:r>
              <w:rPr>
                <w:rFonts w:hint="eastAsia" w:ascii="仿宋" w:hAnsi="仿宋" w:eastAsia="仿宋" w:cs="宋体"/>
                <w:color w:val="auto"/>
                <w:sz w:val="24"/>
                <w:highlight w:val="none"/>
              </w:rPr>
              <w:t>之日起至投标截止时间前</w:t>
            </w:r>
            <w:r>
              <w:rPr>
                <w:rFonts w:ascii="仿宋" w:hAnsi="仿宋" w:eastAsia="仿宋" w:cs="宋体"/>
                <w:color w:val="auto"/>
                <w:sz w:val="24"/>
                <w:highlight w:val="none"/>
              </w:rPr>
              <w:t>的月报表</w:t>
            </w:r>
            <w:r>
              <w:rPr>
                <w:rFonts w:hint="eastAsia" w:ascii="仿宋" w:hAnsi="仿宋" w:eastAsia="仿宋" w:cs="宋体"/>
                <w:color w:val="auto"/>
                <w:sz w:val="24"/>
                <w:highlight w:val="none"/>
              </w:rPr>
              <w:t>或银行出具的资信证明；资信证明应在有效期内，未注明有效期的，银行出具时间至投标截止时间不超过一年】；</w:t>
            </w:r>
            <w:r>
              <w:rPr>
                <w:rFonts w:hint="eastAsia" w:ascii="仿宋" w:hAnsi="仿宋" w:eastAsia="仿宋" w:cs="宋体"/>
                <w:b/>
                <w:color w:val="auto"/>
                <w:sz w:val="24"/>
                <w:highlight w:val="none"/>
              </w:rPr>
              <w:t>（除自然人外必须提供，否则按无效投标处理）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5、投标人直接控股、管理关系信息表（格式后附）；</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b/>
                <w:color w:val="auto"/>
                <w:sz w:val="24"/>
                <w:highlight w:val="none"/>
              </w:rPr>
            </w:pPr>
            <w:r>
              <w:rPr>
                <w:rFonts w:hint="eastAsia" w:ascii="仿宋" w:hAnsi="仿宋" w:eastAsia="仿宋" w:cs="宋体"/>
                <w:color w:val="auto"/>
                <w:sz w:val="24"/>
                <w:highlight w:val="none"/>
              </w:rPr>
              <w:t>6、投标声明（格式后附）；</w:t>
            </w:r>
            <w:r>
              <w:rPr>
                <w:rFonts w:hint="eastAsia" w:ascii="仿宋" w:hAnsi="仿宋" w:eastAsia="仿宋" w:cs="宋体"/>
                <w:b/>
                <w:color w:val="auto"/>
                <w:sz w:val="24"/>
                <w:highlight w:val="none"/>
              </w:rPr>
              <w:t>（必须提供，否则按无效投标处理）</w:t>
            </w:r>
          </w:p>
          <w:p>
            <w:pPr>
              <w:autoSpaceDE w:val="0"/>
              <w:autoSpaceDN w:val="0"/>
              <w:snapToGrid w:val="0"/>
              <w:spacing w:line="400" w:lineRule="exact"/>
              <w:textAlignment w:val="bottom"/>
              <w:rPr>
                <w:rFonts w:ascii="仿宋" w:hAnsi="仿宋" w:eastAsia="仿宋" w:cs="宋体"/>
                <w:color w:val="auto"/>
                <w:sz w:val="24"/>
                <w:highlight w:val="none"/>
              </w:rPr>
            </w:pPr>
            <w:r>
              <w:rPr>
                <w:rFonts w:hint="eastAsia" w:ascii="仿宋" w:hAnsi="仿宋" w:eastAsia="仿宋" w:cs="宋体"/>
                <w:color w:val="auto"/>
                <w:sz w:val="24"/>
                <w:highlight w:val="none"/>
              </w:rPr>
              <w:t>7、除招标文件规定必须提供以外，投标人认为需要提供的其他证明材料。</w:t>
            </w:r>
          </w:p>
          <w:p>
            <w:pPr>
              <w:snapToGrid w:val="0"/>
              <w:spacing w:line="400" w:lineRule="exact"/>
              <w:jc w:val="left"/>
              <w:rPr>
                <w:rFonts w:ascii="仿宋" w:hAnsi="仿宋" w:eastAsia="仿宋"/>
                <w:b/>
                <w:bCs/>
                <w:color w:val="auto"/>
                <w:sz w:val="24"/>
                <w:highlight w:val="none"/>
              </w:rPr>
            </w:pPr>
            <w:r>
              <w:rPr>
                <w:rFonts w:hint="eastAsia" w:ascii="仿宋" w:hAnsi="仿宋" w:eastAsia="仿宋"/>
                <w:b/>
                <w:bCs/>
                <w:color w:val="auto"/>
                <w:sz w:val="24"/>
                <w:highlight w:val="none"/>
              </w:rPr>
              <w:t>注：</w:t>
            </w:r>
          </w:p>
          <w:p>
            <w:pPr>
              <w:snapToGrid w:val="0"/>
              <w:spacing w:line="400" w:lineRule="exact"/>
              <w:ind w:firstLine="482" w:firstLineChars="200"/>
              <w:jc w:val="left"/>
              <w:rPr>
                <w:rFonts w:ascii="仿宋" w:hAnsi="仿宋" w:eastAsia="仿宋" w:cs="Courier New"/>
                <w:b/>
                <w:color w:val="auto"/>
                <w:sz w:val="24"/>
                <w:highlight w:val="none"/>
              </w:rPr>
            </w:pPr>
            <w:r>
              <w:rPr>
                <w:rFonts w:hint="eastAsia" w:ascii="仿宋" w:hAnsi="仿宋" w:eastAsia="仿宋"/>
                <w:b/>
                <w:bCs/>
                <w:color w:val="auto"/>
                <w:sz w:val="24"/>
                <w:highlight w:val="none"/>
              </w:rPr>
              <w:t>1、以上标明“必须提供”的材料属于复印件的，必须加盖投标人公章，否则按无效投标</w:t>
            </w:r>
            <w:r>
              <w:rPr>
                <w:rFonts w:hint="eastAsia" w:ascii="仿宋" w:hAnsi="仿宋" w:eastAsia="仿宋" w:cs="Courier New"/>
                <w:b/>
                <w:color w:val="auto"/>
                <w:sz w:val="24"/>
                <w:highlight w:val="none"/>
              </w:rPr>
              <w:t>处理。</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cs="Courier New"/>
                <w:b/>
                <w:color w:val="auto"/>
                <w:sz w:val="24"/>
                <w:highlight w:val="none"/>
              </w:rPr>
              <w:t>2、</w:t>
            </w:r>
            <w:r>
              <w:rPr>
                <w:rFonts w:hint="eastAsia" w:ascii="仿宋" w:hAnsi="仿宋" w:eastAsia="仿宋"/>
                <w:b/>
                <w:bCs/>
                <w:color w:val="auto"/>
                <w:sz w:val="24"/>
                <w:highlight w:val="none"/>
              </w:rPr>
              <w:t>投标声明必须由法定代表人在规定签章处签字并加盖投标人公章，否则按无效投标处理。</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3、投标人直接控股、管理关系信息表必须由法定代表人或者委托代理人在规定签章处签字并加盖投标人公章，否则按无效投标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4、联合体投标时，第1-5项资格证明文件联合体各方均必须分别提供，联合体各方分别盖章和签字，否则按无效投标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5、分公司参加投标的，应当取得总公司授权，否则按无效投标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。（允许分公司参与的行业有银行、保险、石油石化、电力、电信等行业）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50" w:name="_13.3"/>
            <w:bookmarkEnd w:id="50"/>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商务文件： </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1、无串通投标行为的承诺函（格式后附）；（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2、投标保证金提交凭证；（</w:t>
            </w:r>
            <w:r>
              <w:rPr>
                <w:rFonts w:hint="eastAsia" w:ascii="仿宋" w:hAnsi="仿宋" w:eastAsia="仿宋"/>
                <w:b/>
                <w:bCs/>
                <w:color w:val="auto"/>
                <w:sz w:val="24"/>
                <w:highlight w:val="none"/>
              </w:rPr>
              <w:t>如要求提交投标保证金的则必须提供</w:t>
            </w:r>
            <w:r>
              <w:rPr>
                <w:rFonts w:hint="eastAsia" w:ascii="仿宋" w:hAnsi="仿宋" w:eastAsia="仿宋"/>
                <w:b/>
                <w:color w:val="auto"/>
                <w:sz w:val="24"/>
                <w:highlight w:val="none"/>
              </w:rPr>
              <w:t>，否则按无效投标处理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3、法定代表人身份证明及法定代表人有效身份证正反面复印件（格式后附）；（</w:t>
            </w:r>
            <w:r>
              <w:rPr>
                <w:rFonts w:hint="eastAsia" w:ascii="仿宋" w:hAnsi="仿宋" w:eastAsia="仿宋" w:cs="宋体"/>
                <w:b/>
                <w:bCs/>
                <w:color w:val="auto"/>
                <w:sz w:val="24"/>
                <w:highlight w:val="none"/>
              </w:rPr>
              <w:t>除自然人投标外</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4、授权委托书及委托代理人有效身份证正反面复印件（格式后附）；（</w:t>
            </w:r>
            <w:r>
              <w:rPr>
                <w:rFonts w:hint="eastAsia" w:ascii="仿宋" w:hAnsi="仿宋" w:eastAsia="仿宋"/>
                <w:b/>
                <w:color w:val="auto"/>
                <w:sz w:val="24"/>
                <w:highlight w:val="none"/>
              </w:rPr>
              <w:t>委托时必须提供，否则按无效投标处理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5、商务要求偏离表（格式后附）；（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、售后服务承诺（格式自拟）；（</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、投标人情况介绍（格式自拟）；</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、联合体协议书（格式后附）；</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、除招标文件规定必须提供以外，投标人认为需要提供的其他证明材料（格式自拟）。（投标人根据“第二章 采购需求”及“第四章 评标方法及评标标准”提供有关证明材料）。</w:t>
            </w:r>
          </w:p>
          <w:p>
            <w:pPr>
              <w:snapToGrid w:val="0"/>
              <w:spacing w:line="400" w:lineRule="exact"/>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highlight w:val="none"/>
              </w:rPr>
            </w:pPr>
            <w:bookmarkStart w:id="51" w:name="_13.4"/>
            <w:bookmarkEnd w:id="51"/>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cs="Courier New"/>
                <w:b/>
                <w:color w:val="auto"/>
                <w:sz w:val="24"/>
                <w:highlight w:val="none"/>
              </w:rPr>
            </w:pPr>
            <w:r>
              <w:rPr>
                <w:rFonts w:hint="eastAsia" w:ascii="仿宋" w:hAnsi="仿宋" w:eastAsia="仿宋" w:cs="Courier New"/>
                <w:b/>
                <w:color w:val="auto"/>
                <w:sz w:val="24"/>
                <w:highlight w:val="none"/>
              </w:rPr>
              <w:t xml:space="preserve">技术文件： </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1、设备性能配置清单（格式后附）；</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2、技术要求偏离表（格式后附）；（</w:t>
            </w:r>
            <w:r>
              <w:rPr>
                <w:rFonts w:hint="eastAsia" w:ascii="仿宋" w:hAnsi="仿宋" w:eastAsia="仿宋"/>
                <w:b/>
                <w:color w:val="auto"/>
                <w:sz w:val="24"/>
                <w:highlight w:val="none"/>
              </w:rPr>
              <w:t>必须提供，否则按无效投标处理</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hint="eastAsia" w:ascii="仿宋" w:hAnsi="仿宋" w:eastAsia="仿宋"/>
                <w:color w:val="auto"/>
                <w:sz w:val="24"/>
                <w:highlight w:val="none"/>
              </w:rPr>
              <w:t>3、项目</w:t>
            </w:r>
            <w:r>
              <w:rPr>
                <w:rFonts w:ascii="仿宋" w:hAnsi="仿宋" w:eastAsia="仿宋"/>
                <w:color w:val="auto"/>
                <w:sz w:val="24"/>
                <w:highlight w:val="none"/>
              </w:rPr>
              <w:t>实施人员一览表（</w:t>
            </w:r>
            <w:r>
              <w:rPr>
                <w:rFonts w:hint="eastAsia" w:ascii="仿宋" w:hAnsi="仿宋" w:eastAsia="仿宋"/>
                <w:color w:val="auto"/>
                <w:sz w:val="24"/>
                <w:highlight w:val="none"/>
              </w:rPr>
              <w:t>格式</w:t>
            </w:r>
            <w:r>
              <w:rPr>
                <w:rFonts w:ascii="仿宋" w:hAnsi="仿宋" w:eastAsia="仿宋"/>
                <w:color w:val="auto"/>
                <w:sz w:val="24"/>
                <w:highlight w:val="none"/>
              </w:rPr>
              <w:t>后附）</w:t>
            </w:r>
            <w:r>
              <w:rPr>
                <w:rFonts w:hint="eastAsia" w:ascii="仿宋" w:hAnsi="仿宋" w:eastAsia="仿宋"/>
                <w:color w:val="auto"/>
                <w:sz w:val="24"/>
                <w:highlight w:val="none"/>
              </w:rPr>
              <w:t>；</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、项目实施总方案、对接</w:t>
            </w:r>
            <w:r>
              <w:rPr>
                <w:rFonts w:ascii="仿宋" w:hAnsi="仿宋" w:eastAsia="仿宋"/>
                <w:color w:val="auto"/>
                <w:sz w:val="24"/>
                <w:highlight w:val="none"/>
              </w:rPr>
              <w:t>方案、</w:t>
            </w:r>
            <w:r>
              <w:rPr>
                <w:rFonts w:hint="eastAsia" w:ascii="仿宋" w:hAnsi="仿宋" w:eastAsia="仿宋"/>
                <w:color w:val="auto"/>
                <w:sz w:val="24"/>
                <w:highlight w:val="none"/>
              </w:rPr>
              <w:t xml:space="preserve">对项目理解及重点、难点分析方案（格式自拟）； </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、产品出厂标准、质量检测报告[其中有精度要求的仪器设备类政府采购项目，应当要求投标人提供精度数据（</w:t>
            </w:r>
            <w:r>
              <w:rPr>
                <w:rFonts w:ascii="仿宋" w:hAnsi="仿宋" w:eastAsia="仿宋"/>
                <w:color w:val="auto"/>
                <w:sz w:val="24"/>
                <w:highlight w:val="none"/>
              </w:rPr>
              <w:t>国家认可的有资质的第三方检测机构出具的检测报告复印件</w:t>
            </w:r>
            <w:r>
              <w:rPr>
                <w:rFonts w:hint="eastAsia" w:ascii="仿宋" w:hAnsi="仿宋" w:eastAsia="仿宋"/>
                <w:color w:val="auto"/>
                <w:sz w:val="24"/>
                <w:highlight w:val="none"/>
              </w:rPr>
              <w:t xml:space="preserve">或者由采购人在投标前组织的实测获得）]； </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、优惠条件：投标人承诺给予采购人的各种优惠条件，包括售后服务、备品备件、专用耗材等方面的优惠；投标人不得给予赠品或者与采购无关的其他商品、服务；</w:t>
            </w:r>
          </w:p>
          <w:p>
            <w:pPr>
              <w:snapToGrid w:val="0"/>
              <w:spacing w:line="400" w:lineRule="exact"/>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、投标人对本项目的合理化建议和改进措施（格式自拟）；</w:t>
            </w:r>
          </w:p>
          <w:p>
            <w:pPr>
              <w:snapToGrid w:val="0"/>
              <w:spacing w:line="400" w:lineRule="exact"/>
              <w:jc w:val="left"/>
              <w:rPr>
                <w:rFonts w:ascii="仿宋" w:hAnsi="仿宋" w:eastAsia="仿宋"/>
                <w:bCs/>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、除招标文件规定必须提供以外，投标人需要说明的其他文件和说明（格式自拟）。</w:t>
            </w:r>
          </w:p>
          <w:p>
            <w:pPr>
              <w:snapToGrid w:val="0"/>
              <w:spacing w:line="400" w:lineRule="exact"/>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注：以上标明“必须提供”的材料属于复印件的，必须加盖投标人公章，否则按无效投标</w:t>
            </w:r>
            <w:r>
              <w:rPr>
                <w:rFonts w:hint="eastAsia" w:ascii="仿宋" w:hAnsi="仿宋" w:eastAsia="仿宋" w:cs="Courier New"/>
                <w:b/>
                <w:color w:val="auto"/>
                <w:sz w:val="24"/>
                <w:highlight w:val="none"/>
              </w:rPr>
              <w:t>处理</w:t>
            </w:r>
            <w:r>
              <w:rPr>
                <w:rFonts w:hint="eastAsia" w:ascii="仿宋" w:hAnsi="仿宋" w:eastAsia="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52" w:name="_13.5"/>
            <w:bookmarkEnd w:id="52"/>
            <w:bookmarkStart w:id="53" w:name="_16.2"/>
            <w:bookmarkEnd w:id="53"/>
            <w:r>
              <w:rPr>
                <w:rFonts w:hint="eastAsia" w:ascii="仿宋" w:hAnsi="仿宋" w:eastAsia="仿宋"/>
                <w:color w:val="auto"/>
                <w:sz w:val="24"/>
                <w:highlight w:val="none"/>
              </w:rPr>
              <w:t>16</w:t>
            </w:r>
            <w:bookmarkStart w:id="54" w:name="_Hlt19693758"/>
            <w:bookmarkStart w:id="55" w:name="_Hlt19194067"/>
            <w:bookmarkStart w:id="56" w:name="_Hlt19693759"/>
            <w:bookmarkStart w:id="57" w:name="_Hlt19194066"/>
            <w:r>
              <w:rPr>
                <w:rFonts w:hint="eastAsia" w:ascii="仿宋" w:hAnsi="仿宋" w:eastAsia="仿宋"/>
                <w:color w:val="auto"/>
                <w:sz w:val="24"/>
                <w:highlight w:val="none"/>
              </w:rPr>
              <w:t>.</w:t>
            </w:r>
            <w:bookmarkEnd w:id="54"/>
            <w:bookmarkEnd w:id="55"/>
            <w:bookmarkEnd w:id="56"/>
            <w:bookmarkEnd w:id="57"/>
            <w:r>
              <w:rPr>
                <w:rFonts w:hint="eastAsia"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color w:val="auto"/>
                <w:sz w:val="24"/>
                <w:highlight w:val="none"/>
              </w:rPr>
            </w:pPr>
            <w:r>
              <w:rPr>
                <w:rFonts w:hint="eastAsia" w:ascii="仿宋" w:hAnsi="仿宋" w:eastAsia="仿宋"/>
                <w:color w:val="auto"/>
                <w:sz w:val="24"/>
                <w:highlight w:val="none"/>
              </w:rPr>
              <w:t>投标报价是履行合同的含税价格，应包括货款、运至最终目的地运输、储存、搬运、保险以及伴随货物服务的有关一切费用（包括差旅、培训、其它相关服务等所有费用）。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58" w:name="_17.1"/>
            <w:bookmarkEnd w:id="58"/>
            <w:r>
              <w:rPr>
                <w:rFonts w:hint="eastAsia" w:ascii="仿宋" w:hAnsi="仿宋" w:eastAsia="仿宋"/>
                <w:color w:val="auto"/>
                <w:sz w:val="24"/>
                <w:highlight w:val="none"/>
              </w:rPr>
              <w:t>17.</w:t>
            </w:r>
            <w:r>
              <w:rPr>
                <w:rFonts w:ascii="仿宋" w:hAnsi="仿宋" w:eastAsia="仿宋"/>
                <w:color w:val="auto"/>
                <w:sz w:val="24"/>
                <w:highlight w:val="none"/>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投标有效期：投标截止之日起60天内。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59" w:name="_18"/>
            <w:bookmarkEnd w:id="59"/>
            <w:r>
              <w:rPr>
                <w:rFonts w:hint="eastAsia" w:ascii="仿宋" w:hAnsi="仿宋" w:eastAsia="仿宋"/>
                <w:color w:val="auto"/>
                <w:sz w:val="24"/>
                <w:highlight w:val="none"/>
              </w:rPr>
              <w:t>18</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本项目不收取投标保证金。</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□本项目收取投标保证金，具体规定如下：</w:t>
            </w:r>
          </w:p>
          <w:p>
            <w:pPr>
              <w:snapToGrid w:val="0"/>
              <w:spacing w:line="400" w:lineRule="exact"/>
              <w:rPr>
                <w:rFonts w:ascii="仿宋" w:hAnsi="仿宋" w:eastAsia="仿宋"/>
                <w:color w:val="auto"/>
                <w:sz w:val="24"/>
                <w:highlight w:val="none"/>
              </w:rPr>
            </w:pPr>
            <w:r>
              <w:rPr>
                <w:rFonts w:hint="eastAsia" w:ascii="仿宋" w:hAnsi="仿宋" w:eastAsia="仿宋" w:cs="宋体"/>
                <w:color w:val="auto"/>
                <w:kern w:val="0"/>
                <w:sz w:val="24"/>
                <w:highlight w:val="none"/>
              </w:rPr>
              <w:t>投标保证金人民币</w:t>
            </w:r>
            <w:r>
              <w:rPr>
                <w:rFonts w:ascii="仿宋" w:hAnsi="仿宋" w:eastAsia="仿宋"/>
                <w:color w:val="auto"/>
                <w:sz w:val="24"/>
                <w:highlight w:val="none"/>
                <w:u w:val="single"/>
              </w:rPr>
              <w:t xml:space="preserve"> / </w:t>
            </w:r>
            <w:r>
              <w:rPr>
                <w:rFonts w:hint="eastAsia" w:ascii="仿宋" w:hAnsi="仿宋" w:eastAsia="仿宋"/>
                <w:color w:val="auto"/>
                <w:sz w:val="24"/>
                <w:highlight w:val="none"/>
              </w:rPr>
              <w:t>万元；</w:t>
            </w:r>
          </w:p>
          <w:p>
            <w:pPr>
              <w:snapToGrid w:val="0"/>
              <w:spacing w:line="400" w:lineRule="exact"/>
              <w:rPr>
                <w:rFonts w:ascii="仿宋" w:hAnsi="仿宋" w:eastAsia="仿宋"/>
                <w:color w:val="auto"/>
                <w:sz w:val="24"/>
                <w:highlight w:val="none"/>
              </w:rPr>
            </w:pPr>
            <w:r>
              <w:rPr>
                <w:rFonts w:hint="eastAsia" w:ascii="仿宋" w:hAnsi="仿宋" w:eastAsia="仿宋" w:cs="宋体"/>
                <w:color w:val="auto"/>
                <w:kern w:val="0"/>
                <w:sz w:val="24"/>
                <w:highlight w:val="none"/>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color w:val="auto"/>
                <w:sz w:val="24"/>
                <w:highlight w:val="none"/>
              </w:rPr>
              <w:t>开户名称：</w:t>
            </w:r>
            <w:r>
              <w:rPr>
                <w:rFonts w:hint="eastAsia" w:ascii="仿宋" w:hAnsi="仿宋" w:eastAsia="仿宋" w:cs="宋体"/>
                <w:color w:val="auto"/>
                <w:sz w:val="24"/>
                <w:highlight w:val="none"/>
                <w:u w:val="single"/>
              </w:rPr>
              <w:t xml:space="preserve"> </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，开户银行：</w:t>
            </w:r>
            <w:r>
              <w:rPr>
                <w:rFonts w:hint="eastAsia" w:ascii="仿宋" w:hAnsi="仿宋" w:eastAsia="仿宋" w:cs="宋体"/>
                <w:color w:val="auto"/>
                <w:sz w:val="24"/>
                <w:highlight w:val="none"/>
                <w:u w:val="single"/>
              </w:rPr>
              <w:t xml:space="preserve"> </w:t>
            </w:r>
            <w:r>
              <w:rPr>
                <w:rFonts w:ascii="仿宋" w:hAnsi="仿宋" w:eastAsia="仿宋" w:cs="宋体"/>
                <w:color w:val="auto"/>
                <w:sz w:val="24"/>
                <w:highlight w:val="none"/>
                <w:u w:val="single"/>
              </w:rPr>
              <w:t xml:space="preserve">  /   </w:t>
            </w:r>
            <w:r>
              <w:rPr>
                <w:rFonts w:hint="eastAsia" w:ascii="仿宋" w:hAnsi="仿宋" w:eastAsia="仿宋" w:cs="宋体"/>
                <w:color w:val="auto"/>
                <w:sz w:val="24"/>
                <w:highlight w:val="none"/>
              </w:rPr>
              <w:t>，银行账号：</w:t>
            </w:r>
            <w:r>
              <w:rPr>
                <w:rFonts w:ascii="仿宋" w:hAnsi="仿宋" w:eastAsia="仿宋" w:cs="宋体"/>
                <w:color w:val="auto"/>
                <w:sz w:val="24"/>
                <w:highlight w:val="none"/>
                <w:u w:val="single"/>
              </w:rPr>
              <w:t xml:space="preserve">    /   </w:t>
            </w:r>
            <w:r>
              <w:rPr>
                <w:rFonts w:hint="eastAsia" w:ascii="仿宋" w:hAnsi="仿宋" w:eastAsia="仿宋" w:cs="宋体"/>
                <w:color w:val="auto"/>
                <w:kern w:val="0"/>
                <w:sz w:val="24"/>
                <w:highlight w:val="none"/>
              </w:rPr>
              <w:t>）；采用支票、汇票、本票或者保函等方式的，在投标截止时间前，投标人必须递交支票、汇票、本票或者保函原件。否则视为无效投标保证金。</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相关要求：</w:t>
            </w:r>
          </w:p>
          <w:p>
            <w:pPr>
              <w:pStyle w:val="10"/>
              <w:spacing w:line="400" w:lineRule="exact"/>
              <w:rPr>
                <w:rFonts w:ascii="仿宋" w:hAnsi="仿宋" w:eastAsia="仿宋"/>
                <w:color w:val="auto"/>
                <w:sz w:val="24"/>
                <w:highlight w:val="none"/>
              </w:rPr>
            </w:pPr>
            <w:r>
              <w:rPr>
                <w:rFonts w:hint="eastAsia" w:ascii="仿宋" w:hAnsi="仿宋" w:eastAsia="仿宋"/>
                <w:color w:val="auto"/>
                <w:sz w:val="24"/>
                <w:highlight w:val="none"/>
              </w:rPr>
              <w:t>1、投标保证金采用银行转账交纳方式的，在投标截止时间前交至指定账户并且到账，投标人应将银行转账底单的复印件作为投标保证金提交凭证，</w:t>
            </w:r>
            <w:r>
              <w:rPr>
                <w:rFonts w:ascii="仿宋" w:hAnsi="仿宋" w:eastAsia="仿宋"/>
                <w:color w:val="auto"/>
                <w:sz w:val="24"/>
                <w:highlight w:val="none"/>
              </w:rPr>
              <w:t>放置于</w:t>
            </w:r>
            <w:r>
              <w:rPr>
                <w:rFonts w:hint="eastAsia" w:ascii="仿宋" w:hAnsi="仿宋" w:eastAsia="仿宋"/>
                <w:color w:val="auto"/>
                <w:sz w:val="24"/>
                <w:highlight w:val="none"/>
              </w:rPr>
              <w:t>商务文件</w:t>
            </w:r>
            <w:r>
              <w:rPr>
                <w:rFonts w:ascii="仿宋" w:hAnsi="仿宋" w:eastAsia="仿宋"/>
                <w:color w:val="auto"/>
                <w:sz w:val="24"/>
                <w:highlight w:val="none"/>
              </w:rPr>
              <w:t>中</w:t>
            </w:r>
            <w:r>
              <w:rPr>
                <w:rFonts w:hint="eastAsia" w:ascii="仿宋" w:hAnsi="仿宋" w:eastAsia="仿宋"/>
                <w:color w:val="auto"/>
                <w:sz w:val="24"/>
                <w:highlight w:val="none"/>
              </w:rPr>
              <w:t>，</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color w:val="auto"/>
                <w:sz w:val="24"/>
                <w:highlight w:val="none"/>
              </w:rPr>
              <w:t>否则投标无效</w:t>
            </w:r>
            <w:r>
              <w:rPr>
                <w:rFonts w:hint="eastAsia" w:ascii="仿宋" w:hAnsi="仿宋" w:eastAsia="仿宋"/>
                <w:color w:val="auto"/>
                <w:sz w:val="24"/>
                <w:highlight w:val="none"/>
              </w:rPr>
              <w:t>。</w:t>
            </w:r>
            <w:r>
              <w:rPr>
                <w:rFonts w:hint="eastAsia" w:ascii="仿宋" w:hAnsi="仿宋" w:eastAsia="仿宋"/>
                <w:b/>
                <w:color w:val="auto"/>
                <w:sz w:val="24"/>
                <w:highlight w:val="none"/>
              </w:rPr>
              <w:t>投标人必须在投标截止时间前将支票、汇票、本票或者金融、担保机构出具的保函原件提交给采购代理机构，由采购代理机构向投标人出具回执，并妥善保管。</w:t>
            </w:r>
          </w:p>
          <w:p>
            <w:pPr>
              <w:snapToGrid w:val="0"/>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3、投标人为联合体的，可以由联合体中的一方或者多方共同交纳投标保证金，其交纳的保证金对联合体各方均具有约束力。</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 xml:space="preserve">备注： </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1、投标保证金在投标截止时间后提交的，或者不按规定交纳方式交纳的，或者未足额交纳的（包含保函额度不足的），视为无效投标保证金。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2、投标人采用现钞方式或者从个人账户（自然人投标除外）转出的投标保证金，视为无效投标保证金。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3、支票、汇票或者本票出现无效或者背书情形的，视为无效投标保证金。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4、保函有效期低于投标有效期的，视为无效投标保证金。</w:t>
            </w:r>
          </w:p>
          <w:p>
            <w:pPr>
              <w:snapToGrid w:val="0"/>
              <w:spacing w:line="400" w:lineRule="exact"/>
              <w:rPr>
                <w:rFonts w:ascii="仿宋" w:hAnsi="仿宋" w:eastAsia="仿宋"/>
                <w:b/>
                <w:color w:val="auto"/>
                <w:sz w:val="24"/>
                <w:highlight w:val="none"/>
              </w:rPr>
            </w:pPr>
            <w:r>
              <w:rPr>
                <w:rFonts w:hint="eastAsia" w:ascii="仿宋" w:hAnsi="仿宋" w:eastAsia="仿宋"/>
                <w:b/>
                <w:color w:val="auto"/>
                <w:sz w:val="24"/>
                <w:highlight w:val="none"/>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0" w:name="_19.2"/>
            <w:bookmarkEnd w:id="60"/>
            <w:r>
              <w:rPr>
                <w:rFonts w:hint="eastAsia" w:ascii="仿宋" w:hAnsi="仿宋" w:eastAsia="仿宋"/>
                <w:color w:val="auto"/>
                <w:sz w:val="24"/>
                <w:highlight w:val="none"/>
              </w:rPr>
              <w:t>19.2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投标文件应按报价文件、资格证明文件、商务文件、技术文件分别编制，</w:t>
            </w:r>
            <w:r>
              <w:rPr>
                <w:rFonts w:hint="eastAsia" w:ascii="仿宋" w:hAnsi="仿宋" w:eastAsia="仿宋" w:cs="宋体"/>
                <w:color w:val="auto"/>
                <w:sz w:val="24"/>
                <w:highlight w:val="none"/>
                <w:lang w:bidi="ar"/>
              </w:rPr>
              <w:t>并按广西政府采购云平台的要求编制、加密、上传。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20.1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电子投标文件应在制作完成后，投标人应按</w:t>
            </w:r>
            <w:r>
              <w:rPr>
                <w:rFonts w:hint="eastAsia" w:ascii="仿宋" w:hAnsi="仿宋" w:eastAsia="仿宋" w:cs="宋体"/>
                <w:color w:val="auto"/>
                <w:sz w:val="24"/>
                <w:highlight w:val="none"/>
                <w:lang w:bidi="ar"/>
              </w:rPr>
              <w:t>广西政府采购云平台</w:t>
            </w:r>
            <w:r>
              <w:rPr>
                <w:rFonts w:hint="eastAsia" w:ascii="仿宋" w:hAnsi="仿宋" w:eastAsia="仿宋"/>
                <w:color w:val="auto"/>
                <w:sz w:val="24"/>
                <w:highlight w:val="none"/>
              </w:rPr>
              <w:t>的要求进行加密，并在规定时间内解密，否则，由此产生的后果由投标人自行负责。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1" w:name="_21.1"/>
            <w:bookmarkEnd w:id="61"/>
            <w:r>
              <w:rPr>
                <w:rFonts w:hint="eastAsia" w:ascii="仿宋" w:hAnsi="仿宋" w:eastAsia="仿宋"/>
                <w:color w:val="auto"/>
                <w:sz w:val="24"/>
                <w:highlight w:val="none"/>
              </w:rPr>
              <w:t>21.1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u w:val="single"/>
              </w:rPr>
            </w:pPr>
            <w:r>
              <w:rPr>
                <w:rFonts w:hint="eastAsia" w:ascii="仿宋" w:hAnsi="仿宋" w:eastAsia="仿宋"/>
                <w:color w:val="auto"/>
                <w:sz w:val="24"/>
                <w:highlight w:val="none"/>
              </w:rPr>
              <w:t>1、投标截止时间：详见招标公告</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2" w:name="_23"/>
            <w:bookmarkEnd w:id="62"/>
            <w:r>
              <w:rPr>
                <w:rFonts w:hint="eastAsia" w:ascii="仿宋" w:hAnsi="仿宋" w:eastAsia="仿宋"/>
                <w:color w:val="auto"/>
                <w:sz w:val="24"/>
                <w:highlight w:val="none"/>
              </w:rPr>
              <w:t>23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1、开标时间：详见招标公告</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bCs/>
                <w:color w:val="auto"/>
                <w:sz w:val="24"/>
                <w:highlight w:val="none"/>
              </w:rPr>
              <w:t>24.2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仿宋" w:hAnsi="仿宋" w:eastAsia="仿宋"/>
                <w:color w:val="auto"/>
                <w:sz w:val="24"/>
                <w:highlight w:val="none"/>
              </w:rPr>
            </w:pPr>
            <w:r>
              <w:rPr>
                <w:rFonts w:hint="eastAsia" w:ascii="仿宋" w:hAnsi="仿宋" w:eastAsia="仿宋" w:cs="宋体"/>
                <w:color w:val="auto"/>
                <w:sz w:val="24"/>
                <w:highlight w:val="none"/>
                <w:lang w:bidi="ar"/>
              </w:rPr>
              <w:t>广西政府采购云平台</w:t>
            </w:r>
            <w:r>
              <w:rPr>
                <w:rFonts w:hint="eastAsia" w:ascii="仿宋" w:hAnsi="仿宋" w:eastAsia="仿宋"/>
                <w:bCs/>
                <w:color w:val="auto"/>
                <w:sz w:val="24"/>
                <w:highlight w:val="none"/>
              </w:rPr>
              <w:t>按开标时间自动提取所有投标文件。采购代理机构依托</w:t>
            </w:r>
            <w:r>
              <w:rPr>
                <w:rFonts w:hint="eastAsia" w:ascii="仿宋" w:hAnsi="仿宋" w:eastAsia="仿宋" w:cs="宋体"/>
                <w:color w:val="auto"/>
                <w:sz w:val="24"/>
                <w:highlight w:val="none"/>
                <w:lang w:bidi="ar"/>
              </w:rPr>
              <w:t>广西政府采购云平台</w:t>
            </w:r>
            <w:r>
              <w:rPr>
                <w:rFonts w:hint="eastAsia" w:ascii="仿宋" w:hAnsi="仿宋" w:eastAsia="仿宋"/>
                <w:bCs/>
                <w:color w:val="auto"/>
                <w:sz w:val="24"/>
                <w:highlight w:val="none"/>
              </w:rPr>
              <w:t>向各投标人发出电子加密投标文件【开始解密】通知，由投标人进行投标文件解密。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并在发起解密通知之时起30分钟内完成对电子投标文件解密。投标文件未按时解密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3" w:name="_25.3"/>
            <w:bookmarkEnd w:id="63"/>
            <w:r>
              <w:rPr>
                <w:rFonts w:hint="eastAsia" w:ascii="仿宋" w:hAnsi="仿宋" w:eastAsia="仿宋"/>
                <w:color w:val="auto"/>
                <w:sz w:val="24"/>
                <w:highlight w:val="none"/>
              </w:rPr>
              <w:t>25.3（3）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采购人或者采购代理机构在资格审查结束前，对投标人进行信用查询。</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查询渠道：</w:t>
            </w:r>
            <w:r>
              <w:rPr>
                <w:rFonts w:ascii="仿宋" w:hAnsi="仿宋" w:eastAsia="仿宋"/>
                <w:color w:val="auto"/>
                <w:sz w:val="24"/>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ascii="仿宋" w:hAnsi="仿宋" w:eastAsia="仿宋"/>
                <w:color w:val="auto"/>
                <w:sz w:val="24"/>
                <w:highlight w:val="none"/>
              </w:rPr>
              <w:t>www.ccgp.gov.cn</w:t>
            </w:r>
            <w:r>
              <w:rPr>
                <w:rStyle w:val="25"/>
                <w:rFonts w:ascii="仿宋" w:hAnsi="仿宋" w:eastAsia="仿宋"/>
                <w:color w:val="auto"/>
                <w:sz w:val="24"/>
                <w:highlight w:val="none"/>
              </w:rPr>
              <w:fldChar w:fldCharType="end"/>
            </w:r>
            <w:r>
              <w:rPr>
                <w:rFonts w:ascii="仿宋" w:hAnsi="仿宋" w:eastAsia="仿宋"/>
                <w:color w:val="auto"/>
                <w:sz w:val="24"/>
                <w:highlight w:val="none"/>
              </w:rPr>
              <w:t>）</w:t>
            </w:r>
            <w:r>
              <w:rPr>
                <w:rFonts w:hint="eastAsia" w:ascii="仿宋" w:hAnsi="仿宋" w:eastAsia="仿宋"/>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信用查询截止时点：</w:t>
            </w:r>
            <w:r>
              <w:rPr>
                <w:rFonts w:ascii="仿宋" w:hAnsi="仿宋" w:eastAsia="仿宋" w:cs="宋体"/>
                <w:color w:val="auto"/>
                <w:sz w:val="24"/>
                <w:highlight w:val="none"/>
              </w:rPr>
              <w:t>资格审查结束前</w:t>
            </w:r>
            <w:r>
              <w:rPr>
                <w:rFonts w:hint="eastAsia" w:ascii="仿宋" w:hAnsi="仿宋" w:eastAsia="仿宋" w:cs="宋体"/>
                <w:color w:val="auto"/>
                <w:sz w:val="24"/>
                <w:highlight w:val="none"/>
              </w:rPr>
              <w:t>。</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查询记录和证据留存方式：</w:t>
            </w:r>
            <w:r>
              <w:rPr>
                <w:rFonts w:hint="eastAsia" w:ascii="仿宋" w:hAnsi="仿宋" w:eastAsia="仿宋" w:cs="宋体"/>
                <w:color w:val="auto"/>
                <w:sz w:val="24"/>
                <w:highlight w:val="none"/>
              </w:rPr>
              <w:t>将查询网站中的查询记录截图并作为评审资料保存。</w:t>
            </w:r>
          </w:p>
          <w:p>
            <w:pPr>
              <w:snapToGrid w:val="0"/>
              <w:spacing w:line="400" w:lineRule="exact"/>
              <w:rPr>
                <w:rFonts w:ascii="仿宋" w:hAnsi="仿宋" w:eastAsia="仿宋"/>
                <w:b/>
                <w:color w:val="auto"/>
                <w:sz w:val="24"/>
                <w:highlight w:val="none"/>
              </w:rPr>
            </w:pPr>
            <w:r>
              <w:rPr>
                <w:rFonts w:hint="eastAsia" w:ascii="仿宋" w:hAnsi="仿宋" w:eastAsia="仿宋"/>
                <w:color w:val="auto"/>
                <w:sz w:val="24"/>
                <w:highlight w:val="none"/>
              </w:rPr>
              <w:t>信用信息使用规则：根据财政部《关于在政府采购活动中查询及使用信用记录有关问题的通知》（财库〔2016〕125号）的规定，</w:t>
            </w:r>
            <w:r>
              <w:rPr>
                <w:rFonts w:hint="eastAsia" w:ascii="仿宋" w:hAnsi="仿宋" w:eastAsia="仿宋" w:cs="宋体"/>
                <w:color w:val="auto"/>
                <w:sz w:val="24"/>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4" w:name="_26"/>
            <w:bookmarkEnd w:id="64"/>
            <w:r>
              <w:rPr>
                <w:rFonts w:hint="eastAsia" w:ascii="仿宋" w:hAnsi="仿宋" w:eastAsia="仿宋"/>
                <w:color w:val="auto"/>
                <w:sz w:val="24"/>
                <w:highlight w:val="none"/>
              </w:rPr>
              <w:t>26</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评标委员会的人数：5人或5人以上单数。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5" w:name="_28.3"/>
            <w:bookmarkEnd w:id="65"/>
            <w:r>
              <w:rPr>
                <w:rFonts w:ascii="仿宋" w:hAnsi="仿宋" w:eastAsia="仿宋"/>
                <w:color w:val="auto"/>
                <w:sz w:val="24"/>
                <w:highlight w:val="none"/>
              </w:rPr>
              <w:t>29.1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评标方法：</w:t>
            </w: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综合评分法/□最低评标价法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9.2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b/>
                <w:bCs/>
                <w:color w:val="auto"/>
                <w:sz w:val="24"/>
                <w:highlight w:val="none"/>
              </w:rPr>
            </w:pPr>
            <w:r>
              <w:rPr>
                <w:rFonts w:hint="eastAsia" w:ascii="仿宋" w:hAnsi="仿宋" w:eastAsia="仿宋"/>
                <w:b/>
                <w:bCs/>
                <w:color w:val="auto"/>
                <w:sz w:val="24"/>
                <w:highlight w:val="none"/>
              </w:rPr>
              <w:t>商务要求评审中允许负偏离的条款数为：</w:t>
            </w:r>
            <w:r>
              <w:rPr>
                <w:rFonts w:hint="eastAsia" w:ascii="仿宋" w:hAnsi="仿宋" w:eastAsia="仿宋"/>
                <w:b/>
                <w:bCs/>
                <w:color w:val="auto"/>
                <w:sz w:val="24"/>
                <w:highlight w:val="none"/>
                <w:u w:val="single"/>
              </w:rPr>
              <w:t xml:space="preserve"> 0 </w:t>
            </w:r>
            <w:r>
              <w:rPr>
                <w:rFonts w:hint="eastAsia" w:ascii="仿宋" w:hAnsi="仿宋" w:eastAsia="仿宋"/>
                <w:b/>
                <w:bCs/>
                <w:color w:val="auto"/>
                <w:sz w:val="24"/>
                <w:highlight w:val="none"/>
              </w:rPr>
              <w:t>项。</w:t>
            </w:r>
          </w:p>
          <w:p>
            <w:pPr>
              <w:spacing w:line="380" w:lineRule="exact"/>
              <w:jc w:val="left"/>
              <w:rPr>
                <w:rFonts w:ascii="仿宋" w:hAnsi="仿宋" w:eastAsia="仿宋"/>
                <w:color w:val="auto"/>
                <w:sz w:val="24"/>
                <w:highlight w:val="none"/>
              </w:rPr>
            </w:pPr>
            <w:r>
              <w:rPr>
                <w:rFonts w:hint="eastAsia" w:ascii="仿宋" w:hAnsi="仿宋" w:eastAsia="仿宋"/>
                <w:b/>
                <w:bCs/>
                <w:color w:val="auto"/>
                <w:sz w:val="24"/>
                <w:highlight w:val="none"/>
              </w:rPr>
              <w:t>未标注 “▲”技术参数发生负偏离的条款数≥ </w:t>
            </w:r>
            <w:r>
              <w:rPr>
                <w:rFonts w:ascii="仿宋" w:hAnsi="仿宋" w:eastAsia="仿宋"/>
                <w:b/>
                <w:bCs/>
                <w:color w:val="auto"/>
                <w:sz w:val="24"/>
                <w:highlight w:val="none"/>
              </w:rPr>
              <w:t>5</w:t>
            </w:r>
            <w:r>
              <w:rPr>
                <w:rFonts w:hint="eastAsia" w:ascii="仿宋" w:hAnsi="仿宋" w:eastAsia="仿宋"/>
                <w:b/>
                <w:bCs/>
                <w:color w:val="auto"/>
                <w:sz w:val="24"/>
                <w:highlight w:val="none"/>
              </w:rPr>
              <w:t>项，则投标文件作无效处理。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left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6" w:name="_29.2.2（2）"/>
            <w:bookmarkEnd w:id="66"/>
            <w:r>
              <w:rPr>
                <w:rFonts w:hint="eastAsia" w:ascii="仿宋" w:hAnsi="仿宋" w:eastAsia="仿宋"/>
                <w:color w:val="auto"/>
                <w:sz w:val="24"/>
                <w:highlight w:val="none"/>
              </w:rPr>
              <w:t>29.3</w:t>
            </w:r>
          </w:p>
        </w:tc>
        <w:tc>
          <w:tcPr>
            <w:tcW w:w="9275"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宋体"/>
                <w:color w:val="auto"/>
                <w:sz w:val="24"/>
                <w:highlight w:val="none"/>
                <w:u w:val="single"/>
              </w:rPr>
            </w:pPr>
            <w:r>
              <w:rPr>
                <w:rFonts w:ascii="仿宋" w:hAnsi="仿宋" w:eastAsia="仿宋"/>
                <w:color w:val="auto"/>
                <w:sz w:val="24"/>
                <w:highlight w:val="none"/>
              </w:rPr>
              <w:t>中标候选人推荐数量</w:t>
            </w:r>
            <w:r>
              <w:rPr>
                <w:rFonts w:hint="eastAsia" w:ascii="仿宋" w:hAnsi="仿宋" w:eastAsia="仿宋"/>
                <w:color w:val="auto"/>
                <w:sz w:val="24"/>
                <w:highlight w:val="none"/>
              </w:rPr>
              <w:t>：3家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29.4</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采用综合评分法的采购项目，采购人确定中标人时，出现中标候选人并列的情形，采购人按以下的方式确定中标人：按综合评分中技术、售后、履约能力、政策功能得分高低依次确定。</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□采用最低评标价法的采购项目，采购人确定中标人时，出现中标候选人并列的情形，采购人按以下的方式确定中标人：</w:t>
            </w:r>
            <w:r>
              <w:rPr>
                <w:rFonts w:hint="eastAsia" w:ascii="仿宋" w:hAnsi="仿宋" w:eastAsia="仿宋" w:cs="宋体"/>
                <w:color w:val="auto"/>
                <w:sz w:val="24"/>
                <w:highlight w:val="none"/>
              </w:rPr>
              <w:t>按</w:t>
            </w:r>
            <w:r>
              <w:rPr>
                <w:rFonts w:ascii="仿宋" w:hAnsi="仿宋" w:eastAsia="仿宋"/>
                <w:color w:val="auto"/>
                <w:sz w:val="24"/>
                <w:highlight w:val="none"/>
              </w:rPr>
              <w:t>节能环保优先、技术指标高优先、质保期长优先、交货期短优先、故障响应时间短优先的</w:t>
            </w:r>
            <w:r>
              <w:rPr>
                <w:rFonts w:hint="eastAsia" w:ascii="仿宋" w:hAnsi="仿宋" w:eastAsia="仿宋" w:cs="宋体"/>
                <w:color w:val="auto"/>
                <w:sz w:val="24"/>
                <w:highlight w:val="none"/>
              </w:rPr>
              <w:t>顺序依次确定。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7" w:name="_39.1"/>
            <w:bookmarkEnd w:id="67"/>
            <w:r>
              <w:rPr>
                <w:rFonts w:hint="eastAsia" w:ascii="仿宋" w:hAnsi="仿宋" w:eastAsia="仿宋"/>
                <w:color w:val="auto"/>
                <w:sz w:val="24"/>
                <w:highlight w:val="none"/>
              </w:rPr>
              <w:t>35</w:t>
            </w:r>
            <w:r>
              <w:rPr>
                <w:rFonts w:ascii="仿宋" w:hAnsi="仿宋" w:eastAsia="仿宋"/>
                <w:color w:val="auto"/>
                <w:sz w:val="24"/>
                <w:highlight w:val="none"/>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□本项目不收取履约保证金。</w:t>
            </w:r>
          </w:p>
          <w:p>
            <w:pPr>
              <w:autoSpaceDE w:val="0"/>
              <w:autoSpaceDN w:val="0"/>
              <w:snapToGrid w:val="0"/>
              <w:spacing w:line="400" w:lineRule="exact"/>
              <w:textAlignment w:val="bottom"/>
              <w:rPr>
                <w:rFonts w:ascii="仿宋" w:hAnsi="仿宋" w:eastAsia="仿宋"/>
                <w:color w:val="auto"/>
                <w:sz w:val="24"/>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w:instrText>
            </w:r>
            <w:r>
              <w:rPr>
                <w:rFonts w:hint="eastAsia" w:ascii="仿宋" w:hAnsi="仿宋" w:eastAsia="仿宋"/>
                <w:color w:val="auto"/>
                <w:sz w:val="24"/>
                <w:highlight w:val="none"/>
              </w:rPr>
              <w:instrText xml:space="preserve">eq \o\ac(□,</w:instrText>
            </w:r>
            <w:r>
              <w:rPr>
                <w:rFonts w:hint="eastAsia" w:ascii="仿宋" w:hAnsi="仿宋" w:eastAsia="仿宋"/>
                <w:color w:val="auto"/>
                <w:position w:val="2"/>
                <w:sz w:val="24"/>
                <w:highlight w:val="none"/>
              </w:rPr>
              <w:instrText xml:space="preserve">√</w:instrText>
            </w:r>
            <w:r>
              <w:rPr>
                <w:rFonts w:hint="eastAsia" w:ascii="仿宋" w:hAnsi="仿宋" w:eastAsia="仿宋"/>
                <w:color w:val="auto"/>
                <w:sz w:val="24"/>
                <w:highlight w:val="none"/>
              </w:rPr>
              <w:instrText xml:space="preserve">)</w:instrText>
            </w:r>
            <w:r>
              <w:rPr>
                <w:rFonts w:ascii="仿宋" w:hAnsi="仿宋" w:eastAsia="仿宋"/>
                <w:color w:val="auto"/>
                <w:sz w:val="24"/>
                <w:highlight w:val="none"/>
              </w:rPr>
              <w:fldChar w:fldCharType="end"/>
            </w:r>
            <w:r>
              <w:rPr>
                <w:rFonts w:hint="eastAsia" w:ascii="仿宋" w:hAnsi="仿宋" w:eastAsia="仿宋"/>
                <w:color w:val="auto"/>
                <w:sz w:val="24"/>
                <w:highlight w:val="none"/>
              </w:rPr>
              <w:t>本项目收取履约保证金，具体规定如下：</w:t>
            </w:r>
          </w:p>
          <w:p>
            <w:pPr>
              <w:pStyle w:val="10"/>
              <w:spacing w:line="400" w:lineRule="exact"/>
              <w:rPr>
                <w:rFonts w:ascii="仿宋" w:hAnsi="仿宋" w:eastAsia="仿宋"/>
                <w:color w:val="auto"/>
                <w:sz w:val="24"/>
                <w:highlight w:val="none"/>
              </w:rPr>
            </w:pPr>
            <w:r>
              <w:rPr>
                <w:rFonts w:hint="eastAsia" w:ascii="仿宋" w:hAnsi="仿宋" w:eastAsia="仿宋"/>
                <w:color w:val="auto"/>
                <w:sz w:val="24"/>
                <w:highlight w:val="none"/>
              </w:rPr>
              <w:t>履约保证金金额：按中标金额的</w:t>
            </w:r>
            <w:r>
              <w:rPr>
                <w:rFonts w:hint="eastAsia" w:ascii="仿宋" w:hAnsi="仿宋" w:eastAsia="仿宋" w:cs="Arial"/>
                <w:color w:val="auto"/>
                <w:sz w:val="24"/>
                <w:highlight w:val="none"/>
                <w:u w:val="single"/>
              </w:rPr>
              <w:t xml:space="preserve"> 5 </w:t>
            </w:r>
            <w:r>
              <w:rPr>
                <w:rFonts w:hint="eastAsia" w:ascii="仿宋" w:hAnsi="仿宋" w:eastAsia="仿宋"/>
                <w:color w:val="auto"/>
                <w:sz w:val="24"/>
                <w:highlight w:val="none"/>
              </w:rPr>
              <w:t>%。（如中标企业符合《政府采购促进中小企业发展管理办法》规定的</w:t>
            </w:r>
            <w:r>
              <w:rPr>
                <w:rFonts w:hint="eastAsia" w:ascii="仿宋" w:hAnsi="仿宋" w:eastAsia="仿宋"/>
                <w:color w:val="auto"/>
                <w:sz w:val="24"/>
                <w:highlight w:val="none"/>
                <w:lang w:eastAsia="zh-CN"/>
              </w:rPr>
              <w:t>中小微</w:t>
            </w:r>
            <w:r>
              <w:rPr>
                <w:rFonts w:hint="eastAsia" w:ascii="仿宋" w:hAnsi="仿宋" w:eastAsia="仿宋"/>
                <w:color w:val="auto"/>
                <w:sz w:val="24"/>
                <w:highlight w:val="none"/>
              </w:rPr>
              <w:t>企业，则履约保证金按中标金额的</w:t>
            </w:r>
            <w:r>
              <w:rPr>
                <w:rFonts w:ascii="仿宋" w:hAnsi="仿宋" w:eastAsia="仿宋"/>
                <w:color w:val="auto"/>
                <w:sz w:val="24"/>
                <w:highlight w:val="none"/>
              </w:rPr>
              <w:t>2%收取</w:t>
            </w:r>
            <w:r>
              <w:rPr>
                <w:rFonts w:hint="eastAsia" w:ascii="仿宋" w:hAnsi="仿宋" w:eastAsia="仿宋"/>
                <w:color w:val="auto"/>
                <w:sz w:val="24"/>
                <w:highlight w:val="none"/>
              </w:rPr>
              <w:t>）</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履约保证金递交方式：转账、银行保函或电汇形式。</w:t>
            </w:r>
          </w:p>
          <w:p>
            <w:pPr>
              <w:autoSpaceDE w:val="0"/>
              <w:autoSpaceDN w:val="0"/>
              <w:snapToGrid w:val="0"/>
              <w:spacing w:line="400" w:lineRule="exact"/>
              <w:textAlignment w:val="bottom"/>
              <w:rPr>
                <w:rFonts w:ascii="仿宋" w:hAnsi="仿宋" w:eastAsia="仿宋"/>
                <w:color w:val="auto"/>
                <w:sz w:val="24"/>
                <w:highlight w:val="none"/>
                <w:u w:val="single"/>
              </w:rPr>
            </w:pPr>
            <w:r>
              <w:rPr>
                <w:rFonts w:hint="eastAsia" w:ascii="仿宋" w:hAnsi="仿宋" w:eastAsia="仿宋"/>
                <w:color w:val="auto"/>
                <w:sz w:val="24"/>
                <w:highlight w:val="none"/>
              </w:rPr>
              <w:t>履约保证金退付方式、时间及条件：质保期（投标人承诺质保期延长的则按承诺执行）满后无质量问题可向采购人申请退还，采购人在收到申请后七个工作日内无息退还。</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履约保证金指定账户：</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开户名称：桂林理工大学</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开户银行：中国银行桂林分行</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银行账号：6132 5748 8744</w:t>
            </w:r>
          </w:p>
          <w:p>
            <w:pPr>
              <w:spacing w:line="400" w:lineRule="exact"/>
              <w:jc w:val="left"/>
              <w:rPr>
                <w:rFonts w:ascii="仿宋" w:hAnsi="仿宋" w:eastAsia="仿宋" w:cs="Courier New"/>
                <w:color w:val="auto"/>
                <w:sz w:val="24"/>
                <w:highlight w:val="none"/>
              </w:rPr>
            </w:pPr>
            <w:r>
              <w:rPr>
                <w:rFonts w:ascii="仿宋" w:hAnsi="仿宋" w:eastAsia="仿宋" w:cs="Courier New"/>
                <w:color w:val="auto"/>
                <w:sz w:val="24"/>
                <w:highlight w:val="none"/>
              </w:rPr>
              <w:t>备注：</w:t>
            </w:r>
          </w:p>
          <w:p>
            <w:pPr>
              <w:spacing w:line="400" w:lineRule="exact"/>
              <w:jc w:val="left"/>
              <w:rPr>
                <w:rFonts w:ascii="仿宋" w:hAnsi="仿宋" w:eastAsia="仿宋"/>
                <w:b/>
                <w:color w:val="auto"/>
                <w:sz w:val="24"/>
                <w:highlight w:val="none"/>
              </w:rPr>
            </w:pPr>
            <w:r>
              <w:rPr>
                <w:rFonts w:ascii="仿宋" w:hAnsi="仿宋" w:eastAsia="仿宋"/>
                <w:b/>
                <w:color w:val="auto"/>
                <w:sz w:val="24"/>
                <w:highlight w:val="none"/>
              </w:rPr>
              <w:t>1</w:t>
            </w:r>
            <w:bookmarkStart w:id="68" w:name="_Hlk54170335"/>
            <w:r>
              <w:rPr>
                <w:rFonts w:hint="eastAsia" w:ascii="仿宋" w:hAnsi="仿宋" w:eastAsia="仿宋"/>
                <w:b/>
                <w:color w:val="auto"/>
                <w:sz w:val="24"/>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8"/>
            <w:r>
              <w:rPr>
                <w:rFonts w:ascii="仿宋" w:hAnsi="仿宋" w:eastAsia="仿宋" w:cs="Courier New"/>
                <w:color w:val="auto"/>
                <w:sz w:val="24"/>
                <w:highlight w:val="none"/>
              </w:rPr>
              <w:br w:type="textWrapping"/>
            </w:r>
            <w:r>
              <w:rPr>
                <w:rFonts w:ascii="仿宋" w:hAnsi="仿宋" w:eastAsia="仿宋"/>
                <w:b/>
                <w:color w:val="auto"/>
                <w:sz w:val="24"/>
                <w:highlight w:val="none"/>
              </w:rPr>
              <w:t>2</w:t>
            </w:r>
            <w:r>
              <w:rPr>
                <w:rFonts w:hint="eastAsia" w:ascii="仿宋" w:hAnsi="仿宋" w:eastAsia="仿宋"/>
                <w:b/>
                <w:color w:val="auto"/>
                <w:sz w:val="24"/>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仿宋" w:hAnsi="仿宋" w:eastAsia="仿宋"/>
                <w:b/>
                <w:color w:val="auto"/>
                <w:sz w:val="24"/>
                <w:highlight w:val="none"/>
              </w:rPr>
              <w:br w:type="textWrapping"/>
            </w:r>
            <w:r>
              <w:rPr>
                <w:rFonts w:ascii="仿宋" w:hAnsi="仿宋" w:eastAsia="仿宋"/>
                <w:b/>
                <w:color w:val="auto"/>
                <w:sz w:val="24"/>
                <w:highlight w:val="none"/>
              </w:rPr>
              <w:t>3</w:t>
            </w:r>
            <w:r>
              <w:rPr>
                <w:rFonts w:hint="eastAsia" w:ascii="仿宋" w:hAnsi="仿宋" w:eastAsia="仿宋"/>
                <w:b/>
                <w:color w:val="auto"/>
                <w:sz w:val="24"/>
                <w:highlight w:val="none"/>
              </w:rPr>
              <w:t>、</w:t>
            </w:r>
            <w:r>
              <w:rPr>
                <w:rFonts w:ascii="仿宋" w:hAnsi="仿宋" w:eastAsia="仿宋"/>
                <w:b/>
                <w:color w:val="auto"/>
                <w:sz w:val="24"/>
                <w:highlight w:val="none"/>
              </w:rPr>
              <w:t>采用金融、担保机构出具的保函的，必须为无条件保函，否则不予签订合同。</w:t>
            </w:r>
          </w:p>
          <w:p>
            <w:pPr>
              <w:spacing w:line="400" w:lineRule="exact"/>
              <w:jc w:val="left"/>
              <w:rPr>
                <w:rFonts w:ascii="仿宋" w:hAnsi="仿宋" w:eastAsia="仿宋" w:cs="宋体"/>
                <w:color w:val="auto"/>
                <w:kern w:val="0"/>
                <w:sz w:val="24"/>
                <w:highlight w:val="none"/>
              </w:rPr>
            </w:pPr>
            <w:r>
              <w:rPr>
                <w:rFonts w:ascii="仿宋" w:hAnsi="仿宋" w:eastAsia="仿宋"/>
                <w:b/>
                <w:color w:val="auto"/>
                <w:sz w:val="24"/>
                <w:highlight w:val="none"/>
              </w:rPr>
              <w:t>4</w:t>
            </w:r>
            <w:r>
              <w:rPr>
                <w:rFonts w:hint="eastAsia" w:ascii="仿宋" w:hAnsi="仿宋" w:eastAsia="仿宋"/>
                <w:b/>
                <w:color w:val="auto"/>
                <w:sz w:val="24"/>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69" w:name="_40.1"/>
            <w:bookmarkEnd w:id="69"/>
            <w:r>
              <w:rPr>
                <w:rFonts w:hint="eastAsia" w:ascii="仿宋" w:hAnsi="仿宋" w:eastAsia="仿宋"/>
                <w:color w:val="auto"/>
                <w:sz w:val="24"/>
                <w:highlight w:val="none"/>
              </w:rPr>
              <w:t>36.1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 xml:space="preserve">签订合同携带的证明材料： </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1、委托代理人负责签订合同的，须携带授权委托书及委托代理人身份证原件等其他资格证件。</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2、法定代表人负责签订合同的，须携带法定代表人</w:t>
            </w:r>
            <w:r>
              <w:rPr>
                <w:rFonts w:ascii="仿宋" w:hAnsi="仿宋" w:eastAsia="仿宋"/>
                <w:color w:val="auto"/>
                <w:sz w:val="24"/>
                <w:highlight w:val="none"/>
              </w:rPr>
              <w:t>身份证明原件</w:t>
            </w:r>
            <w:r>
              <w:rPr>
                <w:rFonts w:hint="eastAsia" w:ascii="仿宋" w:hAnsi="仿宋" w:eastAsia="仿宋"/>
                <w:color w:val="auto"/>
                <w:sz w:val="24"/>
                <w:highlight w:val="none"/>
              </w:rPr>
              <w:t>及</w:t>
            </w:r>
            <w:r>
              <w:rPr>
                <w:rFonts w:ascii="仿宋" w:hAnsi="仿宋" w:eastAsia="仿宋"/>
                <w:color w:val="auto"/>
                <w:sz w:val="24"/>
                <w:highlight w:val="none"/>
              </w:rPr>
              <w:t>身份证原件</w:t>
            </w:r>
            <w:r>
              <w:rPr>
                <w:rFonts w:hint="eastAsia" w:ascii="仿宋" w:hAnsi="仿宋" w:eastAsia="仿宋"/>
                <w:color w:val="auto"/>
                <w:sz w:val="24"/>
                <w:highlight w:val="none"/>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接收质疑函方式：以纸质书面形式。</w:t>
            </w:r>
          </w:p>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质疑联系部门及联系方式：</w:t>
            </w:r>
            <w:r>
              <w:rPr>
                <w:rFonts w:hint="eastAsia" w:ascii="仿宋" w:hAnsi="仿宋" w:eastAsia="仿宋"/>
                <w:color w:val="auto"/>
                <w:sz w:val="24"/>
                <w:highlight w:val="none"/>
                <w:lang w:eastAsia="zh-CN"/>
              </w:rPr>
              <w:t>广西科文招标有限公司</w:t>
            </w:r>
            <w:r>
              <w:rPr>
                <w:rFonts w:hint="eastAsia" w:ascii="仿宋" w:hAnsi="仿宋" w:eastAsia="仿宋"/>
                <w:color w:val="auto"/>
                <w:sz w:val="24"/>
                <w:highlight w:val="none"/>
              </w:rPr>
              <w:t>桂林</w:t>
            </w:r>
            <w:r>
              <w:rPr>
                <w:rFonts w:ascii="仿宋" w:hAnsi="仿宋" w:eastAsia="仿宋"/>
                <w:color w:val="auto"/>
                <w:sz w:val="24"/>
                <w:highlight w:val="none"/>
              </w:rPr>
              <w:t>分公司</w:t>
            </w:r>
            <w:r>
              <w:rPr>
                <w:rFonts w:hint="eastAsia" w:ascii="仿宋" w:hAnsi="仿宋" w:eastAsia="仿宋"/>
                <w:color w:val="auto"/>
                <w:sz w:val="24"/>
                <w:highlight w:val="none"/>
              </w:rPr>
              <w:t>，质疑联系人：</w:t>
            </w:r>
            <w:r>
              <w:rPr>
                <w:rFonts w:hint="eastAsia" w:ascii="仿宋" w:hAnsi="仿宋" w:eastAsia="仿宋"/>
                <w:color w:val="auto"/>
                <w:sz w:val="24"/>
                <w:highlight w:val="none"/>
                <w:lang w:eastAsia="zh-CN"/>
              </w:rPr>
              <w:t>刘巧云、潘虹</w:t>
            </w:r>
            <w:r>
              <w:rPr>
                <w:rFonts w:hint="eastAsia" w:ascii="仿宋" w:hAnsi="仿宋" w:eastAsia="仿宋"/>
                <w:color w:val="auto"/>
                <w:sz w:val="24"/>
                <w:highlight w:val="none"/>
              </w:rPr>
              <w:t>，联系电话：077</w:t>
            </w:r>
            <w:r>
              <w:rPr>
                <w:rFonts w:ascii="仿宋" w:hAnsi="仿宋" w:eastAsia="仿宋"/>
                <w:color w:val="auto"/>
                <w:sz w:val="24"/>
                <w:highlight w:val="none"/>
              </w:rPr>
              <w:t>3</w:t>
            </w:r>
            <w:r>
              <w:rPr>
                <w:rFonts w:hint="eastAsia" w:ascii="仿宋" w:hAnsi="仿宋" w:eastAsia="仿宋"/>
                <w:color w:val="auto"/>
                <w:sz w:val="24"/>
                <w:highlight w:val="none"/>
              </w:rPr>
              <w:t>-2860696</w:t>
            </w:r>
            <w:r>
              <w:rPr>
                <w:rFonts w:ascii="仿宋" w:hAnsi="仿宋" w:eastAsia="仿宋"/>
                <w:color w:val="auto"/>
                <w:sz w:val="24"/>
                <w:highlight w:val="none"/>
              </w:rPr>
              <w:t>/2860696</w:t>
            </w:r>
            <w:r>
              <w:rPr>
                <w:rFonts w:hint="eastAsia" w:ascii="仿宋" w:hAnsi="仿宋" w:eastAsia="仿宋"/>
                <w:color w:val="auto"/>
                <w:sz w:val="24"/>
                <w:highlight w:val="none"/>
              </w:rPr>
              <w:t>，</w:t>
            </w:r>
            <w:r>
              <w:rPr>
                <w:rFonts w:ascii="仿宋" w:hAnsi="仿宋" w:eastAsia="仿宋"/>
                <w:color w:val="auto"/>
                <w:sz w:val="24"/>
                <w:highlight w:val="none"/>
              </w:rPr>
              <w:t>通讯地址</w:t>
            </w:r>
            <w:r>
              <w:rPr>
                <w:rFonts w:hint="eastAsia" w:ascii="仿宋" w:hAnsi="仿宋" w:eastAsia="仿宋" w:cs="Helvetica"/>
                <w:color w:val="auto"/>
                <w:sz w:val="24"/>
                <w:highlight w:val="none"/>
              </w:rPr>
              <w:t>：</w:t>
            </w:r>
            <w:r>
              <w:rPr>
                <w:rFonts w:hint="eastAsia" w:ascii="仿宋" w:hAnsi="仿宋" w:eastAsia="仿宋"/>
                <w:color w:val="auto"/>
                <w:sz w:val="24"/>
                <w:highlight w:val="none"/>
              </w:rPr>
              <w:t>广西</w:t>
            </w:r>
            <w:r>
              <w:rPr>
                <w:rFonts w:ascii="仿宋" w:hAnsi="仿宋" w:eastAsia="仿宋"/>
                <w:color w:val="auto"/>
                <w:sz w:val="24"/>
                <w:highlight w:val="none"/>
              </w:rPr>
              <w:t>桂林市七星区穿山东路</w:t>
            </w:r>
            <w:r>
              <w:rPr>
                <w:rFonts w:hint="eastAsia" w:ascii="仿宋" w:hAnsi="仿宋" w:eastAsia="仿宋"/>
                <w:color w:val="auto"/>
                <w:sz w:val="24"/>
                <w:highlight w:val="none"/>
              </w:rPr>
              <w:t>41号</w:t>
            </w:r>
            <w:r>
              <w:rPr>
                <w:rFonts w:ascii="仿宋" w:hAnsi="仿宋" w:eastAsia="仿宋"/>
                <w:color w:val="auto"/>
                <w:sz w:val="24"/>
                <w:highlight w:val="none"/>
              </w:rPr>
              <w:t>彰泰天街</w:t>
            </w:r>
            <w:r>
              <w:rPr>
                <w:rFonts w:hint="eastAsia" w:ascii="仿宋" w:hAnsi="仿宋" w:eastAsia="仿宋"/>
                <w:color w:val="auto"/>
                <w:sz w:val="24"/>
                <w:highlight w:val="none"/>
              </w:rPr>
              <w:t>V+国际</w:t>
            </w:r>
            <w:r>
              <w:rPr>
                <w:rFonts w:ascii="仿宋" w:hAnsi="仿宋" w:eastAsia="仿宋"/>
                <w:color w:val="auto"/>
                <w:sz w:val="24"/>
                <w:highlight w:val="none"/>
              </w:rPr>
              <w:t>中心</w:t>
            </w:r>
            <w:r>
              <w:rPr>
                <w:rFonts w:hint="eastAsia" w:ascii="仿宋" w:hAnsi="仿宋" w:eastAsia="仿宋"/>
                <w:color w:val="auto"/>
                <w:sz w:val="24"/>
                <w:highlight w:val="none"/>
              </w:rPr>
              <w:t>8楼8F-02。</w:t>
            </w:r>
          </w:p>
          <w:p>
            <w:pPr>
              <w:autoSpaceDE w:val="0"/>
              <w:autoSpaceDN w:val="0"/>
              <w:snapToGrid w:val="0"/>
              <w:spacing w:line="400" w:lineRule="exact"/>
              <w:textAlignment w:val="bottom"/>
              <w:rPr>
                <w:rFonts w:ascii="仿宋" w:hAnsi="仿宋" w:eastAsia="仿宋"/>
                <w:color w:val="auto"/>
                <w:sz w:val="24"/>
                <w:highlight w:val="none"/>
              </w:rPr>
            </w:pPr>
            <w:r>
              <w:rPr>
                <w:rFonts w:hint="eastAsia" w:ascii="仿宋" w:hAnsi="仿宋" w:eastAsia="仿宋"/>
                <w:color w:val="auto"/>
                <w:sz w:val="24"/>
                <w:highlight w:val="none"/>
              </w:rPr>
              <w:t>现场提交质疑办理业务时间：工作日，</w:t>
            </w:r>
            <w:r>
              <w:rPr>
                <w:rFonts w:hint="eastAsia" w:ascii="仿宋" w:hAnsi="仿宋" w:eastAsia="仿宋" w:cs="Arial"/>
                <w:color w:val="auto"/>
                <w:sz w:val="24"/>
                <w:highlight w:val="none"/>
              </w:rPr>
              <w:t>上午8:00-12:00；下午15:00-18:00（北京时间）。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bookmarkStart w:id="70" w:name="_41"/>
            <w:bookmarkEnd w:id="70"/>
            <w:bookmarkStart w:id="71" w:name="_42"/>
            <w:bookmarkEnd w:id="71"/>
            <w:bookmarkStart w:id="72" w:name="_Hlt17709148"/>
            <w:r>
              <w:rPr>
                <w:rFonts w:hint="eastAsia" w:ascii="仿宋" w:hAnsi="仿宋" w:eastAsia="仿宋"/>
                <w:color w:val="auto"/>
                <w:sz w:val="24"/>
                <w:highlight w:val="none"/>
              </w:rPr>
              <w:t>3</w:t>
            </w:r>
            <w:bookmarkEnd w:id="72"/>
            <w:r>
              <w:rPr>
                <w:rFonts w:ascii="仿宋" w:hAnsi="仿宋" w:eastAsia="仿宋"/>
                <w:color w:val="auto"/>
                <w:sz w:val="24"/>
                <w:highlight w:val="none"/>
              </w:rPr>
              <w:t>9</w:t>
            </w:r>
          </w:p>
        </w:tc>
        <w:tc>
          <w:tcPr>
            <w:tcW w:w="9275" w:type="dxa"/>
            <w:tcBorders>
              <w:top w:val="single" w:color="auto" w:sz="4" w:space="0"/>
              <w:left w:val="single" w:color="auto" w:sz="4" w:space="0"/>
              <w:bottom w:val="single" w:color="auto" w:sz="4" w:space="0"/>
              <w:right w:val="single" w:color="auto" w:sz="4" w:space="0"/>
            </w:tcBorders>
            <w:vAlign w:val="center"/>
          </w:tcPr>
          <w:p>
            <w:pPr>
              <w:pStyle w:val="15"/>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1、代理服务费支付方式：</w:t>
            </w:r>
            <w:r>
              <w:rPr>
                <w:rFonts w:hint="eastAsia" w:ascii="仿宋" w:hAnsi="仿宋" w:eastAsia="仿宋"/>
                <w:color w:val="auto"/>
                <w:sz w:val="24"/>
                <w:szCs w:val="24"/>
                <w:highlight w:val="none"/>
              </w:rPr>
              <w:t>本项目的招标代理服务费按以下收费标准向中标人收取，领取中标通知书时，中标人应向采购代理机构一次付清招标代理服务费，否则采购代理机构有权不予以办理。</w:t>
            </w:r>
          </w:p>
          <w:p>
            <w:pPr>
              <w:pStyle w:val="15"/>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2、代理服务费收取标准：</w:t>
            </w:r>
          </w:p>
          <w:p>
            <w:pPr>
              <w:pStyle w:val="15"/>
              <w:snapToGrid w:val="0"/>
              <w:spacing w:line="400" w:lineRule="exact"/>
              <w:rPr>
                <w:rFonts w:ascii="仿宋" w:hAnsi="仿宋" w:eastAsia="仿宋" w:cs="宋体"/>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以分标（</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中标金额/</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采购预算/）为计费额，按国家发展计划委员会文件计价格（2002）1980号“国家计委关于印发《招标代理服务收费管理暂行办法》的通知”规定的货物类费率标准（</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货物招标/</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服务招标/</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工程招标）采用差额定率累进法计算出收费基准价格，采购代理服务费收费以（</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w:t>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w:instrText>
            </w:r>
            <w:r>
              <w:rPr>
                <w:rFonts w:hint="eastAsia" w:ascii="仿宋" w:hAnsi="仿宋" w:eastAsia="仿宋"/>
                <w:color w:val="auto"/>
                <w:sz w:val="24"/>
                <w:szCs w:val="24"/>
                <w:highlight w:val="none"/>
              </w:rPr>
              <w:instrText xml:space="preserve">eq \o\ac(□,</w:instrText>
            </w:r>
            <w:r>
              <w:rPr>
                <w:rFonts w:hint="eastAsia" w:ascii="仿宋" w:hAnsi="仿宋" w:eastAsia="仿宋"/>
                <w:color w:val="auto"/>
                <w:position w:val="2"/>
                <w:sz w:val="24"/>
                <w:szCs w:val="24"/>
                <w:highlight w:val="none"/>
              </w:rPr>
              <w:instrText xml:space="preserve">√</w:instrText>
            </w:r>
            <w:r>
              <w:rPr>
                <w:rFonts w:hint="eastAsia" w:ascii="仿宋" w:hAnsi="仿宋" w:eastAsia="仿宋"/>
                <w:color w:val="auto"/>
                <w:sz w:val="24"/>
                <w:szCs w:val="24"/>
                <w:highlight w:val="none"/>
              </w:rPr>
              <w:instrText xml:space="preserve">)</w:instrText>
            </w:r>
            <w:r>
              <w:rPr>
                <w:rFonts w:ascii="仿宋" w:hAnsi="仿宋" w:eastAsia="仿宋"/>
                <w:color w:val="auto"/>
                <w:sz w:val="24"/>
                <w:szCs w:val="24"/>
                <w:highlight w:val="none"/>
              </w:rPr>
              <w:fldChar w:fldCharType="end"/>
            </w:r>
            <w:r>
              <w:rPr>
                <w:rFonts w:hint="eastAsia" w:ascii="仿宋" w:hAnsi="仿宋" w:eastAsia="仿宋" w:cs="宋体"/>
                <w:color w:val="auto"/>
                <w:sz w:val="24"/>
                <w:szCs w:val="24"/>
                <w:highlight w:val="none"/>
              </w:rPr>
              <w:t>收费基准价格下浮</w:t>
            </w:r>
            <w:r>
              <w:rPr>
                <w:rFonts w:hint="eastAsia" w:ascii="仿宋" w:hAnsi="仿宋" w:eastAsia="仿宋" w:cs="宋体"/>
                <w:color w:val="auto"/>
                <w:sz w:val="24"/>
                <w:szCs w:val="24"/>
                <w:highlight w:val="none"/>
                <w:u w:val="single"/>
              </w:rPr>
              <w:t xml:space="preserve"> 50</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rPr>
              <w:t>%</w:t>
            </w:r>
            <w:r>
              <w:rPr>
                <w:rFonts w:ascii="仿宋" w:hAnsi="仿宋" w:eastAsia="仿宋" w:cs="宋体"/>
                <w:color w:val="auto"/>
                <w:sz w:val="24"/>
                <w:szCs w:val="24"/>
                <w:highlight w:val="none"/>
              </w:rPr>
              <w:t>/</w:t>
            </w: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收费基准价格上浮</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rPr>
              <w:t>%</w:t>
            </w:r>
            <w:r>
              <w:rPr>
                <w:rFonts w:hint="eastAsia" w:ascii="仿宋" w:hAnsi="仿宋" w:eastAsia="仿宋" w:cs="宋体"/>
                <w:color w:val="auto"/>
                <w:sz w:val="24"/>
                <w:szCs w:val="24"/>
                <w:highlight w:val="none"/>
              </w:rPr>
              <w:t>）收取。</w:t>
            </w:r>
          </w:p>
          <w:p>
            <w:pPr>
              <w:pStyle w:val="15"/>
              <w:snapToGrid w:val="0"/>
              <w:spacing w:line="400" w:lineRule="exact"/>
              <w:rPr>
                <w:rFonts w:ascii="仿宋" w:hAnsi="仿宋" w:eastAsia="仿宋" w:cs="宋体"/>
                <w:color w:val="auto"/>
                <w:sz w:val="24"/>
                <w:szCs w:val="24"/>
                <w:highlight w:val="none"/>
                <w:u w:val="single"/>
              </w:rPr>
            </w:pPr>
            <w:r>
              <w:rPr>
                <w:rFonts w:hint="eastAsia" w:ascii="仿宋" w:hAnsi="仿宋" w:eastAsia="仿宋"/>
                <w:color w:val="auto"/>
                <w:sz w:val="24"/>
                <w:szCs w:val="24"/>
                <w:highlight w:val="none"/>
              </w:rPr>
              <w:t>□</w:t>
            </w:r>
            <w:r>
              <w:rPr>
                <w:rFonts w:hint="eastAsia" w:ascii="仿宋" w:hAnsi="仿宋" w:eastAsia="仿宋" w:cs="宋体"/>
                <w:color w:val="auto"/>
                <w:sz w:val="24"/>
                <w:szCs w:val="24"/>
                <w:highlight w:val="none"/>
              </w:rPr>
              <w:t>固定采购代理收费</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w:t>
            </w:r>
          </w:p>
          <w:p>
            <w:pPr>
              <w:pStyle w:val="15"/>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3、代理服务费交纳账户信息</w:t>
            </w:r>
          </w:p>
          <w:p>
            <w:pPr>
              <w:pStyle w:val="15"/>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开户名称：广西科文招标有限公司桂林分公司</w:t>
            </w:r>
          </w:p>
          <w:p>
            <w:pPr>
              <w:pStyle w:val="15"/>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开户银行：桂林工行桂湖支行</w:t>
            </w:r>
          </w:p>
          <w:p>
            <w:pPr>
              <w:pStyle w:val="15"/>
              <w:snapToGrid w:val="0"/>
              <w:spacing w:line="400" w:lineRule="exact"/>
              <w:rPr>
                <w:rFonts w:hint="eastAsia" w:ascii="仿宋" w:hAnsi="仿宋" w:eastAsia="仿宋" w:cs="宋体"/>
                <w:color w:val="auto"/>
                <w:sz w:val="24"/>
                <w:szCs w:val="24"/>
                <w:highlight w:val="none"/>
                <w:lang w:eastAsia="zh-CN"/>
              </w:rPr>
            </w:pPr>
            <w:r>
              <w:rPr>
                <w:rFonts w:hint="eastAsia" w:ascii="仿宋" w:hAnsi="仿宋" w:eastAsia="仿宋" w:cs="宋体"/>
                <w:sz w:val="24"/>
                <w:szCs w:val="24"/>
                <w:highlight w:val="none"/>
              </w:rPr>
              <w:t>银行账号：</w:t>
            </w:r>
            <w:r>
              <w:rPr>
                <w:rFonts w:ascii="仿宋" w:hAnsi="仿宋" w:eastAsia="仿宋" w:cs="宋体"/>
                <w:sz w:val="24"/>
                <w:szCs w:val="24"/>
                <w:highlight w:val="none"/>
              </w:rPr>
              <w:t>210 3200 2093 0000 2088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ascii="仿宋" w:hAnsi="仿宋" w:eastAsia="仿宋"/>
                <w:color w:val="auto"/>
                <w:sz w:val="24"/>
                <w:highlight w:val="none"/>
              </w:rPr>
              <w:t>40.1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olor w:val="auto"/>
                <w:sz w:val="24"/>
                <w:highlight w:val="none"/>
              </w:rPr>
            </w:pPr>
            <w:r>
              <w:rPr>
                <w:rFonts w:hint="eastAsia" w:ascii="仿宋" w:hAnsi="仿宋" w:eastAsia="仿宋"/>
                <w:color w:val="auto"/>
                <w:sz w:val="24"/>
                <w:highlight w:val="none"/>
              </w:rPr>
              <w:t>解释：</w:t>
            </w:r>
            <w:r>
              <w:rPr>
                <w:rFonts w:ascii="仿宋" w:hAnsi="仿宋" w:eastAsia="仿宋"/>
                <w:color w:val="auto"/>
                <w:sz w:val="24"/>
                <w:highlight w:val="none"/>
              </w:rPr>
              <w:t>构成本招标文件的各个组成文件应互为解释，互为说明；除招标文件中有特别规定外，仅适用于招标投标阶段的规定，按</w:t>
            </w:r>
            <w:r>
              <w:rPr>
                <w:rFonts w:hint="eastAsia" w:ascii="仿宋" w:hAnsi="仿宋" w:eastAsia="仿宋"/>
                <w:color w:val="auto"/>
                <w:sz w:val="24"/>
                <w:highlight w:val="none"/>
              </w:rPr>
              <w:t>更正公告（澄清公告）</w:t>
            </w:r>
            <w:r>
              <w:rPr>
                <w:rFonts w:ascii="仿宋" w:hAnsi="仿宋" w:eastAsia="仿宋"/>
                <w:color w:val="auto"/>
                <w:sz w:val="24"/>
                <w:highlight w:val="none"/>
              </w:rPr>
              <w:t>、招标公告、</w:t>
            </w:r>
            <w:r>
              <w:rPr>
                <w:rFonts w:hint="eastAsia" w:ascii="仿宋" w:hAnsi="仿宋" w:eastAsia="仿宋"/>
                <w:color w:val="auto"/>
                <w:sz w:val="24"/>
                <w:highlight w:val="none"/>
              </w:rPr>
              <w:t>采购需求、</w:t>
            </w:r>
            <w:r>
              <w:rPr>
                <w:rFonts w:ascii="仿宋" w:hAnsi="仿宋" w:eastAsia="仿宋"/>
                <w:color w:val="auto"/>
                <w:sz w:val="24"/>
                <w:highlight w:val="none"/>
              </w:rPr>
              <w:t>投标人须知、</w:t>
            </w:r>
            <w:r>
              <w:rPr>
                <w:rFonts w:hint="eastAsia" w:ascii="仿宋" w:hAnsi="仿宋" w:eastAsia="仿宋"/>
                <w:color w:val="auto"/>
                <w:sz w:val="24"/>
                <w:highlight w:val="none"/>
              </w:rPr>
              <w:t>评标方法及评标标准</w:t>
            </w:r>
            <w:r>
              <w:rPr>
                <w:rFonts w:ascii="仿宋" w:hAnsi="仿宋" w:eastAsia="仿宋"/>
                <w:color w:val="auto"/>
                <w:sz w:val="24"/>
                <w:highlight w:val="none"/>
              </w:rPr>
              <w:t>、</w:t>
            </w:r>
            <w:r>
              <w:rPr>
                <w:rFonts w:hint="eastAsia" w:ascii="仿宋" w:hAnsi="仿宋" w:eastAsia="仿宋"/>
                <w:color w:val="auto"/>
                <w:sz w:val="24"/>
                <w:highlight w:val="none"/>
              </w:rPr>
              <w:t>拟签订的合同文本、</w:t>
            </w:r>
            <w:r>
              <w:rPr>
                <w:rFonts w:ascii="仿宋" w:hAnsi="仿宋" w:eastAsia="仿宋"/>
                <w:color w:val="auto"/>
                <w:sz w:val="24"/>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color w:val="auto"/>
                <w:sz w:val="24"/>
                <w:highlight w:val="none"/>
              </w:rPr>
              <w:t>更正公告（澄清公告）</w:t>
            </w:r>
            <w:r>
              <w:rPr>
                <w:rFonts w:ascii="仿宋" w:hAnsi="仿宋" w:eastAsia="仿宋"/>
                <w:color w:val="auto"/>
                <w:sz w:val="24"/>
                <w:highlight w:val="none"/>
              </w:rPr>
              <w:t>与同步更新的招标文件不一致时以</w:t>
            </w:r>
            <w:r>
              <w:rPr>
                <w:rFonts w:hint="eastAsia" w:ascii="仿宋" w:hAnsi="仿宋" w:eastAsia="仿宋"/>
                <w:color w:val="auto"/>
                <w:sz w:val="24"/>
                <w:highlight w:val="none"/>
              </w:rPr>
              <w:t>更正公告（澄清公告）</w:t>
            </w:r>
            <w:r>
              <w:rPr>
                <w:rFonts w:ascii="仿宋" w:hAnsi="仿宋" w:eastAsia="仿宋"/>
                <w:color w:val="auto"/>
                <w:sz w:val="24"/>
                <w:highlight w:val="none"/>
              </w:rPr>
              <w:t>为准。按本款前述规定仍不能形成结论的，由</w:t>
            </w:r>
            <w:r>
              <w:rPr>
                <w:rFonts w:hint="eastAsia" w:ascii="仿宋" w:hAnsi="仿宋" w:eastAsia="仿宋"/>
                <w:color w:val="auto"/>
                <w:sz w:val="24"/>
                <w:highlight w:val="none"/>
              </w:rPr>
              <w:t>采购</w:t>
            </w:r>
            <w:r>
              <w:rPr>
                <w:rFonts w:ascii="仿宋" w:hAnsi="仿宋" w:eastAsia="仿宋"/>
                <w:color w:val="auto"/>
                <w:sz w:val="24"/>
                <w:highlight w:val="none"/>
              </w:rPr>
              <w:t>人</w:t>
            </w:r>
            <w:r>
              <w:rPr>
                <w:rFonts w:hint="eastAsia" w:ascii="仿宋" w:hAnsi="仿宋" w:eastAsia="仿宋"/>
                <w:color w:val="auto"/>
                <w:sz w:val="24"/>
                <w:highlight w:val="none"/>
              </w:rPr>
              <w:t>或者采购代理机构</w:t>
            </w:r>
            <w:r>
              <w:rPr>
                <w:rFonts w:ascii="仿宋" w:hAnsi="仿宋" w:eastAsia="仿宋"/>
                <w:color w:val="auto"/>
                <w:sz w:val="24"/>
                <w:highlight w:val="none"/>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olor w:val="auto"/>
                <w:sz w:val="24"/>
                <w:highlight w:val="none"/>
              </w:rPr>
            </w:pPr>
            <w:r>
              <w:rPr>
                <w:rFonts w:ascii="仿宋" w:hAnsi="仿宋" w:eastAsia="仿宋"/>
                <w:color w:val="auto"/>
                <w:sz w:val="24"/>
                <w:highlight w:val="none"/>
              </w:rPr>
              <w:t>40.2</w:t>
            </w:r>
          </w:p>
        </w:tc>
        <w:tc>
          <w:tcPr>
            <w:tcW w:w="9275" w:type="dxa"/>
            <w:tcBorders>
              <w:top w:val="single" w:color="auto" w:sz="4" w:space="0"/>
              <w:left w:val="single" w:color="auto" w:sz="4" w:space="0"/>
              <w:bottom w:val="single" w:color="auto" w:sz="4" w:space="0"/>
              <w:right w:val="single" w:color="auto" w:sz="4" w:space="0"/>
            </w:tcBorders>
            <w:vAlign w:val="center"/>
          </w:tcPr>
          <w:p>
            <w:pPr>
              <w:pStyle w:val="15"/>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1、本招标文件中描述投标人的“公章”是指根据我国对公章的管理规定，用投标人法定主体行为名称制作的印章</w:t>
            </w:r>
            <w:r>
              <w:rPr>
                <w:rFonts w:hint="eastAsia" w:ascii="仿宋" w:hAnsi="仿宋" w:eastAsia="仿宋" w:cs="宋体"/>
                <w:color w:val="auto"/>
                <w:sz w:val="24"/>
                <w:szCs w:val="24"/>
                <w:highlight w:val="none"/>
              </w:rPr>
              <w:t>（含电子印章）</w:t>
            </w:r>
            <w:r>
              <w:rPr>
                <w:rFonts w:hint="eastAsia" w:ascii="仿宋" w:hAnsi="仿宋" w:eastAsia="仿宋"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pPr>
              <w:pStyle w:val="15"/>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15"/>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3、本招标文件中描述投标人的“签字”是指投标人的法定代表人或者委托代理人</w:t>
            </w:r>
            <w:r>
              <w:rPr>
                <w:rFonts w:hint="eastAsia" w:ascii="仿宋" w:hAnsi="仿宋" w:eastAsia="仿宋" w:cs="宋体"/>
                <w:color w:val="auto"/>
                <w:sz w:val="24"/>
                <w:szCs w:val="24"/>
                <w:highlight w:val="none"/>
              </w:rPr>
              <w:t>在文件规定签署处签名（含电子签名）的行为，私章、印鉴等其他形式均不能代替签字</w:t>
            </w:r>
            <w:r>
              <w:rPr>
                <w:rFonts w:hint="eastAsia" w:ascii="仿宋" w:hAnsi="仿宋" w:eastAsia="仿宋" w:cs="宋体"/>
                <w:bCs/>
                <w:color w:val="auto"/>
                <w:sz w:val="24"/>
                <w:szCs w:val="24"/>
                <w:highlight w:val="none"/>
              </w:rPr>
              <w:t>。</w:t>
            </w:r>
          </w:p>
          <w:p>
            <w:pPr>
              <w:pStyle w:val="15"/>
              <w:snapToGrid w:val="0"/>
              <w:spacing w:line="400" w:lineRule="exact"/>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4、自然人投标的，招标文件规定盖公章处由自然人摁手指指印。</w:t>
            </w:r>
          </w:p>
          <w:p>
            <w:pPr>
              <w:spacing w:line="400" w:lineRule="exact"/>
              <w:jc w:val="left"/>
              <w:rPr>
                <w:rFonts w:ascii="仿宋" w:hAnsi="仿宋" w:eastAsia="仿宋"/>
                <w:color w:val="auto"/>
                <w:sz w:val="24"/>
                <w:highlight w:val="none"/>
              </w:rPr>
            </w:pPr>
            <w:r>
              <w:rPr>
                <w:rFonts w:hint="eastAsia" w:ascii="仿宋" w:hAnsi="仿宋" w:eastAsia="仿宋" w:cs="宋体"/>
                <w:bCs/>
                <w:color w:val="auto"/>
                <w:sz w:val="24"/>
                <w:highlight w:val="none"/>
              </w:rPr>
              <w:t>5、本招标文件所称的“以上”“以下”“以内”“届满”，包括本数；所称的“不满”“超过”“以外”，不包括本数。</w:t>
            </w:r>
          </w:p>
        </w:tc>
      </w:tr>
    </w:tbl>
    <w:p>
      <w:pPr>
        <w:snapToGrid w:val="0"/>
        <w:rPr>
          <w:rFonts w:ascii="仿宋" w:hAnsi="仿宋" w:eastAsia="仿宋"/>
          <w:color w:val="auto"/>
          <w:sz w:val="24"/>
          <w:szCs w:val="20"/>
          <w:highlight w:val="none"/>
        </w:rPr>
      </w:pPr>
    </w:p>
    <w:p>
      <w:pPr>
        <w:pStyle w:val="6"/>
        <w:keepNext w:val="0"/>
        <w:keepLines w:val="0"/>
        <w:spacing w:before="0" w:after="0" w:line="415" w:lineRule="auto"/>
        <w:jc w:val="center"/>
        <w:rPr>
          <w:rFonts w:ascii="仿宋" w:hAnsi="仿宋" w:eastAsia="仿宋"/>
          <w:color w:val="auto"/>
          <w:highlight w:val="none"/>
        </w:rPr>
      </w:pPr>
      <w:r>
        <w:rPr>
          <w:rFonts w:ascii="仿宋" w:hAnsi="仿宋" w:eastAsia="仿宋"/>
          <w:color w:val="auto"/>
          <w:highlight w:val="none"/>
        </w:rPr>
        <w:br w:type="page"/>
      </w:r>
      <w:r>
        <w:rPr>
          <w:rFonts w:hint="eastAsia" w:ascii="仿宋" w:hAnsi="仿宋" w:eastAsia="仿宋"/>
          <w:color w:val="auto"/>
          <w:highlight w:val="none"/>
        </w:rPr>
        <w:t>投标人须知正文</w:t>
      </w:r>
    </w:p>
    <w:p>
      <w:pPr>
        <w:pStyle w:val="6"/>
        <w:keepNext w:val="0"/>
        <w:keepLines w:val="0"/>
        <w:spacing w:before="0" w:after="0" w:line="415" w:lineRule="auto"/>
        <w:jc w:val="center"/>
        <w:rPr>
          <w:rFonts w:ascii="仿宋" w:hAnsi="仿宋" w:eastAsia="仿宋"/>
          <w:color w:val="auto"/>
          <w:highlight w:val="none"/>
        </w:rPr>
      </w:pPr>
      <w:r>
        <w:rPr>
          <w:rFonts w:hint="eastAsia" w:ascii="仿宋" w:hAnsi="仿宋" w:eastAsia="仿宋"/>
          <w:color w:val="auto"/>
          <w:highlight w:val="none"/>
        </w:rPr>
        <w:t>一、总  则</w:t>
      </w:r>
    </w:p>
    <w:p>
      <w:pPr>
        <w:pStyle w:val="7"/>
        <w:keepNext w:val="0"/>
        <w:keepLines w:val="0"/>
        <w:spacing w:before="0" w:after="0" w:line="360" w:lineRule="auto"/>
        <w:ind w:left="420" w:leftChars="200"/>
        <w:rPr>
          <w:rFonts w:ascii="仿宋" w:hAnsi="仿宋" w:eastAsia="仿宋"/>
          <w:color w:val="auto"/>
          <w:sz w:val="24"/>
          <w:highlight w:val="none"/>
        </w:rPr>
      </w:pPr>
      <w:bookmarkStart w:id="73" w:name="_Toc254970668"/>
      <w:bookmarkStart w:id="74" w:name="_Toc254970527"/>
      <w:r>
        <w:rPr>
          <w:rFonts w:hint="eastAsia" w:ascii="仿宋" w:hAnsi="仿宋" w:eastAsia="仿宋"/>
          <w:color w:val="auto"/>
          <w:sz w:val="24"/>
          <w:highlight w:val="none"/>
        </w:rPr>
        <w:t>1.适用范围</w:t>
      </w:r>
      <w:bookmarkEnd w:id="73"/>
      <w:bookmarkEnd w:id="74"/>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1.2本招标文件</w:t>
      </w:r>
      <w:r>
        <w:rPr>
          <w:rFonts w:hint="eastAsia" w:ascii="仿宋" w:hAnsi="仿宋" w:eastAsia="仿宋" w:cs="宋体"/>
          <w:color w:val="auto"/>
          <w:spacing w:val="-6"/>
          <w:sz w:val="24"/>
          <w:highlight w:val="none"/>
        </w:rPr>
        <w:t>适用于本项目的所有采购程序和环节（法律、法规另有规定的，从其规定）。</w:t>
      </w:r>
    </w:p>
    <w:p>
      <w:pPr>
        <w:pStyle w:val="7"/>
        <w:keepNext w:val="0"/>
        <w:keepLines w:val="0"/>
        <w:spacing w:before="0" w:after="0" w:line="360" w:lineRule="auto"/>
        <w:ind w:left="420" w:leftChars="200"/>
        <w:rPr>
          <w:rFonts w:ascii="仿宋" w:hAnsi="仿宋" w:eastAsia="仿宋"/>
          <w:color w:val="auto"/>
          <w:sz w:val="24"/>
          <w:highlight w:val="none"/>
        </w:rPr>
      </w:pPr>
      <w:bookmarkStart w:id="75" w:name="_Toc254970528"/>
      <w:bookmarkStart w:id="76" w:name="_Toc254970669"/>
      <w:r>
        <w:rPr>
          <w:rFonts w:hint="eastAsia" w:ascii="仿宋" w:hAnsi="仿宋" w:eastAsia="仿宋"/>
          <w:color w:val="auto"/>
          <w:sz w:val="24"/>
          <w:highlight w:val="none"/>
        </w:rPr>
        <w:t>2.定义</w:t>
      </w:r>
      <w:bookmarkEnd w:id="75"/>
      <w:bookmarkEnd w:id="76"/>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2.1“采购人”是指依法进行政府采购的国家机关、事业单位、团体组织。</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2.2“采购代理机构”是指政府采购集中采购机构和集中采购机构以外的采购代理机构。</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2.3“供应商”是指向采购人提供货物、工程或者服务的法人、其他组织或者自然人。</w:t>
      </w:r>
    </w:p>
    <w:p>
      <w:pPr>
        <w:pStyle w:val="8"/>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2.4“投标人”是指响应招标、参加投标竞争的法人、其他组织或者自然人。</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2.5“货物”是指各种形态和种类的物品，包括原材料、燃料、设备、产品等。</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pPr>
        <w:pStyle w:val="7"/>
        <w:keepNext w:val="0"/>
        <w:keepLines w:val="0"/>
        <w:spacing w:before="0" w:after="0" w:line="360" w:lineRule="auto"/>
        <w:rPr>
          <w:rFonts w:ascii="仿宋" w:hAnsi="仿宋" w:eastAsia="仿宋"/>
          <w:b w:val="0"/>
          <w:color w:val="auto"/>
          <w:sz w:val="24"/>
          <w:highlight w:val="none"/>
        </w:rPr>
      </w:pPr>
      <w:r>
        <w:rPr>
          <w:rFonts w:hint="eastAsia" w:ascii="仿宋" w:hAnsi="仿宋" w:eastAsia="仿宋"/>
          <w:b w:val="0"/>
          <w:color w:val="auto"/>
          <w:sz w:val="24"/>
          <w:highlight w:val="none"/>
        </w:rPr>
        <w:t xml:space="preserve">    2.7“书面形式”是指合同书、信件和数据电文（包括电报、电传、传真、电子数据交换和电子邮件）等可以有形地表现所载内容的形式。</w:t>
      </w:r>
    </w:p>
    <w:p>
      <w:pPr>
        <w:pStyle w:val="7"/>
        <w:keepNext w:val="0"/>
        <w:keepLines w:val="0"/>
        <w:spacing w:before="0" w:after="0" w:line="360" w:lineRule="auto"/>
        <w:ind w:firstLine="480" w:firstLineChars="200"/>
        <w:rPr>
          <w:rFonts w:ascii="仿宋" w:hAnsi="仿宋" w:eastAsia="仿宋"/>
          <w:b w:val="0"/>
          <w:color w:val="FF0000"/>
          <w:sz w:val="24"/>
          <w:highlight w:val="none"/>
        </w:rPr>
      </w:pPr>
      <w:r>
        <w:rPr>
          <w:rFonts w:hint="eastAsia" w:ascii="仿宋" w:hAnsi="仿宋" w:eastAsia="仿宋"/>
          <w:b w:val="0"/>
          <w:color w:val="auto"/>
          <w:sz w:val="24"/>
          <w:highlight w:val="none"/>
        </w:rPr>
        <w:t>2.8“实质性要求”是指招标文件中已经指明不满足则投标无效的条款，或者不能负偏离的条款，或者采购需求中带“</w:t>
      </w:r>
      <w:r>
        <w:rPr>
          <w:rFonts w:hint="eastAsia" w:ascii="仿宋" w:hAnsi="仿宋" w:eastAsia="仿宋"/>
          <w:b/>
          <w:bCs/>
          <w:color w:val="auto"/>
          <w:sz w:val="24"/>
          <w:highlight w:val="none"/>
        </w:rPr>
        <w:t>▲</w:t>
      </w:r>
      <w:r>
        <w:rPr>
          <w:rFonts w:hint="eastAsia" w:ascii="仿宋" w:hAnsi="仿宋" w:eastAsia="仿宋"/>
          <w:b w:val="0"/>
          <w:color w:val="auto"/>
          <w:sz w:val="24"/>
          <w:highlight w:val="none"/>
        </w:rPr>
        <w:t>”的条款。</w:t>
      </w:r>
    </w:p>
    <w:p>
      <w:pPr>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olor w:val="auto"/>
          <w:sz w:val="24"/>
          <w:highlight w:val="none"/>
        </w:rPr>
        <w:t xml:space="preserve">2.9 </w:t>
      </w:r>
      <w:r>
        <w:rPr>
          <w:rFonts w:hint="eastAsia" w:ascii="仿宋" w:hAnsi="仿宋" w:eastAsia="仿宋" w:cs="宋体"/>
          <w:color w:val="auto"/>
          <w:sz w:val="24"/>
          <w:highlight w:val="none"/>
        </w:rPr>
        <w:t>“正偏离”，是指投标文件对招标文件“采购需求”中有关条款作出的响应优于条款要求并有利于采购人的情形。</w:t>
      </w:r>
    </w:p>
    <w:p>
      <w:pPr>
        <w:snapToGrid w:val="0"/>
        <w:spacing w:line="360" w:lineRule="auto"/>
        <w:ind w:firstLine="480" w:firstLineChars="200"/>
        <w:jc w:val="left"/>
        <w:rPr>
          <w:rFonts w:ascii="仿宋" w:hAnsi="仿宋" w:eastAsia="仿宋" w:cs="宋体"/>
          <w:color w:val="auto"/>
          <w:sz w:val="24"/>
          <w:highlight w:val="none"/>
        </w:rPr>
      </w:pPr>
      <w:r>
        <w:rPr>
          <w:rFonts w:ascii="仿宋" w:hAnsi="仿宋" w:eastAsia="仿宋" w:cs="宋体"/>
          <w:color w:val="auto"/>
          <w:sz w:val="24"/>
          <w:highlight w:val="none"/>
        </w:rPr>
        <w:t>2.10</w:t>
      </w:r>
      <w:r>
        <w:rPr>
          <w:rFonts w:hint="eastAsia" w:ascii="仿宋" w:hAnsi="仿宋" w:eastAsia="仿宋" w:cs="宋体"/>
          <w:color w:val="auto"/>
          <w:sz w:val="24"/>
          <w:highlight w:val="none"/>
        </w:rPr>
        <w:t>“负偏离”，是指投标文件对招标文件“采购需求”中有关条款作出的响应不满足条款要求，导致采购人要求不能得到满足的情形。</w:t>
      </w:r>
    </w:p>
    <w:p>
      <w:pPr>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1</w:t>
      </w:r>
      <w:r>
        <w:rPr>
          <w:rFonts w:hint="eastAsia" w:ascii="仿宋" w:hAnsi="仿宋" w:eastAsia="仿宋" w:cs="宋体"/>
          <w:color w:val="auto"/>
          <w:sz w:val="24"/>
          <w:highlight w:val="none"/>
        </w:rPr>
        <w:t>“允许负偏离的条款”是指采购需求中的不属于“实质性要求”的条款。</w:t>
      </w:r>
      <w:bookmarkStart w:id="77" w:name="_Toc254970529"/>
      <w:bookmarkStart w:id="78" w:name="_Toc254970670"/>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bookmarkEnd w:id="77"/>
      <w:bookmarkEnd w:id="78"/>
      <w:r>
        <w:rPr>
          <w:rFonts w:hint="eastAsia" w:ascii="仿宋" w:hAnsi="仿宋" w:eastAsia="仿宋"/>
          <w:color w:val="auto"/>
          <w:sz w:val="24"/>
          <w:highlight w:val="none"/>
        </w:rPr>
        <w:t>投标人的资格要求</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投标人的资格要求详见“投标人须知前附表”。</w:t>
      </w:r>
    </w:p>
    <w:p>
      <w:pPr>
        <w:pStyle w:val="7"/>
        <w:keepNext w:val="0"/>
        <w:keepLines w:val="0"/>
        <w:spacing w:before="0" w:after="0" w:line="360" w:lineRule="auto"/>
        <w:ind w:left="420" w:leftChars="200"/>
        <w:rPr>
          <w:rFonts w:ascii="仿宋" w:hAnsi="仿宋" w:eastAsia="仿宋"/>
          <w:color w:val="auto"/>
          <w:sz w:val="24"/>
          <w:highlight w:val="none"/>
        </w:rPr>
      </w:pPr>
      <w:bookmarkStart w:id="79" w:name="_Toc254970530"/>
      <w:bookmarkStart w:id="80" w:name="_Toc254970671"/>
      <w:r>
        <w:rPr>
          <w:rFonts w:hint="eastAsia" w:ascii="仿宋" w:hAnsi="仿宋" w:eastAsia="仿宋"/>
          <w:color w:val="auto"/>
          <w:sz w:val="24"/>
          <w:highlight w:val="none"/>
        </w:rPr>
        <w:t>4.投标委托</w:t>
      </w:r>
      <w:bookmarkEnd w:id="79"/>
      <w:bookmarkEnd w:id="80"/>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投标人代表参加投标活动过程中必须携带个人有效身份证件。如投标人代表不是法定代表人，须持有授权委托书（按第六章要求格式填写）。</w:t>
      </w:r>
    </w:p>
    <w:p>
      <w:pPr>
        <w:pStyle w:val="7"/>
        <w:keepNext w:val="0"/>
        <w:keepLines w:val="0"/>
        <w:spacing w:before="0" w:after="0" w:line="360" w:lineRule="auto"/>
        <w:ind w:left="420" w:leftChars="200"/>
        <w:rPr>
          <w:rFonts w:ascii="仿宋" w:hAnsi="仿宋" w:eastAsia="仿宋"/>
          <w:color w:val="auto"/>
          <w:sz w:val="24"/>
          <w:highlight w:val="none"/>
        </w:rPr>
      </w:pPr>
      <w:bookmarkStart w:id="81" w:name="_5.投标费用"/>
      <w:bookmarkEnd w:id="81"/>
      <w:bookmarkStart w:id="82" w:name="_Toc254970531"/>
      <w:bookmarkStart w:id="83" w:name="_Toc254970672"/>
      <w:r>
        <w:rPr>
          <w:rFonts w:hint="eastAsia" w:ascii="仿宋" w:hAnsi="仿宋" w:eastAsia="仿宋"/>
          <w:color w:val="auto"/>
          <w:sz w:val="24"/>
          <w:highlight w:val="none"/>
        </w:rPr>
        <w:t>5.投标费用</w:t>
      </w:r>
      <w:bookmarkEnd w:id="82"/>
      <w:bookmarkEnd w:id="83"/>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6.联合体投标</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6.1本项目是否接受联合体投标，详见“投标人须知前附表”。</w:t>
      </w:r>
    </w:p>
    <w:p>
      <w:pPr>
        <w:snapToGrid w:val="0"/>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6.2如接受联合体投标，联合体投标要求详见“投标人须知前附表”。</w:t>
      </w:r>
    </w:p>
    <w:p>
      <w:pPr>
        <w:pStyle w:val="7"/>
        <w:keepNext w:val="0"/>
        <w:keepLines w:val="0"/>
        <w:spacing w:before="0" w:after="0" w:line="360" w:lineRule="auto"/>
        <w:ind w:firstLine="484" w:firstLineChars="202"/>
        <w:rPr>
          <w:rFonts w:ascii="仿宋" w:hAnsi="仿宋" w:eastAsia="仿宋"/>
          <w:color w:val="auto"/>
          <w:sz w:val="24"/>
          <w:highlight w:val="none"/>
        </w:rPr>
      </w:pPr>
      <w:r>
        <w:rPr>
          <w:rFonts w:hint="eastAsia" w:ascii="仿宋" w:hAnsi="仿宋" w:eastAsia="仿宋"/>
          <w:b w:val="0"/>
          <w:bCs/>
          <w:color w:val="auto"/>
          <w:sz w:val="24"/>
          <w:highlight w:val="none"/>
        </w:rPr>
        <w:t>6.3</w:t>
      </w:r>
      <w:r>
        <w:rPr>
          <w:rFonts w:ascii="仿宋" w:hAnsi="仿宋" w:eastAsia="仿宋"/>
          <w:b w:val="0"/>
          <w:bCs/>
          <w:color w:val="auto"/>
          <w:sz w:val="24"/>
          <w:highlight w:val="none"/>
        </w:rPr>
        <w:t xml:space="preserve"> </w:t>
      </w:r>
      <w:bookmarkStart w:id="84" w:name="_Hlk65857072"/>
      <w:r>
        <w:rPr>
          <w:rFonts w:hint="eastAsia" w:ascii="仿宋" w:hAnsi="仿宋" w:eastAsia="仿宋"/>
          <w:b w:val="0"/>
          <w:bCs/>
          <w:color w:val="auto"/>
          <w:sz w:val="24"/>
          <w:highlight w:val="none"/>
        </w:rPr>
        <w:t>根据《政府采购促进中小企业发展管理办法》（财库〔2020〕46号）、财政部《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仿宋" w:hAnsi="仿宋" w:eastAsia="仿宋"/>
          <w:b w:val="0"/>
          <w:bCs/>
          <w:color w:val="auto"/>
          <w:sz w:val="24"/>
          <w:highlight w:val="none"/>
        </w:rPr>
        <w:t>4</w:t>
      </w:r>
      <w:r>
        <w:rPr>
          <w:rFonts w:hint="eastAsia" w:ascii="仿宋" w:hAnsi="仿宋" w:eastAsia="仿宋"/>
          <w:b w:val="0"/>
          <w:bCs/>
          <w:color w:val="auto"/>
          <w:sz w:val="24"/>
          <w:highlight w:val="none"/>
        </w:rPr>
        <w:t>%-</w:t>
      </w:r>
      <w:r>
        <w:rPr>
          <w:rFonts w:ascii="仿宋" w:hAnsi="仿宋" w:eastAsia="仿宋"/>
          <w:b w:val="0"/>
          <w:bCs/>
          <w:color w:val="auto"/>
          <w:sz w:val="24"/>
          <w:highlight w:val="none"/>
        </w:rPr>
        <w:t>6</w:t>
      </w:r>
      <w:r>
        <w:rPr>
          <w:rFonts w:hint="eastAsia" w:ascii="仿宋" w:hAnsi="仿宋" w:eastAsia="仿宋"/>
          <w:b w:val="0"/>
          <w:bCs/>
          <w:color w:val="auto"/>
          <w:sz w:val="24"/>
          <w:highlight w:val="none"/>
        </w:rPr>
        <w:t>%的扣除，用扣除后的价格参加评审。</w:t>
      </w:r>
      <w:bookmarkEnd w:id="84"/>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 xml:space="preserve">7.转包与分包             </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7.1本项目不允许转包。</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7"/>
        <w:keepNext w:val="0"/>
        <w:keepLines w:val="0"/>
        <w:spacing w:before="0" w:after="0" w:line="360" w:lineRule="auto"/>
        <w:ind w:left="420" w:leftChars="200"/>
        <w:rPr>
          <w:rFonts w:ascii="仿宋" w:hAnsi="仿宋" w:eastAsia="仿宋"/>
          <w:color w:val="auto"/>
          <w:sz w:val="24"/>
          <w:highlight w:val="none"/>
        </w:rPr>
      </w:pPr>
      <w:bookmarkStart w:id="85" w:name="_Toc254970673"/>
      <w:bookmarkStart w:id="86" w:name="_Toc254970532"/>
      <w:r>
        <w:rPr>
          <w:rFonts w:hint="eastAsia" w:ascii="仿宋" w:hAnsi="仿宋" w:eastAsia="仿宋"/>
          <w:color w:val="auto"/>
          <w:sz w:val="24"/>
          <w:highlight w:val="none"/>
        </w:rPr>
        <w:t>8.特别说明</w:t>
      </w:r>
      <w:bookmarkEnd w:id="85"/>
      <w:bookmarkEnd w:id="86"/>
    </w:p>
    <w:p>
      <w:pPr>
        <w:pStyle w:val="7"/>
        <w:keepNext w:val="0"/>
        <w:keepLines w:val="0"/>
        <w:spacing w:before="0" w:after="0" w:line="360" w:lineRule="auto"/>
        <w:ind w:firstLine="480" w:firstLineChars="200"/>
        <w:rPr>
          <w:rFonts w:ascii="仿宋" w:hAnsi="仿宋" w:eastAsia="仿宋"/>
          <w:b w:val="0"/>
          <w:color w:val="auto"/>
          <w:sz w:val="24"/>
          <w:highlight w:val="none"/>
        </w:rPr>
      </w:pPr>
      <w:bookmarkStart w:id="87" w:name="_8.1提供相同品牌产品且通过资格审查、符合性审查的不同投标人参加同一合"/>
      <w:bookmarkEnd w:id="87"/>
      <w:r>
        <w:rPr>
          <w:rFonts w:ascii="仿宋" w:hAnsi="仿宋" w:eastAsia="仿宋"/>
          <w:b w:val="0"/>
          <w:color w:val="auto"/>
          <w:sz w:val="24"/>
          <w:highlight w:val="none"/>
        </w:rPr>
        <w:fldChar w:fldCharType="begin"/>
      </w:r>
      <w:r>
        <w:rPr>
          <w:rFonts w:ascii="仿宋" w:hAnsi="仿宋" w:eastAsia="仿宋"/>
          <w:b w:val="0"/>
          <w:color w:val="auto"/>
          <w:sz w:val="24"/>
          <w:highlight w:val="none"/>
        </w:rPr>
        <w:instrText xml:space="preserve"> HYPERLINK  \l "_8.1" </w:instrText>
      </w:r>
      <w:r>
        <w:rPr>
          <w:rFonts w:ascii="仿宋" w:hAnsi="仿宋" w:eastAsia="仿宋"/>
          <w:b w:val="0"/>
          <w:color w:val="auto"/>
          <w:sz w:val="24"/>
          <w:highlight w:val="none"/>
        </w:rPr>
        <w:fldChar w:fldCharType="separate"/>
      </w:r>
      <w:r>
        <w:rPr>
          <w:rFonts w:hint="eastAsia" w:ascii="仿宋" w:hAnsi="仿宋" w:eastAsia="仿宋"/>
          <w:b w:val="0"/>
          <w:color w:val="auto"/>
          <w:sz w:val="24"/>
          <w:highlight w:val="none"/>
        </w:rPr>
        <w:t>8.1</w:t>
      </w:r>
      <w:r>
        <w:rPr>
          <w:rFonts w:ascii="仿宋" w:hAnsi="仿宋" w:eastAsia="仿宋"/>
          <w:b w:val="0"/>
          <w:color w:val="auto"/>
          <w:sz w:val="24"/>
          <w:highlight w:val="none"/>
        </w:rPr>
        <w:fldChar w:fldCharType="end"/>
      </w:r>
      <w:r>
        <w:rPr>
          <w:rFonts w:hint="eastAsia" w:ascii="仿宋" w:hAnsi="仿宋" w:eastAsia="仿宋"/>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仿宋" w:hAnsi="仿宋" w:eastAsia="仿宋"/>
          <w:color w:val="auto"/>
          <w:sz w:val="24"/>
          <w:highlight w:val="none"/>
        </w:rPr>
        <w:t>其他投标无效。</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非单一产品采购项目，多家投标人提供的核心产品品牌相同的，</w:t>
      </w:r>
      <w:r>
        <w:rPr>
          <w:rFonts w:hint="eastAsia" w:ascii="仿宋" w:hAnsi="仿宋" w:eastAsia="仿宋"/>
          <w:color w:val="auto"/>
          <w:sz w:val="24"/>
          <w:szCs w:val="24"/>
          <w:highlight w:val="none"/>
        </w:rPr>
        <w:t>按前两款规定处理</w:t>
      </w:r>
      <w:r>
        <w:rPr>
          <w:rFonts w:hint="eastAsia" w:ascii="仿宋" w:hAnsi="仿宋" w:eastAsia="仿宋"/>
          <w:color w:val="auto"/>
          <w:kern w:val="2"/>
          <w:sz w:val="24"/>
          <w:szCs w:val="24"/>
          <w:highlight w:val="none"/>
        </w:rPr>
        <w:t>。</w:t>
      </w:r>
    </w:p>
    <w:p>
      <w:pPr>
        <w:pStyle w:val="7"/>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pPr>
        <w:pStyle w:val="7"/>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8.3投标人应仔细阅读招标文件的所有内容，按照招标文件的要求提交投标文件，并对所提供的全部资料的真实性承担法律责任。</w:t>
      </w:r>
    </w:p>
    <w:p>
      <w:pPr>
        <w:pStyle w:val="7"/>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pPr>
        <w:pStyle w:val="7"/>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回避与串通投标</w:t>
      </w:r>
    </w:p>
    <w:p>
      <w:pPr>
        <w:pStyle w:val="7"/>
        <w:keepNext w:val="0"/>
        <w:keepLines w:val="0"/>
        <w:spacing w:before="0" w:after="0" w:line="360" w:lineRule="auto"/>
        <w:ind w:firstLine="420" w:firstLineChars="175"/>
        <w:rPr>
          <w:rFonts w:ascii="仿宋" w:hAnsi="仿宋" w:eastAsia="仿宋"/>
          <w:b w:val="0"/>
          <w:color w:val="auto"/>
          <w:sz w:val="24"/>
          <w:highlight w:val="none"/>
        </w:rPr>
      </w:pPr>
      <w:r>
        <w:rPr>
          <w:rFonts w:hint="eastAsia" w:ascii="仿宋" w:hAnsi="仿宋" w:eastAsia="仿宋"/>
          <w:b w:val="0"/>
          <w:color w:val="auto"/>
          <w:sz w:val="24"/>
          <w:highlight w:val="none"/>
        </w:rPr>
        <w:t>9</w:t>
      </w:r>
      <w:r>
        <w:rPr>
          <w:rFonts w:ascii="仿宋" w:hAnsi="仿宋" w:eastAsia="仿宋"/>
          <w:b w:val="0"/>
          <w:color w:val="auto"/>
          <w:sz w:val="24"/>
          <w:highlight w:val="none"/>
        </w:rPr>
        <w:t>.1在政府采购活动中，采购人员及相关人员与</w:t>
      </w:r>
      <w:r>
        <w:rPr>
          <w:rFonts w:hint="eastAsia" w:ascii="仿宋" w:hAnsi="仿宋" w:eastAsia="仿宋"/>
          <w:b w:val="0"/>
          <w:color w:val="auto"/>
          <w:sz w:val="24"/>
          <w:highlight w:val="none"/>
        </w:rPr>
        <w:t>供应商</w:t>
      </w:r>
      <w:r>
        <w:rPr>
          <w:rFonts w:ascii="仿宋" w:hAnsi="仿宋" w:eastAsia="仿宋"/>
          <w:b w:val="0"/>
          <w:color w:val="auto"/>
          <w:sz w:val="24"/>
          <w:highlight w:val="none"/>
        </w:rPr>
        <w:t>有下列利害关系之一的，应当回避：</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1</w:t>
      </w:r>
      <w:r>
        <w:rPr>
          <w:rFonts w:ascii="仿宋" w:hAnsi="仿宋" w:eastAsia="仿宋"/>
          <w:color w:val="auto"/>
          <w:kern w:val="2"/>
          <w:sz w:val="24"/>
          <w:szCs w:val="24"/>
          <w:highlight w:val="none"/>
        </w:rPr>
        <w:t>）参加采购活动前3年内与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存在劳动关系；</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2</w:t>
      </w:r>
      <w:r>
        <w:rPr>
          <w:rFonts w:ascii="仿宋" w:hAnsi="仿宋" w:eastAsia="仿宋"/>
          <w:color w:val="auto"/>
          <w:kern w:val="2"/>
          <w:sz w:val="24"/>
          <w:szCs w:val="24"/>
          <w:highlight w:val="none"/>
        </w:rPr>
        <w:t>）参加采购活动前3年内担任</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的董事、监事；</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3</w:t>
      </w:r>
      <w:r>
        <w:rPr>
          <w:rFonts w:ascii="仿宋" w:hAnsi="仿宋" w:eastAsia="仿宋"/>
          <w:color w:val="auto"/>
          <w:kern w:val="2"/>
          <w:sz w:val="24"/>
          <w:szCs w:val="24"/>
          <w:highlight w:val="none"/>
        </w:rPr>
        <w:t>）参加采购活动前3年内是</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的控股股东或者实际控制人；</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4</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的法定代表人或者负责人有夫妻、直系血亲、三代以内旁系血亲或者近姻亲关系；</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rPr>
        <w:t>5</w:t>
      </w:r>
      <w:r>
        <w:rPr>
          <w:rFonts w:ascii="仿宋" w:hAnsi="仿宋" w:eastAsia="仿宋"/>
          <w:color w:val="auto"/>
          <w:kern w:val="2"/>
          <w:sz w:val="24"/>
          <w:szCs w:val="24"/>
          <w:highlight w:val="none"/>
        </w:rPr>
        <w:t>）与</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有其他可能影响政府采购活动公平、公正进行的关系。</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认为采购人员及相关人员与其他</w:t>
      </w:r>
      <w:r>
        <w:rPr>
          <w:rFonts w:hint="eastAsia" w:ascii="仿宋" w:hAnsi="仿宋" w:eastAsia="仿宋"/>
          <w:color w:val="auto"/>
          <w:kern w:val="2"/>
          <w:sz w:val="24"/>
          <w:szCs w:val="24"/>
          <w:highlight w:val="none"/>
        </w:rPr>
        <w:t>供应商</w:t>
      </w:r>
      <w:r>
        <w:rPr>
          <w:rFonts w:ascii="仿宋" w:hAnsi="仿宋" w:eastAsia="仿宋"/>
          <w:color w:val="auto"/>
          <w:kern w:val="2"/>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pPr>
        <w:pStyle w:val="7"/>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9.2</w:t>
      </w:r>
      <w:r>
        <w:rPr>
          <w:rFonts w:hint="eastAsia" w:ascii="仿宋" w:hAnsi="仿宋" w:eastAsia="仿宋"/>
          <w:color w:val="auto"/>
          <w:sz w:val="24"/>
          <w:highlight w:val="none"/>
        </w:rPr>
        <w:t>有下列情形之一的视为投标人相互串通投标，投标文件将被视为无效：</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 xml:space="preserve">（1）不同投标人的投标文件由同一单位或者个人编制； </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（2）不同投标人委托同一单位或者个人办理投标事宜；</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（3）不同的投标人的投标文件载明的项目管理员为同一个人；</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（4）不同投标人的投标文件异常一致或者投标报价呈规律性差异；</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（5）不同投标人的投标文件相互混装；</w:t>
      </w:r>
    </w:p>
    <w:p>
      <w:pPr>
        <w:pStyle w:val="15"/>
        <w:snapToGrid w:val="0"/>
        <w:spacing w:line="360" w:lineRule="auto"/>
        <w:ind w:left="2" w:leftChars="1" w:firstLine="482" w:firstLineChars="20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（6）不同投标人的投标保证金从同一单位或者个人账户转出。</w:t>
      </w:r>
    </w:p>
    <w:p>
      <w:pPr>
        <w:pStyle w:val="7"/>
        <w:keepNext w:val="0"/>
        <w:keepLines w:val="0"/>
        <w:spacing w:before="0" w:after="0" w:line="360" w:lineRule="auto"/>
        <w:ind w:left="420" w:leftChars="200"/>
        <w:rPr>
          <w:rFonts w:ascii="仿宋" w:hAnsi="仿宋" w:eastAsia="仿宋"/>
          <w:b w:val="0"/>
          <w:color w:val="auto"/>
          <w:sz w:val="24"/>
          <w:highlight w:val="none"/>
        </w:rPr>
      </w:pPr>
      <w:r>
        <w:rPr>
          <w:rFonts w:ascii="仿宋" w:hAnsi="仿宋" w:eastAsia="仿宋"/>
          <w:b w:val="0"/>
          <w:color w:val="auto"/>
          <w:sz w:val="24"/>
          <w:highlight w:val="none"/>
        </w:rPr>
        <w:t>9.3</w:t>
      </w:r>
      <w:r>
        <w:rPr>
          <w:rFonts w:hint="eastAsia" w:ascii="仿宋" w:hAnsi="仿宋" w:eastAsia="仿宋"/>
          <w:b w:val="0"/>
          <w:color w:val="auto"/>
          <w:sz w:val="24"/>
          <w:highlight w:val="none"/>
        </w:rPr>
        <w:t>供应商有下列情形之一的，属于恶意串通行为，将报同级监督管理部门：</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（1）供应商直接或者间接从采购人或者采购代理机构处获得其他供应商的相关信息并修改其投标文件；</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（2）供应商按照采购人或者采购代理机构的授意撤换、修改投标文件；</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（3）供应商之间协商报价、技术方案等投标文件的实质性内容；</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（4）属于同一集团、协会、商会等组织成员的供应商按照该组织要求协同参加政府采购活动；</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（6）供应商之间商定部分供应商放弃参加政府采购活动或者放弃中标；</w:t>
      </w:r>
    </w:p>
    <w:p>
      <w:pPr>
        <w:pStyle w:val="15"/>
        <w:snapToGrid w:val="0"/>
        <w:spacing w:line="360" w:lineRule="auto"/>
        <w:ind w:left="2" w:leftChars="1" w:firstLine="480" w:firstLineChars="200"/>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（7）供应商与采购人或者采购代理机构之间、供应商相互之间，为谋求特定供应商中标或者排斥其他供应商的其他串通行为。</w:t>
      </w:r>
    </w:p>
    <w:p>
      <w:pPr>
        <w:pStyle w:val="6"/>
        <w:keepNext w:val="0"/>
        <w:keepLines w:val="0"/>
        <w:jc w:val="center"/>
        <w:rPr>
          <w:rFonts w:ascii="仿宋" w:hAnsi="仿宋" w:eastAsia="仿宋"/>
          <w:color w:val="auto"/>
          <w:highlight w:val="none"/>
        </w:rPr>
      </w:pPr>
      <w:bookmarkStart w:id="88" w:name="_Toc254970534"/>
      <w:bookmarkStart w:id="89" w:name="_Toc254970675"/>
      <w:r>
        <w:rPr>
          <w:rFonts w:hint="eastAsia" w:ascii="仿宋" w:hAnsi="仿宋" w:eastAsia="仿宋"/>
          <w:color w:val="auto"/>
          <w:highlight w:val="none"/>
        </w:rPr>
        <w:t>二、招标文件</w:t>
      </w:r>
      <w:bookmarkEnd w:id="88"/>
      <w:bookmarkEnd w:id="89"/>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10.招标文件的组成</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（1）招标公告；</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 xml:space="preserve">（2）采购需求； </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（3）投标人须知；</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（4）评标方法及评标标准；</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（5）拟签订的合同文本；</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（6）投标文件格式。</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11.招标文件的澄清、修改 、现场考察和答疑会</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pPr>
        <w:pStyle w:val="7"/>
        <w:keepNext w:val="0"/>
        <w:keepLines w:val="0"/>
        <w:numPr>
          <w:ilvl w:val="0"/>
          <w:numId w:val="0"/>
        </w:numPr>
        <w:spacing w:before="0" w:after="0" w:line="360" w:lineRule="auto"/>
        <w:ind w:firstLine="480" w:firstLineChars="200"/>
        <w:rPr>
          <w:rFonts w:ascii="仿宋" w:hAnsi="仿宋" w:eastAsia="仿宋"/>
          <w:color w:val="auto"/>
          <w:sz w:val="24"/>
          <w:highlight w:val="none"/>
        </w:rPr>
      </w:pPr>
      <w:r>
        <w:rPr>
          <w:rFonts w:hint="eastAsia" w:ascii="仿宋" w:hAnsi="仿宋" w:eastAsia="仿宋"/>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11.3采购人和采购代理机构可以视采购具体情况，变更投标截止时间和开标时间，并在原公告发布媒体上发布更正公告。</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11.4招标文件澄清、答复、修改、补充的内容为招标文件的组成部分。</w:t>
      </w:r>
      <w:r>
        <w:rPr>
          <w:rFonts w:hint="eastAsia" w:ascii="仿宋" w:hAnsi="仿宋" w:eastAsia="仿宋"/>
          <w:b/>
          <w:color w:val="auto"/>
          <w:sz w:val="24"/>
          <w:highlight w:val="none"/>
        </w:rPr>
        <w:t>当招标文件与招标文件的澄清、答复、修改、补充通知就同一内容的表述不一致时，以最后发出的文件为准。</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bookmarkStart w:id="90" w:name="_Hlk53134511"/>
      <w:r>
        <w:rPr>
          <w:rFonts w:hint="eastAsia" w:ascii="仿宋" w:hAnsi="仿宋" w:eastAsia="仿宋"/>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0"/>
    <w:p>
      <w:pPr>
        <w:pStyle w:val="6"/>
        <w:keepNext w:val="0"/>
        <w:keepLines w:val="0"/>
        <w:jc w:val="center"/>
        <w:rPr>
          <w:rFonts w:ascii="仿宋" w:hAnsi="仿宋" w:eastAsia="仿宋"/>
          <w:color w:val="auto"/>
          <w:highlight w:val="none"/>
        </w:rPr>
      </w:pPr>
      <w:bookmarkStart w:id="91" w:name="_Toc254970535"/>
      <w:bookmarkStart w:id="92" w:name="_Toc254970676"/>
      <w:r>
        <w:rPr>
          <w:rFonts w:hint="eastAsia" w:ascii="仿宋" w:hAnsi="仿宋" w:eastAsia="仿宋"/>
          <w:color w:val="auto"/>
          <w:highlight w:val="none"/>
        </w:rPr>
        <w:t>三、投标文件的编制</w:t>
      </w:r>
      <w:bookmarkEnd w:id="91"/>
      <w:bookmarkEnd w:id="92"/>
    </w:p>
    <w:p>
      <w:pPr>
        <w:pStyle w:val="7"/>
        <w:keepNext w:val="0"/>
        <w:keepLines w:val="0"/>
        <w:spacing w:before="0" w:after="0" w:line="360" w:lineRule="auto"/>
        <w:ind w:left="420" w:leftChars="200"/>
        <w:rPr>
          <w:rFonts w:ascii="仿宋" w:hAnsi="仿宋" w:eastAsia="仿宋"/>
          <w:color w:val="auto"/>
          <w:sz w:val="24"/>
          <w:highlight w:val="none"/>
        </w:rPr>
      </w:pPr>
      <w:bookmarkStart w:id="93" w:name="_Toc254970677"/>
      <w:bookmarkStart w:id="94" w:name="_Toc254970536"/>
      <w:r>
        <w:rPr>
          <w:rFonts w:hint="eastAsia" w:ascii="仿宋" w:hAnsi="仿宋" w:eastAsia="仿宋"/>
          <w:color w:val="auto"/>
          <w:sz w:val="24"/>
          <w:highlight w:val="none"/>
        </w:rPr>
        <w:t>12.投标文件的编制原则</w:t>
      </w:r>
    </w:p>
    <w:p>
      <w:pPr>
        <w:snapToGrid w:val="0"/>
        <w:spacing w:line="360" w:lineRule="auto"/>
        <w:ind w:firstLine="420"/>
        <w:jc w:val="left"/>
        <w:rPr>
          <w:rFonts w:ascii="仿宋" w:hAnsi="仿宋" w:eastAsia="仿宋" w:cs="Courier New"/>
          <w:color w:val="auto"/>
          <w:sz w:val="24"/>
          <w:highlight w:val="none"/>
        </w:rPr>
      </w:pPr>
      <w:r>
        <w:rPr>
          <w:rFonts w:ascii="仿宋" w:hAnsi="仿宋" w:eastAsia="仿宋"/>
          <w:color w:val="auto"/>
          <w:sz w:val="24"/>
          <w:highlight w:val="none"/>
        </w:rPr>
        <w:t>投标人必须按照招标文件的要求编制投标文件。投标文件必须对招标文件提出的要求和条件作出明确响应。</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13.投标文件的组成</w:t>
      </w:r>
      <w:bookmarkEnd w:id="93"/>
      <w:bookmarkEnd w:id="94"/>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3.1</w:t>
      </w:r>
      <w:r>
        <w:rPr>
          <w:rFonts w:hint="eastAsia" w:ascii="仿宋" w:hAnsi="仿宋" w:eastAsia="仿宋"/>
          <w:color w:val="auto"/>
          <w:sz w:val="24"/>
          <w:highlight w:val="none"/>
        </w:rPr>
        <w:t>投标文件由报价文件、资格证明文件、商务文件、技术文件四部分组成。</w:t>
      </w:r>
    </w:p>
    <w:p>
      <w:pPr>
        <w:pStyle w:val="7"/>
        <w:keepNext w:val="0"/>
        <w:keepLines w:val="0"/>
        <w:spacing w:before="0" w:after="0" w:line="360" w:lineRule="auto"/>
        <w:ind w:left="420" w:leftChars="200"/>
        <w:rPr>
          <w:rFonts w:ascii="仿宋" w:hAnsi="仿宋" w:eastAsia="仿宋"/>
          <w:b w:val="0"/>
          <w:color w:val="auto"/>
          <w:sz w:val="24"/>
          <w:highlight w:val="none"/>
        </w:rPr>
      </w:pPr>
      <w:bookmarkStart w:id="95" w:name="_13.1报价文件:_具体材料见“投标人须知前附表”。"/>
      <w:bookmarkEnd w:id="95"/>
      <w:r>
        <w:rPr>
          <w:rFonts w:hint="eastAsia" w:ascii="仿宋" w:hAnsi="仿宋" w:eastAsia="仿宋"/>
          <w:b w:val="0"/>
          <w:color w:val="auto"/>
          <w:sz w:val="24"/>
          <w:highlight w:val="none"/>
        </w:rPr>
        <w:t>（1）报价文件：</w:t>
      </w:r>
      <w:r>
        <w:rPr>
          <w:rFonts w:ascii="仿宋" w:hAnsi="仿宋" w:eastAsia="仿宋"/>
          <w:b w:val="0"/>
          <w:color w:val="auto"/>
          <w:sz w:val="24"/>
          <w:highlight w:val="none"/>
        </w:rPr>
        <w:t xml:space="preserve"> 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ascii="仿宋" w:hAnsi="仿宋" w:eastAsia="仿宋"/>
          <w:b w:val="0"/>
          <w:color w:val="auto"/>
          <w:sz w:val="24"/>
          <w:highlight w:val="none"/>
        </w:rPr>
      </w:pPr>
      <w:bookmarkStart w:id="96" w:name="_13.2资格证明文件：具体材料见“投标人须知前附表”。"/>
      <w:bookmarkEnd w:id="96"/>
      <w:r>
        <w:rPr>
          <w:rFonts w:hint="eastAsia" w:ascii="仿宋" w:hAnsi="仿宋" w:eastAsia="仿宋"/>
          <w:b w:val="0"/>
          <w:color w:val="auto"/>
          <w:sz w:val="24"/>
          <w:highlight w:val="none"/>
        </w:rPr>
        <w:t>（</w:t>
      </w:r>
      <w:r>
        <w:rPr>
          <w:rFonts w:ascii="仿宋" w:hAnsi="仿宋" w:eastAsia="仿宋"/>
          <w:b w:val="0"/>
          <w:color w:val="auto"/>
          <w:sz w:val="24"/>
          <w:highlight w:val="none"/>
        </w:rPr>
        <w:t>2</w:t>
      </w:r>
      <w:r>
        <w:rPr>
          <w:rFonts w:hint="eastAsia" w:ascii="仿宋" w:hAnsi="仿宋" w:eastAsia="仿宋"/>
          <w:b w:val="0"/>
          <w:color w:val="auto"/>
          <w:sz w:val="24"/>
          <w:highlight w:val="none"/>
        </w:rPr>
        <w:t>）资格证明文件：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ascii="仿宋" w:hAnsi="仿宋" w:eastAsia="仿宋"/>
          <w:b w:val="0"/>
          <w:color w:val="auto"/>
          <w:sz w:val="24"/>
          <w:highlight w:val="none"/>
        </w:rPr>
      </w:pPr>
      <w:bookmarkStart w:id="97" w:name="_13.3商务文件:_具体材料见“投标人须知前附表”。"/>
      <w:bookmarkEnd w:id="97"/>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hint="eastAsia" w:ascii="仿宋" w:hAnsi="仿宋" w:eastAsia="仿宋"/>
          <w:b w:val="0"/>
          <w:color w:val="auto"/>
          <w:sz w:val="24"/>
          <w:highlight w:val="none"/>
        </w:rPr>
        <w:t>）商务文件：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p>
    <w:p>
      <w:pPr>
        <w:pStyle w:val="7"/>
        <w:keepNext w:val="0"/>
        <w:keepLines w:val="0"/>
        <w:spacing w:before="0" w:after="0" w:line="360" w:lineRule="auto"/>
        <w:ind w:left="420" w:leftChars="200"/>
        <w:rPr>
          <w:rFonts w:ascii="仿宋" w:hAnsi="仿宋" w:eastAsia="仿宋"/>
          <w:b w:val="0"/>
          <w:color w:val="auto"/>
          <w:sz w:val="24"/>
          <w:highlight w:val="none"/>
        </w:rPr>
      </w:pPr>
      <w:bookmarkStart w:id="98" w:name="_13.4技术文件：具体材料见“投标人须知前附表”。"/>
      <w:bookmarkEnd w:id="98"/>
      <w:r>
        <w:rPr>
          <w:rFonts w:hint="eastAsia" w:ascii="仿宋" w:hAnsi="仿宋" w:eastAsia="仿宋"/>
          <w:b w:val="0"/>
          <w:color w:val="auto"/>
          <w:sz w:val="24"/>
          <w:highlight w:val="none"/>
        </w:rPr>
        <w:t>（</w:t>
      </w:r>
      <w:r>
        <w:rPr>
          <w:rFonts w:ascii="仿宋" w:hAnsi="仿宋" w:eastAsia="仿宋"/>
          <w:b w:val="0"/>
          <w:color w:val="auto"/>
          <w:sz w:val="24"/>
          <w:highlight w:val="none"/>
        </w:rPr>
        <w:t>4</w:t>
      </w:r>
      <w:r>
        <w:rPr>
          <w:rFonts w:hint="eastAsia" w:ascii="仿宋" w:hAnsi="仿宋" w:eastAsia="仿宋"/>
          <w:b w:val="0"/>
          <w:color w:val="auto"/>
          <w:sz w:val="24"/>
          <w:highlight w:val="none"/>
        </w:rPr>
        <w:t>）技术文件：</w:t>
      </w:r>
      <w:r>
        <w:rPr>
          <w:rFonts w:ascii="仿宋" w:hAnsi="仿宋" w:eastAsia="仿宋"/>
          <w:b w:val="0"/>
          <w:color w:val="auto"/>
          <w:sz w:val="24"/>
          <w:highlight w:val="none"/>
        </w:rPr>
        <w:t>具体材料见“投标人须知前附表”</w:t>
      </w:r>
      <w:r>
        <w:rPr>
          <w:rFonts w:hint="eastAsia" w:ascii="仿宋" w:hAnsi="仿宋" w:eastAsia="仿宋"/>
          <w:b w:val="0"/>
          <w:color w:val="auto"/>
          <w:sz w:val="24"/>
          <w:highlight w:val="none"/>
        </w:rPr>
        <w:t>。</w:t>
      </w:r>
      <w:bookmarkStart w:id="99" w:name="_13.5投标文件电子版：具体材料见“投标人须知前附表”。"/>
      <w:bookmarkEnd w:id="99"/>
    </w:p>
    <w:p>
      <w:pPr>
        <w:pStyle w:val="7"/>
        <w:keepNext w:val="0"/>
        <w:keepLines w:val="0"/>
        <w:spacing w:before="0" w:after="0" w:line="360" w:lineRule="auto"/>
        <w:ind w:left="420" w:leftChars="200"/>
        <w:rPr>
          <w:rFonts w:ascii="仿宋" w:hAnsi="仿宋" w:eastAsia="仿宋"/>
          <w:color w:val="auto"/>
          <w:sz w:val="24"/>
          <w:highlight w:val="none"/>
        </w:rPr>
      </w:pPr>
      <w:bookmarkStart w:id="100" w:name="_Toc254970537"/>
      <w:bookmarkStart w:id="101" w:name="_Toc254970678"/>
      <w:r>
        <w:rPr>
          <w:rFonts w:hint="eastAsia" w:ascii="仿宋" w:hAnsi="仿宋" w:eastAsia="仿宋"/>
          <w:color w:val="auto"/>
          <w:sz w:val="24"/>
          <w:highlight w:val="none"/>
        </w:rPr>
        <w:t>14.投标文件的语言及计量</w:t>
      </w:r>
      <w:bookmarkEnd w:id="100"/>
      <w:bookmarkEnd w:id="101"/>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14.1语言文字</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14.2投标计量单位</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招标文件已有明确规定的，使用招标文件规定的计量单位；招标文件没有规定的，应采用中华人民共和国法定计量单位，货币种类为人民币，否则视同未响应。</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15.投标的风险</w:t>
      </w:r>
    </w:p>
    <w:p>
      <w:pPr>
        <w:pStyle w:val="15"/>
        <w:snapToGrid w:val="0"/>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投标人没有按照招标文件要求提供全部资料，或者投标人没有对招标文件作出实质性响应是投标人的风险，并可能导致其投标被拒绝。</w:t>
      </w:r>
    </w:p>
    <w:p>
      <w:pPr>
        <w:pStyle w:val="7"/>
        <w:keepNext w:val="0"/>
        <w:keepLines w:val="0"/>
        <w:spacing w:before="0" w:after="0" w:line="360" w:lineRule="auto"/>
        <w:ind w:left="420" w:leftChars="200"/>
        <w:rPr>
          <w:rFonts w:ascii="仿宋" w:hAnsi="仿宋" w:eastAsia="仿宋"/>
          <w:color w:val="auto"/>
          <w:sz w:val="24"/>
          <w:highlight w:val="none"/>
        </w:rPr>
      </w:pPr>
      <w:bookmarkStart w:id="102" w:name="_Toc254970679"/>
      <w:bookmarkStart w:id="103" w:name="_Toc254970538"/>
      <w:r>
        <w:rPr>
          <w:rFonts w:hint="eastAsia" w:ascii="仿宋" w:hAnsi="仿宋" w:eastAsia="仿宋"/>
          <w:color w:val="auto"/>
          <w:sz w:val="24"/>
          <w:highlight w:val="none"/>
        </w:rPr>
        <w:t>16.投标报价</w:t>
      </w:r>
      <w:bookmarkEnd w:id="102"/>
      <w:bookmarkEnd w:id="103"/>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16.1投标报价应按“第六章　投标文件格式”中“开标一览表”格式填写。</w:t>
      </w:r>
    </w:p>
    <w:p>
      <w:pPr>
        <w:pStyle w:val="7"/>
        <w:keepNext w:val="0"/>
        <w:keepLines w:val="0"/>
        <w:spacing w:before="0" w:after="0" w:line="360" w:lineRule="auto"/>
        <w:ind w:left="420" w:leftChars="200"/>
        <w:rPr>
          <w:rFonts w:ascii="仿宋" w:hAnsi="仿宋" w:eastAsia="仿宋"/>
          <w:b w:val="0"/>
          <w:color w:val="auto"/>
          <w:sz w:val="24"/>
          <w:highlight w:val="none"/>
        </w:rPr>
      </w:pPr>
      <w:bookmarkStart w:id="104" w:name="_16.2投标报价具体定义见投标人须知前附表。"/>
      <w:bookmarkEnd w:id="104"/>
      <w:r>
        <w:rPr>
          <w:rFonts w:hint="eastAsia" w:ascii="仿宋" w:hAnsi="仿宋" w:eastAsia="仿宋"/>
          <w:b w:val="0"/>
          <w:color w:val="auto"/>
          <w:sz w:val="24"/>
          <w:highlight w:val="none"/>
        </w:rPr>
        <w:t>16.2投标报价具体包括内容详见“投标人须知前附表”。</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16.3投标人必须就所投每个分标的全部内容分别作完整唯一总价报价，不得存在漏项报价；投标人必须就所投分标的单项内容作唯一报价。</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17.投标有效期</w:t>
      </w:r>
    </w:p>
    <w:p>
      <w:pPr>
        <w:pStyle w:val="7"/>
        <w:keepNext w:val="0"/>
        <w:keepLines w:val="0"/>
        <w:spacing w:before="0" w:after="0" w:line="360" w:lineRule="auto"/>
        <w:ind w:firstLine="480" w:firstLineChars="200"/>
        <w:rPr>
          <w:rFonts w:ascii="仿宋" w:hAnsi="仿宋" w:eastAsia="仿宋"/>
          <w:b w:val="0"/>
          <w:color w:val="auto"/>
          <w:sz w:val="24"/>
          <w:highlight w:val="none"/>
        </w:rPr>
      </w:pPr>
      <w:bookmarkStart w:id="105" w:name="_17.1投标有效期应按“投标人须知中的前附表”规定的期限。"/>
      <w:bookmarkEnd w:id="105"/>
      <w:r>
        <w:rPr>
          <w:rFonts w:hint="eastAsia" w:ascii="仿宋" w:hAnsi="仿宋" w:eastAsia="仿宋"/>
          <w:b w:val="0"/>
          <w:color w:val="auto"/>
          <w:sz w:val="24"/>
          <w:highlight w:val="none"/>
        </w:rPr>
        <w:t>17.1投标有效期是指为保证采购人有足够的时间在开标后完成评标、定标、合同签订等工作而要求投标人提交的投标文件在一定时间内保持有效的期限。</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17.2</w:t>
      </w:r>
      <w:bookmarkStart w:id="106" w:name="_Toc254970681"/>
      <w:bookmarkStart w:id="107" w:name="_Toc254970540"/>
      <w:r>
        <w:rPr>
          <w:rFonts w:hint="eastAsia" w:ascii="仿宋" w:hAnsi="仿宋" w:eastAsia="仿宋"/>
          <w:b w:val="0"/>
          <w:color w:val="auto"/>
          <w:sz w:val="24"/>
          <w:highlight w:val="none"/>
        </w:rPr>
        <w:t xml:space="preserve"> 投标有效期应按规定的期限作出承诺，具体详见“投标人须知前附表”。</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17.3投标人的投标文件在投标有效期内均保持有效。</w:t>
      </w:r>
      <w:bookmarkEnd w:id="106"/>
      <w:bookmarkEnd w:id="107"/>
    </w:p>
    <w:p>
      <w:pPr>
        <w:pStyle w:val="7"/>
        <w:keepNext w:val="0"/>
        <w:keepLines w:val="0"/>
        <w:spacing w:before="0" w:after="0" w:line="360" w:lineRule="auto"/>
        <w:ind w:left="420" w:leftChars="200"/>
        <w:rPr>
          <w:rFonts w:ascii="仿宋" w:hAnsi="仿宋" w:eastAsia="仿宋"/>
          <w:color w:val="auto"/>
          <w:sz w:val="24"/>
          <w:highlight w:val="none"/>
        </w:rPr>
      </w:pPr>
      <w:bookmarkStart w:id="108" w:name="_18.投标保证金"/>
      <w:bookmarkEnd w:id="108"/>
      <w:bookmarkStart w:id="109" w:name="_Toc254970541"/>
      <w:bookmarkStart w:id="110" w:name="_Toc254970682"/>
      <w:r>
        <w:rPr>
          <w:rFonts w:hint="eastAsia" w:ascii="仿宋" w:hAnsi="仿宋" w:eastAsia="仿宋"/>
          <w:color w:val="auto"/>
          <w:sz w:val="24"/>
          <w:highlight w:val="none"/>
        </w:rPr>
        <w:t>18.投标保证金</w:t>
      </w:r>
      <w:bookmarkEnd w:id="109"/>
      <w:bookmarkEnd w:id="110"/>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18.1投标人须按“投标人须知前附表” 的规定提交投标保证金。</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18.2投标保证金的退还</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 xml:space="preserve">未中标人的投标保证金自中标通知书发出之日起4个工作日内退还；中标人的投标保证金自政府采购合同签订之日起4个工作日内退还。 </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18.3除逾期退还投标保证金和终止招标的情形以外，投标保证金不计息。</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 xml:space="preserve">18.4投标人有下列情形之一的，投标保证金将不予退还： </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（1）投标人在投标有效期内撤销投标文件的；</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（2）未按规定提交履约保证金的；</w:t>
      </w:r>
    </w:p>
    <w:p>
      <w:pPr>
        <w:snapToGrid w:val="0"/>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（3）投标人在投标过程中弄虚作假，提供虚假材料的；</w:t>
      </w:r>
    </w:p>
    <w:p>
      <w:pPr>
        <w:snapToGrid w:val="0"/>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（4）中标人无正当理由不与采购人签订合同的；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（5）投标人出现本章第9.2、9.3情形的；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w:t>
      </w:r>
      <w:r>
        <w:rPr>
          <w:rFonts w:hint="eastAsia" w:ascii="仿宋" w:hAnsi="仿宋" w:eastAsia="仿宋" w:cs="宋体"/>
          <w:color w:val="auto"/>
          <w:sz w:val="24"/>
          <w:highlight w:val="none"/>
        </w:rPr>
        <w:t>法律法规规定的其他情形</w:t>
      </w:r>
      <w:r>
        <w:rPr>
          <w:rFonts w:hint="eastAsia" w:ascii="仿宋" w:hAnsi="仿宋" w:eastAsia="仿宋"/>
          <w:color w:val="auto"/>
          <w:sz w:val="24"/>
          <w:highlight w:val="none"/>
        </w:rPr>
        <w:t>。</w:t>
      </w:r>
    </w:p>
    <w:p>
      <w:pPr>
        <w:pStyle w:val="7"/>
        <w:keepNext w:val="0"/>
        <w:keepLines w:val="0"/>
        <w:spacing w:before="0" w:after="0" w:line="360" w:lineRule="auto"/>
        <w:ind w:left="420" w:leftChars="200"/>
        <w:rPr>
          <w:rFonts w:ascii="仿宋" w:hAnsi="仿宋" w:eastAsia="仿宋"/>
          <w:color w:val="auto"/>
          <w:sz w:val="24"/>
          <w:highlight w:val="none"/>
        </w:rPr>
      </w:pPr>
      <w:bookmarkStart w:id="111" w:name="_Toc254970542"/>
      <w:bookmarkStart w:id="112" w:name="_Toc254970683"/>
      <w:r>
        <w:rPr>
          <w:rFonts w:hint="eastAsia" w:ascii="仿宋" w:hAnsi="仿宋" w:eastAsia="仿宋"/>
          <w:color w:val="auto"/>
          <w:sz w:val="24"/>
          <w:highlight w:val="none"/>
        </w:rPr>
        <w:t>19.投标文件的</w:t>
      </w:r>
      <w:bookmarkEnd w:id="111"/>
      <w:bookmarkEnd w:id="112"/>
      <w:r>
        <w:rPr>
          <w:rFonts w:hint="eastAsia" w:ascii="仿宋" w:hAnsi="仿宋" w:eastAsia="仿宋"/>
          <w:color w:val="auto"/>
          <w:sz w:val="24"/>
          <w:highlight w:val="none"/>
        </w:rPr>
        <w:t>编制</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bookmarkStart w:id="113" w:name="_19.2投标文件应按报价文件、资格证明文件、商务文件、技术文件分别编制"/>
      <w:bookmarkEnd w:id="113"/>
      <w:r>
        <w:rPr>
          <w:rFonts w:hint="eastAsia" w:ascii="仿宋" w:hAnsi="仿宋" w:eastAsia="仿宋"/>
          <w:b w:val="0"/>
          <w:color w:val="auto"/>
          <w:sz w:val="24"/>
          <w:highlight w:val="none"/>
        </w:rPr>
        <w:t>19.2投标文件应按报价文件、资格证明文件、商务文件、技术文件分别编制电子文件，并按广西政府采购云平台的要求编制、加密、上传。</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19.</w:t>
      </w:r>
      <w:bookmarkStart w:id="114" w:name="_Hlk65832616"/>
      <w:r>
        <w:rPr>
          <w:rFonts w:hint="eastAsia" w:ascii="仿宋" w:hAnsi="仿宋" w:eastAsia="仿宋"/>
          <w:b w:val="0"/>
          <w:color w:val="auto"/>
          <w:sz w:val="24"/>
          <w:highlight w:val="none"/>
        </w:rPr>
        <w:t>3投标文件须由投标人在规定位置盖公章并签字</w:t>
      </w:r>
      <w:bookmarkStart w:id="115" w:name="_Hlk65832569"/>
      <w:r>
        <w:rPr>
          <w:rFonts w:hint="eastAsia" w:ascii="仿宋" w:hAnsi="仿宋" w:eastAsia="仿宋"/>
          <w:b w:val="0"/>
          <w:color w:val="auto"/>
          <w:sz w:val="24"/>
          <w:highlight w:val="none"/>
        </w:rPr>
        <w:t>（具体以投标人须知前附表或投标文件格式规定为准）</w:t>
      </w:r>
      <w:bookmarkEnd w:id="114"/>
      <w:bookmarkEnd w:id="115"/>
      <w:r>
        <w:rPr>
          <w:rFonts w:hint="eastAsia" w:ascii="仿宋" w:hAnsi="仿宋" w:eastAsia="仿宋"/>
          <w:b w:val="0"/>
          <w:color w:val="auto"/>
          <w:sz w:val="24"/>
          <w:highlight w:val="none"/>
        </w:rPr>
        <w:t>，</w:t>
      </w:r>
      <w:r>
        <w:rPr>
          <w:rFonts w:hint="eastAsia" w:ascii="仿宋" w:hAnsi="仿宋" w:eastAsia="仿宋"/>
          <w:bCs/>
          <w:color w:val="auto"/>
          <w:sz w:val="24"/>
          <w:highlight w:val="none"/>
        </w:rPr>
        <w:t>否则按无效投标处理</w:t>
      </w:r>
      <w:r>
        <w:rPr>
          <w:rFonts w:hint="eastAsia" w:ascii="仿宋" w:hAnsi="仿宋" w:eastAsia="仿宋"/>
          <w:b w:val="0"/>
          <w:color w:val="auto"/>
          <w:sz w:val="24"/>
          <w:highlight w:val="none"/>
        </w:rPr>
        <w:t>。</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olor w:val="auto"/>
          <w:sz w:val="24"/>
          <w:highlight w:val="none"/>
        </w:rPr>
        <w:t>否则按无效投标处理</w:t>
      </w:r>
      <w:r>
        <w:rPr>
          <w:rFonts w:hint="eastAsia" w:ascii="仿宋" w:hAnsi="仿宋" w:eastAsia="仿宋"/>
          <w:b w:val="0"/>
          <w:color w:val="auto"/>
          <w:sz w:val="24"/>
          <w:highlight w:val="none"/>
        </w:rPr>
        <w:t>。</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20.投标文件的加密、解密</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20.1电子投标文件编制完成后，投标人应按广西政府采购云平台的要求进行加密，并在规定时间内解密，否则，由此产生的后果由投标人自行负责。</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21.投标文件的提交</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bookmarkStart w:id="116" w:name="_21.1投标人必须在“投标人须知中的前附表”规定的投标文件接收时间和投"/>
      <w:bookmarkEnd w:id="116"/>
      <w:r>
        <w:rPr>
          <w:rFonts w:hint="eastAsia" w:ascii="仿宋" w:hAnsi="仿宋" w:eastAsia="仿宋"/>
          <w:b w:val="0"/>
          <w:color w:val="auto"/>
          <w:sz w:val="24"/>
          <w:highlight w:val="none"/>
        </w:rPr>
        <w:t>21.1投标人必须在“投标人须知前附表”规定的投标文件接收时间和投标地点提交投标文件。</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21.2本项目为全流程电子化政府采购项目，通过广西政府采购云平台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pPr>
        <w:pStyle w:val="7"/>
        <w:keepNext w:val="0"/>
        <w:keepLines w:val="0"/>
        <w:numPr>
          <w:ilvl w:val="0"/>
          <w:numId w:val="0"/>
        </w:numPr>
        <w:spacing w:before="0" w:after="0" w:line="360" w:lineRule="auto"/>
        <w:ind w:firstLine="480" w:firstLineChars="200"/>
        <w:jc w:val="left"/>
        <w:rPr>
          <w:rFonts w:ascii="仿宋" w:hAnsi="仿宋" w:eastAsia="仿宋"/>
          <w:b w:val="0"/>
          <w:color w:val="auto"/>
          <w:sz w:val="24"/>
          <w:highlight w:val="none"/>
        </w:rPr>
      </w:pPr>
      <w:r>
        <w:rPr>
          <w:rFonts w:hint="eastAsia" w:ascii="仿宋" w:hAnsi="仿宋" w:eastAsia="仿宋"/>
          <w:b w:val="0"/>
          <w:color w:val="auto"/>
          <w:sz w:val="24"/>
          <w:highlight w:val="none"/>
        </w:rPr>
        <w:t>21.3未在规定时间内上传或者未按广西政府采购云平台的要求编制、加密的电子投标文件，广西政府采购云平台将拒收。</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21.4电子投标文件提交方式见“招标公告”中“四、提交投标文件截止时间、开标时间和地点”。</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22. 投标文件的补充、修改、撤回与退回</w:t>
      </w:r>
    </w:p>
    <w:p>
      <w:pPr>
        <w:snapToGrid w:val="0"/>
        <w:spacing w:line="360" w:lineRule="auto"/>
        <w:ind w:firstLine="420"/>
        <w:jc w:val="left"/>
        <w:rPr>
          <w:rFonts w:ascii="仿宋" w:hAnsi="仿宋" w:eastAsia="仿宋"/>
          <w:color w:val="auto"/>
          <w:sz w:val="24"/>
          <w:highlight w:val="none"/>
        </w:rPr>
      </w:pPr>
      <w:bookmarkStart w:id="117" w:name="_Toc254970684"/>
      <w:bookmarkStart w:id="118" w:name="_Toc254970543"/>
      <w:r>
        <w:rPr>
          <w:rFonts w:hint="eastAsia" w:ascii="仿宋" w:hAnsi="仿宋" w:eastAsia="仿宋"/>
          <w:color w:val="auto"/>
          <w:sz w:val="24"/>
          <w:highlight w:val="none"/>
        </w:rPr>
        <w:t>2</w:t>
      </w:r>
      <w:r>
        <w:rPr>
          <w:rFonts w:ascii="仿宋" w:hAnsi="仿宋" w:eastAsia="仿宋"/>
          <w:color w:val="auto"/>
          <w:sz w:val="24"/>
          <w:highlight w:val="none"/>
        </w:rPr>
        <w:t>2.1</w:t>
      </w:r>
      <w:r>
        <w:rPr>
          <w:rFonts w:hint="eastAsia" w:ascii="仿宋" w:hAnsi="仿宋" w:eastAsia="仿宋"/>
          <w:color w:val="auto"/>
          <w:sz w:val="24"/>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将予以拒收。</w:t>
      </w:r>
    </w:p>
    <w:bookmarkEnd w:id="117"/>
    <w:bookmarkEnd w:id="118"/>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22.</w:t>
      </w:r>
      <w:r>
        <w:rPr>
          <w:rFonts w:ascii="仿宋" w:hAnsi="仿宋" w:eastAsia="仿宋"/>
          <w:color w:val="auto"/>
          <w:sz w:val="24"/>
          <w:highlight w:val="none"/>
        </w:rPr>
        <w:t>2</w:t>
      </w:r>
      <w:r>
        <w:rPr>
          <w:rFonts w:hint="eastAsia" w:ascii="仿宋" w:hAnsi="仿宋" w:eastAsia="仿宋"/>
          <w:color w:val="auto"/>
          <w:sz w:val="24"/>
          <w:highlight w:val="none"/>
        </w:rPr>
        <w:t>在投标截止时间止提交投标文件的投标人不足3家时，不得开标，采购代理机构将根据</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的操作将电子版投标文件退回，除此之外采购人和采购代理机构对已提交的投标文件概不退回。</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w:t>
      </w:r>
      <w:r>
        <w:rPr>
          <w:rFonts w:ascii="仿宋" w:hAnsi="仿宋" w:eastAsia="仿宋" w:cs="宋体"/>
          <w:color w:val="auto"/>
          <w:sz w:val="24"/>
          <w:highlight w:val="none"/>
        </w:rPr>
        <w:t>2.3</w:t>
      </w:r>
      <w:r>
        <w:rPr>
          <w:rFonts w:hint="eastAsia" w:ascii="仿宋" w:hAnsi="仿宋" w:eastAsia="仿宋" w:cs="宋体"/>
          <w:color w:val="auto"/>
          <w:sz w:val="24"/>
          <w:highlight w:val="none"/>
        </w:rPr>
        <w:t xml:space="preserve"> 投标人在投标截止时间后书面通知采购人、采购代理机构撤销投标文件的，将根据本须知正文1</w:t>
      </w:r>
      <w:r>
        <w:rPr>
          <w:rFonts w:ascii="仿宋" w:hAnsi="仿宋" w:eastAsia="仿宋" w:cs="宋体"/>
          <w:color w:val="auto"/>
          <w:sz w:val="24"/>
          <w:highlight w:val="none"/>
        </w:rPr>
        <w:t>8</w:t>
      </w:r>
      <w:r>
        <w:rPr>
          <w:rFonts w:hint="eastAsia" w:ascii="仿宋" w:hAnsi="仿宋" w:eastAsia="仿宋" w:cs="宋体"/>
          <w:color w:val="auto"/>
          <w:sz w:val="24"/>
          <w:highlight w:val="none"/>
        </w:rPr>
        <w:t>.4的规定不予退还其投标保证金。</w:t>
      </w:r>
    </w:p>
    <w:p>
      <w:pPr>
        <w:pStyle w:val="6"/>
        <w:keepNext w:val="0"/>
        <w:keepLines w:val="0"/>
        <w:jc w:val="center"/>
        <w:rPr>
          <w:rFonts w:ascii="仿宋" w:hAnsi="仿宋" w:eastAsia="仿宋"/>
          <w:color w:val="auto"/>
          <w:highlight w:val="none"/>
        </w:rPr>
      </w:pPr>
      <w:bookmarkStart w:id="119" w:name="_Toc254970544"/>
      <w:bookmarkStart w:id="120" w:name="_Toc254970685"/>
      <w:r>
        <w:rPr>
          <w:rFonts w:hint="eastAsia" w:ascii="仿宋" w:hAnsi="仿宋" w:eastAsia="仿宋"/>
          <w:color w:val="auto"/>
          <w:highlight w:val="none"/>
        </w:rPr>
        <w:t>四、开    标</w:t>
      </w:r>
      <w:bookmarkEnd w:id="119"/>
      <w:bookmarkEnd w:id="120"/>
    </w:p>
    <w:p>
      <w:pPr>
        <w:pStyle w:val="7"/>
        <w:keepNext w:val="0"/>
        <w:keepLines w:val="0"/>
        <w:spacing w:before="0" w:after="0" w:line="360" w:lineRule="auto"/>
        <w:ind w:left="420" w:leftChars="200"/>
        <w:rPr>
          <w:rFonts w:ascii="仿宋" w:hAnsi="仿宋" w:eastAsia="仿宋"/>
          <w:color w:val="auto"/>
          <w:sz w:val="24"/>
          <w:highlight w:val="none"/>
        </w:rPr>
      </w:pPr>
      <w:bookmarkStart w:id="121" w:name="_23.开标时间和地点"/>
      <w:bookmarkEnd w:id="121"/>
      <w:r>
        <w:rPr>
          <w:rFonts w:hint="eastAsia" w:ascii="仿宋" w:hAnsi="仿宋" w:eastAsia="仿宋"/>
          <w:color w:val="auto"/>
          <w:sz w:val="24"/>
          <w:highlight w:val="none"/>
        </w:rPr>
        <w:t>23.开标时间和地点</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23.1开标时间及地点详见“投标人须知前附表”</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23.2如投标人成功解密投标文件，但未在</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电子开标大厅参加开标的，视同认可开标过程和结果，由此产生的后果由投标人自行负责。成功解密投标文件的投标人不足3家的，不得开标。</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24.开标程序</w:t>
      </w:r>
    </w:p>
    <w:p>
      <w:pPr>
        <w:pStyle w:val="7"/>
        <w:keepNext w:val="0"/>
        <w:keepLines w:val="0"/>
        <w:spacing w:before="0" w:after="0" w:line="360" w:lineRule="auto"/>
        <w:ind w:left="420" w:leftChars="200"/>
        <w:rPr>
          <w:rFonts w:ascii="仿宋" w:hAnsi="仿宋" w:eastAsia="仿宋"/>
          <w:color w:val="auto"/>
          <w:kern w:val="0"/>
          <w:sz w:val="24"/>
          <w:highlight w:val="none"/>
        </w:rPr>
      </w:pPr>
      <w:r>
        <w:rPr>
          <w:rFonts w:hint="eastAsia" w:ascii="仿宋" w:hAnsi="仿宋" w:eastAsia="仿宋"/>
          <w:bCs/>
          <w:color w:val="auto"/>
          <w:sz w:val="24"/>
          <w:highlight w:val="none"/>
        </w:rPr>
        <w:t>24.1</w:t>
      </w:r>
      <w:r>
        <w:rPr>
          <w:rFonts w:hint="eastAsia" w:ascii="仿宋" w:hAnsi="仿宋" w:eastAsia="仿宋"/>
          <w:color w:val="auto"/>
          <w:kern w:val="0"/>
          <w:sz w:val="24"/>
          <w:highlight w:val="none"/>
        </w:rPr>
        <w:t>开标形式：</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采购代理机构将按照招标文件规定的时间通过</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组织线上开标活动、开启投标文件，所有供应商均应当准时在线参加。投标人</w:t>
      </w:r>
      <w:r>
        <w:rPr>
          <w:rFonts w:ascii="仿宋" w:hAnsi="仿宋" w:eastAsia="仿宋"/>
          <w:color w:val="auto"/>
          <w:sz w:val="24"/>
          <w:highlight w:val="none"/>
        </w:rPr>
        <w:t>如不</w:t>
      </w:r>
      <w:r>
        <w:rPr>
          <w:rFonts w:hint="eastAsia" w:ascii="仿宋" w:hAnsi="仿宋" w:eastAsia="仿宋"/>
          <w:color w:val="auto"/>
          <w:sz w:val="24"/>
          <w:highlight w:val="none"/>
        </w:rPr>
        <w:t>参加</w:t>
      </w:r>
      <w:r>
        <w:rPr>
          <w:rFonts w:ascii="仿宋" w:hAnsi="仿宋" w:eastAsia="仿宋"/>
          <w:color w:val="auto"/>
          <w:sz w:val="24"/>
          <w:highlight w:val="none"/>
        </w:rPr>
        <w:t>开标大会的，</w:t>
      </w:r>
      <w:r>
        <w:rPr>
          <w:rFonts w:hint="eastAsia" w:ascii="仿宋" w:hAnsi="仿宋" w:eastAsia="仿宋"/>
          <w:color w:val="auto"/>
          <w:sz w:val="24"/>
          <w:highlight w:val="none"/>
        </w:rPr>
        <w:t>视同认可开标结果，</w:t>
      </w:r>
      <w:r>
        <w:rPr>
          <w:rFonts w:ascii="仿宋" w:hAnsi="仿宋" w:eastAsia="仿宋"/>
          <w:color w:val="auto"/>
          <w:sz w:val="24"/>
          <w:highlight w:val="none"/>
        </w:rPr>
        <w:t>事后不得对采购相关人员、开标过程和开标结果提出异议</w:t>
      </w:r>
      <w:r>
        <w:rPr>
          <w:rFonts w:hint="eastAsia" w:ascii="仿宋" w:hAnsi="仿宋" w:eastAsia="仿宋"/>
          <w:color w:val="auto"/>
          <w:sz w:val="24"/>
          <w:highlight w:val="none"/>
        </w:rPr>
        <w:t>，同时投标人因未在线参加开标而导致投标文件无法按时解密等一切后果由投标人自己承担。</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24.2</w:t>
      </w:r>
      <w:r>
        <w:rPr>
          <w:rFonts w:ascii="仿宋" w:hAnsi="仿宋" w:eastAsia="仿宋"/>
          <w:color w:val="auto"/>
          <w:sz w:val="24"/>
          <w:highlight w:val="none"/>
        </w:rPr>
        <w:t>开</w:t>
      </w:r>
      <w:r>
        <w:rPr>
          <w:rFonts w:hint="eastAsia" w:ascii="仿宋" w:hAnsi="仿宋" w:eastAsia="仿宋"/>
          <w:color w:val="auto"/>
          <w:sz w:val="24"/>
          <w:highlight w:val="none"/>
        </w:rPr>
        <w:t>标</w:t>
      </w:r>
      <w:r>
        <w:rPr>
          <w:rFonts w:ascii="仿宋" w:hAnsi="仿宋" w:eastAsia="仿宋"/>
          <w:color w:val="auto"/>
          <w:sz w:val="24"/>
          <w:highlight w:val="none"/>
        </w:rPr>
        <w:t>程序：</w:t>
      </w:r>
    </w:p>
    <w:p>
      <w:pPr>
        <w:snapToGrid w:val="0"/>
        <w:spacing w:line="360" w:lineRule="auto"/>
        <w:ind w:firstLine="420"/>
        <w:jc w:val="left"/>
        <w:rPr>
          <w:rFonts w:ascii="仿宋" w:hAnsi="仿宋" w:eastAsia="仿宋"/>
          <w:bCs/>
          <w:color w:val="auto"/>
          <w:sz w:val="24"/>
          <w:highlight w:val="none"/>
        </w:rPr>
      </w:pPr>
      <w:r>
        <w:rPr>
          <w:rFonts w:hint="eastAsia" w:ascii="仿宋" w:hAnsi="仿宋" w:eastAsia="仿宋"/>
          <w:color w:val="auto"/>
          <w:sz w:val="24"/>
          <w:highlight w:val="none"/>
        </w:rPr>
        <w:t>（1）解密电子投标文件。</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按开标时间自动提取所有投标文件。采购代理机构依托</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向各投标人发出电子加密投标文件【开始解密】通知，由投标人进</w:t>
      </w:r>
      <w:r>
        <w:rPr>
          <w:rFonts w:hint="eastAsia" w:ascii="仿宋" w:hAnsi="仿宋" w:eastAsia="仿宋"/>
          <w:bCs/>
          <w:color w:val="auto"/>
          <w:sz w:val="24"/>
          <w:highlight w:val="none"/>
        </w:rPr>
        <w:t>行投标文件解密。</w:t>
      </w:r>
      <w:r>
        <w:rPr>
          <w:rFonts w:hint="eastAsia" w:ascii="仿宋" w:hAnsi="仿宋" w:eastAsia="仿宋"/>
          <w:b/>
          <w:bCs/>
          <w:color w:val="auto"/>
          <w:sz w:val="24"/>
          <w:highlight w:val="none"/>
        </w:rPr>
        <w:t>投标人的法定代表人或其委托代理人须携带加密时所用的CA锁准时登录到广西政府采购云平台电子开标大厅签到</w:t>
      </w:r>
      <w:r>
        <w:rPr>
          <w:rFonts w:hint="eastAsia" w:ascii="仿宋" w:hAnsi="仿宋" w:eastAsia="仿宋" w:cs="宋体"/>
          <w:b/>
          <w:color w:val="auto"/>
          <w:sz w:val="24"/>
          <w:highlight w:val="none"/>
        </w:rPr>
        <w:t>并在发起解密</w:t>
      </w:r>
      <w:r>
        <w:rPr>
          <w:rFonts w:hint="eastAsia" w:ascii="仿宋" w:hAnsi="仿宋" w:eastAsia="仿宋"/>
          <w:b/>
          <w:bCs/>
          <w:color w:val="auto"/>
          <w:sz w:val="24"/>
          <w:highlight w:val="none"/>
        </w:rPr>
        <w:t>通知</w:t>
      </w:r>
      <w:r>
        <w:rPr>
          <w:rFonts w:hint="eastAsia" w:ascii="仿宋" w:hAnsi="仿宋" w:eastAsia="仿宋" w:cs="宋体"/>
          <w:b/>
          <w:color w:val="auto"/>
          <w:sz w:val="24"/>
          <w:highlight w:val="none"/>
        </w:rPr>
        <w:t>之时起30分钟内完成</w:t>
      </w:r>
      <w:r>
        <w:rPr>
          <w:rFonts w:hint="eastAsia" w:ascii="仿宋" w:hAnsi="仿宋" w:eastAsia="仿宋"/>
          <w:b/>
          <w:bCs/>
          <w:color w:val="auto"/>
          <w:sz w:val="24"/>
          <w:highlight w:val="none"/>
        </w:rPr>
        <w:t>对电子投标文件解密。投标文件未按时解密的，视为无效投标。</w:t>
      </w:r>
      <w:r>
        <w:rPr>
          <w:rFonts w:hint="eastAsia" w:ascii="仿宋" w:hAnsi="仿宋" w:eastAsia="仿宋"/>
          <w:bCs/>
          <w:color w:val="auto"/>
          <w:sz w:val="24"/>
          <w:highlight w:val="none"/>
        </w:rPr>
        <w:t>（解密异常情况处理：详见本章29.4 电子交易活动的中止。</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（2）电子唱标。投标文件解密结束，各投标供应商报价均在</w:t>
      </w:r>
      <w:r>
        <w:rPr>
          <w:rFonts w:hint="eastAsia" w:ascii="仿宋" w:hAnsi="仿宋" w:eastAsia="仿宋"/>
          <w:b w:val="0"/>
          <w:color w:val="auto"/>
          <w:sz w:val="24"/>
          <w:highlight w:val="none"/>
        </w:rPr>
        <w:t>广西政府采购云平台</w:t>
      </w:r>
      <w:r>
        <w:rPr>
          <w:rFonts w:hint="eastAsia" w:ascii="仿宋" w:hAnsi="仿宋" w:eastAsia="仿宋"/>
          <w:color w:val="auto"/>
          <w:sz w:val="24"/>
          <w:highlight w:val="none"/>
        </w:rPr>
        <w:t>远程不见面开标大厅展示；</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（3）开标过程由采购代理机构如实记录，并电子留痕，由参加电子开标的各投标人代表对电子开标记录在开标记录公布后15分钟内进行当场校核及勘误，并线上确认，未确认的视同认可开标结果。</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napToGrid w:val="0"/>
        <w:spacing w:line="360" w:lineRule="auto"/>
        <w:ind w:firstLine="420"/>
        <w:jc w:val="left"/>
        <w:rPr>
          <w:rFonts w:ascii="仿宋" w:hAnsi="仿宋" w:eastAsia="仿宋"/>
          <w:color w:val="auto"/>
          <w:sz w:val="24"/>
          <w:highlight w:val="none"/>
        </w:rPr>
      </w:pPr>
      <w:r>
        <w:rPr>
          <w:rFonts w:hint="eastAsia" w:ascii="仿宋" w:hAnsi="仿宋" w:eastAsia="仿宋"/>
          <w:color w:val="auto"/>
          <w:sz w:val="24"/>
          <w:highlight w:val="none"/>
        </w:rPr>
        <w:t>（5）开标结束。</w:t>
      </w:r>
    </w:p>
    <w:p>
      <w:pPr>
        <w:autoSpaceDE w:val="0"/>
        <w:autoSpaceDN w:val="0"/>
        <w:adjustRightInd w:val="0"/>
        <w:spacing w:line="440" w:lineRule="exact"/>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特别说明：如遇广西政府采购云平台电子化开标或评审程序调整的，按调整后执行。</w:t>
      </w:r>
    </w:p>
    <w:p>
      <w:pPr>
        <w:pStyle w:val="6"/>
        <w:keepNext w:val="0"/>
        <w:keepLines w:val="0"/>
        <w:jc w:val="center"/>
        <w:rPr>
          <w:rFonts w:ascii="仿宋" w:hAnsi="仿宋" w:eastAsia="仿宋"/>
          <w:color w:val="auto"/>
          <w:highlight w:val="none"/>
        </w:rPr>
      </w:pPr>
      <w:r>
        <w:rPr>
          <w:rFonts w:hint="eastAsia" w:ascii="仿宋" w:hAnsi="仿宋" w:eastAsia="仿宋"/>
          <w:color w:val="auto"/>
          <w:highlight w:val="none"/>
        </w:rPr>
        <w:t>五、资格审查</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25.资格审查</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25.1</w:t>
      </w:r>
      <w:r>
        <w:rPr>
          <w:rFonts w:ascii="仿宋" w:hAnsi="仿宋" w:eastAsia="仿宋"/>
          <w:b w:val="0"/>
          <w:color w:val="auto"/>
          <w:sz w:val="24"/>
          <w:highlight w:val="none"/>
        </w:rPr>
        <w:t>开标结束后，</w:t>
      </w:r>
      <w:r>
        <w:rPr>
          <w:rFonts w:hint="eastAsia" w:ascii="仿宋" w:hAnsi="仿宋" w:eastAsia="仿宋"/>
          <w:b w:val="0"/>
          <w:color w:val="auto"/>
          <w:sz w:val="24"/>
          <w:highlight w:val="none"/>
        </w:rPr>
        <w:t>采购人或者采购代理机构</w:t>
      </w:r>
      <w:r>
        <w:rPr>
          <w:rFonts w:ascii="仿宋" w:hAnsi="仿宋" w:eastAsia="仿宋"/>
          <w:b w:val="0"/>
          <w:color w:val="auto"/>
          <w:sz w:val="24"/>
          <w:highlight w:val="none"/>
        </w:rPr>
        <w:t>依法对投标人的资格进行审查。</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pPr>
        <w:pStyle w:val="7"/>
        <w:keepNext w:val="0"/>
        <w:keepLines w:val="0"/>
        <w:numPr>
          <w:ilvl w:val="0"/>
          <w:numId w:val="0"/>
        </w:numPr>
        <w:spacing w:before="0" w:after="0" w:line="360" w:lineRule="auto"/>
        <w:ind w:firstLine="482" w:firstLineChars="200"/>
        <w:rPr>
          <w:rFonts w:ascii="仿宋" w:hAnsi="仿宋" w:eastAsia="仿宋"/>
          <w:color w:val="auto"/>
          <w:sz w:val="24"/>
          <w:highlight w:val="none"/>
        </w:rPr>
      </w:pPr>
      <w:bookmarkStart w:id="122" w:name="_25.3_投标人有下列情形之一的，资格审查不通过而导致其投标无效："/>
      <w:bookmarkEnd w:id="122"/>
      <w:r>
        <w:rPr>
          <w:rFonts w:hint="eastAsia" w:ascii="仿宋" w:hAnsi="仿宋" w:eastAsia="仿宋"/>
          <w:color w:val="auto"/>
          <w:sz w:val="24"/>
          <w:highlight w:val="none"/>
        </w:rPr>
        <w:t>25.3 投标人有下列情形之一的，资格审查不通过，作无效投标处理：</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（1）未按招标文件规定的方式获取本招标文件的投标人；</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（2）不具备招标文件中规定的资格要求的；</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5</w:t>
      </w:r>
      <w:r>
        <w:rPr>
          <w:rFonts w:hint="eastAsia" w:ascii="仿宋" w:hAnsi="仿宋" w:eastAsia="仿宋"/>
          <w:b/>
          <w:color w:val="auto"/>
          <w:sz w:val="24"/>
          <w:szCs w:val="24"/>
          <w:highlight w:val="none"/>
        </w:rPr>
        <w:t>）投标文件中的资格证明文件缺少任一项“投标人须知前附表”资格证明文件规定“必须提供”的文件资料的；</w:t>
      </w:r>
    </w:p>
    <w:p>
      <w:pPr>
        <w:pStyle w:val="15"/>
        <w:snapToGrid w:val="0"/>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6</w:t>
      </w:r>
      <w:r>
        <w:rPr>
          <w:rFonts w:hint="eastAsia" w:ascii="仿宋" w:hAnsi="仿宋" w:eastAsia="仿宋"/>
          <w:b/>
          <w:color w:val="auto"/>
          <w:sz w:val="24"/>
          <w:szCs w:val="24"/>
          <w:highlight w:val="none"/>
        </w:rPr>
        <w:t>）投标文件中的资格证明文件出现任一项不符合“投标人须知前附表”资格证明文件规定“必须提供”的文件资料要求或者无效的。</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color w:val="auto"/>
          <w:sz w:val="24"/>
          <w:highlight w:val="none"/>
        </w:rPr>
        <w:t>25.4</w:t>
      </w:r>
      <w:r>
        <w:rPr>
          <w:rFonts w:ascii="仿宋" w:hAnsi="仿宋" w:eastAsia="仿宋"/>
          <w:color w:val="auto"/>
          <w:sz w:val="24"/>
          <w:highlight w:val="none"/>
        </w:rPr>
        <w:t>合格投标人不足3家的，不得评标。</w:t>
      </w:r>
    </w:p>
    <w:p>
      <w:pPr>
        <w:pStyle w:val="6"/>
        <w:keepNext w:val="0"/>
        <w:keepLines w:val="0"/>
        <w:jc w:val="center"/>
        <w:rPr>
          <w:rFonts w:ascii="仿宋" w:hAnsi="仿宋" w:eastAsia="仿宋"/>
          <w:color w:val="auto"/>
          <w:highlight w:val="none"/>
        </w:rPr>
      </w:pPr>
      <w:r>
        <w:rPr>
          <w:rFonts w:hint="eastAsia" w:ascii="仿宋" w:hAnsi="仿宋" w:eastAsia="仿宋"/>
          <w:color w:val="auto"/>
          <w:highlight w:val="none"/>
        </w:rPr>
        <w:t>六、评   标</w:t>
      </w:r>
    </w:p>
    <w:p>
      <w:pPr>
        <w:pStyle w:val="7"/>
        <w:keepNext w:val="0"/>
        <w:keepLines w:val="0"/>
        <w:spacing w:before="0" w:after="0" w:line="360" w:lineRule="auto"/>
        <w:ind w:left="420" w:leftChars="200"/>
        <w:rPr>
          <w:rFonts w:ascii="仿宋" w:hAnsi="仿宋" w:eastAsia="仿宋"/>
          <w:color w:val="auto"/>
          <w:sz w:val="24"/>
          <w:highlight w:val="none"/>
        </w:rPr>
      </w:pPr>
      <w:bookmarkStart w:id="123" w:name="_26.组建评标委员会"/>
      <w:bookmarkEnd w:id="123"/>
      <w:r>
        <w:rPr>
          <w:rFonts w:hint="eastAsia" w:ascii="仿宋" w:hAnsi="仿宋" w:eastAsia="仿宋"/>
          <w:color w:val="auto"/>
          <w:sz w:val="24"/>
          <w:highlight w:val="none"/>
        </w:rPr>
        <w:t>26.组建评标委员会</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评标委员会由采购人代表和评审专家组成，具体人数详见“投标人须知前附表”，其中评审专家不得少于成员总数的三分之二。</w:t>
      </w:r>
    </w:p>
    <w:p>
      <w:pPr>
        <w:pStyle w:val="15"/>
        <w:snapToGrid w:val="0"/>
        <w:spacing w:line="360" w:lineRule="auto"/>
        <w:ind w:left="2" w:leftChars="1"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参加过采购项目前期咨询论证的专家，不得参加该采购项目的评审活动。</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27.评标的依据</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评标委员会以</w:t>
      </w:r>
      <w:r>
        <w:rPr>
          <w:rFonts w:hint="eastAsia" w:ascii="仿宋" w:hAnsi="仿宋" w:eastAsia="仿宋" w:cs="宋体"/>
          <w:color w:val="auto"/>
          <w:sz w:val="24"/>
          <w:szCs w:val="24"/>
          <w:highlight w:val="none"/>
        </w:rPr>
        <w:t>“第四章 评标方法和评标标准”</w:t>
      </w:r>
      <w:r>
        <w:rPr>
          <w:rFonts w:hint="eastAsia" w:ascii="仿宋" w:hAnsi="仿宋" w:eastAsia="仿宋"/>
          <w:color w:val="auto"/>
          <w:sz w:val="24"/>
          <w:szCs w:val="24"/>
          <w:highlight w:val="none"/>
        </w:rPr>
        <w:t>为依据对投标文件进行评审，</w:t>
      </w:r>
      <w:r>
        <w:rPr>
          <w:rFonts w:ascii="仿宋" w:hAnsi="仿宋" w:eastAsia="仿宋"/>
          <w:color w:val="auto"/>
          <w:sz w:val="24"/>
          <w:szCs w:val="24"/>
          <w:highlight w:val="none"/>
        </w:rPr>
        <w:t>没有规定的方法、评审因素和标准，不作为评标依据。</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28.评标原则</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28.2</w:t>
      </w:r>
      <w:bookmarkStart w:id="124" w:name="_28.3评标方法。本项目将按须知前附表规定的评标办法进行评标，具体评标"/>
      <w:bookmarkEnd w:id="124"/>
      <w:r>
        <w:rPr>
          <w:rFonts w:hint="eastAsia" w:ascii="仿宋" w:hAnsi="仿宋" w:eastAsia="仿宋"/>
          <w:color w:val="auto"/>
          <w:sz w:val="24"/>
          <w:szCs w:val="24"/>
          <w:highlight w:val="none"/>
        </w:rPr>
        <w:t>评委表决。评标委员会成员对需要共同认定的事项存在争议的，应当按照少数服从多数的原则作出结论。</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28.</w:t>
      </w:r>
      <w:r>
        <w:rPr>
          <w:rFonts w:ascii="仿宋" w:hAnsi="仿宋" w:eastAsia="仿宋"/>
          <w:color w:val="auto"/>
          <w:sz w:val="24"/>
          <w:szCs w:val="24"/>
          <w:highlight w:val="none"/>
        </w:rPr>
        <w:t>3</w:t>
      </w:r>
      <w:r>
        <w:rPr>
          <w:rFonts w:hint="eastAsia" w:ascii="仿宋" w:hAnsi="仿宋" w:eastAsia="仿宋"/>
          <w:color w:val="auto"/>
          <w:sz w:val="24"/>
          <w:szCs w:val="24"/>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8.4</w:t>
      </w:r>
      <w:r>
        <w:rPr>
          <w:rFonts w:hint="eastAsia" w:ascii="仿宋" w:hAnsi="仿宋" w:eastAsia="仿宋"/>
          <w:color w:val="auto"/>
          <w:sz w:val="24"/>
          <w:szCs w:val="24"/>
          <w:highlight w:val="none"/>
        </w:rPr>
        <w:t>评标过程的监控。本项目评标过程实行全程录音、录像监控，</w:t>
      </w:r>
      <w:r>
        <w:rPr>
          <w:rFonts w:hint="eastAsia" w:ascii="仿宋" w:hAnsi="仿宋" w:eastAsia="仿宋"/>
          <w:b/>
          <w:bCs/>
          <w:color w:val="auto"/>
          <w:sz w:val="24"/>
          <w:szCs w:val="24"/>
          <w:highlight w:val="none"/>
        </w:rPr>
        <w:t>投标人在评标过程中所进行的试图影响评标结果的不公正活动，可能导致其投标无效</w:t>
      </w:r>
      <w:r>
        <w:rPr>
          <w:rFonts w:hint="eastAsia" w:ascii="仿宋" w:hAnsi="仿宋" w:eastAsia="仿宋"/>
          <w:color w:val="auto"/>
          <w:sz w:val="24"/>
          <w:szCs w:val="24"/>
          <w:highlight w:val="none"/>
        </w:rPr>
        <w:t>。</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29.评标方法及中标候选人推荐</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9.1</w:t>
      </w:r>
      <w:r>
        <w:rPr>
          <w:rFonts w:hint="eastAsia" w:ascii="仿宋" w:hAnsi="仿宋" w:eastAsia="仿宋"/>
          <w:color w:val="auto"/>
          <w:sz w:val="24"/>
          <w:szCs w:val="24"/>
          <w:highlight w:val="none"/>
        </w:rPr>
        <w:t>本项目的评标方法详见“投标人须知前附表”。</w:t>
      </w:r>
    </w:p>
    <w:p>
      <w:pPr>
        <w:pStyle w:val="15"/>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9.2</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 xml:space="preserve"> 商务/技术要求允许负偏离的条款数详见“投标人须知前附表”。</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29.3</w:t>
      </w:r>
      <w:r>
        <w:rPr>
          <w:rFonts w:ascii="仿宋" w:hAnsi="仿宋" w:eastAsia="仿宋"/>
          <w:color w:val="auto"/>
          <w:sz w:val="24"/>
          <w:szCs w:val="24"/>
          <w:highlight w:val="none"/>
        </w:rPr>
        <w:t>中标候选人推荐数量详见</w:t>
      </w:r>
      <w:r>
        <w:rPr>
          <w:rFonts w:hint="eastAsia" w:ascii="仿宋" w:hAnsi="仿宋" w:eastAsia="仿宋"/>
          <w:color w:val="auto"/>
          <w:sz w:val="24"/>
          <w:szCs w:val="24"/>
          <w:highlight w:val="none"/>
        </w:rPr>
        <w:t>“投标人须知前附表”。</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w:t>
      </w:r>
      <w:r>
        <w:rPr>
          <w:rFonts w:hint="eastAsia" w:ascii="仿宋" w:hAnsi="仿宋" w:eastAsia="仿宋"/>
          <w:color w:val="auto"/>
          <w:sz w:val="24"/>
          <w:szCs w:val="24"/>
          <w:highlight w:val="none"/>
        </w:rPr>
        <w:t>4</w:t>
      </w:r>
      <w:r>
        <w:rPr>
          <w:rFonts w:ascii="仿宋" w:hAnsi="仿宋" w:eastAsia="仿宋"/>
          <w:color w:val="auto"/>
          <w:sz w:val="24"/>
          <w:szCs w:val="24"/>
          <w:highlight w:val="none"/>
        </w:rPr>
        <w:t>评标委员会</w:t>
      </w:r>
      <w:r>
        <w:rPr>
          <w:rFonts w:hint="eastAsia" w:ascii="仿宋" w:hAnsi="仿宋" w:eastAsia="仿宋"/>
          <w:color w:val="auto"/>
          <w:sz w:val="24"/>
          <w:szCs w:val="24"/>
          <w:highlight w:val="none"/>
        </w:rPr>
        <w:t>将</w:t>
      </w:r>
      <w:r>
        <w:rPr>
          <w:rFonts w:ascii="仿宋" w:hAnsi="仿宋" w:eastAsia="仿宋"/>
          <w:color w:val="auto"/>
          <w:sz w:val="24"/>
          <w:szCs w:val="24"/>
          <w:highlight w:val="none"/>
        </w:rPr>
        <w:t>按照</w:t>
      </w:r>
      <w:r>
        <w:rPr>
          <w:rFonts w:hint="eastAsia" w:ascii="仿宋" w:hAnsi="仿宋" w:eastAsia="仿宋"/>
          <w:color w:val="auto"/>
          <w:sz w:val="24"/>
          <w:szCs w:val="24"/>
          <w:highlight w:val="none"/>
        </w:rPr>
        <w:t>“第四章 评标方法和评标标准”</w:t>
      </w:r>
      <w:r>
        <w:rPr>
          <w:rFonts w:ascii="仿宋" w:hAnsi="仿宋" w:eastAsia="仿宋"/>
          <w:color w:val="auto"/>
          <w:sz w:val="24"/>
          <w:szCs w:val="24"/>
          <w:highlight w:val="none"/>
        </w:rPr>
        <w:t>规定的方法、评审因素、标准和程序对投标文件进行评审。</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29.5电子交易活动的中止。采购过程中出现以下情形，导致电子交易平台无法正常运行，或者无法保证电子交易的公平、公正和安全时，采购代理机构可中止电子交易活动：</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（1）电子交易平台发生故障而无法登录访问的； </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（2）电子交易平台应用或数据库出现错误，不能进行正常操作的；</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（3）电子交易平台发现严重安全漏洞，有潜在泄密危险的；</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（4）病毒发作导致不能进行正常操作的； </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（4）其他无法保证电子交易的公平、公正和安全的情况。</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29.6出现以上情形，不影响采购公平、公正性的，采购代理机构可以待上述情形消除后继续组织电子交易活动；影响或可能影响采购公平、公正性的，经采购代理机构确认后，应当重新采购。</w:t>
      </w:r>
    </w:p>
    <w:p>
      <w:pPr>
        <w:pStyle w:val="6"/>
        <w:keepNext w:val="0"/>
        <w:keepLines w:val="0"/>
        <w:jc w:val="center"/>
        <w:rPr>
          <w:rFonts w:ascii="仿宋" w:hAnsi="仿宋" w:eastAsia="仿宋"/>
          <w:color w:val="auto"/>
          <w:highlight w:val="none"/>
        </w:rPr>
      </w:pPr>
      <w:bookmarkStart w:id="125" w:name="_Toc254970687"/>
      <w:bookmarkStart w:id="126" w:name="_Toc254970546"/>
      <w:r>
        <w:rPr>
          <w:rFonts w:hint="eastAsia" w:ascii="仿宋" w:hAnsi="仿宋" w:eastAsia="仿宋"/>
          <w:color w:val="auto"/>
          <w:highlight w:val="none"/>
        </w:rPr>
        <w:t>七、</w:t>
      </w:r>
      <w:bookmarkEnd w:id="125"/>
      <w:bookmarkEnd w:id="126"/>
      <w:r>
        <w:rPr>
          <w:rFonts w:hint="eastAsia" w:ascii="仿宋" w:hAnsi="仿宋" w:eastAsia="仿宋"/>
          <w:color w:val="auto"/>
          <w:highlight w:val="none"/>
        </w:rPr>
        <w:t>中标和合同</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30</w:t>
      </w:r>
      <w:r>
        <w:rPr>
          <w:rFonts w:ascii="仿宋" w:hAnsi="仿宋" w:eastAsia="仿宋"/>
          <w:color w:val="auto"/>
          <w:sz w:val="24"/>
          <w:highlight w:val="none"/>
        </w:rPr>
        <w:t xml:space="preserve"> </w:t>
      </w:r>
      <w:r>
        <w:rPr>
          <w:rFonts w:hint="eastAsia" w:ascii="仿宋" w:hAnsi="仿宋" w:eastAsia="仿宋"/>
          <w:color w:val="auto"/>
          <w:sz w:val="24"/>
          <w:highlight w:val="none"/>
        </w:rPr>
        <w:t>确定中标人</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ascii="仿宋" w:hAnsi="仿宋" w:eastAsia="仿宋"/>
          <w:b w:val="0"/>
          <w:color w:val="auto"/>
          <w:sz w:val="24"/>
          <w:highlight w:val="none"/>
        </w:rPr>
        <w:t>30.1</w:t>
      </w:r>
      <w:r>
        <w:rPr>
          <w:rFonts w:hint="eastAsia" w:ascii="仿宋" w:hAnsi="仿宋" w:eastAsia="仿宋"/>
          <w:b w:val="0"/>
          <w:color w:val="auto"/>
          <w:sz w:val="24"/>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80" w:firstLineChars="200"/>
        <w:rPr>
          <w:rFonts w:ascii="仿宋" w:hAnsi="仿宋" w:eastAsia="仿宋" w:cs="Courier New"/>
          <w:color w:val="auto"/>
          <w:sz w:val="24"/>
          <w:highlight w:val="none"/>
        </w:rPr>
      </w:pPr>
      <w:r>
        <w:rPr>
          <w:rFonts w:ascii="仿宋" w:hAnsi="仿宋" w:eastAsia="仿宋" w:cs="Courier New"/>
          <w:color w:val="auto"/>
          <w:sz w:val="24"/>
          <w:highlight w:val="none"/>
        </w:rPr>
        <w:t>30.2</w:t>
      </w:r>
      <w:r>
        <w:rPr>
          <w:rFonts w:hint="eastAsia" w:ascii="仿宋" w:hAnsi="仿宋" w:eastAsia="仿宋" w:cs="Courier New"/>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30.3出现下列情形之一的，应予废标：</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（1）符合专业条件的供应商或者对招标文件作实质响应的供应商不足三家的；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（2）出现影响采购公正的违法、违规行为的；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（3）投标人的报价均超过了采购预算，采购人不能支付的；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（4）因重大变故，采购任务取消的。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废标后，采购人应当将废标理由通知所有投标人。</w:t>
      </w:r>
    </w:p>
    <w:p>
      <w:pPr>
        <w:snapToGrid w:val="0"/>
        <w:spacing w:line="360" w:lineRule="auto"/>
        <w:ind w:firstLine="480" w:firstLineChars="200"/>
        <w:rPr>
          <w:rFonts w:ascii="仿宋" w:hAnsi="仿宋" w:eastAsia="仿宋" w:cs="Courier New"/>
          <w:color w:val="auto"/>
          <w:sz w:val="24"/>
          <w:highlight w:val="none"/>
        </w:rPr>
      </w:pPr>
      <w:r>
        <w:rPr>
          <w:rFonts w:ascii="仿宋" w:hAnsi="仿宋" w:eastAsia="仿宋" w:cs="Courier New"/>
          <w:color w:val="auto"/>
          <w:sz w:val="24"/>
          <w:highlight w:val="none"/>
        </w:rPr>
        <w:t>30.</w:t>
      </w:r>
      <w:r>
        <w:rPr>
          <w:rFonts w:hint="eastAsia" w:ascii="仿宋" w:hAnsi="仿宋" w:eastAsia="仿宋" w:cs="Courier New"/>
          <w:color w:val="auto"/>
          <w:sz w:val="24"/>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color w:val="auto"/>
          <w:sz w:val="24"/>
          <w:highlight w:val="none"/>
        </w:rPr>
        <w:t>拒绝签订政府采购合同的</w:t>
      </w:r>
      <w:r>
        <w:rPr>
          <w:rFonts w:hint="eastAsia" w:ascii="仿宋" w:hAnsi="仿宋" w:eastAsia="仿宋" w:cs="Courier New"/>
          <w:color w:val="auto"/>
          <w:sz w:val="24"/>
          <w:highlight w:val="none"/>
        </w:rPr>
        <w:t>中标人</w:t>
      </w:r>
      <w:r>
        <w:rPr>
          <w:rFonts w:ascii="仿宋" w:hAnsi="仿宋" w:eastAsia="仿宋" w:cs="Courier New"/>
          <w:color w:val="auto"/>
          <w:sz w:val="24"/>
          <w:highlight w:val="none"/>
        </w:rPr>
        <w:t>不得参加对该项目重新开展的采购活动。</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31. 结果公告</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w:t>
      </w:r>
      <w:r>
        <w:rPr>
          <w:rFonts w:ascii="仿宋" w:hAnsi="仿宋" w:eastAsia="仿宋"/>
          <w:b w:val="0"/>
          <w:color w:val="auto"/>
          <w:sz w:val="24"/>
          <w:highlight w:val="none"/>
        </w:rPr>
        <w:t>1.1</w:t>
      </w:r>
      <w:r>
        <w:rPr>
          <w:rFonts w:hint="eastAsia" w:ascii="仿宋" w:hAnsi="仿宋" w:eastAsia="仿宋"/>
          <w:b w:val="0"/>
          <w:color w:val="auto"/>
          <w:sz w:val="24"/>
          <w:highlight w:val="none"/>
        </w:rPr>
        <w:t>采购人或者采购代理机构应当自中标人确定之日起2个工作日内，在省级以上财政部门指定的媒体上公告中标结果，招标文件应当随中标结果同时公告。</w:t>
      </w:r>
      <w:r>
        <w:rPr>
          <w:rFonts w:hint="eastAsia" w:ascii="仿宋" w:hAnsi="仿宋" w:eastAsia="仿宋"/>
          <w:color w:val="auto"/>
          <w:sz w:val="24"/>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color w:val="auto"/>
          <w:sz w:val="24"/>
          <w:highlight w:val="none"/>
        </w:rPr>
        <w:t>排名第二的中标候选人因前款规定的同样原因被取消中标资格的，采购人可以确定排名第三的中标候选人为中标人，以此类推。以上信息查询记录及相关证据与采购文件一并保存。</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32.发出中标通知书</w:t>
      </w:r>
    </w:p>
    <w:p>
      <w:pPr>
        <w:pStyle w:val="7"/>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33. 无义务解释未中标原因</w:t>
      </w:r>
    </w:p>
    <w:p>
      <w:pPr>
        <w:pStyle w:val="7"/>
        <w:keepNext w:val="0"/>
        <w:keepLines w:val="0"/>
        <w:spacing w:before="0" w:after="0" w:line="360" w:lineRule="auto"/>
        <w:ind w:left="420" w:leftChars="200"/>
        <w:rPr>
          <w:rFonts w:ascii="仿宋" w:hAnsi="仿宋" w:eastAsia="仿宋"/>
          <w:b w:val="0"/>
          <w:color w:val="auto"/>
          <w:sz w:val="24"/>
          <w:highlight w:val="none"/>
        </w:rPr>
      </w:pPr>
      <w:r>
        <w:rPr>
          <w:rFonts w:hint="eastAsia" w:ascii="仿宋" w:hAnsi="仿宋" w:eastAsia="仿宋"/>
          <w:b w:val="0"/>
          <w:color w:val="auto"/>
          <w:sz w:val="24"/>
          <w:highlight w:val="none"/>
        </w:rPr>
        <w:t>采购代理机构无义务向未中标的投标人解释未中标原因和退还投标文件。</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34.合同授予标准</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s="Courier New"/>
          <w:color w:val="auto"/>
          <w:sz w:val="24"/>
          <w:highlight w:val="none"/>
        </w:rPr>
        <w:t>合同将授予被确定实质上响应招标文件要求，具备履行合同能力的中标人（招标文件另有约定多名中标人的除外）。</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35.履约保证金</w:t>
      </w:r>
    </w:p>
    <w:p>
      <w:pPr>
        <w:pStyle w:val="7"/>
        <w:keepNext w:val="0"/>
        <w:keepLines w:val="0"/>
        <w:spacing w:before="0" w:after="0" w:line="360" w:lineRule="auto"/>
        <w:ind w:firstLine="360" w:firstLineChars="150"/>
        <w:rPr>
          <w:rFonts w:ascii="仿宋" w:hAnsi="仿宋" w:eastAsia="仿宋"/>
          <w:b w:val="0"/>
          <w:color w:val="auto"/>
          <w:sz w:val="24"/>
          <w:highlight w:val="none"/>
        </w:rPr>
      </w:pPr>
      <w:bookmarkStart w:id="127" w:name="_39.1中标人须于签订合同前按本须知前附表规定的金额转账或电汇到指定账"/>
      <w:bookmarkEnd w:id="127"/>
      <w:r>
        <w:rPr>
          <w:rFonts w:ascii="仿宋" w:hAnsi="仿宋" w:eastAsia="仿宋"/>
          <w:b w:val="0"/>
          <w:color w:val="auto"/>
          <w:sz w:val="24"/>
          <w:highlight w:val="none"/>
        </w:rPr>
        <w:t xml:space="preserve"> </w:t>
      </w:r>
      <w:r>
        <w:rPr>
          <w:rFonts w:hint="eastAsia" w:ascii="仿宋" w:hAnsi="仿宋" w:eastAsia="仿宋"/>
          <w:b w:val="0"/>
          <w:color w:val="auto"/>
          <w:sz w:val="24"/>
          <w:highlight w:val="none"/>
        </w:rPr>
        <w:t>3</w:t>
      </w:r>
      <w:r>
        <w:rPr>
          <w:rFonts w:ascii="仿宋" w:hAnsi="仿宋" w:eastAsia="仿宋"/>
          <w:b w:val="0"/>
          <w:color w:val="auto"/>
          <w:sz w:val="24"/>
          <w:highlight w:val="none"/>
        </w:rPr>
        <w:t>5</w:t>
      </w:r>
      <w:r>
        <w:rPr>
          <w:rFonts w:hint="eastAsia" w:ascii="仿宋" w:hAnsi="仿宋" w:eastAsia="仿宋"/>
          <w:b w:val="0"/>
          <w:color w:val="auto"/>
          <w:sz w:val="24"/>
          <w:highlight w:val="none"/>
        </w:rPr>
        <w:t>.1 履约保证金的金额、提交方式、退付的时间和条件详见 “投标人须知前附表”。中标人未按规定提交履约保证金的，视为拒绝与采购人签订合同。</w:t>
      </w:r>
    </w:p>
    <w:p>
      <w:pPr>
        <w:pStyle w:val="7"/>
        <w:keepNext w:val="0"/>
        <w:keepLines w:val="0"/>
        <w:spacing w:before="0" w:after="0" w:line="360" w:lineRule="auto"/>
        <w:ind w:firstLine="361" w:firstLineChars="150"/>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val="0"/>
          <w:bCs/>
          <w:color w:val="auto"/>
          <w:sz w:val="24"/>
          <w:highlight w:val="none"/>
        </w:rPr>
        <w:t>35.2在履约保证金退还日期前，若中标人的开户名称、开户银行、帐号有变动的，请以书面形式通知履约保证金收取单位，否则由此产生的后果由中标人自行承担。</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36.签订合同</w:t>
      </w:r>
    </w:p>
    <w:p>
      <w:pPr>
        <w:pStyle w:val="7"/>
        <w:keepNext w:val="0"/>
        <w:keepLines w:val="0"/>
        <w:spacing w:before="0" w:after="0" w:line="360" w:lineRule="auto"/>
        <w:ind w:firstLine="360" w:firstLineChars="150"/>
        <w:rPr>
          <w:rFonts w:ascii="仿宋" w:hAnsi="仿宋" w:eastAsia="仿宋"/>
          <w:b w:val="0"/>
          <w:bCs/>
          <w:color w:val="auto"/>
          <w:sz w:val="24"/>
          <w:highlight w:val="none"/>
        </w:rPr>
      </w:pPr>
      <w:bookmarkStart w:id="128" w:name="_40.1投标人接到中标通知书后，按须知前附表规定向采购人出示相关资格证"/>
      <w:bookmarkEnd w:id="128"/>
      <w:r>
        <w:rPr>
          <w:rFonts w:hint="eastAsia" w:ascii="仿宋" w:hAnsi="仿宋" w:eastAsia="仿宋"/>
          <w:b w:val="0"/>
          <w:color w:val="auto"/>
          <w:sz w:val="24"/>
          <w:highlight w:val="none"/>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color w:val="auto"/>
          <w:sz w:val="24"/>
          <w:highlight w:val="none"/>
        </w:rPr>
        <w:t>如中标人为联合体的，</w:t>
      </w:r>
      <w:r>
        <w:rPr>
          <w:rFonts w:ascii="仿宋" w:hAnsi="仿宋" w:eastAsia="仿宋"/>
          <w:b w:val="0"/>
          <w:bCs/>
          <w:color w:val="auto"/>
          <w:sz w:val="24"/>
          <w:highlight w:val="none"/>
        </w:rPr>
        <w:t>联合体各方应当共同与采购人签订采购合同，就采购合同约定的事项对采购人承担连带责任。</w:t>
      </w:r>
    </w:p>
    <w:p>
      <w:pPr>
        <w:pStyle w:val="7"/>
        <w:keepNext w:val="0"/>
        <w:keepLines w:val="0"/>
        <w:numPr>
          <w:ilvl w:val="0"/>
          <w:numId w:val="0"/>
        </w:numPr>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36.2签订合同时间：按中标通知书规定的时间与采购人签订合同（最长不能超过25日）。</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36.</w:t>
      </w:r>
      <w:r>
        <w:rPr>
          <w:rFonts w:ascii="仿宋" w:hAnsi="仿宋" w:eastAsia="仿宋"/>
          <w:b w:val="0"/>
          <w:color w:val="auto"/>
          <w:sz w:val="24"/>
          <w:highlight w:val="none"/>
        </w:rPr>
        <w:t>3</w:t>
      </w:r>
      <w:r>
        <w:rPr>
          <w:rFonts w:hint="eastAsia" w:ascii="仿宋" w:hAnsi="仿宋" w:eastAsia="仿宋"/>
          <w:b w:val="0"/>
          <w:color w:val="auto"/>
          <w:sz w:val="24"/>
          <w:highlight w:val="none"/>
        </w:rPr>
        <w:t>中标人拒绝与采购人签订合同的，按照本须知正文第3</w:t>
      </w:r>
      <w:r>
        <w:rPr>
          <w:rFonts w:ascii="仿宋" w:hAnsi="仿宋" w:eastAsia="仿宋"/>
          <w:b w:val="0"/>
          <w:color w:val="auto"/>
          <w:sz w:val="24"/>
          <w:highlight w:val="none"/>
        </w:rPr>
        <w:t>0.4条</w:t>
      </w:r>
      <w:r>
        <w:rPr>
          <w:rFonts w:hint="eastAsia" w:ascii="仿宋" w:hAnsi="仿宋" w:eastAsia="仿宋"/>
          <w:b w:val="0"/>
          <w:color w:val="auto"/>
          <w:sz w:val="24"/>
          <w:highlight w:val="none"/>
        </w:rPr>
        <w:t>的规定执行。</w:t>
      </w:r>
    </w:p>
    <w:p>
      <w:pPr>
        <w:pStyle w:val="7"/>
        <w:keepNext w:val="0"/>
        <w:keepLines w:val="0"/>
        <w:spacing w:before="0" w:after="0" w:line="360" w:lineRule="auto"/>
        <w:ind w:left="420" w:leftChars="200"/>
        <w:rPr>
          <w:rFonts w:ascii="仿宋" w:hAnsi="仿宋" w:eastAsia="仿宋"/>
          <w:color w:val="auto"/>
          <w:sz w:val="24"/>
          <w:highlight w:val="none"/>
        </w:rPr>
      </w:pPr>
      <w:bookmarkStart w:id="129" w:name="_41.政府采购合同公告"/>
      <w:bookmarkEnd w:id="129"/>
      <w:r>
        <w:rPr>
          <w:rFonts w:hint="eastAsia" w:ascii="仿宋" w:hAnsi="仿宋" w:eastAsia="仿宋"/>
          <w:color w:val="auto"/>
          <w:sz w:val="24"/>
          <w:highlight w:val="none"/>
        </w:rPr>
        <w:t>37.政府采购合同公告</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采购人或者受托采购代理机构应当自政府采购合同签订之日起2个工作日内，将政府采购合同在省级以上人民政府财政部门指定的媒体上公告，</w:t>
      </w:r>
      <w:r>
        <w:rPr>
          <w:rFonts w:ascii="仿宋" w:hAnsi="仿宋" w:eastAsia="仿宋"/>
          <w:color w:val="auto"/>
          <w:sz w:val="24"/>
          <w:szCs w:val="24"/>
          <w:highlight w:val="none"/>
        </w:rPr>
        <w:t>但政府采购合同中涉及国家秘密、商业秘密的内容除外。</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8.</w:t>
      </w:r>
      <w:r>
        <w:rPr>
          <w:rFonts w:hint="eastAsia" w:ascii="仿宋" w:hAnsi="仿宋" w:eastAsia="仿宋"/>
          <w:color w:val="auto"/>
          <w:sz w:val="24"/>
          <w:highlight w:val="none"/>
        </w:rPr>
        <w:t xml:space="preserve"> 询问、质疑和投诉</w:t>
      </w:r>
    </w:p>
    <w:p>
      <w:pPr>
        <w:pStyle w:val="8"/>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38.1</w:t>
      </w:r>
      <w:r>
        <w:rPr>
          <w:rFonts w:hint="eastAsia" w:ascii="仿宋" w:hAnsi="仿宋" w:eastAsia="仿宋"/>
          <w:color w:val="auto"/>
          <w:sz w:val="24"/>
          <w:szCs w:val="24"/>
          <w:highlight w:val="none"/>
        </w:rPr>
        <w:t>供应商对政府采购活动事项有疑问的，可以向采购人提出询问，采购人或者采购代理机构应当在3个工作日内对供应商依法提出的询问作出答复，但答复的内容不得涉及商业秘密。</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hint="eastAsia" w:ascii="仿宋" w:hAnsi="仿宋" w:eastAsia="仿宋"/>
          <w:b w:val="0"/>
          <w:color w:val="auto"/>
          <w:sz w:val="24"/>
          <w:highlight w:val="none"/>
        </w:rPr>
        <w:t xml:space="preserve"> </w:t>
      </w:r>
      <w:r>
        <w:rPr>
          <w:rFonts w:ascii="仿宋" w:hAnsi="仿宋" w:eastAsia="仿宋"/>
          <w:b w:val="0"/>
          <w:color w:val="auto"/>
          <w:sz w:val="24"/>
          <w:highlight w:val="none"/>
        </w:rPr>
        <w:t>38</w:t>
      </w:r>
      <w:r>
        <w:rPr>
          <w:rFonts w:hint="eastAsia" w:ascii="仿宋" w:hAnsi="仿宋" w:eastAsia="仿宋"/>
          <w:b w:val="0"/>
          <w:color w:val="auto"/>
          <w:sz w:val="24"/>
          <w:highlight w:val="none"/>
        </w:rPr>
        <w:t>.</w:t>
      </w:r>
      <w:r>
        <w:rPr>
          <w:rFonts w:ascii="仿宋" w:hAnsi="仿宋" w:eastAsia="仿宋"/>
          <w:b w:val="0"/>
          <w:color w:val="auto"/>
          <w:sz w:val="24"/>
          <w:highlight w:val="none"/>
        </w:rPr>
        <w:t>2</w:t>
      </w:r>
      <w:r>
        <w:rPr>
          <w:rFonts w:hint="eastAsia" w:ascii="仿宋" w:hAnsi="仿宋" w:eastAsia="仿宋"/>
          <w:b w:val="0"/>
          <w:color w:val="auto"/>
          <w:sz w:val="24"/>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pPr>
        <w:pStyle w:val="15"/>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1</w:t>
      </w:r>
      <w:r>
        <w:rPr>
          <w:rFonts w:ascii="仿宋" w:hAnsi="仿宋" w:eastAsia="仿宋"/>
          <w:color w:val="auto"/>
          <w:sz w:val="24"/>
          <w:szCs w:val="24"/>
          <w:highlight w:val="none"/>
        </w:rPr>
        <w:t>）对可以质疑的</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文件提出质疑的，为收到</w:t>
      </w:r>
      <w:r>
        <w:rPr>
          <w:rFonts w:hint="eastAsia" w:ascii="仿宋" w:hAnsi="仿宋" w:eastAsia="仿宋"/>
          <w:color w:val="auto"/>
          <w:sz w:val="24"/>
          <w:szCs w:val="24"/>
          <w:highlight w:val="none"/>
        </w:rPr>
        <w:t>招标</w:t>
      </w:r>
      <w:r>
        <w:rPr>
          <w:rFonts w:ascii="仿宋" w:hAnsi="仿宋" w:eastAsia="仿宋"/>
          <w:color w:val="auto"/>
          <w:sz w:val="24"/>
          <w:szCs w:val="24"/>
          <w:highlight w:val="none"/>
        </w:rPr>
        <w:t>文件之日</w:t>
      </w:r>
      <w:r>
        <w:rPr>
          <w:rFonts w:hint="eastAsia" w:ascii="仿宋" w:hAnsi="仿宋" w:eastAsia="仿宋"/>
          <w:color w:val="auto"/>
          <w:sz w:val="24"/>
          <w:szCs w:val="24"/>
          <w:highlight w:val="none"/>
        </w:rPr>
        <w:t>或者招标文件公告期限届满之日</w:t>
      </w:r>
      <w:r>
        <w:rPr>
          <w:rFonts w:ascii="仿宋" w:hAnsi="仿宋" w:eastAsia="仿宋"/>
          <w:color w:val="auto"/>
          <w:sz w:val="24"/>
          <w:szCs w:val="24"/>
          <w:highlight w:val="none"/>
        </w:rPr>
        <w:t>；</w:t>
      </w:r>
    </w:p>
    <w:p>
      <w:pPr>
        <w:pStyle w:val="15"/>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2</w:t>
      </w:r>
      <w:r>
        <w:rPr>
          <w:rFonts w:ascii="仿宋" w:hAnsi="仿宋" w:eastAsia="仿宋"/>
          <w:color w:val="auto"/>
          <w:sz w:val="24"/>
          <w:szCs w:val="24"/>
          <w:highlight w:val="none"/>
        </w:rPr>
        <w:t>）对</w:t>
      </w:r>
      <w:r>
        <w:rPr>
          <w:rFonts w:hint="eastAsia" w:ascii="仿宋" w:hAnsi="仿宋" w:eastAsia="仿宋"/>
          <w:color w:val="auto"/>
          <w:sz w:val="24"/>
          <w:szCs w:val="24"/>
          <w:highlight w:val="none"/>
        </w:rPr>
        <w:t>采购</w:t>
      </w:r>
      <w:r>
        <w:rPr>
          <w:rFonts w:ascii="仿宋" w:hAnsi="仿宋" w:eastAsia="仿宋"/>
          <w:color w:val="auto"/>
          <w:sz w:val="24"/>
          <w:szCs w:val="24"/>
          <w:highlight w:val="none"/>
        </w:rPr>
        <w:t>过程提出质疑的，为各采购程序环节结束之日；</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3</w:t>
      </w:r>
      <w:r>
        <w:rPr>
          <w:rFonts w:ascii="仿宋" w:hAnsi="仿宋" w:eastAsia="仿宋"/>
          <w:color w:val="auto"/>
          <w:sz w:val="24"/>
          <w:szCs w:val="24"/>
          <w:highlight w:val="none"/>
        </w:rPr>
        <w:t>）对中标结果提出质疑的，为中标结果公告期限届满之日。</w:t>
      </w:r>
    </w:p>
    <w:p>
      <w:pPr>
        <w:pStyle w:val="7"/>
        <w:keepNext w:val="0"/>
        <w:keepLines w:val="0"/>
        <w:spacing w:before="0" w:after="0" w:line="360" w:lineRule="auto"/>
        <w:ind w:firstLine="360" w:firstLineChars="150"/>
        <w:rPr>
          <w:rFonts w:ascii="仿宋" w:hAnsi="仿宋" w:eastAsia="仿宋"/>
          <w:b w:val="0"/>
          <w:color w:val="auto"/>
          <w:sz w:val="24"/>
          <w:highlight w:val="none"/>
        </w:rPr>
      </w:pPr>
      <w:r>
        <w:rPr>
          <w:rFonts w:ascii="仿宋" w:hAnsi="仿宋" w:eastAsia="仿宋"/>
          <w:b w:val="0"/>
          <w:color w:val="auto"/>
          <w:sz w:val="24"/>
          <w:highlight w:val="none"/>
        </w:rPr>
        <w:t>38</w:t>
      </w:r>
      <w:r>
        <w:rPr>
          <w:rFonts w:hint="eastAsia" w:ascii="仿宋" w:hAnsi="仿宋" w:eastAsia="仿宋"/>
          <w:b w:val="0"/>
          <w:color w:val="auto"/>
          <w:sz w:val="24"/>
          <w:highlight w:val="none"/>
        </w:rPr>
        <w:t>.</w:t>
      </w:r>
      <w:r>
        <w:rPr>
          <w:rFonts w:ascii="仿宋" w:hAnsi="仿宋" w:eastAsia="仿宋"/>
          <w:b w:val="0"/>
          <w:color w:val="auto"/>
          <w:sz w:val="24"/>
          <w:highlight w:val="none"/>
        </w:rPr>
        <w:t>3</w:t>
      </w:r>
      <w:r>
        <w:rPr>
          <w:rFonts w:hint="eastAsia" w:ascii="仿宋" w:hAnsi="仿宋" w:eastAsia="仿宋"/>
          <w:b w:val="0"/>
          <w:color w:val="auto"/>
          <w:sz w:val="24"/>
          <w:highlight w:val="none"/>
        </w:rPr>
        <w:t xml:space="preserve"> </w:t>
      </w:r>
      <w:r>
        <w:rPr>
          <w:rFonts w:ascii="仿宋" w:hAnsi="仿宋" w:eastAsia="仿宋"/>
          <w:bCs/>
          <w:color w:val="auto"/>
          <w:sz w:val="24"/>
          <w:highlight w:val="none"/>
        </w:rPr>
        <w:t>供应商提出质疑应当提交质疑函和必要的证明材料</w:t>
      </w:r>
      <w:r>
        <w:rPr>
          <w:rFonts w:hint="eastAsia" w:ascii="仿宋" w:hAnsi="仿宋" w:eastAsia="仿宋"/>
          <w:bCs/>
          <w:color w:val="auto"/>
          <w:sz w:val="24"/>
          <w:highlight w:val="none"/>
        </w:rPr>
        <w:t>，</w:t>
      </w:r>
      <w:r>
        <w:rPr>
          <w:rFonts w:ascii="仿宋" w:hAnsi="仿宋" w:eastAsia="仿宋"/>
          <w:bCs/>
          <w:color w:val="auto"/>
          <w:sz w:val="24"/>
          <w:highlight w:val="none"/>
        </w:rPr>
        <w:t>针对同一采购程序环节的质疑</w:t>
      </w:r>
      <w:r>
        <w:rPr>
          <w:rFonts w:hint="eastAsia" w:ascii="仿宋" w:hAnsi="仿宋" w:eastAsia="仿宋"/>
          <w:bCs/>
          <w:color w:val="auto"/>
          <w:sz w:val="24"/>
          <w:highlight w:val="none"/>
        </w:rPr>
        <w:t>必须</w:t>
      </w:r>
      <w:r>
        <w:rPr>
          <w:rFonts w:ascii="仿宋" w:hAnsi="仿宋" w:eastAsia="仿宋"/>
          <w:bCs/>
          <w:color w:val="auto"/>
          <w:sz w:val="24"/>
          <w:highlight w:val="none"/>
        </w:rPr>
        <w:t>在法定质疑期内一次性提出。质疑函应当包括下列内容</w:t>
      </w:r>
      <w:r>
        <w:rPr>
          <w:rFonts w:hint="eastAsia" w:ascii="仿宋" w:hAnsi="仿宋" w:eastAsia="仿宋"/>
          <w:bCs/>
          <w:color w:val="auto"/>
          <w:sz w:val="24"/>
          <w:highlight w:val="none"/>
        </w:rPr>
        <w:t>（质疑函格式后附）</w:t>
      </w:r>
      <w:r>
        <w:rPr>
          <w:rFonts w:ascii="仿宋" w:hAnsi="仿宋" w:eastAsia="仿宋"/>
          <w:bCs/>
          <w:color w:val="auto"/>
          <w:sz w:val="24"/>
          <w:highlight w:val="none"/>
        </w:rPr>
        <w:t>：</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1</w:t>
      </w:r>
      <w:r>
        <w:rPr>
          <w:rFonts w:ascii="仿宋" w:hAnsi="仿宋" w:eastAsia="仿宋"/>
          <w:bCs/>
          <w:color w:val="auto"/>
          <w:sz w:val="24"/>
          <w:szCs w:val="24"/>
          <w:highlight w:val="none"/>
        </w:rPr>
        <w:t>）供应商的姓名或者名称、地址、邮编、联系人及联系电话；</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2</w:t>
      </w:r>
      <w:r>
        <w:rPr>
          <w:rFonts w:ascii="仿宋" w:hAnsi="仿宋" w:eastAsia="仿宋"/>
          <w:bCs/>
          <w:color w:val="auto"/>
          <w:sz w:val="24"/>
          <w:szCs w:val="24"/>
          <w:highlight w:val="none"/>
        </w:rPr>
        <w:t>）质疑项目的名称、编号；</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3</w:t>
      </w:r>
      <w:r>
        <w:rPr>
          <w:rFonts w:ascii="仿宋" w:hAnsi="仿宋" w:eastAsia="仿宋"/>
          <w:bCs/>
          <w:color w:val="auto"/>
          <w:sz w:val="24"/>
          <w:szCs w:val="24"/>
          <w:highlight w:val="none"/>
        </w:rPr>
        <w:t>）具体、明确的质疑事项和与质疑事项相关的请求；</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4</w:t>
      </w:r>
      <w:r>
        <w:rPr>
          <w:rFonts w:ascii="仿宋" w:hAnsi="仿宋" w:eastAsia="仿宋"/>
          <w:bCs/>
          <w:color w:val="auto"/>
          <w:sz w:val="24"/>
          <w:szCs w:val="24"/>
          <w:highlight w:val="none"/>
        </w:rPr>
        <w:t>）事实依据；</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5</w:t>
      </w:r>
      <w:r>
        <w:rPr>
          <w:rFonts w:ascii="仿宋" w:hAnsi="仿宋" w:eastAsia="仿宋"/>
          <w:bCs/>
          <w:color w:val="auto"/>
          <w:sz w:val="24"/>
          <w:szCs w:val="24"/>
          <w:highlight w:val="none"/>
        </w:rPr>
        <w:t>）必要的法律依据；</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w:t>
      </w:r>
      <w:r>
        <w:rPr>
          <w:rFonts w:hint="eastAsia" w:ascii="仿宋" w:hAnsi="仿宋" w:eastAsia="仿宋"/>
          <w:bCs/>
          <w:color w:val="auto"/>
          <w:sz w:val="24"/>
          <w:szCs w:val="24"/>
          <w:highlight w:val="none"/>
        </w:rPr>
        <w:t>6</w:t>
      </w:r>
      <w:r>
        <w:rPr>
          <w:rFonts w:ascii="仿宋" w:hAnsi="仿宋" w:eastAsia="仿宋"/>
          <w:bCs/>
          <w:color w:val="auto"/>
          <w:sz w:val="24"/>
          <w:szCs w:val="24"/>
          <w:highlight w:val="none"/>
        </w:rPr>
        <w:t>）提出质疑的日期。</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供应商为自然人的，应当由本人签字；供应商为法人或者其他组织的，应当由法定代表人、主要负责人，或者其委托代理人签字或者盖章，并加盖公章</w:t>
      </w:r>
      <w:r>
        <w:rPr>
          <w:rFonts w:hint="eastAsia" w:ascii="仿宋" w:hAnsi="仿宋" w:eastAsia="仿宋"/>
          <w:bCs/>
          <w:color w:val="auto"/>
          <w:sz w:val="24"/>
          <w:szCs w:val="24"/>
          <w:highlight w:val="none"/>
        </w:rPr>
        <w:t>。</w:t>
      </w:r>
    </w:p>
    <w:p>
      <w:pPr>
        <w:pStyle w:val="7"/>
        <w:keepNext w:val="0"/>
        <w:keepLines w:val="0"/>
        <w:snapToGrid w:val="0"/>
        <w:spacing w:before="0" w:after="0" w:line="360" w:lineRule="auto"/>
        <w:ind w:firstLine="480" w:firstLineChars="200"/>
        <w:rPr>
          <w:rFonts w:ascii="仿宋" w:hAnsi="仿宋" w:eastAsia="仿宋"/>
          <w:b w:val="0"/>
          <w:bCs/>
          <w:color w:val="auto"/>
          <w:sz w:val="24"/>
          <w:highlight w:val="none"/>
        </w:rPr>
      </w:pPr>
      <w:r>
        <w:rPr>
          <w:rFonts w:ascii="仿宋" w:hAnsi="仿宋" w:eastAsia="仿宋"/>
          <w:b w:val="0"/>
          <w:color w:val="auto"/>
          <w:sz w:val="24"/>
          <w:highlight w:val="none"/>
        </w:rPr>
        <w:t>3</w:t>
      </w:r>
      <w:r>
        <w:rPr>
          <w:rFonts w:ascii="仿宋" w:hAnsi="仿宋" w:eastAsia="仿宋"/>
          <w:b w:val="0"/>
          <w:bCs/>
          <w:color w:val="auto"/>
          <w:sz w:val="24"/>
          <w:highlight w:val="none"/>
        </w:rPr>
        <w:t>8.4</w:t>
      </w:r>
      <w:r>
        <w:rPr>
          <w:rFonts w:hint="eastAsia" w:ascii="仿宋" w:hAnsi="仿宋" w:eastAsia="仿宋"/>
          <w:b w:val="0"/>
          <w:bCs/>
          <w:color w:val="auto"/>
          <w:sz w:val="24"/>
          <w:highlight w:val="none"/>
        </w:rPr>
        <w:t>采购人、采购代理机构认为供应商质疑不成立，或者成立但未对中标结果构成影响的，继续开展采购活动；认为供应商质疑成立且影响或者可能影响中标结果的，按照下列情况处理：</w:t>
      </w:r>
    </w:p>
    <w:p>
      <w:pPr>
        <w:pStyle w:val="15"/>
        <w:snapToGrid w:val="0"/>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pPr>
        <w:pStyle w:val="15"/>
        <w:snapToGrid w:val="0"/>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pPr>
        <w:pStyle w:val="15"/>
        <w:snapToGrid w:val="0"/>
        <w:spacing w:line="360" w:lineRule="auto"/>
        <w:ind w:firstLine="420"/>
        <w:rPr>
          <w:rFonts w:ascii="仿宋" w:hAnsi="仿宋" w:eastAsia="仿宋"/>
          <w:bCs/>
          <w:color w:val="auto"/>
          <w:sz w:val="24"/>
          <w:szCs w:val="24"/>
          <w:highlight w:val="none"/>
        </w:rPr>
      </w:pPr>
      <w:r>
        <w:rPr>
          <w:rFonts w:hint="eastAsia" w:ascii="仿宋" w:hAnsi="仿宋" w:eastAsia="仿宋"/>
          <w:bCs/>
          <w:color w:val="auto"/>
          <w:sz w:val="24"/>
          <w:szCs w:val="24"/>
          <w:highlight w:val="none"/>
        </w:rPr>
        <w:t>质疑答复导致中标结果改变的，采购人或者采购代理机构应当将有关情况书面报告本级财政部门。</w:t>
      </w:r>
    </w:p>
    <w:p>
      <w:pPr>
        <w:pStyle w:val="15"/>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38</w:t>
      </w: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0" w:name="_八、其他事项"/>
      <w:bookmarkEnd w:id="130"/>
    </w:p>
    <w:p>
      <w:pPr>
        <w:pStyle w:val="6"/>
        <w:keepNext w:val="0"/>
        <w:keepLines w:val="0"/>
        <w:jc w:val="center"/>
        <w:rPr>
          <w:rFonts w:ascii="仿宋" w:hAnsi="仿宋" w:eastAsia="仿宋"/>
          <w:color w:val="auto"/>
          <w:highlight w:val="none"/>
        </w:rPr>
      </w:pPr>
      <w:r>
        <w:rPr>
          <w:rFonts w:hint="eastAsia" w:ascii="仿宋" w:hAnsi="仿宋" w:eastAsia="仿宋"/>
          <w:color w:val="auto"/>
          <w:highlight w:val="none"/>
        </w:rPr>
        <w:t>八、其他事项</w:t>
      </w:r>
    </w:p>
    <w:p>
      <w:pPr>
        <w:pStyle w:val="7"/>
        <w:keepNext w:val="0"/>
        <w:keepLines w:val="0"/>
        <w:spacing w:before="0" w:after="0" w:line="360" w:lineRule="auto"/>
        <w:ind w:left="420" w:leftChars="200"/>
        <w:rPr>
          <w:rFonts w:ascii="仿宋" w:hAnsi="仿宋" w:eastAsia="仿宋"/>
          <w:color w:val="auto"/>
          <w:sz w:val="24"/>
          <w:highlight w:val="none"/>
        </w:rPr>
      </w:pPr>
      <w:bookmarkStart w:id="131" w:name="_42.代理服务费"/>
      <w:bookmarkEnd w:id="131"/>
      <w:r>
        <w:rPr>
          <w:rFonts w:hint="eastAsia" w:ascii="仿宋" w:hAnsi="仿宋" w:eastAsia="仿宋"/>
          <w:color w:val="auto"/>
          <w:sz w:val="24"/>
          <w:highlight w:val="none"/>
        </w:rPr>
        <w:t>3</w:t>
      </w:r>
      <w:r>
        <w:rPr>
          <w:rFonts w:ascii="仿宋" w:hAnsi="仿宋" w:eastAsia="仿宋"/>
          <w:color w:val="auto"/>
          <w:sz w:val="24"/>
          <w:highlight w:val="none"/>
        </w:rPr>
        <w:t>9</w:t>
      </w:r>
      <w:r>
        <w:rPr>
          <w:rFonts w:hint="eastAsia" w:ascii="仿宋" w:hAnsi="仿宋" w:eastAsia="仿宋"/>
          <w:color w:val="auto"/>
          <w:sz w:val="24"/>
          <w:highlight w:val="none"/>
        </w:rPr>
        <w:t>.代理服务费</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9</w:t>
      </w:r>
      <w:r>
        <w:rPr>
          <w:rFonts w:hint="eastAsia" w:ascii="仿宋" w:hAnsi="仿宋" w:eastAsia="仿宋"/>
          <w:color w:val="auto"/>
          <w:sz w:val="24"/>
          <w:szCs w:val="24"/>
          <w:highlight w:val="none"/>
        </w:rPr>
        <w:t>.1代理服务收取标准及缴费账户详见“投标人须知前附表”，投标人为联合体的，可以由联合体中的一方或者多方共同交纳代理服务费。</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9</w:t>
      </w:r>
      <w:r>
        <w:rPr>
          <w:rFonts w:hint="eastAsia" w:ascii="仿宋" w:hAnsi="仿宋" w:eastAsia="仿宋"/>
          <w:color w:val="auto"/>
          <w:sz w:val="24"/>
          <w:highlight w:val="none"/>
        </w:rPr>
        <w:t>.2代理服务收费标准及</w:t>
      </w:r>
      <w:r>
        <w:rPr>
          <w:rFonts w:hint="eastAsia" w:ascii="仿宋" w:hAnsi="仿宋" w:eastAsia="仿宋" w:cs="宋体"/>
          <w:color w:val="auto"/>
          <w:sz w:val="24"/>
          <w:highlight w:val="none"/>
        </w:rPr>
        <w:t>交纳</w:t>
      </w:r>
      <w:r>
        <w:rPr>
          <w:rFonts w:ascii="仿宋" w:hAnsi="仿宋" w:eastAsia="仿宋" w:cs="宋体"/>
          <w:color w:val="auto"/>
          <w:sz w:val="24"/>
          <w:highlight w:val="none"/>
        </w:rPr>
        <w:t>银行帐号信息</w:t>
      </w:r>
      <w:r>
        <w:rPr>
          <w:rFonts w:hint="eastAsia" w:ascii="仿宋" w:hAnsi="仿宋" w:eastAsia="仿宋" w:cs="宋体"/>
          <w:color w:val="auto"/>
          <w:sz w:val="24"/>
          <w:highlight w:val="none"/>
        </w:rPr>
        <w:t>：详见“投标人须知前附表”</w:t>
      </w:r>
    </w:p>
    <w:p>
      <w:pPr>
        <w:pStyle w:val="7"/>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40. 需要补充的其他内容</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40.1本招标文件解释规则详见“投标人须知前附表”。</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40.2 其他事项详见“投标人须知前附表”。</w:t>
      </w:r>
    </w:p>
    <w:p>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40.3</w:t>
      </w:r>
      <w:bookmarkStart w:id="132" w:name="_Hlk65857140"/>
      <w:r>
        <w:rPr>
          <w:rFonts w:hint="eastAsia" w:ascii="仿宋" w:hAnsi="仿宋" w:eastAsia="仿宋" w:cs="宋体"/>
          <w:color w:val="auto"/>
          <w:sz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15"/>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pPr>
        <w:pStyle w:val="15"/>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（2）在工程采购项目中，工程由中小企业承建，即工程施工单位为中小企业，不对其中涉及的货物的制造商和服务的承接商作出要求；</w:t>
      </w:r>
    </w:p>
    <w:p>
      <w:pPr>
        <w:pStyle w:val="15"/>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5"/>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15"/>
        <w:spacing w:before="120" w:after="120" w:line="360" w:lineRule="auto"/>
        <w:ind w:firstLine="480" w:firstLineChars="200"/>
        <w:contextualSpacing/>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依据本招标文件规定享受扶持政策获得政府采购合同的，小微企业不得将合同分包给大中型企业，中型企业不得将合同分包给大型企业。</w:t>
      </w:r>
      <w:bookmarkEnd w:id="132"/>
    </w:p>
    <w:p>
      <w:pPr>
        <w:pStyle w:val="4"/>
        <w:keepNext w:val="0"/>
        <w:keepLines w:val="0"/>
        <w:pageBreakBefore/>
        <w:spacing w:before="0" w:after="0" w:line="360" w:lineRule="auto"/>
        <w:jc w:val="center"/>
        <w:rPr>
          <w:rFonts w:ascii="仿宋" w:hAnsi="仿宋" w:eastAsia="仿宋"/>
          <w:color w:val="auto"/>
          <w:highlight w:val="none"/>
        </w:rPr>
      </w:pPr>
      <w:bookmarkStart w:id="133" w:name="_Toc254970548"/>
      <w:bookmarkStart w:id="134" w:name="_Toc254970689"/>
      <w:bookmarkStart w:id="135" w:name="_Toc74320803"/>
      <w:bookmarkStart w:id="136" w:name="_Toc330456896"/>
      <w:r>
        <w:rPr>
          <w:rFonts w:hint="eastAsia" w:ascii="仿宋" w:hAnsi="仿宋" w:eastAsia="仿宋"/>
          <w:color w:val="auto"/>
          <w:highlight w:val="none"/>
        </w:rPr>
        <w:t>第四章  评标方法及评标标准</w:t>
      </w:r>
      <w:bookmarkEnd w:id="133"/>
      <w:bookmarkEnd w:id="134"/>
      <w:bookmarkEnd w:id="135"/>
      <w:bookmarkEnd w:id="136"/>
    </w:p>
    <w:p>
      <w:pPr>
        <w:pStyle w:val="6"/>
        <w:keepNext w:val="0"/>
        <w:keepLines w:val="0"/>
        <w:spacing w:before="0" w:after="0" w:line="415" w:lineRule="auto"/>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一、评标方法</w:t>
      </w:r>
    </w:p>
    <w:p>
      <w:pPr>
        <w:pStyle w:val="15"/>
        <w:spacing w:line="360" w:lineRule="auto"/>
        <w:ind w:firstLine="420"/>
        <w:rPr>
          <w:rFonts w:ascii="仿宋" w:hAnsi="仿宋" w:eastAsia="仿宋"/>
          <w:color w:val="auto"/>
          <w:sz w:val="24"/>
          <w:szCs w:val="24"/>
          <w:highlight w:val="none"/>
        </w:rPr>
      </w:pPr>
      <w:r>
        <w:rPr>
          <w:rFonts w:hint="eastAsia" w:ascii="仿宋" w:hAnsi="仿宋" w:eastAsia="仿宋"/>
          <w:color w:val="auto"/>
          <w:sz w:val="24"/>
          <w:szCs w:val="24"/>
          <w:highlight w:val="none"/>
        </w:rPr>
        <w:t>综合评分法，是指投标文件满足招标文件全部实质性要求，且按照评审因素的量化指标评审得分最高的投标人为中标候选人的评标方法。</w:t>
      </w:r>
    </w:p>
    <w:p>
      <w:pPr>
        <w:pStyle w:val="6"/>
        <w:keepNext w:val="0"/>
        <w:keepLines w:val="0"/>
        <w:spacing w:before="0" w:after="0" w:line="415" w:lineRule="auto"/>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二、评标程序</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1.符合性审查</w:t>
      </w:r>
    </w:p>
    <w:p>
      <w:pPr>
        <w:pStyle w:val="15"/>
        <w:snapToGrid w:val="0"/>
        <w:spacing w:line="360" w:lineRule="auto"/>
        <w:ind w:left="1" w:firstLine="420"/>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符合性审查不通过而导致投标无效的情形</w:t>
      </w:r>
    </w:p>
    <w:p>
      <w:p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投标人的投标文件中存在对招标文件的任何实质性要求和条件的负偏离，将被视为投标无效。</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2.1在报价评审时，如发现下列情形之一的，将被视为投标无效：</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未提供“投标人须知前附表”第13.1条规定中“必须提供”的文件资料的；</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未采用人民币报价或者未按照招标文件标明的币种报价的；</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各分标报价超出招标文件相应分标规定最高限价，或者超出相应分标采购预算金额的；</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投标人未就本项目进行报价或者存在漏项报价；投标人未就本项目的单项内容作唯一报价；投标人未就本项目全部内容作完整唯一总价报价；存在有选择、有条件报价的（招标文件允许有备选方案或者其他约定的除外）；</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修正后的报价，投标人不确认的；</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z w:val="24"/>
          <w:szCs w:val="24"/>
          <w:highlight w:val="none"/>
        </w:rPr>
        <w:t>投标人属于本章第</w:t>
      </w:r>
      <w:r>
        <w:rPr>
          <w:rFonts w:ascii="仿宋" w:hAnsi="仿宋" w:eastAsia="仿宋"/>
          <w:b/>
          <w:color w:val="auto"/>
          <w:sz w:val="24"/>
          <w:szCs w:val="24"/>
          <w:highlight w:val="none"/>
        </w:rPr>
        <w:t>5.1</w:t>
      </w:r>
      <w:r>
        <w:rPr>
          <w:rFonts w:hint="eastAsia" w:ascii="仿宋" w:hAnsi="仿宋" w:eastAsia="仿宋"/>
          <w:b/>
          <w:color w:val="auto"/>
          <w:sz w:val="24"/>
          <w:szCs w:val="24"/>
          <w:highlight w:val="none"/>
        </w:rPr>
        <w:t>条（2）或者第5</w:t>
      </w:r>
      <w:r>
        <w:rPr>
          <w:rFonts w:ascii="仿宋" w:hAnsi="仿宋" w:eastAsia="仿宋"/>
          <w:b/>
          <w:color w:val="auto"/>
          <w:sz w:val="24"/>
          <w:szCs w:val="24"/>
          <w:highlight w:val="none"/>
        </w:rPr>
        <w:t>.2条</w:t>
      </w:r>
      <w:r>
        <w:rPr>
          <w:rFonts w:hint="eastAsia" w:ascii="仿宋" w:hAnsi="仿宋" w:eastAsia="仿宋"/>
          <w:b/>
          <w:color w:val="auto"/>
          <w:sz w:val="24"/>
          <w:szCs w:val="24"/>
          <w:highlight w:val="none"/>
        </w:rPr>
        <w:t>（2）项情形的；</w:t>
      </w:r>
    </w:p>
    <w:p>
      <w:pPr>
        <w:pStyle w:val="8"/>
        <w:numPr>
          <w:ilvl w:val="0"/>
          <w:numId w:val="5"/>
        </w:numPr>
        <w:spacing w:line="360" w:lineRule="auto"/>
        <w:ind w:firstLine="422"/>
        <w:rPr>
          <w:rFonts w:ascii="仿宋" w:hAnsi="仿宋" w:eastAsia="仿宋"/>
          <w:b/>
          <w:color w:val="auto"/>
          <w:sz w:val="24"/>
          <w:szCs w:val="24"/>
          <w:highlight w:val="none"/>
        </w:rPr>
      </w:pPr>
      <w:r>
        <w:rPr>
          <w:rFonts w:hint="eastAsia" w:ascii="仿宋" w:hAnsi="仿宋" w:eastAsia="仿宋"/>
          <w:b/>
          <w:color w:val="auto"/>
          <w:spacing w:val="-6"/>
          <w:sz w:val="24"/>
          <w:szCs w:val="24"/>
          <w:highlight w:val="none"/>
        </w:rPr>
        <w:t>报价文件</w:t>
      </w:r>
      <w:r>
        <w:rPr>
          <w:rFonts w:hint="eastAsia" w:ascii="仿宋" w:hAnsi="仿宋" w:eastAsia="仿宋"/>
          <w:b/>
          <w:color w:val="auto"/>
          <w:sz w:val="24"/>
          <w:szCs w:val="24"/>
          <w:highlight w:val="none"/>
        </w:rPr>
        <w:t>响应的标的数量及单位与招标文件要求实质性不一致的。</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2.2在商务评审时，如发现下列情形之一的，将被视为投标无效：</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投标文件未按招标文件要求签署、盖章的；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委托代理人未能出具有效身份证或者出具的身份证与授权委托书中的信息不符的；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为无效投标保证金的或者未按照招标文件的规定提交投标保证金的；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投标文件未提供“投标人须知前附表”第13.</w:t>
      </w:r>
      <w:r>
        <w:rPr>
          <w:rFonts w:ascii="仿宋" w:hAnsi="仿宋" w:eastAsia="仿宋"/>
          <w:b/>
          <w:color w:val="auto"/>
          <w:sz w:val="24"/>
          <w:highlight w:val="none"/>
        </w:rPr>
        <w:t>1</w:t>
      </w:r>
      <w:r>
        <w:rPr>
          <w:rFonts w:hint="eastAsia" w:ascii="仿宋" w:hAnsi="仿宋" w:eastAsia="仿宋"/>
          <w:b/>
          <w:color w:val="auto"/>
          <w:sz w:val="24"/>
          <w:highlight w:val="none"/>
        </w:rPr>
        <w:t>条规定中“必须提供”或者“委托时必须提供”的文件资料的；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商务要求评审允许负偏离的条款数超过“投标人须知前附表”规定项数的；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投标文件的实质性内容未使用中文表述、使用计量单位不符合招标文件要求的；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投标文件中的文件资料因填写不齐全或者内容虚假或者出现其他情形而导致被评标委员会认定无效的；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投标文件含有采购人不能接受的附加条件的；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属于投标人须知正文第</w:t>
      </w:r>
      <w:r>
        <w:rPr>
          <w:rFonts w:ascii="仿宋" w:hAnsi="仿宋" w:eastAsia="仿宋"/>
          <w:b/>
          <w:color w:val="auto"/>
          <w:sz w:val="24"/>
          <w:highlight w:val="none"/>
        </w:rPr>
        <w:t>9.2</w:t>
      </w:r>
      <w:r>
        <w:rPr>
          <w:rFonts w:hint="eastAsia" w:ascii="仿宋" w:hAnsi="仿宋" w:eastAsia="仿宋"/>
          <w:b/>
          <w:color w:val="auto"/>
          <w:sz w:val="24"/>
          <w:highlight w:val="none"/>
        </w:rPr>
        <w:t>条情形的；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投标文件标注的项目名称或者项目编号与招标文件标注的项目名称或者项目编号不一致的；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招标文件明确不允许分包，投标文件拟分包的；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未响应招标文件实质性要求的；</w:t>
      </w:r>
    </w:p>
    <w:p>
      <w:pPr>
        <w:numPr>
          <w:ilvl w:val="0"/>
          <w:numId w:val="6"/>
        </w:numPr>
        <w:snapToGrid w:val="0"/>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法律、法规和招标文件规定的其他无效情形。</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2.3在技术评审时，如发现下列情形之一的，将被视为投标无效：</w:t>
      </w:r>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（1）技术要求评审允许负偏离的条款数超过“投标人须知前附表”规定项数的；</w:t>
      </w:r>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（2）投标文件未提供“投标人须知前附表”第13.</w:t>
      </w:r>
      <w:r>
        <w:rPr>
          <w:rFonts w:ascii="仿宋" w:hAnsi="仿宋" w:eastAsia="仿宋"/>
          <w:b/>
          <w:color w:val="auto"/>
          <w:kern w:val="2"/>
          <w:sz w:val="24"/>
          <w:szCs w:val="24"/>
          <w:highlight w:val="none"/>
        </w:rPr>
        <w:t>1</w:t>
      </w:r>
      <w:r>
        <w:rPr>
          <w:rFonts w:hint="eastAsia" w:ascii="仿宋" w:hAnsi="仿宋" w:eastAsia="仿宋"/>
          <w:b/>
          <w:color w:val="auto"/>
          <w:kern w:val="2"/>
          <w:sz w:val="24"/>
          <w:szCs w:val="24"/>
          <w:highlight w:val="none"/>
        </w:rPr>
        <w:t>条规定中“必须提供”的文件资料的；</w:t>
      </w:r>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（3）虚假投标，或者出现其他情形而导致被评标委员会认定无效的；</w:t>
      </w:r>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（4）</w:t>
      </w:r>
      <w:bookmarkStart w:id="137" w:name="_Hlk71706244"/>
      <w:r>
        <w:rPr>
          <w:rFonts w:hint="eastAsia" w:ascii="仿宋" w:hAnsi="仿宋" w:eastAsia="仿宋"/>
          <w:b/>
          <w:color w:val="auto"/>
          <w:kern w:val="2"/>
          <w:sz w:val="24"/>
          <w:szCs w:val="24"/>
          <w:highlight w:val="none"/>
        </w:rPr>
        <w:t>招标文件未载明允许提供备选（替代）投标方案或明确不允许提供备选（替代）投标方案时，投标人提供了备选（替代）投标方案的；</w:t>
      </w:r>
      <w:bookmarkEnd w:id="137"/>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（5）未响应招标文件实质性要求的。</w:t>
      </w:r>
    </w:p>
    <w:p>
      <w:pPr>
        <w:pStyle w:val="3"/>
        <w:snapToGrid w:val="0"/>
        <w:spacing w:line="360" w:lineRule="auto"/>
        <w:ind w:firstLine="472" w:firstLineChars="196"/>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2.4通过符合性审查的投标人不足3家，评标委员会不得继续评标，并出具评标报告。</w:t>
      </w:r>
    </w:p>
    <w:p>
      <w:pPr>
        <w:pStyle w:val="7"/>
        <w:keepNext w:val="0"/>
        <w:keepLines w:val="0"/>
        <w:spacing w:before="0" w:after="0" w:line="360" w:lineRule="auto"/>
        <w:ind w:left="420" w:left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澄清补正</w:t>
      </w:r>
    </w:p>
    <w:p>
      <w:pPr>
        <w:snapToGrid w:val="0"/>
        <w:spacing w:line="360" w:lineRule="auto"/>
        <w:ind w:firstLine="480" w:firstLineChars="200"/>
        <w:rPr>
          <w:rFonts w:ascii="仿宋" w:hAnsi="仿宋" w:eastAsia="仿宋" w:cs="Courier New"/>
          <w:color w:val="auto"/>
          <w:sz w:val="24"/>
          <w:highlight w:val="none"/>
        </w:rPr>
      </w:pPr>
      <w:r>
        <w:rPr>
          <w:rFonts w:hint="eastAsia" w:ascii="仿宋" w:hAnsi="仿宋" w:eastAsia="仿宋" w:cs="Courier New"/>
          <w:color w:val="auto"/>
          <w:sz w:val="24"/>
          <w:highlight w:val="none"/>
        </w:rPr>
        <w:t>对投标文件中含义不明确、同类问题表述不一致或者有明显文字和计算错误的内容，评标委员会以</w:t>
      </w:r>
      <w:r>
        <w:rPr>
          <w:rFonts w:hint="eastAsia" w:ascii="仿宋" w:hAnsi="仿宋" w:eastAsia="仿宋" w:cs="宋体"/>
          <w:color w:val="auto"/>
          <w:sz w:val="24"/>
          <w:highlight w:val="none"/>
        </w:rPr>
        <w:t>电子澄清函形式</w:t>
      </w:r>
      <w:r>
        <w:rPr>
          <w:rFonts w:hint="eastAsia" w:ascii="仿宋" w:hAnsi="仿宋" w:eastAsia="仿宋" w:cs="Courier New"/>
          <w:color w:val="auto"/>
          <w:sz w:val="24"/>
          <w:highlight w:val="none"/>
        </w:rPr>
        <w:t>要求投标人在规定时间内作出必要的澄清、说明或者纠正。投标人的澄清、说明或者补正必须采用</w:t>
      </w:r>
      <w:r>
        <w:rPr>
          <w:rFonts w:hint="eastAsia" w:ascii="仿宋" w:hAnsi="仿宋" w:eastAsia="仿宋" w:cs="宋体"/>
          <w:color w:val="auto"/>
          <w:sz w:val="24"/>
          <w:highlight w:val="none"/>
        </w:rPr>
        <w:t>电子回函形式</w:t>
      </w:r>
      <w:r>
        <w:rPr>
          <w:rFonts w:hint="eastAsia" w:ascii="仿宋" w:hAnsi="仿宋" w:eastAsia="仿宋" w:cs="Courier New"/>
          <w:color w:val="auto"/>
          <w:sz w:val="24"/>
          <w:highlight w:val="none"/>
        </w:rPr>
        <w:t>，并加盖投标人公章，或者由法定代表人或者其授权的代表签字。投标人的澄清、说明或者补正不得超出投标文件的范围或者改变投标文件的实质性内容。</w:t>
      </w:r>
    </w:p>
    <w:p>
      <w:pPr>
        <w:pStyle w:val="7"/>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投标文件修正</w:t>
      </w:r>
    </w:p>
    <w:p>
      <w:pPr>
        <w:pStyle w:val="7"/>
        <w:keepNext w:val="0"/>
        <w:keepLines w:val="0"/>
        <w:spacing w:before="0" w:after="0" w:line="360" w:lineRule="auto"/>
        <w:ind w:left="420" w:leftChars="200"/>
        <w:rPr>
          <w:rFonts w:ascii="仿宋" w:hAnsi="仿宋" w:eastAsia="仿宋"/>
          <w:b w:val="0"/>
          <w:color w:val="auto"/>
          <w:sz w:val="24"/>
          <w:highlight w:val="none"/>
        </w:rPr>
      </w:pPr>
      <w:r>
        <w:rPr>
          <w:rFonts w:ascii="仿宋" w:hAnsi="仿宋" w:eastAsia="仿宋"/>
          <w:b w:val="0"/>
          <w:color w:val="auto"/>
          <w:sz w:val="24"/>
          <w:highlight w:val="none"/>
        </w:rPr>
        <w:t>4</w:t>
      </w:r>
      <w:r>
        <w:rPr>
          <w:rFonts w:hint="eastAsia" w:ascii="仿宋" w:hAnsi="仿宋" w:eastAsia="仿宋"/>
          <w:b w:val="0"/>
          <w:color w:val="auto"/>
          <w:sz w:val="24"/>
          <w:highlight w:val="none"/>
        </w:rPr>
        <w:t xml:space="preserve">.1投标文件报价出现前后不一致的，按照下列规定修正： </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（1）投标文件中开标一览表（报价表）内容与投标文件中相应内容不一致的，以开标一览表（报价表）为准；</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（2）大写金额和小写金额不一致的，以大写金额为准；</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（3）单价金额小数点或者百分比有明显错位的，以开标一览表的总价为准，并修改单价；</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（4）总价金额与按单价汇总金额不一致的，以单价金额计算结果为准。</w:t>
      </w:r>
    </w:p>
    <w:p>
      <w:pPr>
        <w:pStyle w:val="1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b/>
          <w:color w:val="auto"/>
          <w:kern w:val="2"/>
          <w:sz w:val="24"/>
          <w:szCs w:val="24"/>
          <w:highlight w:val="none"/>
        </w:rPr>
        <w:t>其投标无效</w:t>
      </w:r>
      <w:r>
        <w:rPr>
          <w:rFonts w:hint="eastAsia" w:ascii="仿宋" w:hAnsi="仿宋" w:eastAsia="仿宋"/>
          <w:color w:val="auto"/>
          <w:sz w:val="24"/>
          <w:szCs w:val="24"/>
          <w:highlight w:val="none"/>
        </w:rPr>
        <w:t>。</w:t>
      </w:r>
    </w:p>
    <w:p>
      <w:pPr>
        <w:pStyle w:val="7"/>
        <w:keepNext w:val="0"/>
        <w:keepLines w:val="0"/>
        <w:spacing w:before="0" w:after="0" w:line="360" w:lineRule="auto"/>
        <w:rPr>
          <w:rFonts w:ascii="仿宋" w:hAnsi="仿宋" w:eastAsia="仿宋"/>
          <w:b w:val="0"/>
          <w:color w:val="auto"/>
          <w:sz w:val="24"/>
          <w:highlight w:val="none"/>
        </w:rPr>
      </w:pPr>
      <w:r>
        <w:rPr>
          <w:rFonts w:ascii="仿宋" w:hAnsi="仿宋" w:eastAsia="仿宋"/>
          <w:b w:val="0"/>
          <w:color w:val="auto"/>
          <w:sz w:val="24"/>
          <w:highlight w:val="none"/>
        </w:rPr>
        <w:t xml:space="preserve">    4</w:t>
      </w:r>
      <w:r>
        <w:rPr>
          <w:rFonts w:hint="eastAsia" w:ascii="仿宋" w:hAnsi="仿宋" w:eastAsia="仿宋"/>
          <w:b w:val="0"/>
          <w:color w:val="auto"/>
          <w:sz w:val="24"/>
          <w:highlight w:val="none"/>
        </w:rPr>
        <w:t>.2经投标人确认修正后的报价若超过采购预算金额或者最高限价，</w:t>
      </w:r>
      <w:r>
        <w:rPr>
          <w:rFonts w:hint="eastAsia" w:ascii="仿宋" w:hAnsi="仿宋" w:eastAsia="仿宋"/>
          <w:color w:val="auto"/>
          <w:sz w:val="24"/>
          <w:highlight w:val="none"/>
        </w:rPr>
        <w:t>投标人的投标文件作无效投标处理</w:t>
      </w:r>
      <w:r>
        <w:rPr>
          <w:rFonts w:hint="eastAsia" w:ascii="仿宋" w:hAnsi="仿宋" w:eastAsia="仿宋"/>
          <w:b w:val="0"/>
          <w:color w:val="auto"/>
          <w:sz w:val="24"/>
          <w:highlight w:val="none"/>
        </w:rPr>
        <w:t>。</w:t>
      </w:r>
    </w:p>
    <w:p>
      <w:pPr>
        <w:snapToGrid w:val="0"/>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.3经投标人确认修正后的报价作为签订合同的依据，并以此报价计算价格分。</w:t>
      </w:r>
    </w:p>
    <w:p>
      <w:pPr>
        <w:pStyle w:val="7"/>
        <w:keepNext w:val="0"/>
        <w:keepLines w:val="0"/>
        <w:spacing w:before="0" w:after="0" w:line="360" w:lineRule="auto"/>
        <w:ind w:left="420" w:leftChars="200"/>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比较与评价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5.1采用综合评分法的</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（1）评标委员会按照招标文件中规定的评标方法及评标标准，对符合性审查合格的投标文件进行商务和技术评估，综合比较与评价。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（2）评标委员会独立对每个投标人的投标文件进行评价，并汇总每个投标人的得分。</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z w:val="24"/>
          <w:highlight w:val="none"/>
        </w:rPr>
        <w:t>投标人不能证明其报价合理性的，评标委员会将其作为无效投标处理</w:t>
      </w:r>
      <w:r>
        <w:rPr>
          <w:rFonts w:hint="eastAsia" w:ascii="仿宋" w:hAnsi="仿宋" w:eastAsia="仿宋"/>
          <w:color w:val="auto"/>
          <w:sz w:val="24"/>
          <w:highlight w:val="none"/>
        </w:rPr>
        <w:t>。</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（3）评标委员会按照招标文件中规定的评标方法和标准计算各投标人的报价得分。在计算过程中，不得去掉最高报价或者最低报价。</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（4）各投标人的得分为所有评委的有效评分的算术平均数。</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（5）评标委员会按照招标文件中的规定推荐中标候选人。</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5.2采用最低评标价法的</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（1）评标委员会按照招标文件中规定的评标方法及评标标准，对符合性审查合格的投标文件报价进行比较。</w:t>
      </w:r>
    </w:p>
    <w:p>
      <w:pPr>
        <w:snapToGrid w:val="0"/>
        <w:spacing w:line="360" w:lineRule="auto"/>
        <w:ind w:firstLine="460" w:firstLineChars="202"/>
        <w:jc w:val="left"/>
        <w:rPr>
          <w:rFonts w:ascii="仿宋" w:hAnsi="仿宋" w:eastAsia="仿宋"/>
          <w:color w:val="auto"/>
          <w:spacing w:val="-6"/>
          <w:sz w:val="24"/>
          <w:highlight w:val="none"/>
        </w:rPr>
      </w:pPr>
      <w:r>
        <w:rPr>
          <w:rFonts w:hint="eastAsia" w:ascii="仿宋" w:hAnsi="仿宋" w:eastAsia="仿宋"/>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color w:val="auto"/>
          <w:spacing w:val="-6"/>
          <w:sz w:val="24"/>
          <w:highlight w:val="none"/>
        </w:rPr>
        <w:t>投标人不能证明其报价合理性的，评标委员会将其作为无效投标处理</w:t>
      </w:r>
      <w:r>
        <w:rPr>
          <w:rFonts w:hint="eastAsia" w:ascii="仿宋" w:hAnsi="仿宋" w:eastAsia="仿宋"/>
          <w:color w:val="auto"/>
          <w:spacing w:val="-6"/>
          <w:sz w:val="24"/>
          <w:highlight w:val="none"/>
        </w:rPr>
        <w:t>。</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（3）评标委员会按照招标文件中的规定推荐中标候选人。</w:t>
      </w:r>
    </w:p>
    <w:p>
      <w:pPr>
        <w:snapToGrid w:val="0"/>
        <w:spacing w:line="360" w:lineRule="auto"/>
        <w:ind w:firstLine="484" w:firstLineChars="202"/>
        <w:jc w:val="left"/>
        <w:rPr>
          <w:rFonts w:ascii="仿宋" w:hAnsi="仿宋" w:eastAsia="仿宋"/>
          <w:color w:val="auto"/>
          <w:sz w:val="24"/>
          <w:highlight w:val="none"/>
        </w:rPr>
      </w:pPr>
      <w:r>
        <w:rPr>
          <w:rFonts w:hint="eastAsia" w:ascii="仿宋" w:hAnsi="仿宋" w:eastAsia="仿宋"/>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jc w:val="center"/>
        <w:rPr>
          <w:rFonts w:ascii="仿宋" w:hAnsi="仿宋" w:eastAsia="仿宋"/>
          <w:color w:val="auto"/>
          <w:highlight w:val="none"/>
        </w:rPr>
      </w:pPr>
      <w:r>
        <w:rPr>
          <w:rFonts w:ascii="仿宋" w:hAnsi="仿宋" w:eastAsia="仿宋"/>
          <w:color w:val="auto"/>
          <w:highlight w:val="none"/>
        </w:rPr>
        <w:br w:type="page"/>
      </w:r>
      <w:r>
        <w:rPr>
          <w:rFonts w:ascii="仿宋" w:hAnsi="仿宋" w:eastAsia="仿宋" w:cs="宋体"/>
          <w:b/>
          <w:bCs/>
          <w:color w:val="auto"/>
          <w:sz w:val="32"/>
          <w:szCs w:val="32"/>
          <w:highlight w:val="none"/>
        </w:rPr>
        <w:t>三</w:t>
      </w:r>
      <w:r>
        <w:rPr>
          <w:rFonts w:hint="eastAsia" w:ascii="仿宋" w:hAnsi="仿宋" w:eastAsia="仿宋" w:cs="宋体"/>
          <w:b/>
          <w:bCs/>
          <w:color w:val="auto"/>
          <w:sz w:val="32"/>
          <w:szCs w:val="32"/>
          <w:highlight w:val="none"/>
        </w:rPr>
        <w:t>、评标标准</w:t>
      </w:r>
    </w:p>
    <w:p>
      <w:pPr>
        <w:pStyle w:val="6"/>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综合评分法</w:t>
      </w:r>
    </w:p>
    <w:p>
      <w:pPr>
        <w:rPr>
          <w:rFonts w:ascii="仿宋" w:hAnsi="仿宋" w:eastAsia="仿宋"/>
          <w:b/>
          <w:color w:val="auto"/>
          <w:sz w:val="24"/>
          <w:highlight w:val="none"/>
        </w:rPr>
      </w:pPr>
      <w:r>
        <w:rPr>
          <w:rFonts w:hint="eastAsia" w:ascii="仿宋" w:hAnsi="仿宋" w:eastAsia="仿宋"/>
          <w:b/>
          <w:color w:val="auto"/>
          <w:sz w:val="24"/>
          <w:highlight w:val="none"/>
        </w:rPr>
        <w:t>评标标准：</w:t>
      </w:r>
    </w:p>
    <w:p>
      <w:pPr>
        <w:pStyle w:val="15"/>
        <w:spacing w:line="360" w:lineRule="auto"/>
        <w:rPr>
          <w:rFonts w:ascii="仿宋" w:hAnsi="仿宋" w:eastAsia="仿宋"/>
          <w:bCs/>
          <w:color w:val="auto"/>
          <w:sz w:val="21"/>
          <w:highlight w:val="none"/>
        </w:rPr>
      </w:pPr>
    </w:p>
    <w:tbl>
      <w:tblPr>
        <w:tblStyle w:val="27"/>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8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73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0分）</w:t>
            </w:r>
          </w:p>
        </w:tc>
        <w:tc>
          <w:tcPr>
            <w:tcW w:w="73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（1）评标报价为投标人的投标报价进行政策性扣除后的价格，评标报价只是作为评标时使用。最终中标人的中标金额等于投标报价。</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（2）政策性扣除计算方法。</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根据《政府采购促进中小企业发展管理办法》（财库〔2020〕46号）及《广西壮族自治区财政厅关于进一步发挥政府采购政策功能促进企业发展的通知》（桂财采【2022】30号）的规定，投标人在其投标文件中提供《中小企业声明函》，且其投标全部货物由小微企业制造的，对其投标报价给予20%的扣除，扣除后的价格为评标报价，即评标报价=投标报价×（1-20%）。除上述情况外，评标报价=投标报价。</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（5）满足招标文件要求且评标报价最低的评标报价为评标基准价，其价格分为满分。</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（6）价格分计算公式：        </w:t>
            </w:r>
          </w:p>
          <w:p>
            <w:pPr>
              <w:snapToGrid w:val="0"/>
              <w:spacing w:line="440" w:lineRule="exact"/>
              <w:rPr>
                <w:rFonts w:ascii="仿宋" w:hAnsi="仿宋" w:eastAsia="仿宋" w:cs="仿宋"/>
                <w:color w:val="auto"/>
                <w:highlight w:val="none"/>
              </w:rPr>
            </w:pPr>
            <w:r>
              <w:rPr>
                <w:rFonts w:hint="eastAsia" w:ascii="仿宋" w:hAnsi="仿宋" w:eastAsia="仿宋" w:cs="仿宋"/>
                <w:color w:val="auto"/>
                <w:sz w:val="24"/>
                <w:highlight w:val="none"/>
              </w:rPr>
              <w:t>价格分=(评标基准价／评标报价)×</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61" w:type="dxa"/>
            <w:tcBorders>
              <w:top w:val="single" w:color="auto" w:sz="4" w:space="0"/>
              <w:left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385" w:type="dxa"/>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beforeAutospacing="0" w:after="0" w:afterAutospacing="0" w:line="360" w:lineRule="exact"/>
              <w:jc w:val="center"/>
              <w:rPr>
                <w:rFonts w:ascii="仿宋" w:hAnsi="仿宋" w:eastAsia="仿宋" w:cs="仿宋"/>
                <w:color w:val="auto"/>
                <w:kern w:val="2"/>
                <w:highlight w:val="none"/>
              </w:rPr>
            </w:pPr>
            <w:r>
              <w:rPr>
                <w:rFonts w:hint="eastAsia" w:ascii="仿宋" w:hAnsi="仿宋" w:eastAsia="仿宋" w:cs="仿宋"/>
                <w:b/>
                <w:bCs/>
                <w:color w:val="auto"/>
                <w:kern w:val="2"/>
                <w:highlight w:val="none"/>
              </w:rPr>
              <w:t>技术分（满分</w:t>
            </w:r>
            <w:r>
              <w:rPr>
                <w:rFonts w:hint="eastAsia" w:ascii="仿宋" w:hAnsi="仿宋" w:eastAsia="仿宋" w:cs="仿宋"/>
                <w:b/>
                <w:bCs/>
                <w:color w:val="auto"/>
                <w:kern w:val="2"/>
                <w:highlight w:val="none"/>
                <w:lang w:val="en-US" w:eastAsia="zh-CN"/>
              </w:rPr>
              <w:t>40</w:t>
            </w:r>
            <w:r>
              <w:rPr>
                <w:rFonts w:hint="eastAsia" w:ascii="仿宋" w:hAnsi="仿宋" w:eastAsia="仿宋" w:cs="仿宋"/>
                <w:b/>
                <w:bCs/>
                <w:color w:val="auto"/>
                <w:kern w:val="2"/>
                <w:highlight w:val="none"/>
              </w:rPr>
              <w:t>分）</w:t>
            </w:r>
          </w:p>
        </w:tc>
        <w:tc>
          <w:tcPr>
            <w:tcW w:w="73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评委对通过资格性和符合性审查进入详评的各投标人投标文件对招标文件“技术要求”的响应情况进行独立评审，并按如下计分方式确定得分：</w:t>
            </w:r>
          </w:p>
          <w:p>
            <w:pPr>
              <w:numPr>
                <w:ilvl w:val="0"/>
                <w:numId w:val="7"/>
              </w:num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基本分（满分</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p>
            <w:pPr>
              <w:numPr>
                <w:ilvl w:val="0"/>
                <w:numId w:val="0"/>
              </w:num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标注“▲”号参数为实质性要求，满足招标文件全部实质性要求的，得基本分</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p>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（2）正偏离加分（满分10分）：</w:t>
            </w:r>
          </w:p>
          <w:p>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①带▲号技术参数有优于招标文件要求（技术响应表及投标文件中提供相应有效的证明材料）的，每优于一项得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p>
          <w:p>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②非▲号技术参数有优于招标文件要求（技术响应表及提供投标文件中相应有效的证明材料）的，每优于一项得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p>
            <w:pPr>
              <w:numPr>
                <w:ilvl w:val="0"/>
                <w:numId w:val="7"/>
              </w:numPr>
              <w:snapToGrid w:val="0"/>
              <w:spacing w:line="44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负偏离扣分：</w:t>
            </w:r>
          </w:p>
          <w:p>
            <w:pPr>
              <w:numPr>
                <w:ilvl w:val="0"/>
                <w:numId w:val="0"/>
              </w:numPr>
              <w:snapToGrid w:val="0"/>
              <w:spacing w:line="440" w:lineRule="exac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对未标注“▲”号参数发生实质性负偏离，经评委独立审核确定的，每有一项扣</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分，最多扣</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snapToGrid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①采购需求”中“技术要求”未标注“▲”号项的技术参数负偏离≥</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项时，投标文件作无效处理。</w:t>
            </w:r>
          </w:p>
          <w:p>
            <w:pPr>
              <w:snapToGrid w:val="0"/>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②如招标文件中要求提供证明材料，投标人未按要求提供证明材料或所提供的证明材料不满足相应技术要求的，视为负偏离；投标文件中响应承诺与证明材料不一致的以证明材料为准。</w:t>
            </w:r>
          </w:p>
          <w:p>
            <w:pPr>
              <w:pStyle w:val="14"/>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color w:val="auto"/>
                <w:sz w:val="24"/>
                <w:highlight w:val="none"/>
              </w:rPr>
            </w:pPr>
            <w:r>
              <w:rPr>
                <w:rFonts w:hint="eastAsia" w:ascii="仿宋" w:hAnsi="仿宋" w:eastAsia="仿宋" w:cs="仿宋"/>
                <w:b/>
                <w:bCs/>
                <w:color w:val="auto"/>
                <w:sz w:val="24"/>
                <w:highlight w:val="none"/>
              </w:rPr>
              <w:t>3</w:t>
            </w:r>
          </w:p>
        </w:tc>
        <w:tc>
          <w:tcPr>
            <w:tcW w:w="13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360" w:lineRule="exact"/>
              <w:jc w:val="center"/>
              <w:textAlignment w:val="baseline"/>
              <w:rPr>
                <w:rFonts w:ascii="仿宋" w:hAnsi="仿宋" w:eastAsia="仿宋" w:cs="仿宋"/>
                <w:bCs/>
                <w:color w:val="auto"/>
                <w:sz w:val="24"/>
                <w:highlight w:val="none"/>
              </w:rPr>
            </w:pPr>
            <w:r>
              <w:rPr>
                <w:rFonts w:hint="eastAsia" w:ascii="仿宋" w:hAnsi="仿宋" w:eastAsia="仿宋" w:cs="仿宋"/>
                <w:b/>
                <w:bCs/>
                <w:color w:val="auto"/>
                <w:sz w:val="24"/>
                <w:highlight w:val="none"/>
              </w:rPr>
              <w:t>售后服务分（</w:t>
            </w: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lang w:val="en-US" w:eastAsia="zh-CN"/>
              </w:rPr>
              <w:t>10</w:t>
            </w:r>
            <w:r>
              <w:rPr>
                <w:rFonts w:hint="eastAsia" w:ascii="仿宋" w:hAnsi="仿宋" w:eastAsia="仿宋" w:cs="仿宋"/>
                <w:b/>
                <w:bCs/>
                <w:color w:val="auto"/>
                <w:sz w:val="24"/>
                <w:highlight w:val="none"/>
              </w:rPr>
              <w:t>分）</w:t>
            </w:r>
          </w:p>
        </w:tc>
        <w:tc>
          <w:tcPr>
            <w:tcW w:w="73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outlineLvl w:val="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（1）基本分：完全满足招标文件售后服务要求的，得基本分</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分。</w:t>
            </w:r>
          </w:p>
          <w:p>
            <w:pPr>
              <w:spacing w:line="400" w:lineRule="exact"/>
              <w:ind w:firstLine="480" w:firstLineChars="200"/>
              <w:outlineLvl w:val="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（2）承诺更长免费保修期分：在满足基本免费保修期基础上，免费保修期承诺每延长一年的得</w:t>
            </w:r>
            <w:r>
              <w:rPr>
                <w:rFonts w:ascii="仿宋" w:hAnsi="仿宋" w:eastAsia="仿宋" w:cs="仿宋"/>
                <w:color w:val="auto"/>
                <w:sz w:val="24"/>
                <w:highlight w:val="none"/>
                <w:lang w:bidi="ar"/>
              </w:rPr>
              <w:t>1分，最多得</w:t>
            </w:r>
            <w:r>
              <w:rPr>
                <w:rFonts w:hint="eastAsia" w:ascii="仿宋" w:hAnsi="仿宋" w:eastAsia="仿宋" w:cs="仿宋"/>
                <w:color w:val="auto"/>
                <w:sz w:val="24"/>
                <w:highlight w:val="none"/>
                <w:lang w:val="en-US" w:eastAsia="zh-CN" w:bidi="ar"/>
              </w:rPr>
              <w:t>2</w:t>
            </w:r>
            <w:r>
              <w:rPr>
                <w:rFonts w:ascii="仿宋" w:hAnsi="仿宋" w:eastAsia="仿宋" w:cs="仿宋"/>
                <w:color w:val="auto"/>
                <w:sz w:val="24"/>
                <w:highlight w:val="none"/>
                <w:lang w:bidi="ar"/>
              </w:rPr>
              <w:t>分</w:t>
            </w:r>
            <w:r>
              <w:rPr>
                <w:rFonts w:hint="eastAsia" w:ascii="仿宋" w:hAnsi="仿宋" w:eastAsia="仿宋" w:cs="仿宋"/>
                <w:color w:val="auto"/>
                <w:sz w:val="24"/>
                <w:highlight w:val="none"/>
                <w:lang w:bidi="ar"/>
              </w:rPr>
              <w:t>。</w:t>
            </w:r>
          </w:p>
          <w:p>
            <w:pPr>
              <w:spacing w:line="400" w:lineRule="exact"/>
              <w:ind w:firstLine="480" w:firstLineChars="200"/>
              <w:outlineLvl w:val="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3）增值售后服务方案分：评标委员会各成员根据投标人提供的增值售后服务承诺方案的内容（至少包括：免费保修期、到达故障现场时间、故障出现解决方案，定期维护（注明时间）、免费技术培训方案、免费保修期外维修方案、本地化售后服务措施、其它优惠方案）进行独立评审打分，本项最多得</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分，不提供不得分。</w:t>
            </w:r>
          </w:p>
          <w:p>
            <w:pPr>
              <w:spacing w:line="400" w:lineRule="exact"/>
              <w:ind w:firstLine="480" w:firstLineChars="200"/>
              <w:outlineLvl w:val="0"/>
              <w:rPr>
                <w:rFonts w:ascii="仿宋" w:hAnsi="仿宋" w:eastAsia="仿宋" w:cs="仿宋"/>
                <w:color w:val="auto"/>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分）：售后服务方案基本满足采购要求，售后服务承诺书内容的完整性、具有可行性。</w:t>
            </w:r>
          </w:p>
          <w:p>
            <w:pPr>
              <w:spacing w:line="400" w:lineRule="exact"/>
              <w:ind w:firstLine="480" w:firstLineChars="200"/>
              <w:outlineLvl w:val="0"/>
              <w:rPr>
                <w:rFonts w:ascii="仿宋" w:hAnsi="仿宋" w:eastAsia="仿宋" w:cs="仿宋"/>
                <w:color w:val="auto"/>
                <w:sz w:val="24"/>
                <w:highlight w:val="none"/>
              </w:rPr>
            </w:pPr>
            <w:r>
              <w:rPr>
                <w:rFonts w:hint="eastAsia" w:ascii="仿宋" w:hAnsi="仿宋" w:eastAsia="仿宋" w:cs="仿宋"/>
                <w:color w:val="auto"/>
                <w:sz w:val="24"/>
                <w:highlight w:val="none"/>
              </w:rPr>
              <w:t>二档（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免费技术培训方案完整、具有可行性。</w:t>
            </w:r>
          </w:p>
          <w:p>
            <w:pPr>
              <w:spacing w:line="400" w:lineRule="exact"/>
              <w:ind w:firstLine="480" w:firstLineChars="200"/>
              <w:outlineLvl w:val="0"/>
              <w:rPr>
                <w:rFonts w:ascii="仿宋" w:hAnsi="仿宋" w:eastAsia="仿宋" w:cs="仿宋"/>
                <w:color w:val="auto"/>
                <w:sz w:val="24"/>
                <w:highlight w:val="none"/>
              </w:rPr>
            </w:pPr>
            <w:r>
              <w:rPr>
                <w:rFonts w:hint="eastAsia" w:ascii="仿宋" w:hAnsi="仿宋" w:eastAsia="仿宋" w:cs="仿宋"/>
                <w:color w:val="auto"/>
                <w:sz w:val="24"/>
                <w:highlight w:val="none"/>
              </w:rPr>
              <w:t>三档（</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在满足二档的基础上，售后服务方案全面详细，质保期、响应时间、服务团队配备、良好的培训计划、故障解决方案等内容切合项目的售后服务需求，团队售后服务经验丰富，详细说明售后工作内容、阐述清楚售后服务办法及保障体系，说明售后服务工作计划，具有较完备售后服务规范和管理制度，可操作性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4</w:t>
            </w:r>
          </w:p>
        </w:tc>
        <w:tc>
          <w:tcPr>
            <w:tcW w:w="13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360" w:lineRule="exact"/>
              <w:jc w:val="center"/>
              <w:textAlignment w:val="baseline"/>
              <w:rPr>
                <w:rFonts w:ascii="仿宋" w:hAnsi="仿宋" w:eastAsia="仿宋" w:cs="仿宋"/>
                <w:b/>
                <w:color w:val="auto"/>
                <w:sz w:val="24"/>
                <w:highlight w:val="none"/>
              </w:rPr>
            </w:pPr>
            <w:r>
              <w:rPr>
                <w:rFonts w:hint="eastAsia" w:ascii="仿宋" w:hAnsi="仿宋" w:eastAsia="仿宋" w:cs="仿宋"/>
                <w:b/>
                <w:color w:val="auto"/>
                <w:sz w:val="24"/>
                <w:highlight w:val="none"/>
              </w:rPr>
              <w:t>履约能力分</w:t>
            </w:r>
          </w:p>
          <w:p>
            <w:pPr>
              <w:adjustRightInd w:val="0"/>
              <w:snapToGrid w:val="0"/>
              <w:spacing w:line="360" w:lineRule="exact"/>
              <w:jc w:val="center"/>
              <w:textAlignment w:val="baseline"/>
              <w:rPr>
                <w:rFonts w:ascii="仿宋" w:hAnsi="仿宋" w:eastAsia="仿宋" w:cs="仿宋"/>
                <w:bCs/>
                <w:color w:val="auto"/>
                <w:sz w:val="24"/>
                <w:highlight w:val="none"/>
                <w:u w:val="singl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分）</w:t>
            </w:r>
          </w:p>
        </w:tc>
        <w:tc>
          <w:tcPr>
            <w:tcW w:w="73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outlineLvl w:val="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（1）投标人或投标产品生产厂家通过ISO18001、ISO9001、ISO14001、</w:t>
            </w:r>
            <w:r>
              <w:rPr>
                <w:rFonts w:ascii="仿宋" w:hAnsi="仿宋" w:eastAsia="仿宋" w:cs="仿宋"/>
                <w:color w:val="auto"/>
                <w:sz w:val="24"/>
                <w:highlight w:val="none"/>
                <w:lang w:bidi="ar"/>
              </w:rPr>
              <w:t>ISO45001</w:t>
            </w:r>
            <w:r>
              <w:rPr>
                <w:rFonts w:hint="eastAsia" w:ascii="仿宋" w:hAnsi="仿宋" w:eastAsia="仿宋" w:cs="仿宋"/>
                <w:color w:val="auto"/>
                <w:sz w:val="24"/>
                <w:highlight w:val="none"/>
                <w:lang w:bidi="ar"/>
              </w:rPr>
              <w:t>管理体系认证的，每提供一份得1分，满分</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分（应提供复印件）。</w:t>
            </w:r>
          </w:p>
          <w:p>
            <w:pPr>
              <w:spacing w:line="400" w:lineRule="exact"/>
              <w:ind w:firstLine="480" w:firstLineChars="200"/>
              <w:outlineLvl w:val="0"/>
              <w:rPr>
                <w:color w:val="auto"/>
                <w:highlight w:val="none"/>
                <w:u w:val="single"/>
              </w:rPr>
            </w:pPr>
            <w:r>
              <w:rPr>
                <w:rFonts w:hint="eastAsia" w:ascii="仿宋" w:hAnsi="仿宋" w:eastAsia="仿宋" w:cs="仿宋"/>
                <w:color w:val="auto"/>
                <w:sz w:val="24"/>
                <w:highlight w:val="none"/>
                <w:lang w:bidi="ar"/>
              </w:rPr>
              <w:t>（2）投标人2020年以来具有同类业绩[无不良记录,以中标、成交通知书或签订的合同为准，并能清晰反映所销售的货物名称、种类、金额，否则将不予评审；同一个编号的项目有两个或两个以上的分标中标的只算一次]</w:t>
            </w:r>
            <w:r>
              <w:rPr>
                <w:rFonts w:ascii="仿宋" w:hAnsi="仿宋" w:eastAsia="仿宋" w:cs="仿宋"/>
                <w:color w:val="auto"/>
                <w:sz w:val="24"/>
                <w:highlight w:val="none"/>
                <w:lang w:bidi="ar"/>
              </w:rPr>
              <w:t>,</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lang w:bidi="ar"/>
              </w:rPr>
              <w:t>每有一项得</w:t>
            </w:r>
            <w:r>
              <w:rPr>
                <w:rFonts w:ascii="仿宋" w:hAnsi="仿宋" w:eastAsia="仿宋" w:cs="仿宋"/>
                <w:color w:val="auto"/>
                <w:sz w:val="24"/>
                <w:highlight w:val="none"/>
                <w:lang w:bidi="ar"/>
              </w:rPr>
              <w:t>1分，最多得</w:t>
            </w:r>
            <w:r>
              <w:rPr>
                <w:rFonts w:hint="eastAsia" w:ascii="仿宋" w:hAnsi="仿宋" w:eastAsia="仿宋" w:cs="仿宋"/>
                <w:color w:val="auto"/>
                <w:sz w:val="24"/>
                <w:highlight w:val="none"/>
                <w:lang w:val="en-US" w:eastAsia="zh-CN" w:bidi="ar"/>
              </w:rPr>
              <w:t>4</w:t>
            </w:r>
            <w:r>
              <w:rPr>
                <w:rFonts w:ascii="仿宋" w:hAnsi="仿宋" w:eastAsia="仿宋" w:cs="仿宋"/>
                <w:color w:val="auto"/>
                <w:sz w:val="24"/>
                <w:highlight w:val="none"/>
                <w:lang w:bidi="ar"/>
              </w:rPr>
              <w:t>分</w:t>
            </w:r>
            <w:r>
              <w:rPr>
                <w:rFonts w:hint="eastAsia" w:ascii="仿宋" w:hAnsi="仿宋" w:eastAsia="仿宋" w:cs="仿宋"/>
                <w:color w:val="auto"/>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0" w:hRule="atLeast"/>
          <w:jc w:val="center"/>
        </w:trPr>
        <w:tc>
          <w:tcPr>
            <w:tcW w:w="761" w:type="dxa"/>
            <w:tcBorders>
              <w:top w:val="single" w:color="auto" w:sz="4" w:space="0"/>
              <w:left w:val="single" w:color="auto" w:sz="4" w:space="0"/>
              <w:right w:val="single" w:color="auto" w:sz="4" w:space="0"/>
            </w:tcBorders>
            <w:vAlign w:val="center"/>
          </w:tcPr>
          <w:p>
            <w:pPr>
              <w:adjustRightInd w:val="0"/>
              <w:snapToGrid w:val="0"/>
              <w:spacing w:line="360" w:lineRule="exact"/>
              <w:jc w:val="center"/>
              <w:textAlignment w:val="baseline"/>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5</w:t>
            </w:r>
          </w:p>
        </w:tc>
        <w:tc>
          <w:tcPr>
            <w:tcW w:w="1385" w:type="dxa"/>
            <w:tcBorders>
              <w:top w:val="single" w:color="auto" w:sz="4" w:space="0"/>
              <w:left w:val="single" w:color="auto" w:sz="4" w:space="0"/>
              <w:right w:val="single" w:color="auto" w:sz="4" w:space="0"/>
            </w:tcBorders>
            <w:tcMar>
              <w:left w:w="57" w:type="dxa"/>
              <w:right w:w="57" w:type="dxa"/>
            </w:tcMar>
            <w:vAlign w:val="center"/>
          </w:tcPr>
          <w:p>
            <w:pPr>
              <w:adjustRightInd w:val="0"/>
              <w:snapToGrid w:val="0"/>
              <w:spacing w:line="360" w:lineRule="exact"/>
              <w:jc w:val="center"/>
              <w:textAlignment w:val="baseline"/>
              <w:rPr>
                <w:rFonts w:ascii="仿宋" w:hAnsi="仿宋" w:eastAsia="仿宋" w:cs="仿宋"/>
                <w:bCs/>
                <w:color w:val="auto"/>
                <w:kern w:val="0"/>
                <w:sz w:val="24"/>
                <w:highlight w:val="none"/>
              </w:rPr>
            </w:pPr>
            <w:r>
              <w:rPr>
                <w:rFonts w:hint="eastAsia" w:ascii="仿宋" w:hAnsi="仿宋" w:eastAsia="仿宋" w:cs="仿宋"/>
                <w:b/>
                <w:color w:val="auto"/>
                <w:sz w:val="24"/>
                <w:highlight w:val="none"/>
              </w:rPr>
              <w:t>政策分</w:t>
            </w: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t>满分2</w:t>
            </w:r>
            <w:r>
              <w:rPr>
                <w:rFonts w:hint="eastAsia" w:ascii="仿宋" w:hAnsi="仿宋" w:eastAsia="仿宋" w:cs="仿宋"/>
                <w:b/>
                <w:bCs/>
                <w:color w:val="auto"/>
                <w:sz w:val="24"/>
                <w:highlight w:val="none"/>
              </w:rPr>
              <w:t>分）</w:t>
            </w:r>
          </w:p>
        </w:tc>
        <w:tc>
          <w:tcPr>
            <w:tcW w:w="7304" w:type="dxa"/>
            <w:tcBorders>
              <w:top w:val="single" w:color="auto" w:sz="4" w:space="0"/>
              <w:left w:val="single" w:color="auto" w:sz="4" w:space="0"/>
              <w:right w:val="single" w:color="auto" w:sz="4" w:space="0"/>
            </w:tcBorders>
            <w:vAlign w:val="center"/>
          </w:tcPr>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节能产品分：属于财政部《节能产品政府采购品目清单》内优先采购（清单内未标注“★”的品目）的产品[投标文件中提供有效的认证证书复印件及品目清单（标注投标产品在品目清单中所属的品目），并加盖投标人电子签章]，得1分。非节能产品的不得分。</w:t>
            </w:r>
          </w:p>
          <w:p>
            <w:pPr>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环境标志产品分：属于财政部《环境标志产品政府采购品目清单》内的产品[投标文件中提供有效的认证证书复印件及品目清单（标注投标产品在品目清单中所属的品目），并加盖投标人电子签章]，得1分。非环境标志产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45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adjustRightInd w:val="0"/>
              <w:snapToGrid w:val="0"/>
              <w:spacing w:before="0" w:beforeAutospacing="0" w:after="0" w:afterAutospacing="0" w:line="360" w:lineRule="exact"/>
              <w:jc w:val="both"/>
              <w:rPr>
                <w:rFonts w:ascii="仿宋" w:hAnsi="仿宋" w:eastAsia="仿宋" w:cs="仿宋"/>
                <w:bCs/>
                <w:color w:val="auto"/>
                <w:kern w:val="2"/>
                <w:highlight w:val="none"/>
              </w:rPr>
            </w:pPr>
            <w:r>
              <w:rPr>
                <w:rFonts w:hint="eastAsia" w:ascii="仿宋" w:hAnsi="仿宋" w:eastAsia="仿宋" w:cs="仿宋"/>
                <w:b/>
                <w:bCs/>
                <w:color w:val="auto"/>
                <w:kern w:val="2"/>
                <w:highlight w:val="none"/>
              </w:rPr>
              <w:t>总得分=1＋2＋3＋4＋5</w:t>
            </w:r>
          </w:p>
        </w:tc>
      </w:tr>
    </w:tbl>
    <w:p>
      <w:pPr>
        <w:pStyle w:val="6"/>
        <w:keepNext w:val="0"/>
        <w:keepLines w:val="0"/>
        <w:spacing w:before="0" w:after="0" w:line="415" w:lineRule="auto"/>
        <w:jc w:val="center"/>
        <w:rPr>
          <w:rFonts w:ascii="仿宋" w:hAnsi="仿宋" w:eastAsia="仿宋"/>
          <w:color w:val="auto"/>
          <w:sz w:val="30"/>
          <w:szCs w:val="30"/>
          <w:highlight w:val="none"/>
        </w:rPr>
      </w:pPr>
      <w:r>
        <w:rPr>
          <w:rFonts w:ascii="仿宋" w:hAnsi="仿宋" w:eastAsia="仿宋"/>
          <w:color w:val="auto"/>
          <w:highlight w:val="none"/>
        </w:rPr>
        <w:br w:type="page"/>
      </w:r>
      <w:r>
        <w:rPr>
          <w:rFonts w:hint="eastAsia" w:ascii="仿宋" w:hAnsi="仿宋" w:eastAsia="仿宋"/>
          <w:color w:val="auto"/>
          <w:sz w:val="30"/>
          <w:szCs w:val="30"/>
          <w:highlight w:val="none"/>
        </w:rPr>
        <w:t>四、中标候选人推荐原则</w:t>
      </w:r>
    </w:p>
    <w:p>
      <w:pPr>
        <w:pStyle w:val="15"/>
        <w:spacing w:line="360" w:lineRule="auto"/>
        <w:contextualSpacing/>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（一）综合评分法</w:t>
      </w:r>
    </w:p>
    <w:p>
      <w:pPr>
        <w:pStyle w:val="15"/>
        <w:spacing w:line="360" w:lineRule="auto"/>
        <w:ind w:firstLine="480" w:firstLineChars="200"/>
        <w:contextualSpacing/>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委员会将根据得分由高到低排列次序（得分相同时，以投标报价由低到高顺序排列；得分相同且投标报价相同的，按技术、售后、履约能力政策功能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w:t>
      </w:r>
      <w:r>
        <w:rPr>
          <w:rFonts w:hint="eastAsia" w:ascii="仿宋" w:hAnsi="仿宋" w:eastAsia="仿宋" w:cs="Courier New"/>
          <w:color w:val="auto"/>
          <w:sz w:val="24"/>
          <w:highlight w:val="none"/>
        </w:rPr>
        <w:t>采购人可以按照评审报告推荐的中标候选人名单排序，确定下一候选人为中标供应商，也可以重新开展政府采购活动。</w:t>
      </w:r>
      <w:r>
        <w:rPr>
          <w:rFonts w:ascii="仿宋" w:hAnsi="仿宋" w:eastAsia="仿宋" w:cs="Courier New"/>
          <w:color w:val="auto"/>
          <w:sz w:val="24"/>
          <w:highlight w:val="none"/>
        </w:rPr>
        <w:t>拒绝签订政府采购合同的</w:t>
      </w:r>
      <w:r>
        <w:rPr>
          <w:rFonts w:hint="eastAsia" w:ascii="仿宋" w:hAnsi="仿宋" w:eastAsia="仿宋" w:cs="Courier New"/>
          <w:color w:val="auto"/>
          <w:sz w:val="24"/>
          <w:highlight w:val="none"/>
        </w:rPr>
        <w:t>中标人</w:t>
      </w:r>
      <w:r>
        <w:rPr>
          <w:rFonts w:ascii="仿宋" w:hAnsi="仿宋" w:eastAsia="仿宋" w:cs="Courier New"/>
          <w:color w:val="auto"/>
          <w:sz w:val="24"/>
          <w:highlight w:val="none"/>
        </w:rPr>
        <w:t>不得参加对该项目重新开展的采购活动。</w:t>
      </w:r>
    </w:p>
    <w:p>
      <w:pPr>
        <w:pStyle w:val="11"/>
        <w:rPr>
          <w:color w:val="auto"/>
          <w:highlight w:val="none"/>
        </w:rPr>
      </w:pPr>
    </w:p>
    <w:p>
      <w:pPr>
        <w:pStyle w:val="15"/>
        <w:spacing w:line="360" w:lineRule="auto"/>
        <w:contextualSpacing/>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lang w:eastAsia="zh-CN"/>
        </w:rPr>
        <w:t>（二）定标原则</w:t>
      </w:r>
    </w:p>
    <w:p>
      <w:pPr>
        <w:spacing w:line="440" w:lineRule="exact"/>
        <w:ind w:firstLine="420" w:firstLineChars="200"/>
        <w:rPr>
          <w:rFonts w:hint="eastAsia" w:ascii="仿宋" w:hAnsi="仿宋" w:eastAsia="仿宋"/>
          <w:color w:val="auto"/>
          <w:sz w:val="24"/>
          <w:highlight w:val="none"/>
        </w:rPr>
      </w:pPr>
      <w:r>
        <w:rPr>
          <w:rFonts w:hint="eastAsia"/>
          <w:color w:val="auto"/>
          <w:highlight w:val="none"/>
        </w:rPr>
        <w:t>本项目共分为A、B、C三个分标，投标人可以参与任意一个或多个分标的投标，但最多只能成为其中一个分标的中标人。处理原则如下：若某投标人同时在两个或以上分标综合得分排名第一时，则按A分标→B分标→C分标的先后顺序推荐中标候选人，该投标人一旦被推荐为某一分标的第一中标候选人，则在其综合得分排名第一的后续分标不再推荐为中标侯选人，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p>
      <w:pPr>
        <w:pStyle w:val="15"/>
        <w:spacing w:line="360" w:lineRule="auto"/>
        <w:ind w:firstLine="720" w:firstLineChars="300"/>
        <w:contextualSpacing/>
        <w:jc w:val="center"/>
        <w:rPr>
          <w:rFonts w:ascii="仿宋" w:hAnsi="仿宋" w:eastAsia="仿宋"/>
          <w:color w:val="auto"/>
          <w:sz w:val="44"/>
          <w:szCs w:val="44"/>
          <w:highlight w:val="none"/>
        </w:rPr>
      </w:pPr>
      <w:r>
        <w:rPr>
          <w:rFonts w:hint="eastAsia" w:ascii="仿宋" w:hAnsi="仿宋" w:eastAsia="仿宋"/>
          <w:color w:val="auto"/>
          <w:sz w:val="24"/>
          <w:szCs w:val="24"/>
          <w:highlight w:val="none"/>
        </w:rPr>
        <w:br w:type="page"/>
      </w:r>
      <w:bookmarkStart w:id="138" w:name="_Toc74320804"/>
      <w:r>
        <w:rPr>
          <w:rFonts w:hint="eastAsia" w:ascii="仿宋" w:hAnsi="仿宋" w:eastAsia="仿宋"/>
          <w:color w:val="auto"/>
          <w:sz w:val="44"/>
          <w:szCs w:val="44"/>
          <w:highlight w:val="none"/>
        </w:rPr>
        <w:t>第五章  拟签订的合同文本</w:t>
      </w:r>
      <w:bookmarkEnd w:id="138"/>
    </w:p>
    <w:p>
      <w:pPr>
        <w:snapToGrid w:val="0"/>
        <w:spacing w:line="360" w:lineRule="exact"/>
        <w:jc w:val="center"/>
        <w:rPr>
          <w:rFonts w:ascii="仿宋" w:hAnsi="仿宋" w:eastAsia="仿宋" w:cs="仿宋"/>
          <w:b/>
          <w:bCs/>
          <w:color w:val="auto"/>
          <w:sz w:val="24"/>
          <w:highlight w:val="none"/>
        </w:rPr>
      </w:pPr>
      <w:bookmarkStart w:id="139" w:name="_Hlk55381736"/>
      <w:r>
        <w:rPr>
          <w:rFonts w:hint="eastAsia" w:ascii="仿宋" w:hAnsi="仿宋" w:eastAsia="仿宋" w:cs="仿宋"/>
          <w:b/>
          <w:bCs/>
          <w:color w:val="auto"/>
          <w:sz w:val="24"/>
          <w:highlight w:val="none"/>
        </w:rPr>
        <w:t>《广西壮族自治区政府采购合同》</w:t>
      </w:r>
    </w:p>
    <w:p>
      <w:pPr>
        <w:snapToGrid w:val="0"/>
        <w:spacing w:line="360" w:lineRule="exact"/>
        <w:ind w:right="480" w:firstLine="7680" w:firstLineChars="3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合同编号：</w:t>
      </w:r>
    </w:p>
    <w:p>
      <w:pPr>
        <w:snapToGrid w:val="0"/>
        <w:spacing w:line="360" w:lineRule="exact"/>
        <w:rPr>
          <w:rFonts w:ascii="仿宋" w:hAnsi="仿宋" w:eastAsia="仿宋" w:cs="仿宋"/>
          <w:color w:val="auto"/>
          <w:sz w:val="24"/>
          <w:highlight w:val="none"/>
        </w:rPr>
      </w:pPr>
    </w:p>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桂林理工大学      </w:t>
      </w:r>
      <w:r>
        <w:rPr>
          <w:rFonts w:hint="eastAsia" w:ascii="仿宋" w:hAnsi="仿宋" w:eastAsia="仿宋" w:cs="仿宋"/>
          <w:color w:val="auto"/>
          <w:sz w:val="24"/>
          <w:highlight w:val="none"/>
        </w:rPr>
        <w:t xml:space="preserve">               采购计划文号：</w:t>
      </w:r>
      <w:r>
        <w:rPr>
          <w:rFonts w:hint="eastAsia" w:ascii="仿宋" w:hAnsi="仿宋" w:eastAsia="仿宋" w:cs="仿宋"/>
          <w:color w:val="auto"/>
          <w:sz w:val="24"/>
          <w:highlight w:val="none"/>
          <w:u w:val="single"/>
        </w:rPr>
        <w:t xml:space="preserve">           </w:t>
      </w:r>
    </w:p>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w:t>
      </w:r>
      <w:r>
        <w:rPr>
          <w:rFonts w:hint="eastAsia" w:ascii="仿宋" w:hAnsi="仿宋" w:eastAsia="仿宋" w:cs="仿宋"/>
          <w:color w:val="auto"/>
          <w:sz w:val="24"/>
          <w:highlight w:val="none"/>
          <w:u w:val="single"/>
        </w:rPr>
        <w:t xml:space="preserve">               </w:t>
      </w:r>
    </w:p>
    <w:p>
      <w:pPr>
        <w:snapToGrid w:val="0"/>
        <w:spacing w:line="36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签订时间: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p>
    <w:p>
      <w:pPr>
        <w:snapToGrid w:val="0"/>
        <w:spacing w:line="36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 xml:space="preserve">  广西桂林              </w:t>
      </w:r>
      <w:r>
        <w:rPr>
          <w:rFonts w:hint="eastAsia" w:ascii="仿宋" w:hAnsi="仿宋" w:eastAsia="仿宋" w:cs="仿宋"/>
          <w:color w:val="auto"/>
          <w:sz w:val="24"/>
          <w:highlight w:val="none"/>
        </w:rPr>
        <w:t xml:space="preserve">              </w:t>
      </w:r>
    </w:p>
    <w:p>
      <w:pPr>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根据《中华人民共和国政府采购法》、《中华人民共和国政府采购法实施条例》、《</w:t>
      </w:r>
      <w:r>
        <w:rPr>
          <w:rFonts w:hint="eastAsia" w:ascii="仿宋" w:hAnsi="仿宋" w:eastAsia="仿宋" w:cs="仿宋"/>
          <w:color w:val="auto"/>
          <w:sz w:val="24"/>
          <w:highlight w:val="none"/>
          <w:shd w:val="clear" w:color="auto" w:fill="FFFFFF"/>
        </w:rPr>
        <w:t>中华人民共和国民法典</w:t>
      </w:r>
      <w:r>
        <w:rPr>
          <w:rFonts w:hint="eastAsia" w:ascii="仿宋" w:hAnsi="仿宋" w:eastAsia="仿宋" w:cs="仿宋"/>
          <w:color w:val="auto"/>
          <w:sz w:val="24"/>
          <w:highlight w:val="none"/>
        </w:rPr>
        <w:t>》等法律、法规规定，按照招标文件/竞争性谈判文件 (以下简称采购文件)规定条款和中标（成交）供应商承诺，甲乙双方签订本合同。</w:t>
      </w:r>
    </w:p>
    <w:p>
      <w:pPr>
        <w:snapToGrid w:val="0"/>
        <w:spacing w:line="36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1.供货一览表</w:t>
      </w:r>
    </w:p>
    <w:tbl>
      <w:tblPr>
        <w:tblStyle w:val="27"/>
        <w:tblW w:w="97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336"/>
        <w:gridCol w:w="861"/>
        <w:gridCol w:w="728"/>
        <w:gridCol w:w="902"/>
        <w:gridCol w:w="851"/>
        <w:gridCol w:w="708"/>
        <w:gridCol w:w="709"/>
        <w:gridCol w:w="1016"/>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31"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项号</w:t>
            </w:r>
          </w:p>
        </w:tc>
        <w:tc>
          <w:tcPr>
            <w:tcW w:w="1336"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861"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厂家、品牌</w:t>
            </w:r>
          </w:p>
        </w:tc>
        <w:tc>
          <w:tcPr>
            <w:tcW w:w="728" w:type="dxa"/>
            <w:vAlign w:val="center"/>
          </w:tcPr>
          <w:p>
            <w:pPr>
              <w:snapToGrid w:val="0"/>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原产地</w:t>
            </w:r>
          </w:p>
        </w:tc>
        <w:tc>
          <w:tcPr>
            <w:tcW w:w="902"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851"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技术参数</w:t>
            </w:r>
          </w:p>
        </w:tc>
        <w:tc>
          <w:tcPr>
            <w:tcW w:w="708"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①</w:t>
            </w:r>
          </w:p>
        </w:tc>
        <w:tc>
          <w:tcPr>
            <w:tcW w:w="709"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016"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w:t>
            </w:r>
          </w:p>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②</w:t>
            </w:r>
          </w:p>
        </w:tc>
        <w:tc>
          <w:tcPr>
            <w:tcW w:w="1564" w:type="dxa"/>
            <w:vAlign w:val="center"/>
          </w:tcPr>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单项合计金额</w:t>
            </w:r>
            <w:r>
              <w:rPr>
                <w:rFonts w:hint="eastAsia" w:ascii="仿宋" w:hAnsi="仿宋" w:eastAsia="仿宋" w:cs="仿宋"/>
                <w:color w:val="auto"/>
                <w:sz w:val="24"/>
                <w:highlight w:val="none"/>
              </w:rPr>
              <w:t>（元）</w:t>
            </w:r>
          </w:p>
          <w:p>
            <w:pPr>
              <w:snapToGrid w:val="0"/>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1031" w:type="dxa"/>
            <w:vAlign w:val="center"/>
          </w:tcPr>
          <w:p>
            <w:pPr>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36" w:type="dxa"/>
            <w:vAlign w:val="center"/>
          </w:tcPr>
          <w:p>
            <w:pPr>
              <w:spacing w:line="360" w:lineRule="exact"/>
              <w:jc w:val="center"/>
              <w:rPr>
                <w:rFonts w:ascii="仿宋" w:hAnsi="仿宋" w:eastAsia="仿宋" w:cs="仿宋"/>
                <w:color w:val="auto"/>
                <w:sz w:val="24"/>
                <w:highlight w:val="none"/>
              </w:rPr>
            </w:pPr>
          </w:p>
        </w:tc>
        <w:tc>
          <w:tcPr>
            <w:tcW w:w="861" w:type="dxa"/>
            <w:vAlign w:val="center"/>
          </w:tcPr>
          <w:p>
            <w:pPr>
              <w:snapToGrid w:val="0"/>
              <w:spacing w:line="360" w:lineRule="exact"/>
              <w:rPr>
                <w:rFonts w:ascii="仿宋" w:hAnsi="仿宋" w:eastAsia="仿宋" w:cs="仿宋"/>
                <w:color w:val="auto"/>
                <w:sz w:val="24"/>
                <w:highlight w:val="none"/>
              </w:rPr>
            </w:pPr>
          </w:p>
        </w:tc>
        <w:tc>
          <w:tcPr>
            <w:tcW w:w="728" w:type="dxa"/>
            <w:vAlign w:val="center"/>
          </w:tcPr>
          <w:p>
            <w:pPr>
              <w:snapToGrid w:val="0"/>
              <w:spacing w:line="360" w:lineRule="exact"/>
              <w:rPr>
                <w:rFonts w:ascii="仿宋" w:hAnsi="仿宋" w:eastAsia="仿宋" w:cs="仿宋"/>
                <w:color w:val="auto"/>
                <w:sz w:val="24"/>
                <w:highlight w:val="none"/>
              </w:rPr>
            </w:pPr>
          </w:p>
        </w:tc>
        <w:tc>
          <w:tcPr>
            <w:tcW w:w="902" w:type="dxa"/>
            <w:vAlign w:val="center"/>
          </w:tcPr>
          <w:p>
            <w:pPr>
              <w:snapToGrid w:val="0"/>
              <w:spacing w:line="360" w:lineRule="exact"/>
              <w:rPr>
                <w:rFonts w:ascii="仿宋" w:hAnsi="仿宋" w:eastAsia="仿宋" w:cs="仿宋"/>
                <w:color w:val="auto"/>
                <w:sz w:val="24"/>
                <w:highlight w:val="none"/>
              </w:rPr>
            </w:pPr>
          </w:p>
        </w:tc>
        <w:tc>
          <w:tcPr>
            <w:tcW w:w="851" w:type="dxa"/>
            <w:vAlign w:val="center"/>
          </w:tcPr>
          <w:p>
            <w:pPr>
              <w:snapToGrid w:val="0"/>
              <w:spacing w:line="360" w:lineRule="exact"/>
              <w:rPr>
                <w:rFonts w:ascii="仿宋" w:hAnsi="仿宋" w:eastAsia="仿宋" w:cs="仿宋"/>
                <w:color w:val="auto"/>
                <w:sz w:val="24"/>
                <w:highlight w:val="none"/>
              </w:rPr>
            </w:pPr>
          </w:p>
        </w:tc>
        <w:tc>
          <w:tcPr>
            <w:tcW w:w="708" w:type="dxa"/>
            <w:vAlign w:val="center"/>
          </w:tcPr>
          <w:p>
            <w:pPr>
              <w:spacing w:line="360" w:lineRule="exact"/>
              <w:jc w:val="center"/>
              <w:rPr>
                <w:rFonts w:ascii="仿宋" w:hAnsi="仿宋" w:eastAsia="仿宋" w:cs="仿宋"/>
                <w:color w:val="auto"/>
                <w:sz w:val="24"/>
                <w:highlight w:val="none"/>
              </w:rPr>
            </w:pPr>
          </w:p>
        </w:tc>
        <w:tc>
          <w:tcPr>
            <w:tcW w:w="709" w:type="dxa"/>
            <w:vAlign w:val="center"/>
          </w:tcPr>
          <w:p>
            <w:pPr>
              <w:spacing w:line="360" w:lineRule="exact"/>
              <w:jc w:val="center"/>
              <w:rPr>
                <w:rFonts w:ascii="仿宋" w:hAnsi="仿宋" w:eastAsia="仿宋" w:cs="仿宋"/>
                <w:color w:val="auto"/>
                <w:sz w:val="24"/>
                <w:highlight w:val="none"/>
              </w:rPr>
            </w:pPr>
          </w:p>
        </w:tc>
        <w:tc>
          <w:tcPr>
            <w:tcW w:w="1016" w:type="dxa"/>
            <w:vAlign w:val="center"/>
          </w:tcPr>
          <w:p>
            <w:pPr>
              <w:snapToGrid w:val="0"/>
              <w:spacing w:line="360" w:lineRule="exact"/>
              <w:rPr>
                <w:rFonts w:ascii="仿宋" w:hAnsi="仿宋" w:eastAsia="仿宋" w:cs="仿宋"/>
                <w:color w:val="auto"/>
                <w:sz w:val="24"/>
                <w:highlight w:val="none"/>
              </w:rPr>
            </w:pPr>
          </w:p>
        </w:tc>
        <w:tc>
          <w:tcPr>
            <w:tcW w:w="1564" w:type="dxa"/>
            <w:vAlign w:val="center"/>
          </w:tcPr>
          <w:p>
            <w:pPr>
              <w:snapToGrid w:val="0"/>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1031" w:type="dxa"/>
            <w:vAlign w:val="center"/>
          </w:tcPr>
          <w:p>
            <w:pPr>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336" w:type="dxa"/>
            <w:vAlign w:val="center"/>
          </w:tcPr>
          <w:p>
            <w:pPr>
              <w:spacing w:line="360" w:lineRule="exact"/>
              <w:jc w:val="center"/>
              <w:rPr>
                <w:rFonts w:ascii="仿宋" w:hAnsi="仿宋" w:eastAsia="仿宋" w:cs="仿宋"/>
                <w:color w:val="auto"/>
                <w:sz w:val="24"/>
                <w:highlight w:val="none"/>
              </w:rPr>
            </w:pPr>
          </w:p>
        </w:tc>
        <w:tc>
          <w:tcPr>
            <w:tcW w:w="861" w:type="dxa"/>
            <w:vAlign w:val="center"/>
          </w:tcPr>
          <w:p>
            <w:pPr>
              <w:snapToGrid w:val="0"/>
              <w:spacing w:line="360" w:lineRule="exact"/>
              <w:rPr>
                <w:rFonts w:ascii="仿宋" w:hAnsi="仿宋" w:eastAsia="仿宋" w:cs="仿宋"/>
                <w:color w:val="auto"/>
                <w:sz w:val="24"/>
                <w:highlight w:val="none"/>
              </w:rPr>
            </w:pPr>
          </w:p>
        </w:tc>
        <w:tc>
          <w:tcPr>
            <w:tcW w:w="728" w:type="dxa"/>
            <w:vAlign w:val="center"/>
          </w:tcPr>
          <w:p>
            <w:pPr>
              <w:snapToGrid w:val="0"/>
              <w:spacing w:line="360" w:lineRule="exact"/>
              <w:rPr>
                <w:rFonts w:ascii="仿宋" w:hAnsi="仿宋" w:eastAsia="仿宋" w:cs="仿宋"/>
                <w:color w:val="auto"/>
                <w:sz w:val="24"/>
                <w:highlight w:val="none"/>
              </w:rPr>
            </w:pPr>
          </w:p>
        </w:tc>
        <w:tc>
          <w:tcPr>
            <w:tcW w:w="902" w:type="dxa"/>
            <w:vAlign w:val="center"/>
          </w:tcPr>
          <w:p>
            <w:pPr>
              <w:snapToGrid w:val="0"/>
              <w:spacing w:line="360" w:lineRule="exact"/>
              <w:rPr>
                <w:rFonts w:ascii="仿宋" w:hAnsi="仿宋" w:eastAsia="仿宋" w:cs="仿宋"/>
                <w:color w:val="auto"/>
                <w:sz w:val="24"/>
                <w:highlight w:val="none"/>
              </w:rPr>
            </w:pPr>
          </w:p>
        </w:tc>
        <w:tc>
          <w:tcPr>
            <w:tcW w:w="851" w:type="dxa"/>
            <w:vAlign w:val="center"/>
          </w:tcPr>
          <w:p>
            <w:pPr>
              <w:snapToGrid w:val="0"/>
              <w:spacing w:line="360" w:lineRule="exact"/>
              <w:rPr>
                <w:rFonts w:ascii="仿宋" w:hAnsi="仿宋" w:eastAsia="仿宋" w:cs="仿宋"/>
                <w:color w:val="auto"/>
                <w:sz w:val="24"/>
                <w:highlight w:val="none"/>
              </w:rPr>
            </w:pPr>
          </w:p>
        </w:tc>
        <w:tc>
          <w:tcPr>
            <w:tcW w:w="708" w:type="dxa"/>
            <w:vAlign w:val="center"/>
          </w:tcPr>
          <w:p>
            <w:pPr>
              <w:spacing w:line="360" w:lineRule="exact"/>
              <w:jc w:val="center"/>
              <w:rPr>
                <w:rFonts w:ascii="仿宋" w:hAnsi="仿宋" w:eastAsia="仿宋" w:cs="仿宋"/>
                <w:color w:val="auto"/>
                <w:sz w:val="24"/>
                <w:highlight w:val="none"/>
              </w:rPr>
            </w:pPr>
          </w:p>
        </w:tc>
        <w:tc>
          <w:tcPr>
            <w:tcW w:w="709" w:type="dxa"/>
            <w:vAlign w:val="center"/>
          </w:tcPr>
          <w:p>
            <w:pPr>
              <w:spacing w:line="360" w:lineRule="exact"/>
              <w:jc w:val="center"/>
              <w:rPr>
                <w:rFonts w:ascii="仿宋" w:hAnsi="仿宋" w:eastAsia="仿宋" w:cs="仿宋"/>
                <w:color w:val="auto"/>
                <w:sz w:val="24"/>
                <w:highlight w:val="none"/>
              </w:rPr>
            </w:pPr>
          </w:p>
        </w:tc>
        <w:tc>
          <w:tcPr>
            <w:tcW w:w="1016" w:type="dxa"/>
            <w:vAlign w:val="center"/>
          </w:tcPr>
          <w:p>
            <w:pPr>
              <w:snapToGrid w:val="0"/>
              <w:spacing w:line="360" w:lineRule="exact"/>
              <w:rPr>
                <w:rFonts w:ascii="仿宋" w:hAnsi="仿宋" w:eastAsia="仿宋" w:cs="仿宋"/>
                <w:color w:val="auto"/>
                <w:sz w:val="24"/>
                <w:highlight w:val="none"/>
              </w:rPr>
            </w:pPr>
          </w:p>
        </w:tc>
        <w:tc>
          <w:tcPr>
            <w:tcW w:w="1564" w:type="dxa"/>
            <w:vAlign w:val="center"/>
          </w:tcPr>
          <w:p>
            <w:pPr>
              <w:snapToGrid w:val="0"/>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1031" w:type="dxa"/>
            <w:vAlign w:val="center"/>
          </w:tcPr>
          <w:p>
            <w:pPr>
              <w:widowControl/>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336" w:type="dxa"/>
            <w:vAlign w:val="center"/>
          </w:tcPr>
          <w:p>
            <w:pPr>
              <w:widowControl/>
              <w:spacing w:line="360" w:lineRule="exact"/>
              <w:jc w:val="center"/>
              <w:textAlignment w:val="center"/>
              <w:rPr>
                <w:rFonts w:ascii="仿宋" w:hAnsi="仿宋" w:eastAsia="仿宋" w:cs="仿宋"/>
                <w:color w:val="auto"/>
                <w:sz w:val="24"/>
                <w:highlight w:val="none"/>
              </w:rPr>
            </w:pPr>
          </w:p>
        </w:tc>
        <w:tc>
          <w:tcPr>
            <w:tcW w:w="861" w:type="dxa"/>
            <w:vAlign w:val="center"/>
          </w:tcPr>
          <w:p>
            <w:pPr>
              <w:snapToGrid w:val="0"/>
              <w:spacing w:line="360" w:lineRule="exact"/>
              <w:rPr>
                <w:rFonts w:ascii="仿宋" w:hAnsi="仿宋" w:eastAsia="仿宋" w:cs="仿宋"/>
                <w:color w:val="auto"/>
                <w:sz w:val="24"/>
                <w:highlight w:val="none"/>
              </w:rPr>
            </w:pPr>
          </w:p>
        </w:tc>
        <w:tc>
          <w:tcPr>
            <w:tcW w:w="728" w:type="dxa"/>
            <w:vAlign w:val="center"/>
          </w:tcPr>
          <w:p>
            <w:pPr>
              <w:snapToGrid w:val="0"/>
              <w:spacing w:line="360" w:lineRule="exact"/>
              <w:rPr>
                <w:rFonts w:ascii="仿宋" w:hAnsi="仿宋" w:eastAsia="仿宋" w:cs="仿宋"/>
                <w:color w:val="auto"/>
                <w:sz w:val="24"/>
                <w:highlight w:val="none"/>
              </w:rPr>
            </w:pPr>
          </w:p>
        </w:tc>
        <w:tc>
          <w:tcPr>
            <w:tcW w:w="902" w:type="dxa"/>
            <w:vAlign w:val="center"/>
          </w:tcPr>
          <w:p>
            <w:pPr>
              <w:snapToGrid w:val="0"/>
              <w:spacing w:line="360" w:lineRule="exact"/>
              <w:rPr>
                <w:rFonts w:ascii="仿宋" w:hAnsi="仿宋" w:eastAsia="仿宋" w:cs="仿宋"/>
                <w:color w:val="auto"/>
                <w:sz w:val="24"/>
                <w:highlight w:val="none"/>
              </w:rPr>
            </w:pPr>
          </w:p>
        </w:tc>
        <w:tc>
          <w:tcPr>
            <w:tcW w:w="851" w:type="dxa"/>
            <w:vAlign w:val="center"/>
          </w:tcPr>
          <w:p>
            <w:pPr>
              <w:snapToGrid w:val="0"/>
              <w:spacing w:line="360" w:lineRule="exact"/>
              <w:rPr>
                <w:rFonts w:ascii="仿宋" w:hAnsi="仿宋" w:eastAsia="仿宋" w:cs="仿宋"/>
                <w:color w:val="auto"/>
                <w:sz w:val="24"/>
                <w:highlight w:val="none"/>
              </w:rPr>
            </w:pPr>
          </w:p>
        </w:tc>
        <w:tc>
          <w:tcPr>
            <w:tcW w:w="708" w:type="dxa"/>
            <w:vAlign w:val="center"/>
          </w:tcPr>
          <w:p>
            <w:pPr>
              <w:spacing w:line="360" w:lineRule="exact"/>
              <w:jc w:val="center"/>
              <w:rPr>
                <w:rFonts w:ascii="仿宋" w:hAnsi="仿宋" w:eastAsia="仿宋" w:cs="仿宋"/>
                <w:color w:val="auto"/>
                <w:sz w:val="24"/>
                <w:highlight w:val="none"/>
              </w:rPr>
            </w:pPr>
          </w:p>
        </w:tc>
        <w:tc>
          <w:tcPr>
            <w:tcW w:w="709" w:type="dxa"/>
            <w:vAlign w:val="center"/>
          </w:tcPr>
          <w:p>
            <w:pPr>
              <w:spacing w:line="360" w:lineRule="exact"/>
              <w:jc w:val="center"/>
              <w:rPr>
                <w:rFonts w:ascii="仿宋" w:hAnsi="仿宋" w:eastAsia="仿宋" w:cs="仿宋"/>
                <w:color w:val="auto"/>
                <w:sz w:val="24"/>
                <w:highlight w:val="none"/>
              </w:rPr>
            </w:pPr>
          </w:p>
        </w:tc>
        <w:tc>
          <w:tcPr>
            <w:tcW w:w="1016" w:type="dxa"/>
            <w:vAlign w:val="center"/>
          </w:tcPr>
          <w:p>
            <w:pPr>
              <w:snapToGrid w:val="0"/>
              <w:spacing w:line="360" w:lineRule="exact"/>
              <w:rPr>
                <w:rFonts w:ascii="仿宋" w:hAnsi="仿宋" w:eastAsia="仿宋" w:cs="仿宋"/>
                <w:color w:val="auto"/>
                <w:sz w:val="24"/>
                <w:highlight w:val="none"/>
              </w:rPr>
            </w:pPr>
          </w:p>
        </w:tc>
        <w:tc>
          <w:tcPr>
            <w:tcW w:w="1564" w:type="dxa"/>
            <w:vAlign w:val="center"/>
          </w:tcPr>
          <w:p>
            <w:pPr>
              <w:snapToGrid w:val="0"/>
              <w:spacing w:line="36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9706" w:type="dxa"/>
            <w:gridSpan w:val="10"/>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（合计金额）大写：                  </w:t>
            </w:r>
            <w:r>
              <w:rPr>
                <w:rFonts w:hint="eastAsia" w:ascii="仿宋" w:hAnsi="仿宋" w:eastAsia="仿宋" w:cs="仿宋"/>
                <w:color w:val="auto"/>
                <w:spacing w:val="20"/>
                <w:sz w:val="24"/>
                <w:highlight w:val="none"/>
              </w:rPr>
              <w:t>人民币（¥               ）</w:t>
            </w:r>
          </w:p>
        </w:tc>
      </w:tr>
    </w:tbl>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合同合计金额包括：本次采购范围内货物货款、货物标准附件、备品备件、专用工具、包装、运输、装卸、保险、税金、货到就位以及安装、安装所需辅材、调试、培训、保修和和采购文件要求提供的所有伴随服务、工程等费用和税费。</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第二条　质量保证</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1.乙方所提供的产品名称、商标品牌、生产厂家、规格型号、技术参数等内容必须与采购文件规定及投标文件承诺相一致。乙方提供的节能和环保产品必须是列入政府采购品目清单的产品。</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2.乙方所提供的货物必须是全新、未使用的原装产品，且在正常安装、使用和保养条件下，其使用寿命期内各项指标均达到采购文件规定或投标文件承诺的质量要求。</w:t>
      </w:r>
    </w:p>
    <w:p>
      <w:pPr>
        <w:tabs>
          <w:tab w:val="left" w:pos="900"/>
        </w:tabs>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第三条　权利保证</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1.甲方在履行合同过程中提供给乙方的全部图纸、文件和其他含有数据和信息的资料，其知识产权属于甲方。</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4.乙方应按采购文件规定或投标文件承诺的时间向甲方提供使用货物的有关技术资料。</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未经甲方书面同意，乙方不得将由甲方提供的有关合同或任何合同条款、规格、计划、图纸、样品或资料提供给与履行本合同无关的任何其他人。即使向履行本合同有关的人员提供，也应注意保密并限于履行合同的必需范围。</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6.乙方保证将要交付的货物的所有权完全属于乙方且无任何抵押、质押、查封等产权瑕疵。</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第四条　货物包装、发运及运输</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1.乙方提供的货物均应按采购文件规定或投标文件承诺的要求的包装材料、包装标准、包装方式进行包装，每一包装单元内应附详细的装箱单和质量合格证。</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2.乙方应在货物发运前对其进行满足运输距离、防水、防潮、防震、防锈和防破损装卸等要求包装，以保证货物安全运达甲方指定地点。</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3.货物在交付甲方前发生的风险均由乙方负责。</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4.使用说明书、质量检验证明书、随配附件和工具以及清单一并附于货物内，进口设备必须提供报关单。</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第五条　交付</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1.交货时间：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【按乙方投标文件中承诺的不超过采购文件要求的时间】；交付地点：</w:t>
      </w:r>
      <w:r>
        <w:rPr>
          <w:rFonts w:hint="eastAsia" w:ascii="仿宋" w:hAnsi="仿宋" w:eastAsia="仿宋" w:cs="仿宋"/>
          <w:color w:val="auto"/>
          <w:sz w:val="24"/>
          <w:highlight w:val="none"/>
          <w:u w:val="single"/>
        </w:rPr>
        <w:t>广西桂林市甲方指定地点</w:t>
      </w:r>
      <w:r>
        <w:rPr>
          <w:rFonts w:hint="eastAsia" w:ascii="仿宋" w:hAnsi="仿宋" w:eastAsia="仿宋" w:cs="仿宋"/>
          <w:color w:val="auto"/>
          <w:sz w:val="24"/>
          <w:highlight w:val="none"/>
        </w:rPr>
        <w:t>。乙方需在规定的交付期限内将货物送达甲方指定的地点，同时通知甲方货物已送达。</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2.乙方提供不符合采购文件规定或投标文件承诺的和本合同规定的货物，甲方有权拒绝接受。</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4.乙方交货前应对产品作出全面检查和对验收文件进行整理，并列出清单，作为甲方收货验收和使用的技术条件依据，检验的结果应随货物交甲方。</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第六条　安装和培训</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1.甲方应提供必要安装条件（如场地、电源、水源等）。</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2.乙方应当按照投标文件的承诺对甲方有关人员进行培训。培训时间、地点：</w:t>
      </w:r>
      <w:r>
        <w:rPr>
          <w:rFonts w:hint="eastAsia" w:ascii="仿宋" w:hAnsi="仿宋" w:eastAsia="仿宋" w:cs="仿宋"/>
          <w:color w:val="auto"/>
          <w:sz w:val="24"/>
          <w:highlight w:val="none"/>
          <w:u w:val="single"/>
        </w:rPr>
        <w:t>由甲方指定。</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第七条  调试和验收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1.甲方对乙方提交的货物依据采购文件上的技术规格要求和国家有关质量标准进行现场初步验收，外观、说明书符合采购文件技术要求的，给予签收，初步验收不合格的不予签收。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2.乙方交货前应对产品作出全面检查和对验收文件进行整理，并列出清单，作为甲方收货验收和使用的技术条件依据，检验的结果应随货物交甲方。</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3.甲方对乙方提供的货物在使用前进行调试时，乙方需负责安装并培训甲方的使用操作人员，并协助甲方一起调试，直到货物安装调试后符合技术要求，甲方才做最终验收。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4.甲方应当在到货（安装、调试完）后，由甲方确认货物满足验收条件后</w:t>
      </w:r>
      <w:r>
        <w:rPr>
          <w:rFonts w:hint="eastAsia" w:ascii="仿宋" w:hAnsi="仿宋" w:eastAsia="仿宋" w:cs="仿宋"/>
          <w:color w:val="auto"/>
          <w:sz w:val="24"/>
          <w:highlight w:val="none"/>
          <w:u w:val="single"/>
        </w:rPr>
        <w:t>7个工作日</w:t>
      </w:r>
      <w:r>
        <w:rPr>
          <w:rFonts w:hint="eastAsia" w:ascii="仿宋" w:hAnsi="仿宋" w:eastAsia="仿宋" w:cs="仿宋"/>
          <w:color w:val="auto"/>
          <w:sz w:val="24"/>
          <w:highlight w:val="none"/>
        </w:rPr>
        <w:t>内进行验收，逾期不验收的，乙方可视同验收合格。验收时乙方必须在现场，验收完毕后作出验收结果报告，验收合格后由甲乙双方签署验收报告单，甲乙双方各执一份，验收费用由乙方负责。</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5.采购人委托采购代理机构组织的验收项目，其验收时间以该项目验收方案确定的验收时间为准，验收结果以该项目验收报告结论为准。</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6.在验收过程中发现乙方有违约问题，可暂缓资金结算，待违约问题解决后，方可办理资金结算事宜。</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7.甲方对验收有异议的，在验收后5个工作日内以书面形式向乙方提出，乙方应自收到甲方书面异议后</w:t>
      </w:r>
      <w:r>
        <w:rPr>
          <w:rFonts w:hint="eastAsia" w:ascii="仿宋" w:hAnsi="仿宋" w:eastAsia="仿宋" w:cs="仿宋"/>
          <w:color w:val="auto"/>
          <w:sz w:val="24"/>
          <w:highlight w:val="none"/>
          <w:u w:val="single"/>
        </w:rPr>
        <w:t xml:space="preserve"> 10 </w:t>
      </w:r>
      <w:r>
        <w:rPr>
          <w:rFonts w:hint="eastAsia" w:ascii="仿宋" w:hAnsi="仿宋" w:eastAsia="仿宋" w:cs="仿宋"/>
          <w:color w:val="auto"/>
          <w:sz w:val="24"/>
          <w:highlight w:val="none"/>
        </w:rPr>
        <w:t>日内及时予以解决。</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8.对技术复杂的货物，甲方应请国家认可的专业检测机构参与初步验收及最终验收，并由其出具质量检测报告。</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第八条　付款方式</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当实际使用数量发生变化时，乙方应根据实际使用量供货，合同的最终结算金额按实际使用量乘以中标（成交）单价进行计算（使用量变更导致合同变动部分的金额不得超过本采购合同金额的10%，且另需签订补充合同）。</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付款方式：本项目通过最终验收后，乙方开具全额发票（教学科研类国产设备必须开具增值税专用发票）给甲方，甲方收到发票后10个工作日内一次性付清100%的合同价款（无息）。如果项目尚未通过甲方验收，但根据项目实际情况确需提前支付预付款的，甲方可要求乙方提供由银行出具的等额预付款保函（保函有效期应涵盖合同约定的交货期和验收合格期），甲方收到有效的银行保函后支付相应的预付款；项目通过最终验收且甲方收到乙方开具的全额发票后，乙方可根据需要向甲方领取预付款保函（无息）。</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第九条　履约保证金</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1.履约保证金金额：按</w:t>
      </w:r>
      <w:r>
        <w:rPr>
          <w:rFonts w:hint="eastAsia" w:ascii="仿宋" w:hAnsi="仿宋" w:eastAsia="仿宋" w:cs="仿宋"/>
          <w:color w:val="auto"/>
          <w:sz w:val="24"/>
          <w:highlight w:val="none"/>
          <w:lang w:eastAsia="zh-CN"/>
        </w:rPr>
        <w:t>中标金额</w:t>
      </w:r>
      <w:r>
        <w:rPr>
          <w:rFonts w:hint="eastAsia" w:ascii="仿宋" w:hAnsi="仿宋" w:eastAsia="仿宋" w:cs="仿宋"/>
          <w:color w:val="auto"/>
          <w:sz w:val="24"/>
          <w:highlight w:val="none"/>
        </w:rPr>
        <w:t>的5%收取（如</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供应商为中小微企业的，按</w:t>
      </w:r>
      <w:r>
        <w:rPr>
          <w:rFonts w:hint="eastAsia" w:ascii="仿宋" w:hAnsi="仿宋" w:eastAsia="仿宋" w:cs="仿宋"/>
          <w:color w:val="auto"/>
          <w:sz w:val="24"/>
          <w:highlight w:val="none"/>
          <w:lang w:eastAsia="zh-CN"/>
        </w:rPr>
        <w:t>中标金额</w:t>
      </w:r>
      <w:r>
        <w:rPr>
          <w:rFonts w:hint="eastAsia" w:ascii="仿宋" w:hAnsi="仿宋" w:eastAsia="仿宋" w:cs="仿宋"/>
          <w:color w:val="auto"/>
          <w:sz w:val="24"/>
          <w:highlight w:val="none"/>
        </w:rPr>
        <w:t>的2%收取）。</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2.履约保证金递交方式：银行转账、支票、汇票、本票或者银行、保险机构出具的保函等非现金方式。</w:t>
      </w:r>
    </w:p>
    <w:p>
      <w:pPr>
        <w:snapToGrid w:val="0"/>
        <w:spacing w:line="340" w:lineRule="exact"/>
        <w:rPr>
          <w:rFonts w:ascii="仿宋" w:hAnsi="仿宋" w:eastAsia="仿宋" w:cs="仿宋"/>
          <w:color w:val="auto"/>
          <w:kern w:val="0"/>
          <w:sz w:val="24"/>
          <w:highlight w:val="none"/>
        </w:rPr>
      </w:pPr>
      <w:r>
        <w:rPr>
          <w:rFonts w:hint="eastAsia" w:ascii="仿宋" w:hAnsi="仿宋" w:eastAsia="仿宋" w:cs="仿宋"/>
          <w:color w:val="auto"/>
          <w:sz w:val="24"/>
          <w:highlight w:val="none"/>
        </w:rPr>
        <w:t>3.履约保证金递交方式及相关要求</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（1）履约保证金采用银行转账交纳方式的，乙方在签订合同前交至甲方指定账户并且到账。</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（2）履约保证金采用支票、汇票或本票交纳方式的，乙方在签订合同前，向甲方提交支票、汇票或本票原件。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（3）履约保证金采用银行、保险机构出具的保函交纳方式的，乙方在签订合同前，向甲方提交保函原件。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（4）履约保证金指定账户</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开户名称：</w:t>
      </w:r>
      <w:r>
        <w:rPr>
          <w:rFonts w:hint="eastAsia" w:ascii="仿宋" w:hAnsi="仿宋" w:eastAsia="仿宋" w:cs="仿宋"/>
          <w:color w:val="auto"/>
          <w:kern w:val="0"/>
          <w:sz w:val="24"/>
          <w:highlight w:val="none"/>
          <w:u w:val="single"/>
        </w:rPr>
        <w:t>桂林理工大学</w:t>
      </w:r>
      <w:r>
        <w:rPr>
          <w:rFonts w:hint="eastAsia" w:ascii="仿宋" w:hAnsi="仿宋" w:eastAsia="仿宋" w:cs="仿宋"/>
          <w:color w:val="auto"/>
          <w:sz w:val="24"/>
          <w:highlight w:val="none"/>
        </w:rPr>
        <w:t>；</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kern w:val="0"/>
          <w:sz w:val="24"/>
          <w:highlight w:val="none"/>
          <w:u w:val="single"/>
        </w:rPr>
        <w:t>中国银行桂林分行</w:t>
      </w:r>
      <w:r>
        <w:rPr>
          <w:rFonts w:hint="eastAsia" w:ascii="仿宋" w:hAnsi="仿宋" w:eastAsia="仿宋" w:cs="仿宋"/>
          <w:color w:val="auto"/>
          <w:sz w:val="24"/>
          <w:highlight w:val="none"/>
        </w:rPr>
        <w:t>；</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银行账号：</w:t>
      </w:r>
      <w:r>
        <w:rPr>
          <w:rFonts w:hint="eastAsia" w:ascii="仿宋" w:hAnsi="仿宋" w:eastAsia="仿宋" w:cs="仿宋"/>
          <w:color w:val="auto"/>
          <w:kern w:val="0"/>
          <w:sz w:val="24"/>
          <w:highlight w:val="none"/>
          <w:u w:val="single"/>
        </w:rPr>
        <w:t>613257488744</w:t>
      </w:r>
      <w:r>
        <w:rPr>
          <w:rFonts w:hint="eastAsia" w:ascii="仿宋" w:hAnsi="仿宋" w:eastAsia="仿宋" w:cs="仿宋"/>
          <w:color w:val="auto"/>
          <w:sz w:val="24"/>
          <w:highlight w:val="none"/>
        </w:rPr>
        <w:t>。</w:t>
      </w:r>
    </w:p>
    <w:p>
      <w:pPr>
        <w:snapToGrid w:val="0"/>
        <w:spacing w:line="340" w:lineRule="exact"/>
        <w:rPr>
          <w:rFonts w:ascii="仿宋" w:hAnsi="仿宋" w:eastAsia="仿宋" w:cs="仿宋"/>
          <w:color w:val="auto"/>
          <w:kern w:val="0"/>
          <w:sz w:val="24"/>
          <w:highlight w:val="none"/>
        </w:rPr>
      </w:pPr>
      <w:r>
        <w:rPr>
          <w:rFonts w:hint="eastAsia" w:ascii="仿宋" w:hAnsi="仿宋" w:eastAsia="仿宋" w:cs="仿宋"/>
          <w:color w:val="auto"/>
          <w:sz w:val="24"/>
          <w:highlight w:val="none"/>
        </w:rPr>
        <w:t>4.履约保证金退付方式、时间及条件</w:t>
      </w:r>
      <w:r>
        <w:rPr>
          <w:rFonts w:hint="eastAsia" w:ascii="仿宋" w:hAnsi="仿宋" w:eastAsia="仿宋" w:cs="仿宋"/>
          <w:color w:val="auto"/>
          <w:kern w:val="0"/>
          <w:sz w:val="24"/>
          <w:highlight w:val="none"/>
        </w:rPr>
        <w:t>：</w:t>
      </w:r>
    </w:p>
    <w:p>
      <w:pPr>
        <w:snapToGrid w:val="0"/>
        <w:spacing w:line="340" w:lineRule="exact"/>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乙方</w:t>
      </w:r>
      <w:r>
        <w:rPr>
          <w:rFonts w:hint="eastAsia" w:ascii="仿宋" w:hAnsi="仿宋" w:eastAsia="仿宋" w:cs="仿宋"/>
          <w:color w:val="auto"/>
          <w:kern w:val="0"/>
          <w:sz w:val="24"/>
          <w:highlight w:val="none"/>
        </w:rPr>
        <w:t>履行完合同约定的权利义务（包括免费保修服务等）事项后7个工作日内，</w:t>
      </w:r>
      <w:r>
        <w:rPr>
          <w:rFonts w:hint="eastAsia" w:ascii="仿宋" w:hAnsi="仿宋" w:eastAsia="仿宋" w:cs="仿宋"/>
          <w:color w:val="auto"/>
          <w:sz w:val="24"/>
          <w:highlight w:val="none"/>
        </w:rPr>
        <w:t>由乙方向履约保证金收取单位办理退还手续（不计利息）。</w:t>
      </w:r>
    </w:p>
    <w:p>
      <w:pPr>
        <w:snapToGrid w:val="0"/>
        <w:spacing w:line="3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乙方在签订合同后存在违约情形的</w:t>
      </w:r>
      <w:r>
        <w:rPr>
          <w:rFonts w:hint="eastAsia" w:ascii="仿宋" w:hAnsi="仿宋" w:eastAsia="仿宋" w:cs="仿宋"/>
          <w:color w:val="auto"/>
          <w:kern w:val="0"/>
          <w:sz w:val="24"/>
          <w:highlight w:val="none"/>
        </w:rPr>
        <w:t>，履约保证金或保函原件不予退还。</w:t>
      </w:r>
      <w:r>
        <w:rPr>
          <w:rFonts w:hint="eastAsia" w:ascii="仿宋" w:hAnsi="仿宋" w:eastAsia="仿宋" w:cs="仿宋"/>
          <w:color w:val="auto"/>
          <w:sz w:val="24"/>
          <w:highlight w:val="none"/>
        </w:rPr>
        <w:t>保函形式的甲方按相关规定由出具保函的银行</w:t>
      </w:r>
      <w:r>
        <w:rPr>
          <w:rFonts w:hint="eastAsia" w:ascii="仿宋" w:hAnsi="仿宋" w:eastAsia="仿宋" w:cs="仿宋"/>
          <w:color w:val="auto"/>
          <w:kern w:val="0"/>
          <w:sz w:val="24"/>
          <w:highlight w:val="none"/>
        </w:rPr>
        <w:t>、保险机构承担供应商违约赔付责任，履约保证金不足以赔偿损失的，按实际损失赔偿。</w:t>
      </w:r>
    </w:p>
    <w:p>
      <w:pPr>
        <w:snapToGrid w:val="0"/>
        <w:spacing w:line="340" w:lineRule="exact"/>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在履约保证金退还日期前，若乙方的开户名称、开户银行、账号有变动的，请以书面形式通知履约保证金收取单位，否则由此产生的后果由乙方自负。</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第十条  税费</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第十一条  售后服务及质保期</w:t>
      </w:r>
    </w:p>
    <w:p>
      <w:pPr>
        <w:snapToGrid w:val="0"/>
        <w:spacing w:line="340" w:lineRule="exact"/>
        <w:rPr>
          <w:rFonts w:ascii="仿宋" w:hAnsi="仿宋" w:eastAsia="仿宋" w:cs="仿宋"/>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乙方应按采购文件规定的产品名称、生产厂家、品牌、规格型号、技术参数、质量标准向甲方提供未经使用的全新产品。不符合要求的，根据实际情况，经双方协商，可按以下办法处理：</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⑴更换：由乙方承担所发生的全部费用。</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⑵贬值处理：由甲乙双方合议定价。</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⑶退货处理：乙方应退还甲方支付的合同款，同时应承担该货物的直接费用（运输、保险、检验、货款利息及银行手续费等）。</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2.如在使用过程中发生质量问题，乙方在接到甲方通知后在按</w:t>
      </w:r>
      <w:r>
        <w:rPr>
          <w:rFonts w:hint="eastAsia" w:ascii="仿宋" w:hAnsi="仿宋" w:eastAsia="仿宋" w:cs="仿宋"/>
          <w:color w:val="auto"/>
          <w:sz w:val="24"/>
          <w:highlight w:val="none"/>
          <w:u w:val="single"/>
        </w:rPr>
        <w:t>乙方投标文件中承诺的不超过采购文件要求的响应时间小时内</w:t>
      </w:r>
      <w:r>
        <w:rPr>
          <w:rFonts w:hint="eastAsia" w:ascii="仿宋" w:hAnsi="仿宋" w:eastAsia="仿宋" w:cs="仿宋"/>
          <w:color w:val="auto"/>
          <w:sz w:val="24"/>
          <w:highlight w:val="none"/>
        </w:rPr>
        <w:t>到达甲方现场处理。</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3.在质保期内，乙方应对货物出现的质量及安全问题负责处理解决并承担一切费用。</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4.乙方应按照国家有关法律法规和“三包”规定以及采购文件要求、投标文件承诺和本合同所附的《售后服务承诺书》，为甲方提供售后服务。</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5.货物质保期：按乙方投标文件中承诺的不少于采购文件要求的免费保修期限。</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6.乙方提供的服务承诺和售后服务及保修期责任等其它具体约定事项（见合同附件）。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7.上述的货物免费保修期为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免费保修期自设备验收合格之日起计算，若乙方投标（响应）承诺免费保修期超过采购文件要求年限的，按其承诺执行），因人为因素出现的故障不在免费保修范围内。超过保修期的机器设备，终生维修，维修时只收部件成本费。</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第十二条　违约责任</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1.乙方所提供的产品名称、生产厂家、品牌、规格型号、技术参数等不符合投标文件承诺或质量不合格的，应在</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 xml:space="preserve">日内及时更换，更换不及时的按逾期交货处罚；因质量问题甲方不同意接收的或特殊情况甲方同意接收的，乙方应向甲方支付违约货款额 </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rPr>
        <w:t xml:space="preserve">违约金并赔偿甲方经济损失。                                       </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2.乙方提供的货物如侵犯了第三方合法权益而引发的任何纠纷或诉讼，均由乙方负责交涉并承担全部责任。</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3.因包装、运输引起的货物损坏，按质量不合格处罚。</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4.甲方无故延期接收货物、乙方逾期交货的，每天向对方偿付违约货款额3‰违约金，但违约金累计不得超过违约货款额</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rPr>
        <w:t>，超过</w:t>
      </w:r>
      <w:bookmarkStart w:id="140" w:name="_Hlk129182355"/>
      <w:r>
        <w:rPr>
          <w:rFonts w:hint="eastAsia" w:ascii="仿宋" w:hAnsi="仿宋" w:eastAsia="仿宋" w:cs="仿宋"/>
          <w:color w:val="auto"/>
          <w:sz w:val="24"/>
          <w:highlight w:val="none"/>
          <w:u w:val="single"/>
        </w:rPr>
        <w:t>7天</w:t>
      </w:r>
      <w:bookmarkEnd w:id="140"/>
      <w:r>
        <w:rPr>
          <w:rFonts w:hint="eastAsia" w:ascii="仿宋" w:hAnsi="仿宋" w:eastAsia="仿宋" w:cs="仿宋"/>
          <w:color w:val="auto"/>
          <w:sz w:val="24"/>
          <w:highlight w:val="none"/>
        </w:rPr>
        <w:t>对方有权解除合同，违约方承担因此给对方造成经济损失；甲方延期付货款的，每天向乙方偿付延期货款额3‰滞纳金，但滞纳金累计不得超过延期货款额5%。</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5.乙方未按本合同和投标文件中规定的服务承诺提供售后服务的，乙方应按本合同合计金额 5%向甲方支付违约金。</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6.乙方提供的货物在质量保证期内，因设计、工艺或材料的缺陷和其它质量原因造成的问题，由乙方负责，费用从履约保证金中扣除，不足另补。</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7.其它违约行为按违约货款额5%收取违约金并赔偿经济损失。</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8.乙方投标文件中必须对所有产品的技术参数要求作出真实、有效的响应和承诺。所提供的产品必须为原装正品的、全新的、符合国家有关质量标准的产品。验收前，甲方现场根据采购文件要求及投标文件承诺对各项参数逐条对应进行核验，核验或检测数据不符合甲方要求及投标文件承诺的指标的，甲方有权终止合同执行并全部退货，由此造成甲方经济损失的由</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承担，并承担政府采购虚假竞标的相关法律责任。</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第十三条  不可抗力事件处理</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2.不可抗力事件发生后，应立即通知对方，并寄送有关权威机构出具的证明。</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3.不可抗力事件延续120天以上，双方应通过友好协商，确定是否继续履行合同。</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第十四条  合同争议解决</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1.因货物质量问题发生争议的，应邀请国家认可的质量检测机构对货物质量进行鉴定。货物符合标准的，鉴定费由甲方承担；货物不符合标准的，鉴定费由乙方承担。</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2.因履行本合同引起的或与本合同有关的争议，甲乙双方应首先通过友好协商解决，如果协商不能解决，可向甲方所在地的人民法院提起诉讼。</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第十五条  合同生效及其它</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1.合同经双方法定代表人（负责人/自然人）或委托代理人签字并加盖单位公章后生效（委托代理人签字的需后附法定代表人授权委托书，格式自拟）。</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2.合同执行中涉及采购资金和采购内容修改或补充的，须经财政部门审批，并签书面补充协议报财政部门备案，方可作为主合同不可分割的一部分。</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3.本合同未尽事宜，遵照《</w:t>
      </w:r>
      <w:r>
        <w:rPr>
          <w:rFonts w:hint="eastAsia" w:ascii="仿宋" w:hAnsi="仿宋" w:eastAsia="仿宋" w:cs="仿宋"/>
          <w:color w:val="auto"/>
          <w:sz w:val="24"/>
          <w:highlight w:val="none"/>
          <w:shd w:val="clear" w:color="auto" w:fill="FFFFFF"/>
        </w:rPr>
        <w:t>中华人民共和国民法典</w:t>
      </w:r>
      <w:r>
        <w:rPr>
          <w:rFonts w:hint="eastAsia" w:ascii="仿宋" w:hAnsi="仿宋" w:eastAsia="仿宋" w:cs="仿宋"/>
          <w:color w:val="auto"/>
          <w:sz w:val="24"/>
          <w:highlight w:val="none"/>
        </w:rPr>
        <w:t>》有关条文执行。</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第十六条　合同的变更、终止与转让</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1.除《中华人民共和国政府采购法》第五十条规定的情形外，本合同一经签订，甲乙双方不得擅自变更、中止或终止合同。</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pPr>
        <w:snapToGrid w:val="0"/>
        <w:spacing w:line="3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第十七条　签订本合同依据</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1.中标（成交）通知书；</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2.乙方提供的投标(响应)文件、应答文件；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3.采购文件及更正公告（澄清或补充通知）；</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4.标准、规范及有关技术文件；</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5.双方约定的其他合同文件。</w:t>
      </w:r>
    </w:p>
    <w:p>
      <w:pPr>
        <w:snapToGrid w:val="0"/>
        <w:spacing w:line="340" w:lineRule="exact"/>
        <w:rPr>
          <w:rFonts w:ascii="仿宋" w:hAnsi="仿宋" w:eastAsia="仿宋" w:cs="仿宋"/>
          <w:color w:val="auto"/>
          <w:sz w:val="24"/>
          <w:highlight w:val="none"/>
        </w:rPr>
      </w:pPr>
      <w:r>
        <w:rPr>
          <w:rFonts w:hint="eastAsia" w:ascii="仿宋" w:hAnsi="仿宋" w:eastAsia="仿宋" w:cs="仿宋"/>
          <w:b/>
          <w:color w:val="auto"/>
          <w:sz w:val="24"/>
          <w:highlight w:val="none"/>
        </w:rPr>
        <w:t>第十八条　</w:t>
      </w:r>
      <w:r>
        <w:rPr>
          <w:rFonts w:hint="eastAsia" w:ascii="仿宋" w:hAnsi="仿宋" w:eastAsia="仿宋" w:cs="仿宋"/>
          <w:color w:val="auto"/>
          <w:sz w:val="24"/>
          <w:highlight w:val="none"/>
        </w:rPr>
        <w:t>本合同一式四份，具有同等法律效力，甲方两份、乙方一份、采购代理机构一份（可根据需要另增加）。</w:t>
      </w:r>
    </w:p>
    <w:p>
      <w:pPr>
        <w:snapToGrid w:val="0"/>
        <w:spacing w:line="340" w:lineRule="exact"/>
        <w:rPr>
          <w:rFonts w:ascii="仿宋" w:hAnsi="仿宋" w:eastAsia="仿宋" w:cs="仿宋"/>
          <w:color w:val="auto"/>
          <w:sz w:val="24"/>
          <w:highlight w:val="none"/>
        </w:rPr>
      </w:pPr>
      <w:r>
        <w:rPr>
          <w:rFonts w:hint="eastAsia" w:ascii="仿宋" w:hAnsi="仿宋" w:eastAsia="仿宋" w:cs="仿宋"/>
          <w:color w:val="auto"/>
          <w:sz w:val="24"/>
          <w:highlight w:val="none"/>
        </w:rPr>
        <w:t>本合同甲乙双方签字并盖章后生效。</w:t>
      </w:r>
    </w:p>
    <w:p>
      <w:pPr>
        <w:snapToGrid w:val="0"/>
        <w:spacing w:line="340" w:lineRule="exact"/>
        <w:rPr>
          <w:rFonts w:ascii="仿宋" w:hAnsi="仿宋" w:eastAsia="仿宋" w:cs="仿宋"/>
          <w:color w:val="auto"/>
          <w:sz w:val="24"/>
          <w:highlight w:val="none"/>
        </w:rPr>
      </w:pPr>
    </w:p>
    <w:tbl>
      <w:tblPr>
        <w:tblStyle w:val="27"/>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pPr>
              <w:snapToGrid w:val="0"/>
              <w:spacing w:line="360" w:lineRule="exact"/>
              <w:rPr>
                <w:rFonts w:ascii="仿宋" w:hAnsi="仿宋" w:eastAsia="仿宋" w:cs="仿宋"/>
                <w:color w:val="auto"/>
                <w:sz w:val="24"/>
                <w:highlight w:val="none"/>
              </w:rPr>
            </w:pPr>
          </w:p>
          <w:p>
            <w:pPr>
              <w:snapToGrid w:val="0"/>
              <w:spacing w:line="360" w:lineRule="exact"/>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pPr>
              <w:snapToGrid w:val="0"/>
              <w:spacing w:line="360" w:lineRule="exact"/>
              <w:rPr>
                <w:rFonts w:ascii="仿宋" w:hAnsi="仿宋" w:eastAsia="仿宋" w:cs="仿宋"/>
                <w:color w:val="auto"/>
                <w:sz w:val="24"/>
                <w:highlight w:val="none"/>
              </w:rPr>
            </w:pPr>
          </w:p>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委托代理人：</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电话：0773-5895090</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电子邮箱：zbk@glut.edu.cn</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开户银行：中国银行桂林分行</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账号：6132 5748 8744</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4516"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邮政编码：5410044</w:t>
            </w:r>
          </w:p>
        </w:tc>
        <w:tc>
          <w:tcPr>
            <w:tcW w:w="4517" w:type="dxa"/>
            <w:vAlign w:val="center"/>
          </w:tcPr>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邮政编码：</w:t>
            </w:r>
          </w:p>
        </w:tc>
      </w:tr>
    </w:tbl>
    <w:p>
      <w:pPr>
        <w:snapToGrid w:val="0"/>
        <w:spacing w:line="360" w:lineRule="exact"/>
        <w:jc w:val="center"/>
        <w:rPr>
          <w:rFonts w:ascii="仿宋" w:hAnsi="仿宋" w:eastAsia="仿宋" w:cs="仿宋"/>
          <w:b/>
          <w:color w:val="auto"/>
          <w:sz w:val="24"/>
          <w:highlight w:val="none"/>
        </w:rPr>
      </w:pPr>
    </w:p>
    <w:p>
      <w:pPr>
        <w:snapToGrid w:val="0"/>
        <w:spacing w:line="360" w:lineRule="exact"/>
        <w:jc w:val="center"/>
        <w:rPr>
          <w:rFonts w:ascii="仿宋" w:hAnsi="仿宋" w:eastAsia="仿宋" w:cs="仿宋"/>
          <w:b/>
          <w:color w:val="auto"/>
          <w:sz w:val="24"/>
          <w:highlight w:val="none"/>
        </w:rPr>
      </w:pPr>
    </w:p>
    <w:p>
      <w:pPr>
        <w:snapToGrid w:val="0"/>
        <w:spacing w:line="360" w:lineRule="exact"/>
        <w:jc w:val="center"/>
        <w:rPr>
          <w:rFonts w:ascii="仿宋" w:hAnsi="仿宋" w:eastAsia="仿宋" w:cs="仿宋"/>
          <w:b/>
          <w:color w:val="auto"/>
          <w:sz w:val="24"/>
          <w:highlight w:val="none"/>
        </w:rPr>
      </w:pPr>
    </w:p>
    <w:p>
      <w:pPr>
        <w:snapToGrid w:val="0"/>
        <w:spacing w:line="360" w:lineRule="exact"/>
        <w:jc w:val="center"/>
        <w:rPr>
          <w:rFonts w:ascii="仿宋" w:hAnsi="仿宋" w:eastAsia="仿宋" w:cs="仿宋"/>
          <w:b/>
          <w:color w:val="auto"/>
          <w:sz w:val="24"/>
          <w:highlight w:val="none"/>
        </w:rPr>
      </w:pPr>
    </w:p>
    <w:p>
      <w:pPr>
        <w:snapToGrid w:val="0"/>
        <w:spacing w:line="360" w:lineRule="exact"/>
        <w:jc w:val="center"/>
        <w:rPr>
          <w:rFonts w:ascii="仿宋" w:hAnsi="仿宋" w:eastAsia="仿宋" w:cs="仿宋"/>
          <w:b/>
          <w:color w:val="auto"/>
          <w:sz w:val="24"/>
          <w:highlight w:val="none"/>
        </w:rPr>
      </w:pPr>
    </w:p>
    <w:p>
      <w:pPr>
        <w:snapToGrid w:val="0"/>
        <w:spacing w:line="3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合 同 附 件</w:t>
      </w:r>
    </w:p>
    <w:p>
      <w:pPr>
        <w:snapToGrid w:val="0"/>
        <w:spacing w:line="360" w:lineRule="exact"/>
        <w:ind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一般货物类</w:t>
      </w:r>
    </w:p>
    <w:tbl>
      <w:tblPr>
        <w:tblStyle w:val="27"/>
        <w:tblW w:w="8522" w:type="dxa"/>
        <w:tblInd w:w="213" w:type="dxa"/>
        <w:tblLayout w:type="fixed"/>
        <w:tblCellMar>
          <w:top w:w="0" w:type="dxa"/>
          <w:left w:w="108" w:type="dxa"/>
          <w:bottom w:w="0" w:type="dxa"/>
          <w:right w:w="108" w:type="dxa"/>
        </w:tblCellMar>
      </w:tblPr>
      <w:tblGrid>
        <w:gridCol w:w="4248"/>
        <w:gridCol w:w="4274"/>
      </w:tblGrid>
      <w:tr>
        <w:tblPrEx>
          <w:tblLayout w:type="fixed"/>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1．供应商承诺具体事项：</w:t>
            </w:r>
          </w:p>
        </w:tc>
      </w:tr>
      <w:tr>
        <w:tblPrEx>
          <w:tblLayout w:type="fixed"/>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2．售后服务具体事项：</w:t>
            </w:r>
          </w:p>
        </w:tc>
      </w:tr>
      <w:tr>
        <w:tblPrEx>
          <w:tblLayout w:type="fixed"/>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3．保修期责任：</w:t>
            </w:r>
          </w:p>
        </w:tc>
      </w:tr>
      <w:tr>
        <w:tblPrEx>
          <w:tblLayout w:type="fixed"/>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4．其他具体事项：</w:t>
            </w:r>
          </w:p>
        </w:tc>
      </w:tr>
      <w:tr>
        <w:tblPrEx>
          <w:tblLayout w:type="fixed"/>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甲方（章）</w:t>
            </w:r>
          </w:p>
          <w:p>
            <w:pPr>
              <w:snapToGrid w:val="0"/>
              <w:spacing w:line="360" w:lineRule="exact"/>
              <w:ind w:firstLine="482" w:firstLineChars="200"/>
              <w:rPr>
                <w:rFonts w:ascii="仿宋" w:hAnsi="仿宋" w:eastAsia="仿宋" w:cs="仿宋"/>
                <w:b/>
                <w:color w:val="auto"/>
                <w:sz w:val="24"/>
                <w:highlight w:val="none"/>
              </w:rPr>
            </w:pPr>
          </w:p>
          <w:p>
            <w:pPr>
              <w:snapToGrid w:val="0"/>
              <w:spacing w:line="360" w:lineRule="exact"/>
              <w:rPr>
                <w:rFonts w:ascii="仿宋" w:hAnsi="仿宋" w:eastAsia="仿宋" w:cs="仿宋"/>
                <w:b/>
                <w:color w:val="auto"/>
                <w:sz w:val="24"/>
                <w:highlight w:val="none"/>
              </w:rPr>
            </w:pPr>
          </w:p>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乙方（章）</w:t>
            </w:r>
          </w:p>
          <w:p>
            <w:pPr>
              <w:snapToGrid w:val="0"/>
              <w:spacing w:line="360" w:lineRule="exact"/>
              <w:ind w:firstLine="482" w:firstLineChars="200"/>
              <w:rPr>
                <w:rFonts w:ascii="仿宋" w:hAnsi="仿宋" w:eastAsia="仿宋" w:cs="仿宋"/>
                <w:b/>
                <w:color w:val="auto"/>
                <w:sz w:val="24"/>
                <w:highlight w:val="none"/>
              </w:rPr>
            </w:pPr>
          </w:p>
          <w:p>
            <w:pPr>
              <w:snapToGrid w:val="0"/>
              <w:spacing w:line="360" w:lineRule="exact"/>
              <w:rPr>
                <w:rFonts w:ascii="仿宋" w:hAnsi="仿宋" w:eastAsia="仿宋" w:cs="仿宋"/>
                <w:b/>
                <w:color w:val="auto"/>
                <w:sz w:val="24"/>
                <w:highlight w:val="none"/>
              </w:rPr>
            </w:pPr>
          </w:p>
          <w:p>
            <w:pPr>
              <w:snapToGrid w:val="0"/>
              <w:spacing w:line="3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w:t>
            </w:r>
          </w:p>
        </w:tc>
      </w:tr>
    </w:tbl>
    <w:p>
      <w:pPr>
        <w:snapToGrid w:val="0"/>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注：售后服务事项填不下时可另加附页</w:t>
      </w:r>
    </w:p>
    <w:p>
      <w:pPr>
        <w:snapToGrid w:val="0"/>
        <w:spacing w:line="360" w:lineRule="auto"/>
        <w:ind w:firstLine="640" w:firstLineChars="200"/>
        <w:rPr>
          <w:rFonts w:ascii="仿宋" w:hAnsi="仿宋" w:eastAsia="仿宋"/>
          <w:bCs/>
          <w:color w:val="auto"/>
          <w:sz w:val="32"/>
          <w:szCs w:val="32"/>
          <w:highlight w:val="none"/>
        </w:rPr>
      </w:pPr>
    </w:p>
    <w:bookmarkEnd w:id="139"/>
    <w:p>
      <w:pPr>
        <w:snapToGrid w:val="0"/>
        <w:spacing w:line="480" w:lineRule="auto"/>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snapToGrid w:val="0"/>
        <w:jc w:val="center"/>
        <w:rPr>
          <w:rFonts w:ascii="仿宋" w:hAnsi="仿宋" w:eastAsia="仿宋"/>
          <w:bCs/>
          <w:color w:val="auto"/>
          <w:sz w:val="32"/>
          <w:szCs w:val="32"/>
          <w:highlight w:val="none"/>
        </w:rPr>
      </w:pPr>
    </w:p>
    <w:p>
      <w:pPr>
        <w:pStyle w:val="4"/>
        <w:keepNext w:val="0"/>
        <w:keepLines w:val="0"/>
        <w:spacing w:before="0" w:after="0" w:line="360" w:lineRule="auto"/>
        <w:jc w:val="center"/>
        <w:textAlignment w:val="center"/>
        <w:rPr>
          <w:rFonts w:ascii="仿宋" w:hAnsi="仿宋" w:eastAsia="仿宋"/>
          <w:color w:val="auto"/>
          <w:highlight w:val="none"/>
        </w:rPr>
      </w:pPr>
      <w:bookmarkStart w:id="141" w:name="_Toc74320805"/>
      <w:r>
        <w:rPr>
          <w:rFonts w:hint="eastAsia" w:ascii="仿宋" w:hAnsi="仿宋" w:eastAsia="仿宋"/>
          <w:color w:val="auto"/>
          <w:highlight w:val="none"/>
        </w:rPr>
        <w:t>第六章　投标文件格式</w:t>
      </w:r>
      <w:bookmarkEnd w:id="141"/>
    </w:p>
    <w:p>
      <w:pPr>
        <w:rPr>
          <w:rFonts w:ascii="仿宋" w:hAnsi="仿宋" w:eastAsia="仿宋"/>
          <w:b/>
          <w:color w:val="auto"/>
          <w:sz w:val="28"/>
          <w:szCs w:val="28"/>
          <w:highlight w:val="none"/>
        </w:rPr>
      </w:pPr>
      <w:bookmarkStart w:id="142" w:name="_Toc19686836"/>
      <w:bookmarkStart w:id="143" w:name="_Toc254970557"/>
      <w:bookmarkStart w:id="144" w:name="_Toc254970698"/>
      <w:r>
        <w:rPr>
          <w:rFonts w:hint="eastAsia" w:ascii="仿宋" w:hAnsi="仿宋" w:eastAsia="仿宋"/>
          <w:b/>
          <w:color w:val="auto"/>
          <w:sz w:val="28"/>
          <w:szCs w:val="28"/>
          <w:highlight w:val="none"/>
        </w:rPr>
        <w:t>一、报价文件格式</w:t>
      </w:r>
      <w:bookmarkEnd w:id="142"/>
    </w:p>
    <w:p>
      <w:pPr>
        <w:snapToGrid w:val="0"/>
        <w:spacing w:before="120" w:beforeLines="50" w:after="50" w:line="360" w:lineRule="auto"/>
        <w:ind w:left="142"/>
        <w:jc w:val="left"/>
        <w:rPr>
          <w:rFonts w:ascii="仿宋" w:hAnsi="仿宋" w:eastAsia="仿宋"/>
          <w:color w:val="auto"/>
          <w:sz w:val="24"/>
          <w:szCs w:val="20"/>
          <w:highlight w:val="none"/>
        </w:rPr>
      </w:pPr>
      <w:r>
        <w:rPr>
          <w:rFonts w:hint="eastAsia" w:ascii="仿宋" w:hAnsi="仿宋" w:eastAsia="仿宋"/>
          <w:b/>
          <w:color w:val="auto"/>
          <w:sz w:val="24"/>
          <w:highlight w:val="none"/>
        </w:rPr>
        <w:t xml:space="preserve">1. 报价文件封面格式： </w:t>
      </w:r>
    </w:p>
    <w:p>
      <w:pPr>
        <w:snapToGrid w:val="0"/>
        <w:spacing w:before="120" w:beforeLines="50" w:after="50" w:line="400" w:lineRule="exact"/>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line="400" w:lineRule="exact"/>
        <w:jc w:val="center"/>
        <w:rPr>
          <w:rFonts w:ascii="仿宋" w:hAnsi="仿宋" w:eastAsia="仿宋"/>
          <w:bCs/>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line="400" w:lineRule="exact"/>
        <w:jc w:val="center"/>
        <w:rPr>
          <w:rFonts w:ascii="仿宋" w:hAnsi="仿宋" w:eastAsia="仿宋"/>
          <w:bCs/>
          <w:color w:val="auto"/>
          <w:sz w:val="32"/>
          <w:szCs w:val="32"/>
          <w:highlight w:val="none"/>
        </w:rPr>
      </w:pPr>
    </w:p>
    <w:p>
      <w:pPr>
        <w:snapToGrid w:val="0"/>
        <w:spacing w:before="120" w:beforeLines="50" w:after="50" w:line="400" w:lineRule="exact"/>
        <w:jc w:val="center"/>
        <w:rPr>
          <w:rFonts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报  价  文  件</w:t>
      </w: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投标人地址：</w:t>
      </w:r>
    </w:p>
    <w:p>
      <w:pPr>
        <w:pStyle w:val="8"/>
        <w:snapToGrid w:val="0"/>
        <w:spacing w:before="50" w:after="50" w:line="400" w:lineRule="exact"/>
        <w:ind w:firstLine="960" w:firstLineChars="400"/>
        <w:rPr>
          <w:rFonts w:ascii="仿宋" w:hAnsi="仿宋" w:eastAsia="仿宋"/>
          <w:bCs/>
          <w:color w:val="auto"/>
          <w:sz w:val="24"/>
          <w:szCs w:val="24"/>
          <w:highlight w:val="none"/>
        </w:rPr>
      </w:pPr>
    </w:p>
    <w:p>
      <w:pPr>
        <w:snapToGrid w:val="0"/>
        <w:spacing w:before="120" w:beforeLines="50" w:after="50" w:line="400" w:lineRule="exact"/>
        <w:rPr>
          <w:rFonts w:ascii="仿宋" w:hAnsi="仿宋" w:eastAsia="仿宋"/>
          <w:color w:val="auto"/>
          <w:sz w:val="30"/>
          <w:szCs w:val="20"/>
          <w:highlight w:val="none"/>
        </w:rPr>
      </w:pPr>
      <w:r>
        <w:rPr>
          <w:rFonts w:hint="eastAsia" w:ascii="仿宋" w:hAnsi="仿宋" w:eastAsia="仿宋"/>
          <w:color w:val="auto"/>
          <w:sz w:val="24"/>
          <w:highlight w:val="none"/>
        </w:rPr>
        <w:t xml:space="preserve">                                   年  月  日</w:t>
      </w:r>
    </w:p>
    <w:p>
      <w:pPr>
        <w:snapToGrid w:val="0"/>
        <w:spacing w:before="120" w:beforeLines="50" w:after="50" w:line="360" w:lineRule="auto"/>
        <w:jc w:val="left"/>
        <w:rPr>
          <w:rFonts w:ascii="仿宋" w:hAnsi="仿宋" w:eastAsia="仿宋"/>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2.</w:t>
      </w:r>
      <w:r>
        <w:rPr>
          <w:rFonts w:hint="eastAsia" w:ascii="仿宋" w:hAnsi="仿宋" w:eastAsia="仿宋"/>
          <w:b/>
          <w:bCs/>
          <w:color w:val="auto"/>
          <w:sz w:val="24"/>
          <w:highlight w:val="none"/>
        </w:rPr>
        <w:t>报价文件目录</w:t>
      </w:r>
    </w:p>
    <w:p>
      <w:pPr>
        <w:snapToGrid w:val="0"/>
        <w:spacing w:before="50" w:after="120" w:afterLines="50" w:line="360" w:lineRule="auto"/>
        <w:jc w:val="left"/>
        <w:rPr>
          <w:rFonts w:ascii="仿宋" w:hAnsi="仿宋" w:eastAsia="仿宋"/>
          <w:b/>
          <w:color w:val="auto"/>
          <w:sz w:val="24"/>
          <w:highlight w:val="none"/>
        </w:rPr>
      </w:pPr>
      <w:r>
        <w:rPr>
          <w:rFonts w:hint="eastAsia" w:ascii="仿宋" w:hAnsi="仿宋" w:eastAsia="仿宋"/>
          <w:color w:val="auto"/>
          <w:szCs w:val="21"/>
          <w:highlight w:val="none"/>
        </w:rPr>
        <w:t>根据招标文件规定及投标人提供的材料自行编写目录。</w:t>
      </w:r>
    </w:p>
    <w:p>
      <w:pPr>
        <w:snapToGrid w:val="0"/>
        <w:spacing w:before="120" w:beforeLines="50" w:after="50"/>
        <w:rPr>
          <w:rFonts w:ascii="仿宋" w:hAnsi="仿宋" w:eastAsia="仿宋"/>
          <w:b/>
          <w:color w:val="auto"/>
          <w:sz w:val="24"/>
          <w:highlight w:val="none"/>
        </w:rPr>
      </w:pPr>
    </w:p>
    <w:p>
      <w:pPr>
        <w:snapToGrid w:val="0"/>
        <w:spacing w:before="120" w:beforeLines="50" w:after="50"/>
        <w:rPr>
          <w:rFonts w:ascii="仿宋" w:hAnsi="仿宋" w:eastAsia="仿宋"/>
          <w:b/>
          <w:color w:val="auto"/>
          <w:sz w:val="24"/>
          <w:highlight w:val="none"/>
        </w:rPr>
      </w:pPr>
    </w:p>
    <w:p>
      <w:pPr>
        <w:snapToGrid w:val="0"/>
        <w:spacing w:before="120" w:beforeLines="50" w:after="50"/>
        <w:rPr>
          <w:rFonts w:ascii="仿宋" w:hAnsi="仿宋" w:eastAsia="仿宋"/>
          <w:b/>
          <w:color w:val="auto"/>
          <w:sz w:val="24"/>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 投标函格式：</w:t>
      </w:r>
    </w:p>
    <w:p>
      <w:pPr>
        <w:snapToGrid w:val="0"/>
        <w:spacing w:before="120" w:beforeLines="50" w:after="50" w:line="360" w:lineRule="auto"/>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 标 函</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采购人名称</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根据贵方</w:t>
      </w:r>
      <w:r>
        <w:rPr>
          <w:rFonts w:hint="eastAsia" w:ascii="仿宋" w:hAnsi="仿宋" w:eastAsia="仿宋"/>
          <w:color w:val="auto"/>
          <w:sz w:val="24"/>
          <w:highlight w:val="none"/>
          <w:u w:val="single"/>
        </w:rPr>
        <w:t xml:space="preserve"> 项目名称 </w:t>
      </w:r>
      <w:r>
        <w:rPr>
          <w:rFonts w:hint="eastAsia" w:ascii="仿宋" w:hAnsi="仿宋" w:eastAsia="仿宋"/>
          <w:color w:val="auto"/>
          <w:sz w:val="24"/>
          <w:highlight w:val="none"/>
        </w:rPr>
        <w:t>（项目编号：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）的招标公告，签字代表______</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（姓名）经正式授权并代表投标人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（投标人名称）提交投标文件。</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据此函，我方宣布同意如下：</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2.我方在投标之前已经完全理解并接受招标文件的各项规定和要求，对招标文件的合理性、合法性不再有异议。</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3.本投标有效期自投标截止之日起</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4.如中标，本投标文件至本项目合同履行完毕止均保持有效，我方将按“招标文件”及政府采购法律、法规的规定履行合同责任和义务。</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5.我方同意按照贵方要求提供与投标有关的一切数据或者资料。</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6.我方向贵方提交的所有投标文件、资料都是准确的和真实的。</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7.以上事项如有虚假或者隐瞒，我方愿意承担一切后果，并不再寻求任何旨在减轻或者免除法律责任的辩解。</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8.根据</w:t>
      </w:r>
      <w:r>
        <w:rPr>
          <w:rFonts w:ascii="仿宋" w:hAnsi="仿宋" w:eastAsia="仿宋"/>
          <w:color w:val="auto"/>
          <w:sz w:val="24"/>
          <w:highlight w:val="none"/>
        </w:rPr>
        <w:t>《中华人民共和国政府采购法实施条例》第五十条要求对政府采购合同进行公告</w:t>
      </w:r>
      <w:r>
        <w:rPr>
          <w:rFonts w:hint="eastAsia" w:ascii="仿宋" w:hAnsi="仿宋" w:eastAsia="仿宋"/>
          <w:color w:val="auto"/>
          <w:sz w:val="24"/>
          <w:highlight w:val="none"/>
        </w:rPr>
        <w:t>，</w:t>
      </w:r>
      <w:r>
        <w:rPr>
          <w:rFonts w:ascii="仿宋" w:hAnsi="仿宋" w:eastAsia="仿宋"/>
          <w:color w:val="auto"/>
          <w:sz w:val="24"/>
          <w:highlight w:val="none"/>
        </w:rPr>
        <w:t>但政府采购合同中涉及国家秘密、商业秘密的内容除外。</w:t>
      </w:r>
      <w:r>
        <w:rPr>
          <w:rFonts w:hint="eastAsia" w:ascii="仿宋" w:hAnsi="仿宋" w:eastAsia="仿宋"/>
          <w:color w:val="auto"/>
          <w:sz w:val="24"/>
          <w:highlight w:val="none"/>
        </w:rPr>
        <w:t>我方就对本次投标文件进行注明如下：（两项内容中必须选择一项）</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内容中</w:t>
      </w:r>
      <w:r>
        <w:rPr>
          <w:rFonts w:hint="eastAsia" w:ascii="仿宋" w:hAnsi="仿宋" w:eastAsia="仿宋"/>
          <w:color w:val="auto"/>
          <w:sz w:val="24"/>
          <w:highlight w:val="none"/>
        </w:rPr>
        <w:t>未</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□我方本次投标文件</w:t>
      </w:r>
      <w:r>
        <w:rPr>
          <w:rFonts w:ascii="仿宋" w:hAnsi="仿宋" w:eastAsia="仿宋" w:cs="宋体"/>
          <w:color w:val="auto"/>
          <w:kern w:val="0"/>
          <w:sz w:val="24"/>
          <w:highlight w:val="none"/>
        </w:rPr>
        <w:t>涉及商业秘密</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内容</w:t>
      </w:r>
      <w:r>
        <w:rPr>
          <w:rFonts w:hint="eastAsia" w:ascii="仿宋" w:hAnsi="仿宋" w:eastAsia="仿宋" w:cs="宋体"/>
          <w:color w:val="auto"/>
          <w:kern w:val="0"/>
          <w:sz w:val="24"/>
          <w:highlight w:val="none"/>
        </w:rPr>
        <w:t>有：</w:t>
      </w:r>
      <w:r>
        <w:rPr>
          <w:rFonts w:hint="eastAsia" w:ascii="仿宋" w:hAnsi="仿宋" w:eastAsia="仿宋" w:cs="宋体"/>
          <w:color w:val="auto"/>
          <w:kern w:val="0"/>
          <w:sz w:val="24"/>
          <w:highlight w:val="none"/>
          <w:u w:val="single"/>
        </w:rPr>
        <w:t xml:space="preserve">                         </w:t>
      </w:r>
      <w:r>
        <w:rPr>
          <w:rFonts w:hint="eastAsia" w:ascii="仿宋" w:hAnsi="仿宋" w:eastAsia="仿宋" w:cs="宋体"/>
          <w:color w:val="auto"/>
          <w:kern w:val="0"/>
          <w:sz w:val="24"/>
          <w:highlight w:val="none"/>
        </w:rPr>
        <w:t>；</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9.与本投标有关的一切正式往来信函请寄：</w:t>
      </w:r>
    </w:p>
    <w:p>
      <w:pPr>
        <w:spacing w:line="440" w:lineRule="exact"/>
        <w:ind w:firstLine="480" w:firstLineChars="200"/>
        <w:contextualSpacing/>
        <w:rPr>
          <w:rFonts w:ascii="仿宋" w:hAnsi="仿宋" w:eastAsia="仿宋"/>
          <w:color w:val="auto"/>
          <w:sz w:val="24"/>
          <w:highlight w:val="none"/>
          <w:u w:val="single"/>
        </w:rPr>
      </w:pPr>
      <w:r>
        <w:rPr>
          <w:rFonts w:hint="eastAsia" w:ascii="仿宋" w:hAnsi="仿宋" w:eastAsia="仿宋"/>
          <w:color w:val="auto"/>
          <w:sz w:val="24"/>
          <w:highlight w:val="none"/>
        </w:rPr>
        <w:t>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邮编：</w:t>
      </w:r>
      <w:r>
        <w:rPr>
          <w:rFonts w:hint="eastAsia" w:ascii="仿宋" w:hAnsi="仿宋" w:eastAsia="仿宋"/>
          <w:color w:val="auto"/>
          <w:sz w:val="24"/>
          <w:highlight w:val="none"/>
          <w:u w:val="single"/>
        </w:rPr>
        <w:t xml:space="preserve">            </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电话：</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传真：</w:t>
      </w:r>
      <w:r>
        <w:rPr>
          <w:rFonts w:hint="eastAsia" w:ascii="仿宋" w:hAnsi="仿宋" w:eastAsia="仿宋"/>
          <w:color w:val="auto"/>
          <w:sz w:val="24"/>
          <w:highlight w:val="none"/>
          <w:u w:val="single"/>
        </w:rPr>
        <w:t xml:space="preserve">          </w:t>
      </w:r>
    </w:p>
    <w:p>
      <w:pPr>
        <w:spacing w:line="440" w:lineRule="exact"/>
        <w:ind w:firstLine="480" w:firstLineChars="200"/>
        <w:contextualSpacing/>
        <w:rPr>
          <w:rFonts w:ascii="仿宋" w:hAnsi="仿宋" w:eastAsia="仿宋"/>
          <w:color w:val="auto"/>
          <w:sz w:val="24"/>
          <w:highlight w:val="none"/>
        </w:rPr>
      </w:pPr>
      <w:r>
        <w:rPr>
          <w:rFonts w:hint="eastAsia" w:ascii="仿宋" w:hAnsi="仿宋" w:eastAsia="仿宋"/>
          <w:color w:val="auto"/>
          <w:sz w:val="24"/>
          <w:highlight w:val="none"/>
        </w:rPr>
        <w:t>投标人名称:</w:t>
      </w:r>
      <w:r>
        <w:rPr>
          <w:rFonts w:hint="eastAsia" w:ascii="仿宋" w:hAnsi="仿宋" w:eastAsia="仿宋"/>
          <w:color w:val="auto"/>
          <w:sz w:val="24"/>
          <w:highlight w:val="none"/>
          <w:u w:val="single"/>
        </w:rPr>
        <w:t xml:space="preserve">                </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银行帐号：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法定代表人或者委托代理人签字:___________ </w:t>
      </w:r>
    </w:p>
    <w:p>
      <w:pPr>
        <w:pStyle w:val="15"/>
        <w:spacing w:line="440" w:lineRule="exact"/>
        <w:contextualSpacing/>
        <w:jc w:val="center"/>
        <w:rPr>
          <w:rFonts w:ascii="仿宋" w:hAnsi="仿宋" w:eastAsia="仿宋"/>
          <w:color w:val="auto"/>
          <w:sz w:val="24"/>
          <w:szCs w:val="24"/>
          <w:highlight w:val="none"/>
          <w:u w:val="single"/>
        </w:rPr>
      </w:pP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投标人（盖公章）：</w:t>
      </w:r>
    </w:p>
    <w:p>
      <w:pPr>
        <w:pStyle w:val="15"/>
        <w:spacing w:line="440" w:lineRule="exact"/>
        <w:contextualSpacing/>
        <w:rPr>
          <w:rFonts w:ascii="仿宋" w:hAnsi="仿宋" w:eastAsia="仿宋"/>
          <w:color w:val="auto"/>
          <w:sz w:val="24"/>
          <w:highlight w:val="none"/>
        </w:rPr>
      </w:pP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pPr>
        <w:snapToGrid w:val="0"/>
        <w:spacing w:before="120" w:beforeLines="50" w:after="50" w:line="440" w:lineRule="exact"/>
        <w:jc w:val="left"/>
        <w:rPr>
          <w:rFonts w:ascii="仿宋" w:hAnsi="仿宋" w:eastAsia="仿宋"/>
          <w:b/>
          <w:color w:val="auto"/>
          <w:sz w:val="24"/>
          <w:szCs w:val="20"/>
          <w:highlight w:val="none"/>
        </w:rPr>
      </w:pPr>
      <w:r>
        <w:rPr>
          <w:rFonts w:ascii="仿宋" w:hAnsi="仿宋" w:eastAsia="仿宋"/>
          <w:color w:val="auto"/>
          <w:highlight w:val="none"/>
          <w:u w:val="single"/>
        </w:rPr>
        <w:br w:type="page"/>
      </w:r>
      <w:r>
        <w:rPr>
          <w:rFonts w:hint="eastAsia" w:ascii="仿宋" w:hAnsi="仿宋" w:eastAsia="仿宋"/>
          <w:b/>
          <w:color w:val="auto"/>
          <w:sz w:val="24"/>
          <w:highlight w:val="none"/>
        </w:rPr>
        <w:t>4. 开标一览表（货物类格式）</w:t>
      </w:r>
    </w:p>
    <w:p>
      <w:pPr>
        <w:snapToGrid w:val="0"/>
        <w:spacing w:before="50" w:after="50"/>
        <w:jc w:val="center"/>
        <w:rPr>
          <w:rFonts w:ascii="仿宋" w:hAnsi="仿宋" w:eastAsia="仿宋"/>
          <w:b/>
          <w:color w:val="auto"/>
          <w:sz w:val="30"/>
          <w:highlight w:val="none"/>
        </w:rPr>
      </w:pPr>
      <w:r>
        <w:rPr>
          <w:rFonts w:hint="eastAsia" w:ascii="仿宋" w:hAnsi="仿宋" w:eastAsia="仿宋"/>
          <w:b/>
          <w:color w:val="auto"/>
          <w:sz w:val="30"/>
          <w:highlight w:val="none"/>
        </w:rPr>
        <w:t>开标一览表</w:t>
      </w:r>
    </w:p>
    <w:p>
      <w:pPr>
        <w:snapToGrid w:val="0"/>
        <w:spacing w:before="50" w:after="50"/>
        <w:jc w:val="center"/>
        <w:rPr>
          <w:rFonts w:ascii="仿宋" w:hAnsi="仿宋" w:eastAsia="仿宋"/>
          <w:b/>
          <w:color w:val="auto"/>
          <w:sz w:val="30"/>
          <w:szCs w:val="20"/>
          <w:highlight w:val="none"/>
        </w:rPr>
      </w:pPr>
    </w:p>
    <w:p>
      <w:pPr>
        <w:snapToGrid w:val="0"/>
        <w:spacing w:before="50" w:after="50" w:line="360" w:lineRule="auto"/>
        <w:rPr>
          <w:rFonts w:ascii="仿宋" w:hAnsi="仿宋" w:eastAsia="仿宋"/>
          <w:color w:val="auto"/>
          <w:sz w:val="24"/>
          <w:highlight w:val="none"/>
          <w:u w:val="single"/>
        </w:rPr>
      </w:pPr>
      <w:r>
        <w:rPr>
          <w:rFonts w:hint="eastAsia" w:ascii="仿宋" w:hAnsi="仿宋" w:eastAsia="仿宋"/>
          <w:color w:val="auto"/>
          <w:sz w:val="24"/>
          <w:highlight w:val="none"/>
        </w:rPr>
        <w:t>项目名称：</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项目编号：</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分标：</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w:t>
      </w:r>
      <w:r>
        <w:rPr>
          <w:rFonts w:hint="eastAsia" w:ascii="仿宋" w:hAnsi="仿宋" w:eastAsia="仿宋"/>
          <w:color w:val="auto"/>
          <w:sz w:val="24"/>
          <w:highlight w:val="none"/>
          <w:u w:val="single"/>
        </w:rPr>
        <w:t xml:space="preserve">     </w:t>
      </w:r>
    </w:p>
    <w:p>
      <w:pPr>
        <w:snapToGrid w:val="0"/>
        <w:spacing w:before="50" w:after="50" w:line="360" w:lineRule="auto"/>
        <w:rPr>
          <w:rFonts w:ascii="仿宋" w:hAnsi="仿宋" w:eastAsia="仿宋"/>
          <w:color w:val="auto"/>
          <w:sz w:val="24"/>
          <w:highlight w:val="none"/>
        </w:rPr>
      </w:pPr>
      <w:r>
        <w:rPr>
          <w:rFonts w:hint="eastAsia" w:ascii="仿宋" w:hAnsi="仿宋" w:eastAsia="仿宋"/>
          <w:color w:val="auto"/>
          <w:sz w:val="24"/>
          <w:highlight w:val="none"/>
        </w:rPr>
        <w:t>投标人名称：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单位：元</w:t>
      </w:r>
    </w:p>
    <w:tbl>
      <w:tblPr>
        <w:tblStyle w:val="27"/>
        <w:tblW w:w="985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701"/>
        <w:gridCol w:w="1048"/>
        <w:gridCol w:w="648"/>
        <w:gridCol w:w="1405"/>
        <w:gridCol w:w="1003"/>
        <w:gridCol w:w="1275"/>
        <w:gridCol w:w="2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标的的名称</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品牌、生产厂家</w:t>
            </w: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ascii="仿宋" w:hAnsi="仿宋" w:eastAsia="仿宋"/>
                <w:b/>
                <w:color w:val="auto"/>
                <w:sz w:val="24"/>
                <w:highlight w:val="none"/>
              </w:rPr>
              <w:t>产地</w:t>
            </w: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规格、型号</w:t>
            </w: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数量及单位①</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单价</w:t>
            </w:r>
          </w:p>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②</w:t>
            </w: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投标报价</w:t>
            </w:r>
          </w:p>
          <w:p>
            <w:pPr>
              <w:snapToGrid w:val="0"/>
              <w:spacing w:before="50" w:after="50" w:line="360" w:lineRule="auto"/>
              <w:jc w:val="center"/>
              <w:rPr>
                <w:rFonts w:ascii="仿宋" w:hAnsi="仿宋" w:eastAsia="仿宋"/>
                <w:b/>
                <w:color w:val="auto"/>
                <w:sz w:val="24"/>
                <w:highlight w:val="none"/>
              </w:rPr>
            </w:pPr>
            <w:r>
              <w:rPr>
                <w:rFonts w:ascii="仿宋" w:hAnsi="仿宋" w:eastAsia="仿宋"/>
                <w:b/>
                <w:color w:val="auto"/>
                <w:sz w:val="24"/>
                <w:highlight w:val="none"/>
              </w:rPr>
              <w:t>③</w:t>
            </w:r>
            <w:r>
              <w:rPr>
                <w:rFonts w:hint="eastAsia" w:ascii="仿宋" w:hAnsi="仿宋" w:eastAsia="仿宋"/>
                <w:b/>
                <w:color w:val="auto"/>
                <w:sz w:val="24"/>
                <w:highlight w:val="none"/>
              </w:rPr>
              <w:t>=①×②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r>
              <w:rPr>
                <w:rFonts w:hint="eastAsia" w:ascii="仿宋" w:hAnsi="仿宋" w:eastAsia="仿宋"/>
                <w:b/>
                <w:color w:val="auto"/>
                <w:sz w:val="24"/>
                <w:highlight w:val="none"/>
              </w:rPr>
              <w:t>……</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仿宋" w:hAnsi="仿宋" w:eastAsia="仿宋"/>
                <w:b/>
                <w:color w:val="auto"/>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c>
          <w:tcPr>
            <w:tcW w:w="2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9854"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仿宋" w:hAnsi="仿宋" w:eastAsia="仿宋"/>
                <w:color w:val="auto"/>
                <w:sz w:val="24"/>
                <w:highlight w:val="none"/>
              </w:rPr>
            </w:pPr>
            <w:r>
              <w:rPr>
                <w:rFonts w:hint="eastAsia" w:ascii="仿宋" w:hAnsi="仿宋" w:eastAsia="仿宋" w:cs="仿宋_GB2312"/>
                <w:color w:val="auto"/>
                <w:sz w:val="24"/>
                <w:highlight w:val="none"/>
              </w:rPr>
              <w:t>合计金额大写：人民币</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w:t>
            </w:r>
            <w:r>
              <w:rPr>
                <w:rFonts w:ascii="Calibri" w:hAnsi="Calibri" w:eastAsia="仿宋" w:cs="仿宋_GB2312"/>
                <w:color w:val="auto"/>
                <w:sz w:val="24"/>
                <w:highlight w:val="none"/>
              </w:rPr>
              <w:t>¥</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w:t>
            </w:r>
          </w:p>
        </w:tc>
      </w:tr>
    </w:tbl>
    <w:p>
      <w:pPr>
        <w:snapToGrid w:val="0"/>
        <w:spacing w:before="50" w:after="50" w:line="360" w:lineRule="auto"/>
        <w:jc w:val="left"/>
        <w:rPr>
          <w:rFonts w:ascii="仿宋" w:hAnsi="仿宋" w:eastAsia="仿宋"/>
          <w:color w:val="auto"/>
          <w:sz w:val="24"/>
          <w:highlight w:val="none"/>
        </w:rPr>
      </w:pPr>
      <w:r>
        <w:rPr>
          <w:rFonts w:hint="eastAsia" w:ascii="仿宋" w:hAnsi="仿宋" w:eastAsia="仿宋"/>
          <w:color w:val="auto"/>
          <w:sz w:val="24"/>
          <w:highlight w:val="none"/>
        </w:rPr>
        <w:t xml:space="preserve">注: </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1.投标人的开标一览表必须加盖投标人公章并由</w:t>
      </w:r>
      <w:r>
        <w:rPr>
          <w:rFonts w:ascii="仿宋" w:hAnsi="仿宋" w:eastAsia="仿宋"/>
          <w:color w:val="auto"/>
          <w:sz w:val="24"/>
          <w:highlight w:val="none"/>
        </w:rPr>
        <w:t>法定代表人或者委托代理人</w:t>
      </w:r>
      <w:r>
        <w:rPr>
          <w:rFonts w:hint="eastAsia" w:ascii="仿宋" w:hAnsi="仿宋" w:eastAsia="仿宋"/>
          <w:color w:val="auto"/>
          <w:sz w:val="24"/>
          <w:highlight w:val="none"/>
        </w:rPr>
        <w:t>签字，</w:t>
      </w:r>
      <w:r>
        <w:rPr>
          <w:rFonts w:hint="eastAsia" w:ascii="仿宋" w:hAnsi="仿宋" w:eastAsia="仿宋"/>
          <w:b/>
          <w:color w:val="auto"/>
          <w:sz w:val="24"/>
          <w:highlight w:val="none"/>
        </w:rPr>
        <w:t>否则其投标作无效标处理</w:t>
      </w:r>
      <w:r>
        <w:rPr>
          <w:rFonts w:hint="eastAsia" w:ascii="仿宋" w:hAnsi="仿宋" w:eastAsia="仿宋"/>
          <w:color w:val="auto"/>
          <w:sz w:val="24"/>
          <w:highlight w:val="none"/>
        </w:rPr>
        <w:t>。</w:t>
      </w:r>
    </w:p>
    <w:p>
      <w:pPr>
        <w:snapToGrid w:val="0"/>
        <w:spacing w:before="50" w:after="50" w:line="360" w:lineRule="auto"/>
        <w:ind w:firstLine="480" w:firstLineChars="200"/>
        <w:jc w:val="left"/>
        <w:rPr>
          <w:rFonts w:ascii="仿宋" w:hAnsi="仿宋" w:eastAsia="仿宋"/>
          <w:b/>
          <w:color w:val="auto"/>
          <w:sz w:val="24"/>
          <w:highlight w:val="none"/>
        </w:rPr>
      </w:pPr>
      <w:r>
        <w:rPr>
          <w:rFonts w:hint="eastAsia" w:ascii="仿宋" w:hAnsi="仿宋" w:eastAsia="仿宋"/>
          <w:bCs/>
          <w:color w:val="auto"/>
          <w:sz w:val="24"/>
          <w:highlight w:val="none"/>
        </w:rPr>
        <w:t>2.</w:t>
      </w:r>
      <w:r>
        <w:rPr>
          <w:rFonts w:hint="eastAsia" w:ascii="仿宋" w:hAnsi="仿宋" w:eastAsia="仿宋"/>
          <w:color w:val="auto"/>
          <w:sz w:val="24"/>
          <w:highlight w:val="none"/>
        </w:rPr>
        <w:t>报价一经涂改，应在涂改处加盖投标人公章或者由法定代表人或者委托代理人签字或者盖章</w:t>
      </w:r>
      <w:r>
        <w:rPr>
          <w:rFonts w:hint="eastAsia" w:ascii="仿宋" w:hAnsi="仿宋" w:eastAsia="仿宋"/>
          <w:b/>
          <w:color w:val="auto"/>
          <w:sz w:val="24"/>
          <w:highlight w:val="none"/>
        </w:rPr>
        <w:t>，否则其投标作无效标处理。</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3.招标文件中列明采购专用耗材的，应按招标文件规定的耗材量或者按耗材的常规试用量提供报价。</w:t>
      </w:r>
    </w:p>
    <w:p>
      <w:pPr>
        <w:snapToGrid w:val="0"/>
        <w:spacing w:before="50" w:after="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4.如为联合体投标，“投标人名称”处必须列明联合体各方名称，并标注联合体牵头人名称，</w:t>
      </w:r>
      <w:r>
        <w:rPr>
          <w:rFonts w:hint="eastAsia" w:ascii="仿宋" w:hAnsi="仿宋" w:eastAsia="仿宋"/>
          <w:b/>
          <w:color w:val="auto"/>
          <w:sz w:val="24"/>
          <w:highlight w:val="none"/>
        </w:rPr>
        <w:t>否则其投标作无效标处理。</w:t>
      </w:r>
    </w:p>
    <w:p>
      <w:pPr>
        <w:snapToGrid w:val="0"/>
        <w:spacing w:before="50" w:after="50" w:line="360" w:lineRule="auto"/>
        <w:ind w:firstLine="456" w:firstLineChars="200"/>
        <w:jc w:val="left"/>
        <w:rPr>
          <w:rFonts w:ascii="仿宋" w:hAnsi="仿宋" w:eastAsia="仿宋"/>
          <w:color w:val="auto"/>
          <w:spacing w:val="-6"/>
          <w:sz w:val="24"/>
          <w:highlight w:val="none"/>
        </w:rPr>
      </w:pPr>
      <w:r>
        <w:rPr>
          <w:rFonts w:hint="eastAsia" w:ascii="仿宋" w:hAnsi="仿宋" w:eastAsia="仿宋"/>
          <w:color w:val="auto"/>
          <w:spacing w:val="-6"/>
          <w:sz w:val="24"/>
          <w:highlight w:val="none"/>
        </w:rPr>
        <w:t>5.如为联合体投标，盖章处须加盖联合体各方公章，</w:t>
      </w:r>
      <w:r>
        <w:rPr>
          <w:rFonts w:hint="eastAsia" w:ascii="仿宋" w:hAnsi="仿宋" w:eastAsia="仿宋"/>
          <w:b/>
          <w:color w:val="auto"/>
          <w:spacing w:val="-6"/>
          <w:sz w:val="24"/>
          <w:highlight w:val="none"/>
        </w:rPr>
        <w:t>否则其投标作无效标处理。</w:t>
      </w:r>
    </w:p>
    <w:p>
      <w:pPr>
        <w:snapToGrid w:val="0"/>
        <w:spacing w:before="50" w:after="50" w:line="360" w:lineRule="auto"/>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6.如有多分标，按分标分别提供开标一览表，</w:t>
      </w:r>
      <w:r>
        <w:rPr>
          <w:rFonts w:hint="eastAsia" w:ascii="仿宋" w:hAnsi="仿宋" w:eastAsia="仿宋"/>
          <w:b/>
          <w:color w:val="auto"/>
          <w:sz w:val="24"/>
          <w:highlight w:val="none"/>
        </w:rPr>
        <w:t>否则投标无效。</w:t>
      </w:r>
    </w:p>
    <w:p>
      <w:pPr>
        <w:snapToGrid w:val="0"/>
        <w:spacing w:before="50" w:after="50" w:line="360" w:lineRule="auto"/>
        <w:ind w:firstLine="482" w:firstLineChars="200"/>
        <w:rPr>
          <w:rFonts w:ascii="仿宋" w:hAnsi="仿宋" w:eastAsia="仿宋"/>
          <w:b/>
          <w:color w:val="auto"/>
          <w:sz w:val="24"/>
          <w:highlight w:val="none"/>
        </w:rPr>
      </w:pPr>
    </w:p>
    <w:p>
      <w:pPr>
        <w:snapToGrid w:val="0"/>
        <w:spacing w:before="50" w:after="50" w:line="360" w:lineRule="auto"/>
        <w:ind w:left="-2" w:leftChars="-1" w:right="-817" w:rightChars="-389"/>
        <w:rPr>
          <w:rFonts w:ascii="仿宋" w:hAnsi="仿宋" w:eastAsia="仿宋"/>
          <w:color w:val="auto"/>
          <w:sz w:val="24"/>
          <w:highlight w:val="none"/>
        </w:rPr>
      </w:pPr>
      <w:r>
        <w:rPr>
          <w:rFonts w:hint="eastAsia" w:ascii="仿宋" w:hAnsi="仿宋" w:eastAsia="仿宋"/>
          <w:color w:val="auto"/>
          <w:sz w:val="24"/>
          <w:highlight w:val="none"/>
        </w:rPr>
        <w:t xml:space="preserve">法定代表人或者委托代理人（签字）：                    </w:t>
      </w:r>
    </w:p>
    <w:p>
      <w:pPr>
        <w:snapToGrid w:val="0"/>
        <w:spacing w:before="50" w:after="50" w:line="360" w:lineRule="auto"/>
        <w:ind w:left="-3" w:leftChars="-15" w:right="-817" w:rightChars="-389" w:hanging="28" w:hangingChars="12"/>
        <w:rPr>
          <w:rFonts w:ascii="仿宋" w:hAnsi="仿宋" w:eastAsia="仿宋"/>
          <w:color w:val="auto"/>
          <w:szCs w:val="21"/>
          <w:highlight w:val="none"/>
        </w:rPr>
      </w:pPr>
      <w:r>
        <w:rPr>
          <w:rFonts w:hint="eastAsia" w:ascii="仿宋" w:hAnsi="仿宋" w:eastAsia="仿宋"/>
          <w:color w:val="auto"/>
          <w:sz w:val="24"/>
          <w:highlight w:val="none"/>
        </w:rPr>
        <w:t>投标人（盖公章）：                                 日期：    年   月   日</w:t>
      </w:r>
    </w:p>
    <w:p>
      <w:pPr>
        <w:rPr>
          <w:rFonts w:ascii="仿宋" w:hAnsi="仿宋" w:eastAsia="仿宋"/>
          <w:b/>
          <w:color w:val="auto"/>
          <w:sz w:val="28"/>
          <w:szCs w:val="28"/>
          <w:highlight w:val="none"/>
        </w:rPr>
      </w:pPr>
      <w:r>
        <w:rPr>
          <w:rFonts w:ascii="仿宋" w:hAnsi="仿宋" w:eastAsia="仿宋"/>
          <w:b/>
          <w:bCs/>
          <w:color w:val="auto"/>
          <w:sz w:val="24"/>
          <w:highlight w:val="none"/>
        </w:rPr>
        <w:br w:type="page"/>
      </w:r>
      <w:bookmarkStart w:id="145" w:name="_Toc19686837"/>
      <w:r>
        <w:rPr>
          <w:rFonts w:hint="eastAsia" w:ascii="仿宋" w:hAnsi="仿宋" w:eastAsia="仿宋"/>
          <w:b/>
          <w:color w:val="auto"/>
          <w:sz w:val="28"/>
          <w:szCs w:val="28"/>
          <w:highlight w:val="none"/>
        </w:rPr>
        <w:t>二、资格证明文件格式</w:t>
      </w:r>
      <w:bookmarkEnd w:id="143"/>
      <w:bookmarkEnd w:id="144"/>
      <w:bookmarkEnd w:id="145"/>
    </w:p>
    <w:p>
      <w:pPr>
        <w:numPr>
          <w:ilvl w:val="2"/>
          <w:numId w:val="8"/>
        </w:numPr>
        <w:snapToGrid w:val="0"/>
        <w:spacing w:before="120" w:beforeLines="50" w:after="50" w:line="360" w:lineRule="auto"/>
        <w:ind w:left="0" w:firstLine="0"/>
        <w:jc w:val="left"/>
        <w:rPr>
          <w:rFonts w:ascii="仿宋" w:hAnsi="仿宋" w:eastAsia="仿宋"/>
          <w:b/>
          <w:color w:val="auto"/>
          <w:sz w:val="24"/>
          <w:highlight w:val="none"/>
        </w:rPr>
      </w:pPr>
      <w:r>
        <w:rPr>
          <w:rFonts w:hint="eastAsia" w:ascii="仿宋" w:hAnsi="仿宋" w:eastAsia="仿宋"/>
          <w:b/>
          <w:color w:val="auto"/>
          <w:sz w:val="24"/>
          <w:highlight w:val="none"/>
        </w:rPr>
        <w:t xml:space="preserve">资格证明文件封面格式： </w:t>
      </w:r>
    </w:p>
    <w:p>
      <w:pPr>
        <w:snapToGrid w:val="0"/>
        <w:spacing w:before="120" w:beforeLines="50" w:after="50"/>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b/>
          <w:color w:val="auto"/>
          <w:sz w:val="24"/>
          <w:szCs w:val="20"/>
          <w:highlight w:val="none"/>
        </w:rPr>
      </w:pPr>
      <w:r>
        <w:rPr>
          <w:rFonts w:hint="eastAsia" w:ascii="仿宋" w:hAnsi="仿宋" w:eastAsia="仿宋"/>
          <w:b/>
          <w:color w:val="auto"/>
          <w:sz w:val="32"/>
          <w:szCs w:val="32"/>
          <w:highlight w:val="none"/>
        </w:rPr>
        <w:t>资 格 证 明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ascii="仿宋" w:hAnsi="仿宋" w:eastAsia="仿宋"/>
          <w:bCs/>
          <w:color w:val="auto"/>
          <w:sz w:val="24"/>
          <w:szCs w:val="20"/>
          <w:highlight w:val="none"/>
        </w:rPr>
      </w:pPr>
      <w:r>
        <w:rPr>
          <w:rFonts w:hint="eastAsia" w:ascii="仿宋" w:hAnsi="仿宋" w:eastAsia="仿宋"/>
          <w:bCs/>
          <w:color w:val="auto"/>
          <w:sz w:val="24"/>
          <w:highlight w:val="none"/>
        </w:rPr>
        <w:t xml:space="preserve"> </w:t>
      </w: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ind w:firstLine="540" w:firstLineChars="225"/>
        <w:rPr>
          <w:rFonts w:ascii="仿宋" w:hAnsi="仿宋" w:eastAsia="仿宋"/>
          <w:bCs/>
          <w:color w:val="auto"/>
          <w:sz w:val="24"/>
          <w:highlight w:val="none"/>
        </w:rPr>
      </w:pPr>
    </w:p>
    <w:p>
      <w:pPr>
        <w:pStyle w:val="8"/>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8"/>
        <w:snapToGrid w:val="0"/>
        <w:spacing w:before="50" w:after="50"/>
        <w:ind w:firstLine="540" w:firstLineChars="225"/>
        <w:rPr>
          <w:rFonts w:ascii="仿宋" w:hAnsi="仿宋" w:eastAsia="仿宋"/>
          <w:bCs/>
          <w:color w:val="auto"/>
          <w:sz w:val="24"/>
          <w:szCs w:val="24"/>
          <w:highlight w:val="none"/>
        </w:rPr>
      </w:pPr>
    </w:p>
    <w:p>
      <w:pPr>
        <w:pStyle w:val="8"/>
        <w:snapToGrid w:val="0"/>
        <w:spacing w:before="50" w:after="50"/>
        <w:ind w:firstLine="960" w:firstLineChars="400"/>
        <w:rPr>
          <w:rFonts w:ascii="仿宋" w:hAnsi="仿宋" w:eastAsia="仿宋"/>
          <w:bCs/>
          <w:color w:val="auto"/>
          <w:sz w:val="24"/>
          <w:szCs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rPr>
          <w:rFonts w:ascii="仿宋" w:hAnsi="仿宋" w:eastAsia="仿宋"/>
          <w:color w:val="auto"/>
          <w:sz w:val="24"/>
          <w:szCs w:val="20"/>
          <w:highlight w:val="none"/>
        </w:rPr>
      </w:pPr>
      <w:r>
        <w:rPr>
          <w:rFonts w:ascii="仿宋" w:hAnsi="仿宋" w:eastAsia="仿宋"/>
          <w:color w:val="auto"/>
          <w:sz w:val="24"/>
          <w:szCs w:val="20"/>
          <w:highlight w:val="none"/>
        </w:rPr>
        <w:t xml:space="preserve"> </w:t>
      </w:r>
    </w:p>
    <w:p>
      <w:pPr>
        <w:snapToGrid w:val="0"/>
        <w:spacing w:before="120" w:beforeLines="50" w:after="50"/>
        <w:rPr>
          <w:rFonts w:ascii="仿宋" w:hAnsi="仿宋" w:eastAsia="仿宋"/>
          <w:color w:val="auto"/>
          <w:sz w:val="24"/>
          <w:szCs w:val="20"/>
          <w:highlight w:val="none"/>
        </w:rPr>
      </w:pPr>
    </w:p>
    <w:p>
      <w:pPr>
        <w:numPr>
          <w:ilvl w:val="2"/>
          <w:numId w:val="8"/>
        </w:numPr>
        <w:snapToGrid w:val="0"/>
        <w:spacing w:before="120" w:beforeLines="50" w:after="50" w:line="360" w:lineRule="auto"/>
        <w:ind w:left="0" w:firstLine="0"/>
        <w:jc w:val="left"/>
        <w:rPr>
          <w:rFonts w:ascii="仿宋" w:hAnsi="仿宋" w:eastAsia="仿宋"/>
          <w:color w:val="auto"/>
          <w:sz w:val="24"/>
          <w:szCs w:val="20"/>
          <w:highlight w:val="none"/>
        </w:rPr>
      </w:pPr>
      <w:r>
        <w:rPr>
          <w:rFonts w:ascii="仿宋" w:hAnsi="仿宋" w:eastAsia="仿宋"/>
          <w:b/>
          <w:bCs/>
          <w:color w:val="auto"/>
          <w:sz w:val="24"/>
          <w:highlight w:val="none"/>
        </w:rPr>
        <w:br w:type="page"/>
      </w:r>
      <w:r>
        <w:rPr>
          <w:rFonts w:hint="eastAsia" w:ascii="仿宋" w:hAnsi="仿宋" w:eastAsia="仿宋"/>
          <w:b/>
          <w:bCs/>
          <w:color w:val="auto"/>
          <w:sz w:val="24"/>
          <w:highlight w:val="none"/>
        </w:rPr>
        <w:t>资格证明文件目录</w:t>
      </w:r>
    </w:p>
    <w:p>
      <w:pPr>
        <w:snapToGrid w:val="0"/>
        <w:spacing w:line="360" w:lineRule="auto"/>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根据招标文件规定及投标人提供的材料自行编写目录。</w:t>
      </w:r>
    </w:p>
    <w:p>
      <w:pPr>
        <w:snapToGrid w:val="0"/>
        <w:spacing w:before="50" w:after="120" w:afterLines="50"/>
        <w:jc w:val="left"/>
        <w:rPr>
          <w:rFonts w:ascii="仿宋" w:hAnsi="仿宋" w:eastAsia="仿宋"/>
          <w:color w:val="auto"/>
          <w:sz w:val="24"/>
          <w:highlight w:val="none"/>
        </w:rPr>
      </w:pPr>
    </w:p>
    <w:p>
      <w:pPr>
        <w:snapToGrid w:val="0"/>
        <w:spacing w:before="50" w:after="120" w:afterLines="50"/>
        <w:jc w:val="left"/>
        <w:rPr>
          <w:rFonts w:ascii="仿宋" w:hAnsi="仿宋" w:eastAsia="仿宋"/>
          <w:color w:val="auto"/>
          <w:sz w:val="24"/>
          <w:highlight w:val="none"/>
        </w:rPr>
      </w:pPr>
    </w:p>
    <w:p>
      <w:pPr>
        <w:numPr>
          <w:ilvl w:val="2"/>
          <w:numId w:val="8"/>
        </w:numPr>
        <w:snapToGrid w:val="0"/>
        <w:spacing w:before="120" w:beforeLines="50" w:after="50"/>
        <w:ind w:left="0" w:firstLine="0"/>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投标人直接控股、管理关系信息表</w:t>
      </w:r>
    </w:p>
    <w:p>
      <w:pPr>
        <w:snapToGrid w:val="0"/>
        <w:spacing w:before="50" w:after="120" w:afterLines="50"/>
        <w:jc w:val="center"/>
        <w:rPr>
          <w:rFonts w:ascii="仿宋" w:hAnsi="仿宋" w:eastAsia="仿宋"/>
          <w:b/>
          <w:color w:val="auto"/>
          <w:sz w:val="28"/>
          <w:szCs w:val="28"/>
          <w:highlight w:val="none"/>
        </w:rPr>
      </w:pPr>
    </w:p>
    <w:p>
      <w:pPr>
        <w:snapToGrid w:val="0"/>
        <w:spacing w:before="50" w:after="120" w:afterLines="50"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投标人直接控股股东信息表</w:t>
      </w:r>
    </w:p>
    <w:tbl>
      <w:tblPr>
        <w:tblStyle w:val="27"/>
        <w:tblW w:w="9476" w:type="dxa"/>
        <w:jc w:val="center"/>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Layout w:type="fixed"/>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bl>
    <w:p>
      <w:pPr>
        <w:snapToGrid w:val="0"/>
        <w:spacing w:before="120" w:beforeLines="50" w:line="360" w:lineRule="auto"/>
        <w:jc w:val="left"/>
        <w:rPr>
          <w:rFonts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3.供应商不存在直接控股股东的，则填“无”。</w:t>
      </w: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before="120" w:beforeLines="50" w:line="360" w:lineRule="auto"/>
        <w:ind w:right="480" w:firstLine="3967" w:firstLineChars="1653"/>
        <w:rPr>
          <w:rFonts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 w:val="24"/>
          <w:highlight w:val="none"/>
          <w:u w:val="single"/>
        </w:rPr>
      </w:pPr>
      <w:r>
        <w:rPr>
          <w:rFonts w:hint="eastAsia" w:ascii="仿宋" w:hAnsi="仿宋" w:eastAsia="仿宋"/>
          <w:color w:val="auto"/>
          <w:sz w:val="24"/>
          <w:highlight w:val="none"/>
        </w:rPr>
        <w:t>投标人（盖公章）：</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Cs w:val="21"/>
          <w:highlight w:val="none"/>
        </w:rPr>
      </w:pPr>
      <w:r>
        <w:rPr>
          <w:rFonts w:hint="eastAsia" w:ascii="仿宋" w:hAnsi="仿宋" w:eastAsia="仿宋"/>
          <w:color w:val="auto"/>
          <w:sz w:val="24"/>
          <w:highlight w:val="none"/>
        </w:rPr>
        <w:t>年    月    日</w:t>
      </w:r>
    </w:p>
    <w:p>
      <w:pPr>
        <w:snapToGrid w:val="0"/>
        <w:jc w:val="center"/>
        <w:rPr>
          <w:rFonts w:ascii="仿宋" w:hAnsi="仿宋" w:eastAsia="仿宋"/>
          <w:b/>
          <w:color w:val="auto"/>
          <w:sz w:val="28"/>
          <w:szCs w:val="28"/>
          <w:highlight w:val="none"/>
        </w:rPr>
      </w:pPr>
    </w:p>
    <w:p>
      <w:pPr>
        <w:snapToGrid w:val="0"/>
        <w:spacing w:line="360" w:lineRule="auto"/>
        <w:jc w:val="center"/>
        <w:rPr>
          <w:rFonts w:ascii="仿宋" w:hAnsi="仿宋" w:eastAsia="仿宋"/>
          <w:color w:val="auto"/>
          <w:sz w:val="32"/>
          <w:szCs w:val="32"/>
          <w:highlight w:val="none"/>
        </w:rPr>
      </w:pPr>
      <w:r>
        <w:rPr>
          <w:rFonts w:ascii="仿宋" w:hAnsi="仿宋" w:eastAsia="仿宋"/>
          <w:b/>
          <w:color w:val="auto"/>
          <w:sz w:val="32"/>
          <w:szCs w:val="32"/>
          <w:highlight w:val="none"/>
        </w:rPr>
        <w:br w:type="page"/>
      </w:r>
      <w:r>
        <w:rPr>
          <w:rFonts w:hint="eastAsia" w:ascii="仿宋" w:hAnsi="仿宋" w:eastAsia="仿宋"/>
          <w:b/>
          <w:color w:val="auto"/>
          <w:sz w:val="32"/>
          <w:szCs w:val="32"/>
          <w:highlight w:val="none"/>
        </w:rPr>
        <w:t>投标人直接管理关系信息表</w:t>
      </w:r>
    </w:p>
    <w:tbl>
      <w:tblPr>
        <w:tblStyle w:val="27"/>
        <w:tblW w:w="9652" w:type="dxa"/>
        <w:jc w:val="center"/>
        <w:tblInd w:w="0" w:type="dxa"/>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color w:val="auto"/>
                <w:kern w:val="0"/>
                <w:sz w:val="24"/>
                <w:highlight w:val="none"/>
              </w:rPr>
            </w:pPr>
          </w:p>
        </w:tc>
      </w:tr>
    </w:tbl>
    <w:p>
      <w:pPr>
        <w:snapToGri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注：</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3.供应商不存在直接管理关系的，则填“无”。</w:t>
      </w: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line="360" w:lineRule="auto"/>
        <w:jc w:val="left"/>
        <w:rPr>
          <w:rFonts w:ascii="仿宋" w:hAnsi="仿宋" w:eastAsia="仿宋"/>
          <w:color w:val="auto"/>
          <w:sz w:val="24"/>
          <w:highlight w:val="none"/>
        </w:rPr>
      </w:pPr>
    </w:p>
    <w:p>
      <w:pPr>
        <w:snapToGrid w:val="0"/>
        <w:spacing w:before="120" w:beforeLines="50" w:line="360" w:lineRule="auto"/>
        <w:ind w:right="480" w:firstLine="3967" w:firstLineChars="1653"/>
        <w:rPr>
          <w:rFonts w:ascii="仿宋" w:hAnsi="仿宋" w:eastAsia="仿宋"/>
          <w:color w:val="auto"/>
          <w:sz w:val="24"/>
          <w:highlight w:val="none"/>
          <w:u w:val="single"/>
        </w:rPr>
      </w:pPr>
      <w:r>
        <w:rPr>
          <w:rFonts w:hint="eastAsia" w:ascii="仿宋" w:hAnsi="仿宋" w:eastAsia="仿宋"/>
          <w:color w:val="auto"/>
          <w:sz w:val="24"/>
          <w:highlight w:val="none"/>
        </w:rPr>
        <w:t>法定代表人或者委托代理人（签字）：</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5520" w:firstLineChars="2300"/>
        <w:rPr>
          <w:rFonts w:ascii="仿宋" w:hAnsi="仿宋" w:eastAsia="仿宋"/>
          <w:color w:val="auto"/>
          <w:sz w:val="24"/>
          <w:highlight w:val="none"/>
        </w:rPr>
      </w:pPr>
      <w:r>
        <w:rPr>
          <w:rFonts w:hint="eastAsia" w:ascii="仿宋" w:hAnsi="仿宋" w:eastAsia="仿宋"/>
          <w:color w:val="auto"/>
          <w:sz w:val="24"/>
          <w:highlight w:val="none"/>
        </w:rPr>
        <w:t>投标人（盖公章）：</w:t>
      </w:r>
      <w:r>
        <w:rPr>
          <w:rFonts w:hint="eastAsia" w:ascii="仿宋" w:hAnsi="仿宋" w:eastAsia="仿宋"/>
          <w:color w:val="auto"/>
          <w:sz w:val="24"/>
          <w:highlight w:val="none"/>
          <w:u w:val="single"/>
        </w:rPr>
        <w:t xml:space="preserve">                 </w:t>
      </w:r>
    </w:p>
    <w:p>
      <w:pPr>
        <w:snapToGrid w:val="0"/>
        <w:spacing w:before="120" w:beforeLines="50" w:after="50" w:line="360" w:lineRule="auto"/>
        <w:ind w:right="480" w:firstLine="240" w:firstLineChars="100"/>
        <w:jc w:val="right"/>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50" w:after="120" w:afterLines="50"/>
        <w:jc w:val="left"/>
        <w:rPr>
          <w:rFonts w:ascii="仿宋" w:hAnsi="仿宋" w:eastAsia="仿宋"/>
          <w:color w:val="auto"/>
          <w:szCs w:val="21"/>
          <w:highlight w:val="none"/>
        </w:rPr>
      </w:pPr>
    </w:p>
    <w:p>
      <w:pPr>
        <w:snapToGrid w:val="0"/>
        <w:spacing w:before="120" w:beforeLines="50" w:after="50"/>
        <w:jc w:val="left"/>
        <w:rPr>
          <w:rFonts w:ascii="仿宋" w:hAnsi="仿宋" w:eastAsia="仿宋"/>
          <w:b/>
          <w:color w:val="auto"/>
          <w:sz w:val="24"/>
          <w:szCs w:val="20"/>
          <w:highlight w:val="none"/>
        </w:rPr>
      </w:pPr>
    </w:p>
    <w:p>
      <w:pPr>
        <w:numPr>
          <w:ilvl w:val="2"/>
          <w:numId w:val="8"/>
        </w:numPr>
        <w:snapToGrid w:val="0"/>
        <w:spacing w:before="120" w:beforeLines="50" w:after="50"/>
        <w:ind w:left="0" w:firstLine="0"/>
        <w:jc w:val="left"/>
        <w:rPr>
          <w:rFonts w:ascii="仿宋" w:hAnsi="仿宋" w:eastAsia="仿宋"/>
          <w:b/>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投标声明格式</w:t>
      </w:r>
    </w:p>
    <w:p>
      <w:pPr>
        <w:snapToGrid w:val="0"/>
        <w:spacing w:before="50" w:after="120" w:afterLines="50"/>
        <w:jc w:val="left"/>
        <w:rPr>
          <w:rFonts w:ascii="仿宋" w:hAnsi="仿宋" w:eastAsia="仿宋"/>
          <w:color w:val="auto"/>
          <w:highlight w:val="none"/>
        </w:rPr>
      </w:pPr>
    </w:p>
    <w:p>
      <w:pPr>
        <w:snapToGrid w:val="0"/>
        <w:spacing w:before="50" w:after="120" w:afterLines="50"/>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投标声明</w:t>
      </w:r>
    </w:p>
    <w:p>
      <w:pPr>
        <w:snapToGrid w:val="0"/>
        <w:spacing w:before="50" w:after="120" w:afterLines="50"/>
        <w:jc w:val="center"/>
        <w:rPr>
          <w:rFonts w:ascii="仿宋" w:hAnsi="仿宋" w:eastAsia="仿宋" w:cs="方正小标宋简体"/>
          <w:bCs/>
          <w:color w:val="auto"/>
          <w:sz w:val="44"/>
          <w:szCs w:val="44"/>
          <w:highlight w:val="none"/>
        </w:rPr>
      </w:pP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（采购人名称）：</w:t>
      </w:r>
    </w:p>
    <w:p>
      <w:pPr>
        <w:spacing w:line="400" w:lineRule="exact"/>
        <w:ind w:firstLine="523" w:firstLineChars="218"/>
        <w:contextualSpacing/>
        <w:jc w:val="left"/>
        <w:rPr>
          <w:rFonts w:ascii="仿宋" w:hAnsi="仿宋" w:eastAsia="仿宋"/>
          <w:color w:val="auto"/>
          <w:sz w:val="24"/>
          <w:highlight w:val="none"/>
        </w:rPr>
      </w:pPr>
      <w:r>
        <w:rPr>
          <w:rFonts w:hint="eastAsia" w:ascii="仿宋" w:hAnsi="仿宋" w:eastAsia="仿宋"/>
          <w:color w:val="auto"/>
          <w:sz w:val="24"/>
          <w:highlight w:val="none"/>
        </w:rPr>
        <w:t>我方参加贵单位组织</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项目（项目编号：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）的政府采购活动。我方在此郑重声明：</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2.我方不是为本次采购项目提供整体设计、规范编制或者项目管理、监理、检测等服务的供应商。</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3. 我方承诺符合《中华人民共和国政府采购法》第二十二条规定：</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（一）具有独立承担民事责任的能力；</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（二）具有良好的商业信誉和健全的财务会计制度；</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（三）具有履行合同所必需的设备和专业技术能力；</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（四）有依法缴纳税收和社会保障资金的良好记录；</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（五）参加政府采购活动前三年内，在经营活动中没有重大违法记录；</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（六）法律、行政法规规定的其他条件。</w:t>
      </w:r>
    </w:p>
    <w:p>
      <w:pPr>
        <w:spacing w:line="400" w:lineRule="exact"/>
        <w:ind w:firstLine="480" w:firstLineChars="200"/>
        <w:contextualSpacing/>
        <w:jc w:val="left"/>
        <w:rPr>
          <w:rFonts w:ascii="仿宋" w:hAnsi="仿宋" w:eastAsia="仿宋"/>
          <w:color w:val="auto"/>
          <w:sz w:val="24"/>
          <w:highlight w:val="none"/>
        </w:rPr>
      </w:pPr>
      <w:r>
        <w:rPr>
          <w:rFonts w:hint="eastAsia" w:ascii="仿宋" w:hAnsi="仿宋" w:eastAsia="仿宋"/>
          <w:color w:val="auto"/>
          <w:sz w:val="24"/>
          <w:highlight w:val="none"/>
        </w:rPr>
        <w:t>4.以上事项如有虚假或者隐瞒，我方愿意承担一切后果，并不再寻求任何旨在减轻或者免除法律责任的辩解。</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特此承诺。</w:t>
      </w:r>
    </w:p>
    <w:p>
      <w:pPr>
        <w:spacing w:line="400" w:lineRule="exact"/>
        <w:contextualSpacing/>
        <w:jc w:val="left"/>
        <w:rPr>
          <w:rFonts w:ascii="仿宋" w:hAnsi="仿宋" w:eastAsia="仿宋"/>
          <w:b/>
          <w:color w:val="auto"/>
          <w:sz w:val="24"/>
          <w:highlight w:val="none"/>
        </w:rPr>
      </w:pPr>
      <w:r>
        <w:rPr>
          <w:rFonts w:hint="eastAsia" w:ascii="仿宋" w:hAnsi="仿宋" w:eastAsia="仿宋"/>
          <w:b/>
          <w:color w:val="auto"/>
          <w:sz w:val="24"/>
          <w:highlight w:val="none"/>
        </w:rPr>
        <w:t xml:space="preserve">    注：如为联合体投标，盖章处须加盖联合体各方公章并由联合体各方法定代表人分别签字，否则投标无效。</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法定代表人（签字或者盖章）：</w:t>
      </w:r>
      <w:r>
        <w:rPr>
          <w:rFonts w:hint="eastAsia" w:ascii="仿宋" w:hAnsi="仿宋" w:eastAsia="仿宋"/>
          <w:color w:val="auto"/>
          <w:sz w:val="24"/>
          <w:highlight w:val="none"/>
          <w:u w:val="single"/>
        </w:rPr>
        <w:t xml:space="preserve">             </w:t>
      </w:r>
    </w:p>
    <w:p>
      <w:pPr>
        <w:spacing w:line="400" w:lineRule="exact"/>
        <w:contextualSpacing/>
        <w:jc w:val="left"/>
        <w:rPr>
          <w:rFonts w:ascii="仿宋" w:hAnsi="仿宋" w:eastAsia="仿宋"/>
          <w:color w:val="auto"/>
          <w:sz w:val="24"/>
          <w:highlight w:val="none"/>
        </w:rPr>
      </w:pPr>
      <w:r>
        <w:rPr>
          <w:rFonts w:hint="eastAsia" w:ascii="仿宋" w:hAnsi="仿宋" w:eastAsia="仿宋"/>
          <w:color w:val="auto"/>
          <w:sz w:val="24"/>
          <w:highlight w:val="none"/>
        </w:rPr>
        <w:t xml:space="preserve">                                          投标人（盖公章）：</w:t>
      </w:r>
      <w:r>
        <w:rPr>
          <w:rFonts w:hint="eastAsia" w:ascii="仿宋" w:hAnsi="仿宋" w:eastAsia="仿宋"/>
          <w:color w:val="auto"/>
          <w:sz w:val="24"/>
          <w:highlight w:val="none"/>
          <w:u w:val="single"/>
        </w:rPr>
        <w:t xml:space="preserve">                 </w:t>
      </w:r>
    </w:p>
    <w:p>
      <w:pPr>
        <w:spacing w:line="400" w:lineRule="exact"/>
        <w:contextualSpacing/>
        <w:jc w:val="left"/>
        <w:rPr>
          <w:rFonts w:ascii="仿宋" w:hAnsi="仿宋" w:eastAsia="仿宋"/>
          <w:color w:val="auto"/>
          <w:highlight w:val="none"/>
        </w:rPr>
      </w:pPr>
      <w:r>
        <w:rPr>
          <w:rFonts w:hint="eastAsia" w:ascii="仿宋" w:hAnsi="仿宋" w:eastAsia="仿宋"/>
          <w:color w:val="auto"/>
          <w:sz w:val="24"/>
          <w:highlight w:val="none"/>
        </w:rPr>
        <w:t xml:space="preserve">                                                  年    月    日</w:t>
      </w:r>
    </w:p>
    <w:p>
      <w:pPr>
        <w:rPr>
          <w:rFonts w:ascii="仿宋" w:hAnsi="仿宋" w:eastAsia="仿宋"/>
          <w:b/>
          <w:color w:val="auto"/>
          <w:sz w:val="28"/>
          <w:szCs w:val="28"/>
          <w:highlight w:val="none"/>
        </w:rPr>
      </w:pPr>
      <w:bookmarkStart w:id="146" w:name="_Toc19686838"/>
      <w:r>
        <w:rPr>
          <w:rFonts w:ascii="仿宋" w:hAnsi="仿宋" w:eastAsia="仿宋"/>
          <w:b/>
          <w:color w:val="auto"/>
          <w:sz w:val="28"/>
          <w:szCs w:val="28"/>
          <w:highlight w:val="none"/>
        </w:rPr>
        <w:br w:type="page"/>
      </w:r>
      <w:r>
        <w:rPr>
          <w:rFonts w:hint="eastAsia" w:ascii="仿宋" w:hAnsi="仿宋" w:eastAsia="仿宋"/>
          <w:b/>
          <w:color w:val="auto"/>
          <w:sz w:val="28"/>
          <w:szCs w:val="28"/>
          <w:highlight w:val="none"/>
        </w:rPr>
        <w:t>三、商务文件格式</w:t>
      </w:r>
      <w:bookmarkEnd w:id="146"/>
    </w:p>
    <w:p>
      <w:pPr>
        <w:snapToGrid w:val="0"/>
        <w:spacing w:before="120" w:beforeLines="50" w:after="50"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 xml:space="preserve">1.商务文件封面格式： </w:t>
      </w:r>
    </w:p>
    <w:p>
      <w:pPr>
        <w:snapToGrid w:val="0"/>
        <w:spacing w:before="120" w:beforeLines="50" w:after="50"/>
        <w:rPr>
          <w:rFonts w:ascii="仿宋" w:hAnsi="仿宋" w:eastAsia="仿宋"/>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商  务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项目名称：</w:t>
      </w:r>
    </w:p>
    <w:p>
      <w:pPr>
        <w:snapToGrid w:val="0"/>
        <w:spacing w:before="120" w:beforeLines="50" w:after="50"/>
        <w:ind w:firstLine="540" w:firstLineChars="225"/>
        <w:rPr>
          <w:rFonts w:ascii="仿宋" w:hAnsi="仿宋" w:eastAsia="仿宋"/>
          <w:bCs/>
          <w:color w:val="auto"/>
          <w:sz w:val="24"/>
          <w:szCs w:val="20"/>
          <w:highlight w:val="none"/>
        </w:rPr>
      </w:pP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项目编号：</w:t>
      </w:r>
    </w:p>
    <w:p>
      <w:pPr>
        <w:snapToGrid w:val="0"/>
        <w:spacing w:before="120" w:beforeLines="50" w:after="50"/>
        <w:ind w:firstLine="540" w:firstLineChars="225"/>
        <w:rPr>
          <w:rFonts w:ascii="仿宋" w:hAnsi="仿宋" w:eastAsia="仿宋"/>
          <w:bCs/>
          <w:color w:val="auto"/>
          <w:sz w:val="24"/>
          <w:szCs w:val="20"/>
          <w:highlight w:val="none"/>
        </w:rPr>
      </w:pPr>
      <w:r>
        <w:rPr>
          <w:rFonts w:hint="eastAsia" w:ascii="仿宋" w:hAnsi="仿宋" w:eastAsia="仿宋"/>
          <w:bCs/>
          <w:color w:val="auto"/>
          <w:sz w:val="24"/>
          <w:highlight w:val="none"/>
        </w:rPr>
        <w:t xml:space="preserve"> </w:t>
      </w:r>
    </w:p>
    <w:p>
      <w:pPr>
        <w:snapToGrid w:val="0"/>
        <w:spacing w:before="120" w:beforeLines="50" w:after="50"/>
        <w:ind w:firstLine="540" w:firstLineChars="225"/>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ind w:firstLine="540" w:firstLineChars="225"/>
        <w:rPr>
          <w:rFonts w:ascii="仿宋" w:hAnsi="仿宋" w:eastAsia="仿宋"/>
          <w:bCs/>
          <w:color w:val="auto"/>
          <w:sz w:val="24"/>
          <w:szCs w:val="20"/>
          <w:highlight w:val="none"/>
        </w:rPr>
      </w:pPr>
    </w:p>
    <w:p>
      <w:pPr>
        <w:pStyle w:val="8"/>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投标人名称：</w:t>
      </w:r>
    </w:p>
    <w:p>
      <w:pPr>
        <w:pStyle w:val="8"/>
        <w:snapToGrid w:val="0"/>
        <w:spacing w:before="50" w:after="50"/>
        <w:ind w:firstLine="540" w:firstLineChars="225"/>
        <w:rPr>
          <w:rFonts w:ascii="仿宋" w:hAnsi="仿宋" w:eastAsia="仿宋"/>
          <w:bCs/>
          <w:color w:val="auto"/>
          <w:sz w:val="24"/>
          <w:szCs w:val="24"/>
          <w:highlight w:val="none"/>
        </w:rPr>
      </w:pPr>
    </w:p>
    <w:p>
      <w:pPr>
        <w:pStyle w:val="8"/>
        <w:snapToGrid w:val="0"/>
        <w:spacing w:before="50" w:after="50"/>
        <w:ind w:firstLine="540" w:firstLineChars="225"/>
        <w:rPr>
          <w:rFonts w:ascii="仿宋" w:hAnsi="仿宋" w:eastAsia="仿宋"/>
          <w:bCs/>
          <w:color w:val="auto"/>
          <w:sz w:val="24"/>
          <w:szCs w:val="24"/>
          <w:highlight w:val="none"/>
        </w:rPr>
      </w:pPr>
      <w:r>
        <w:rPr>
          <w:rFonts w:hint="eastAsia" w:ascii="仿宋" w:hAnsi="仿宋" w:eastAsia="仿宋"/>
          <w:bCs/>
          <w:color w:val="auto"/>
          <w:sz w:val="24"/>
          <w:szCs w:val="24"/>
          <w:highlight w:val="none"/>
        </w:rPr>
        <w:t>投标人地址：</w:t>
      </w:r>
    </w:p>
    <w:p>
      <w:pPr>
        <w:pStyle w:val="8"/>
        <w:snapToGrid w:val="0"/>
        <w:spacing w:before="50" w:after="50"/>
        <w:ind w:firstLine="960" w:firstLineChars="400"/>
        <w:rPr>
          <w:rFonts w:ascii="仿宋" w:hAnsi="仿宋" w:eastAsia="仿宋"/>
          <w:bCs/>
          <w:color w:val="auto"/>
          <w:sz w:val="24"/>
          <w:szCs w:val="24"/>
          <w:highlight w:val="none"/>
        </w:rPr>
      </w:pPr>
    </w:p>
    <w:p>
      <w:pPr>
        <w:snapToGrid w:val="0"/>
        <w:spacing w:before="120" w:beforeLines="50" w:after="50"/>
        <w:ind w:firstLine="645"/>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napToGrid w:val="0"/>
        <w:spacing w:before="120" w:beforeLines="50" w:after="50"/>
        <w:rPr>
          <w:rFonts w:ascii="仿宋" w:hAnsi="仿宋" w:eastAsia="仿宋"/>
          <w:color w:val="auto"/>
          <w:sz w:val="24"/>
          <w:szCs w:val="20"/>
          <w:highlight w:val="none"/>
        </w:rPr>
      </w:pPr>
      <w:r>
        <w:rPr>
          <w:rFonts w:ascii="仿宋" w:hAnsi="仿宋" w:eastAsia="仿宋"/>
          <w:color w:val="auto"/>
          <w:sz w:val="24"/>
          <w:szCs w:val="20"/>
          <w:highlight w:val="none"/>
        </w:rPr>
        <w:t xml:space="preserve"> </w:t>
      </w:r>
    </w:p>
    <w:p>
      <w:pPr>
        <w:snapToGrid w:val="0"/>
        <w:spacing w:line="360" w:lineRule="auto"/>
        <w:jc w:val="left"/>
        <w:rPr>
          <w:rFonts w:ascii="仿宋" w:hAnsi="仿宋" w:eastAsia="仿宋"/>
          <w:b/>
          <w:bCs/>
          <w:color w:val="auto"/>
          <w:sz w:val="28"/>
          <w:szCs w:val="28"/>
          <w:highlight w:val="none"/>
        </w:rPr>
      </w:pPr>
      <w:r>
        <w:rPr>
          <w:rFonts w:ascii="仿宋" w:hAnsi="仿宋" w:eastAsia="仿宋"/>
          <w:color w:val="auto"/>
          <w:sz w:val="24"/>
          <w:szCs w:val="20"/>
          <w:highlight w:val="none"/>
        </w:rPr>
        <w:br w:type="page"/>
      </w:r>
      <w:r>
        <w:rPr>
          <w:rFonts w:hint="eastAsia" w:ascii="仿宋" w:hAnsi="仿宋" w:eastAsia="仿宋"/>
          <w:b/>
          <w:bCs/>
          <w:color w:val="auto"/>
          <w:sz w:val="24"/>
          <w:highlight w:val="none"/>
        </w:rPr>
        <w:t>2.商务文件目录</w:t>
      </w:r>
    </w:p>
    <w:p>
      <w:pPr>
        <w:snapToGrid w:val="0"/>
        <w:spacing w:before="50" w:after="120" w:afterLines="50" w:line="360" w:lineRule="auto"/>
        <w:ind w:firstLine="480" w:firstLineChars="200"/>
        <w:jc w:val="left"/>
        <w:rPr>
          <w:rFonts w:ascii="仿宋" w:hAnsi="仿宋" w:eastAsia="仿宋"/>
          <w:b/>
          <w:bCs/>
          <w:color w:val="auto"/>
          <w:sz w:val="32"/>
          <w:szCs w:val="32"/>
          <w:highlight w:val="none"/>
        </w:rPr>
      </w:pPr>
      <w:r>
        <w:rPr>
          <w:rFonts w:hint="eastAsia" w:ascii="仿宋" w:hAnsi="仿宋" w:eastAsia="仿宋"/>
          <w:color w:val="auto"/>
          <w:sz w:val="24"/>
          <w:highlight w:val="none"/>
        </w:rPr>
        <w:t>根据招标文件规定及投标人提供的材料自行编写目录。</w:t>
      </w:r>
    </w:p>
    <w:p>
      <w:pPr>
        <w:snapToGrid w:val="0"/>
        <w:spacing w:before="50" w:after="120" w:afterLines="50"/>
        <w:jc w:val="left"/>
        <w:rPr>
          <w:rFonts w:ascii="仿宋" w:hAnsi="仿宋" w:eastAsia="仿宋"/>
          <w:color w:val="auto"/>
          <w:highlight w:val="none"/>
        </w:rPr>
      </w:pPr>
    </w:p>
    <w:p>
      <w:pPr>
        <w:snapToGrid w:val="0"/>
        <w:spacing w:before="120" w:beforeLines="50" w:after="50"/>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3.投标人参加本项目无围标串标行为的承诺</w:t>
      </w:r>
    </w:p>
    <w:p>
      <w:pPr>
        <w:snapToGrid w:val="0"/>
        <w:spacing w:before="120" w:beforeLines="50" w:after="50"/>
        <w:jc w:val="left"/>
        <w:rPr>
          <w:rFonts w:ascii="仿宋" w:hAnsi="仿宋" w:eastAsia="仿宋"/>
          <w:b/>
          <w:color w:val="auto"/>
          <w:sz w:val="24"/>
          <w:highlight w:val="none"/>
        </w:rPr>
      </w:pPr>
    </w:p>
    <w:p>
      <w:pPr>
        <w:spacing w:line="360" w:lineRule="auto"/>
        <w:ind w:left="420"/>
        <w:contextualSpacing/>
        <w:jc w:val="center"/>
        <w:rPr>
          <w:rFonts w:ascii="仿宋" w:hAnsi="仿宋" w:eastAsia="仿宋"/>
          <w:b/>
          <w:color w:val="auto"/>
          <w:sz w:val="24"/>
          <w:highlight w:val="none"/>
        </w:rPr>
      </w:pPr>
      <w:r>
        <w:rPr>
          <w:rFonts w:hint="eastAsia" w:ascii="仿宋" w:hAnsi="仿宋" w:eastAsia="仿宋" w:cs="方正小标宋简体"/>
          <w:bCs/>
          <w:color w:val="auto"/>
          <w:spacing w:val="-11"/>
          <w:sz w:val="44"/>
          <w:szCs w:val="44"/>
          <w:highlight w:val="none"/>
        </w:rPr>
        <w:t>投标人参加本项目无围标串标行为的承诺函</w:t>
      </w:r>
    </w:p>
    <w:p>
      <w:pPr>
        <w:spacing w:line="440" w:lineRule="exact"/>
        <w:contextualSpacing/>
        <w:jc w:val="left"/>
        <w:rPr>
          <w:rFonts w:ascii="仿宋" w:hAnsi="仿宋" w:eastAsia="仿宋"/>
          <w:b/>
          <w:color w:val="auto"/>
          <w:sz w:val="24"/>
          <w:highlight w:val="none"/>
        </w:rPr>
      </w:pPr>
      <w:r>
        <w:rPr>
          <w:rFonts w:hint="eastAsia" w:ascii="仿宋" w:hAnsi="仿宋" w:eastAsia="仿宋"/>
          <w:b/>
          <w:color w:val="auto"/>
          <w:sz w:val="24"/>
          <w:highlight w:val="none"/>
        </w:rPr>
        <w:t>一、我方承诺无下列相互串通投标的情形：</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1.不同投标人的投标文件由同一单位或者个人编制；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2.不同投标人委托同一单位或者个人办理投标事宜；</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3.不同的投标人的投标文件载明的项目管理员为同一个人；</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4.不同投标人的投标文件异常一致或者投标报价呈规律性差异；</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5.不同投标人的投标文件相互混装；</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6.不同投标人的投标保证金从同一单位或者个人账户转出。</w:t>
      </w:r>
    </w:p>
    <w:p>
      <w:pPr>
        <w:spacing w:line="440" w:lineRule="exact"/>
        <w:contextualSpacing/>
        <w:jc w:val="left"/>
        <w:rPr>
          <w:rFonts w:ascii="仿宋" w:hAnsi="仿宋" w:eastAsia="仿宋"/>
          <w:color w:val="auto"/>
          <w:sz w:val="24"/>
          <w:highlight w:val="none"/>
        </w:rPr>
      </w:pPr>
      <w:r>
        <w:rPr>
          <w:rFonts w:hint="eastAsia" w:ascii="仿宋" w:hAnsi="仿宋" w:eastAsia="仿宋"/>
          <w:b/>
          <w:color w:val="auto"/>
          <w:sz w:val="24"/>
          <w:highlight w:val="none"/>
        </w:rPr>
        <w:t>二、我方承诺无下列恶意串通的情形：</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1.投标人直接或者间接从采购人或者采购代理机构处获得其他投标人的相关信息并修改其投标文件；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2.投标人按照采购人或者采购代理机构的授意撤换、修改投标文件；</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3.投标人之间协商报价、技术方案等投标文件的实质性内容；</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4.属于同一集团、协会、商会等组织成员的投标人按照该组织要求协同参加政府采购活动；</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6.投标人之间商定部分投标人放弃参加政府采购活动或者放弃中标；</w:t>
      </w:r>
    </w:p>
    <w:p>
      <w:pPr>
        <w:spacing w:line="440" w:lineRule="exact"/>
        <w:ind w:firstLine="470" w:firstLineChars="196"/>
        <w:contextualSpacing/>
        <w:jc w:val="left"/>
        <w:rPr>
          <w:rFonts w:ascii="仿宋" w:hAnsi="仿宋" w:eastAsia="仿宋"/>
          <w:color w:val="auto"/>
          <w:sz w:val="24"/>
          <w:highlight w:val="none"/>
        </w:rPr>
      </w:pPr>
      <w:r>
        <w:rPr>
          <w:rFonts w:hint="eastAsia" w:ascii="仿宋" w:hAnsi="仿宋" w:eastAsia="仿宋"/>
          <w:color w:val="auto"/>
          <w:sz w:val="24"/>
          <w:highlight w:val="none"/>
        </w:rPr>
        <w:t>7.投标人与采购人或者采购代理机构之间、投标人相互之间，为谋求特定投标人中标或者排斥其他投标人的其他串通行为。</w:t>
      </w:r>
    </w:p>
    <w:p>
      <w:pPr>
        <w:spacing w:line="440" w:lineRule="exact"/>
        <w:ind w:firstLine="472" w:firstLineChars="196"/>
        <w:contextualSpacing/>
        <w:jc w:val="left"/>
        <w:rPr>
          <w:rFonts w:ascii="仿宋" w:hAnsi="仿宋" w:eastAsia="仿宋"/>
          <w:b/>
          <w:color w:val="auto"/>
          <w:sz w:val="24"/>
          <w:highlight w:val="none"/>
        </w:rPr>
      </w:pPr>
      <w:r>
        <w:rPr>
          <w:rFonts w:hint="eastAsia" w:ascii="仿宋" w:hAnsi="仿宋" w:eastAsia="仿宋"/>
          <w:b/>
          <w:color w:val="auto"/>
          <w:sz w:val="24"/>
          <w:highlight w:val="none"/>
        </w:rPr>
        <w:t>以上情形一经核查属实，我方愿意承担一切后果，并不再寻求任何旨在减轻或者免除法律责任的辩解。</w:t>
      </w:r>
    </w:p>
    <w:p>
      <w:pPr>
        <w:pStyle w:val="15"/>
        <w:spacing w:line="440" w:lineRule="exact"/>
        <w:ind w:firstLine="6840" w:firstLineChars="2850"/>
        <w:contextualSpacing/>
        <w:rPr>
          <w:rFonts w:ascii="仿宋" w:hAnsi="仿宋" w:eastAsia="仿宋"/>
          <w:color w:val="auto"/>
          <w:sz w:val="24"/>
          <w:szCs w:val="24"/>
          <w:highlight w:val="none"/>
        </w:rPr>
      </w:pPr>
    </w:p>
    <w:p>
      <w:pPr>
        <w:pStyle w:val="15"/>
        <w:spacing w:line="440" w:lineRule="exact"/>
        <w:contextualSpacing/>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投标人名称（公章）</w:t>
      </w:r>
    </w:p>
    <w:p>
      <w:pPr>
        <w:pStyle w:val="15"/>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szCs w:val="20"/>
          <w:highlight w:val="none"/>
        </w:rPr>
      </w:pPr>
      <w:r>
        <w:rPr>
          <w:rFonts w:hint="eastAsia" w:ascii="仿宋" w:hAnsi="仿宋" w:eastAsia="仿宋"/>
          <w:b/>
          <w:color w:val="auto"/>
          <w:sz w:val="24"/>
          <w:highlight w:val="none"/>
        </w:rPr>
        <w:t>4.法定代表人身份证明</w:t>
      </w:r>
    </w:p>
    <w:p>
      <w:pPr>
        <w:spacing w:before="240" w:beforeLines="100" w:after="120" w:afterLines="50"/>
        <w:ind w:left="540"/>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法定代表人身份证明</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投 标 人：</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地    址：</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姓    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性      别：</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u w:val="single"/>
        </w:rPr>
      </w:pPr>
      <w:r>
        <w:rPr>
          <w:rFonts w:hint="eastAsia" w:ascii="仿宋" w:hAnsi="仿宋" w:eastAsia="仿宋"/>
          <w:color w:val="auto"/>
          <w:sz w:val="24"/>
          <w:highlight w:val="none"/>
        </w:rPr>
        <w:t>年    龄：</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      务：</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（投标人名称）              </w:t>
      </w:r>
      <w:r>
        <w:rPr>
          <w:rFonts w:hint="eastAsia" w:ascii="仿宋" w:hAnsi="仿宋" w:eastAsia="仿宋"/>
          <w:color w:val="auto"/>
          <w:sz w:val="24"/>
          <w:highlight w:val="none"/>
        </w:rPr>
        <w:t>的法定代表人。</w:t>
      </w: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特此证明。</w:t>
      </w:r>
    </w:p>
    <w:p>
      <w:pPr>
        <w:spacing w:line="500" w:lineRule="exact"/>
        <w:ind w:left="540"/>
        <w:rPr>
          <w:rFonts w:ascii="仿宋" w:hAnsi="仿宋" w:eastAsia="仿宋"/>
          <w:color w:val="auto"/>
          <w:sz w:val="24"/>
          <w:highlight w:val="none"/>
        </w:rPr>
      </w:pPr>
    </w:p>
    <w:p>
      <w:pPr>
        <w:spacing w:line="500" w:lineRule="exact"/>
        <w:ind w:left="540"/>
        <w:rPr>
          <w:rFonts w:ascii="仿宋" w:hAnsi="仿宋" w:eastAsia="仿宋"/>
          <w:color w:val="auto"/>
          <w:sz w:val="24"/>
          <w:highlight w:val="none"/>
        </w:rPr>
      </w:pPr>
    </w:p>
    <w:p>
      <w:pPr>
        <w:spacing w:line="500" w:lineRule="exact"/>
        <w:ind w:left="540"/>
        <w:rPr>
          <w:rFonts w:ascii="仿宋" w:hAnsi="仿宋" w:eastAsia="仿宋"/>
          <w:color w:val="auto"/>
          <w:sz w:val="24"/>
          <w:highlight w:val="none"/>
        </w:rPr>
      </w:pPr>
      <w:r>
        <w:rPr>
          <w:rFonts w:hint="eastAsia" w:ascii="仿宋" w:hAnsi="仿宋" w:eastAsia="仿宋"/>
          <w:color w:val="auto"/>
          <w:sz w:val="24"/>
          <w:highlight w:val="none"/>
        </w:rPr>
        <w:t>附件：法定代表人有效身份证正反面复印件</w:t>
      </w:r>
    </w:p>
    <w:p>
      <w:pPr>
        <w:spacing w:line="500" w:lineRule="exact"/>
        <w:ind w:left="540"/>
        <w:rPr>
          <w:rFonts w:ascii="仿宋" w:hAnsi="仿宋" w:eastAsia="仿宋"/>
          <w:color w:val="auto"/>
          <w:sz w:val="24"/>
          <w:highlight w:val="none"/>
        </w:rPr>
      </w:pPr>
    </w:p>
    <w:p>
      <w:pPr>
        <w:spacing w:line="500" w:lineRule="exact"/>
        <w:ind w:left="540"/>
        <w:jc w:val="right"/>
        <w:rPr>
          <w:rFonts w:ascii="仿宋" w:hAnsi="仿宋" w:eastAsia="仿宋"/>
          <w:color w:val="auto"/>
          <w:sz w:val="24"/>
          <w:highlight w:val="none"/>
        </w:rPr>
      </w:pPr>
      <w:r>
        <w:rPr>
          <w:rFonts w:hint="eastAsia" w:ascii="仿宋" w:hAnsi="仿宋" w:eastAsia="仿宋"/>
          <w:color w:val="auto"/>
          <w:sz w:val="24"/>
          <w:highlight w:val="none"/>
        </w:rPr>
        <w:t>投标人名称（公章）</w:t>
      </w:r>
    </w:p>
    <w:p>
      <w:pPr>
        <w:spacing w:line="500" w:lineRule="exact"/>
        <w:ind w:left="540"/>
        <w:jc w:val="right"/>
        <w:rPr>
          <w:rFonts w:ascii="仿宋" w:hAnsi="仿宋" w:eastAsia="仿宋"/>
          <w:color w:val="auto"/>
          <w:sz w:val="24"/>
          <w:highlight w:val="none"/>
        </w:rPr>
      </w:pPr>
    </w:p>
    <w:p>
      <w:pPr>
        <w:snapToGrid w:val="0"/>
        <w:spacing w:before="120" w:beforeLines="50" w:after="50"/>
        <w:ind w:left="540"/>
        <w:jc w:val="right"/>
        <w:rPr>
          <w:rFonts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napToGrid w:val="0"/>
        <w:spacing w:before="120" w:beforeLines="50" w:after="50"/>
        <w:jc w:val="center"/>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szCs w:val="20"/>
          <w:highlight w:val="none"/>
        </w:rPr>
      </w:pPr>
      <w:r>
        <w:rPr>
          <w:rFonts w:hint="eastAsia" w:ascii="仿宋" w:hAnsi="仿宋" w:eastAsia="仿宋"/>
          <w:color w:val="auto"/>
          <w:sz w:val="24"/>
          <w:highlight w:val="none"/>
        </w:rPr>
        <w:t>注：自然人投标的无需提供</w:t>
      </w:r>
    </w:p>
    <w:p>
      <w:pPr>
        <w:snapToGrid w:val="0"/>
        <w:spacing w:before="120" w:beforeLines="50" w:after="50"/>
        <w:jc w:val="left"/>
        <w:rPr>
          <w:rFonts w:ascii="仿宋" w:hAnsi="仿宋" w:eastAsia="仿宋"/>
          <w:b/>
          <w:color w:val="auto"/>
          <w:sz w:val="24"/>
          <w:szCs w:val="20"/>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5.授权委托书格式</w:t>
      </w:r>
    </w:p>
    <w:p>
      <w:pPr>
        <w:snapToGrid w:val="0"/>
        <w:spacing w:before="120" w:beforeLines="50" w:after="50"/>
        <w:jc w:val="center"/>
        <w:rPr>
          <w:rFonts w:ascii="仿宋" w:hAnsi="仿宋" w:eastAsia="仿宋"/>
          <w:b/>
          <w:color w:val="auto"/>
          <w:sz w:val="44"/>
          <w:szCs w:val="44"/>
          <w:highlight w:val="none"/>
        </w:rPr>
      </w:pPr>
    </w:p>
    <w:p>
      <w:pPr>
        <w:spacing w:line="360" w:lineRule="auto"/>
        <w:contextualSpacing/>
        <w:jc w:val="center"/>
        <w:rPr>
          <w:rFonts w:ascii="仿宋" w:hAnsi="仿宋" w:eastAsia="仿宋" w:cs="方正小标宋简体"/>
          <w:bCs/>
          <w:color w:val="auto"/>
          <w:sz w:val="44"/>
          <w:szCs w:val="44"/>
          <w:highlight w:val="none"/>
        </w:rPr>
      </w:pPr>
      <w:r>
        <w:rPr>
          <w:rFonts w:hint="eastAsia" w:ascii="仿宋" w:hAnsi="仿宋" w:eastAsia="仿宋" w:cs="方正小标宋简体"/>
          <w:bCs/>
          <w:color w:val="auto"/>
          <w:sz w:val="44"/>
          <w:szCs w:val="44"/>
          <w:highlight w:val="none"/>
        </w:rPr>
        <w:t>授权委托书</w:t>
      </w:r>
    </w:p>
    <w:p>
      <w:pPr>
        <w:spacing w:line="360" w:lineRule="auto"/>
        <w:contextualSpacing/>
        <w:jc w:val="center"/>
        <w:rPr>
          <w:rFonts w:ascii="仿宋" w:hAnsi="仿宋" w:eastAsia="仿宋" w:cs="方正小标宋简体"/>
          <w:bCs/>
          <w:color w:val="auto"/>
          <w:sz w:val="32"/>
          <w:szCs w:val="32"/>
          <w:highlight w:val="none"/>
        </w:rPr>
      </w:pPr>
      <w:r>
        <w:rPr>
          <w:rFonts w:hint="eastAsia" w:ascii="仿宋" w:hAnsi="仿宋" w:eastAsia="仿宋" w:cs="方正小标宋简体"/>
          <w:bCs/>
          <w:color w:val="auto"/>
          <w:sz w:val="32"/>
          <w:szCs w:val="32"/>
          <w:highlight w:val="none"/>
        </w:rPr>
        <w:t>（非联合体投标格式）</w:t>
      </w:r>
    </w:p>
    <w:p>
      <w:pPr>
        <w:spacing w:line="360" w:lineRule="auto"/>
        <w:contextualSpacing/>
        <w:jc w:val="center"/>
        <w:rPr>
          <w:rFonts w:ascii="仿宋" w:hAnsi="仿宋" w:eastAsia="仿宋" w:cs="方正小标宋简体"/>
          <w:bCs/>
          <w:color w:val="auto"/>
          <w:sz w:val="24"/>
          <w:highlight w:val="none"/>
        </w:rPr>
      </w:pPr>
      <w:r>
        <w:rPr>
          <w:rFonts w:hint="eastAsia" w:ascii="仿宋" w:hAnsi="仿宋" w:eastAsia="仿宋" w:cs="方正小标宋简体"/>
          <w:bCs/>
          <w:color w:val="auto"/>
          <w:sz w:val="32"/>
          <w:szCs w:val="32"/>
          <w:highlight w:val="none"/>
        </w:rPr>
        <w:t>（如有委托时）</w:t>
      </w:r>
    </w:p>
    <w:p>
      <w:pPr>
        <w:spacing w:line="440" w:lineRule="exact"/>
        <w:contextualSpacing/>
        <w:jc w:val="center"/>
        <w:rPr>
          <w:rFonts w:ascii="仿宋" w:hAnsi="仿宋" w:eastAsia="仿宋"/>
          <w:b/>
          <w:color w:val="auto"/>
          <w:sz w:val="24"/>
          <w:highlight w:val="none"/>
        </w:rPr>
      </w:pPr>
    </w:p>
    <w:p>
      <w:pPr>
        <w:spacing w:line="440" w:lineRule="exact"/>
        <w:contextualSpacing/>
        <w:rPr>
          <w:rFonts w:ascii="仿宋" w:hAnsi="仿宋" w:eastAsia="仿宋"/>
          <w:b/>
          <w:bCs/>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r>
        <w:rPr>
          <w:rFonts w:hint="eastAsia" w:ascii="仿宋" w:hAnsi="仿宋" w:eastAsia="仿宋"/>
          <w:color w:val="auto"/>
          <w:sz w:val="24"/>
          <w:highlight w:val="none"/>
        </w:rPr>
        <w:t>：</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我</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（投标人名称）的法定代表人，现授权委托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项目的投标活动，并代表我方全权办理针对上述项目的所有采购程序和环节的具体事务和签署相关文件。</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 xml:space="preserve">    我方对委托代理人的签字事项负全部责任。</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480"/>
        <w:contextualSpacing/>
        <w:rPr>
          <w:rFonts w:ascii="仿宋" w:hAnsi="仿宋" w:eastAsia="仿宋"/>
          <w:color w:val="auto"/>
          <w:sz w:val="24"/>
          <w:highlight w:val="none"/>
        </w:rPr>
      </w:pPr>
      <w:r>
        <w:rPr>
          <w:rFonts w:hint="eastAsia" w:ascii="仿宋" w:hAnsi="仿宋" w:eastAsia="仿宋"/>
          <w:color w:val="auto"/>
          <w:sz w:val="24"/>
          <w:highlight w:val="none"/>
        </w:rPr>
        <w:t>附：法定代表人身份证明及委托代理人有效身份证正反面复印件</w:t>
      </w:r>
    </w:p>
    <w:p>
      <w:pPr>
        <w:spacing w:line="440" w:lineRule="exact"/>
        <w:contextualSpacing/>
        <w:rPr>
          <w:rFonts w:ascii="仿宋" w:hAnsi="仿宋" w:eastAsia="仿宋"/>
          <w:color w:val="auto"/>
          <w:sz w:val="24"/>
          <w:highlight w:val="none"/>
        </w:rPr>
      </w:pPr>
    </w:p>
    <w:p>
      <w:pPr>
        <w:spacing w:line="440" w:lineRule="exact"/>
        <w:contextualSpacing/>
        <w:rPr>
          <w:rFonts w:ascii="仿宋" w:hAnsi="仿宋" w:eastAsia="仿宋"/>
          <w:color w:val="auto"/>
          <w:sz w:val="24"/>
          <w:highlight w:val="none"/>
          <w:u w:val="single"/>
        </w:rPr>
      </w:pPr>
      <w:r>
        <w:rPr>
          <w:rFonts w:hint="eastAsia" w:ascii="仿宋" w:hAnsi="仿宋" w:eastAsia="仿宋"/>
          <w:color w:val="auto"/>
          <w:sz w:val="24"/>
          <w:highlight w:val="none"/>
        </w:rPr>
        <w:t>委托代理人（签字）：</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法定代表人（签字或者盖章）：</w:t>
      </w:r>
      <w:r>
        <w:rPr>
          <w:rFonts w:hint="eastAsia" w:ascii="仿宋" w:hAnsi="仿宋" w:eastAsia="仿宋"/>
          <w:color w:val="auto"/>
          <w:sz w:val="24"/>
          <w:highlight w:val="none"/>
          <w:u w:val="single"/>
        </w:rPr>
        <w:t xml:space="preserve">              </w:t>
      </w:r>
    </w:p>
    <w:p>
      <w:pPr>
        <w:spacing w:line="440" w:lineRule="exact"/>
        <w:contextualSpacing/>
        <w:rPr>
          <w:rFonts w:ascii="仿宋" w:hAnsi="仿宋" w:eastAsia="仿宋"/>
          <w:color w:val="auto"/>
          <w:sz w:val="24"/>
          <w:highlight w:val="none"/>
        </w:rPr>
      </w:pPr>
      <w:r>
        <w:rPr>
          <w:rFonts w:hint="eastAsia" w:ascii="仿宋" w:hAnsi="仿宋" w:eastAsia="仿宋"/>
          <w:color w:val="auto"/>
          <w:sz w:val="24"/>
          <w:highlight w:val="none"/>
        </w:rPr>
        <w:t>委托代理人身份证号码：</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40" w:lineRule="exact"/>
        <w:contextualSpacing/>
        <w:jc w:val="center"/>
        <w:rPr>
          <w:rFonts w:ascii="仿宋" w:hAnsi="仿宋" w:eastAsia="仿宋"/>
          <w:color w:val="auto"/>
          <w:sz w:val="24"/>
          <w:highlight w:val="none"/>
        </w:rPr>
      </w:pPr>
      <w:r>
        <w:rPr>
          <w:rFonts w:hint="eastAsia" w:ascii="仿宋" w:hAnsi="仿宋" w:eastAsia="仿宋"/>
          <w:color w:val="auto"/>
          <w:sz w:val="24"/>
          <w:highlight w:val="none"/>
        </w:rPr>
        <w:t xml:space="preserve">                                                投标人（盖公章）：</w:t>
      </w:r>
    </w:p>
    <w:p>
      <w:pPr>
        <w:spacing w:line="440" w:lineRule="exact"/>
        <w:contextualSpacing/>
        <w:jc w:val="center"/>
        <w:rPr>
          <w:rFonts w:ascii="仿宋" w:hAnsi="仿宋" w:eastAsia="仿宋"/>
          <w:color w:val="auto"/>
          <w:sz w:val="24"/>
          <w:highlight w:val="none"/>
        </w:rPr>
      </w:pPr>
      <w:r>
        <w:rPr>
          <w:rFonts w:hint="eastAsia" w:ascii="仿宋" w:hAnsi="仿宋" w:eastAsia="仿宋"/>
          <w:color w:val="auto"/>
          <w:sz w:val="24"/>
          <w:highlight w:val="none"/>
        </w:rPr>
        <w:t xml:space="preserve">                                              年    月    日</w:t>
      </w:r>
    </w:p>
    <w:p>
      <w:pPr>
        <w:spacing w:line="440" w:lineRule="exact"/>
        <w:contextualSpacing/>
        <w:rPr>
          <w:rFonts w:ascii="仿宋" w:hAnsi="仿宋" w:eastAsia="仿宋" w:cs="仿宋_GB2312"/>
          <w:color w:val="auto"/>
          <w:sz w:val="24"/>
          <w:highlight w:val="none"/>
        </w:rPr>
      </w:pPr>
      <w:r>
        <w:rPr>
          <w:rFonts w:hint="eastAsia" w:ascii="仿宋" w:hAnsi="仿宋" w:eastAsia="仿宋" w:cs="仿宋_GB2312"/>
          <w:color w:val="auto"/>
          <w:sz w:val="24"/>
          <w:highlight w:val="none"/>
        </w:rPr>
        <w:t>注：1.</w:t>
      </w:r>
      <w:bookmarkStart w:id="147" w:name="_Hlk65851555"/>
      <w:bookmarkStart w:id="148" w:name="_Hlk65851620"/>
      <w:r>
        <w:rPr>
          <w:rFonts w:hint="eastAsia" w:ascii="仿宋" w:hAnsi="仿宋" w:eastAsia="仿宋" w:cs="仿宋_GB2312"/>
          <w:color w:val="auto"/>
          <w:sz w:val="24"/>
          <w:highlight w:val="none"/>
        </w:rPr>
        <w:t>法定代表人必须在授权委托书上亲笔签字或者盖章，</w:t>
      </w:r>
      <w:bookmarkEnd w:id="147"/>
      <w:r>
        <w:rPr>
          <w:rFonts w:hint="eastAsia" w:ascii="仿宋" w:hAnsi="仿宋" w:eastAsia="仿宋" w:cs="仿宋_GB2312"/>
          <w:color w:val="auto"/>
          <w:sz w:val="24"/>
          <w:highlight w:val="none"/>
        </w:rPr>
        <w:t>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bookmarkEnd w:id="148"/>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s="仿宋_GB2312"/>
          <w:color w:val="auto"/>
          <w:sz w:val="24"/>
          <w:highlight w:val="none"/>
        </w:rPr>
        <w:t>2.法人、其他组织投标时“我方”是指“我单位”，自然人投标时“我方”是指“本人”。</w:t>
      </w:r>
    </w:p>
    <w:p>
      <w:pPr>
        <w:snapToGrid w:val="0"/>
        <w:spacing w:before="120" w:beforeLines="50" w:after="50"/>
        <w:ind w:firstLine="566" w:firstLineChars="236"/>
        <w:jc w:val="center"/>
        <w:rPr>
          <w:rFonts w:ascii="仿宋" w:hAnsi="仿宋" w:eastAsia="仿宋" w:cs="方正小标宋简体"/>
          <w:color w:val="auto"/>
          <w:sz w:val="44"/>
          <w:szCs w:val="44"/>
          <w:highlight w:val="none"/>
        </w:rPr>
      </w:pPr>
      <w:r>
        <w:rPr>
          <w:rFonts w:ascii="仿宋" w:hAnsi="仿宋" w:eastAsia="仿宋"/>
          <w:color w:val="auto"/>
          <w:sz w:val="24"/>
          <w:highlight w:val="none"/>
        </w:rPr>
        <w:br w:type="page"/>
      </w:r>
      <w:r>
        <w:rPr>
          <w:rFonts w:hint="eastAsia" w:ascii="仿宋" w:hAnsi="仿宋" w:eastAsia="仿宋" w:cs="方正小标宋简体"/>
          <w:color w:val="auto"/>
          <w:sz w:val="44"/>
          <w:szCs w:val="44"/>
          <w:highlight w:val="none"/>
        </w:rPr>
        <w:t>授权委托书</w:t>
      </w:r>
    </w:p>
    <w:p>
      <w:pPr>
        <w:snapToGrid w:val="0"/>
        <w:spacing w:before="120" w:beforeLines="50" w:after="50"/>
        <w:ind w:firstLine="755" w:firstLineChars="236"/>
        <w:jc w:val="center"/>
        <w:rPr>
          <w:rFonts w:ascii="仿宋" w:hAnsi="仿宋" w:eastAsia="仿宋" w:cs="方正小标宋简体"/>
          <w:color w:val="auto"/>
          <w:sz w:val="32"/>
          <w:szCs w:val="32"/>
          <w:highlight w:val="none"/>
        </w:rPr>
      </w:pPr>
      <w:r>
        <w:rPr>
          <w:rFonts w:hint="eastAsia" w:ascii="仿宋" w:hAnsi="仿宋" w:eastAsia="仿宋" w:cs="方正小标宋简体"/>
          <w:color w:val="auto"/>
          <w:sz w:val="32"/>
          <w:szCs w:val="32"/>
          <w:highlight w:val="none"/>
        </w:rPr>
        <w:t>（联合体投标格式）</w:t>
      </w:r>
    </w:p>
    <w:p>
      <w:pPr>
        <w:snapToGrid w:val="0"/>
        <w:spacing w:before="120" w:beforeLines="50" w:after="50"/>
        <w:ind w:firstLine="755" w:firstLineChars="236"/>
        <w:jc w:val="center"/>
        <w:rPr>
          <w:rFonts w:ascii="仿宋" w:hAnsi="仿宋" w:eastAsia="仿宋" w:cs="方正小标宋简体"/>
          <w:color w:val="auto"/>
          <w:sz w:val="24"/>
          <w:highlight w:val="none"/>
        </w:rPr>
      </w:pPr>
      <w:r>
        <w:rPr>
          <w:rFonts w:hint="eastAsia" w:ascii="仿宋" w:hAnsi="仿宋" w:eastAsia="仿宋" w:cs="方正小标宋简体"/>
          <w:color w:val="auto"/>
          <w:sz w:val="32"/>
          <w:szCs w:val="32"/>
          <w:highlight w:val="none"/>
        </w:rPr>
        <w:t>（如有委托时）</w:t>
      </w:r>
    </w:p>
    <w:p>
      <w:pPr>
        <w:spacing w:line="440" w:lineRule="exact"/>
        <w:contextualSpacing/>
        <w:jc w:val="left"/>
        <w:rPr>
          <w:rFonts w:ascii="仿宋" w:hAnsi="仿宋" w:eastAsia="仿宋"/>
          <w:color w:val="auto"/>
          <w:sz w:val="24"/>
          <w:highlight w:val="none"/>
        </w:rPr>
      </w:pPr>
      <w:r>
        <w:rPr>
          <w:rFonts w:hint="eastAsia" w:ascii="仿宋" w:hAnsi="仿宋" w:eastAsia="仿宋"/>
          <w:bCs/>
          <w:color w:val="auto"/>
          <w:sz w:val="24"/>
          <w:highlight w:val="none"/>
        </w:rPr>
        <w:t>致：</w:t>
      </w:r>
      <w:r>
        <w:rPr>
          <w:rFonts w:hint="eastAsia" w:ascii="仿宋" w:hAnsi="仿宋" w:eastAsia="仿宋"/>
          <w:color w:val="auto"/>
          <w:sz w:val="24"/>
          <w:highlight w:val="none"/>
          <w:u w:val="single"/>
        </w:rPr>
        <w:t>采购人名称</w:t>
      </w:r>
      <w:r>
        <w:rPr>
          <w:rFonts w:hint="eastAsia" w:ascii="仿宋" w:hAnsi="仿宋" w:eastAsia="仿宋"/>
          <w:color w:val="auto"/>
          <w:sz w:val="24"/>
          <w:highlight w:val="none"/>
        </w:rPr>
        <w:t>：</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 xml:space="preserve">根据 </w:t>
      </w:r>
      <w:r>
        <w:rPr>
          <w:rFonts w:hint="eastAsia" w:ascii="仿宋" w:hAnsi="仿宋" w:eastAsia="仿宋"/>
          <w:color w:val="auto"/>
          <w:sz w:val="24"/>
          <w:highlight w:val="none"/>
          <w:u w:val="single"/>
        </w:rPr>
        <w:t xml:space="preserve"> （牵头人名称）</w:t>
      </w:r>
      <w:r>
        <w:rPr>
          <w:rFonts w:hint="eastAsia" w:ascii="仿宋" w:hAnsi="仿宋" w:eastAsia="仿宋"/>
          <w:color w:val="auto"/>
          <w:sz w:val="24"/>
          <w:highlight w:val="none"/>
        </w:rPr>
        <w:t>与</w:t>
      </w:r>
      <w:r>
        <w:rPr>
          <w:rFonts w:hint="eastAsia" w:ascii="仿宋" w:hAnsi="仿宋" w:eastAsia="仿宋"/>
          <w:color w:val="auto"/>
          <w:sz w:val="24"/>
          <w:highlight w:val="none"/>
          <w:u w:val="single"/>
        </w:rPr>
        <w:t>（联合体其他成员名称）</w:t>
      </w:r>
      <w:r>
        <w:rPr>
          <w:rFonts w:hint="eastAsia" w:ascii="仿宋" w:hAnsi="仿宋" w:eastAsia="仿宋"/>
          <w:color w:val="auto"/>
          <w:sz w:val="24"/>
          <w:highlight w:val="none"/>
        </w:rPr>
        <w:t>签订的《联合体投标协议书》的内容，</w:t>
      </w:r>
      <w:r>
        <w:rPr>
          <w:rFonts w:hint="eastAsia" w:ascii="仿宋" w:hAnsi="仿宋" w:eastAsia="仿宋"/>
          <w:color w:val="auto"/>
          <w:sz w:val="24"/>
          <w:highlight w:val="none"/>
          <w:u w:val="single"/>
        </w:rPr>
        <w:t>（牵头人名称）</w:t>
      </w:r>
      <w:r>
        <w:rPr>
          <w:rFonts w:hint="eastAsia" w:ascii="仿宋" w:hAnsi="仿宋" w:eastAsia="仿宋"/>
          <w:color w:val="auto"/>
          <w:sz w:val="24"/>
          <w:highlight w:val="none"/>
        </w:rPr>
        <w:t>的法定代表人</w:t>
      </w:r>
      <w:r>
        <w:rPr>
          <w:rFonts w:hint="eastAsia" w:ascii="仿宋" w:hAnsi="仿宋" w:eastAsia="仿宋"/>
          <w:color w:val="auto"/>
          <w:sz w:val="24"/>
          <w:highlight w:val="none"/>
          <w:u w:val="single"/>
        </w:rPr>
        <w:t>（姓名）</w:t>
      </w:r>
      <w:r>
        <w:rPr>
          <w:rFonts w:hint="eastAsia" w:ascii="仿宋" w:hAnsi="仿宋" w:eastAsia="仿宋"/>
          <w:color w:val="auto"/>
          <w:sz w:val="24"/>
          <w:highlight w:val="none"/>
        </w:rPr>
        <w:t>现授权委托</w:t>
      </w:r>
      <w:r>
        <w:rPr>
          <w:rFonts w:hint="eastAsia" w:ascii="仿宋" w:hAnsi="仿宋" w:eastAsia="仿宋"/>
          <w:color w:val="auto"/>
          <w:sz w:val="24"/>
          <w:highlight w:val="none"/>
          <w:u w:val="single"/>
        </w:rPr>
        <w:t xml:space="preserve">              （姓名）</w:t>
      </w:r>
      <w:r>
        <w:rPr>
          <w:rFonts w:hint="eastAsia" w:ascii="仿宋" w:hAnsi="仿宋" w:eastAsia="仿宋"/>
          <w:color w:val="auto"/>
          <w:sz w:val="24"/>
          <w:highlight w:val="none"/>
        </w:rPr>
        <w:t>以我方的名义参加</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项目的投标活动，并代表我方全权办理针对上述项目的所有采购程序和环节的具体事务和签署相关文件。</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我方对委托代理人的签字事项负全部责任。</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本授权书自签署之日起生效，在撤销授权的书面通知以前，本授权书一直有效。委托代理人在授权书有效期内签署的所有文件不因授权的撤销而失效。</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委托代理人无转委托权，特此委托。</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附：牵头人法定代表人身份证明及委托代理人有效身份证正反面复印件</w:t>
      </w:r>
    </w:p>
    <w:p>
      <w:pPr>
        <w:spacing w:line="440" w:lineRule="exact"/>
        <w:ind w:firstLine="566" w:firstLineChars="236"/>
        <w:contextualSpacing/>
        <w:rPr>
          <w:rFonts w:ascii="仿宋" w:hAnsi="仿宋" w:eastAsia="仿宋"/>
          <w:color w:val="auto"/>
          <w:sz w:val="24"/>
          <w:highlight w:val="none"/>
        </w:rPr>
      </w:pP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牵头人法定代表人（签字或者盖章）：</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牵头人（盖公章）：</w:t>
      </w: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日期：    年   月   日</w:t>
      </w:r>
    </w:p>
    <w:p>
      <w:pPr>
        <w:spacing w:line="440" w:lineRule="exact"/>
        <w:ind w:firstLine="566" w:firstLineChars="236"/>
        <w:contextualSpacing/>
        <w:rPr>
          <w:rFonts w:ascii="仿宋" w:hAnsi="仿宋" w:eastAsia="仿宋"/>
          <w:color w:val="auto"/>
          <w:sz w:val="24"/>
          <w:highlight w:val="none"/>
        </w:rPr>
      </w:pPr>
    </w:p>
    <w:p>
      <w:pPr>
        <w:spacing w:line="440" w:lineRule="exact"/>
        <w:ind w:firstLine="566" w:firstLineChars="236"/>
        <w:contextualSpacing/>
        <w:rPr>
          <w:rFonts w:ascii="仿宋" w:hAnsi="仿宋" w:eastAsia="仿宋"/>
          <w:color w:val="auto"/>
          <w:sz w:val="24"/>
          <w:highlight w:val="none"/>
        </w:rPr>
      </w:pPr>
      <w:r>
        <w:rPr>
          <w:rFonts w:hint="eastAsia" w:ascii="仿宋" w:hAnsi="仿宋" w:eastAsia="仿宋"/>
          <w:color w:val="auto"/>
          <w:sz w:val="24"/>
          <w:highlight w:val="none"/>
        </w:rPr>
        <w:t>被授权人（签字）：</w:t>
      </w:r>
    </w:p>
    <w:p>
      <w:pPr>
        <w:spacing w:line="440" w:lineRule="exact"/>
        <w:ind w:firstLine="566" w:firstLineChars="236"/>
        <w:contextualSpacing/>
        <w:rPr>
          <w:rFonts w:ascii="仿宋" w:hAnsi="仿宋" w:eastAsia="仿宋" w:cs="仿宋_GB2312"/>
          <w:color w:val="auto"/>
          <w:sz w:val="32"/>
          <w:szCs w:val="32"/>
          <w:highlight w:val="none"/>
        </w:rPr>
      </w:pPr>
      <w:r>
        <w:rPr>
          <w:rFonts w:hint="eastAsia" w:ascii="仿宋" w:hAnsi="仿宋" w:eastAsia="仿宋"/>
          <w:color w:val="auto"/>
          <w:sz w:val="24"/>
          <w:highlight w:val="none"/>
        </w:rPr>
        <w:t>日期：    年   月   日</w:t>
      </w:r>
    </w:p>
    <w:p>
      <w:pPr>
        <w:spacing w:line="440" w:lineRule="exact"/>
        <w:contextualSpacing/>
        <w:rPr>
          <w:rFonts w:ascii="仿宋" w:hAnsi="仿宋" w:eastAsia="仿宋" w:cs="仿宋_GB2312"/>
          <w:color w:val="auto"/>
          <w:sz w:val="24"/>
          <w:highlight w:val="none"/>
        </w:rPr>
      </w:pPr>
      <w:r>
        <w:rPr>
          <w:rFonts w:hint="eastAsia" w:ascii="仿宋" w:hAnsi="仿宋" w:eastAsia="仿宋" w:cs="仿宋_GB2312"/>
          <w:color w:val="auto"/>
          <w:sz w:val="24"/>
          <w:highlight w:val="none"/>
        </w:rPr>
        <w:t>注：1. 法定代表人必须在授权委托书上亲笔签字或者盖章，委托代理人必须在授权委托书上亲笔签字，</w:t>
      </w:r>
      <w:r>
        <w:rPr>
          <w:rFonts w:hint="eastAsia" w:ascii="仿宋" w:hAnsi="仿宋" w:eastAsia="仿宋" w:cs="仿宋_GB2312"/>
          <w:b/>
          <w:bCs/>
          <w:color w:val="auto"/>
          <w:sz w:val="24"/>
          <w:highlight w:val="none"/>
        </w:rPr>
        <w:t>否则按无效投标处理</w:t>
      </w:r>
      <w:r>
        <w:rPr>
          <w:rFonts w:hint="eastAsia" w:ascii="仿宋" w:hAnsi="仿宋" w:eastAsia="仿宋" w:cs="仿宋_GB2312"/>
          <w:color w:val="auto"/>
          <w:sz w:val="24"/>
          <w:highlight w:val="none"/>
        </w:rPr>
        <w:t>；</w:t>
      </w:r>
    </w:p>
    <w:p>
      <w:pPr>
        <w:spacing w:line="440" w:lineRule="exact"/>
        <w:ind w:firstLine="480" w:firstLineChars="200"/>
        <w:contextualSpacing/>
        <w:jc w:val="left"/>
        <w:rPr>
          <w:rFonts w:ascii="仿宋" w:hAnsi="仿宋" w:eastAsia="仿宋" w:cs="仿宋_GB2312"/>
          <w:color w:val="auto"/>
          <w:sz w:val="24"/>
          <w:highlight w:val="none"/>
        </w:rPr>
      </w:pPr>
      <w:r>
        <w:rPr>
          <w:rFonts w:hint="eastAsia" w:ascii="仿宋" w:hAnsi="仿宋" w:eastAsia="仿宋" w:cs="仿宋_GB2312"/>
          <w:color w:val="auto"/>
          <w:sz w:val="24"/>
          <w:highlight w:val="none"/>
        </w:rPr>
        <w:t>2.本授权委托书应由联合体牵头人的法定代表人按上述规定签字。</w:t>
      </w:r>
    </w:p>
    <w:p>
      <w:pPr>
        <w:spacing w:line="440" w:lineRule="exact"/>
        <w:ind w:firstLine="480" w:firstLineChars="200"/>
        <w:contextualSpacing/>
        <w:jc w:val="left"/>
        <w:rPr>
          <w:rFonts w:ascii="仿宋" w:hAnsi="仿宋" w:eastAsia="仿宋"/>
          <w:color w:val="auto"/>
          <w:sz w:val="24"/>
          <w:highlight w:val="none"/>
        </w:rPr>
      </w:pP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法人、其他组织投标时“我方”是指“我单位”，自然人投标时“我方”是指“本人”。</w:t>
      </w:r>
    </w:p>
    <w:p>
      <w:pPr>
        <w:snapToGrid w:val="0"/>
        <w:spacing w:before="50" w:after="120" w:afterLines="50"/>
        <w:ind w:firstLine="480" w:firstLineChars="200"/>
        <w:jc w:val="left"/>
        <w:rPr>
          <w:rFonts w:ascii="仿宋" w:hAnsi="仿宋" w:eastAsia="仿宋"/>
          <w:color w:val="auto"/>
          <w:sz w:val="24"/>
          <w:highlight w:val="none"/>
        </w:rPr>
        <w:sectPr>
          <w:footerReference r:id="rId7" w:type="first"/>
          <w:footerReference r:id="rId6" w:type="default"/>
          <w:pgSz w:w="11906" w:h="16838"/>
          <w:pgMar w:top="907" w:right="851" w:bottom="907" w:left="851" w:header="851" w:footer="567" w:gutter="0"/>
          <w:pgNumType w:start="1"/>
          <w:cols w:space="720" w:num="1"/>
          <w:docGrid w:linePitch="312" w:charSpace="0"/>
        </w:sectPr>
      </w:pPr>
    </w:p>
    <w:p>
      <w:pPr>
        <w:rPr>
          <w:rFonts w:ascii="仿宋" w:hAnsi="仿宋" w:eastAsia="仿宋"/>
          <w:b/>
          <w:color w:val="auto"/>
          <w:sz w:val="24"/>
          <w:szCs w:val="20"/>
          <w:highlight w:val="none"/>
        </w:rPr>
      </w:pPr>
      <w:r>
        <w:rPr>
          <w:rFonts w:hint="eastAsia" w:ascii="仿宋" w:hAnsi="仿宋" w:eastAsia="仿宋"/>
          <w:b/>
          <w:color w:val="auto"/>
          <w:sz w:val="24"/>
          <w:highlight w:val="none"/>
        </w:rPr>
        <w:t>6.商务要求偏离表格式（注：按第</w:t>
      </w:r>
      <w:r>
        <w:rPr>
          <w:rFonts w:ascii="仿宋" w:hAnsi="仿宋" w:eastAsia="仿宋"/>
          <w:b/>
          <w:color w:val="auto"/>
          <w:sz w:val="24"/>
          <w:highlight w:val="none"/>
        </w:rPr>
        <w:t>二章</w:t>
      </w:r>
      <w:r>
        <w:rPr>
          <w:rFonts w:hint="eastAsia" w:ascii="仿宋" w:hAnsi="仿宋" w:eastAsia="仿宋"/>
          <w:b/>
          <w:color w:val="auto"/>
          <w:sz w:val="24"/>
          <w:highlight w:val="none"/>
        </w:rPr>
        <w:t>“</w:t>
      </w:r>
      <w:r>
        <w:rPr>
          <w:rFonts w:ascii="仿宋" w:hAnsi="仿宋" w:eastAsia="仿宋"/>
          <w:b/>
          <w:color w:val="auto"/>
          <w:sz w:val="24"/>
          <w:highlight w:val="none"/>
        </w:rPr>
        <w:t>采购需求</w:t>
      </w:r>
      <w:r>
        <w:rPr>
          <w:rFonts w:hint="eastAsia" w:ascii="仿宋" w:hAnsi="仿宋" w:eastAsia="仿宋"/>
          <w:b/>
          <w:color w:val="auto"/>
          <w:sz w:val="24"/>
          <w:highlight w:val="none"/>
        </w:rPr>
        <w:t>”</w:t>
      </w:r>
      <w:r>
        <w:rPr>
          <w:rFonts w:ascii="仿宋" w:hAnsi="仿宋" w:eastAsia="仿宋"/>
          <w:b/>
          <w:color w:val="auto"/>
          <w:sz w:val="24"/>
          <w:highlight w:val="none"/>
        </w:rPr>
        <w:t>的</w:t>
      </w:r>
      <w:r>
        <w:rPr>
          <w:rFonts w:hint="eastAsia" w:ascii="仿宋" w:hAnsi="仿宋" w:eastAsia="仿宋"/>
          <w:b/>
          <w:color w:val="auto"/>
          <w:sz w:val="24"/>
          <w:highlight w:val="none"/>
        </w:rPr>
        <w:t>“</w:t>
      </w:r>
      <w:r>
        <w:rPr>
          <w:rFonts w:ascii="仿宋" w:hAnsi="仿宋" w:eastAsia="仿宋"/>
          <w:b/>
          <w:color w:val="auto"/>
          <w:sz w:val="24"/>
          <w:highlight w:val="none"/>
        </w:rPr>
        <w:t>商务</w:t>
      </w:r>
      <w:r>
        <w:rPr>
          <w:rFonts w:hint="eastAsia" w:ascii="仿宋" w:hAnsi="仿宋" w:eastAsia="仿宋"/>
          <w:b/>
          <w:color w:val="auto"/>
          <w:sz w:val="24"/>
          <w:highlight w:val="none"/>
        </w:rPr>
        <w:t>要求表”的</w:t>
      </w:r>
      <w:r>
        <w:rPr>
          <w:rFonts w:ascii="仿宋" w:hAnsi="仿宋" w:eastAsia="仿宋"/>
          <w:b/>
          <w:color w:val="auto"/>
          <w:sz w:val="24"/>
          <w:highlight w:val="none"/>
        </w:rPr>
        <w:t>内容</w:t>
      </w:r>
      <w:r>
        <w:rPr>
          <w:rFonts w:hint="eastAsia" w:ascii="仿宋" w:hAnsi="仿宋" w:eastAsia="仿宋"/>
          <w:b/>
          <w:color w:val="auto"/>
          <w:sz w:val="24"/>
          <w:highlight w:val="none"/>
        </w:rPr>
        <w:t>修改）</w:t>
      </w:r>
    </w:p>
    <w:p>
      <w:pPr>
        <w:wordWrap w:val="0"/>
        <w:snapToGrid w:val="0"/>
        <w:spacing w:before="50"/>
        <w:ind w:right="240"/>
        <w:jc w:val="right"/>
        <w:rPr>
          <w:rFonts w:ascii="仿宋" w:hAnsi="仿宋" w:eastAsia="仿宋"/>
          <w:color w:val="auto"/>
          <w:sz w:val="24"/>
          <w:highlight w:val="none"/>
        </w:rPr>
      </w:pPr>
      <w:r>
        <w:rPr>
          <w:rFonts w:hint="eastAsia" w:ascii="仿宋" w:hAnsi="仿宋" w:eastAsia="仿宋"/>
          <w:color w:val="auto"/>
          <w:sz w:val="24"/>
          <w:highlight w:val="none"/>
        </w:rPr>
        <w:t>分标：</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  </w:t>
      </w:r>
    </w:p>
    <w:tbl>
      <w:tblPr>
        <w:tblStyle w:val="27"/>
        <w:tblW w:w="94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8"/>
        <w:gridCol w:w="3642"/>
        <w:gridCol w:w="1921"/>
        <w:gridCol w:w="2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项目</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招标文件商务要求</w:t>
            </w: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投标人的承诺</w:t>
            </w: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仿宋" w:hAnsi="仿宋" w:eastAsia="仿宋" w:cs="宋体"/>
                <w:color w:val="auto"/>
                <w:sz w:val="24"/>
                <w:highlight w:val="none"/>
              </w:rPr>
              <w:t>项目实施</w:t>
            </w:r>
            <w:r>
              <w:rPr>
                <w:rFonts w:ascii="仿宋" w:hAnsi="仿宋" w:eastAsia="仿宋" w:cs="宋体"/>
                <w:color w:val="auto"/>
                <w:sz w:val="24"/>
                <w:highlight w:val="none"/>
              </w:rPr>
              <w:t>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仿宋" w:hAnsi="仿宋" w:eastAsia="仿宋" w:cs="宋体"/>
                <w:color w:val="auto"/>
                <w:sz w:val="24"/>
                <w:highlight w:val="none"/>
              </w:rPr>
              <w:t>认证对接要求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rPr>
                <w:rFonts w:ascii="仿宋" w:hAnsi="仿宋" w:eastAsia="仿宋"/>
                <w:color w:val="auto"/>
                <w:sz w:val="24"/>
                <w:highlight w:val="none"/>
                <w:u w:val="singl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 w:val="24"/>
                <w:highlight w:val="none"/>
              </w:rPr>
            </w:pPr>
            <w:r>
              <w:rPr>
                <w:rFonts w:hint="eastAsia" w:ascii="仿宋" w:hAnsi="仿宋" w:eastAsia="仿宋"/>
                <w:color w:val="auto"/>
                <w:sz w:val="24"/>
                <w:highlight w:val="none"/>
              </w:rPr>
              <w:t>许可要求</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rPr>
                <w:rFonts w:ascii="仿宋" w:hAnsi="仿宋" w:eastAsia="仿宋"/>
                <w:color w:val="auto"/>
                <w:sz w:val="24"/>
                <w:highlight w:val="none"/>
                <w:u w:val="singl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43"/>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36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olor w:val="auto"/>
                <w:sz w:val="24"/>
                <w:highlight w:val="none"/>
              </w:rPr>
            </w:pPr>
          </w:p>
        </w:tc>
      </w:tr>
    </w:tbl>
    <w:p>
      <w:pPr>
        <w:pStyle w:val="13"/>
        <w:rPr>
          <w:rFonts w:ascii="仿宋" w:hAnsi="仿宋" w:eastAsia="仿宋"/>
          <w:color w:val="auto"/>
          <w:highlight w:val="none"/>
        </w:rPr>
      </w:pPr>
      <w:r>
        <w:rPr>
          <w:rFonts w:hint="eastAsia" w:ascii="仿宋" w:hAnsi="仿宋" w:eastAsia="仿宋"/>
          <w:color w:val="auto"/>
          <w:highlight w:val="none"/>
        </w:rPr>
        <w:t>注：</w:t>
      </w:r>
    </w:p>
    <w:p>
      <w:pPr>
        <w:pStyle w:val="3"/>
        <w:spacing w:line="520" w:lineRule="exact"/>
        <w:ind w:firstLine="0" w:firstLineChars="0"/>
        <w:rPr>
          <w:rFonts w:ascii="仿宋" w:hAnsi="仿宋" w:eastAsia="仿宋" w:cs="仿宋_GB2312"/>
          <w:color w:val="auto"/>
          <w:szCs w:val="32"/>
          <w:highlight w:val="none"/>
        </w:rPr>
      </w:pPr>
      <w:r>
        <w:rPr>
          <w:rFonts w:hint="eastAsia" w:ascii="仿宋" w:hAnsi="仿宋" w:eastAsia="仿宋"/>
          <w:color w:val="auto"/>
          <w:sz w:val="24"/>
          <w:szCs w:val="24"/>
          <w:highlight w:val="none"/>
        </w:rPr>
        <w:t>1.</w:t>
      </w:r>
      <w:r>
        <w:rPr>
          <w:rFonts w:hint="eastAsia" w:ascii="仿宋" w:hAnsi="仿宋" w:eastAsia="仿宋"/>
          <w:color w:val="auto"/>
          <w:highlight w:val="none"/>
        </w:rPr>
        <w:t xml:space="preserve"> </w:t>
      </w:r>
      <w:r>
        <w:rPr>
          <w:rFonts w:hint="eastAsia" w:ascii="仿宋" w:hAnsi="仿宋" w:eastAsia="仿宋"/>
          <w:color w:val="auto"/>
          <w:sz w:val="24"/>
          <w:szCs w:val="24"/>
          <w:highlight w:val="none"/>
        </w:rPr>
        <w:t>说明：应对照招标文件“第二章 采购需求”中 “二、商务要求表”内容逐条作明确的投标响应，并作出偏离说明。</w:t>
      </w:r>
    </w:p>
    <w:p>
      <w:pPr>
        <w:pStyle w:val="13"/>
        <w:rPr>
          <w:rFonts w:ascii="仿宋" w:hAnsi="仿宋" w:eastAsia="仿宋"/>
          <w:b w:val="0"/>
          <w:bCs w:val="0"/>
          <w:color w:val="auto"/>
          <w:highlight w:val="none"/>
        </w:rPr>
      </w:pPr>
      <w:r>
        <w:rPr>
          <w:rFonts w:ascii="仿宋" w:hAnsi="仿宋" w:eastAsia="仿宋"/>
          <w:b w:val="0"/>
          <w:bCs w:val="0"/>
          <w:color w:val="auto"/>
          <w:highlight w:val="none"/>
        </w:rPr>
        <w:t>2.</w:t>
      </w:r>
      <w:r>
        <w:rPr>
          <w:rFonts w:hint="eastAsia" w:ascii="仿宋" w:hAnsi="仿宋" w:eastAsia="仿宋"/>
          <w:b w:val="0"/>
          <w:bCs w:val="0"/>
          <w:color w:val="auto"/>
          <w:highlight w:val="none"/>
        </w:rPr>
        <w:t>投标人应根据自身的承诺，对照招标文件要求在“偏离说明”中注明“</w:t>
      </w:r>
      <w:r>
        <w:rPr>
          <w:rFonts w:hint="eastAsia" w:ascii="仿宋" w:hAnsi="仿宋" w:eastAsia="仿宋"/>
          <w:color w:val="auto"/>
          <w:highlight w:val="none"/>
        </w:rPr>
        <w:t>正偏离</w:t>
      </w:r>
      <w:r>
        <w:rPr>
          <w:rFonts w:hint="eastAsia" w:ascii="仿宋" w:hAnsi="仿宋" w:eastAsia="仿宋"/>
          <w:b w:val="0"/>
          <w:bCs w:val="0"/>
          <w:color w:val="auto"/>
          <w:highlight w:val="none"/>
        </w:rPr>
        <w:t>”、“</w:t>
      </w:r>
      <w:r>
        <w:rPr>
          <w:rFonts w:hint="eastAsia" w:ascii="仿宋" w:hAnsi="仿宋" w:eastAsia="仿宋"/>
          <w:color w:val="auto"/>
          <w:highlight w:val="none"/>
        </w:rPr>
        <w:t>负偏离</w:t>
      </w:r>
      <w:r>
        <w:rPr>
          <w:rFonts w:hint="eastAsia" w:ascii="仿宋" w:hAnsi="仿宋" w:eastAsia="仿宋"/>
          <w:b w:val="0"/>
          <w:bCs w:val="0"/>
          <w:color w:val="auto"/>
          <w:highlight w:val="none"/>
        </w:rPr>
        <w:t>”或者“</w:t>
      </w:r>
      <w:r>
        <w:rPr>
          <w:rFonts w:hint="eastAsia" w:ascii="仿宋" w:hAnsi="仿宋" w:eastAsia="仿宋"/>
          <w:color w:val="auto"/>
          <w:highlight w:val="none"/>
        </w:rPr>
        <w:t>无偏离</w:t>
      </w:r>
      <w:r>
        <w:rPr>
          <w:rFonts w:hint="eastAsia" w:ascii="仿宋" w:hAnsi="仿宋" w:eastAsia="仿宋"/>
          <w:b w:val="0"/>
          <w:bCs w:val="0"/>
          <w:color w:val="auto"/>
          <w:highlight w:val="none"/>
        </w:rPr>
        <w:t>”。既不属于“</w:t>
      </w:r>
      <w:r>
        <w:rPr>
          <w:rFonts w:hint="eastAsia" w:ascii="仿宋" w:hAnsi="仿宋" w:eastAsia="仿宋"/>
          <w:color w:val="auto"/>
          <w:highlight w:val="none"/>
        </w:rPr>
        <w:t>正偏离</w:t>
      </w:r>
      <w:r>
        <w:rPr>
          <w:rFonts w:hint="eastAsia" w:ascii="仿宋" w:hAnsi="仿宋" w:eastAsia="仿宋"/>
          <w:b w:val="0"/>
          <w:bCs w:val="0"/>
          <w:color w:val="auto"/>
          <w:highlight w:val="none"/>
        </w:rPr>
        <w:t>”也不属于“</w:t>
      </w:r>
      <w:r>
        <w:rPr>
          <w:rFonts w:hint="eastAsia" w:ascii="仿宋" w:hAnsi="仿宋" w:eastAsia="仿宋"/>
          <w:color w:val="auto"/>
          <w:highlight w:val="none"/>
        </w:rPr>
        <w:t>负偏离</w:t>
      </w:r>
      <w:r>
        <w:rPr>
          <w:rFonts w:hint="eastAsia" w:ascii="仿宋" w:hAnsi="仿宋" w:eastAsia="仿宋"/>
          <w:b w:val="0"/>
          <w:bCs w:val="0"/>
          <w:color w:val="auto"/>
          <w:highlight w:val="none"/>
        </w:rPr>
        <w:t>”即为“</w:t>
      </w:r>
      <w:r>
        <w:rPr>
          <w:rFonts w:hint="eastAsia" w:ascii="仿宋" w:hAnsi="仿宋" w:eastAsia="仿宋"/>
          <w:color w:val="auto"/>
          <w:highlight w:val="none"/>
        </w:rPr>
        <w:t>无偏离</w:t>
      </w:r>
      <w:r>
        <w:rPr>
          <w:rFonts w:hint="eastAsia" w:ascii="仿宋" w:hAnsi="仿宋" w:eastAsia="仿宋"/>
          <w:b w:val="0"/>
          <w:bCs w:val="0"/>
          <w:color w:val="auto"/>
          <w:highlight w:val="none"/>
        </w:rPr>
        <w:t>”。</w:t>
      </w:r>
    </w:p>
    <w:p>
      <w:pPr>
        <w:snapToGrid w:val="0"/>
        <w:spacing w:before="50" w:after="50"/>
        <w:rPr>
          <w:rFonts w:ascii="仿宋" w:hAnsi="仿宋" w:eastAsia="仿宋"/>
          <w:color w:val="auto"/>
          <w:sz w:val="24"/>
          <w:highlight w:val="none"/>
        </w:rPr>
      </w:pPr>
    </w:p>
    <w:p>
      <w:pPr>
        <w:snapToGrid w:val="0"/>
        <w:spacing w:before="50" w:after="50"/>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napToGrid w:val="0"/>
        <w:spacing w:before="120" w:beforeLines="50"/>
        <w:rPr>
          <w:rFonts w:ascii="仿宋" w:hAnsi="仿宋" w:eastAsia="仿宋"/>
          <w:color w:val="auto"/>
          <w:spacing w:val="20"/>
          <w:sz w:val="24"/>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w:t>
      </w:r>
    </w:p>
    <w:p>
      <w:pPr>
        <w:snapToGrid w:val="0"/>
        <w:spacing w:before="120" w:beforeLines="50"/>
        <w:rPr>
          <w:rFonts w:ascii="仿宋" w:hAnsi="仿宋" w:eastAsia="仿宋"/>
          <w:color w:val="auto"/>
          <w:sz w:val="24"/>
          <w:szCs w:val="20"/>
          <w:highlight w:val="none"/>
        </w:rPr>
      </w:pPr>
      <w:r>
        <w:rPr>
          <w:rFonts w:hint="eastAsia" w:ascii="仿宋" w:hAnsi="仿宋" w:eastAsia="仿宋"/>
          <w:color w:val="auto"/>
          <w:spacing w:val="20"/>
          <w:sz w:val="24"/>
          <w:highlight w:val="none"/>
        </w:rPr>
        <w:t>日  期：</w:t>
      </w:r>
      <w:r>
        <w:rPr>
          <w:rFonts w:hint="eastAsia" w:ascii="仿宋" w:hAnsi="仿宋" w:eastAsia="仿宋"/>
          <w:color w:val="auto"/>
          <w:spacing w:val="20"/>
          <w:sz w:val="24"/>
          <w:highlight w:val="none"/>
          <w:u w:val="single"/>
        </w:rPr>
        <w:t xml:space="preserve">         </w:t>
      </w:r>
    </w:p>
    <w:p>
      <w:pPr>
        <w:snapToGrid w:val="0"/>
        <w:spacing w:before="120" w:beforeLines="50"/>
        <w:rPr>
          <w:rFonts w:ascii="仿宋" w:hAnsi="仿宋" w:eastAsia="仿宋"/>
          <w:color w:val="auto"/>
          <w:sz w:val="24"/>
          <w:szCs w:val="20"/>
          <w:highlight w:val="none"/>
        </w:rPr>
      </w:pPr>
    </w:p>
    <w:p>
      <w:pPr>
        <w:snapToGrid w:val="0"/>
        <w:spacing w:before="120" w:beforeLines="50" w:after="50"/>
        <w:jc w:val="left"/>
        <w:rPr>
          <w:rFonts w:ascii="仿宋" w:hAnsi="仿宋" w:eastAsia="仿宋"/>
          <w:color w:val="auto"/>
          <w:sz w:val="24"/>
          <w:szCs w:val="20"/>
          <w:highlight w:val="none"/>
        </w:rPr>
      </w:pPr>
    </w:p>
    <w:p>
      <w:pPr>
        <w:snapToGrid w:val="0"/>
        <w:spacing w:before="120" w:beforeLines="50" w:after="50"/>
        <w:jc w:val="left"/>
        <w:rPr>
          <w:rFonts w:ascii="仿宋" w:hAnsi="仿宋" w:eastAsia="仿宋"/>
          <w:b/>
          <w:color w:val="auto"/>
          <w:sz w:val="24"/>
          <w:highlight w:val="none"/>
        </w:rPr>
      </w:pPr>
      <w:r>
        <w:rPr>
          <w:rFonts w:ascii="仿宋" w:hAnsi="仿宋" w:eastAsia="仿宋"/>
          <w:color w:val="auto"/>
          <w:sz w:val="24"/>
          <w:szCs w:val="20"/>
          <w:highlight w:val="none"/>
        </w:rPr>
        <w:br w:type="page"/>
      </w:r>
      <w:r>
        <w:rPr>
          <w:rFonts w:hint="eastAsia" w:ascii="仿宋" w:hAnsi="仿宋" w:eastAsia="仿宋"/>
          <w:b/>
          <w:color w:val="auto"/>
          <w:sz w:val="24"/>
          <w:highlight w:val="none"/>
        </w:rPr>
        <w:t>7.投标人业绩证明材料</w:t>
      </w:r>
    </w:p>
    <w:p>
      <w:pPr>
        <w:pStyle w:val="21"/>
        <w:snapToGrid w:val="0"/>
        <w:ind w:left="480" w:hanging="480"/>
        <w:rPr>
          <w:rFonts w:ascii="仿宋" w:hAnsi="仿宋" w:eastAsia="仿宋"/>
          <w:color w:val="auto"/>
          <w:sz w:val="24"/>
          <w:highlight w:val="none"/>
        </w:rPr>
      </w:pPr>
      <w:r>
        <w:rPr>
          <w:rFonts w:hint="eastAsia" w:ascii="仿宋" w:hAnsi="仿宋" w:eastAsia="仿宋"/>
          <w:color w:val="auto"/>
          <w:sz w:val="24"/>
          <w:highlight w:val="none"/>
        </w:rPr>
        <w:t xml:space="preserve">投标人业绩情况一览表格式： </w:t>
      </w:r>
    </w:p>
    <w:tbl>
      <w:tblPr>
        <w:tblStyle w:val="27"/>
        <w:tblW w:w="950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7"/>
        <w:gridCol w:w="1972"/>
        <w:gridCol w:w="1972"/>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jc w:val="center"/>
        </w:trPr>
        <w:tc>
          <w:tcPr>
            <w:tcW w:w="23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采购人名称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项目名称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合同金额</w:t>
            </w:r>
          </w:p>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（万元）</w:t>
            </w:r>
          </w:p>
        </w:tc>
        <w:tc>
          <w:tcPr>
            <w:tcW w:w="31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采购人联系人及</w:t>
            </w:r>
          </w:p>
          <w:p>
            <w:pPr>
              <w:snapToGrid w:val="0"/>
              <w:spacing w:line="240" w:lineRule="exact"/>
              <w:jc w:val="center"/>
              <w:rPr>
                <w:rFonts w:ascii="仿宋" w:hAnsi="仿宋" w:eastAsia="仿宋"/>
                <w:color w:val="auto"/>
                <w:sz w:val="24"/>
                <w:highlight w:val="none"/>
              </w:rPr>
            </w:pPr>
            <w:r>
              <w:rPr>
                <w:rFonts w:hint="eastAsia" w:ascii="仿宋" w:hAnsi="仿宋" w:eastAsia="仿宋"/>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jc w:val="center"/>
        </w:trPr>
        <w:tc>
          <w:tcPr>
            <w:tcW w:w="23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c>
          <w:tcPr>
            <w:tcW w:w="318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color w:val="auto"/>
                <w:sz w:val="24"/>
                <w:highlight w:val="none"/>
              </w:rPr>
            </w:pPr>
          </w:p>
        </w:tc>
      </w:tr>
    </w:tbl>
    <w:p>
      <w:pPr>
        <w:pStyle w:val="12"/>
        <w:spacing w:before="0" w:after="0" w:line="360" w:lineRule="auto"/>
        <w:contextualSpacing/>
        <w:rPr>
          <w:rFonts w:ascii="仿宋" w:hAnsi="仿宋" w:eastAsia="仿宋"/>
          <w:color w:val="auto"/>
          <w:sz w:val="24"/>
          <w:szCs w:val="24"/>
          <w:highlight w:val="none"/>
        </w:rPr>
      </w:pPr>
    </w:p>
    <w:p>
      <w:pPr>
        <w:pStyle w:val="12"/>
        <w:spacing w:before="0" w:after="0" w:line="360" w:lineRule="auto"/>
        <w:contextualSpacing/>
        <w:rPr>
          <w:rFonts w:ascii="仿宋" w:hAnsi="仿宋" w:eastAsia="仿宋"/>
          <w:color w:val="auto"/>
          <w:sz w:val="24"/>
          <w:szCs w:val="24"/>
          <w:highlight w:val="none"/>
        </w:rPr>
      </w:pPr>
      <w:r>
        <w:rPr>
          <w:rFonts w:hint="eastAsia" w:ascii="仿宋" w:hAnsi="仿宋" w:eastAsia="仿宋"/>
          <w:color w:val="auto"/>
          <w:sz w:val="24"/>
          <w:szCs w:val="24"/>
          <w:highlight w:val="none"/>
        </w:rPr>
        <w:t>注：</w:t>
      </w:r>
      <w:r>
        <w:rPr>
          <w:rFonts w:hint="eastAsia" w:ascii="仿宋" w:hAnsi="仿宋" w:eastAsia="仿宋"/>
          <w:color w:val="auto"/>
          <w:sz w:val="24"/>
          <w:highlight w:val="none"/>
        </w:rPr>
        <w:t>投标人根据评标标准具体要求附业绩证明材料。</w:t>
      </w:r>
    </w:p>
    <w:p>
      <w:pPr>
        <w:pStyle w:val="12"/>
        <w:spacing w:before="0" w:after="0" w:line="360" w:lineRule="auto"/>
        <w:contextualSpacing/>
        <w:jc w:val="lef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法定代表人或者委托代理人（签字）：</w:t>
      </w:r>
      <w:r>
        <w:rPr>
          <w:rFonts w:hint="eastAsia" w:ascii="仿宋" w:hAnsi="仿宋" w:eastAsia="仿宋"/>
          <w:color w:val="auto"/>
          <w:sz w:val="24"/>
          <w:szCs w:val="24"/>
          <w:highlight w:val="none"/>
          <w:u w:val="single"/>
        </w:rPr>
        <w:t>　　　　　</w:t>
      </w:r>
    </w:p>
    <w:p>
      <w:pPr>
        <w:spacing w:line="360" w:lineRule="auto"/>
        <w:ind w:right="480"/>
        <w:contextualSpacing/>
        <w:jc w:val="left"/>
        <w:rPr>
          <w:rFonts w:ascii="仿宋" w:hAnsi="仿宋" w:eastAsia="仿宋"/>
          <w:color w:val="auto"/>
          <w:sz w:val="24"/>
          <w:szCs w:val="20"/>
          <w:highlight w:val="none"/>
        </w:rPr>
      </w:pPr>
      <w:r>
        <w:rPr>
          <w:rFonts w:hint="eastAsia" w:ascii="仿宋" w:hAnsi="仿宋" w:eastAsia="仿宋" w:cs="Arial"/>
          <w:color w:val="auto"/>
          <w:sz w:val="24"/>
          <w:highlight w:val="none"/>
        </w:rPr>
        <w:t xml:space="preserve">投标人（盖公章）：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年    月    日</w:t>
      </w:r>
    </w:p>
    <w:p>
      <w:pPr>
        <w:snapToGrid w:val="0"/>
        <w:spacing w:before="50"/>
        <w:ind w:firstLine="480" w:firstLineChars="200"/>
        <w:jc w:val="left"/>
        <w:rPr>
          <w:rFonts w:ascii="仿宋" w:hAnsi="仿宋" w:eastAsia="仿宋"/>
          <w:color w:val="auto"/>
          <w:sz w:val="24"/>
          <w:szCs w:val="20"/>
          <w:highlight w:val="none"/>
        </w:rPr>
      </w:pPr>
    </w:p>
    <w:p>
      <w:pPr>
        <w:snapToGrid w:val="0"/>
        <w:spacing w:before="50"/>
        <w:jc w:val="left"/>
        <w:rPr>
          <w:rFonts w:ascii="仿宋" w:hAnsi="仿宋" w:eastAsia="仿宋"/>
          <w:color w:val="auto"/>
          <w:sz w:val="24"/>
          <w:highlight w:val="none"/>
        </w:rPr>
      </w:pPr>
    </w:p>
    <w:p>
      <w:pPr>
        <w:snapToGrid w:val="0"/>
        <w:spacing w:before="120" w:beforeLines="50"/>
        <w:rPr>
          <w:rFonts w:ascii="仿宋" w:hAnsi="仿宋" w:eastAsia="仿宋"/>
          <w:color w:val="auto"/>
          <w:sz w:val="24"/>
          <w:szCs w:val="20"/>
          <w:highlight w:val="none"/>
        </w:rPr>
        <w:sectPr>
          <w:pgSz w:w="11906" w:h="16838"/>
          <w:pgMar w:top="1440" w:right="1080" w:bottom="1440" w:left="1080" w:header="851" w:footer="992" w:gutter="0"/>
          <w:cols w:space="720" w:num="1"/>
          <w:docGrid w:linePitch="312" w:charSpace="0"/>
        </w:sectPr>
      </w:pPr>
    </w:p>
    <w:p>
      <w:pPr>
        <w:rPr>
          <w:rFonts w:ascii="仿宋" w:hAnsi="仿宋" w:eastAsia="仿宋"/>
          <w:b/>
          <w:color w:val="auto"/>
          <w:sz w:val="28"/>
          <w:szCs w:val="28"/>
          <w:highlight w:val="none"/>
        </w:rPr>
      </w:pPr>
      <w:r>
        <w:rPr>
          <w:rFonts w:hint="eastAsia" w:ascii="仿宋" w:hAnsi="仿宋" w:eastAsia="仿宋"/>
          <w:b/>
          <w:color w:val="auto"/>
          <w:sz w:val="28"/>
          <w:szCs w:val="28"/>
          <w:highlight w:val="none"/>
        </w:rPr>
        <w:t>四、技术文件格式</w:t>
      </w:r>
    </w:p>
    <w:p>
      <w:pPr>
        <w:snapToGrid w:val="0"/>
        <w:spacing w:before="120" w:beforeLines="50" w:after="50"/>
        <w:ind w:left="142"/>
        <w:jc w:val="left"/>
        <w:rPr>
          <w:rFonts w:ascii="仿宋" w:hAnsi="仿宋" w:eastAsia="仿宋"/>
          <w:b/>
          <w:color w:val="auto"/>
          <w:sz w:val="24"/>
          <w:highlight w:val="none"/>
        </w:rPr>
      </w:pPr>
      <w:r>
        <w:rPr>
          <w:rFonts w:hint="eastAsia" w:ascii="仿宋" w:hAnsi="仿宋" w:eastAsia="仿宋"/>
          <w:b/>
          <w:color w:val="auto"/>
          <w:sz w:val="24"/>
          <w:highlight w:val="none"/>
        </w:rPr>
        <w:t xml:space="preserve">1. 技术文件封面格式： </w:t>
      </w:r>
    </w:p>
    <w:p>
      <w:pPr>
        <w:snapToGrid w:val="0"/>
        <w:spacing w:before="120" w:beforeLines="50" w:after="50"/>
        <w:rPr>
          <w:rFonts w:ascii="仿宋" w:hAnsi="仿宋" w:eastAsia="仿宋"/>
          <w:b/>
          <w:bCs/>
          <w:color w:val="auto"/>
          <w:sz w:val="32"/>
          <w:szCs w:val="20"/>
          <w:highlight w:val="none"/>
        </w:rPr>
      </w:pPr>
      <w:r>
        <w:rPr>
          <w:rFonts w:hint="eastAsia" w:ascii="仿宋" w:hAnsi="仿宋" w:eastAsia="仿宋"/>
          <w:color w:val="auto"/>
          <w:sz w:val="24"/>
          <w:highlight w:val="none"/>
        </w:rPr>
        <w:t xml:space="preserve">                                                   </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cs="方正小标宋简体"/>
          <w:color w:val="auto"/>
          <w:sz w:val="84"/>
          <w:szCs w:val="84"/>
          <w:highlight w:val="none"/>
        </w:rPr>
      </w:pPr>
      <w:r>
        <w:rPr>
          <w:rFonts w:hint="eastAsia" w:ascii="仿宋" w:hAnsi="仿宋" w:eastAsia="仿宋" w:cs="方正小标宋简体"/>
          <w:color w:val="auto"/>
          <w:sz w:val="84"/>
          <w:szCs w:val="84"/>
          <w:highlight w:val="none"/>
        </w:rPr>
        <w:t>投  标  文  件</w:t>
      </w:r>
    </w:p>
    <w:p>
      <w:pPr>
        <w:snapToGrid w:val="0"/>
        <w:spacing w:before="120" w:beforeLines="50" w:after="50"/>
        <w:rPr>
          <w:rFonts w:ascii="仿宋" w:hAnsi="仿宋" w:eastAsia="仿宋"/>
          <w:color w:val="auto"/>
          <w:sz w:val="24"/>
          <w:szCs w:val="20"/>
          <w:highlight w:val="none"/>
        </w:rPr>
      </w:pPr>
    </w:p>
    <w:p>
      <w:pPr>
        <w:snapToGrid w:val="0"/>
        <w:spacing w:before="120" w:beforeLines="50" w:after="50"/>
        <w:rPr>
          <w:rFonts w:ascii="仿宋" w:hAnsi="仿宋" w:eastAsia="仿宋"/>
          <w:color w:val="auto"/>
          <w:sz w:val="24"/>
          <w:szCs w:val="20"/>
          <w:highlight w:val="none"/>
        </w:rPr>
      </w:pPr>
    </w:p>
    <w:p>
      <w:pPr>
        <w:snapToGrid w:val="0"/>
        <w:spacing w:before="120" w:beforeLines="50" w:after="50"/>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技  术  文  件</w:t>
      </w:r>
    </w:p>
    <w:p>
      <w:pPr>
        <w:snapToGrid w:val="0"/>
        <w:spacing w:before="120" w:beforeLines="50" w:after="50"/>
        <w:rPr>
          <w:rFonts w:ascii="仿宋" w:hAnsi="仿宋" w:eastAsia="仿宋"/>
          <w:bCs/>
          <w:color w:val="auto"/>
          <w:sz w:val="24"/>
          <w:szCs w:val="20"/>
          <w:highlight w:val="none"/>
        </w:rPr>
      </w:pPr>
    </w:p>
    <w:p>
      <w:pPr>
        <w:snapToGrid w:val="0"/>
        <w:spacing w:before="120" w:beforeLines="50" w:after="50"/>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项目名称： </w:t>
      </w:r>
    </w:p>
    <w:p>
      <w:pPr>
        <w:snapToGrid w:val="0"/>
        <w:spacing w:before="120" w:beforeLines="50" w:after="50" w:line="400" w:lineRule="exact"/>
        <w:ind w:firstLine="360" w:firstLineChars="150"/>
        <w:rPr>
          <w:rFonts w:ascii="仿宋" w:hAnsi="仿宋" w:eastAsia="仿宋"/>
          <w:bCs/>
          <w:color w:val="auto"/>
          <w:sz w:val="24"/>
          <w:szCs w:val="20"/>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 xml:space="preserve">项目编号： </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所投分标：/</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投标人名称：</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line="40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投标人地址：</w:t>
      </w:r>
    </w:p>
    <w:p>
      <w:pPr>
        <w:snapToGrid w:val="0"/>
        <w:spacing w:before="120" w:beforeLines="50" w:after="50" w:line="400" w:lineRule="exact"/>
        <w:ind w:firstLine="360" w:firstLineChars="150"/>
        <w:rPr>
          <w:rFonts w:ascii="仿宋" w:hAnsi="仿宋" w:eastAsia="仿宋"/>
          <w:bCs/>
          <w:color w:val="auto"/>
          <w:sz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 xml:space="preserve">               </w:t>
      </w:r>
    </w:p>
    <w:p>
      <w:pPr>
        <w:snapToGrid w:val="0"/>
        <w:spacing w:before="120" w:beforeLines="50" w:after="50"/>
        <w:ind w:firstLine="645"/>
        <w:jc w:val="center"/>
        <w:rPr>
          <w:rFonts w:ascii="仿宋" w:hAnsi="仿宋" w:eastAsia="仿宋"/>
          <w:color w:val="auto"/>
          <w:sz w:val="24"/>
          <w:highlight w:val="none"/>
        </w:rPr>
      </w:pPr>
    </w:p>
    <w:p>
      <w:pPr>
        <w:snapToGrid w:val="0"/>
        <w:spacing w:before="120" w:beforeLines="50" w:after="50"/>
        <w:ind w:firstLine="645"/>
        <w:jc w:val="center"/>
        <w:rPr>
          <w:rFonts w:ascii="仿宋" w:hAnsi="仿宋" w:eastAsia="仿宋"/>
          <w:color w:val="auto"/>
          <w:sz w:val="24"/>
          <w:highlight w:val="none"/>
        </w:rPr>
      </w:pPr>
      <w:r>
        <w:rPr>
          <w:rFonts w:hint="eastAsia" w:ascii="仿宋" w:hAnsi="仿宋" w:eastAsia="仿宋"/>
          <w:color w:val="auto"/>
          <w:sz w:val="24"/>
          <w:highlight w:val="none"/>
        </w:rPr>
        <w:t>年    月    日</w:t>
      </w:r>
    </w:p>
    <w:p>
      <w:pPr>
        <w:snapToGrid w:val="0"/>
        <w:spacing w:before="120" w:beforeLines="50" w:after="50"/>
        <w:ind w:firstLine="645"/>
        <w:jc w:val="center"/>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bCs/>
          <w:color w:val="auto"/>
          <w:sz w:val="24"/>
          <w:highlight w:val="none"/>
        </w:rPr>
      </w:pPr>
      <w:r>
        <w:rPr>
          <w:rFonts w:ascii="仿宋" w:hAnsi="仿宋" w:eastAsia="仿宋"/>
          <w:b/>
          <w:bCs/>
          <w:color w:val="auto"/>
          <w:sz w:val="24"/>
          <w:highlight w:val="none"/>
        </w:rPr>
        <w:br w:type="page"/>
      </w:r>
      <w:r>
        <w:rPr>
          <w:rFonts w:hint="eastAsia" w:ascii="仿宋" w:hAnsi="仿宋" w:eastAsia="仿宋"/>
          <w:b/>
          <w:bCs/>
          <w:color w:val="auto"/>
          <w:sz w:val="24"/>
          <w:highlight w:val="none"/>
        </w:rPr>
        <w:t>2.技术文件目录</w:t>
      </w:r>
    </w:p>
    <w:p>
      <w:pPr>
        <w:snapToGrid w:val="0"/>
        <w:spacing w:before="50" w:after="120" w:afterLines="50"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根据招标文件规定及投标人提供的材料自行编写目录。</w:t>
      </w: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3. 设备性能配置清单格式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设备性能配置清单</w:t>
      </w:r>
    </w:p>
    <w:p>
      <w:pPr>
        <w:pStyle w:val="15"/>
        <w:wordWrap w:val="0"/>
        <w:ind w:right="24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3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1299"/>
        <w:gridCol w:w="838"/>
        <w:gridCol w:w="934"/>
        <w:gridCol w:w="1863"/>
        <w:gridCol w:w="1299"/>
        <w:gridCol w:w="769"/>
        <w:gridCol w:w="1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货物名称</w:t>
            </w: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数量及单位</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品牌</w:t>
            </w: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制造商</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原产地</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r>
              <w:rPr>
                <w:rFonts w:hint="eastAsia" w:ascii="仿宋" w:hAnsi="仿宋" w:eastAsia="仿宋"/>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仿宋" w:hAnsi="仿宋" w:eastAsia="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仿宋" w:hAnsi="仿宋" w:eastAsia="仿宋"/>
                <w:color w:val="auto"/>
                <w:sz w:val="24"/>
                <w:highlight w:val="none"/>
              </w:rPr>
            </w:pPr>
          </w:p>
        </w:tc>
      </w:tr>
    </w:tbl>
    <w:p>
      <w:pPr>
        <w:spacing w:line="360" w:lineRule="auto"/>
        <w:contextualSpacing/>
        <w:rPr>
          <w:rFonts w:ascii="仿宋" w:hAnsi="仿宋" w:eastAsia="仿宋"/>
          <w:color w:val="auto"/>
          <w:sz w:val="24"/>
          <w:highlight w:val="none"/>
        </w:rPr>
      </w:pPr>
      <w:r>
        <w:rPr>
          <w:rFonts w:hint="eastAsia" w:ascii="仿宋" w:hAnsi="仿宋" w:eastAsia="仿宋"/>
          <w:color w:val="auto"/>
          <w:sz w:val="24"/>
          <w:highlight w:val="none"/>
        </w:rPr>
        <w:t>备注：</w:t>
      </w:r>
    </w:p>
    <w:p>
      <w:pPr>
        <w:spacing w:line="360" w:lineRule="auto"/>
        <w:ind w:firstLine="480" w:firstLineChars="200"/>
        <w:contextualSpacing/>
        <w:rPr>
          <w:rFonts w:ascii="仿宋" w:hAnsi="仿宋" w:eastAsia="仿宋"/>
          <w:b/>
          <w:color w:val="auto"/>
          <w:sz w:val="24"/>
          <w:highlight w:val="none"/>
        </w:rPr>
      </w:pPr>
      <w:r>
        <w:rPr>
          <w:rFonts w:hint="eastAsia" w:ascii="仿宋" w:hAnsi="仿宋" w:eastAsia="仿宋"/>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仿宋" w:hAnsi="仿宋" w:eastAsia="仿宋"/>
          <w:bCs/>
          <w:color w:val="auto"/>
          <w:sz w:val="24"/>
          <w:highlight w:val="none"/>
        </w:rPr>
        <w:t>的，</w:t>
      </w:r>
      <w:r>
        <w:rPr>
          <w:rFonts w:hint="eastAsia" w:ascii="仿宋" w:hAnsi="仿宋" w:eastAsia="仿宋"/>
          <w:b/>
          <w:color w:val="auto"/>
          <w:sz w:val="24"/>
          <w:highlight w:val="none"/>
        </w:rPr>
        <w:t>作无效投标处理。</w:t>
      </w:r>
      <w:r>
        <w:rPr>
          <w:rFonts w:hint="eastAsia" w:ascii="仿宋" w:hAnsi="仿宋" w:eastAsia="仿宋"/>
          <w:color w:val="auto"/>
          <w:sz w:val="24"/>
          <w:highlight w:val="none"/>
        </w:rPr>
        <w:t>货物名称、数量及单位、品牌必须与“开标一览表”一致，</w:t>
      </w:r>
      <w:r>
        <w:rPr>
          <w:rFonts w:hint="eastAsia" w:ascii="仿宋" w:hAnsi="仿宋" w:eastAsia="仿宋"/>
          <w:b/>
          <w:color w:val="auto"/>
          <w:sz w:val="24"/>
          <w:highlight w:val="none"/>
        </w:rPr>
        <w:t>否则按无效投标处理。</w:t>
      </w:r>
    </w:p>
    <w:p>
      <w:pPr>
        <w:spacing w:line="360" w:lineRule="auto"/>
        <w:ind w:firstLine="480" w:firstLineChars="200"/>
        <w:contextualSpacing/>
        <w:rPr>
          <w:rFonts w:ascii="仿宋" w:hAnsi="仿宋" w:eastAsia="仿宋"/>
          <w:color w:val="auto"/>
          <w:sz w:val="24"/>
          <w:highlight w:val="none"/>
        </w:rPr>
      </w:pPr>
    </w:p>
    <w:p>
      <w:pPr>
        <w:spacing w:line="360" w:lineRule="auto"/>
        <w:contextualSpacing/>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snapToGrid w:val="0"/>
        <w:spacing w:before="50" w:after="120" w:afterLines="50"/>
        <w:jc w:val="left"/>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4. 技术要求偏离表格式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技术要求偏离表</w:t>
      </w:r>
    </w:p>
    <w:p>
      <w:pPr>
        <w:pStyle w:val="15"/>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52" w:type="dxa"/>
            <w:vAlign w:val="center"/>
          </w:tcPr>
          <w:p>
            <w:pPr>
              <w:pStyle w:val="15"/>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项号</w:t>
            </w:r>
          </w:p>
        </w:tc>
        <w:tc>
          <w:tcPr>
            <w:tcW w:w="2143" w:type="dxa"/>
            <w:vAlign w:val="center"/>
          </w:tcPr>
          <w:p>
            <w:pPr>
              <w:pStyle w:val="15"/>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标的的名称</w:t>
            </w:r>
          </w:p>
        </w:tc>
        <w:tc>
          <w:tcPr>
            <w:tcW w:w="1834" w:type="dxa"/>
            <w:vAlign w:val="center"/>
          </w:tcPr>
          <w:p>
            <w:pPr>
              <w:pStyle w:val="15"/>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技术要求</w:t>
            </w:r>
          </w:p>
        </w:tc>
        <w:tc>
          <w:tcPr>
            <w:tcW w:w="2181" w:type="dxa"/>
            <w:vAlign w:val="center"/>
          </w:tcPr>
          <w:p>
            <w:pPr>
              <w:pStyle w:val="15"/>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投标响应</w:t>
            </w:r>
          </w:p>
        </w:tc>
        <w:tc>
          <w:tcPr>
            <w:tcW w:w="1934" w:type="dxa"/>
            <w:vAlign w:val="center"/>
          </w:tcPr>
          <w:p>
            <w:pPr>
              <w:pStyle w:val="15"/>
              <w:spacing w:line="400" w:lineRule="exact"/>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jc w:val="center"/>
              <w:rPr>
                <w:rFonts w:ascii="仿宋" w:hAnsi="仿宋" w:eastAsia="仿宋" w:cs="Courier New"/>
                <w:color w:val="auto"/>
                <w:kern w:val="2"/>
                <w:sz w:val="24"/>
                <w:szCs w:val="24"/>
                <w:highlight w:val="none"/>
              </w:rPr>
            </w:pPr>
          </w:p>
        </w:tc>
        <w:tc>
          <w:tcPr>
            <w:tcW w:w="2143" w:type="dxa"/>
            <w:vAlign w:val="center"/>
          </w:tcPr>
          <w:p>
            <w:pPr>
              <w:pStyle w:val="15"/>
              <w:spacing w:line="600" w:lineRule="exact"/>
              <w:jc w:val="center"/>
              <w:rPr>
                <w:rFonts w:ascii="仿宋" w:hAnsi="仿宋" w:eastAsia="仿宋" w:cs="Courier New"/>
                <w:color w:val="auto"/>
                <w:kern w:val="2"/>
                <w:sz w:val="24"/>
                <w:szCs w:val="24"/>
                <w:highlight w:val="none"/>
              </w:rPr>
            </w:pPr>
          </w:p>
        </w:tc>
        <w:tc>
          <w:tcPr>
            <w:tcW w:w="1834" w:type="dxa"/>
            <w:vAlign w:val="center"/>
          </w:tcPr>
          <w:p>
            <w:pPr>
              <w:pStyle w:val="15"/>
              <w:spacing w:line="600" w:lineRule="exact"/>
              <w:jc w:val="center"/>
              <w:rPr>
                <w:rFonts w:ascii="仿宋" w:hAnsi="仿宋" w:eastAsia="仿宋" w:cs="Courier New"/>
                <w:color w:val="auto"/>
                <w:kern w:val="2"/>
                <w:sz w:val="24"/>
                <w:szCs w:val="24"/>
                <w:highlight w:val="none"/>
              </w:rPr>
            </w:pPr>
          </w:p>
        </w:tc>
        <w:tc>
          <w:tcPr>
            <w:tcW w:w="2181" w:type="dxa"/>
            <w:vAlign w:val="center"/>
          </w:tcPr>
          <w:p>
            <w:pPr>
              <w:pStyle w:val="15"/>
              <w:spacing w:line="600" w:lineRule="exact"/>
              <w:jc w:val="center"/>
              <w:rPr>
                <w:rFonts w:ascii="仿宋" w:hAnsi="仿宋" w:eastAsia="仿宋" w:cs="Courier New"/>
                <w:color w:val="auto"/>
                <w:kern w:val="2"/>
                <w:sz w:val="24"/>
                <w:szCs w:val="24"/>
                <w:highlight w:val="none"/>
              </w:rPr>
            </w:pPr>
          </w:p>
        </w:tc>
        <w:tc>
          <w:tcPr>
            <w:tcW w:w="1934" w:type="dxa"/>
            <w:vAlign w:val="center"/>
          </w:tcPr>
          <w:p>
            <w:pPr>
              <w:pStyle w:val="15"/>
              <w:spacing w:line="600" w:lineRule="exact"/>
              <w:jc w:val="center"/>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rPr>
                <w:rFonts w:ascii="仿宋" w:hAnsi="仿宋" w:eastAsia="仿宋" w:cs="Courier New"/>
                <w:color w:val="auto"/>
                <w:kern w:val="2"/>
                <w:sz w:val="24"/>
                <w:szCs w:val="24"/>
                <w:highlight w:val="none"/>
              </w:rPr>
            </w:pPr>
          </w:p>
        </w:tc>
        <w:tc>
          <w:tcPr>
            <w:tcW w:w="2143" w:type="dxa"/>
          </w:tcPr>
          <w:p>
            <w:pPr>
              <w:pStyle w:val="15"/>
              <w:spacing w:line="600" w:lineRule="exact"/>
              <w:rPr>
                <w:rFonts w:ascii="仿宋" w:hAnsi="仿宋" w:eastAsia="仿宋" w:cs="Courier New"/>
                <w:color w:val="auto"/>
                <w:kern w:val="2"/>
                <w:sz w:val="24"/>
                <w:szCs w:val="24"/>
                <w:highlight w:val="none"/>
              </w:rPr>
            </w:pPr>
          </w:p>
        </w:tc>
        <w:tc>
          <w:tcPr>
            <w:tcW w:w="1834" w:type="dxa"/>
          </w:tcPr>
          <w:p>
            <w:pPr>
              <w:pStyle w:val="15"/>
              <w:spacing w:line="600" w:lineRule="exact"/>
              <w:rPr>
                <w:rFonts w:ascii="仿宋" w:hAnsi="仿宋" w:eastAsia="仿宋" w:cs="Courier New"/>
                <w:color w:val="auto"/>
                <w:kern w:val="2"/>
                <w:sz w:val="24"/>
                <w:szCs w:val="24"/>
                <w:highlight w:val="none"/>
              </w:rPr>
            </w:pPr>
          </w:p>
        </w:tc>
        <w:tc>
          <w:tcPr>
            <w:tcW w:w="2181" w:type="dxa"/>
          </w:tcPr>
          <w:p>
            <w:pPr>
              <w:pStyle w:val="15"/>
              <w:spacing w:line="600" w:lineRule="exact"/>
              <w:rPr>
                <w:rFonts w:ascii="仿宋" w:hAnsi="仿宋" w:eastAsia="仿宋" w:cs="Courier New"/>
                <w:color w:val="auto"/>
                <w:kern w:val="2"/>
                <w:sz w:val="24"/>
                <w:szCs w:val="24"/>
                <w:highlight w:val="none"/>
              </w:rPr>
            </w:pPr>
          </w:p>
        </w:tc>
        <w:tc>
          <w:tcPr>
            <w:tcW w:w="1934" w:type="dxa"/>
          </w:tcPr>
          <w:p>
            <w:pPr>
              <w:pStyle w:val="15"/>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rPr>
                <w:rFonts w:ascii="仿宋" w:hAnsi="仿宋" w:eastAsia="仿宋" w:cs="Courier New"/>
                <w:color w:val="auto"/>
                <w:kern w:val="2"/>
                <w:sz w:val="24"/>
                <w:szCs w:val="24"/>
                <w:highlight w:val="none"/>
              </w:rPr>
            </w:pPr>
          </w:p>
        </w:tc>
        <w:tc>
          <w:tcPr>
            <w:tcW w:w="2143" w:type="dxa"/>
          </w:tcPr>
          <w:p>
            <w:pPr>
              <w:pStyle w:val="15"/>
              <w:spacing w:line="600" w:lineRule="exact"/>
              <w:rPr>
                <w:rFonts w:ascii="仿宋" w:hAnsi="仿宋" w:eastAsia="仿宋" w:cs="Courier New"/>
                <w:color w:val="auto"/>
                <w:kern w:val="2"/>
                <w:sz w:val="24"/>
                <w:szCs w:val="24"/>
                <w:highlight w:val="none"/>
              </w:rPr>
            </w:pPr>
          </w:p>
        </w:tc>
        <w:tc>
          <w:tcPr>
            <w:tcW w:w="1834" w:type="dxa"/>
          </w:tcPr>
          <w:p>
            <w:pPr>
              <w:pStyle w:val="15"/>
              <w:spacing w:line="600" w:lineRule="exact"/>
              <w:rPr>
                <w:rFonts w:ascii="仿宋" w:hAnsi="仿宋" w:eastAsia="仿宋" w:cs="Courier New"/>
                <w:color w:val="auto"/>
                <w:kern w:val="2"/>
                <w:sz w:val="24"/>
                <w:szCs w:val="24"/>
                <w:highlight w:val="none"/>
              </w:rPr>
            </w:pPr>
          </w:p>
        </w:tc>
        <w:tc>
          <w:tcPr>
            <w:tcW w:w="2181" w:type="dxa"/>
          </w:tcPr>
          <w:p>
            <w:pPr>
              <w:pStyle w:val="15"/>
              <w:spacing w:line="600" w:lineRule="exact"/>
              <w:rPr>
                <w:rFonts w:ascii="仿宋" w:hAnsi="仿宋" w:eastAsia="仿宋" w:cs="Courier New"/>
                <w:color w:val="auto"/>
                <w:kern w:val="2"/>
                <w:sz w:val="24"/>
                <w:szCs w:val="24"/>
                <w:highlight w:val="none"/>
              </w:rPr>
            </w:pPr>
          </w:p>
        </w:tc>
        <w:tc>
          <w:tcPr>
            <w:tcW w:w="1934" w:type="dxa"/>
          </w:tcPr>
          <w:p>
            <w:pPr>
              <w:pStyle w:val="15"/>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rPr>
                <w:rFonts w:ascii="仿宋" w:hAnsi="仿宋" w:eastAsia="仿宋" w:cs="Courier New"/>
                <w:color w:val="auto"/>
                <w:kern w:val="2"/>
                <w:sz w:val="24"/>
                <w:szCs w:val="24"/>
                <w:highlight w:val="none"/>
              </w:rPr>
            </w:pPr>
          </w:p>
        </w:tc>
        <w:tc>
          <w:tcPr>
            <w:tcW w:w="2143" w:type="dxa"/>
          </w:tcPr>
          <w:p>
            <w:pPr>
              <w:pStyle w:val="15"/>
              <w:spacing w:line="600" w:lineRule="exact"/>
              <w:rPr>
                <w:rFonts w:ascii="仿宋" w:hAnsi="仿宋" w:eastAsia="仿宋" w:cs="Courier New"/>
                <w:color w:val="auto"/>
                <w:kern w:val="2"/>
                <w:sz w:val="24"/>
                <w:szCs w:val="24"/>
                <w:highlight w:val="none"/>
              </w:rPr>
            </w:pPr>
          </w:p>
        </w:tc>
        <w:tc>
          <w:tcPr>
            <w:tcW w:w="1834" w:type="dxa"/>
          </w:tcPr>
          <w:p>
            <w:pPr>
              <w:pStyle w:val="15"/>
              <w:spacing w:line="600" w:lineRule="exact"/>
              <w:rPr>
                <w:rFonts w:ascii="仿宋" w:hAnsi="仿宋" w:eastAsia="仿宋" w:cs="Courier New"/>
                <w:color w:val="auto"/>
                <w:kern w:val="2"/>
                <w:sz w:val="24"/>
                <w:szCs w:val="24"/>
                <w:highlight w:val="none"/>
              </w:rPr>
            </w:pPr>
          </w:p>
        </w:tc>
        <w:tc>
          <w:tcPr>
            <w:tcW w:w="2181" w:type="dxa"/>
          </w:tcPr>
          <w:p>
            <w:pPr>
              <w:pStyle w:val="15"/>
              <w:spacing w:line="600" w:lineRule="exact"/>
              <w:rPr>
                <w:rFonts w:ascii="仿宋" w:hAnsi="仿宋" w:eastAsia="仿宋" w:cs="Courier New"/>
                <w:color w:val="auto"/>
                <w:kern w:val="2"/>
                <w:sz w:val="24"/>
                <w:szCs w:val="24"/>
                <w:highlight w:val="none"/>
              </w:rPr>
            </w:pPr>
          </w:p>
        </w:tc>
        <w:tc>
          <w:tcPr>
            <w:tcW w:w="1934" w:type="dxa"/>
          </w:tcPr>
          <w:p>
            <w:pPr>
              <w:pStyle w:val="15"/>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rPr>
                <w:rFonts w:ascii="仿宋" w:hAnsi="仿宋" w:eastAsia="仿宋" w:cs="Courier New"/>
                <w:color w:val="auto"/>
                <w:kern w:val="2"/>
                <w:sz w:val="24"/>
                <w:szCs w:val="24"/>
                <w:highlight w:val="none"/>
              </w:rPr>
            </w:pPr>
          </w:p>
        </w:tc>
        <w:tc>
          <w:tcPr>
            <w:tcW w:w="2143" w:type="dxa"/>
          </w:tcPr>
          <w:p>
            <w:pPr>
              <w:pStyle w:val="15"/>
              <w:spacing w:line="600" w:lineRule="exact"/>
              <w:rPr>
                <w:rFonts w:ascii="仿宋" w:hAnsi="仿宋" w:eastAsia="仿宋" w:cs="Courier New"/>
                <w:color w:val="auto"/>
                <w:kern w:val="2"/>
                <w:sz w:val="24"/>
                <w:szCs w:val="24"/>
                <w:highlight w:val="none"/>
              </w:rPr>
            </w:pPr>
          </w:p>
        </w:tc>
        <w:tc>
          <w:tcPr>
            <w:tcW w:w="1834" w:type="dxa"/>
          </w:tcPr>
          <w:p>
            <w:pPr>
              <w:pStyle w:val="15"/>
              <w:spacing w:line="600" w:lineRule="exact"/>
              <w:rPr>
                <w:rFonts w:ascii="仿宋" w:hAnsi="仿宋" w:eastAsia="仿宋" w:cs="Courier New"/>
                <w:color w:val="auto"/>
                <w:kern w:val="2"/>
                <w:sz w:val="24"/>
                <w:szCs w:val="24"/>
                <w:highlight w:val="none"/>
              </w:rPr>
            </w:pPr>
          </w:p>
        </w:tc>
        <w:tc>
          <w:tcPr>
            <w:tcW w:w="2181" w:type="dxa"/>
          </w:tcPr>
          <w:p>
            <w:pPr>
              <w:pStyle w:val="15"/>
              <w:spacing w:line="600" w:lineRule="exact"/>
              <w:rPr>
                <w:rFonts w:ascii="仿宋" w:hAnsi="仿宋" w:eastAsia="仿宋" w:cs="Courier New"/>
                <w:color w:val="auto"/>
                <w:kern w:val="2"/>
                <w:sz w:val="24"/>
                <w:szCs w:val="24"/>
                <w:highlight w:val="none"/>
              </w:rPr>
            </w:pPr>
          </w:p>
        </w:tc>
        <w:tc>
          <w:tcPr>
            <w:tcW w:w="1934" w:type="dxa"/>
          </w:tcPr>
          <w:p>
            <w:pPr>
              <w:pStyle w:val="15"/>
              <w:spacing w:line="600" w:lineRule="exact"/>
              <w:rPr>
                <w:rFonts w:ascii="仿宋" w:hAnsi="仿宋" w:eastAsia="仿宋" w:cs="Courier New"/>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Style w:val="15"/>
              <w:spacing w:line="600" w:lineRule="exact"/>
              <w:rPr>
                <w:rFonts w:ascii="仿宋" w:hAnsi="仿宋" w:eastAsia="仿宋" w:cs="Courier New"/>
                <w:color w:val="auto"/>
                <w:kern w:val="2"/>
                <w:sz w:val="24"/>
                <w:szCs w:val="24"/>
                <w:highlight w:val="none"/>
              </w:rPr>
            </w:pPr>
          </w:p>
        </w:tc>
        <w:tc>
          <w:tcPr>
            <w:tcW w:w="2143" w:type="dxa"/>
          </w:tcPr>
          <w:p>
            <w:pPr>
              <w:pStyle w:val="15"/>
              <w:spacing w:line="600" w:lineRule="exact"/>
              <w:rPr>
                <w:rFonts w:ascii="仿宋" w:hAnsi="仿宋" w:eastAsia="仿宋" w:cs="Courier New"/>
                <w:color w:val="auto"/>
                <w:kern w:val="2"/>
                <w:sz w:val="24"/>
                <w:szCs w:val="24"/>
                <w:highlight w:val="none"/>
              </w:rPr>
            </w:pPr>
          </w:p>
        </w:tc>
        <w:tc>
          <w:tcPr>
            <w:tcW w:w="1834" w:type="dxa"/>
          </w:tcPr>
          <w:p>
            <w:pPr>
              <w:pStyle w:val="15"/>
              <w:spacing w:line="600" w:lineRule="exact"/>
              <w:rPr>
                <w:rFonts w:ascii="仿宋" w:hAnsi="仿宋" w:eastAsia="仿宋" w:cs="Courier New"/>
                <w:color w:val="auto"/>
                <w:kern w:val="2"/>
                <w:sz w:val="24"/>
                <w:szCs w:val="24"/>
                <w:highlight w:val="none"/>
              </w:rPr>
            </w:pPr>
          </w:p>
        </w:tc>
        <w:tc>
          <w:tcPr>
            <w:tcW w:w="2181" w:type="dxa"/>
          </w:tcPr>
          <w:p>
            <w:pPr>
              <w:pStyle w:val="15"/>
              <w:spacing w:line="600" w:lineRule="exact"/>
              <w:rPr>
                <w:rFonts w:ascii="仿宋" w:hAnsi="仿宋" w:eastAsia="仿宋" w:cs="Courier New"/>
                <w:color w:val="auto"/>
                <w:kern w:val="2"/>
                <w:sz w:val="24"/>
                <w:szCs w:val="24"/>
                <w:highlight w:val="none"/>
              </w:rPr>
            </w:pPr>
          </w:p>
        </w:tc>
        <w:tc>
          <w:tcPr>
            <w:tcW w:w="1934" w:type="dxa"/>
          </w:tcPr>
          <w:p>
            <w:pPr>
              <w:pStyle w:val="15"/>
              <w:spacing w:line="600" w:lineRule="exact"/>
              <w:rPr>
                <w:rFonts w:ascii="仿宋" w:hAnsi="仿宋" w:eastAsia="仿宋" w:cs="Courier New"/>
                <w:color w:val="auto"/>
                <w:kern w:val="2"/>
                <w:sz w:val="24"/>
                <w:szCs w:val="24"/>
                <w:highlight w:val="none"/>
              </w:rPr>
            </w:pPr>
          </w:p>
        </w:tc>
      </w:tr>
    </w:tbl>
    <w:p>
      <w:pPr>
        <w:pStyle w:val="13"/>
        <w:rPr>
          <w:rFonts w:ascii="仿宋" w:hAnsi="仿宋" w:eastAsia="仿宋"/>
          <w:color w:val="auto"/>
          <w:highlight w:val="none"/>
        </w:rPr>
      </w:pPr>
      <w:r>
        <w:rPr>
          <w:rFonts w:hint="eastAsia" w:ascii="仿宋" w:hAnsi="仿宋" w:eastAsia="仿宋"/>
          <w:color w:val="auto"/>
          <w:highlight w:val="none"/>
        </w:rPr>
        <w:t>注：</w:t>
      </w:r>
    </w:p>
    <w:p>
      <w:pPr>
        <w:pStyle w:val="3"/>
        <w:spacing w:line="360" w:lineRule="auto"/>
        <w:ind w:firstLine="0" w:firstLineChars="0"/>
        <w:rPr>
          <w:rFonts w:ascii="仿宋" w:hAnsi="仿宋" w:eastAsia="仿宋" w:cs="仿宋_GB2312"/>
          <w:color w:val="auto"/>
          <w:szCs w:val="32"/>
          <w:highlight w:val="none"/>
        </w:rPr>
      </w:pPr>
      <w:r>
        <w:rPr>
          <w:rFonts w:hint="eastAsia" w:ascii="仿宋" w:hAnsi="仿宋" w:eastAsia="仿宋"/>
          <w:color w:val="auto"/>
          <w:sz w:val="24"/>
          <w:szCs w:val="24"/>
          <w:highlight w:val="none"/>
        </w:rPr>
        <w:t>1. 说明：应对照招标文件“第二章 采购需求”中“</w:t>
      </w:r>
      <w:r>
        <w:rPr>
          <w:rFonts w:hint="eastAsia" w:ascii="仿宋" w:hAnsi="仿宋" w:eastAsia="仿宋"/>
          <w:color w:val="auto"/>
          <w:highlight w:val="none"/>
        </w:rPr>
        <w:t xml:space="preserve"> </w:t>
      </w:r>
      <w:r>
        <w:rPr>
          <w:rFonts w:hint="eastAsia" w:ascii="仿宋" w:hAnsi="仿宋" w:eastAsia="仿宋"/>
          <w:color w:val="auto"/>
          <w:sz w:val="24"/>
          <w:szCs w:val="24"/>
          <w:highlight w:val="none"/>
        </w:rPr>
        <w:t>一、项目要求及技术需求”各</w:t>
      </w:r>
      <w:r>
        <w:rPr>
          <w:rFonts w:ascii="仿宋" w:hAnsi="仿宋" w:eastAsia="仿宋"/>
          <w:color w:val="auto"/>
          <w:sz w:val="24"/>
          <w:szCs w:val="24"/>
          <w:highlight w:val="none"/>
        </w:rPr>
        <w:t>分项标的</w:t>
      </w:r>
      <w:r>
        <w:rPr>
          <w:rFonts w:hint="eastAsia" w:ascii="仿宋" w:hAnsi="仿宋" w:eastAsia="仿宋"/>
          <w:color w:val="auto"/>
          <w:sz w:val="24"/>
          <w:szCs w:val="24"/>
          <w:highlight w:val="none"/>
        </w:rPr>
        <w:t>逐条作明确的投标响应，并作出偏离说明。</w:t>
      </w:r>
    </w:p>
    <w:p>
      <w:pPr>
        <w:pStyle w:val="13"/>
        <w:spacing w:line="360" w:lineRule="auto"/>
        <w:rPr>
          <w:rFonts w:ascii="仿宋" w:hAnsi="仿宋" w:eastAsia="仿宋"/>
          <w:b w:val="0"/>
          <w:bCs w:val="0"/>
          <w:color w:val="auto"/>
          <w:highlight w:val="none"/>
        </w:rPr>
      </w:pPr>
      <w:r>
        <w:rPr>
          <w:rFonts w:ascii="仿宋" w:hAnsi="仿宋" w:eastAsia="仿宋"/>
          <w:b w:val="0"/>
          <w:bCs w:val="0"/>
          <w:color w:val="auto"/>
          <w:highlight w:val="none"/>
        </w:rPr>
        <w:t>2.</w:t>
      </w:r>
      <w:r>
        <w:rPr>
          <w:rFonts w:hint="eastAsia" w:ascii="仿宋" w:hAnsi="仿宋" w:eastAsia="仿宋"/>
          <w:b w:val="0"/>
          <w:bCs w:val="0"/>
          <w:color w:val="auto"/>
          <w:highlight w:val="none"/>
        </w:rPr>
        <w:t>投标人根据投标货物的性能指标，对照招标文件技术要求，在“偏离说明”中注明“</w:t>
      </w:r>
      <w:r>
        <w:rPr>
          <w:rFonts w:hint="eastAsia" w:ascii="仿宋" w:hAnsi="仿宋" w:eastAsia="仿宋"/>
          <w:color w:val="auto"/>
          <w:highlight w:val="none"/>
        </w:rPr>
        <w:t>正偏离</w:t>
      </w:r>
      <w:r>
        <w:rPr>
          <w:rFonts w:hint="eastAsia" w:ascii="仿宋" w:hAnsi="仿宋" w:eastAsia="仿宋"/>
          <w:b w:val="0"/>
          <w:bCs w:val="0"/>
          <w:color w:val="auto"/>
          <w:highlight w:val="none"/>
        </w:rPr>
        <w:t>”、“</w:t>
      </w:r>
      <w:r>
        <w:rPr>
          <w:rFonts w:hint="eastAsia" w:ascii="仿宋" w:hAnsi="仿宋" w:eastAsia="仿宋"/>
          <w:color w:val="auto"/>
          <w:highlight w:val="none"/>
        </w:rPr>
        <w:t>负偏离</w:t>
      </w:r>
      <w:r>
        <w:rPr>
          <w:rFonts w:hint="eastAsia" w:ascii="仿宋" w:hAnsi="仿宋" w:eastAsia="仿宋"/>
          <w:b w:val="0"/>
          <w:bCs w:val="0"/>
          <w:color w:val="auto"/>
          <w:highlight w:val="none"/>
        </w:rPr>
        <w:t>”或者“</w:t>
      </w:r>
      <w:r>
        <w:rPr>
          <w:rFonts w:hint="eastAsia" w:ascii="仿宋" w:hAnsi="仿宋" w:eastAsia="仿宋"/>
          <w:color w:val="auto"/>
          <w:highlight w:val="none"/>
        </w:rPr>
        <w:t>无偏离</w:t>
      </w:r>
      <w:r>
        <w:rPr>
          <w:rFonts w:hint="eastAsia" w:ascii="仿宋" w:hAnsi="仿宋" w:eastAsia="仿宋"/>
          <w:b w:val="0"/>
          <w:bCs w:val="0"/>
          <w:color w:val="auto"/>
          <w:highlight w:val="none"/>
        </w:rPr>
        <w:t>”。既不属于“</w:t>
      </w:r>
      <w:r>
        <w:rPr>
          <w:rFonts w:hint="eastAsia" w:ascii="仿宋" w:hAnsi="仿宋" w:eastAsia="仿宋"/>
          <w:color w:val="auto"/>
          <w:highlight w:val="none"/>
        </w:rPr>
        <w:t>正偏离</w:t>
      </w:r>
      <w:r>
        <w:rPr>
          <w:rFonts w:hint="eastAsia" w:ascii="仿宋" w:hAnsi="仿宋" w:eastAsia="仿宋"/>
          <w:b w:val="0"/>
          <w:bCs w:val="0"/>
          <w:color w:val="auto"/>
          <w:highlight w:val="none"/>
        </w:rPr>
        <w:t>”也不属于“</w:t>
      </w:r>
      <w:r>
        <w:rPr>
          <w:rFonts w:hint="eastAsia" w:ascii="仿宋" w:hAnsi="仿宋" w:eastAsia="仿宋"/>
          <w:color w:val="auto"/>
          <w:highlight w:val="none"/>
        </w:rPr>
        <w:t>负偏离</w:t>
      </w:r>
      <w:r>
        <w:rPr>
          <w:rFonts w:hint="eastAsia" w:ascii="仿宋" w:hAnsi="仿宋" w:eastAsia="仿宋"/>
          <w:b w:val="0"/>
          <w:bCs w:val="0"/>
          <w:color w:val="auto"/>
          <w:highlight w:val="none"/>
        </w:rPr>
        <w:t>”即为“</w:t>
      </w:r>
      <w:r>
        <w:rPr>
          <w:rFonts w:hint="eastAsia" w:ascii="仿宋" w:hAnsi="仿宋" w:eastAsia="仿宋"/>
          <w:color w:val="auto"/>
          <w:highlight w:val="none"/>
        </w:rPr>
        <w:t>无偏离</w:t>
      </w:r>
      <w:r>
        <w:rPr>
          <w:rFonts w:hint="eastAsia" w:ascii="仿宋" w:hAnsi="仿宋" w:eastAsia="仿宋"/>
          <w:b w:val="0"/>
          <w:bCs w:val="0"/>
          <w:color w:val="auto"/>
          <w:highlight w:val="none"/>
        </w:rPr>
        <w:t>”。</w:t>
      </w:r>
    </w:p>
    <w:p>
      <w:pPr>
        <w:pStyle w:val="3"/>
        <w:spacing w:line="360" w:lineRule="auto"/>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3.投标人认为其投标响应有正偏离的，请在技术要求偏离表中列明，且在投标文件中提供投标产品厂家公开发布的彩页或</w:t>
      </w:r>
      <w:r>
        <w:rPr>
          <w:rFonts w:ascii="仿宋" w:hAnsi="仿宋" w:eastAsia="仿宋"/>
          <w:color w:val="auto"/>
          <w:sz w:val="24"/>
          <w:szCs w:val="24"/>
          <w:highlight w:val="none"/>
        </w:rPr>
        <w:t>国家认可的有资质的第三方检测机构出具的检测报告复印件</w:t>
      </w:r>
      <w:r>
        <w:rPr>
          <w:rFonts w:hint="eastAsia" w:ascii="仿宋" w:hAnsi="仿宋" w:eastAsia="仿宋"/>
          <w:color w:val="auto"/>
          <w:sz w:val="24"/>
          <w:szCs w:val="24"/>
          <w:highlight w:val="none"/>
        </w:rPr>
        <w:t>或产品生产厂家出具的技术参数说明证明作为佐证，以上佐证材料均需加盖生产厂家或代理商（附生产厂家授权资料）公章。</w:t>
      </w:r>
    </w:p>
    <w:p>
      <w:pPr>
        <w:pStyle w:val="3"/>
        <w:spacing w:line="360" w:lineRule="auto"/>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w:t>
      </w:r>
      <w:r>
        <w:rPr>
          <w:rFonts w:hint="eastAsia" w:ascii="仿宋" w:hAnsi="仿宋" w:eastAsia="仿宋"/>
          <w:color w:val="auto"/>
          <w:sz w:val="24"/>
          <w:szCs w:val="24"/>
          <w:highlight w:val="none"/>
        </w:rPr>
        <w:t xml:space="preserve"> 如技术要求偏离表中的投标响应与佐证材料不一致的，以佐证材料为准。</w:t>
      </w:r>
    </w:p>
    <w:p>
      <w:pPr>
        <w:snapToGrid w:val="0"/>
        <w:spacing w:before="50" w:after="50" w:line="360" w:lineRule="auto"/>
        <w:rPr>
          <w:rFonts w:ascii="仿宋" w:hAnsi="仿宋" w:eastAsia="仿宋"/>
          <w:color w:val="auto"/>
          <w:sz w:val="24"/>
          <w:highlight w:val="none"/>
        </w:rPr>
      </w:pPr>
    </w:p>
    <w:p>
      <w:pPr>
        <w:snapToGrid w:val="0"/>
        <w:spacing w:before="50" w:after="50" w:line="360" w:lineRule="auto"/>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napToGrid w:val="0"/>
        <w:spacing w:before="50" w:after="50" w:line="360" w:lineRule="auto"/>
        <w:rPr>
          <w:rFonts w:ascii="仿宋" w:hAnsi="仿宋" w:eastAsia="仿宋"/>
          <w:color w:val="auto"/>
          <w:spacing w:val="20"/>
          <w:sz w:val="24"/>
          <w:highlight w:val="none"/>
          <w:u w:val="singl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50" w:line="360" w:lineRule="auto"/>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5. 项目实施人员一览表格式</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项目实施人员一览表</w:t>
      </w:r>
    </w:p>
    <w:p>
      <w:pPr>
        <w:pStyle w:val="15"/>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06"/>
        <w:gridCol w:w="2301"/>
        <w:gridCol w:w="1248"/>
        <w:gridCol w:w="1931"/>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929"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姓名</w:t>
            </w:r>
          </w:p>
        </w:tc>
        <w:tc>
          <w:tcPr>
            <w:tcW w:w="806"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职务</w:t>
            </w:r>
          </w:p>
        </w:tc>
        <w:tc>
          <w:tcPr>
            <w:tcW w:w="2301"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专业技术资格（职称）或者职业资格或者执业资格证或者其他证书</w:t>
            </w:r>
          </w:p>
        </w:tc>
        <w:tc>
          <w:tcPr>
            <w:tcW w:w="1248"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证书编号</w:t>
            </w:r>
          </w:p>
        </w:tc>
        <w:tc>
          <w:tcPr>
            <w:tcW w:w="1931"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参加本单位</w:t>
            </w:r>
          </w:p>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工作时间</w:t>
            </w:r>
          </w:p>
        </w:tc>
        <w:tc>
          <w:tcPr>
            <w:tcW w:w="2096" w:type="dxa"/>
            <w:vAlign w:val="center"/>
          </w:tcPr>
          <w:p>
            <w:pPr>
              <w:snapToGrid w:val="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29" w:type="dxa"/>
            <w:vAlign w:val="center"/>
          </w:tcPr>
          <w:p>
            <w:pPr>
              <w:snapToGrid w:val="0"/>
              <w:jc w:val="center"/>
              <w:rPr>
                <w:rFonts w:ascii="仿宋" w:hAnsi="仿宋" w:eastAsia="仿宋"/>
                <w:color w:val="auto"/>
                <w:sz w:val="24"/>
                <w:szCs w:val="20"/>
                <w:highlight w:val="none"/>
              </w:rPr>
            </w:pPr>
          </w:p>
        </w:tc>
        <w:tc>
          <w:tcPr>
            <w:tcW w:w="806" w:type="dxa"/>
            <w:vAlign w:val="center"/>
          </w:tcPr>
          <w:p>
            <w:pPr>
              <w:snapToGrid w:val="0"/>
              <w:jc w:val="center"/>
              <w:rPr>
                <w:rFonts w:ascii="仿宋" w:hAnsi="仿宋" w:eastAsia="仿宋"/>
                <w:color w:val="auto"/>
                <w:sz w:val="24"/>
                <w:szCs w:val="20"/>
                <w:highlight w:val="none"/>
              </w:rPr>
            </w:pPr>
          </w:p>
        </w:tc>
        <w:tc>
          <w:tcPr>
            <w:tcW w:w="2301" w:type="dxa"/>
            <w:vAlign w:val="center"/>
          </w:tcPr>
          <w:p>
            <w:pPr>
              <w:snapToGrid w:val="0"/>
              <w:jc w:val="center"/>
              <w:rPr>
                <w:rFonts w:ascii="仿宋" w:hAnsi="仿宋" w:eastAsia="仿宋"/>
                <w:color w:val="auto"/>
                <w:sz w:val="24"/>
                <w:szCs w:val="20"/>
                <w:highlight w:val="none"/>
              </w:rPr>
            </w:pPr>
          </w:p>
        </w:tc>
        <w:tc>
          <w:tcPr>
            <w:tcW w:w="1248" w:type="dxa"/>
            <w:vAlign w:val="center"/>
          </w:tcPr>
          <w:p>
            <w:pPr>
              <w:snapToGrid w:val="0"/>
              <w:jc w:val="center"/>
              <w:rPr>
                <w:rFonts w:ascii="仿宋" w:hAnsi="仿宋" w:eastAsia="仿宋"/>
                <w:color w:val="auto"/>
                <w:sz w:val="24"/>
                <w:szCs w:val="20"/>
                <w:highlight w:val="none"/>
              </w:rPr>
            </w:pPr>
          </w:p>
        </w:tc>
        <w:tc>
          <w:tcPr>
            <w:tcW w:w="1931" w:type="dxa"/>
            <w:vAlign w:val="center"/>
          </w:tcPr>
          <w:p>
            <w:pPr>
              <w:snapToGrid w:val="0"/>
              <w:jc w:val="center"/>
              <w:rPr>
                <w:rFonts w:ascii="仿宋" w:hAnsi="仿宋" w:eastAsia="仿宋"/>
                <w:color w:val="auto"/>
                <w:sz w:val="24"/>
                <w:szCs w:val="20"/>
                <w:highlight w:val="none"/>
              </w:rPr>
            </w:pPr>
          </w:p>
        </w:tc>
        <w:tc>
          <w:tcPr>
            <w:tcW w:w="2096" w:type="dxa"/>
            <w:vAlign w:val="center"/>
          </w:tcPr>
          <w:p>
            <w:pPr>
              <w:snapToGrid w:val="0"/>
              <w:jc w:val="center"/>
              <w:rPr>
                <w:rFonts w:ascii="仿宋" w:hAnsi="仿宋" w:eastAsia="仿宋"/>
                <w:color w:val="auto"/>
                <w:sz w:val="24"/>
                <w:szCs w:val="20"/>
                <w:highlight w:val="none"/>
              </w:rPr>
            </w:pPr>
          </w:p>
        </w:tc>
      </w:tr>
    </w:tbl>
    <w:p>
      <w:pPr>
        <w:snapToGrid w:val="0"/>
        <w:spacing w:before="50" w:after="120" w:afterLines="50"/>
        <w:jc w:val="left"/>
        <w:rPr>
          <w:rFonts w:ascii="仿宋" w:hAnsi="仿宋" w:eastAsia="仿宋"/>
          <w:color w:val="auto"/>
          <w:sz w:val="24"/>
          <w:szCs w:val="20"/>
          <w:highlight w:val="none"/>
        </w:rPr>
      </w:pP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z w:val="24"/>
          <w:szCs w:val="20"/>
          <w:highlight w:val="none"/>
        </w:rPr>
        <w:t>注：</w:t>
      </w: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z w:val="24"/>
          <w:szCs w:val="20"/>
          <w:highlight w:val="none"/>
        </w:rPr>
        <w:t>1</w:t>
      </w:r>
      <w:r>
        <w:rPr>
          <w:rFonts w:ascii="仿宋" w:hAnsi="仿宋" w:eastAsia="仿宋"/>
          <w:color w:val="auto"/>
          <w:sz w:val="24"/>
          <w:szCs w:val="20"/>
          <w:highlight w:val="none"/>
        </w:rPr>
        <w:t>.</w:t>
      </w:r>
      <w:r>
        <w:rPr>
          <w:rFonts w:hint="eastAsia" w:ascii="仿宋" w:hAnsi="仿宋" w:eastAsia="仿宋"/>
          <w:color w:val="auto"/>
          <w:sz w:val="24"/>
          <w:szCs w:val="20"/>
          <w:highlight w:val="none"/>
        </w:rPr>
        <w:t>在填写时，如本表格不适合投标单位的实际情况，可根据本表格式自行制表填写。</w:t>
      </w:r>
    </w:p>
    <w:p>
      <w:pPr>
        <w:spacing w:line="360" w:lineRule="auto"/>
        <w:contextualSpacing/>
        <w:jc w:val="left"/>
        <w:rPr>
          <w:rFonts w:ascii="仿宋" w:hAnsi="仿宋" w:eastAsia="仿宋"/>
          <w:color w:val="auto"/>
          <w:sz w:val="24"/>
          <w:szCs w:val="20"/>
          <w:highlight w:val="none"/>
        </w:rPr>
      </w:pPr>
      <w:r>
        <w:rPr>
          <w:rFonts w:ascii="仿宋" w:hAnsi="仿宋" w:eastAsia="仿宋"/>
          <w:color w:val="auto"/>
          <w:sz w:val="24"/>
          <w:szCs w:val="20"/>
          <w:highlight w:val="none"/>
        </w:rPr>
        <w:t>2.</w:t>
      </w:r>
      <w:r>
        <w:rPr>
          <w:rFonts w:hint="eastAsia" w:ascii="仿宋" w:hAnsi="仿宋" w:eastAsia="仿宋"/>
          <w:color w:val="auto"/>
          <w:sz w:val="24"/>
          <w:szCs w:val="20"/>
          <w:highlight w:val="none"/>
        </w:rPr>
        <w:t>投标人应当附本表所列证书的复印件并加盖投标人公章。</w:t>
      </w:r>
    </w:p>
    <w:p>
      <w:pPr>
        <w:spacing w:line="360" w:lineRule="auto"/>
        <w:contextualSpacing/>
        <w:rPr>
          <w:rFonts w:ascii="仿宋" w:hAnsi="仿宋" w:eastAsia="仿宋"/>
          <w:color w:val="auto"/>
          <w:spacing w:val="20"/>
          <w:sz w:val="24"/>
          <w:szCs w:val="20"/>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jc w:val="left"/>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snapToGrid w:val="0"/>
        <w:spacing w:before="120" w:beforeLines="50" w:after="50"/>
        <w:ind w:left="142"/>
        <w:jc w:val="lef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6. 选配件、专用耗材、售后服务优惠表格式（注：按项目需求表具体项目修改）</w:t>
      </w:r>
    </w:p>
    <w:p>
      <w:pPr>
        <w:snapToGrid w:val="0"/>
        <w:spacing w:before="120" w:beforeLines="50" w:after="50"/>
        <w:ind w:left="142"/>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选配件、专用耗材、售后服务优惠表</w:t>
      </w:r>
    </w:p>
    <w:p>
      <w:pPr>
        <w:pStyle w:val="15"/>
        <w:wordWrap w:val="0"/>
        <w:ind w:right="480"/>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分标：</w:t>
      </w:r>
      <w:r>
        <w:rPr>
          <w:rFonts w:hint="eastAsia" w:ascii="仿宋" w:hAnsi="仿宋" w:eastAsia="仿宋"/>
          <w:color w:val="auto"/>
          <w:sz w:val="24"/>
          <w:szCs w:val="24"/>
          <w:highlight w:val="none"/>
          <w:u w:val="single"/>
        </w:rPr>
        <w:t xml:space="preserve"> </w:t>
      </w:r>
      <w:r>
        <w:rPr>
          <w:rFonts w:ascii="仿宋" w:hAnsi="仿宋" w:eastAsia="仿宋"/>
          <w:color w:val="auto"/>
          <w:sz w:val="24"/>
          <w:szCs w:val="24"/>
          <w:highlight w:val="none"/>
          <w:u w:val="single"/>
        </w:rPr>
        <w:t xml:space="preserve"> /  </w:t>
      </w:r>
    </w:p>
    <w:tbl>
      <w:tblPr>
        <w:tblStyle w:val="27"/>
        <w:tblW w:w="94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04"/>
        <w:gridCol w:w="2956"/>
        <w:gridCol w:w="1577"/>
        <w:gridCol w:w="1577"/>
        <w:gridCol w:w="25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5" w:hRule="atLeast"/>
          <w:jc w:val="center"/>
        </w:trPr>
        <w:tc>
          <w:tcPr>
            <w:tcW w:w="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序号</w:t>
            </w:r>
          </w:p>
        </w:tc>
        <w:tc>
          <w:tcPr>
            <w:tcW w:w="2956" w:type="dxa"/>
            <w:tcBorders>
              <w:top w:val="single" w:color="auto" w:sz="4" w:space="0"/>
              <w:left w:val="single" w:color="auto" w:sz="4" w:space="0"/>
              <w:bottom w:val="single" w:color="auto" w:sz="2" w:space="0"/>
              <w:right w:val="single" w:color="auto" w:sz="4" w:space="0"/>
            </w:tcBorders>
            <w:vAlign w:val="center"/>
          </w:tcPr>
          <w:p>
            <w:pPr>
              <w:pStyle w:val="15"/>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优惠内容</w:t>
            </w:r>
          </w:p>
        </w:tc>
        <w:tc>
          <w:tcPr>
            <w:tcW w:w="1577" w:type="dxa"/>
            <w:tcBorders>
              <w:top w:val="single" w:color="auto" w:sz="4" w:space="0"/>
              <w:left w:val="single" w:color="auto" w:sz="4" w:space="0"/>
              <w:bottom w:val="single" w:color="auto" w:sz="2" w:space="0"/>
              <w:right w:val="single" w:color="auto" w:sz="4" w:space="0"/>
            </w:tcBorders>
            <w:vAlign w:val="center"/>
          </w:tcPr>
          <w:p>
            <w:pPr>
              <w:pStyle w:val="15"/>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适用机型</w:t>
            </w:r>
          </w:p>
        </w:tc>
        <w:tc>
          <w:tcPr>
            <w:tcW w:w="1577"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单价</w:t>
            </w:r>
          </w:p>
        </w:tc>
        <w:tc>
          <w:tcPr>
            <w:tcW w:w="2562" w:type="dxa"/>
            <w:tcBorders>
              <w:top w:val="single" w:color="auto" w:sz="4" w:space="0"/>
              <w:left w:val="single" w:color="auto" w:sz="4" w:space="0"/>
              <w:bottom w:val="single" w:color="auto" w:sz="2" w:space="0"/>
              <w:right w:val="single" w:color="auto" w:sz="4" w:space="0"/>
            </w:tcBorders>
            <w:vAlign w:val="center"/>
          </w:tcPr>
          <w:p>
            <w:pPr>
              <w:pStyle w:val="15"/>
              <w:snapToGrid w:val="0"/>
              <w:spacing w:before="295" w:after="295"/>
              <w:jc w:val="center"/>
              <w:rPr>
                <w:rFonts w:ascii="仿宋" w:hAnsi="仿宋" w:eastAsia="仿宋" w:cs="Courier New"/>
                <w:color w:val="auto"/>
                <w:kern w:val="2"/>
                <w:sz w:val="24"/>
                <w:szCs w:val="24"/>
                <w:highlight w:val="none"/>
              </w:rPr>
            </w:pPr>
            <w:r>
              <w:rPr>
                <w:rFonts w:hint="eastAsia" w:ascii="仿宋" w:hAnsi="仿宋" w:eastAsia="仿宋" w:cs="Courier New"/>
                <w:color w:val="auto"/>
                <w:kern w:val="2"/>
                <w:sz w:val="24"/>
                <w:szCs w:val="24"/>
                <w:highlight w:val="none"/>
              </w:rPr>
              <w:t>比市场价优惠率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43"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1</w:t>
            </w:r>
          </w:p>
        </w:tc>
        <w:tc>
          <w:tcPr>
            <w:tcW w:w="2956" w:type="dxa"/>
            <w:tcBorders>
              <w:top w:val="single" w:color="auto" w:sz="2" w:space="0"/>
              <w:left w:val="single" w:color="auto" w:sz="2" w:space="0"/>
              <w:bottom w:val="single" w:color="auto" w:sz="6" w:space="0"/>
              <w:right w:val="single" w:color="auto" w:sz="4"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2" w:space="0"/>
              <w:left w:val="single" w:color="auto" w:sz="4" w:space="0"/>
              <w:bottom w:val="single" w:color="auto" w:sz="6" w:space="0"/>
              <w:right w:val="single" w:color="auto" w:sz="6"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2" w:space="0"/>
              <w:left w:val="single" w:color="auto" w:sz="6" w:space="0"/>
              <w:bottom w:val="single" w:color="auto" w:sz="6" w:space="0"/>
              <w:right w:val="single" w:color="auto" w:sz="2" w:space="0"/>
            </w:tcBorders>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2</w:t>
            </w:r>
          </w:p>
        </w:tc>
        <w:tc>
          <w:tcPr>
            <w:tcW w:w="2956" w:type="dxa"/>
            <w:tcBorders>
              <w:top w:val="single" w:color="auto" w:sz="6" w:space="0"/>
              <w:left w:val="single" w:color="auto" w:sz="2" w:space="0"/>
              <w:bottom w:val="single" w:color="auto" w:sz="6" w:space="0"/>
              <w:right w:val="single" w:color="auto" w:sz="4"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4" w:space="0"/>
              <w:bottom w:val="single" w:color="auto" w:sz="6" w:space="0"/>
              <w:right w:val="single" w:color="auto" w:sz="6"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6" w:space="0"/>
              <w:left w:val="single" w:color="auto" w:sz="6" w:space="0"/>
              <w:bottom w:val="single" w:color="auto" w:sz="6" w:space="0"/>
              <w:right w:val="single" w:color="auto" w:sz="2" w:space="0"/>
            </w:tcBorders>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804"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3</w:t>
            </w:r>
          </w:p>
        </w:tc>
        <w:tc>
          <w:tcPr>
            <w:tcW w:w="2956" w:type="dxa"/>
            <w:tcBorders>
              <w:top w:val="single" w:color="auto" w:sz="6" w:space="0"/>
              <w:left w:val="single" w:color="auto" w:sz="2" w:space="0"/>
              <w:bottom w:val="single" w:color="auto" w:sz="6" w:space="0"/>
              <w:right w:val="single" w:color="auto" w:sz="4"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4" w:space="0"/>
              <w:bottom w:val="single" w:color="auto" w:sz="6" w:space="0"/>
              <w:right w:val="single" w:color="auto" w:sz="6" w:space="0"/>
            </w:tcBorders>
            <w:vAlign w:val="center"/>
          </w:tcPr>
          <w:p>
            <w:pPr>
              <w:pStyle w:val="15"/>
              <w:snapToGrid w:val="0"/>
              <w:spacing w:before="295" w:after="295"/>
              <w:jc w:val="center"/>
              <w:rPr>
                <w:rFonts w:ascii="仿宋" w:hAnsi="仿宋" w:eastAsia="仿宋"/>
                <w:color w:val="auto"/>
                <w:kern w:val="2"/>
                <w:sz w:val="24"/>
                <w:szCs w:val="24"/>
                <w:highlight w:val="none"/>
              </w:rPr>
            </w:pPr>
          </w:p>
        </w:tc>
        <w:tc>
          <w:tcPr>
            <w:tcW w:w="157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15"/>
              <w:snapToGrid w:val="0"/>
              <w:spacing w:before="295" w:after="295"/>
              <w:jc w:val="center"/>
              <w:rPr>
                <w:rFonts w:ascii="仿宋" w:hAnsi="仿宋" w:eastAsia="仿宋"/>
                <w:color w:val="auto"/>
                <w:kern w:val="2"/>
                <w:sz w:val="24"/>
                <w:szCs w:val="24"/>
                <w:highlight w:val="none"/>
              </w:rPr>
            </w:pPr>
          </w:p>
        </w:tc>
        <w:tc>
          <w:tcPr>
            <w:tcW w:w="2562" w:type="dxa"/>
            <w:tcBorders>
              <w:top w:val="single" w:color="auto" w:sz="6" w:space="0"/>
              <w:left w:val="single" w:color="auto" w:sz="6" w:space="0"/>
              <w:bottom w:val="single" w:color="auto" w:sz="6" w:space="0"/>
              <w:right w:val="single" w:color="auto" w:sz="2" w:space="0"/>
            </w:tcBorders>
            <w:vAlign w:val="center"/>
          </w:tcPr>
          <w:p>
            <w:pPr>
              <w:pStyle w:val="15"/>
              <w:snapToGrid w:val="0"/>
              <w:spacing w:before="295" w:after="295"/>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u w:val="single"/>
              </w:rPr>
              <w:t xml:space="preserve">           </w:t>
            </w:r>
            <w:r>
              <w:rPr>
                <w:rFonts w:hint="eastAsia" w:ascii="仿宋" w:hAnsi="仿宋" w:eastAsia="仿宋"/>
                <w:color w:val="auto"/>
                <w:kern w:val="2"/>
                <w:sz w:val="24"/>
                <w:szCs w:val="24"/>
                <w:highlight w:val="none"/>
              </w:rPr>
              <w:t>%</w:t>
            </w:r>
          </w:p>
        </w:tc>
      </w:tr>
    </w:tbl>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pacing w:val="20"/>
          <w:sz w:val="24"/>
          <w:highlight w:val="none"/>
          <w:u w:val="single"/>
        </w:rPr>
      </w:pPr>
      <w:r>
        <w:rPr>
          <w:rFonts w:hint="eastAsia" w:ascii="仿宋" w:hAnsi="仿宋" w:eastAsia="仿宋"/>
          <w:color w:val="auto"/>
          <w:sz w:val="24"/>
          <w:highlight w:val="none"/>
        </w:rPr>
        <w:t>法定代表人或者委托代理人</w:t>
      </w:r>
      <w:r>
        <w:rPr>
          <w:rFonts w:hint="eastAsia" w:ascii="仿宋" w:hAnsi="仿宋" w:eastAsia="仿宋"/>
          <w:color w:val="auto"/>
          <w:spacing w:val="20"/>
          <w:sz w:val="24"/>
          <w:highlight w:val="none"/>
        </w:rPr>
        <w:t>（签字）：</w:t>
      </w:r>
      <w:r>
        <w:rPr>
          <w:rFonts w:hint="eastAsia" w:ascii="仿宋" w:hAnsi="仿宋" w:eastAsia="仿宋"/>
          <w:color w:val="auto"/>
          <w:spacing w:val="20"/>
          <w:sz w:val="24"/>
          <w:highlight w:val="none"/>
          <w:u w:val="single"/>
        </w:rPr>
        <w:t xml:space="preserve">        </w:t>
      </w:r>
    </w:p>
    <w:p>
      <w:pPr>
        <w:spacing w:line="360" w:lineRule="auto"/>
        <w:contextualSpacing/>
        <w:rPr>
          <w:rFonts w:ascii="仿宋" w:hAnsi="仿宋" w:eastAsia="仿宋"/>
          <w:color w:val="auto"/>
          <w:sz w:val="24"/>
          <w:szCs w:val="20"/>
          <w:highlight w:val="none"/>
        </w:rPr>
      </w:pPr>
      <w:r>
        <w:rPr>
          <w:rFonts w:hint="eastAsia" w:ascii="仿宋" w:hAnsi="仿宋" w:eastAsia="仿宋"/>
          <w:color w:val="auto"/>
          <w:spacing w:val="20"/>
          <w:sz w:val="24"/>
          <w:highlight w:val="none"/>
        </w:rPr>
        <w:t>投标人（盖公章）：</w:t>
      </w:r>
      <w:r>
        <w:rPr>
          <w:rFonts w:hint="eastAsia" w:ascii="仿宋" w:hAnsi="仿宋" w:eastAsia="仿宋"/>
          <w:color w:val="auto"/>
          <w:spacing w:val="20"/>
          <w:sz w:val="24"/>
          <w:highlight w:val="none"/>
          <w:u w:val="single"/>
        </w:rPr>
        <w:t xml:space="preserve">            </w:t>
      </w:r>
      <w:r>
        <w:rPr>
          <w:rFonts w:hint="eastAsia" w:ascii="仿宋" w:hAnsi="仿宋" w:eastAsia="仿宋"/>
          <w:color w:val="auto"/>
          <w:spacing w:val="20"/>
          <w:sz w:val="24"/>
          <w:highlight w:val="none"/>
        </w:rPr>
        <w:t xml:space="preserve">              日 期：</w:t>
      </w:r>
      <w:r>
        <w:rPr>
          <w:rFonts w:hint="eastAsia" w:ascii="仿宋" w:hAnsi="仿宋" w:eastAsia="仿宋"/>
          <w:color w:val="auto"/>
          <w:spacing w:val="20"/>
          <w:sz w:val="24"/>
          <w:highlight w:val="none"/>
          <w:u w:val="single"/>
        </w:rPr>
        <w:t xml:space="preserve">            </w:t>
      </w:r>
    </w:p>
    <w:p>
      <w:pPr>
        <w:snapToGrid w:val="0"/>
        <w:spacing w:before="50" w:after="120" w:afterLines="50"/>
        <w:jc w:val="left"/>
        <w:rPr>
          <w:rFonts w:ascii="仿宋" w:hAnsi="仿宋" w:eastAsia="仿宋"/>
          <w:color w:val="auto"/>
          <w:sz w:val="24"/>
          <w:szCs w:val="20"/>
          <w:highlight w:val="none"/>
        </w:rPr>
      </w:pPr>
    </w:p>
    <w:p>
      <w:pPr>
        <w:rPr>
          <w:rFonts w:ascii="仿宋" w:hAnsi="仿宋" w:eastAsia="仿宋"/>
          <w:b/>
          <w:color w:val="auto"/>
          <w:sz w:val="28"/>
          <w:szCs w:val="28"/>
          <w:highlight w:val="none"/>
        </w:rPr>
      </w:pPr>
      <w:r>
        <w:rPr>
          <w:rFonts w:ascii="仿宋" w:hAnsi="仿宋" w:eastAsia="仿宋"/>
          <w:b/>
          <w:bCs/>
          <w:color w:val="auto"/>
          <w:sz w:val="24"/>
          <w:highlight w:val="none"/>
        </w:rPr>
        <w:br w:type="page"/>
      </w:r>
      <w:r>
        <w:rPr>
          <w:rFonts w:hint="eastAsia" w:ascii="仿宋" w:hAnsi="仿宋" w:eastAsia="仿宋"/>
          <w:b/>
          <w:color w:val="auto"/>
          <w:sz w:val="28"/>
          <w:szCs w:val="28"/>
          <w:highlight w:val="none"/>
        </w:rPr>
        <w:t>五、其他文书、文件格式</w:t>
      </w:r>
    </w:p>
    <w:p>
      <w:pPr>
        <w:snapToGrid w:val="0"/>
        <w:spacing w:before="120" w:beforeLines="50" w:after="50"/>
        <w:ind w:left="142"/>
        <w:jc w:val="left"/>
        <w:rPr>
          <w:rFonts w:ascii="仿宋" w:hAnsi="仿宋" w:eastAsia="仿宋"/>
          <w:b/>
          <w:color w:val="auto"/>
          <w:spacing w:val="20"/>
          <w:sz w:val="24"/>
          <w:highlight w:val="none"/>
        </w:rPr>
      </w:pPr>
      <w:r>
        <w:rPr>
          <w:rFonts w:hint="eastAsia" w:ascii="仿宋" w:hAnsi="仿宋" w:eastAsia="仿宋"/>
          <w:b/>
          <w:color w:val="auto"/>
          <w:spacing w:val="20"/>
          <w:sz w:val="24"/>
          <w:highlight w:val="none"/>
        </w:rPr>
        <w:t>1.联合投标协议书格式</w:t>
      </w:r>
    </w:p>
    <w:p>
      <w:pPr>
        <w:snapToGrid w:val="0"/>
        <w:spacing w:before="120" w:beforeLines="50" w:after="50"/>
        <w:ind w:left="142"/>
        <w:jc w:val="left"/>
        <w:rPr>
          <w:rFonts w:ascii="仿宋" w:hAnsi="仿宋" w:eastAsia="仿宋"/>
          <w:b/>
          <w:color w:val="auto"/>
          <w:spacing w:val="20"/>
          <w:sz w:val="24"/>
          <w:highlight w:val="none"/>
        </w:rPr>
      </w:pPr>
    </w:p>
    <w:p>
      <w:pPr>
        <w:pStyle w:val="8"/>
        <w:overflowPunct w:val="0"/>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联合体协议书</w:t>
      </w:r>
    </w:p>
    <w:p>
      <w:pPr>
        <w:pStyle w:val="8"/>
        <w:overflowPunct w:val="0"/>
        <w:rPr>
          <w:rFonts w:ascii="仿宋" w:hAnsi="仿宋" w:eastAsia="仿宋"/>
          <w:color w:val="auto"/>
          <w:sz w:val="24"/>
          <w:highlight w:val="none"/>
        </w:rPr>
      </w:pPr>
    </w:p>
    <w:p>
      <w:pPr>
        <w:pStyle w:val="8"/>
        <w:overflowPunct w:val="0"/>
        <w:spacing w:line="360" w:lineRule="auto"/>
        <w:contextualSpacing/>
        <w:rPr>
          <w:rFonts w:ascii="仿宋" w:hAnsi="仿宋" w:eastAsia="仿宋"/>
          <w:color w:val="auto"/>
          <w:sz w:val="24"/>
          <w:highlight w:val="none"/>
        </w:rPr>
      </w:pP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（所有成员单位名称）自愿组成</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（联合体名称）联合体，共同参加</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u w:val="single"/>
        </w:rPr>
        <w:t>（项</w:t>
      </w:r>
      <w:r>
        <w:rPr>
          <w:rFonts w:hint="eastAsia" w:ascii="仿宋" w:hAnsi="仿宋" w:eastAsia="仿宋"/>
          <w:color w:val="auto"/>
          <w:sz w:val="24"/>
          <w:highlight w:val="none"/>
        </w:rPr>
        <w:t>目名称）采购招标项目投标。现就联合体投标事宜订立如下协议。</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 xml:space="preserve">1.  </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（某成员单位名称）为</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（联合体名称）牵头人。</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联合体各成员授权牵头人代表联合体参加投标活动，签署文件及对文件的盖章，提交和接收相关的资料、</w:t>
      </w:r>
      <w:r>
        <w:rPr>
          <w:rFonts w:ascii="仿宋" w:hAnsi="仿宋" w:eastAsia="仿宋"/>
          <w:color w:val="auto"/>
          <w:sz w:val="24"/>
          <w:highlight w:val="none"/>
        </w:rPr>
        <w:t xml:space="preserve"> </w:t>
      </w:r>
      <w:r>
        <w:rPr>
          <w:rFonts w:hint="eastAsia" w:ascii="仿宋" w:hAnsi="仿宋" w:eastAsia="仿宋"/>
          <w:color w:val="auto"/>
          <w:sz w:val="24"/>
          <w:highlight w:val="none"/>
        </w:rPr>
        <w:t>信息及指示，进行合同谈判活动，负责合同实施阶段的组织和协调工作，以及处理与本招标项</w:t>
      </w:r>
      <w:r>
        <w:rPr>
          <w:rFonts w:ascii="仿宋" w:hAnsi="仿宋" w:eastAsia="仿宋"/>
          <w:color w:val="auto"/>
          <w:sz w:val="24"/>
          <w:highlight w:val="none"/>
        </w:rPr>
        <w:t xml:space="preserve"> </w:t>
      </w:r>
      <w:r>
        <w:rPr>
          <w:rFonts w:hint="eastAsia" w:ascii="仿宋" w:hAnsi="仿宋" w:eastAsia="仿宋"/>
          <w:color w:val="auto"/>
          <w:sz w:val="24"/>
          <w:highlight w:val="none"/>
        </w:rPr>
        <w:t>目有关的一切事宜。</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联合体牵头人在本项目中签署和盖章的一切文件和处理的一切事宜，联合体各成员均予以承认。</w:t>
      </w:r>
      <w:r>
        <w:rPr>
          <w:rFonts w:ascii="仿宋" w:hAnsi="仿宋" w:eastAsia="仿宋"/>
          <w:color w:val="auto"/>
          <w:sz w:val="24"/>
          <w:highlight w:val="none"/>
        </w:rPr>
        <w:t xml:space="preserve"> </w:t>
      </w:r>
      <w:r>
        <w:rPr>
          <w:rFonts w:hint="eastAsia" w:ascii="仿宋" w:hAnsi="仿宋" w:eastAsia="仿宋"/>
          <w:color w:val="auto"/>
          <w:sz w:val="24"/>
          <w:highlight w:val="none"/>
        </w:rPr>
        <w:t>联合体各成员将严格按照招标文件、投标文件和合同的要求全面履行义务，并向采购人承担连带责任。</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联合体各成员单位内部的职责分工如下：</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本协议书自所有成员单位法定代表人或者其委托代理人签字或者盖公章之日起生效，合同履行完毕后自动失效。</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本协议书一式</w:t>
      </w:r>
      <w:r>
        <w:rPr>
          <w:rFonts w:ascii="仿宋" w:hAnsi="仿宋" w:eastAsia="仿宋"/>
          <w:color w:val="auto"/>
          <w:sz w:val="24"/>
          <w:highlight w:val="none"/>
          <w:u w:val="single"/>
        </w:rPr>
        <w:t xml:space="preserve"> </w:t>
      </w:r>
      <w:r>
        <w:rPr>
          <w:rFonts w:ascii="仿宋" w:hAnsi="仿宋" w:eastAsia="仿宋"/>
          <w:color w:val="auto"/>
          <w:sz w:val="24"/>
          <w:highlight w:val="none"/>
          <w:u w:val="single"/>
        </w:rPr>
        <w:tab/>
      </w:r>
      <w:r>
        <w:rPr>
          <w:rFonts w:hint="eastAsia" w:ascii="仿宋" w:hAnsi="仿宋" w:eastAsia="仿宋"/>
          <w:color w:val="auto"/>
          <w:sz w:val="24"/>
          <w:highlight w:val="none"/>
        </w:rPr>
        <w:t>份，联合体成员和采购人各执一份。</w:t>
      </w:r>
    </w:p>
    <w:p>
      <w:pPr>
        <w:pStyle w:val="8"/>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注：本协议书由法定代表人签字的，应附法定代表人身份证明；由委托代理人签字的，应附授权委托书。</w:t>
      </w:r>
    </w:p>
    <w:p>
      <w:pPr>
        <w:pStyle w:val="8"/>
        <w:overflowPunct w:val="0"/>
        <w:spacing w:line="360" w:lineRule="auto"/>
        <w:ind w:firstLineChars="175"/>
        <w:contextualSpacing/>
        <w:rPr>
          <w:rFonts w:ascii="仿宋" w:hAnsi="仿宋" w:eastAsia="仿宋"/>
          <w:color w:val="auto"/>
          <w:sz w:val="24"/>
          <w:highlight w:val="none"/>
        </w:rPr>
      </w:pPr>
    </w:p>
    <w:p>
      <w:pPr>
        <w:pStyle w:val="8"/>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联合体牵头人名称（盖公章）：</w:t>
      </w:r>
    </w:p>
    <w:p>
      <w:pPr>
        <w:pStyle w:val="8"/>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8"/>
        <w:overflowPunct w:val="0"/>
        <w:spacing w:line="360" w:lineRule="auto"/>
        <w:ind w:firstLineChars="175"/>
        <w:contextualSpacing/>
        <w:rPr>
          <w:rFonts w:ascii="仿宋" w:hAnsi="仿宋" w:eastAsia="仿宋"/>
          <w:color w:val="auto"/>
          <w:sz w:val="24"/>
          <w:highlight w:val="none"/>
        </w:rPr>
      </w:pPr>
    </w:p>
    <w:p>
      <w:pPr>
        <w:pStyle w:val="8"/>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联合体成员名称（盖公章）：</w:t>
      </w:r>
    </w:p>
    <w:p>
      <w:pPr>
        <w:pStyle w:val="8"/>
        <w:overflowPunct w:val="0"/>
        <w:spacing w:line="360" w:lineRule="auto"/>
        <w:ind w:firstLineChars="175"/>
        <w:contextualSpacing/>
        <w:rPr>
          <w:rFonts w:ascii="仿宋" w:hAnsi="仿宋" w:eastAsia="仿宋"/>
          <w:color w:val="auto"/>
          <w:sz w:val="24"/>
          <w:highlight w:val="none"/>
        </w:rPr>
      </w:pPr>
      <w:r>
        <w:rPr>
          <w:rFonts w:hint="eastAsia" w:ascii="仿宋" w:hAnsi="仿宋" w:eastAsia="仿宋"/>
          <w:color w:val="auto"/>
          <w:sz w:val="24"/>
          <w:highlight w:val="none"/>
        </w:rPr>
        <w:t>法定代表人或者其委托代理人：</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（签字）</w:t>
      </w:r>
    </w:p>
    <w:p>
      <w:pPr>
        <w:pStyle w:val="8"/>
        <w:overflowPunct w:val="0"/>
        <w:spacing w:line="360" w:lineRule="auto"/>
        <w:ind w:firstLineChars="175"/>
        <w:contextualSpacing/>
        <w:rPr>
          <w:rFonts w:ascii="仿宋" w:hAnsi="仿宋" w:eastAsia="仿宋"/>
          <w:color w:val="auto"/>
          <w:sz w:val="24"/>
          <w:highlight w:val="none"/>
        </w:rPr>
      </w:pPr>
      <w:r>
        <w:rPr>
          <w:rFonts w:ascii="仿宋" w:hAnsi="仿宋" w:eastAsia="仿宋"/>
          <w:color w:val="auto"/>
          <w:sz w:val="24"/>
          <w:highlight w:val="none"/>
        </w:rPr>
        <w:t>……</w:t>
      </w:r>
    </w:p>
    <w:p>
      <w:pPr>
        <w:pStyle w:val="8"/>
        <w:overflowPunct w:val="0"/>
        <w:spacing w:line="360" w:lineRule="auto"/>
        <w:ind w:firstLineChars="175"/>
        <w:contextualSpacing/>
        <w:rPr>
          <w:rFonts w:ascii="仿宋" w:hAnsi="仿宋" w:eastAsia="仿宋"/>
          <w:color w:val="auto"/>
          <w:sz w:val="24"/>
          <w:highlight w:val="none"/>
        </w:rPr>
      </w:pPr>
    </w:p>
    <w:p>
      <w:pPr>
        <w:pStyle w:val="8"/>
        <w:overflowPunct w:val="0"/>
        <w:spacing w:line="360" w:lineRule="auto"/>
        <w:ind w:firstLineChars="175"/>
        <w:contextualSpacing/>
        <w:jc w:val="right"/>
        <w:rPr>
          <w:rFonts w:ascii="仿宋" w:hAnsi="仿宋" w:eastAsia="仿宋"/>
          <w:b/>
          <w:color w:val="auto"/>
          <w:sz w:val="24"/>
          <w:highlight w:val="none"/>
        </w:rPr>
      </w:pP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年</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月</w:t>
      </w:r>
      <w:r>
        <w:rPr>
          <w:rFonts w:ascii="仿宋" w:hAnsi="仿宋" w:eastAsia="仿宋"/>
          <w:color w:val="auto"/>
          <w:sz w:val="24"/>
          <w:highlight w:val="none"/>
        </w:rPr>
        <w:t xml:space="preserve"> </w:t>
      </w:r>
      <w:r>
        <w:rPr>
          <w:rFonts w:ascii="仿宋" w:hAnsi="仿宋" w:eastAsia="仿宋"/>
          <w:color w:val="auto"/>
          <w:sz w:val="24"/>
          <w:highlight w:val="none"/>
        </w:rPr>
        <w:tab/>
      </w:r>
      <w:r>
        <w:rPr>
          <w:rFonts w:hint="eastAsia" w:ascii="仿宋" w:hAnsi="仿宋" w:eastAsia="仿宋"/>
          <w:color w:val="auto"/>
          <w:sz w:val="24"/>
          <w:highlight w:val="none"/>
        </w:rPr>
        <w:t>日</w:t>
      </w:r>
    </w:p>
    <w:p>
      <w:pPr>
        <w:snapToGrid w:val="0"/>
        <w:spacing w:before="120" w:beforeLines="50" w:after="50"/>
        <w:jc w:val="left"/>
        <w:rPr>
          <w:rFonts w:ascii="仿宋" w:hAnsi="仿宋" w:eastAsia="仿宋"/>
          <w:b/>
          <w:color w:val="auto"/>
          <w:sz w:val="24"/>
          <w:highlight w:val="none"/>
        </w:rPr>
      </w:pPr>
      <w:r>
        <w:rPr>
          <w:rFonts w:hint="eastAsia" w:ascii="仿宋" w:hAnsi="仿宋" w:eastAsia="仿宋"/>
          <w:b/>
          <w:color w:val="auto"/>
          <w:sz w:val="24"/>
          <w:highlight w:val="none"/>
        </w:rPr>
        <w:t xml:space="preserve"> </w:t>
      </w: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b/>
          <w:color w:val="auto"/>
          <w:sz w:val="24"/>
          <w:highlight w:val="none"/>
        </w:rPr>
      </w:pPr>
    </w:p>
    <w:p>
      <w:pPr>
        <w:snapToGrid w:val="0"/>
        <w:spacing w:before="120" w:beforeLines="50" w:after="50"/>
        <w:jc w:val="left"/>
        <w:rPr>
          <w:rFonts w:ascii="仿宋" w:hAnsi="仿宋" w:eastAsia="仿宋"/>
          <w:color w:val="auto"/>
          <w:highlight w:val="none"/>
        </w:rPr>
      </w:pPr>
      <w:r>
        <w:rPr>
          <w:rFonts w:hint="eastAsia" w:ascii="仿宋" w:hAnsi="仿宋" w:eastAsia="仿宋"/>
          <w:b/>
          <w:color w:val="auto"/>
          <w:sz w:val="24"/>
          <w:highlight w:val="none"/>
        </w:rPr>
        <w:t>2.中小企业声明函格式</w:t>
      </w:r>
    </w:p>
    <w:p>
      <w:pPr>
        <w:rPr>
          <w:rFonts w:ascii="仿宋" w:hAnsi="仿宋" w:eastAsia="仿宋"/>
          <w:color w:val="auto"/>
          <w:highlight w:val="none"/>
        </w:rPr>
      </w:pPr>
    </w:p>
    <w:p>
      <w:pPr>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中小企业声明函（货物）</w:t>
      </w:r>
    </w:p>
    <w:p>
      <w:pPr>
        <w:spacing w:before="2" w:line="500" w:lineRule="exact"/>
        <w:rPr>
          <w:rFonts w:ascii="仿宋" w:hAnsi="仿宋" w:eastAsia="仿宋" w:cs="宋体"/>
          <w:b/>
          <w:bCs/>
          <w:color w:val="auto"/>
          <w:sz w:val="27"/>
          <w:szCs w:val="27"/>
          <w:highlight w:val="none"/>
        </w:rPr>
      </w:pPr>
    </w:p>
    <w:p>
      <w:pPr>
        <w:pStyle w:val="14"/>
        <w:spacing w:line="360" w:lineRule="auto"/>
        <w:ind w:left="-426" w:leftChars="-203" w:right="142" w:firstLine="480" w:firstLineChars="200"/>
        <w:contextualSpacing/>
        <w:rPr>
          <w:rFonts w:ascii="仿宋" w:hAnsi="仿宋" w:eastAsia="仿宋"/>
          <w:color w:val="auto"/>
          <w:kern w:val="24"/>
          <w:highlight w:val="none"/>
        </w:rPr>
      </w:pPr>
      <w:r>
        <w:rPr>
          <w:rFonts w:ascii="仿宋" w:hAnsi="仿宋" w:eastAsia="仿宋"/>
          <w:color w:val="auto"/>
          <w:kern w:val="24"/>
          <w:highlight w:val="none"/>
        </w:rPr>
        <w:t>本公司（联合体）郑重声明，根据《政府采购促进中小企业发展管理办法》（财库﹝2020﹞46号）的规定，本公司（联合体）参加</w:t>
      </w:r>
      <w:r>
        <w:rPr>
          <w:rFonts w:ascii="仿宋" w:hAnsi="仿宋" w:eastAsia="仿宋"/>
          <w:color w:val="auto"/>
          <w:kern w:val="24"/>
          <w:highlight w:val="none"/>
          <w:u w:val="single"/>
        </w:rPr>
        <w:t>（单位名称）</w:t>
      </w:r>
      <w:r>
        <w:rPr>
          <w:rFonts w:ascii="仿宋" w:hAnsi="仿宋" w:eastAsia="仿宋"/>
          <w:color w:val="auto"/>
          <w:kern w:val="24"/>
          <w:highlight w:val="none"/>
        </w:rPr>
        <w:t>的</w:t>
      </w:r>
      <w:r>
        <w:rPr>
          <w:rFonts w:ascii="仿宋" w:hAnsi="仿宋" w:eastAsia="仿宋"/>
          <w:color w:val="auto"/>
          <w:kern w:val="24"/>
          <w:highlight w:val="none"/>
          <w:u w:val="single"/>
        </w:rPr>
        <w:t>（项目名称）</w:t>
      </w:r>
      <w:r>
        <w:rPr>
          <w:rFonts w:ascii="仿宋" w:hAnsi="仿宋" w:eastAsia="仿宋"/>
          <w:color w:val="auto"/>
          <w:kern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仿宋" w:hAnsi="仿宋" w:eastAsia="仿宋"/>
          <w:color w:val="auto"/>
          <w:kern w:val="24"/>
          <w:sz w:val="24"/>
          <w:highlight w:val="none"/>
        </w:rPr>
      </w:pPr>
      <w:r>
        <w:rPr>
          <w:rFonts w:ascii="仿宋" w:hAnsi="仿宋" w:eastAsia="仿宋"/>
          <w:color w:val="auto"/>
          <w:kern w:val="24"/>
          <w:sz w:val="24"/>
          <w:highlight w:val="none"/>
        </w:rPr>
        <w:t>1.</w:t>
      </w:r>
      <w:r>
        <w:rPr>
          <w:rFonts w:ascii="仿宋" w:hAnsi="仿宋" w:eastAsia="仿宋"/>
          <w:color w:val="auto"/>
          <w:kern w:val="24"/>
          <w:sz w:val="24"/>
          <w:highlight w:val="none"/>
          <w:u w:val="single"/>
        </w:rPr>
        <w:t>（标的名称）</w:t>
      </w:r>
      <w:r>
        <w:rPr>
          <w:rFonts w:ascii="仿宋" w:hAnsi="仿宋" w:eastAsia="仿宋"/>
          <w:color w:val="auto"/>
          <w:kern w:val="24"/>
          <w:sz w:val="24"/>
          <w:highlight w:val="none"/>
        </w:rPr>
        <w:t>，属于</w:t>
      </w:r>
      <w:r>
        <w:rPr>
          <w:rFonts w:ascii="仿宋" w:hAnsi="仿宋" w:eastAsia="仿宋"/>
          <w:color w:val="auto"/>
          <w:kern w:val="24"/>
          <w:sz w:val="24"/>
          <w:highlight w:val="none"/>
          <w:u w:val="single"/>
        </w:rPr>
        <w:t>（采购文件中明确的所属行业）</w:t>
      </w:r>
      <w:r>
        <w:rPr>
          <w:rFonts w:ascii="仿宋" w:hAnsi="仿宋" w:eastAsia="仿宋"/>
          <w:color w:val="auto"/>
          <w:kern w:val="24"/>
          <w:sz w:val="24"/>
          <w:highlight w:val="none"/>
        </w:rPr>
        <w:t>行业；制造商为</w:t>
      </w:r>
      <w:r>
        <w:rPr>
          <w:rFonts w:ascii="仿宋" w:hAnsi="仿宋" w:eastAsia="仿宋"/>
          <w:color w:val="auto"/>
          <w:kern w:val="24"/>
          <w:sz w:val="24"/>
          <w:highlight w:val="none"/>
          <w:u w:val="single"/>
        </w:rPr>
        <w:t>（企业名称）</w:t>
      </w:r>
      <w:r>
        <w:rPr>
          <w:rFonts w:ascii="仿宋" w:hAnsi="仿宋" w:eastAsia="仿宋"/>
          <w:color w:val="auto"/>
          <w:kern w:val="24"/>
          <w:sz w:val="24"/>
          <w:highlight w:val="none"/>
        </w:rPr>
        <w:t>，从业人员</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人，营业收入为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万元，资产总额为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万元，属于</w:t>
      </w:r>
      <w:r>
        <w:rPr>
          <w:rFonts w:ascii="仿宋" w:hAnsi="仿宋" w:eastAsia="仿宋"/>
          <w:color w:val="auto"/>
          <w:kern w:val="24"/>
          <w:sz w:val="24"/>
          <w:highlight w:val="none"/>
          <w:u w:val="single"/>
        </w:rPr>
        <w:t>（中型企业、小型企业、微型企业）</w:t>
      </w:r>
      <w:r>
        <w:rPr>
          <w:rFonts w:ascii="仿宋" w:hAnsi="仿宋" w:eastAsia="仿宋"/>
          <w:color w:val="auto"/>
          <w:kern w:val="24"/>
          <w:sz w:val="24"/>
          <w:highlight w:val="none"/>
        </w:rPr>
        <w:t>；</w:t>
      </w:r>
    </w:p>
    <w:p>
      <w:pPr>
        <w:tabs>
          <w:tab w:val="left" w:pos="1065"/>
          <w:tab w:val="left" w:pos="6477"/>
        </w:tabs>
        <w:spacing w:line="360" w:lineRule="auto"/>
        <w:ind w:left="-426" w:right="-58" w:firstLine="655"/>
        <w:contextualSpacing/>
        <w:rPr>
          <w:rFonts w:ascii="仿宋" w:hAnsi="仿宋" w:eastAsia="仿宋"/>
          <w:color w:val="auto"/>
          <w:kern w:val="24"/>
          <w:sz w:val="24"/>
          <w:highlight w:val="none"/>
        </w:rPr>
      </w:pPr>
      <w:r>
        <w:rPr>
          <w:rFonts w:ascii="仿宋" w:hAnsi="仿宋" w:eastAsia="仿宋"/>
          <w:color w:val="auto"/>
          <w:kern w:val="24"/>
          <w:sz w:val="24"/>
          <w:highlight w:val="none"/>
        </w:rPr>
        <w:t>2.</w:t>
      </w:r>
      <w:r>
        <w:rPr>
          <w:rFonts w:ascii="仿宋" w:hAnsi="仿宋" w:eastAsia="仿宋"/>
          <w:color w:val="auto"/>
          <w:kern w:val="24"/>
          <w:sz w:val="24"/>
          <w:highlight w:val="none"/>
          <w:u w:val="single"/>
        </w:rPr>
        <w:t>（标的名称）</w:t>
      </w:r>
      <w:r>
        <w:rPr>
          <w:rFonts w:ascii="仿宋" w:hAnsi="仿宋" w:eastAsia="仿宋"/>
          <w:color w:val="auto"/>
          <w:kern w:val="24"/>
          <w:sz w:val="24"/>
          <w:highlight w:val="none"/>
        </w:rPr>
        <w:t>，属于</w:t>
      </w:r>
      <w:r>
        <w:rPr>
          <w:rFonts w:ascii="仿宋" w:hAnsi="仿宋" w:eastAsia="仿宋"/>
          <w:color w:val="auto"/>
          <w:kern w:val="24"/>
          <w:sz w:val="24"/>
          <w:highlight w:val="none"/>
          <w:u w:val="single"/>
        </w:rPr>
        <w:t>（采购文件中明确的所属行业）</w:t>
      </w:r>
      <w:r>
        <w:rPr>
          <w:rFonts w:ascii="仿宋" w:hAnsi="仿宋" w:eastAsia="仿宋"/>
          <w:color w:val="auto"/>
          <w:kern w:val="24"/>
          <w:sz w:val="24"/>
          <w:highlight w:val="none"/>
        </w:rPr>
        <w:t>行业；制造商为</w:t>
      </w:r>
      <w:r>
        <w:rPr>
          <w:rFonts w:ascii="仿宋" w:hAnsi="仿宋" w:eastAsia="仿宋"/>
          <w:color w:val="auto"/>
          <w:kern w:val="24"/>
          <w:sz w:val="24"/>
          <w:highlight w:val="none"/>
          <w:u w:val="single"/>
        </w:rPr>
        <w:t>（企业名称）</w:t>
      </w:r>
      <w:r>
        <w:rPr>
          <w:rFonts w:ascii="仿宋" w:hAnsi="仿宋" w:eastAsia="仿宋"/>
          <w:color w:val="auto"/>
          <w:kern w:val="24"/>
          <w:sz w:val="24"/>
          <w:highlight w:val="none"/>
        </w:rPr>
        <w:t>，从业人员</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人，营业收入为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万元，资产总额为</w:t>
      </w:r>
      <w:r>
        <w:rPr>
          <w:rFonts w:hint="eastAsia" w:ascii="仿宋" w:hAnsi="仿宋" w:eastAsia="仿宋"/>
          <w:color w:val="auto"/>
          <w:kern w:val="24"/>
          <w:sz w:val="24"/>
          <w:highlight w:val="none"/>
          <w:u w:val="single"/>
        </w:rPr>
        <w:t xml:space="preserve"> </w:t>
      </w:r>
      <w:r>
        <w:rPr>
          <w:rFonts w:ascii="仿宋" w:hAnsi="仿宋" w:eastAsia="仿宋"/>
          <w:color w:val="auto"/>
          <w:kern w:val="24"/>
          <w:sz w:val="24"/>
          <w:highlight w:val="none"/>
          <w:u w:val="single"/>
        </w:rPr>
        <w:t xml:space="preserve">     </w:t>
      </w:r>
      <w:r>
        <w:rPr>
          <w:rFonts w:ascii="仿宋" w:hAnsi="仿宋" w:eastAsia="仿宋"/>
          <w:color w:val="auto"/>
          <w:kern w:val="24"/>
          <w:sz w:val="24"/>
          <w:highlight w:val="none"/>
        </w:rPr>
        <w:t>万元，属于</w:t>
      </w:r>
      <w:r>
        <w:rPr>
          <w:rFonts w:ascii="仿宋" w:hAnsi="仿宋" w:eastAsia="仿宋"/>
          <w:color w:val="auto"/>
          <w:kern w:val="24"/>
          <w:sz w:val="24"/>
          <w:highlight w:val="none"/>
          <w:u w:val="single"/>
        </w:rPr>
        <w:t>（中型企业、小型企业、微型企业）</w:t>
      </w:r>
      <w:r>
        <w:rPr>
          <w:rFonts w:ascii="仿宋" w:hAnsi="仿宋" w:eastAsia="仿宋"/>
          <w:color w:val="auto"/>
          <w:kern w:val="24"/>
          <w:sz w:val="24"/>
          <w:highlight w:val="none"/>
        </w:rPr>
        <w:t>；</w:t>
      </w:r>
    </w:p>
    <w:p>
      <w:pPr>
        <w:pStyle w:val="14"/>
        <w:spacing w:line="360" w:lineRule="auto"/>
        <w:ind w:left="142" w:right="142"/>
        <w:contextualSpacing/>
        <w:rPr>
          <w:rFonts w:ascii="仿宋" w:hAnsi="仿宋" w:eastAsia="仿宋"/>
          <w:color w:val="auto"/>
          <w:kern w:val="24"/>
          <w:highlight w:val="none"/>
        </w:rPr>
      </w:pPr>
      <w:r>
        <w:rPr>
          <w:rFonts w:ascii="仿宋" w:hAnsi="仿宋" w:eastAsia="仿宋"/>
          <w:color w:val="auto"/>
          <w:kern w:val="24"/>
          <w:highlight w:val="none"/>
        </w:rPr>
        <w:t xml:space="preserve">…… </w:t>
      </w:r>
    </w:p>
    <w:p>
      <w:pPr>
        <w:pStyle w:val="14"/>
        <w:spacing w:line="360" w:lineRule="auto"/>
        <w:ind w:left="-405" w:leftChars="-193" w:right="142" w:firstLine="453" w:firstLineChars="189"/>
        <w:contextualSpacing/>
        <w:rPr>
          <w:rFonts w:ascii="仿宋" w:hAnsi="仿宋" w:eastAsia="仿宋"/>
          <w:color w:val="auto"/>
          <w:kern w:val="24"/>
          <w:highlight w:val="none"/>
        </w:rPr>
      </w:pPr>
      <w:r>
        <w:rPr>
          <w:rFonts w:ascii="仿宋" w:hAnsi="仿宋" w:eastAsia="仿宋"/>
          <w:color w:val="auto"/>
          <w:kern w:val="24"/>
          <w:highlight w:val="none"/>
        </w:rPr>
        <w:t>以上企业，不属于大企业的分支机构，不存在控股股东为大企业的情形，也不存在与大企业的负责人为同一人的情形。</w:t>
      </w:r>
    </w:p>
    <w:p>
      <w:pPr>
        <w:pStyle w:val="14"/>
        <w:spacing w:line="360" w:lineRule="auto"/>
        <w:ind w:left="-426" w:right="142" w:firstLine="567"/>
        <w:contextualSpacing/>
        <w:rPr>
          <w:rFonts w:ascii="仿宋" w:hAnsi="仿宋" w:eastAsia="仿宋"/>
          <w:color w:val="auto"/>
          <w:kern w:val="24"/>
          <w:highlight w:val="none"/>
        </w:rPr>
      </w:pPr>
      <w:r>
        <w:rPr>
          <w:rFonts w:ascii="仿宋" w:hAnsi="仿宋" w:eastAsia="仿宋"/>
          <w:color w:val="auto"/>
          <w:kern w:val="24"/>
          <w:highlight w:val="none"/>
        </w:rPr>
        <w:t>本企业对上述声明内容的真实性负责。如有虚假，将依法承担相应责任。</w:t>
      </w:r>
    </w:p>
    <w:p>
      <w:pPr>
        <w:pStyle w:val="14"/>
        <w:spacing w:line="360" w:lineRule="auto"/>
        <w:ind w:left="3960" w:right="1808"/>
        <w:contextualSpacing/>
        <w:rPr>
          <w:rFonts w:ascii="仿宋" w:hAnsi="仿宋" w:eastAsia="仿宋"/>
          <w:color w:val="auto"/>
          <w:kern w:val="24"/>
          <w:highlight w:val="none"/>
        </w:rPr>
      </w:pPr>
    </w:p>
    <w:p>
      <w:pPr>
        <w:pStyle w:val="14"/>
        <w:spacing w:line="360" w:lineRule="auto"/>
        <w:ind w:left="3960" w:right="1808"/>
        <w:contextualSpacing/>
        <w:rPr>
          <w:rFonts w:ascii="仿宋" w:hAnsi="仿宋" w:eastAsia="仿宋"/>
          <w:color w:val="auto"/>
          <w:kern w:val="24"/>
          <w:highlight w:val="none"/>
        </w:rPr>
      </w:pPr>
      <w:r>
        <w:rPr>
          <w:rFonts w:ascii="仿宋" w:hAnsi="仿宋" w:eastAsia="仿宋"/>
          <w:color w:val="auto"/>
          <w:kern w:val="24"/>
          <w:highlight w:val="none"/>
        </w:rPr>
        <w:t xml:space="preserve">企业名称（章）： </w:t>
      </w:r>
    </w:p>
    <w:p>
      <w:pPr>
        <w:pStyle w:val="14"/>
        <w:spacing w:line="360" w:lineRule="auto"/>
        <w:ind w:left="3960" w:right="1808"/>
        <w:contextualSpacing/>
        <w:rPr>
          <w:rFonts w:ascii="仿宋" w:hAnsi="仿宋" w:eastAsia="仿宋"/>
          <w:color w:val="auto"/>
          <w:kern w:val="24"/>
          <w:highlight w:val="none"/>
        </w:rPr>
      </w:pPr>
      <w:r>
        <w:rPr>
          <w:rFonts w:ascii="仿宋" w:hAnsi="仿宋" w:eastAsia="仿宋"/>
          <w:color w:val="auto"/>
          <w:kern w:val="24"/>
          <w:highlight w:val="none"/>
        </w:rPr>
        <w:t>日</w:t>
      </w:r>
      <w:r>
        <w:rPr>
          <w:rFonts w:hint="eastAsia" w:ascii="仿宋" w:hAnsi="仿宋" w:eastAsia="仿宋"/>
          <w:color w:val="auto"/>
          <w:kern w:val="24"/>
          <w:highlight w:val="none"/>
        </w:rPr>
        <w:t xml:space="preserve"> </w:t>
      </w:r>
      <w:r>
        <w:rPr>
          <w:rFonts w:ascii="仿宋" w:hAnsi="仿宋" w:eastAsia="仿宋"/>
          <w:color w:val="auto"/>
          <w:kern w:val="24"/>
          <w:highlight w:val="none"/>
        </w:rPr>
        <w:t>期：</w:t>
      </w:r>
    </w:p>
    <w:p>
      <w:pPr>
        <w:pStyle w:val="14"/>
        <w:spacing w:line="360" w:lineRule="auto"/>
        <w:ind w:left="3960" w:right="1808"/>
        <w:contextualSpacing/>
        <w:rPr>
          <w:rFonts w:ascii="仿宋" w:hAnsi="仿宋" w:eastAsia="仿宋"/>
          <w:color w:val="auto"/>
          <w:kern w:val="24"/>
          <w:highlight w:val="none"/>
        </w:rPr>
      </w:pPr>
    </w:p>
    <w:p>
      <w:pPr>
        <w:pStyle w:val="14"/>
        <w:spacing w:line="360" w:lineRule="auto"/>
        <w:ind w:left="3960" w:right="1808"/>
        <w:contextualSpacing/>
        <w:rPr>
          <w:rFonts w:ascii="仿宋" w:hAnsi="仿宋" w:eastAsia="仿宋"/>
          <w:color w:val="auto"/>
          <w:kern w:val="24"/>
          <w:highlight w:val="none"/>
        </w:rPr>
      </w:pPr>
    </w:p>
    <w:p>
      <w:pPr>
        <w:pStyle w:val="14"/>
        <w:spacing w:line="360" w:lineRule="auto"/>
        <w:ind w:left="-426" w:right="142" w:firstLine="567"/>
        <w:contextualSpacing/>
        <w:rPr>
          <w:rFonts w:ascii="仿宋" w:hAnsi="仿宋" w:eastAsia="仿宋"/>
          <w:color w:val="auto"/>
          <w:kern w:val="24"/>
          <w:highlight w:val="none"/>
        </w:rPr>
      </w:pPr>
      <w:r>
        <w:rPr>
          <w:rFonts w:hint="eastAsia" w:ascii="仿宋" w:hAnsi="仿宋" w:eastAsia="仿宋"/>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120" w:beforeLines="50" w:after="50"/>
        <w:ind w:left="142"/>
        <w:jc w:val="left"/>
        <w:rPr>
          <w:rFonts w:ascii="仿宋" w:hAnsi="仿宋" w:eastAsia="仿宋"/>
          <w:b/>
          <w:color w:val="auto"/>
          <w:sz w:val="24"/>
          <w:highlight w:val="none"/>
        </w:rPr>
      </w:pPr>
    </w:p>
    <w:p>
      <w:pPr>
        <w:pStyle w:val="15"/>
        <w:jc w:val="left"/>
        <w:rPr>
          <w:rFonts w:ascii="仿宋" w:hAnsi="仿宋" w:eastAsia="仿宋"/>
          <w:b/>
          <w:color w:val="auto"/>
          <w:sz w:val="24"/>
          <w:highlight w:val="none"/>
        </w:rPr>
      </w:pPr>
      <w:r>
        <w:rPr>
          <w:rFonts w:ascii="仿宋" w:hAnsi="仿宋" w:eastAsia="仿宋" w:cs="Arial Unicode MS"/>
          <w:color w:val="auto"/>
          <w:sz w:val="32"/>
          <w:szCs w:val="32"/>
          <w:highlight w:val="none"/>
        </w:rPr>
        <w:br w:type="page"/>
      </w:r>
      <w:r>
        <w:rPr>
          <w:rFonts w:hint="eastAsia" w:ascii="仿宋" w:hAnsi="仿宋" w:eastAsia="仿宋"/>
          <w:b/>
          <w:color w:val="auto"/>
          <w:sz w:val="24"/>
          <w:highlight w:val="none"/>
        </w:rPr>
        <w:t>3.残疾人福利性单位声明函格式</w:t>
      </w:r>
    </w:p>
    <w:p>
      <w:pPr>
        <w:spacing w:line="588" w:lineRule="exact"/>
        <w:jc w:val="center"/>
        <w:rPr>
          <w:rFonts w:ascii="仿宋" w:hAnsi="仿宋" w:eastAsia="仿宋"/>
          <w:b/>
          <w:color w:val="auto"/>
          <w:spacing w:val="6"/>
          <w:sz w:val="32"/>
          <w:szCs w:val="32"/>
          <w:highlight w:val="none"/>
        </w:rPr>
      </w:pPr>
    </w:p>
    <w:p>
      <w:pPr>
        <w:spacing w:line="588" w:lineRule="exact"/>
        <w:jc w:val="center"/>
        <w:rPr>
          <w:rFonts w:ascii="仿宋" w:hAnsi="仿宋" w:eastAsia="仿宋" w:cs="方正小标宋简体"/>
          <w:bCs/>
          <w:color w:val="auto"/>
          <w:spacing w:val="6"/>
          <w:sz w:val="44"/>
          <w:szCs w:val="44"/>
          <w:highlight w:val="none"/>
        </w:rPr>
      </w:pPr>
      <w:r>
        <w:rPr>
          <w:rFonts w:hint="eastAsia" w:ascii="仿宋" w:hAnsi="仿宋" w:eastAsia="仿宋" w:cs="方正小标宋简体"/>
          <w:bCs/>
          <w:color w:val="auto"/>
          <w:spacing w:val="6"/>
          <w:sz w:val="44"/>
          <w:szCs w:val="44"/>
          <w:highlight w:val="none"/>
        </w:rPr>
        <w:t>残疾人福利性单位声明函</w:t>
      </w:r>
    </w:p>
    <w:p>
      <w:pPr>
        <w:spacing w:line="360" w:lineRule="auto"/>
        <w:contextualSpacing/>
        <w:rPr>
          <w:rFonts w:ascii="仿宋" w:hAnsi="仿宋" w:eastAsia="仿宋"/>
          <w:bCs/>
          <w:color w:val="auto"/>
          <w:spacing w:val="6"/>
          <w:sz w:val="30"/>
          <w:szCs w:val="30"/>
          <w:highlight w:val="none"/>
        </w:rPr>
      </w:pPr>
    </w:p>
    <w:p>
      <w:pPr>
        <w:spacing w:line="360" w:lineRule="auto"/>
        <w:ind w:firstLine="504" w:firstLineChars="200"/>
        <w:contextualSpacing/>
        <w:rPr>
          <w:rFonts w:ascii="仿宋" w:hAnsi="仿宋" w:eastAsia="仿宋"/>
          <w:color w:val="auto"/>
          <w:spacing w:val="6"/>
          <w:sz w:val="24"/>
          <w:highlight w:val="none"/>
        </w:rPr>
      </w:pPr>
      <w:r>
        <w:rPr>
          <w:rFonts w:hint="eastAsia" w:ascii="仿宋" w:hAnsi="仿宋" w:eastAsia="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olor w:val="auto"/>
          <w:sz w:val="24"/>
          <w:highlight w:val="none"/>
        </w:rPr>
        <w:t>〔2017〕 141</w:t>
      </w:r>
      <w:r>
        <w:rPr>
          <w:rFonts w:hint="eastAsia" w:ascii="仿宋" w:hAnsi="仿宋" w:eastAsia="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olor w:val="auto"/>
          <w:spacing w:val="-6"/>
          <w:sz w:val="24"/>
          <w:highlight w:val="none"/>
        </w:rPr>
        <w:t>疾人福利性单位制造的货物（不包括使用非残疾人福利性单位注册商标的货物）。</w:t>
      </w:r>
    </w:p>
    <w:p>
      <w:pPr>
        <w:spacing w:line="360" w:lineRule="auto"/>
        <w:ind w:firstLine="504" w:firstLineChars="200"/>
        <w:contextualSpacing/>
        <w:rPr>
          <w:rFonts w:ascii="仿宋" w:hAnsi="仿宋" w:eastAsia="仿宋"/>
          <w:color w:val="auto"/>
          <w:spacing w:val="6"/>
          <w:sz w:val="24"/>
          <w:highlight w:val="none"/>
        </w:rPr>
      </w:pPr>
      <w:r>
        <w:rPr>
          <w:rFonts w:hint="eastAsia" w:ascii="仿宋" w:hAnsi="仿宋" w:eastAsia="仿宋"/>
          <w:color w:val="auto"/>
          <w:spacing w:val="6"/>
          <w:sz w:val="24"/>
          <w:highlight w:val="none"/>
        </w:rPr>
        <w:t>本单位对上述声明的真实性负责。如有虚假，将依法承担相应责任。</w:t>
      </w:r>
    </w:p>
    <w:p>
      <w:pPr>
        <w:spacing w:line="360" w:lineRule="auto"/>
        <w:ind w:firstLine="504" w:firstLineChars="200"/>
        <w:contextualSpacing/>
        <w:rPr>
          <w:rFonts w:ascii="仿宋" w:hAnsi="仿宋" w:eastAsia="仿宋"/>
          <w:color w:val="auto"/>
          <w:spacing w:val="6"/>
          <w:sz w:val="24"/>
          <w:highlight w:val="none"/>
        </w:rPr>
      </w:pPr>
    </w:p>
    <w:p>
      <w:pPr>
        <w:spacing w:line="360" w:lineRule="auto"/>
        <w:ind w:firstLine="504" w:firstLineChars="200"/>
        <w:contextualSpacing/>
        <w:rPr>
          <w:rFonts w:ascii="仿宋" w:hAnsi="仿宋" w:eastAsia="仿宋"/>
          <w:color w:val="auto"/>
          <w:spacing w:val="6"/>
          <w:sz w:val="24"/>
          <w:highlight w:val="none"/>
        </w:rPr>
      </w:pPr>
    </w:p>
    <w:p>
      <w:pPr>
        <w:tabs>
          <w:tab w:val="left" w:pos="4860"/>
        </w:tabs>
        <w:spacing w:line="360" w:lineRule="auto"/>
        <w:ind w:right="1560" w:firstLine="504" w:firstLineChars="200"/>
        <w:contextualSpacing/>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单位名称（盖公章）：</w:t>
      </w:r>
    </w:p>
    <w:p>
      <w:pPr>
        <w:tabs>
          <w:tab w:val="left" w:pos="4860"/>
        </w:tabs>
        <w:spacing w:line="360" w:lineRule="auto"/>
        <w:ind w:right="1560" w:firstLine="504" w:firstLineChars="200"/>
        <w:contextualSpacing/>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日  期：</w:t>
      </w: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p>
    <w:p>
      <w:pPr>
        <w:spacing w:line="360" w:lineRule="auto"/>
        <w:contextualSpacing/>
        <w:rPr>
          <w:rFonts w:ascii="仿宋" w:hAnsi="仿宋" w:eastAsia="仿宋"/>
          <w:color w:val="auto"/>
          <w:sz w:val="24"/>
          <w:highlight w:val="none"/>
        </w:rPr>
      </w:pPr>
      <w:r>
        <w:rPr>
          <w:rFonts w:hint="eastAsia" w:ascii="仿宋" w:hAnsi="仿宋" w:eastAsia="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ascii="仿宋" w:hAnsi="仿宋" w:eastAsia="仿宋"/>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4.质疑函格式</w:t>
      </w:r>
    </w:p>
    <w:p>
      <w:pPr>
        <w:spacing w:line="360" w:lineRule="auto"/>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质疑函</w:t>
      </w:r>
    </w:p>
    <w:p>
      <w:pPr>
        <w:pStyle w:val="15"/>
        <w:snapToGrid w:val="0"/>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一、质疑供应商基本信息：</w:t>
      </w:r>
    </w:p>
    <w:p>
      <w:pPr>
        <w:pStyle w:val="15"/>
        <w:snapToGrid w:val="0"/>
        <w:spacing w:line="360" w:lineRule="auto"/>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质疑供应商：</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联系人</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5"/>
        <w:snapToGrid w:val="0"/>
        <w:spacing w:line="360" w:lineRule="auto"/>
        <w:ind w:firstLine="480" w:firstLineChars="200"/>
        <w:rPr>
          <w:rFonts w:ascii="仿宋" w:hAnsi="仿宋" w:eastAsia="仿宋"/>
          <w:bCs/>
          <w:color w:val="auto"/>
          <w:sz w:val="24"/>
          <w:szCs w:val="24"/>
          <w:highlight w:val="none"/>
        </w:rPr>
      </w:pPr>
      <w:r>
        <w:rPr>
          <w:rFonts w:hint="eastAsia" w:ascii="仿宋" w:hAnsi="仿宋" w:eastAsia="仿宋"/>
          <w:bCs/>
          <w:color w:val="auto"/>
          <w:sz w:val="24"/>
          <w:szCs w:val="24"/>
          <w:highlight w:val="none"/>
        </w:rPr>
        <w:t>授权代表：</w:t>
      </w:r>
      <w:r>
        <w:rPr>
          <w:rFonts w:hint="eastAsia" w:ascii="仿宋" w:hAnsi="仿宋" w:eastAsia="仿宋"/>
          <w:bCs/>
          <w:color w:val="auto"/>
          <w:sz w:val="24"/>
          <w:szCs w:val="24"/>
          <w:highlight w:val="none"/>
          <w:u w:val="single"/>
        </w:rPr>
        <w:t xml:space="preserve">                      </w:t>
      </w:r>
    </w:p>
    <w:p>
      <w:pPr>
        <w:pStyle w:val="15"/>
        <w:snapToGrid w:val="0"/>
        <w:spacing w:line="360" w:lineRule="auto"/>
        <w:ind w:firstLine="480" w:firstLineChars="200"/>
        <w:rPr>
          <w:rFonts w:ascii="仿宋" w:hAnsi="仿宋" w:eastAsia="仿宋"/>
          <w:bCs/>
          <w:color w:val="auto"/>
          <w:sz w:val="24"/>
          <w:szCs w:val="24"/>
          <w:highlight w:val="none"/>
          <w:u w:val="single"/>
        </w:rPr>
      </w:pP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5"/>
        <w:snapToGrid w:val="0"/>
        <w:spacing w:line="360" w:lineRule="auto"/>
        <w:ind w:firstLine="480" w:firstLineChars="200"/>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5"/>
        <w:snapToGrid w:val="0"/>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二、质疑项目基本情况：</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项目的名称：</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质疑</w:t>
      </w:r>
      <w:r>
        <w:rPr>
          <w:rFonts w:hint="eastAsia" w:ascii="仿宋" w:hAnsi="仿宋" w:eastAsia="仿宋"/>
          <w:color w:val="auto"/>
          <w:sz w:val="24"/>
          <w:szCs w:val="24"/>
          <w:highlight w:val="none"/>
        </w:rPr>
        <w:t>项目的编号：</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采购人名称：</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w:t>
      </w:r>
    </w:p>
    <w:p>
      <w:pPr>
        <w:pStyle w:val="15"/>
        <w:spacing w:line="360" w:lineRule="auto"/>
        <w:ind w:left="25" w:leftChars="12"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□招标文件   招标文件获取日期：</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□采购过程   </w:t>
      </w:r>
    </w:p>
    <w:p>
      <w:pPr>
        <w:pStyle w:val="15"/>
        <w:spacing w:line="360" w:lineRule="auto"/>
        <w:ind w:left="25" w:leftChars="12" w:firstLine="352" w:firstLineChars="14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 xml:space="preserve">□中标结果   </w:t>
      </w:r>
    </w:p>
    <w:p>
      <w:pPr>
        <w:pStyle w:val="15"/>
        <w:spacing w:line="360" w:lineRule="auto"/>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三、质疑事项具体内容</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质疑事项1：</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事实依据：</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法律依据：</w:t>
      </w:r>
      <w:r>
        <w:rPr>
          <w:rFonts w:hint="eastAsia" w:ascii="仿宋" w:hAnsi="仿宋" w:eastAsia="仿宋"/>
          <w:color w:val="auto"/>
          <w:sz w:val="24"/>
          <w:szCs w:val="24"/>
          <w:highlight w:val="none"/>
          <w:u w:val="single"/>
        </w:rPr>
        <w:t xml:space="preserve">                                                        </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质疑事项2</w:t>
      </w:r>
    </w:p>
    <w:p>
      <w:pPr>
        <w:pStyle w:val="15"/>
        <w:spacing w:line="360" w:lineRule="auto"/>
        <w:ind w:left="25" w:leftChars="12" w:firstLine="472" w:firstLineChars="197"/>
        <w:rPr>
          <w:rFonts w:ascii="仿宋" w:hAnsi="仿宋" w:eastAsia="仿宋"/>
          <w:color w:val="auto"/>
          <w:sz w:val="24"/>
          <w:szCs w:val="24"/>
          <w:highlight w:val="none"/>
        </w:rPr>
      </w:pPr>
      <w:r>
        <w:rPr>
          <w:rFonts w:ascii="仿宋" w:hAnsi="仿宋" w:eastAsia="仿宋"/>
          <w:color w:val="auto"/>
          <w:sz w:val="24"/>
          <w:szCs w:val="24"/>
          <w:highlight w:val="none"/>
        </w:rPr>
        <w:t>……</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四、与质疑事项相关的质疑请求：</w:t>
      </w: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请求：</w:t>
      </w:r>
      <w:r>
        <w:rPr>
          <w:rFonts w:hint="eastAsia" w:ascii="仿宋" w:hAnsi="仿宋" w:eastAsia="仿宋"/>
          <w:bCs/>
          <w:color w:val="auto"/>
          <w:sz w:val="24"/>
          <w:szCs w:val="24"/>
          <w:highlight w:val="none"/>
          <w:u w:val="single"/>
        </w:rPr>
        <w:t xml:space="preserve">                                                                </w:t>
      </w:r>
    </w:p>
    <w:p>
      <w:pPr>
        <w:pStyle w:val="15"/>
        <w:spacing w:line="360" w:lineRule="auto"/>
        <w:ind w:left="25" w:leftChars="12" w:firstLine="352" w:firstLineChars="147"/>
        <w:rPr>
          <w:rFonts w:ascii="仿宋" w:hAnsi="仿宋" w:eastAsia="仿宋"/>
          <w:color w:val="auto"/>
          <w:sz w:val="24"/>
          <w:szCs w:val="24"/>
          <w:highlight w:val="none"/>
        </w:rPr>
      </w:pP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签字（签章）：                                       公章：</w:t>
      </w:r>
    </w:p>
    <w:p>
      <w:pPr>
        <w:pStyle w:val="15"/>
        <w:spacing w:line="360" w:lineRule="auto"/>
        <w:ind w:left="25" w:leftChars="12" w:firstLine="352" w:firstLineChars="147"/>
        <w:rPr>
          <w:rFonts w:ascii="仿宋" w:hAnsi="仿宋" w:eastAsia="仿宋"/>
          <w:color w:val="auto"/>
          <w:sz w:val="24"/>
          <w:szCs w:val="24"/>
          <w:highlight w:val="none"/>
        </w:rPr>
      </w:pPr>
    </w:p>
    <w:p>
      <w:pPr>
        <w:pStyle w:val="15"/>
        <w:spacing w:line="360" w:lineRule="auto"/>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15"/>
        <w:snapToGrid w:val="0"/>
        <w:spacing w:line="360" w:lineRule="auto"/>
        <w:rPr>
          <w:rFonts w:ascii="仿宋" w:hAnsi="仿宋" w:eastAsia="仿宋"/>
          <w:b/>
          <w:color w:val="auto"/>
          <w:sz w:val="24"/>
          <w:szCs w:val="24"/>
          <w:highlight w:val="none"/>
        </w:rPr>
      </w:pPr>
    </w:p>
    <w:p>
      <w:pPr>
        <w:pStyle w:val="15"/>
        <w:snapToGrid w:val="0"/>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15"/>
        <w:spacing w:line="360" w:lineRule="auto"/>
        <w:ind w:left="25" w:leftChars="12" w:firstLine="354" w:firstLineChars="147"/>
        <w:rPr>
          <w:rFonts w:ascii="仿宋" w:hAnsi="仿宋" w:eastAsia="仿宋"/>
          <w:b/>
          <w:bCs/>
          <w:color w:val="auto"/>
          <w:sz w:val="24"/>
          <w:szCs w:val="24"/>
          <w:highlight w:val="none"/>
        </w:rPr>
      </w:pPr>
      <w:r>
        <w:rPr>
          <w:rFonts w:hint="eastAsia" w:ascii="仿宋" w:hAnsi="仿宋" w:eastAsia="仿宋"/>
          <w:b/>
          <w:color w:val="auto"/>
          <w:sz w:val="24"/>
          <w:szCs w:val="24"/>
          <w:highlight w:val="none"/>
        </w:rPr>
        <w:t>1.供应商提出质疑时，应提交质疑函和必要的证明材料</w:t>
      </w:r>
      <w:r>
        <w:rPr>
          <w:rFonts w:hint="eastAsia" w:ascii="仿宋" w:hAnsi="仿宋" w:eastAsia="仿宋"/>
          <w:b/>
          <w:bCs/>
          <w:color w:val="auto"/>
          <w:sz w:val="24"/>
          <w:szCs w:val="24"/>
          <w:highlight w:val="none"/>
        </w:rPr>
        <w:t>。</w:t>
      </w:r>
    </w:p>
    <w:p>
      <w:pPr>
        <w:pStyle w:val="15"/>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5"/>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3.质疑函的质疑事项应具体、明确，并有必要的事实依据和法律依据。</w:t>
      </w:r>
    </w:p>
    <w:p>
      <w:pPr>
        <w:pStyle w:val="15"/>
        <w:spacing w:line="360" w:lineRule="auto"/>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4.质疑函的质疑请求应与质疑事项相关。</w:t>
      </w:r>
    </w:p>
    <w:p>
      <w:pPr>
        <w:pStyle w:val="15"/>
        <w:spacing w:line="360" w:lineRule="auto"/>
        <w:ind w:left="25" w:leftChars="12" w:firstLine="354" w:firstLineChars="147"/>
        <w:rPr>
          <w:rFonts w:ascii="仿宋" w:hAnsi="仿宋" w:eastAsia="仿宋"/>
          <w:b/>
          <w:color w:val="auto"/>
          <w:highlight w:val="none"/>
        </w:rPr>
      </w:pPr>
      <w:r>
        <w:rPr>
          <w:rFonts w:hint="eastAsia" w:ascii="仿宋" w:hAnsi="仿宋" w:eastAsia="仿宋"/>
          <w:b/>
          <w:color w:val="auto"/>
          <w:sz w:val="24"/>
          <w:szCs w:val="24"/>
          <w:highlight w:val="none"/>
        </w:rPr>
        <w:t>5.质疑供应商为法人或者其他组织的，质疑函应由法定代表人、主要负责人，或者其授权代表签字或者盖章，并加盖公章。</w:t>
      </w:r>
    </w:p>
    <w:p>
      <w:pPr>
        <w:pStyle w:val="15"/>
        <w:snapToGrid w:val="0"/>
        <w:rPr>
          <w:rFonts w:ascii="仿宋" w:hAnsi="仿宋" w:eastAsia="仿宋"/>
          <w:b/>
          <w:color w:val="auto"/>
          <w:sz w:val="24"/>
          <w:szCs w:val="24"/>
          <w:highlight w:val="none"/>
        </w:rPr>
      </w:pPr>
    </w:p>
    <w:p>
      <w:pPr>
        <w:spacing w:line="360" w:lineRule="auto"/>
        <w:jc w:val="left"/>
        <w:rPr>
          <w:rFonts w:ascii="仿宋" w:hAnsi="仿宋" w:eastAsia="仿宋"/>
          <w:b/>
          <w:bCs/>
          <w:color w:val="auto"/>
          <w:sz w:val="32"/>
          <w:szCs w:val="32"/>
          <w:highlight w:val="none"/>
        </w:rPr>
      </w:pPr>
      <w:r>
        <w:rPr>
          <w:rFonts w:ascii="仿宋" w:hAnsi="仿宋" w:eastAsia="仿宋"/>
          <w:color w:val="auto"/>
          <w:sz w:val="44"/>
          <w:highlight w:val="none"/>
        </w:rPr>
        <w:br w:type="page"/>
      </w:r>
      <w:r>
        <w:rPr>
          <w:rFonts w:hint="eastAsia" w:ascii="仿宋" w:hAnsi="仿宋" w:eastAsia="仿宋"/>
          <w:b/>
          <w:color w:val="auto"/>
          <w:sz w:val="24"/>
          <w:highlight w:val="none"/>
        </w:rPr>
        <w:t>5.投诉书格式</w:t>
      </w:r>
    </w:p>
    <w:p>
      <w:pPr>
        <w:jc w:val="center"/>
        <w:rPr>
          <w:rFonts w:ascii="仿宋" w:hAnsi="仿宋" w:eastAsia="仿宋" w:cs="方正小标宋简体"/>
          <w:color w:val="auto"/>
          <w:sz w:val="44"/>
          <w:szCs w:val="44"/>
          <w:highlight w:val="none"/>
        </w:rPr>
      </w:pPr>
      <w:r>
        <w:rPr>
          <w:rFonts w:hint="eastAsia" w:ascii="仿宋" w:hAnsi="仿宋" w:eastAsia="仿宋" w:cs="方正小标宋简体"/>
          <w:color w:val="auto"/>
          <w:sz w:val="44"/>
          <w:szCs w:val="44"/>
          <w:highlight w:val="none"/>
        </w:rPr>
        <w:t>投诉书</w:t>
      </w:r>
    </w:p>
    <w:p>
      <w:pPr>
        <w:pStyle w:val="15"/>
        <w:snapToGrid w:val="0"/>
        <w:spacing w:line="440" w:lineRule="exact"/>
        <w:ind w:firstLine="482" w:firstLineChars="200"/>
        <w:rPr>
          <w:rFonts w:ascii="仿宋" w:hAnsi="仿宋" w:eastAsia="仿宋"/>
          <w:b/>
          <w:bCs/>
          <w:color w:val="auto"/>
          <w:sz w:val="24"/>
          <w:szCs w:val="24"/>
          <w:highlight w:val="none"/>
        </w:rPr>
      </w:pPr>
    </w:p>
    <w:p>
      <w:pPr>
        <w:pStyle w:val="15"/>
        <w:snapToGrid w:val="0"/>
        <w:spacing w:line="440" w:lineRule="exact"/>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一、投诉相关主体基本情况：</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投标人：</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法定代表人/主要负责人：</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联系电话</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授权代表：</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被投诉人1：</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地址：</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联系人：</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被投诉人2：</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ascii="仿宋" w:hAnsi="仿宋" w:eastAsia="仿宋"/>
          <w:bCs/>
          <w:color w:val="auto"/>
          <w:sz w:val="24"/>
          <w:szCs w:val="24"/>
          <w:highlight w:val="none"/>
        </w:rPr>
        <w:t>……</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相关供应商：</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u w:val="single"/>
        </w:rPr>
      </w:pPr>
      <w:r>
        <w:rPr>
          <w:rFonts w:ascii="仿宋" w:hAnsi="仿宋" w:eastAsia="仿宋"/>
          <w:bCs/>
          <w:color w:val="auto"/>
          <w:sz w:val="24"/>
          <w:szCs w:val="24"/>
          <w:highlight w:val="none"/>
        </w:rPr>
        <w:t>地址</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邮编</w:t>
      </w:r>
      <w:r>
        <w:rPr>
          <w:rFonts w:hint="eastAsia" w:ascii="仿宋" w:hAnsi="仿宋" w:eastAsia="仿宋"/>
          <w:bCs/>
          <w:color w:val="auto"/>
          <w:sz w:val="24"/>
          <w:szCs w:val="24"/>
          <w:highlight w:val="none"/>
        </w:rPr>
        <w:t>：</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0" w:firstLineChars="200"/>
        <w:jc w:val="left"/>
        <w:rPr>
          <w:rFonts w:ascii="仿宋" w:hAnsi="仿宋" w:eastAsia="仿宋"/>
          <w:bCs/>
          <w:color w:val="auto"/>
          <w:sz w:val="24"/>
          <w:szCs w:val="24"/>
          <w:highlight w:val="none"/>
        </w:rPr>
      </w:pPr>
      <w:r>
        <w:rPr>
          <w:rFonts w:hint="eastAsia" w:ascii="仿宋" w:hAnsi="仿宋" w:eastAsia="仿宋"/>
          <w:bCs/>
          <w:color w:val="auto"/>
          <w:sz w:val="24"/>
          <w:szCs w:val="24"/>
          <w:highlight w:val="none"/>
        </w:rPr>
        <w:t>联系人：</w:t>
      </w:r>
      <w:r>
        <w:rPr>
          <w:rFonts w:hint="eastAsia" w:ascii="仿宋" w:hAnsi="仿宋" w:eastAsia="仿宋"/>
          <w:bCs/>
          <w:color w:val="auto"/>
          <w:sz w:val="24"/>
          <w:szCs w:val="24"/>
          <w:highlight w:val="none"/>
          <w:u w:val="single"/>
        </w:rPr>
        <w:t xml:space="preserve">                                            </w:t>
      </w:r>
      <w:r>
        <w:rPr>
          <w:rFonts w:ascii="仿宋" w:hAnsi="仿宋" w:eastAsia="仿宋"/>
          <w:bCs/>
          <w:color w:val="auto"/>
          <w:sz w:val="24"/>
          <w:szCs w:val="24"/>
          <w:highlight w:val="none"/>
        </w:rPr>
        <w:t>联系</w:t>
      </w:r>
      <w:r>
        <w:rPr>
          <w:rFonts w:hint="eastAsia" w:ascii="仿宋" w:hAnsi="仿宋" w:eastAsia="仿宋"/>
          <w:bCs/>
          <w:color w:val="auto"/>
          <w:sz w:val="24"/>
          <w:szCs w:val="24"/>
          <w:highlight w:val="none"/>
        </w:rPr>
        <w:t>电话：</w:t>
      </w:r>
      <w:r>
        <w:rPr>
          <w:rFonts w:hint="eastAsia" w:ascii="仿宋" w:hAnsi="仿宋" w:eastAsia="仿宋"/>
          <w:bCs/>
          <w:color w:val="auto"/>
          <w:sz w:val="24"/>
          <w:szCs w:val="24"/>
          <w:highlight w:val="none"/>
          <w:u w:val="single"/>
        </w:rPr>
        <w:t xml:space="preserve">             </w:t>
      </w:r>
    </w:p>
    <w:p>
      <w:pPr>
        <w:pStyle w:val="15"/>
        <w:snapToGrid w:val="0"/>
        <w:spacing w:line="440" w:lineRule="exact"/>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二、投诉项目基本情况：</w:t>
      </w: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项目的名称：</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采购</w:t>
      </w:r>
      <w:r>
        <w:rPr>
          <w:rFonts w:hint="eastAsia" w:ascii="仿宋" w:hAnsi="仿宋" w:eastAsia="仿宋"/>
          <w:color w:val="auto"/>
          <w:sz w:val="24"/>
          <w:szCs w:val="24"/>
          <w:highlight w:val="none"/>
        </w:rPr>
        <w:t>项目的编号：</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采购人名称：</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代理机构名称：</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招标文件公告：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公告期限：</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b/>
          <w:color w:val="auto"/>
          <w:sz w:val="24"/>
          <w:szCs w:val="24"/>
          <w:highlight w:val="none"/>
        </w:rPr>
      </w:pPr>
      <w:r>
        <w:rPr>
          <w:rFonts w:hint="eastAsia" w:ascii="仿宋" w:hAnsi="仿宋" w:eastAsia="仿宋"/>
          <w:bCs/>
          <w:color w:val="auto"/>
          <w:sz w:val="24"/>
          <w:szCs w:val="24"/>
          <w:highlight w:val="none"/>
        </w:rPr>
        <w:t>采购结果公告：</w:t>
      </w:r>
      <w:r>
        <w:rPr>
          <w:rFonts w:hint="eastAsia" w:ascii="仿宋" w:hAnsi="仿宋" w:eastAsia="仿宋"/>
          <w:bCs/>
          <w:color w:val="auto"/>
          <w:sz w:val="24"/>
          <w:szCs w:val="24"/>
          <w:highlight w:val="none"/>
          <w:u w:val="single"/>
        </w:rPr>
        <w:t>是/否</w:t>
      </w:r>
      <w:r>
        <w:rPr>
          <w:rFonts w:hint="eastAsia" w:ascii="仿宋" w:hAnsi="仿宋" w:eastAsia="仿宋"/>
          <w:bCs/>
          <w:color w:val="auto"/>
          <w:sz w:val="24"/>
          <w:szCs w:val="24"/>
          <w:highlight w:val="none"/>
        </w:rPr>
        <w:t>公告期限：</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三、质疑基本情况</w:t>
      </w:r>
    </w:p>
    <w:p>
      <w:pPr>
        <w:pStyle w:val="15"/>
        <w:spacing w:line="440" w:lineRule="exact"/>
        <w:ind w:left="25" w:leftChars="12" w:firstLine="480" w:firstLineChars="200"/>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投诉人于</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日，向</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提出质疑，质疑事项为：</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5"/>
        <w:spacing w:line="440" w:lineRule="exact"/>
        <w:ind w:firstLine="480" w:firstLineChars="200"/>
        <w:rPr>
          <w:rFonts w:ascii="仿宋" w:hAnsi="仿宋" w:eastAsia="仿宋"/>
          <w:color w:val="auto"/>
          <w:sz w:val="24"/>
          <w:szCs w:val="24"/>
          <w:highlight w:val="none"/>
        </w:rPr>
      </w:pPr>
      <w:r>
        <w:rPr>
          <w:rFonts w:hint="eastAsia" w:ascii="仿宋" w:hAnsi="仿宋" w:eastAsia="仿宋"/>
          <w:bCs/>
          <w:color w:val="auto"/>
          <w:sz w:val="24"/>
          <w:szCs w:val="24"/>
          <w:highlight w:val="none"/>
          <w:u w:val="single"/>
        </w:rPr>
        <w:t>采购人/代理机构</w:t>
      </w:r>
      <w:r>
        <w:rPr>
          <w:rFonts w:hint="eastAsia" w:ascii="仿宋" w:hAnsi="仿宋" w:eastAsia="仿宋"/>
          <w:bCs/>
          <w:color w:val="auto"/>
          <w:sz w:val="24"/>
          <w:szCs w:val="24"/>
          <w:highlight w:val="none"/>
        </w:rPr>
        <w:t>于</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r>
        <w:rPr>
          <w:rFonts w:hint="eastAsia" w:ascii="仿宋" w:hAnsi="仿宋" w:eastAsia="仿宋"/>
          <w:bCs/>
          <w:color w:val="auto"/>
          <w:sz w:val="24"/>
          <w:szCs w:val="24"/>
          <w:highlight w:val="none"/>
        </w:rPr>
        <w:t xml:space="preserve">就质疑事项作出了答复/没有在法定期限内作出答复。                                                                                             </w:t>
      </w:r>
    </w:p>
    <w:p>
      <w:pPr>
        <w:pStyle w:val="15"/>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四、投诉事项具体内容</w:t>
      </w:r>
    </w:p>
    <w:p>
      <w:pPr>
        <w:pStyle w:val="15"/>
        <w:spacing w:line="440" w:lineRule="exact"/>
        <w:ind w:left="25" w:leftChars="12" w:firstLine="472" w:firstLineChars="197"/>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投诉事项1：</w:t>
      </w:r>
      <w:r>
        <w:rPr>
          <w:rFonts w:hint="eastAsia" w:ascii="仿宋" w:hAnsi="仿宋" w:eastAsia="仿宋"/>
          <w:bCs/>
          <w:color w:val="auto"/>
          <w:sz w:val="24"/>
          <w:szCs w:val="24"/>
          <w:highlight w:val="none"/>
          <w:u w:val="single"/>
        </w:rPr>
        <w:t xml:space="preserve">                                                               </w:t>
      </w:r>
    </w:p>
    <w:p>
      <w:pPr>
        <w:pStyle w:val="15"/>
        <w:spacing w:line="440" w:lineRule="exact"/>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事实依据：</w:t>
      </w:r>
      <w:r>
        <w:rPr>
          <w:rFonts w:hint="eastAsia" w:ascii="仿宋" w:hAnsi="仿宋" w:eastAsia="仿宋"/>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5"/>
        <w:spacing w:line="440" w:lineRule="exact"/>
        <w:ind w:firstLine="480" w:firstLineChars="200"/>
        <w:rPr>
          <w:rFonts w:ascii="仿宋" w:hAnsi="仿宋" w:eastAsia="仿宋"/>
          <w:bCs/>
          <w:color w:val="auto"/>
          <w:sz w:val="24"/>
          <w:szCs w:val="24"/>
          <w:highlight w:val="none"/>
          <w:u w:val="single"/>
        </w:rPr>
      </w:pPr>
      <w:r>
        <w:rPr>
          <w:rFonts w:hint="eastAsia" w:ascii="仿宋" w:hAnsi="仿宋" w:eastAsia="仿宋"/>
          <w:bCs/>
          <w:color w:val="auto"/>
          <w:sz w:val="24"/>
          <w:szCs w:val="24"/>
          <w:highlight w:val="none"/>
        </w:rPr>
        <w:t>法律依据：</w:t>
      </w:r>
      <w:r>
        <w:rPr>
          <w:rFonts w:hint="eastAsia" w:ascii="仿宋" w:hAnsi="仿宋" w:eastAsia="仿宋"/>
          <w:color w:val="auto"/>
          <w:sz w:val="24"/>
          <w:szCs w:val="24"/>
          <w:highlight w:val="none"/>
        </w:rPr>
        <w:t xml:space="preserve"> </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472" w:firstLineChars="197"/>
        <w:rPr>
          <w:rFonts w:ascii="仿宋" w:hAnsi="仿宋" w:eastAsia="仿宋"/>
          <w:bCs/>
          <w:color w:val="auto"/>
          <w:sz w:val="24"/>
          <w:szCs w:val="24"/>
          <w:highlight w:val="none"/>
        </w:rPr>
      </w:pPr>
      <w:r>
        <w:rPr>
          <w:rFonts w:hint="eastAsia" w:ascii="仿宋" w:hAnsi="仿宋" w:eastAsia="仿宋"/>
          <w:color w:val="auto"/>
          <w:sz w:val="24"/>
          <w:szCs w:val="24"/>
          <w:highlight w:val="none"/>
        </w:rPr>
        <w:t xml:space="preserve">投诉事项2  </w:t>
      </w:r>
      <w:r>
        <w:rPr>
          <w:rFonts w:hint="eastAsia" w:ascii="仿宋" w:hAnsi="仿宋" w:eastAsia="仿宋"/>
          <w:bCs/>
          <w:color w:val="auto"/>
          <w:sz w:val="24"/>
          <w:szCs w:val="24"/>
          <w:highlight w:val="none"/>
        </w:rPr>
        <w:t xml:space="preserve">   </w:t>
      </w:r>
    </w:p>
    <w:p>
      <w:pPr>
        <w:pStyle w:val="15"/>
        <w:spacing w:line="440" w:lineRule="exact"/>
        <w:ind w:left="25" w:leftChars="12" w:firstLine="472" w:firstLineChars="197"/>
        <w:rPr>
          <w:rFonts w:ascii="仿宋" w:hAnsi="仿宋" w:eastAsia="仿宋"/>
          <w:bCs/>
          <w:color w:val="auto"/>
          <w:sz w:val="24"/>
          <w:szCs w:val="24"/>
          <w:highlight w:val="none"/>
        </w:rPr>
      </w:pPr>
      <w:r>
        <w:rPr>
          <w:rFonts w:ascii="仿宋" w:hAnsi="仿宋" w:eastAsia="仿宋"/>
          <w:bCs/>
          <w:color w:val="auto"/>
          <w:sz w:val="24"/>
          <w:szCs w:val="24"/>
          <w:highlight w:val="none"/>
        </w:rPr>
        <w:t>……</w:t>
      </w:r>
    </w:p>
    <w:p>
      <w:pPr>
        <w:pStyle w:val="15"/>
        <w:spacing w:line="440" w:lineRule="exact"/>
        <w:ind w:left="25" w:leftChars="12" w:firstLine="472" w:firstLineChars="196"/>
        <w:rPr>
          <w:rFonts w:ascii="仿宋" w:hAnsi="仿宋" w:eastAsia="仿宋"/>
          <w:b/>
          <w:color w:val="auto"/>
          <w:sz w:val="24"/>
          <w:szCs w:val="24"/>
          <w:highlight w:val="none"/>
        </w:rPr>
      </w:pPr>
      <w:r>
        <w:rPr>
          <w:rFonts w:hint="eastAsia" w:ascii="仿宋" w:hAnsi="仿宋" w:eastAsia="仿宋"/>
          <w:b/>
          <w:color w:val="auto"/>
          <w:sz w:val="24"/>
          <w:szCs w:val="24"/>
          <w:highlight w:val="none"/>
        </w:rPr>
        <w:t>五、与投诉事项相关的投诉请求：</w:t>
      </w: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请求：</w:t>
      </w:r>
      <w:r>
        <w:rPr>
          <w:rFonts w:hint="eastAsia" w:ascii="仿宋" w:hAnsi="仿宋" w:eastAsia="仿宋"/>
          <w:bCs/>
          <w:color w:val="auto"/>
          <w:sz w:val="24"/>
          <w:szCs w:val="24"/>
          <w:highlight w:val="none"/>
          <w:u w:val="single"/>
        </w:rPr>
        <w:t xml:space="preserve">                                                                      </w:t>
      </w:r>
    </w:p>
    <w:p>
      <w:pPr>
        <w:pStyle w:val="15"/>
        <w:spacing w:line="440" w:lineRule="exact"/>
        <w:ind w:left="25" w:leftChars="12" w:firstLine="352" w:firstLineChars="147"/>
        <w:rPr>
          <w:rFonts w:ascii="仿宋" w:hAnsi="仿宋" w:eastAsia="仿宋"/>
          <w:color w:val="auto"/>
          <w:sz w:val="24"/>
          <w:szCs w:val="24"/>
          <w:highlight w:val="none"/>
        </w:rPr>
      </w:pP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签字（签章）：                                       公章：</w:t>
      </w:r>
    </w:p>
    <w:p>
      <w:pPr>
        <w:pStyle w:val="15"/>
        <w:spacing w:line="440" w:lineRule="exact"/>
        <w:ind w:left="25" w:leftChars="12" w:firstLine="352" w:firstLineChars="147"/>
        <w:rPr>
          <w:rFonts w:ascii="仿宋" w:hAnsi="仿宋" w:eastAsia="仿宋"/>
          <w:color w:val="auto"/>
          <w:sz w:val="24"/>
          <w:szCs w:val="24"/>
          <w:highlight w:val="none"/>
        </w:rPr>
      </w:pP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color w:val="auto"/>
          <w:sz w:val="24"/>
          <w:szCs w:val="24"/>
          <w:highlight w:val="none"/>
        </w:rPr>
        <w:t>日期：</w:t>
      </w:r>
    </w:p>
    <w:p>
      <w:pPr>
        <w:pStyle w:val="15"/>
        <w:spacing w:line="440" w:lineRule="exact"/>
        <w:ind w:left="25" w:leftChars="12" w:firstLine="472" w:firstLineChars="197"/>
        <w:rPr>
          <w:rFonts w:ascii="仿宋" w:hAnsi="仿宋" w:eastAsia="仿宋"/>
          <w:color w:val="auto"/>
          <w:sz w:val="24"/>
          <w:szCs w:val="24"/>
          <w:highlight w:val="none"/>
        </w:rPr>
      </w:pPr>
      <w:r>
        <w:rPr>
          <w:rFonts w:hint="eastAsia" w:ascii="仿宋" w:hAnsi="仿宋" w:eastAsia="仿宋"/>
          <w:bCs/>
          <w:color w:val="auto"/>
          <w:sz w:val="24"/>
          <w:szCs w:val="24"/>
          <w:highlight w:val="none"/>
        </w:rPr>
        <w:t xml:space="preserve">                                                                              </w:t>
      </w:r>
    </w:p>
    <w:p>
      <w:pPr>
        <w:pStyle w:val="15"/>
        <w:snapToGrid w:val="0"/>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说明：</w:t>
      </w:r>
    </w:p>
    <w:p>
      <w:pPr>
        <w:pStyle w:val="15"/>
        <w:spacing w:line="440" w:lineRule="exact"/>
        <w:ind w:left="25" w:leftChars="12" w:firstLine="354" w:firstLineChars="147"/>
        <w:rPr>
          <w:rFonts w:ascii="仿宋" w:hAnsi="仿宋" w:eastAsia="仿宋"/>
          <w:b/>
          <w:bCs/>
          <w:color w:val="auto"/>
          <w:sz w:val="24"/>
          <w:szCs w:val="24"/>
          <w:highlight w:val="none"/>
        </w:rPr>
      </w:pPr>
      <w:r>
        <w:rPr>
          <w:rFonts w:hint="eastAsia" w:ascii="仿宋" w:hAnsi="仿宋" w:eastAsia="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b/>
          <w:bCs/>
          <w:color w:val="auto"/>
          <w:sz w:val="24"/>
          <w:szCs w:val="24"/>
          <w:highlight w:val="none"/>
        </w:rPr>
        <w:t>。</w:t>
      </w:r>
    </w:p>
    <w:p>
      <w:pPr>
        <w:pStyle w:val="15"/>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5"/>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3.投诉书应简要列明质疑事项，质疑函、质疑答复等作为附件材料提供。</w:t>
      </w:r>
    </w:p>
    <w:p>
      <w:pPr>
        <w:pStyle w:val="15"/>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4.投诉书的投诉事项应具体、明确，并有必要的事实依据和法律依据。</w:t>
      </w:r>
    </w:p>
    <w:p>
      <w:pPr>
        <w:pStyle w:val="15"/>
        <w:spacing w:line="440" w:lineRule="exact"/>
        <w:ind w:left="25" w:leftChars="12" w:firstLine="354" w:firstLineChars="147"/>
        <w:rPr>
          <w:rFonts w:ascii="仿宋" w:hAnsi="仿宋" w:eastAsia="仿宋"/>
          <w:b/>
          <w:color w:val="auto"/>
          <w:sz w:val="24"/>
          <w:szCs w:val="24"/>
          <w:highlight w:val="none"/>
        </w:rPr>
      </w:pPr>
      <w:r>
        <w:rPr>
          <w:rFonts w:hint="eastAsia" w:ascii="仿宋" w:hAnsi="仿宋" w:eastAsia="仿宋"/>
          <w:b/>
          <w:color w:val="auto"/>
          <w:sz w:val="24"/>
          <w:szCs w:val="24"/>
          <w:highlight w:val="none"/>
        </w:rPr>
        <w:t>5.投诉书的投诉请求应与投诉事项相关。</w:t>
      </w:r>
    </w:p>
    <w:p>
      <w:pPr>
        <w:pStyle w:val="15"/>
        <w:spacing w:line="440" w:lineRule="exact"/>
        <w:ind w:left="25" w:leftChars="12" w:firstLine="354" w:firstLineChars="147"/>
        <w:rPr>
          <w:rFonts w:ascii="仿宋" w:hAnsi="仿宋" w:eastAsia="仿宋"/>
          <w:b/>
          <w:color w:val="auto"/>
          <w:highlight w:val="none"/>
        </w:rPr>
      </w:pPr>
      <w:r>
        <w:rPr>
          <w:rFonts w:hint="eastAsia" w:ascii="仿宋" w:hAnsi="仿宋" w:eastAsia="仿宋"/>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bookmarkEnd w:id="149"/>
    <w:sectPr>
      <w:footerReference r:id="rId11" w:type="first"/>
      <w:headerReference r:id="rId8" w:type="default"/>
      <w:footerReference r:id="rId9" w:type="default"/>
      <w:footerReference r:id="rId10" w:type="even"/>
      <w:pgSz w:w="11906" w:h="16838"/>
      <w:pgMar w:top="993" w:right="1080" w:bottom="993" w:left="1080" w:header="851" w:footer="5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微软雅黑"/>
    <w:panose1 w:val="02000000000000000000"/>
    <w:charset w:val="86"/>
    <w:family w:val="script"/>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rPr>
        <w:rStyle w:val="24"/>
      </w:rPr>
    </w:pPr>
    <w:r>
      <w:fldChar w:fldCharType="begin"/>
    </w:r>
    <w:r>
      <w:rPr>
        <w:rStyle w:val="24"/>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51</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w:t>
    </w:r>
    <w:r>
      <w:fldChar w:fldCharType="end"/>
    </w:r>
  </w:p>
  <w:p>
    <w:pPr>
      <w:pStyle w:val="18"/>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89</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rPr>
        <w:rStyle w:val="24"/>
      </w:rPr>
    </w:pPr>
    <w:r>
      <w:fldChar w:fldCharType="begin"/>
    </w:r>
    <w:r>
      <w:rPr>
        <w:rStyle w:val="24"/>
      </w:rPr>
      <w:instrText xml:space="preserve">PAGE  </w:instrTex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598517"/>
    <w:multiLevelType w:val="multilevel"/>
    <w:tmpl w:val="D559851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CF279AB"/>
    <w:multiLevelType w:val="singleLevel"/>
    <w:tmpl w:val="DCF279AB"/>
    <w:lvl w:ilvl="0" w:tentative="0">
      <w:start w:val="2"/>
      <w:numFmt w:val="chineseCounting"/>
      <w:suff w:val="nothing"/>
      <w:lvlText w:val="%1、"/>
      <w:lvlJc w:val="left"/>
      <w:rPr>
        <w:rFonts w:hint="eastAsia"/>
      </w:rPr>
    </w:lvl>
  </w:abstractNum>
  <w:abstractNum w:abstractNumId="2">
    <w:nsid w:val="0D87FB30"/>
    <w:multiLevelType w:val="singleLevel"/>
    <w:tmpl w:val="0D87FB30"/>
    <w:lvl w:ilvl="0" w:tentative="0">
      <w:start w:val="1"/>
      <w:numFmt w:val="decimal"/>
      <w:suff w:val="nothing"/>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DFBFFAC"/>
    <w:multiLevelType w:val="singleLevel"/>
    <w:tmpl w:val="5DFBFFAC"/>
    <w:lvl w:ilvl="0" w:tentative="0">
      <w:start w:val="1"/>
      <w:numFmt w:val="decimal"/>
      <w:lvlText w:val="%1."/>
      <w:lvlJc w:val="left"/>
      <w:pPr>
        <w:tabs>
          <w:tab w:val="left" w:pos="312"/>
        </w:tabs>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6011819"/>
    <w:multiLevelType w:val="multilevel"/>
    <w:tmpl w:val="66011819"/>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E0743"/>
    <w:rsid w:val="122E175F"/>
    <w:rsid w:val="16894728"/>
    <w:rsid w:val="17EE3D45"/>
    <w:rsid w:val="1B4125C2"/>
    <w:rsid w:val="213E60F1"/>
    <w:rsid w:val="296D38C3"/>
    <w:rsid w:val="2C39267A"/>
    <w:rsid w:val="33F338FD"/>
    <w:rsid w:val="389F7700"/>
    <w:rsid w:val="38CA6E7E"/>
    <w:rsid w:val="47CF3B0E"/>
    <w:rsid w:val="51F42E31"/>
    <w:rsid w:val="567E1BAB"/>
    <w:rsid w:val="61011D9E"/>
    <w:rsid w:val="614F2C11"/>
    <w:rsid w:val="6EC67FB1"/>
    <w:rsid w:val="6FB04269"/>
    <w:rsid w:val="73A37096"/>
    <w:rsid w:val="79811E3A"/>
    <w:rsid w:val="799F71F6"/>
    <w:rsid w:val="7D4A4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qFormat/>
    <w:uiPriority w:val="99"/>
    <w:pPr>
      <w:keepNext/>
      <w:keepLines/>
      <w:spacing w:before="260" w:after="260" w:line="416" w:lineRule="auto"/>
      <w:outlineLvl w:val="2"/>
    </w:pPr>
    <w:rPr>
      <w:b/>
      <w:bCs/>
      <w:kern w:val="0"/>
      <w:sz w:val="32"/>
      <w:szCs w:val="32"/>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character" w:default="1" w:styleId="2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8">
    <w:name w:val="Normal Indent"/>
    <w:basedOn w:val="1"/>
    <w:qFormat/>
    <w:uiPriority w:val="99"/>
    <w:pPr>
      <w:ind w:firstLine="420"/>
    </w:pPr>
    <w:rPr>
      <w:szCs w:val="20"/>
    </w:rPr>
  </w:style>
  <w:style w:type="paragraph" w:styleId="9">
    <w:name w:val="annotation subject"/>
    <w:basedOn w:val="10"/>
    <w:next w:val="10"/>
    <w:link w:val="32"/>
    <w:qFormat/>
    <w:uiPriority w:val="0"/>
    <w:rPr>
      <w:b/>
      <w:bCs/>
    </w:rPr>
  </w:style>
  <w:style w:type="paragraph" w:styleId="10">
    <w:name w:val="annotation text"/>
    <w:basedOn w:val="1"/>
    <w:link w:val="31"/>
    <w:unhideWhenUsed/>
    <w:qFormat/>
    <w:uiPriority w:val="99"/>
    <w:pPr>
      <w:jc w:val="left"/>
    </w:pPr>
  </w:style>
  <w:style w:type="paragraph" w:styleId="11">
    <w:name w:val="index 8"/>
    <w:basedOn w:val="1"/>
    <w:next w:val="1"/>
    <w:qFormat/>
    <w:uiPriority w:val="0"/>
    <w:pPr>
      <w:spacing w:line="360" w:lineRule="auto"/>
    </w:p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Body Text 3"/>
    <w:basedOn w:val="1"/>
    <w:qFormat/>
    <w:uiPriority w:val="0"/>
    <w:pPr>
      <w:spacing w:line="500" w:lineRule="exact"/>
    </w:pPr>
    <w:rPr>
      <w:b/>
      <w:bCs/>
      <w:kern w:val="0"/>
      <w:sz w:val="24"/>
    </w:rPr>
  </w:style>
  <w:style w:type="paragraph" w:styleId="14">
    <w:name w:val="Body Text"/>
    <w:basedOn w:val="1"/>
    <w:qFormat/>
    <w:uiPriority w:val="99"/>
    <w:pPr>
      <w:spacing w:line="380" w:lineRule="exact"/>
    </w:pPr>
    <w:rPr>
      <w:kern w:val="0"/>
      <w:sz w:val="24"/>
    </w:rPr>
  </w:style>
  <w:style w:type="paragraph" w:styleId="15">
    <w:name w:val="Plain Text"/>
    <w:basedOn w:val="1"/>
    <w:next w:val="11"/>
    <w:qFormat/>
    <w:uiPriority w:val="0"/>
    <w:rPr>
      <w:rFonts w:ascii="宋体" w:hAnsi="Courier New"/>
      <w:kern w:val="0"/>
      <w:sz w:val="20"/>
      <w:szCs w:val="21"/>
    </w:rPr>
  </w:style>
  <w:style w:type="paragraph" w:styleId="16">
    <w:name w:val="Body Text Indent 2"/>
    <w:basedOn w:val="1"/>
    <w:qFormat/>
    <w:uiPriority w:val="99"/>
    <w:pPr>
      <w:ind w:firstLine="570"/>
    </w:pPr>
    <w:rPr>
      <w:sz w:val="32"/>
    </w:rPr>
  </w:style>
  <w:style w:type="paragraph" w:styleId="17">
    <w:name w:val="Balloon Text"/>
    <w:basedOn w:val="1"/>
    <w:link w:val="30"/>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1">
    <w:name w:val="List"/>
    <w:basedOn w:val="1"/>
    <w:qFormat/>
    <w:uiPriority w:val="0"/>
    <w:pPr>
      <w:ind w:left="200" w:hanging="200" w:hangingChars="200"/>
    </w:pPr>
    <w:rPr>
      <w:sz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basedOn w:val="23"/>
    <w:qFormat/>
    <w:uiPriority w:val="0"/>
    <w:rPr>
      <w:sz w:val="21"/>
      <w:szCs w:val="21"/>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29">
    <w:name w:val="Table Paragraph"/>
    <w:basedOn w:val="1"/>
    <w:qFormat/>
    <w:uiPriority w:val="1"/>
    <w:pPr>
      <w:jc w:val="left"/>
    </w:pPr>
    <w:rPr>
      <w:rFonts w:ascii="Calibri" w:hAnsi="Calibri"/>
      <w:kern w:val="0"/>
      <w:sz w:val="22"/>
      <w:szCs w:val="22"/>
      <w:lang w:eastAsia="en-US"/>
    </w:rPr>
  </w:style>
  <w:style w:type="character" w:customStyle="1" w:styleId="30">
    <w:name w:val="批注框文本 Char"/>
    <w:basedOn w:val="23"/>
    <w:link w:val="17"/>
    <w:qFormat/>
    <w:uiPriority w:val="0"/>
    <w:rPr>
      <w:kern w:val="2"/>
      <w:sz w:val="18"/>
      <w:szCs w:val="18"/>
    </w:rPr>
  </w:style>
  <w:style w:type="character" w:customStyle="1" w:styleId="31">
    <w:name w:val="批注文字 Char"/>
    <w:basedOn w:val="23"/>
    <w:link w:val="10"/>
    <w:qFormat/>
    <w:uiPriority w:val="99"/>
    <w:rPr>
      <w:kern w:val="2"/>
      <w:sz w:val="21"/>
      <w:szCs w:val="24"/>
    </w:rPr>
  </w:style>
  <w:style w:type="character" w:customStyle="1" w:styleId="32">
    <w:name w:val="批注主题 Char"/>
    <w:basedOn w:val="31"/>
    <w:link w:val="9"/>
    <w:qFormat/>
    <w:uiPriority w:val="0"/>
    <w:rPr>
      <w:b/>
      <w:bCs/>
      <w:kern w:val="2"/>
      <w:sz w:val="21"/>
      <w:szCs w:val="24"/>
    </w:rPr>
  </w:style>
  <w:style w:type="paragraph" w:customStyle="1" w:styleId="33">
    <w:name w:val="List Paragraph"/>
    <w:basedOn w:val="1"/>
    <w:qFormat/>
    <w:uiPriority w:val="34"/>
    <w:pPr>
      <w:adjustRightInd w:val="0"/>
      <w:spacing w:line="360" w:lineRule="atLeast"/>
      <w:ind w:firstLine="420" w:firstLineChars="200"/>
      <w:jc w:val="left"/>
      <w:textAlignment w:val="baseline"/>
    </w:pPr>
    <w:rPr>
      <w:kern w:val="0"/>
      <w:sz w:val="24"/>
      <w:szCs w:val="20"/>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90</Pages>
  <Words>9860</Words>
  <Characters>56206</Characters>
  <Lines>468</Lines>
  <Paragraphs>131</Paragraphs>
  <TotalTime>72</TotalTime>
  <ScaleCrop>false</ScaleCrop>
  <LinksUpToDate>false</LinksUpToDate>
  <CharactersWithSpaces>65935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2023-08-06T00:31:00Z</dcterms:created>
  <dc:creator>Administrator</dc:creator>
  <cp:lastModifiedBy>巧</cp:lastModifiedBy>
  <cp:lastPrinted>2023-11-14T17:26:00Z</cp:lastPrinted>
  <dcterms:modified xsi:type="dcterms:W3CDTF">2024-04-25T03:00:15Z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F7DDE1249F6282A9D934DB64D86E9214</vt:lpwstr>
  </property>
</Properties>
</file>