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ascii="仿宋" w:hAnsi="仿宋" w:eastAsia="仿宋" w:cs="仿宋"/>
          <w:b/>
          <w:color w:val="auto"/>
          <w:sz w:val="24"/>
          <w:szCs w:val="24"/>
        </w:rPr>
      </w:pPr>
      <w:r>
        <w:rPr>
          <w:rFonts w:hint="eastAsia" w:ascii="宋体" w:hAnsi="宋体" w:eastAsia="宋体" w:cs="宋体"/>
          <w:b/>
          <w:bCs/>
          <w:color w:val="auto"/>
          <w:sz w:val="24"/>
          <w:szCs w:val="24"/>
        </w:rPr>
        <w:t>一</w:t>
      </w:r>
      <w:r>
        <w:rPr>
          <w:rFonts w:hint="eastAsia" w:ascii="宋体" w:hAnsi="宋体" w:eastAsia="宋体" w:cs="宋体"/>
          <w:b/>
          <w:color w:val="auto"/>
          <w:sz w:val="24"/>
          <w:szCs w:val="24"/>
        </w:rPr>
        <w:t>、采购项目标的清单</w:t>
      </w:r>
    </w:p>
    <w:tbl>
      <w:tblPr>
        <w:tblStyle w:val="7"/>
        <w:tblW w:w="82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3554"/>
        <w:gridCol w:w="941"/>
        <w:gridCol w:w="927"/>
        <w:gridCol w:w="1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74" w:type="dxa"/>
            <w:tcBorders>
              <w:top w:val="single" w:color="auto" w:sz="4" w:space="0"/>
              <w:left w:val="single" w:color="auto" w:sz="4" w:space="0"/>
              <w:bottom w:val="single" w:color="auto" w:sz="4" w:space="0"/>
              <w:right w:val="single" w:color="auto" w:sz="4" w:space="0"/>
            </w:tcBorders>
            <w:vAlign w:val="center"/>
          </w:tcPr>
          <w:p>
            <w:pPr>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cs="仿宋"/>
                <w:color w:val="auto"/>
                <w:sz w:val="24"/>
                <w:szCs w:val="24"/>
              </w:rPr>
            </w:pPr>
            <w:r>
              <w:rPr>
                <w:rFonts w:hint="eastAsia" w:ascii="仿宋" w:hAnsi="仿宋" w:eastAsia="仿宋" w:cs="仿宋"/>
                <w:color w:val="auto"/>
                <w:sz w:val="24"/>
                <w:szCs w:val="24"/>
              </w:rPr>
              <w:t>序号</w:t>
            </w:r>
          </w:p>
        </w:tc>
        <w:tc>
          <w:tcPr>
            <w:tcW w:w="3554" w:type="dxa"/>
            <w:tcBorders>
              <w:top w:val="single" w:color="auto" w:sz="4" w:space="0"/>
              <w:left w:val="single" w:color="auto" w:sz="4" w:space="0"/>
              <w:bottom w:val="single" w:color="auto" w:sz="4" w:space="0"/>
              <w:right w:val="single" w:color="auto" w:sz="4" w:space="0"/>
            </w:tcBorders>
            <w:vAlign w:val="center"/>
          </w:tcPr>
          <w:p>
            <w:pPr>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cs="仿宋"/>
                <w:color w:val="auto"/>
                <w:sz w:val="24"/>
                <w:szCs w:val="24"/>
              </w:rPr>
            </w:pPr>
            <w:r>
              <w:rPr>
                <w:rFonts w:hint="eastAsia" w:ascii="仿宋" w:hAnsi="仿宋" w:eastAsia="仿宋" w:cs="仿宋"/>
                <w:color w:val="auto"/>
                <w:sz w:val="24"/>
                <w:szCs w:val="24"/>
              </w:rPr>
              <w:t>标的名称</w:t>
            </w:r>
          </w:p>
        </w:tc>
        <w:tc>
          <w:tcPr>
            <w:tcW w:w="941" w:type="dxa"/>
            <w:tcBorders>
              <w:top w:val="single" w:color="auto" w:sz="4" w:space="0"/>
              <w:left w:val="single" w:color="auto" w:sz="4" w:space="0"/>
              <w:bottom w:val="single" w:color="auto" w:sz="4" w:space="0"/>
              <w:right w:val="single" w:color="auto" w:sz="4" w:space="0"/>
            </w:tcBorders>
            <w:vAlign w:val="center"/>
          </w:tcPr>
          <w:p>
            <w:pPr>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cs="仿宋"/>
                <w:color w:val="auto"/>
                <w:sz w:val="24"/>
                <w:szCs w:val="24"/>
              </w:rPr>
            </w:pPr>
            <w:r>
              <w:rPr>
                <w:rFonts w:hint="eastAsia" w:ascii="仿宋" w:hAnsi="仿宋" w:eastAsia="仿宋" w:cs="仿宋"/>
                <w:color w:val="auto"/>
                <w:sz w:val="24"/>
                <w:szCs w:val="24"/>
              </w:rPr>
              <w:t>单位</w:t>
            </w:r>
          </w:p>
        </w:tc>
        <w:tc>
          <w:tcPr>
            <w:tcW w:w="927" w:type="dxa"/>
            <w:tcBorders>
              <w:top w:val="single" w:color="auto" w:sz="4" w:space="0"/>
              <w:left w:val="single" w:color="auto" w:sz="4" w:space="0"/>
              <w:bottom w:val="single" w:color="auto" w:sz="4" w:space="0"/>
              <w:right w:val="single" w:color="auto" w:sz="4" w:space="0"/>
            </w:tcBorders>
            <w:vAlign w:val="center"/>
          </w:tcPr>
          <w:p>
            <w:pPr>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cs="仿宋"/>
                <w:color w:val="auto"/>
                <w:sz w:val="24"/>
                <w:szCs w:val="24"/>
              </w:rPr>
            </w:pPr>
            <w:r>
              <w:rPr>
                <w:rFonts w:hint="eastAsia" w:ascii="仿宋" w:hAnsi="仿宋" w:eastAsia="仿宋" w:cs="仿宋"/>
                <w:color w:val="auto"/>
                <w:sz w:val="24"/>
                <w:szCs w:val="24"/>
              </w:rPr>
              <w:t>数量</w:t>
            </w:r>
          </w:p>
        </w:tc>
        <w:tc>
          <w:tcPr>
            <w:tcW w:w="1946" w:type="dxa"/>
            <w:tcBorders>
              <w:top w:val="single" w:color="auto" w:sz="4" w:space="0"/>
              <w:left w:val="single" w:color="auto" w:sz="4" w:space="0"/>
              <w:bottom w:val="single" w:color="auto" w:sz="4" w:space="0"/>
              <w:right w:val="single" w:color="auto" w:sz="4" w:space="0"/>
            </w:tcBorders>
            <w:vAlign w:val="center"/>
          </w:tcPr>
          <w:p>
            <w:pPr>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cs="仿宋"/>
                <w:color w:val="auto"/>
                <w:sz w:val="24"/>
                <w:szCs w:val="24"/>
              </w:rPr>
            </w:pPr>
            <w:r>
              <w:rPr>
                <w:rFonts w:hint="eastAsia" w:ascii="仿宋" w:hAnsi="仿宋" w:eastAsia="仿宋" w:cs="仿宋"/>
                <w:color w:val="auto"/>
                <w:sz w:val="24"/>
                <w:szCs w:val="24"/>
              </w:rPr>
              <w:t>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874" w:type="dxa"/>
            <w:tcBorders>
              <w:top w:val="single" w:color="auto" w:sz="4" w:space="0"/>
              <w:left w:val="single" w:color="auto" w:sz="4" w:space="0"/>
              <w:bottom w:val="single" w:color="auto" w:sz="4" w:space="0"/>
              <w:right w:val="single" w:color="auto" w:sz="4" w:space="0"/>
            </w:tcBorders>
            <w:vAlign w:val="center"/>
          </w:tcPr>
          <w:p>
            <w:pPr>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cs="仿宋"/>
                <w:color w:val="auto"/>
                <w:sz w:val="24"/>
                <w:szCs w:val="24"/>
              </w:rPr>
            </w:pPr>
            <w:r>
              <w:rPr>
                <w:rFonts w:hint="eastAsia" w:ascii="仿宋" w:hAnsi="仿宋" w:eastAsia="仿宋" w:cs="仿宋"/>
                <w:color w:val="auto"/>
                <w:sz w:val="24"/>
                <w:szCs w:val="24"/>
              </w:rPr>
              <w:t>1</w:t>
            </w:r>
          </w:p>
        </w:tc>
        <w:tc>
          <w:tcPr>
            <w:tcW w:w="3554" w:type="dxa"/>
            <w:tcBorders>
              <w:top w:val="single" w:color="auto" w:sz="4" w:space="0"/>
              <w:left w:val="single" w:color="auto" w:sz="4" w:space="0"/>
              <w:bottom w:val="single" w:color="auto" w:sz="4" w:space="0"/>
              <w:right w:val="single" w:color="auto" w:sz="4" w:space="0"/>
            </w:tcBorders>
            <w:vAlign w:val="center"/>
          </w:tcPr>
          <w:p>
            <w:pPr>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北川羌族自治县2022年农业生产社会化服务</w:t>
            </w:r>
          </w:p>
        </w:tc>
        <w:tc>
          <w:tcPr>
            <w:tcW w:w="941" w:type="dxa"/>
            <w:tcBorders>
              <w:top w:val="single" w:color="auto" w:sz="4" w:space="0"/>
              <w:left w:val="single" w:color="auto" w:sz="4" w:space="0"/>
              <w:bottom w:val="single" w:color="auto" w:sz="4" w:space="0"/>
              <w:right w:val="single" w:color="auto" w:sz="4" w:space="0"/>
            </w:tcBorders>
            <w:vAlign w:val="center"/>
          </w:tcPr>
          <w:p>
            <w:pPr>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cs="仿宋"/>
                <w:color w:val="auto"/>
                <w:sz w:val="24"/>
                <w:szCs w:val="24"/>
              </w:rPr>
            </w:pPr>
            <w:r>
              <w:rPr>
                <w:rFonts w:hint="eastAsia" w:ascii="仿宋" w:hAnsi="仿宋" w:eastAsia="仿宋" w:cs="仿宋"/>
                <w:color w:val="auto"/>
                <w:sz w:val="24"/>
                <w:szCs w:val="24"/>
              </w:rPr>
              <w:t>项</w:t>
            </w:r>
          </w:p>
        </w:tc>
        <w:tc>
          <w:tcPr>
            <w:tcW w:w="927" w:type="dxa"/>
            <w:tcBorders>
              <w:top w:val="single" w:color="auto" w:sz="4" w:space="0"/>
              <w:left w:val="single" w:color="auto" w:sz="4" w:space="0"/>
              <w:bottom w:val="single" w:color="auto" w:sz="4" w:space="0"/>
              <w:right w:val="single" w:color="auto" w:sz="4" w:space="0"/>
            </w:tcBorders>
            <w:vAlign w:val="center"/>
          </w:tcPr>
          <w:p>
            <w:pPr>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cs="仿宋"/>
                <w:color w:val="auto"/>
                <w:sz w:val="24"/>
                <w:szCs w:val="24"/>
              </w:rPr>
            </w:pPr>
            <w:r>
              <w:rPr>
                <w:rFonts w:hint="eastAsia" w:ascii="仿宋" w:hAnsi="仿宋" w:eastAsia="仿宋" w:cs="仿宋"/>
                <w:color w:val="auto"/>
                <w:sz w:val="24"/>
                <w:szCs w:val="24"/>
              </w:rPr>
              <w:t>1</w:t>
            </w:r>
          </w:p>
        </w:tc>
        <w:tc>
          <w:tcPr>
            <w:tcW w:w="1946" w:type="dxa"/>
            <w:tcBorders>
              <w:top w:val="single" w:color="auto" w:sz="4" w:space="0"/>
              <w:left w:val="single" w:color="auto" w:sz="4" w:space="0"/>
              <w:bottom w:val="single" w:color="auto" w:sz="4" w:space="0"/>
              <w:right w:val="single" w:color="auto" w:sz="4" w:space="0"/>
            </w:tcBorders>
            <w:vAlign w:val="center"/>
          </w:tcPr>
          <w:p>
            <w:pPr>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cs="仿宋"/>
                <w:color w:val="auto"/>
                <w:sz w:val="24"/>
                <w:szCs w:val="24"/>
              </w:rPr>
            </w:pPr>
            <w:r>
              <w:rPr>
                <w:rFonts w:ascii="仿宋" w:hAnsi="仿宋" w:eastAsia="仿宋" w:cs="仿宋"/>
                <w:color w:val="auto"/>
                <w:sz w:val="24"/>
                <w:szCs w:val="24"/>
              </w:rPr>
              <w:t>农、林、牧、渔业</w:t>
            </w:r>
          </w:p>
        </w:tc>
      </w:tr>
    </w:tbl>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cs="宋体"/>
          <w:b/>
          <w:bCs/>
          <w:color w:val="auto"/>
          <w:sz w:val="24"/>
          <w:szCs w:val="24"/>
          <w:lang w:eastAsia="zh-CN"/>
        </w:rPr>
        <w:t>二、项目概述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rPr>
      </w:pPr>
      <w:r>
        <w:rPr>
          <w:rFonts w:hint="eastAsia" w:ascii="仿宋" w:hAnsi="仿宋" w:eastAsia="仿宋" w:cs="仿宋"/>
          <w:kern w:val="0"/>
          <w:sz w:val="24"/>
          <w:szCs w:val="24"/>
          <w:lang w:bidi="ar"/>
        </w:rPr>
        <w:t>为创新我县农业生产经营新机制，培育农业生产经营新组织，提升农业生产规模化、组织化、集约化水平，加快现代农业建设进程,实现农村发展、农业增效、农民增收目标,进一步解放和发展农村生产力,</w:t>
      </w:r>
      <w:r>
        <w:rPr>
          <w:rFonts w:hint="eastAsia" w:ascii="仿宋" w:hAnsi="仿宋" w:eastAsia="仿宋" w:cs="仿宋"/>
          <w:kern w:val="0"/>
          <w:sz w:val="24"/>
          <w:szCs w:val="24"/>
          <w:lang w:eastAsia="zh-CN" w:bidi="ar"/>
        </w:rPr>
        <w:t>促进小农户与现代农业有效衔接，</w:t>
      </w:r>
      <w:r>
        <w:rPr>
          <w:rFonts w:hint="eastAsia" w:ascii="仿宋" w:hAnsi="仿宋" w:eastAsia="仿宋" w:cs="仿宋"/>
          <w:kern w:val="0"/>
          <w:sz w:val="24"/>
          <w:szCs w:val="24"/>
          <w:lang w:bidi="ar"/>
        </w:rPr>
        <w:t>推动现代农业深入发展</w:t>
      </w:r>
      <w:r>
        <w:rPr>
          <w:rFonts w:hint="eastAsia" w:ascii="仿宋" w:hAnsi="仿宋" w:eastAsia="仿宋" w:cs="仿宋"/>
          <w:kern w:val="0"/>
          <w:sz w:val="24"/>
          <w:szCs w:val="24"/>
          <w:lang w:eastAsia="zh-CN" w:bidi="ar"/>
        </w:rPr>
        <w:t>，根据</w:t>
      </w:r>
      <w:r>
        <w:rPr>
          <w:rFonts w:hint="eastAsia" w:ascii="仿宋" w:hAnsi="仿宋" w:eastAsia="仿宋" w:cs="仿宋"/>
          <w:kern w:val="0"/>
          <w:sz w:val="24"/>
          <w:szCs w:val="24"/>
          <w:lang w:val="en-US" w:eastAsia="zh-CN" w:bidi="ar"/>
        </w:rPr>
        <w:t>根据《四川省农业农村厅四川省财政厅关于做好2022年中央财政农业生产发展等项目实施工作的通知》(川农函[2022]437号)精神和《四川省财政厅四川省农业农村厅关于下达2022年中央财政农业生产发展资金的通知》(川财农[2022] 68号)要求，拟通过本次采购确定成交供应商承接本项目相关服务。</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宋体" w:cs="仿宋"/>
          <w:color w:val="auto"/>
          <w:sz w:val="24"/>
          <w:szCs w:val="24"/>
          <w:lang w:eastAsia="zh-CN"/>
        </w:rPr>
      </w:pPr>
      <w:r>
        <w:rPr>
          <w:rFonts w:hint="eastAsia" w:ascii="宋体" w:hAnsi="宋体" w:cs="宋体"/>
          <w:b/>
          <w:bCs/>
          <w:color w:val="auto"/>
          <w:sz w:val="24"/>
          <w:szCs w:val="24"/>
          <w:lang w:eastAsia="zh-CN"/>
        </w:rPr>
        <w:t>三</w:t>
      </w:r>
      <w:r>
        <w:rPr>
          <w:rFonts w:hint="eastAsia" w:ascii="宋体" w:hAnsi="宋体" w:eastAsia="宋体" w:cs="宋体"/>
          <w:b/>
          <w:bCs/>
          <w:color w:val="auto"/>
          <w:sz w:val="24"/>
          <w:szCs w:val="24"/>
        </w:rPr>
        <w:t>、服务内容</w:t>
      </w:r>
      <w:r>
        <w:rPr>
          <w:rFonts w:hint="eastAsia" w:ascii="宋体" w:hAnsi="宋体" w:eastAsia="宋体" w:cs="宋体"/>
          <w:b/>
          <w:bCs/>
          <w:color w:val="auto"/>
          <w:sz w:val="24"/>
          <w:szCs w:val="24"/>
          <w:lang w:eastAsia="zh-CN"/>
        </w:rPr>
        <w:t>及要求</w:t>
      </w:r>
      <w:r>
        <w:rPr>
          <w:rFonts w:hint="eastAsia" w:ascii="宋体" w:hAnsi="宋体" w:cs="宋体"/>
          <w:b/>
          <w:bCs/>
          <w:color w:val="auto"/>
          <w:sz w:val="24"/>
          <w:szCs w:val="24"/>
          <w:lang w:eastAsia="zh-CN"/>
        </w:rPr>
        <w:t>（实质性要求）</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1、服务内容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2022年我县重点支持粮油作物的关键环节，选择在地理水平较高、社会化服务基础较好,相对集中连片的永昌、永安、通泉、都贯、禹里镇5个乡(镇)实施农业生产社会化服务项目。2022年落实社会化服务共计6200亩(折合面积),其中，水稻施肥6000亩，病虫防治7000亩，全托管500亩;玉米施肥10700亩，病虫防治12000亩;油菜施肥2000亩，病虫防治5000亩，全托管400亩;大豆施肥4700亩，病虫防治5600亩。</w:t>
      </w:r>
      <w:r>
        <w:rPr>
          <w:rFonts w:hint="eastAsia" w:ascii="仿宋" w:hAnsi="仿宋" w:eastAsia="仿宋" w:cs="仿宋"/>
          <w:color w:val="auto"/>
          <w:sz w:val="24"/>
          <w:szCs w:val="24"/>
        </w:rPr>
        <w:t>关键环节如耕、种、防、收、烘干、秸秆综合利用和产后加工等社会化服务及全托管社会化服</w:t>
      </w:r>
      <w:r>
        <w:rPr>
          <w:rFonts w:hint="eastAsia" w:ascii="仿宋" w:hAnsi="仿宋" w:eastAsia="仿宋" w:cs="仿宋"/>
          <w:color w:val="auto"/>
          <w:sz w:val="24"/>
          <w:szCs w:val="24"/>
          <w:lang w:eastAsia="zh-CN"/>
        </w:rPr>
        <w:t>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2、服务要求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lang w:eastAsia="zh-CN"/>
        </w:rPr>
        <w:t>）水稻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水稻主要实施施肥、病虫防治两个环节，共计13500亩次，折合面积1800亩，补助金额22.1万元，主要在永昌镇、永安镇2个乡镇实施，其中永昌镇施肥共计6000亩，永昌镇、永安镇水稻病虫防治7000 亩，全托管永昌镇500亩。</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lang w:val="en-US" w:eastAsia="zh-CN"/>
        </w:rPr>
        <w:t>2</w:t>
      </w:r>
      <w:r>
        <w:rPr>
          <w:rFonts w:hint="eastAsia" w:ascii="仿宋" w:hAnsi="仿宋" w:eastAsia="仿宋" w:cs="仿宋"/>
          <w:b/>
          <w:bCs/>
          <w:color w:val="auto"/>
          <w:sz w:val="24"/>
          <w:szCs w:val="24"/>
          <w:lang w:eastAsia="zh-CN"/>
        </w:rPr>
        <w:t>）玉米</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bCs/>
          <w:color w:val="auto"/>
          <w:sz w:val="24"/>
          <w:szCs w:val="24"/>
          <w:lang w:eastAsia="zh-CN"/>
        </w:rPr>
      </w:pPr>
      <w:r>
        <w:rPr>
          <w:rFonts w:hint="eastAsia" w:ascii="仿宋" w:hAnsi="仿宋" w:eastAsia="仿宋" w:cs="仿宋"/>
          <w:b w:val="0"/>
          <w:bCs w:val="0"/>
          <w:color w:val="auto"/>
          <w:sz w:val="24"/>
          <w:szCs w:val="24"/>
          <w:lang w:eastAsia="zh-CN"/>
        </w:rPr>
        <w:t>玉米主要实施病虫防治、施肥2个环节，共计22700亩次，折合面积2270亩，补助金额27.24万元，主要在永昌镇、永安镇、通泉镇、禹里镇、都贯乡5个乡镇实施，其中永昌镇、禹里镇、都贯乡施肥10700亩，永安镇、永昌镇、通泉镇、禹里镇、都贯乡病虫害防治共12000亩。</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lang w:val="en-US" w:eastAsia="zh-CN"/>
        </w:rPr>
        <w:t>3</w:t>
      </w:r>
      <w:r>
        <w:rPr>
          <w:rFonts w:hint="eastAsia" w:ascii="仿宋" w:hAnsi="仿宋" w:eastAsia="仿宋" w:cs="仿宋"/>
          <w:b/>
          <w:bCs/>
          <w:color w:val="auto"/>
          <w:sz w:val="24"/>
          <w:szCs w:val="24"/>
          <w:lang w:eastAsia="zh-CN"/>
        </w:rPr>
        <w:t>）油菜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bCs/>
          <w:color w:val="auto"/>
          <w:sz w:val="24"/>
          <w:szCs w:val="24"/>
          <w:lang w:eastAsia="zh-CN"/>
        </w:rPr>
      </w:pPr>
      <w:r>
        <w:rPr>
          <w:rFonts w:hint="eastAsia" w:ascii="仿宋" w:hAnsi="仿宋" w:eastAsia="仿宋" w:cs="仿宋"/>
          <w:b w:val="0"/>
          <w:bCs w:val="0"/>
          <w:color w:val="auto"/>
          <w:sz w:val="24"/>
          <w:szCs w:val="24"/>
          <w:lang w:eastAsia="zh-CN"/>
        </w:rPr>
        <w:t>油菜主要施肥、施病虫防治环节及部分全托管，共计7400亩次，折合面积1100亩，补助金额12.3万元，主要在永安镇、通泉镇、禹里镇3个乡镇实施，其中禹里镇施肥2000亩，永昌镇、永安镇、禹里镇病虫害防治5000亩，全托管400亩。</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lang w:val="en-US" w:eastAsia="zh-CN"/>
        </w:rPr>
        <w:t>4</w:t>
      </w:r>
      <w:r>
        <w:rPr>
          <w:rFonts w:hint="eastAsia" w:ascii="仿宋" w:hAnsi="仿宋" w:eastAsia="仿宋" w:cs="仿宋"/>
          <w:b/>
          <w:bCs/>
          <w:color w:val="auto"/>
          <w:sz w:val="24"/>
          <w:szCs w:val="24"/>
          <w:lang w:eastAsia="zh-CN"/>
        </w:rPr>
        <w:t>）大豆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bCs/>
          <w:color w:val="auto"/>
          <w:sz w:val="24"/>
          <w:szCs w:val="24"/>
          <w:lang w:eastAsia="zh-CN"/>
        </w:rPr>
      </w:pPr>
      <w:r>
        <w:rPr>
          <w:rFonts w:hint="eastAsia" w:ascii="仿宋" w:hAnsi="仿宋" w:eastAsia="仿宋" w:cs="仿宋"/>
          <w:b w:val="0"/>
          <w:bCs w:val="0"/>
          <w:color w:val="auto"/>
          <w:sz w:val="24"/>
          <w:szCs w:val="24"/>
          <w:lang w:eastAsia="zh-CN"/>
        </w:rPr>
        <w:t>大豆主要实施病虫防治、施肥2个环节,共计10300亩次，折合面积1030亩，补助金额12.36万元，主要在永昌镇、曲山镇、通泉镇、禹里镇4个乡镇实施，其中永昌镇、禹里镇施肥2700亩，永安镇、永昌镇、通泉镇、禹里镇病虫防治共5600亩。</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sz w:val="24"/>
          <w:szCs w:val="24"/>
          <w:lang w:val="en-US" w:eastAsia="zh-CN"/>
        </w:rPr>
        <w:t>3、质量要求</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sz w:val="24"/>
          <w:szCs w:val="24"/>
          <w:lang w:val="en-US" w:eastAsia="zh-CN"/>
        </w:rPr>
        <w:t>（1）水稻服务质量要求</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sz w:val="24"/>
          <w:szCs w:val="24"/>
          <w:lang w:val="en-US" w:eastAsia="zh-CN"/>
        </w:rPr>
        <w:t>①水稻各环节服务质量要求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a.机耕的质量要求:即“平整、洁净、细碎、沉实”，且大田泥脚深度小于30cm，水深1-3cm。以保证立苗，减少漂秧，减少机械行走壅泥。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b.病虫防治的质量要求：重点防治螟虫、稻瘟病、稻曲病（根据情况，做好稻飞虱等迁飞性病虫应急防控），使用登记在该作物、该病害的药剂，至少使用一种及以上的生物农药，不使用违禁、违规农药。水稻螟虫螟害率4%以下，穗颈瘟病穗率4%以下，稻曲病病穗率4%以下，病虫综合损失在4%以下，农药包装废弃物回收率达100%，认定为防效达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c.机械化收割的质量要求：在完熟期收获，稻谷籽粒含水率在15～25%之间，收获时水稻叶面干燥，无露水；提倡用带茎秆切碎装置的全喂入收割机或半喂入联合收割机，留茬高度不超过10厘米；全喂入水稻联合收割机总损失率≤3%，破碎率≤2%；半喂入水稻联合收割机总损失率≤2.5%，破碎率≤0.5%。</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d.秸秆粉碎还田的质量要求：水稻割茬高度一般不超过15cm，将打碎的稻草还田。</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sz w:val="24"/>
          <w:szCs w:val="24"/>
          <w:lang w:val="en-US" w:eastAsia="zh-CN"/>
        </w:rPr>
        <w:t>②水稻全程托管服务的质量要求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a.水稻机耕的质量要求:即“平整、洁净、细碎、沉实”，且大田泥脚深度小于30cm，水深1-3cm。以保证立苗，减少漂秧，减少机械行走壅泥。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b.水稻机插秧的质量要求：机插要求插苗均匀，深浅一致，一般漏插率≤5%，伤秧率≤4%，漂秧率≤3%，相对均匀度≥85%，插秧深度在1～2厘米，以浅栽为宜，提高低节位分蘖。行要直，不漏插，不钩秧。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c.水稻机防的质量要求：重点防治螟虫、稻瘟病、稻曲病（根据情况，做好稻飞虱等迁飞性病虫应急防控），使用登记在该作物、该病害的药剂，至少使用一种及以上的生物农药，不使用违禁、违规农药。水稻螟虫螟害率4%以下，穗颈瘟病穗率4%以下，稻曲病病穗率4%以下，病虫综合损失在4%以下，农药包装废弃物回收率达100%，认定为防效达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d.水稻机收的质量要求：在完熟期收获，稻谷籽粒含水率在15～25%之间，收获时水稻叶面干燥，无露水；提倡用带茎秆切碎装置的全喂入收割机或半喂入联合收割机，留茬高度不超过10厘米；全喂入水稻联合收割机总损失率≤3%，破碎率≤2%；半喂入水稻联合收割机总损失率≤2.5%，破碎率≤0.5%。</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e.水稻叶面追肥质量要求：水稻全生育期结合防病叶面追肥，充分发挥飞机航化作业优势，扩大航化追肥面积，提高防病及追肥效果。可选择水稻营养生长期(7月10日前）叶面肥以酿造米醋、氨基酸类微肥为主，或者选择在水稻生殖生长期（7月10日后）以酿造米醋、磷酸二氢钾等促早熟微肥为主，严禁使用含氮量大的微肥。同时，积极推广叶面喷施硅肥、镁肥、硒肥等。</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（2）玉米服务质量要求</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sz w:val="24"/>
          <w:szCs w:val="24"/>
          <w:lang w:val="en-US" w:eastAsia="zh-CN"/>
        </w:rPr>
        <w:t>①玉米病虫防治服务的质量要求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重点防治玉米螟虫、玉米粘虫、玉米叶斑病、玉米纹枯病等，使用登记在该作物、该病害的药剂，不使用违禁、违规农药。病虫危害损失率控制在4%以下。</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sz w:val="24"/>
          <w:szCs w:val="24"/>
          <w:lang w:val="en-US" w:eastAsia="zh-CN"/>
        </w:rPr>
        <w:t>②玉米施叶面肥的质量要求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最佳施叶面肥时期是玉米苗长出6、7个叶子时期或者在玉米穗前一个星期（7天）。玉米叶面喷施肥料品种可选用尿素、磷酸二氢钾、过磷酸钙、硫酸钾、草木灰浸出液及一些微肥等用作叶面施肥效果较好，一般亩用肥液45公斤；而含氯离子、易挥发及难溶性肥料如碳铵、氯化铵，钙、镁、磷等不宜作叶面施肥使用。喷洒力求细致均匀，不漏喷、重喷，在早晨10时前及下午5时后喷洒，无风的阴天可以全天喷施。</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sz w:val="24"/>
          <w:szCs w:val="24"/>
          <w:lang w:val="en-US" w:eastAsia="zh-CN"/>
        </w:rPr>
        <w:t>（3）油菜服务质量要求</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sz w:val="24"/>
          <w:szCs w:val="24"/>
          <w:lang w:val="en-US" w:eastAsia="zh-CN"/>
        </w:rPr>
        <w:t>①油菜各环节服务质量要求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a.油菜病虫害防治的质量要求：重点防治油菜菌核病和蚜虫，兼治霜霉病，油菜菌核病病株率控制在5%以下，病虫危害损失率控制在4%以下。使用登记在该作物、该病害的药剂，不使用违禁、违规农药，农药包装废弃物回收率达100%认定为防效达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b.油菜机械化收割的质量要求：油菜成熟应适时收获，收净、脱净，损失率≤8%、含杂率≤5%。</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c.油菜秸秆粉碎还田质量要求：油菜割茬高度不超过20cm ,收割完毕后，将粉碎的油菜秸秆和果荚均匀地抛洒在田里。</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sz w:val="24"/>
          <w:szCs w:val="24"/>
          <w:lang w:val="en-US" w:eastAsia="zh-CN"/>
        </w:rPr>
        <w:t>②油菜全程托管服务质量要求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a.机耕质量要求：整地要求作到“平”、“细”、“实”。整地精细。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b.机播质量要求：适时播种，培育壮苗，适时移栽，施足基肥，合理密植，苗龄30-35天，大壮苗带土、带肥、带药移栽，不栽高足苗、弯足苗、瘦弱病害苗。移栽规格50cm×20cm，每亩定植7000株左右，边覆土边移栽，移栽完后及时浇定根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c.机防的质量要求：重点防治油菜菌核病和蚜虫，兼治霜霉病，油菜菌核病病株率控制在5%以下，不使用违禁、违规农药，农药包装废弃物回收率达100%认定为防效达标。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d.机收的质量要求：油菜成熟应适时收获，收净、脱净，损失率≤8%、含杂率≤5%。</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e.施叶面肥的质量要求：为了发棵壮苗，在5叶以下的油菜田追施尿素3-5公斤，促进油菜苗期生长。另外注意补施硼磷钾肥，对未施硼肥的田块亩补施硼肥1-1.5公斤，对未施磷钾肥的田块亩补施氯化钾5-8公斤或补施磷肥20-25公斤，或三元复合肥10-15公斤。</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sz w:val="24"/>
          <w:szCs w:val="24"/>
          <w:lang w:val="en-US" w:eastAsia="zh-CN"/>
        </w:rPr>
        <w:t>（4）大豆服务质量要求</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①大豆施肥服务质量要求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统筹考虑大豆玉米施肥，增施有机肥料，控制氮肥用量、保证磷钾肥用量，使用植物生长调节剂，控制大豆旺长，适当补充中微量元素。从施肥量看，带状复合种植亩施氮量比净作玉米、净作大豆的总施氮量可降低3—4公斤，但须保证玉米单株施氮量与净种相同，否则影响玉米单产。带状间作玉米选用高氮缓控释肥，每亩施用50—65公斤（折合纯氮14—18公斤/亩），大豆选用低氮缓控释肥，每亩施用15—20公斤（折合纯氮2—3公斤/亩）。带状套作播种玉米时每亩施20—25公斤玉米高氮专用配方肥，玉米大喇叭口期，距离玉米行20—25厘米处每亩追施配方肥40—50公斤（折合纯氮6—7公斤/亩），实现玉米、大豆肥料共用。净种施肥时，在播种时以种肥形式全部施入，肥料以玉米、大豆专用缓释肥或配方肥为主，利用2BYSF-4D型播种施肥机一次性完成播种施肥作业，玉米施肥器位于玉米带内15-20厘米开沟，大豆施肥器则在大豆带内行间开沟。</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②大豆病防治服务质量要求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重点防治大豆豆荚螟等，利用广谱生防菌剂等对玉米、大豆共有害虫进行“一施多治”。玉米大喇叭口或大豆花荚期病虫害发生较集中时，根据常发性害虫种类利用高效低毒农药与增效剂配合采用植保无人机统一飞防，达到一次施药、兼防多种病虫害的目标。病虫危害损失控制在5%以下，不使用违禁、违规农药，农药包装废弃物回收率达100%认定为防效达标。</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color w:val="auto"/>
          <w:sz w:val="24"/>
          <w:szCs w:val="24"/>
          <w:lang w:eastAsia="zh-CN"/>
        </w:rPr>
      </w:pPr>
      <w:r>
        <w:rPr>
          <w:rFonts w:hint="eastAsia" w:ascii="仿宋" w:hAnsi="仿宋" w:eastAsia="仿宋" w:cs="仿宋"/>
          <w:b/>
          <w:bCs/>
          <w:color w:val="auto"/>
          <w:sz w:val="24"/>
          <w:szCs w:val="24"/>
          <w:lang w:val="en-US" w:eastAsia="zh-CN"/>
        </w:rPr>
        <w:t>4、</w:t>
      </w:r>
      <w:r>
        <w:rPr>
          <w:rFonts w:hint="eastAsia" w:ascii="仿宋" w:hAnsi="仿宋" w:eastAsia="仿宋" w:cs="仿宋"/>
          <w:b/>
          <w:bCs/>
          <w:color w:val="auto"/>
          <w:sz w:val="24"/>
          <w:szCs w:val="24"/>
          <w:lang w:eastAsia="zh-CN"/>
        </w:rPr>
        <w:t>实施时间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2022年1</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月-2023年11月，实施农业生产社会化服务各环节。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2023年12月，完成考核和绩效评价。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5、</w:t>
      </w:r>
      <w:r>
        <w:rPr>
          <w:rFonts w:hint="eastAsia" w:ascii="仿宋" w:hAnsi="仿宋" w:eastAsia="仿宋" w:cs="仿宋"/>
          <w:b/>
          <w:bCs/>
          <w:kern w:val="0"/>
          <w:sz w:val="24"/>
          <w:szCs w:val="24"/>
          <w:lang w:bidi="ar"/>
        </w:rPr>
        <w:t>农业生产托管的服务组织应具备的标准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lang w:eastAsia="zh-CN"/>
        </w:rPr>
        <w:t>）申报主体营业执照经营范围认定有农业农机、植保或农业加工等服务资质，财务管理规范；（提供营业执照复印件加盖公章）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bCs/>
          <w:color w:val="auto"/>
          <w:sz w:val="24"/>
          <w:szCs w:val="24"/>
          <w:lang w:eastAsia="zh-CN"/>
        </w:rPr>
      </w:pP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lang w:eastAsia="zh-CN"/>
        </w:rPr>
        <w:t>）申报主体的移动作业机具须安装与农机作业远程信息化监测系统相匹配的监测设备，同时纳入中国农服平台或绵阳农服平台管理的，有固定的机械操作手和专职的技术人员；（提供相关证明材料加盖公章）</w:t>
      </w:r>
    </w:p>
    <w:p>
      <w:pPr>
        <w:pStyle w:val="6"/>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w:t>
      </w:r>
      <w:r>
        <w:rPr>
          <w:rFonts w:hint="eastAsia" w:ascii="仿宋" w:hAnsi="仿宋" w:eastAsia="仿宋" w:cs="仿宋"/>
          <w:sz w:val="24"/>
          <w:szCs w:val="24"/>
        </w:rPr>
        <w:t>有固定办公地点和机具存放场地，能够在约定时限内为项目区域小农户提供关键环节或全程服务</w:t>
      </w:r>
      <w:r>
        <w:rPr>
          <w:rFonts w:hint="eastAsia" w:ascii="仿宋" w:hAnsi="仿宋" w:eastAsia="仿宋" w:cs="仿宋"/>
          <w:sz w:val="24"/>
          <w:szCs w:val="24"/>
          <w:lang w:eastAsia="zh-CN"/>
        </w:rPr>
        <w:t>；（</w:t>
      </w:r>
      <w:r>
        <w:rPr>
          <w:rFonts w:hint="eastAsia" w:ascii="仿宋" w:hAnsi="仿宋" w:eastAsia="仿宋" w:cs="仿宋"/>
          <w:b w:val="0"/>
          <w:bCs w:val="0"/>
          <w:color w:val="auto"/>
          <w:sz w:val="24"/>
          <w:szCs w:val="24"/>
          <w:lang w:eastAsia="zh-CN"/>
        </w:rPr>
        <w:t>提供相关证明材料加盖公章</w:t>
      </w:r>
      <w:r>
        <w:rPr>
          <w:rFonts w:hint="eastAsia" w:ascii="仿宋" w:hAnsi="仿宋" w:eastAsia="仿宋" w:cs="仿宋"/>
          <w:sz w:val="24"/>
          <w:szCs w:val="24"/>
          <w:lang w:eastAsia="zh-CN"/>
        </w:rPr>
        <w:t>）</w:t>
      </w:r>
    </w:p>
    <w:p>
      <w:pPr>
        <w:pStyle w:val="6"/>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w:t>
      </w:r>
      <w:r>
        <w:rPr>
          <w:rFonts w:hint="eastAsia" w:ascii="仿宋" w:hAnsi="仿宋" w:eastAsia="仿宋" w:cs="仿宋"/>
          <w:sz w:val="24"/>
          <w:szCs w:val="24"/>
        </w:rPr>
        <w:t>具有一定的社会化服务经验，有完整的操作规程和完善的项目实施计划</w:t>
      </w:r>
      <w:r>
        <w:rPr>
          <w:rFonts w:hint="eastAsia" w:ascii="仿宋" w:hAnsi="仿宋" w:eastAsia="仿宋" w:cs="仿宋"/>
          <w:sz w:val="24"/>
          <w:szCs w:val="24"/>
          <w:lang w:eastAsia="zh-CN"/>
        </w:rPr>
        <w:t>；（提供至少一个类似农业生产社会化服务合同复印件加盖公章）</w:t>
      </w:r>
    </w:p>
    <w:p>
      <w:pPr>
        <w:pStyle w:val="6"/>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w:t>
      </w:r>
      <w:r>
        <w:rPr>
          <w:rFonts w:hint="eastAsia" w:ascii="仿宋" w:hAnsi="仿宋" w:eastAsia="仿宋" w:cs="仿宋"/>
          <w:sz w:val="24"/>
          <w:szCs w:val="24"/>
        </w:rPr>
        <w:t>在农民群众中享有良好的信誉，其所提供的服务在质量和价格方面受到服务对象的认可和好评</w:t>
      </w:r>
      <w:r>
        <w:rPr>
          <w:rFonts w:hint="eastAsia" w:ascii="仿宋" w:hAnsi="仿宋" w:eastAsia="仿宋" w:cs="仿宋"/>
          <w:sz w:val="24"/>
          <w:szCs w:val="24"/>
          <w:lang w:eastAsia="zh-CN"/>
        </w:rPr>
        <w:t>；（提供承诺函加盖公章）</w:t>
      </w:r>
    </w:p>
    <w:p>
      <w:pPr>
        <w:pStyle w:val="6"/>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6</w:t>
      </w:r>
      <w:r>
        <w:rPr>
          <w:rFonts w:hint="eastAsia" w:ascii="仿宋" w:hAnsi="仿宋" w:eastAsia="仿宋" w:cs="仿宋"/>
          <w:sz w:val="24"/>
          <w:szCs w:val="24"/>
          <w:lang w:eastAsia="zh-CN"/>
        </w:rPr>
        <w:t>）</w:t>
      </w:r>
      <w:r>
        <w:rPr>
          <w:rFonts w:hint="eastAsia" w:ascii="仿宋" w:hAnsi="仿宋" w:eastAsia="仿宋" w:cs="仿宋"/>
          <w:sz w:val="24"/>
          <w:szCs w:val="24"/>
        </w:rPr>
        <w:t>在全国企业信用信息公示系统中，未列入经营异常名录</w:t>
      </w:r>
      <w:r>
        <w:rPr>
          <w:rFonts w:hint="eastAsia" w:ascii="仿宋" w:hAnsi="仿宋" w:eastAsia="仿宋" w:cs="仿宋"/>
          <w:sz w:val="24"/>
          <w:szCs w:val="24"/>
          <w:lang w:eastAsia="zh-CN"/>
        </w:rPr>
        <w:t>；（提供信息公示系统截图加盖公章）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7</w:t>
      </w:r>
      <w:r>
        <w:rPr>
          <w:rFonts w:hint="eastAsia" w:ascii="仿宋" w:hAnsi="仿宋" w:eastAsia="仿宋" w:cs="仿宋"/>
          <w:sz w:val="24"/>
          <w:szCs w:val="24"/>
          <w:lang w:eastAsia="zh-CN"/>
        </w:rPr>
        <w:t>）</w:t>
      </w:r>
      <w:r>
        <w:rPr>
          <w:rFonts w:hint="eastAsia" w:ascii="仿宋" w:hAnsi="仿宋" w:eastAsia="仿宋" w:cs="仿宋"/>
          <w:sz w:val="24"/>
          <w:szCs w:val="24"/>
        </w:rPr>
        <w:t>采用大型机械、无人机等必须按要求安装与农机作业远程信息化监测系统相匹配的监测设备。</w:t>
      </w:r>
      <w:r>
        <w:rPr>
          <w:rFonts w:hint="eastAsia" w:ascii="仿宋" w:hAnsi="仿宋" w:eastAsia="仿宋" w:cs="仿宋"/>
          <w:sz w:val="24"/>
          <w:szCs w:val="24"/>
          <w:lang w:eastAsia="zh-CN"/>
        </w:rPr>
        <w:t>（</w:t>
      </w:r>
      <w:r>
        <w:rPr>
          <w:rFonts w:hint="eastAsia" w:ascii="仿宋" w:hAnsi="仿宋" w:eastAsia="仿宋" w:cs="仿宋"/>
          <w:b w:val="0"/>
          <w:bCs w:val="0"/>
          <w:color w:val="auto"/>
          <w:sz w:val="24"/>
          <w:szCs w:val="24"/>
          <w:lang w:eastAsia="zh-CN"/>
        </w:rPr>
        <w:t>提供相关证明材料加盖公章</w:t>
      </w:r>
      <w:r>
        <w:rPr>
          <w:rFonts w:hint="eastAsia" w:ascii="仿宋" w:hAnsi="仿宋" w:eastAsia="仿宋" w:cs="仿宋"/>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sz w:val="24"/>
          <w:szCs w:val="24"/>
          <w:lang w:eastAsia="zh-CN"/>
        </w:rPr>
      </w:pPr>
      <w:r>
        <w:rPr>
          <w:rFonts w:hint="eastAsia" w:ascii="宋体" w:hAnsi="宋体" w:cs="宋体"/>
          <w:b/>
          <w:bCs/>
          <w:sz w:val="24"/>
          <w:szCs w:val="24"/>
          <w:lang w:eastAsia="zh-CN"/>
        </w:rPr>
        <w:t>四</w:t>
      </w:r>
      <w:bookmarkStart w:id="0" w:name="_GoBack"/>
      <w:bookmarkEnd w:id="0"/>
      <w:r>
        <w:rPr>
          <w:rFonts w:hint="eastAsia" w:ascii="宋体" w:hAnsi="宋体" w:eastAsia="宋体" w:cs="宋体"/>
          <w:b/>
          <w:bCs/>
          <w:sz w:val="24"/>
          <w:szCs w:val="24"/>
          <w:lang w:eastAsia="zh-CN"/>
        </w:rPr>
        <w:t>、商务要求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1、服务期限：</w:t>
      </w:r>
      <w:r>
        <w:rPr>
          <w:rFonts w:hint="eastAsia" w:ascii="仿宋" w:hAnsi="仿宋" w:eastAsia="仿宋" w:cs="仿宋"/>
          <w:color w:val="auto"/>
          <w:sz w:val="24"/>
          <w:szCs w:val="24"/>
          <w:lang w:val="en-US" w:eastAsia="zh-CN"/>
        </w:rPr>
        <w:t>2022</w:t>
      </w:r>
      <w:r>
        <w:rPr>
          <w:rFonts w:hint="eastAsia" w:ascii="仿宋" w:hAnsi="仿宋" w:eastAsia="仿宋" w:cs="仿宋"/>
          <w:color w:val="auto"/>
          <w:sz w:val="24"/>
          <w:szCs w:val="24"/>
        </w:rPr>
        <w:t>年1</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月-2023年11月</w:t>
      </w:r>
      <w:r>
        <w:rPr>
          <w:rFonts w:hint="eastAsia" w:ascii="仿宋" w:hAnsi="仿宋" w:eastAsia="仿宋" w:cs="仿宋"/>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、服务地点：采购人</w:t>
      </w:r>
      <w:r>
        <w:rPr>
          <w:rFonts w:hint="eastAsia" w:ascii="仿宋" w:hAnsi="仿宋" w:eastAsia="仿宋" w:cs="仿宋"/>
          <w:color w:val="auto"/>
          <w:sz w:val="24"/>
          <w:szCs w:val="24"/>
          <w:lang w:eastAsia="zh-CN"/>
        </w:rPr>
        <w:t>指定</w:t>
      </w:r>
      <w:r>
        <w:rPr>
          <w:rFonts w:hint="eastAsia" w:ascii="仿宋" w:hAnsi="仿宋" w:eastAsia="仿宋" w:cs="仿宋"/>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、验收方式：</w:t>
      </w:r>
    </w:p>
    <w:p>
      <w:pPr>
        <w:pStyle w:val="5"/>
        <w:keepNext w:val="0"/>
        <w:keepLines w:val="0"/>
        <w:pageBreakBefore w:val="0"/>
        <w:widowControl w:val="0"/>
        <w:tabs>
          <w:tab w:val="left" w:pos="2475"/>
          <w:tab w:val="center" w:pos="4873"/>
        </w:tabs>
        <w:kinsoku/>
        <w:wordWrap/>
        <w:overflowPunct/>
        <w:topLinePunct w:val="0"/>
        <w:autoSpaceDE/>
        <w:autoSpaceDN/>
        <w:bidi w:val="0"/>
        <w:adjustRightInd/>
        <w:snapToGrid/>
        <w:spacing w:line="360" w:lineRule="auto"/>
        <w:ind w:firstLine="480" w:firstLineChars="200"/>
        <w:textAlignment w:val="auto"/>
        <w:outlineLvl w:val="0"/>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（1）按照项目实施时间要求完成后，由实施主体向甲方提出验收申请；</w:t>
      </w: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640"/>
        <w:textAlignment w:val="auto"/>
        <w:rPr>
          <w:rFonts w:ascii="仿宋" w:hAnsi="仿宋" w:eastAsia="仿宋" w:cs="仿宋"/>
          <w:color w:val="auto"/>
          <w:sz w:val="24"/>
          <w:szCs w:val="24"/>
        </w:rPr>
      </w:pPr>
      <w:r>
        <w:rPr>
          <w:rFonts w:hint="eastAsia" w:ascii="仿宋" w:hAnsi="仿宋" w:eastAsia="仿宋" w:cs="仿宋"/>
          <w:kern w:val="0"/>
          <w:sz w:val="24"/>
          <w:szCs w:val="24"/>
          <w:lang w:val="en-US" w:eastAsia="zh-CN" w:bidi="ar"/>
        </w:rPr>
        <w:t>（2）甲方按照该项目质量要求和验收标准、方法，</w:t>
      </w:r>
      <w:r>
        <w:rPr>
          <w:rStyle w:val="9"/>
          <w:rFonts w:hint="eastAsia" w:ascii="仿宋_GB2312" w:hAnsi="仿宋_GB2312" w:eastAsia="仿宋_GB2312" w:cs="仿宋_GB2312"/>
          <w:color w:val="auto"/>
          <w:kern w:val="21"/>
          <w:sz w:val="24"/>
          <w:szCs w:val="24"/>
          <w:highlight w:val="none"/>
          <w:lang w:val="en-US" w:eastAsia="zh-CN" w:bidi="ar-SA"/>
        </w:rPr>
        <w:t>在10个工作日内组织相关单位，依据绵阳农服平台的作业数据以及项目服务质量标准等进行验收，核验服务主体作业面积、作业轨迹、作业地块、作业照片等数据。验收合格的，出具验收报告并在项目实施的村进行公示，公示期不低于7个工作日，公示期间设立举报电话，主动接受社会、群众监督。对验收不合格的服务内容取消补助资格。</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、付款方式：</w:t>
      </w:r>
      <w:r>
        <w:rPr>
          <w:rFonts w:hint="eastAsia" w:ascii="仿宋" w:hAnsi="仿宋" w:eastAsia="仿宋" w:cs="仿宋"/>
          <w:sz w:val="24"/>
          <w:szCs w:val="24"/>
        </w:rPr>
        <w:t>签订项目合同后甲方根据合同约定按项目实施进度（双方约定的验收环节）验收合格后10日内，由实施主体开具正式发票甲方一次性支付该环节项目款项。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RlYjZjMjk1MjQ0ZmE3YmQ0NjAzZmIwZTJiZmJmOGEifQ=="/>
  </w:docVars>
  <w:rsids>
    <w:rsidRoot w:val="49372BE2"/>
    <w:rsid w:val="36F423F0"/>
    <w:rsid w:val="49372B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line="360" w:lineRule="auto"/>
      <w:ind w:firstLine="480" w:firstLineChars="200"/>
    </w:pPr>
    <w:rPr>
      <w:rFonts w:ascii="宋体" w:hAnsi="宋体"/>
      <w:sz w:val="24"/>
    </w:rPr>
  </w:style>
  <w:style w:type="paragraph" w:styleId="4">
    <w:name w:val="Normal Indent"/>
    <w:basedOn w:val="1"/>
    <w:next w:val="1"/>
    <w:unhideWhenUsed/>
    <w:qFormat/>
    <w:uiPriority w:val="0"/>
    <w:pPr>
      <w:ind w:firstLine="420" w:firstLineChars="200"/>
    </w:pPr>
  </w:style>
  <w:style w:type="paragraph" w:styleId="5">
    <w:name w:val="Plain Text"/>
    <w:basedOn w:val="1"/>
    <w:qFormat/>
    <w:uiPriority w:val="0"/>
    <w:rPr>
      <w:rFonts w:ascii="宋体" w:hAnsi="Courier New"/>
    </w:rPr>
  </w:style>
  <w:style w:type="paragraph" w:styleId="6">
    <w:name w:val="Body Text Indent 2"/>
    <w:basedOn w:val="1"/>
    <w:next w:val="1"/>
    <w:qFormat/>
    <w:uiPriority w:val="0"/>
    <w:pPr>
      <w:spacing w:after="120" w:line="480" w:lineRule="auto"/>
      <w:ind w:left="420" w:leftChars="200"/>
    </w:pPr>
  </w:style>
  <w:style w:type="character" w:customStyle="1" w:styleId="9">
    <w:name w:val="NormalCharacter"/>
    <w:semiHidden/>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4265</Words>
  <Characters>4578</Characters>
  <Lines>0</Lines>
  <Paragraphs>0</Paragraphs>
  <TotalTime>0</TotalTime>
  <ScaleCrop>false</ScaleCrop>
  <LinksUpToDate>false</LinksUpToDate>
  <CharactersWithSpaces>4581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2022-11-11T02:21:00Z</dcterms:created>
  <dc:creator>Tsing Yi</dc:creator>
  <cp:lastModifiedBy>Tsing Yi</cp:lastModifiedBy>
  <dcterms:modified xsi:type="dcterms:W3CDTF">2022-11-11T02:24:47Z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6914F78DEEE34075BD67EACDB6F8A9B2</vt:lpwstr>
  </property>
</Properties>
</file>