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仿宋" w:hAnsi="仿宋" w:eastAsia="仿宋" w:cs="仿宋"/>
          <w:b/>
          <w:bCs/>
          <w:sz w:val="32"/>
          <w:szCs w:val="40"/>
          <w:lang w:eastAsia="zh-CN"/>
        </w:rPr>
      </w:pPr>
      <w:r>
        <w:rPr>
          <w:rFonts w:hint="eastAsia" w:ascii="仿宋" w:hAnsi="仿宋" w:eastAsia="仿宋" w:cs="仿宋"/>
          <w:b/>
          <w:bCs/>
          <w:sz w:val="32"/>
          <w:szCs w:val="40"/>
          <w:lang w:eastAsia="zh-CN"/>
        </w:rPr>
        <w:t>遵义市第二中学安防设施建设项目</w:t>
      </w:r>
    </w:p>
    <w:p>
      <w:pPr>
        <w:numPr>
          <w:ilvl w:val="0"/>
          <w:numId w:val="0"/>
        </w:numPr>
        <w:jc w:val="center"/>
        <w:rPr>
          <w:rFonts w:hint="eastAsia" w:ascii="仿宋" w:hAnsi="仿宋" w:eastAsia="仿宋" w:cs="仿宋"/>
          <w:b/>
          <w:bCs/>
          <w:sz w:val="32"/>
          <w:szCs w:val="40"/>
          <w:lang w:eastAsia="zh-CN"/>
        </w:rPr>
      </w:pPr>
      <w:r>
        <w:rPr>
          <w:rFonts w:hint="eastAsia" w:ascii="仿宋" w:hAnsi="仿宋" w:eastAsia="仿宋" w:cs="仿宋"/>
          <w:b/>
          <w:bCs/>
          <w:sz w:val="32"/>
          <w:szCs w:val="40"/>
          <w:lang w:eastAsia="zh-CN"/>
        </w:rPr>
        <w:t>需求公示</w:t>
      </w:r>
    </w:p>
    <w:p>
      <w:pPr>
        <w:numPr>
          <w:ilvl w:val="0"/>
          <w:numId w:val="0"/>
        </w:numPr>
        <w:jc w:val="both"/>
        <w:rPr>
          <w:rFonts w:hint="eastAsia" w:ascii="仿宋" w:hAnsi="仿宋" w:eastAsia="仿宋" w:cs="仿宋"/>
          <w:b/>
          <w:bCs/>
          <w:sz w:val="32"/>
          <w:szCs w:val="40"/>
          <w:lang w:eastAsia="zh-CN"/>
        </w:rPr>
      </w:pPr>
      <w:r>
        <w:rPr>
          <w:rFonts w:hint="eastAsia" w:ascii="仿宋" w:hAnsi="仿宋" w:eastAsia="仿宋" w:cs="仿宋"/>
          <w:b/>
          <w:bCs/>
          <w:sz w:val="32"/>
          <w:szCs w:val="40"/>
          <w:lang w:val="en-US" w:eastAsia="zh-CN"/>
        </w:rPr>
        <w:t>一、</w:t>
      </w:r>
      <w:r>
        <w:rPr>
          <w:rFonts w:hint="eastAsia" w:ascii="仿宋" w:hAnsi="仿宋" w:eastAsia="仿宋" w:cs="仿宋"/>
          <w:b/>
          <w:bCs/>
          <w:sz w:val="32"/>
          <w:szCs w:val="40"/>
          <w:lang w:eastAsia="zh-CN"/>
        </w:rPr>
        <w:t>申请人的基本资格要求：</w:t>
      </w:r>
    </w:p>
    <w:p>
      <w:pPr>
        <w:spacing w:line="360" w:lineRule="auto"/>
        <w:ind w:right="59" w:rightChars="27" w:firstLine="480" w:firstLineChars="200"/>
        <w:rPr>
          <w:rFonts w:hint="eastAsia" w:ascii="仿宋" w:hAnsi="仿宋" w:eastAsia="仿宋" w:cs="仿宋"/>
          <w:sz w:val="24"/>
          <w:szCs w:val="24"/>
        </w:rPr>
      </w:pPr>
      <w:bookmarkStart w:id="0" w:name="_Toc28359014"/>
      <w:bookmarkStart w:id="1" w:name="_Toc28359091"/>
      <w:r>
        <w:rPr>
          <w:rFonts w:hint="eastAsia" w:ascii="仿宋" w:hAnsi="仿宋" w:eastAsia="仿宋" w:cs="仿宋"/>
          <w:sz w:val="24"/>
          <w:szCs w:val="24"/>
        </w:rPr>
        <w:t xml:space="preserve">（1）具有独立承担民事责任的能力：提供法人或其他组织的营业执照等证明文件，或自然人身份证明； </w:t>
      </w:r>
    </w:p>
    <w:p>
      <w:pPr>
        <w:spacing w:line="360" w:lineRule="auto"/>
        <w:ind w:right="59" w:rightChars="27" w:firstLine="480" w:firstLineChars="200"/>
        <w:rPr>
          <w:rFonts w:hint="eastAsia" w:ascii="仿宋" w:hAnsi="仿宋" w:eastAsia="仿宋" w:cs="仿宋"/>
          <w:sz w:val="24"/>
          <w:szCs w:val="24"/>
        </w:rPr>
      </w:pPr>
      <w:r>
        <w:rPr>
          <w:rFonts w:hint="eastAsia" w:ascii="仿宋" w:hAnsi="仿宋" w:eastAsia="仿宋" w:cs="仿宋"/>
          <w:sz w:val="24"/>
          <w:szCs w:val="24"/>
        </w:rPr>
        <w:t>（2） 具有良好的商业信誉和健全的财务会计制度：提供202</w:t>
      </w:r>
      <w:r>
        <w:rPr>
          <w:rFonts w:hint="eastAsia" w:ascii="仿宋" w:hAnsi="仿宋" w:eastAsia="仿宋" w:cs="仿宋"/>
          <w:sz w:val="24"/>
          <w:szCs w:val="24"/>
          <w:lang w:val="en-US" w:eastAsia="zh-CN"/>
        </w:rPr>
        <w:t>2</w:t>
      </w:r>
      <w:r>
        <w:rPr>
          <w:rFonts w:hint="eastAsia" w:ascii="仿宋" w:hAnsi="仿宋" w:eastAsia="仿宋" w:cs="仿宋"/>
          <w:sz w:val="24"/>
          <w:szCs w:val="24"/>
        </w:rPr>
        <w:t>年度或者202</w:t>
      </w:r>
      <w:r>
        <w:rPr>
          <w:rFonts w:hint="eastAsia" w:ascii="仿宋" w:hAnsi="仿宋" w:eastAsia="仿宋" w:cs="仿宋"/>
          <w:sz w:val="24"/>
          <w:szCs w:val="24"/>
          <w:lang w:val="en-US" w:eastAsia="zh-CN"/>
        </w:rPr>
        <w:t>3</w:t>
      </w:r>
      <w:r>
        <w:rPr>
          <w:rFonts w:hint="eastAsia" w:ascii="仿宋" w:hAnsi="仿宋" w:eastAsia="仿宋" w:cs="仿宋"/>
          <w:sz w:val="24"/>
          <w:szCs w:val="24"/>
        </w:rPr>
        <w:t>年度的财务报告复印件或近期财务报表复印件或银行出具的资信证明复印件</w:t>
      </w:r>
    </w:p>
    <w:p>
      <w:pPr>
        <w:spacing w:line="360" w:lineRule="auto"/>
        <w:ind w:right="59" w:rightChars="27" w:firstLine="480" w:firstLineChars="200"/>
        <w:rPr>
          <w:rFonts w:hint="eastAsia" w:ascii="仿宋" w:hAnsi="仿宋" w:eastAsia="仿宋" w:cs="仿宋"/>
          <w:sz w:val="24"/>
          <w:szCs w:val="24"/>
        </w:rPr>
      </w:pPr>
      <w:r>
        <w:rPr>
          <w:rFonts w:hint="eastAsia" w:ascii="仿宋" w:hAnsi="仿宋" w:eastAsia="仿宋" w:cs="仿宋"/>
          <w:sz w:val="24"/>
          <w:szCs w:val="24"/>
        </w:rPr>
        <w:t xml:space="preserve">（3）具有履行合同所必需的设备和专业技术能力：提供承诺函（格式自拟）； </w:t>
      </w:r>
    </w:p>
    <w:p>
      <w:pPr>
        <w:spacing w:line="360" w:lineRule="auto"/>
        <w:ind w:right="59" w:rightChars="27" w:firstLine="480" w:firstLineChars="200"/>
        <w:rPr>
          <w:rFonts w:hint="eastAsia" w:ascii="仿宋" w:hAnsi="仿宋" w:eastAsia="仿宋" w:cs="仿宋"/>
          <w:sz w:val="24"/>
          <w:szCs w:val="24"/>
        </w:rPr>
      </w:pPr>
      <w:r>
        <w:rPr>
          <w:rFonts w:hint="eastAsia" w:ascii="仿宋" w:hAnsi="仿宋" w:eastAsia="仿宋" w:cs="仿宋"/>
          <w:sz w:val="24"/>
          <w:szCs w:val="24"/>
        </w:rPr>
        <w:t>（4）具有依法缴纳税收和社会保障资金的良好记录：</w:t>
      </w:r>
      <w:r>
        <w:rPr>
          <w:rFonts w:hint="eastAsia" w:ascii="仿宋" w:hAnsi="仿宋" w:eastAsia="仿宋" w:cs="仿宋"/>
          <w:sz w:val="24"/>
          <w:szCs w:val="24"/>
          <w:lang w:eastAsia="zh-CN"/>
        </w:rPr>
        <w:t>提供202</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年至今任意三个月</w:t>
      </w:r>
      <w:r>
        <w:rPr>
          <w:rFonts w:hint="eastAsia" w:ascii="仿宋" w:hAnsi="仿宋" w:eastAsia="仿宋" w:cs="仿宋"/>
          <w:sz w:val="24"/>
          <w:szCs w:val="24"/>
        </w:rPr>
        <w:t xml:space="preserve">的依法缴纳税收（依法免税的供应商须提供相应证明文件）和社会保障资金的有效证明材料； </w:t>
      </w:r>
    </w:p>
    <w:p>
      <w:pPr>
        <w:spacing w:line="360" w:lineRule="auto"/>
        <w:ind w:right="59" w:rightChars="27" w:firstLine="480" w:firstLineChars="200"/>
        <w:rPr>
          <w:rFonts w:hint="eastAsia" w:ascii="仿宋" w:hAnsi="仿宋" w:eastAsia="仿宋" w:cs="仿宋"/>
          <w:sz w:val="24"/>
          <w:szCs w:val="24"/>
        </w:rPr>
      </w:pPr>
      <w:r>
        <w:rPr>
          <w:rFonts w:hint="eastAsia" w:ascii="仿宋" w:hAnsi="仿宋" w:eastAsia="仿宋" w:cs="仿宋"/>
          <w:sz w:val="24"/>
          <w:szCs w:val="24"/>
        </w:rPr>
        <w:t>（5）参加本次政府采购活动前三年内，在经营活动中没有违法违规记录：提供声明（格式自拟）</w:t>
      </w:r>
    </w:p>
    <w:p>
      <w:pPr>
        <w:spacing w:line="360" w:lineRule="auto"/>
        <w:ind w:right="59" w:rightChars="27" w:firstLine="480" w:firstLineChars="200"/>
        <w:rPr>
          <w:rFonts w:hint="eastAsia" w:ascii="仿宋" w:hAnsi="仿宋" w:eastAsia="仿宋" w:cs="仿宋"/>
          <w:sz w:val="24"/>
          <w:szCs w:val="24"/>
        </w:rPr>
      </w:pPr>
      <w:r>
        <w:rPr>
          <w:rFonts w:hint="eastAsia" w:ascii="仿宋" w:hAnsi="仿宋" w:eastAsia="仿宋" w:cs="仿宋"/>
          <w:sz w:val="24"/>
          <w:szCs w:val="24"/>
        </w:rPr>
        <w:t>（6）法律、行政法规规定的其他条件：参加本次政府采购活动前没有被列入失信被执行人、重大税收违法案件当事人名单或执行期已结束。（代理机构在投标截止时间后登陆“信用中国”查询，查询起止时间：投标截止时间前三年内）</w:t>
      </w:r>
    </w:p>
    <w:p>
      <w:pPr>
        <w:spacing w:line="360" w:lineRule="auto"/>
        <w:ind w:right="59" w:rightChars="27" w:firstLine="482" w:firstLineChars="200"/>
        <w:rPr>
          <w:rFonts w:hint="eastAsia" w:eastAsia="仿宋"/>
          <w:color w:val="auto"/>
          <w:sz w:val="21"/>
          <w:szCs w:val="20"/>
          <w:lang w:eastAsia="zh-CN" w:bidi="zh-CN"/>
        </w:rPr>
      </w:pPr>
      <w:r>
        <w:rPr>
          <w:rFonts w:hint="eastAsia" w:ascii="仿宋" w:hAnsi="仿宋" w:eastAsia="仿宋" w:cs="仿宋"/>
          <w:b/>
          <w:bCs/>
          <w:color w:val="auto"/>
          <w:sz w:val="24"/>
          <w:szCs w:val="24"/>
          <w:lang w:val="en-US" w:eastAsia="zh-CN"/>
        </w:rPr>
        <w:t>（7）</w:t>
      </w:r>
      <w:r>
        <w:rPr>
          <w:rFonts w:hint="eastAsia" w:ascii="仿宋" w:hAnsi="仿宋" w:eastAsia="仿宋" w:cs="仿宋"/>
          <w:b/>
          <w:bCs/>
          <w:color w:val="auto"/>
          <w:sz w:val="24"/>
          <w:szCs w:val="24"/>
        </w:rPr>
        <w:t>本项目的特定资格要求：供应商须是具备建筑工程施工总承包</w:t>
      </w:r>
      <w:r>
        <w:rPr>
          <w:rFonts w:hint="eastAsia" w:ascii="仿宋" w:hAnsi="仿宋" w:eastAsia="仿宋" w:cs="仿宋"/>
          <w:b/>
          <w:bCs/>
          <w:color w:val="auto"/>
          <w:sz w:val="24"/>
          <w:szCs w:val="24"/>
          <w:lang w:val="en-US" w:eastAsia="zh-CN"/>
        </w:rPr>
        <w:t>贰</w:t>
      </w:r>
      <w:r>
        <w:rPr>
          <w:rFonts w:hint="eastAsia" w:ascii="仿宋" w:hAnsi="仿宋" w:eastAsia="仿宋" w:cs="仿宋"/>
          <w:b/>
          <w:bCs/>
          <w:color w:val="auto"/>
          <w:sz w:val="24"/>
          <w:szCs w:val="24"/>
        </w:rPr>
        <w:t>级以上（含</w:t>
      </w:r>
      <w:r>
        <w:rPr>
          <w:rFonts w:hint="eastAsia" w:ascii="仿宋" w:hAnsi="仿宋" w:eastAsia="仿宋" w:cs="仿宋"/>
          <w:b/>
          <w:bCs/>
          <w:color w:val="auto"/>
          <w:sz w:val="24"/>
          <w:szCs w:val="24"/>
          <w:lang w:val="en-US" w:eastAsia="zh-CN"/>
        </w:rPr>
        <w:t>贰</w:t>
      </w:r>
      <w:r>
        <w:rPr>
          <w:rFonts w:hint="eastAsia" w:ascii="仿宋" w:hAnsi="仿宋" w:eastAsia="仿宋" w:cs="仿宋"/>
          <w:b/>
          <w:bCs/>
          <w:color w:val="auto"/>
          <w:sz w:val="24"/>
          <w:szCs w:val="24"/>
        </w:rPr>
        <w:t>级）资质，并在人员、设备、资金等方面具有相应的施工能力，具备有效的安全生产考核合格证书，且承担本项目的项目经理未担任其他在建建设工程项目的经理：提供有效的安全生产考核合格证书复印件。</w:t>
      </w:r>
    </w:p>
    <w:p>
      <w:pPr>
        <w:spacing w:line="360" w:lineRule="auto"/>
        <w:ind w:right="59" w:rightChars="27"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.落实政府采购政策需满足的资格要求：</w:t>
      </w:r>
    </w:p>
    <w:bookmarkEnd w:id="0"/>
    <w:bookmarkEnd w:id="1"/>
    <w:p>
      <w:pPr>
        <w:spacing w:line="360" w:lineRule="auto"/>
        <w:ind w:right="59" w:rightChars="27"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（1）根据《遵义市财政局关于印发 &lt;政府采购营商环境整改提升工作方案&gt;》（遵财采〔2022〕17号）、《遵义市财政局关于转发&lt;关于进一步加大政府采购支持中小企业力度的通知&gt;的通知》（遵财采〔2022〕37号）文件规定，采购项目中标企业为小微企业（享受小微企业政策的）的，不收取履约保证金。</w:t>
      </w:r>
    </w:p>
    <w:p>
      <w:pPr>
        <w:spacing w:line="360" w:lineRule="auto"/>
        <w:ind w:right="59" w:rightChars="27"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根据《遵义市财政局关于转发&lt;关于进一步加大政府采购支持中小企业力度的通知&gt;的通知》（遵财采〔2022〕37号）文件规定，对未预留份额专门面向中小企业采购的产品或服务的价格给予20%的扣除，但须提供《中小企业声明函》；</w:t>
      </w:r>
    </w:p>
    <w:p>
      <w:pPr>
        <w:spacing w:line="360" w:lineRule="auto"/>
        <w:ind w:right="59" w:rightChars="27"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（3）根据《遵义市财政局关于印发&lt;政府采购营商环境整改提升工作方案&gt; 》（遵财采〔2022〕17号）、《遵义市财政局关于转发&lt;关于进一步加大政府采购支持中小企业力度的通知&gt; 的通知》（遵财采〔2022〕37号）文件规定, 符合条件的残疾人福利性单位视同小型、微型企业在投标中享受同等优惠，但须提供《残疾人福利性单位声明函》。注：残疾人福利性单位属于中小企业的，不重复享受政策。</w:t>
      </w:r>
    </w:p>
    <w:p>
      <w:pPr>
        <w:spacing w:line="360" w:lineRule="auto"/>
        <w:ind w:right="59" w:rightChars="27"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（4）根据《遵义市财政局关于印发&lt;政府采购营商环境整改提升工作方案&gt; 》（遵财采〔2022〕17号）、《遵义市财政局关于转发&lt;关于进一步加大政府采购支持中小企业力度的通知&gt;的通知》（遵财采〔2022〕37号）文件规定，对原产地在少数民族自治区和享受少数民族自治待遇的省份的投标主产品（不含附带产品），享受政策性加分和价格扣除优惠，即采用综合评分法或性价比法进行评审的，在总得分基础上加3分（以当地管理部门出具的证明为准）。注：享受少数民族自治待遇的省份为：云南、贵州、青海。</w:t>
      </w:r>
    </w:p>
    <w:p>
      <w:pPr>
        <w:spacing w:line="360" w:lineRule="auto"/>
        <w:ind w:right="59" w:rightChars="27"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（5）根据《遵义市财政局关于印发  &lt;政府采购营商环境整改提升工作方案&gt; 》（遵财采〔2022〕17号）、《遵义市财政局关于转发&lt;关于进一步加大政府采购支持中小企业力度的通知&gt; 的通知》（遵财采〔2022〕37号）文件规定，监狱企业视同小型、微型企业（以当地管理部门出具的证明为准）。</w:t>
      </w:r>
    </w:p>
    <w:p>
      <w:pPr>
        <w:spacing w:line="360" w:lineRule="auto"/>
        <w:ind w:right="59" w:rightChars="27" w:firstLine="480" w:firstLineChars="200"/>
        <w:rPr>
          <w:rFonts w:hint="default" w:eastAsia="仿宋"/>
          <w:color w:val="auto"/>
          <w:lang w:val="en-US" w:eastAsia="zh-CN"/>
        </w:rPr>
      </w:pPr>
      <w:r>
        <w:rPr>
          <w:rFonts w:hint="eastAsia" w:ascii="仿宋" w:hAnsi="仿宋" w:eastAsia="仿宋" w:cs="仿宋"/>
          <w:b w:val="0"/>
          <w:bCs w:val="0"/>
          <w:color w:val="auto"/>
          <w:sz w:val="24"/>
          <w:szCs w:val="24"/>
          <w:lang w:val="en-US" w:eastAsia="zh-CN"/>
        </w:rPr>
        <w:t>（6）</w:t>
      </w:r>
      <w:r>
        <w:rPr>
          <w:rFonts w:hint="eastAsia" w:ascii="仿宋" w:hAnsi="仿宋" w:eastAsia="仿宋" w:cs="仿宋"/>
          <w:color w:val="auto"/>
          <w:sz w:val="24"/>
          <w:szCs w:val="24"/>
          <w:lang w:val="en-US" w:eastAsia="zh-CN"/>
        </w:rPr>
        <w:t>本项目是专门面向中小企业采购，只允许中小微企业参与投标，中小微企业需出具相应的声明函；中小微企业的分类标分准按照工信部统计局发改委财政部四部委印发中小企业划型标准规定的通知（工信部联企业〔2011〕300号）文件执行，根据财政部发布《政府采购促进中小企业发展政策问答》，专门面向中小企业采购的项目或者采购包，不再执行价格评审优惠的扶持政策。</w:t>
      </w:r>
    </w:p>
    <w:p>
      <w:pPr>
        <w:pStyle w:val="11"/>
        <w:keepNext w:val="0"/>
        <w:keepLines w:val="0"/>
        <w:pageBreakBefore w:val="0"/>
        <w:widowControl/>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color w:val="000000"/>
          <w:sz w:val="24"/>
          <w:szCs w:val="24"/>
          <w:highlight w:val="none"/>
          <w:u w:val="single"/>
          <w:lang w:eastAsia="zh-CN"/>
        </w:rPr>
      </w:pPr>
    </w:p>
    <w:p>
      <w:pPr>
        <w:numPr>
          <w:ilvl w:val="0"/>
          <w:numId w:val="0"/>
        </w:numPr>
        <w:jc w:val="left"/>
        <w:rPr>
          <w:rFonts w:hint="eastAsia" w:ascii="楷体" w:hAnsi="楷体" w:eastAsia="楷体" w:cs="楷体"/>
          <w:b/>
          <w:bCs/>
          <w:sz w:val="32"/>
          <w:szCs w:val="40"/>
          <w:lang w:val="en-US" w:eastAsia="zh-CN"/>
        </w:rPr>
      </w:pPr>
    </w:p>
    <w:p>
      <w:pPr>
        <w:numPr>
          <w:ilvl w:val="0"/>
          <w:numId w:val="0"/>
        </w:numPr>
        <w:jc w:val="left"/>
        <w:rPr>
          <w:rFonts w:hint="eastAsia" w:ascii="楷体" w:hAnsi="楷体" w:eastAsia="楷体" w:cs="楷体"/>
          <w:b/>
          <w:bCs/>
          <w:sz w:val="32"/>
          <w:szCs w:val="40"/>
          <w:lang w:val="en-US" w:eastAsia="zh-CN"/>
        </w:rPr>
        <w:sectPr>
          <w:pgSz w:w="11920" w:h="16850"/>
          <w:pgMar w:top="1460" w:right="860" w:bottom="380" w:left="1160" w:header="0" w:footer="194" w:gutter="0"/>
          <w:cols w:space="720" w:num="1"/>
        </w:sectPr>
      </w:pPr>
    </w:p>
    <w:p>
      <w:pPr>
        <w:numPr>
          <w:ilvl w:val="0"/>
          <w:numId w:val="0"/>
        </w:numPr>
        <w:spacing w:line="480" w:lineRule="auto"/>
        <w:ind w:leftChars="0"/>
        <w:jc w:val="left"/>
        <w:rPr>
          <w:rFonts w:hint="eastAsia" w:ascii="楷体" w:hAnsi="楷体" w:eastAsia="楷体" w:cs="楷体"/>
          <w:b/>
          <w:bCs/>
          <w:sz w:val="32"/>
          <w:szCs w:val="40"/>
          <w:lang w:val="en-US" w:eastAsia="zh-CN"/>
        </w:rPr>
      </w:pPr>
      <w:r>
        <w:rPr>
          <w:rFonts w:hint="eastAsia" w:ascii="楷体" w:hAnsi="楷体" w:eastAsia="楷体" w:cs="楷体"/>
          <w:b/>
          <w:bCs/>
          <w:sz w:val="32"/>
          <w:szCs w:val="40"/>
          <w:lang w:val="en-US" w:eastAsia="zh-CN"/>
        </w:rPr>
        <w:t>二、采购内容（详见附件）</w:t>
      </w:r>
    </w:p>
    <w:p>
      <w:pPr>
        <w:numPr>
          <w:ilvl w:val="0"/>
          <w:numId w:val="0"/>
        </w:numPr>
        <w:jc w:val="left"/>
        <w:rPr>
          <w:rFonts w:hint="eastAsia" w:ascii="楷体" w:hAnsi="楷体" w:eastAsia="楷体" w:cs="楷体"/>
          <w:b/>
          <w:bCs/>
          <w:sz w:val="32"/>
          <w:szCs w:val="40"/>
          <w:lang w:val="en-US" w:eastAsia="zh-CN"/>
        </w:rPr>
        <w:sectPr>
          <w:pgSz w:w="11920" w:h="16850"/>
          <w:pgMar w:top="1460" w:right="860" w:bottom="380" w:left="1160" w:header="0" w:footer="194" w:gutter="0"/>
          <w:cols w:space="720" w:num="1"/>
        </w:sectPr>
      </w:pPr>
    </w:p>
    <w:p>
      <w:pPr>
        <w:pStyle w:val="11"/>
        <w:numPr>
          <w:ilvl w:val="0"/>
          <w:numId w:val="0"/>
        </w:numPr>
        <w:ind w:leftChars="0"/>
        <w:rPr>
          <w:rFonts w:hint="eastAsia" w:ascii="楷体" w:hAnsi="楷体" w:eastAsia="楷体" w:cs="楷体"/>
          <w:b/>
          <w:bCs/>
          <w:sz w:val="32"/>
          <w:szCs w:val="40"/>
          <w:lang w:val="en-US" w:eastAsia="zh-CN"/>
        </w:rPr>
      </w:pPr>
      <w:r>
        <w:rPr>
          <w:rFonts w:hint="eastAsia" w:ascii="楷体" w:hAnsi="楷体" w:eastAsia="楷体" w:cs="楷体"/>
          <w:b/>
          <w:bCs/>
          <w:sz w:val="32"/>
          <w:szCs w:val="40"/>
          <w:lang w:val="en-US" w:eastAsia="zh-CN"/>
        </w:rPr>
        <w:t>三、</w:t>
      </w:r>
      <w:r>
        <w:rPr>
          <w:rFonts w:hint="eastAsia" w:ascii="仿宋" w:hAnsi="仿宋" w:eastAsia="仿宋" w:cs="仿宋"/>
          <w:b/>
          <w:bCs/>
          <w:color w:val="auto"/>
          <w:sz w:val="36"/>
          <w:szCs w:val="36"/>
        </w:rPr>
        <w:t>评审办法</w:t>
      </w:r>
      <w:r>
        <w:rPr>
          <w:rFonts w:hint="eastAsia" w:ascii="楷体" w:hAnsi="楷体" w:eastAsia="楷体" w:cs="楷体"/>
          <w:b/>
          <w:bCs/>
          <w:sz w:val="32"/>
          <w:szCs w:val="40"/>
          <w:lang w:val="en-US" w:eastAsia="zh-CN"/>
        </w:rPr>
        <w:t>：</w:t>
      </w:r>
    </w:p>
    <w:p>
      <w:pPr>
        <w:pStyle w:val="4"/>
        <w:ind w:left="0" w:right="59" w:rightChars="27" w:firstLine="723" w:firstLineChars="300"/>
        <w:rPr>
          <w:rFonts w:hint="eastAsia" w:ascii="仿宋" w:hAnsi="仿宋" w:eastAsia="仿宋" w:cs="仿宋"/>
          <w:color w:val="000000"/>
        </w:rPr>
      </w:pPr>
      <w:r>
        <w:rPr>
          <w:rFonts w:hint="eastAsia" w:ascii="仿宋" w:hAnsi="仿宋" w:eastAsia="仿宋" w:cs="仿宋"/>
          <w:color w:val="000000"/>
        </w:rPr>
        <w:t>第一节 评标标准及办法</w:t>
      </w:r>
    </w:p>
    <w:p>
      <w:pPr>
        <w:pStyle w:val="6"/>
        <w:spacing w:before="168"/>
        <w:ind w:left="256" w:right="59" w:rightChars="27" w:firstLine="480"/>
        <w:rPr>
          <w:rFonts w:hint="eastAsia" w:ascii="仿宋" w:hAnsi="仿宋" w:eastAsia="仿宋" w:cs="仿宋"/>
          <w:color w:val="000000"/>
          <w:sz w:val="23"/>
        </w:rPr>
      </w:pPr>
      <w:r>
        <w:rPr>
          <w:rFonts w:hint="eastAsia" w:ascii="仿宋" w:hAnsi="仿宋" w:eastAsia="仿宋" w:cs="仿宋"/>
          <w:color w:val="000000"/>
        </w:rPr>
        <w:t>评标标准及办法根据《中华人民共和国政府采购法》、《政府采购竞争性磋商采购方式管理暂行办法》等有关法律、法规，并结合本项目实际情况制定。</w:t>
      </w:r>
    </w:p>
    <w:p>
      <w:pPr>
        <w:pStyle w:val="4"/>
        <w:ind w:left="0" w:right="59" w:rightChars="27" w:firstLine="723" w:firstLineChars="300"/>
        <w:rPr>
          <w:rFonts w:hint="eastAsia" w:ascii="仿宋" w:hAnsi="仿宋" w:eastAsia="仿宋" w:cs="仿宋"/>
          <w:color w:val="000000"/>
        </w:rPr>
      </w:pPr>
      <w:r>
        <w:rPr>
          <w:rFonts w:hint="eastAsia" w:ascii="仿宋" w:hAnsi="仿宋" w:eastAsia="仿宋" w:cs="仿宋"/>
          <w:color w:val="000000"/>
        </w:rPr>
        <w:t>一、总则</w:t>
      </w:r>
    </w:p>
    <w:p>
      <w:pPr>
        <w:pStyle w:val="6"/>
        <w:spacing w:before="161"/>
        <w:ind w:right="59" w:rightChars="27" w:firstLine="480" w:firstLineChars="200"/>
        <w:rPr>
          <w:rFonts w:hint="eastAsia" w:ascii="仿宋" w:hAnsi="仿宋" w:eastAsia="仿宋" w:cs="仿宋"/>
          <w:color w:val="000000"/>
          <w:sz w:val="25"/>
        </w:rPr>
      </w:pPr>
      <w:r>
        <w:rPr>
          <w:rFonts w:hint="eastAsia" w:ascii="仿宋" w:hAnsi="仿宋" w:eastAsia="仿宋" w:cs="仿宋"/>
          <w:color w:val="000000"/>
        </w:rPr>
        <w:t>1、依法组建磋商小组。</w:t>
      </w:r>
    </w:p>
    <w:p>
      <w:pPr>
        <w:pStyle w:val="6"/>
        <w:ind w:right="59" w:rightChars="27" w:firstLine="480" w:firstLineChars="200"/>
        <w:rPr>
          <w:rFonts w:hint="eastAsia" w:ascii="仿宋" w:hAnsi="仿宋" w:eastAsia="仿宋" w:cs="仿宋"/>
          <w:color w:val="000000"/>
        </w:rPr>
      </w:pPr>
      <w:r>
        <w:rPr>
          <w:rFonts w:hint="eastAsia" w:ascii="仿宋" w:hAnsi="仿宋" w:eastAsia="仿宋" w:cs="仿宋"/>
          <w:color w:val="000000"/>
        </w:rPr>
        <w:t>2、遵循《中华人民共和国政府采购法》等相关法律法规有关规定，遵循公平、公正、科学择优的原则。</w:t>
      </w:r>
    </w:p>
    <w:p>
      <w:pPr>
        <w:pStyle w:val="4"/>
        <w:spacing w:before="119"/>
        <w:ind w:left="0" w:right="59" w:rightChars="27" w:firstLine="480" w:firstLineChars="200"/>
        <w:rPr>
          <w:rFonts w:hint="eastAsia" w:ascii="仿宋" w:hAnsi="仿宋" w:eastAsia="仿宋" w:cs="仿宋"/>
          <w:color w:val="000000"/>
        </w:rPr>
      </w:pPr>
      <w:r>
        <w:rPr>
          <w:rFonts w:hint="eastAsia" w:ascii="仿宋" w:hAnsi="仿宋" w:eastAsia="仿宋" w:cs="仿宋"/>
          <w:b w:val="0"/>
          <w:color w:val="000000"/>
        </w:rPr>
        <w:t>3、磋商小组首先对各供应商初步评审，初步评审通过的供应商方能进入详细评审。</w:t>
      </w:r>
    </w:p>
    <w:p>
      <w:pPr>
        <w:pStyle w:val="6"/>
        <w:spacing w:before="3"/>
        <w:ind w:right="59" w:rightChars="27" w:firstLine="480" w:firstLineChars="200"/>
        <w:rPr>
          <w:rFonts w:hint="eastAsia" w:ascii="仿宋" w:hAnsi="仿宋" w:eastAsia="仿宋" w:cs="仿宋"/>
          <w:color w:val="000000"/>
          <w:sz w:val="20"/>
        </w:rPr>
      </w:pPr>
      <w:r>
        <w:rPr>
          <w:rFonts w:hint="eastAsia" w:ascii="仿宋" w:hAnsi="仿宋" w:eastAsia="仿宋" w:cs="仿宋"/>
          <w:color w:val="000000"/>
        </w:rPr>
        <w:t>4、磋商小组对各供应商的履约能力、响应文件商务及技术响应情况等进行评审。</w:t>
      </w:r>
    </w:p>
    <w:p>
      <w:pPr>
        <w:pStyle w:val="6"/>
        <w:ind w:right="59" w:rightChars="27" w:firstLine="480" w:firstLineChars="200"/>
        <w:rPr>
          <w:rFonts w:hint="eastAsia" w:ascii="仿宋" w:hAnsi="仿宋" w:eastAsia="仿宋" w:cs="仿宋"/>
          <w:color w:val="000000"/>
        </w:rPr>
      </w:pPr>
      <w:r>
        <w:rPr>
          <w:rFonts w:hint="eastAsia" w:ascii="仿宋" w:hAnsi="仿宋" w:eastAsia="仿宋" w:cs="仿宋"/>
          <w:color w:val="000000"/>
        </w:rPr>
        <w:t>5、评标方法：综合评分法。</w:t>
      </w:r>
    </w:p>
    <w:p>
      <w:pPr>
        <w:ind w:firstLine="480" w:firstLineChars="200"/>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rPr>
        <w:t>6、本项目</w:t>
      </w:r>
      <w:r>
        <w:rPr>
          <w:rFonts w:hint="eastAsia" w:ascii="仿宋" w:hAnsi="仿宋" w:eastAsia="仿宋" w:cs="仿宋"/>
          <w:b w:val="0"/>
          <w:bCs w:val="0"/>
          <w:sz w:val="24"/>
          <w:szCs w:val="24"/>
          <w:lang w:val="en-US" w:eastAsia="zh-CN"/>
        </w:rPr>
        <w:t>二</w:t>
      </w:r>
      <w:r>
        <w:rPr>
          <w:rFonts w:hint="eastAsia" w:ascii="仿宋" w:hAnsi="仿宋" w:eastAsia="仿宋" w:cs="仿宋"/>
          <w:b w:val="0"/>
          <w:bCs w:val="0"/>
          <w:sz w:val="24"/>
          <w:szCs w:val="24"/>
          <w:lang w:val="en-US"/>
        </w:rPr>
        <w:t>次报价</w:t>
      </w:r>
      <w:r>
        <w:rPr>
          <w:rFonts w:hint="eastAsia" w:ascii="仿宋" w:hAnsi="仿宋" w:eastAsia="仿宋" w:cs="仿宋"/>
          <w:b w:val="0"/>
          <w:bCs w:val="0"/>
          <w:sz w:val="24"/>
          <w:szCs w:val="24"/>
          <w:lang w:val="en-US" w:eastAsia="zh-CN"/>
        </w:rPr>
        <w:t>各供应商应按开标系统要求进行报价。</w:t>
      </w:r>
    </w:p>
    <w:p>
      <w:pPr>
        <w:pStyle w:val="6"/>
        <w:ind w:right="59" w:rightChars="27" w:firstLine="480" w:firstLineChars="200"/>
        <w:rPr>
          <w:rFonts w:hint="eastAsia" w:ascii="仿宋" w:hAnsi="仿宋" w:eastAsia="仿宋" w:cs="仿宋"/>
          <w:color w:val="000000"/>
          <w:sz w:val="25"/>
        </w:rPr>
      </w:pPr>
      <w:r>
        <w:rPr>
          <w:rFonts w:hint="eastAsia" w:ascii="仿宋" w:hAnsi="仿宋" w:eastAsia="仿宋" w:cs="仿宋"/>
          <w:color w:val="000000"/>
          <w:lang w:val="en-US"/>
        </w:rPr>
        <w:t>7</w:t>
      </w:r>
      <w:r>
        <w:rPr>
          <w:rFonts w:hint="eastAsia" w:ascii="仿宋" w:hAnsi="仿宋" w:eastAsia="仿宋" w:cs="仿宋"/>
          <w:color w:val="000000"/>
        </w:rPr>
        <w:t>、供应商得分统计应遵循下列原则：</w:t>
      </w:r>
    </w:p>
    <w:p>
      <w:pPr>
        <w:pStyle w:val="6"/>
        <w:spacing w:before="1"/>
        <w:ind w:left="117" w:right="59" w:rightChars="27" w:firstLine="480"/>
        <w:jc w:val="both"/>
        <w:rPr>
          <w:rFonts w:hint="eastAsia" w:ascii="仿宋" w:hAnsi="仿宋" w:eastAsia="仿宋" w:cs="仿宋"/>
          <w:color w:val="000000"/>
        </w:rPr>
      </w:pPr>
      <w:r>
        <w:rPr>
          <w:rFonts w:hint="eastAsia" w:ascii="仿宋" w:hAnsi="仿宋" w:eastAsia="仿宋" w:cs="仿宋"/>
          <w:color w:val="000000"/>
        </w:rPr>
        <w:t>供应商综合得分为投标报价得分和商务部分及技术部分得分之和。各供应商商务及技术部分得分为评标委员所有成员最终打分的算术平均值，每个供应商的最终得分结果保留小数点后 2 位。</w:t>
      </w:r>
    </w:p>
    <w:p>
      <w:pPr>
        <w:pStyle w:val="6"/>
        <w:spacing w:before="161"/>
        <w:ind w:right="59" w:rightChars="27" w:firstLine="480" w:firstLineChars="200"/>
        <w:rPr>
          <w:rFonts w:hint="eastAsia" w:ascii="仿宋" w:hAnsi="仿宋" w:eastAsia="仿宋" w:cs="仿宋"/>
          <w:color w:val="000000"/>
          <w:sz w:val="26"/>
        </w:rPr>
      </w:pPr>
      <w:r>
        <w:rPr>
          <w:rFonts w:hint="eastAsia" w:ascii="仿宋" w:hAnsi="仿宋" w:eastAsia="仿宋" w:cs="仿宋"/>
          <w:color w:val="000000"/>
          <w:lang w:val="en-US"/>
        </w:rPr>
        <w:t>8</w:t>
      </w:r>
      <w:r>
        <w:rPr>
          <w:rFonts w:hint="eastAsia" w:ascii="仿宋" w:hAnsi="仿宋" w:eastAsia="仿宋" w:cs="仿宋"/>
          <w:color w:val="000000"/>
        </w:rPr>
        <w:t>、推荐成交候选人原则：</w:t>
      </w:r>
    </w:p>
    <w:p>
      <w:pPr>
        <w:pStyle w:val="6"/>
        <w:ind w:right="59" w:rightChars="27" w:firstLine="448" w:firstLineChars="200"/>
        <w:rPr>
          <w:rFonts w:hint="eastAsia" w:ascii="仿宋" w:hAnsi="仿宋" w:eastAsia="仿宋" w:cs="仿宋"/>
          <w:color w:val="000000"/>
        </w:rPr>
      </w:pPr>
      <w:r>
        <w:rPr>
          <w:rFonts w:hint="eastAsia" w:ascii="仿宋" w:hAnsi="仿宋" w:eastAsia="仿宋" w:cs="仿宋"/>
          <w:color w:val="000000"/>
          <w:spacing w:val="-8"/>
        </w:rPr>
        <w:t>磋商小组完成评标后，按供应商综合得分从高到低顺序向采购单位推荐</w:t>
      </w:r>
      <w:r>
        <w:rPr>
          <w:rFonts w:hint="eastAsia" w:ascii="仿宋" w:hAnsi="仿宋" w:eastAsia="仿宋" w:cs="仿宋"/>
          <w:color w:val="000000"/>
        </w:rPr>
        <w:t>1-3</w:t>
      </w:r>
      <w:r>
        <w:rPr>
          <w:rFonts w:hint="eastAsia" w:ascii="仿宋" w:hAnsi="仿宋" w:eastAsia="仿宋" w:cs="仿宋"/>
          <w:color w:val="000000"/>
          <w:spacing w:val="-10"/>
        </w:rPr>
        <w:t xml:space="preserve"> 名成交</w:t>
      </w:r>
      <w:r>
        <w:rPr>
          <w:rFonts w:hint="eastAsia" w:ascii="仿宋" w:hAnsi="仿宋" w:eastAsia="仿宋" w:cs="仿宋"/>
          <w:color w:val="000000"/>
          <w:spacing w:val="-24"/>
        </w:rPr>
        <w:t>候选人，坚持综合得分相同价格优先；综合得分、价格相同，技术优先。</w:t>
      </w:r>
    </w:p>
    <w:p>
      <w:pPr>
        <w:pStyle w:val="6"/>
        <w:ind w:right="59" w:rightChars="27" w:firstLine="448" w:firstLineChars="200"/>
        <w:rPr>
          <w:rFonts w:hint="eastAsia" w:ascii="仿宋" w:hAnsi="仿宋" w:eastAsia="仿宋" w:cs="仿宋"/>
          <w:color w:val="000000"/>
          <w:spacing w:val="-8"/>
        </w:rPr>
      </w:pPr>
      <w:r>
        <w:rPr>
          <w:rFonts w:hint="eastAsia" w:ascii="仿宋" w:hAnsi="仿宋" w:eastAsia="仿宋" w:cs="仿宋"/>
          <w:color w:val="000000"/>
          <w:spacing w:val="-8"/>
        </w:rPr>
        <w:t>若排名第一的成交候选人放弃成交时，顺延排名第二的成交侯选人为第一成交候选人，依此类推。对未成交的供应商，采购单位不作解释。</w:t>
      </w:r>
    </w:p>
    <w:p>
      <w:pPr>
        <w:pStyle w:val="4"/>
        <w:numPr>
          <w:ilvl w:val="0"/>
          <w:numId w:val="1"/>
        </w:numPr>
        <w:spacing w:before="67"/>
        <w:ind w:left="736" w:right="59" w:rightChars="27"/>
        <w:rPr>
          <w:rFonts w:hint="eastAsia" w:ascii="仿宋" w:hAnsi="仿宋" w:eastAsia="仿宋" w:cs="仿宋"/>
          <w:color w:val="000000"/>
        </w:rPr>
      </w:pPr>
      <w:r>
        <w:rPr>
          <w:rFonts w:hint="eastAsia" w:ascii="仿宋" w:hAnsi="仿宋" w:eastAsia="仿宋" w:cs="仿宋"/>
          <w:color w:val="000000"/>
        </w:rPr>
        <w:t>初步评审</w:t>
      </w:r>
    </w:p>
    <w:tbl>
      <w:tblPr>
        <w:tblStyle w:val="9"/>
        <w:tblW w:w="101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1"/>
        <w:gridCol w:w="765"/>
        <w:gridCol w:w="2885"/>
        <w:gridCol w:w="55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716" w:type="dxa"/>
            <w:gridSpan w:val="2"/>
            <w:noWrap w:val="0"/>
            <w:vAlign w:val="top"/>
          </w:tcPr>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2885" w:type="dxa"/>
            <w:noWrap w:val="0"/>
            <w:vAlign w:val="top"/>
          </w:tcPr>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评审因素</w:t>
            </w:r>
          </w:p>
        </w:tc>
        <w:tc>
          <w:tcPr>
            <w:tcW w:w="5554" w:type="dxa"/>
            <w:noWrap w:val="0"/>
            <w:vAlign w:val="top"/>
          </w:tcPr>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1" w:type="dxa"/>
            <w:vMerge w:val="restart"/>
            <w:noWrap w:val="0"/>
            <w:vAlign w:val="center"/>
          </w:tcPr>
          <w:p>
            <w:pPr>
              <w:ind w:right="59" w:rightChars="27"/>
              <w:jc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1</w:t>
            </w:r>
          </w:p>
        </w:tc>
        <w:tc>
          <w:tcPr>
            <w:tcW w:w="765" w:type="dxa"/>
            <w:vMerge w:val="restart"/>
            <w:noWrap w:val="0"/>
            <w:vAlign w:val="center"/>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形式评审</w:t>
            </w:r>
          </w:p>
        </w:tc>
        <w:tc>
          <w:tcPr>
            <w:tcW w:w="2885" w:type="dxa"/>
            <w:noWrap w:val="0"/>
            <w:vAlign w:val="top"/>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供应商名称</w:t>
            </w:r>
          </w:p>
        </w:tc>
        <w:tc>
          <w:tcPr>
            <w:tcW w:w="5554" w:type="dxa"/>
            <w:noWrap w:val="0"/>
            <w:vAlign w:val="top"/>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与营业执照一致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1" w:type="dxa"/>
            <w:vMerge w:val="continue"/>
            <w:noWrap w:val="0"/>
            <w:vAlign w:val="top"/>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响应文件签字盖章</w:t>
            </w:r>
          </w:p>
        </w:tc>
        <w:tc>
          <w:tcPr>
            <w:tcW w:w="5554" w:type="dxa"/>
            <w:noWrap w:val="0"/>
            <w:vAlign w:val="top"/>
          </w:tcPr>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响应文件按照竞争性磋商文件要求签字盖章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951" w:type="dxa"/>
            <w:vMerge w:val="continue"/>
            <w:noWrap w:val="0"/>
            <w:vAlign w:val="top"/>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center"/>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身份证明</w:t>
            </w:r>
          </w:p>
        </w:tc>
        <w:tc>
          <w:tcPr>
            <w:tcW w:w="5554" w:type="dxa"/>
            <w:noWrap w:val="0"/>
            <w:vAlign w:val="center"/>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法定代表人授权委托书原件及委托代理人身份证复印件（或法定代表人身份证明原件及身份证复印件）。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951" w:type="dxa"/>
            <w:vMerge w:val="continue"/>
            <w:noWrap w:val="0"/>
            <w:vAlign w:val="top"/>
          </w:tcPr>
          <w:p>
            <w:pPr>
              <w:ind w:right="59" w:rightChars="27"/>
              <w:jc w:val="center"/>
              <w:rPr>
                <w:rFonts w:hint="eastAsia" w:ascii="仿宋" w:hAnsi="仿宋" w:eastAsia="仿宋" w:cs="仿宋"/>
                <w:color w:val="000000"/>
                <w:sz w:val="24"/>
                <w:szCs w:val="24"/>
              </w:rPr>
            </w:pPr>
          </w:p>
        </w:tc>
        <w:tc>
          <w:tcPr>
            <w:tcW w:w="765" w:type="dxa"/>
            <w:vMerge w:val="restart"/>
            <w:noWrap w:val="0"/>
            <w:vAlign w:val="top"/>
          </w:tcPr>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rPr>
              <w:t>资格评审</w:t>
            </w:r>
          </w:p>
        </w:tc>
        <w:tc>
          <w:tcPr>
            <w:tcW w:w="2885" w:type="dxa"/>
            <w:noWrap w:val="0"/>
            <w:vAlign w:val="center"/>
          </w:tcPr>
          <w:p>
            <w:pPr>
              <w:ind w:right="59" w:rightChars="27"/>
              <w:jc w:val="center"/>
              <w:rPr>
                <w:rFonts w:hint="eastAsia" w:ascii="仿宋" w:hAnsi="仿宋" w:eastAsia="仿宋" w:cs="仿宋"/>
                <w:color w:val="000000"/>
                <w:sz w:val="24"/>
                <w:szCs w:val="24"/>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具有独立承担民事责任的能力</w:t>
            </w:r>
          </w:p>
        </w:tc>
        <w:tc>
          <w:tcPr>
            <w:tcW w:w="5554" w:type="dxa"/>
            <w:noWrap w:val="0"/>
            <w:vAlign w:val="top"/>
          </w:tcPr>
          <w:p>
            <w:pPr>
              <w:ind w:right="59" w:rightChars="27"/>
              <w:jc w:val="center"/>
              <w:rPr>
                <w:rFonts w:hint="eastAsia" w:ascii="仿宋" w:hAnsi="仿宋" w:eastAsia="仿宋" w:cs="仿宋"/>
                <w:color w:val="000000"/>
                <w:sz w:val="24"/>
                <w:szCs w:val="24"/>
                <w:lang w:val="en-US"/>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提供法人或其他组织的营业执照等证明文件，或自然人身份证明；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951" w:type="dxa"/>
            <w:vMerge w:val="continue"/>
            <w:noWrap w:val="0"/>
            <w:vAlign w:val="top"/>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具有良好的商业信誉和健全的财务会计制度</w:t>
            </w:r>
          </w:p>
        </w:tc>
        <w:tc>
          <w:tcPr>
            <w:tcW w:w="5554" w:type="dxa"/>
            <w:noWrap w:val="0"/>
            <w:vAlign w:val="top"/>
          </w:tcPr>
          <w:p>
            <w:pPr>
              <w:ind w:right="59" w:rightChars="27"/>
              <w:jc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提供202</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val="en-US"/>
              </w:rPr>
              <w:t>年度或者202</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val="en-US"/>
              </w:rPr>
              <w:t>年度的</w:t>
            </w:r>
            <w:r>
              <w:rPr>
                <w:rFonts w:hint="eastAsia" w:ascii="仿宋" w:hAnsi="仿宋" w:eastAsia="仿宋" w:cs="仿宋"/>
                <w:color w:val="000000"/>
                <w:sz w:val="24"/>
                <w:szCs w:val="24"/>
                <w:lang w:val="en-US" w:eastAsia="zh-CN"/>
              </w:rPr>
              <w:t>审计</w:t>
            </w:r>
            <w:r>
              <w:rPr>
                <w:rFonts w:hint="eastAsia" w:ascii="仿宋" w:hAnsi="仿宋" w:eastAsia="仿宋" w:cs="仿宋"/>
                <w:color w:val="000000"/>
                <w:sz w:val="24"/>
                <w:szCs w:val="24"/>
                <w:lang w:val="en-US"/>
              </w:rPr>
              <w:t>报告复印件或近期财务报表复印件或银行出具的资信证明复印件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951" w:type="dxa"/>
            <w:vMerge w:val="continue"/>
            <w:noWrap w:val="0"/>
            <w:vAlign w:val="top"/>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center"/>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具有履行合同所必需的设备和专业技术能力</w:t>
            </w:r>
          </w:p>
        </w:tc>
        <w:tc>
          <w:tcPr>
            <w:tcW w:w="5554" w:type="dxa"/>
            <w:noWrap w:val="0"/>
            <w:vAlign w:val="top"/>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提供承诺函（格式自拟）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951" w:type="dxa"/>
            <w:vMerge w:val="continue"/>
            <w:noWrap w:val="0"/>
            <w:vAlign w:val="top"/>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具有依法缴纳税收和社会保障资金的良好记录</w:t>
            </w:r>
          </w:p>
        </w:tc>
        <w:tc>
          <w:tcPr>
            <w:tcW w:w="5554" w:type="dxa"/>
            <w:noWrap w:val="0"/>
            <w:vAlign w:val="top"/>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提供2023年至今任意三个月</w:t>
            </w:r>
            <w:r>
              <w:rPr>
                <w:rFonts w:hint="eastAsia" w:ascii="仿宋" w:hAnsi="仿宋" w:eastAsia="仿宋" w:cs="仿宋"/>
                <w:color w:val="000000"/>
                <w:sz w:val="24"/>
                <w:szCs w:val="24"/>
                <w:lang w:val="en-US"/>
              </w:rPr>
              <w:t>的依法缴纳税收（依法免税的供应商须提供相应证明文件）和社会保障资金的有效证明材料；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951" w:type="dxa"/>
            <w:vMerge w:val="continue"/>
            <w:noWrap w:val="0"/>
            <w:vAlign w:val="top"/>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参加本次政府采购活动前三年内，在经营活动中没有违法违规记录</w:t>
            </w:r>
          </w:p>
        </w:tc>
        <w:tc>
          <w:tcPr>
            <w:tcW w:w="5554" w:type="dxa"/>
            <w:noWrap w:val="0"/>
            <w:vAlign w:val="top"/>
          </w:tcPr>
          <w:p>
            <w:pPr>
              <w:ind w:right="59" w:rightChars="27"/>
              <w:jc w:val="center"/>
              <w:rPr>
                <w:rFonts w:hint="eastAsia" w:ascii="仿宋" w:hAnsi="仿宋" w:eastAsia="仿宋" w:cs="仿宋"/>
                <w:color w:val="000000"/>
                <w:sz w:val="24"/>
                <w:szCs w:val="24"/>
                <w:lang w:val="en-US"/>
              </w:rPr>
            </w:pPr>
          </w:p>
          <w:p>
            <w:pPr>
              <w:ind w:right="59" w:rightChars="27"/>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提供声明</w:t>
            </w:r>
            <w:r>
              <w:rPr>
                <w:rFonts w:hint="eastAsia" w:ascii="仿宋" w:hAnsi="仿宋" w:eastAsia="仿宋" w:cs="仿宋"/>
                <w:color w:val="000000"/>
                <w:sz w:val="24"/>
                <w:szCs w:val="24"/>
                <w:lang w:val="en-US" w:eastAsia="zh-CN"/>
              </w:rPr>
              <w:t>函</w:t>
            </w:r>
            <w:r>
              <w:rPr>
                <w:rFonts w:hint="eastAsia" w:ascii="仿宋" w:hAnsi="仿宋" w:eastAsia="仿宋" w:cs="仿宋"/>
                <w:color w:val="000000"/>
                <w:sz w:val="24"/>
                <w:szCs w:val="24"/>
                <w:lang w:val="en-US"/>
              </w:rPr>
              <w:t>（格式自拟）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951" w:type="dxa"/>
            <w:vMerge w:val="continue"/>
            <w:noWrap w:val="0"/>
            <w:vAlign w:val="top"/>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b w:val="0"/>
                <w:bCs w:val="0"/>
                <w:color w:val="auto"/>
                <w:sz w:val="24"/>
                <w:szCs w:val="24"/>
                <w:lang w:val="en-US"/>
              </w:rPr>
            </w:pPr>
          </w:p>
          <w:p>
            <w:pPr>
              <w:ind w:right="59" w:rightChars="27" w:firstLine="720" w:firstLineChars="300"/>
              <w:jc w:val="both"/>
              <w:rPr>
                <w:rFonts w:hint="eastAsia" w:ascii="仿宋" w:hAnsi="仿宋" w:eastAsia="仿宋" w:cs="仿宋"/>
                <w:b w:val="0"/>
                <w:bCs w:val="0"/>
                <w:color w:val="auto"/>
                <w:sz w:val="24"/>
                <w:szCs w:val="24"/>
                <w:lang w:val="en-US" w:eastAsia="zh-CN" w:bidi="zh-CN"/>
              </w:rPr>
            </w:pPr>
            <w:r>
              <w:rPr>
                <w:rFonts w:hint="eastAsia" w:ascii="仿宋" w:hAnsi="仿宋" w:eastAsia="仿宋" w:cs="仿宋"/>
                <w:b w:val="0"/>
                <w:bCs w:val="0"/>
                <w:color w:val="auto"/>
                <w:sz w:val="24"/>
                <w:szCs w:val="24"/>
                <w:lang w:val="en-US"/>
              </w:rPr>
              <w:t>特殊资格要求</w:t>
            </w:r>
          </w:p>
        </w:tc>
        <w:tc>
          <w:tcPr>
            <w:tcW w:w="5554" w:type="dxa"/>
            <w:noWrap w:val="0"/>
            <w:vAlign w:val="top"/>
          </w:tcPr>
          <w:p>
            <w:pPr>
              <w:ind w:right="59" w:rightChars="27"/>
              <w:jc w:val="both"/>
              <w:rPr>
                <w:rFonts w:hint="eastAsia" w:ascii="仿宋" w:hAnsi="仿宋" w:eastAsia="仿宋" w:cs="仿宋"/>
                <w:b w:val="0"/>
                <w:bCs w:val="0"/>
                <w:color w:val="auto"/>
                <w:sz w:val="24"/>
                <w:szCs w:val="24"/>
                <w:lang w:val="en-US" w:eastAsia="zh-CN" w:bidi="zh-CN"/>
              </w:rPr>
            </w:pPr>
            <w:r>
              <w:rPr>
                <w:rFonts w:hint="eastAsia" w:ascii="仿宋" w:hAnsi="仿宋" w:eastAsia="仿宋" w:cs="仿宋"/>
                <w:b w:val="0"/>
                <w:bCs w:val="0"/>
                <w:color w:val="auto"/>
                <w:sz w:val="24"/>
                <w:szCs w:val="24"/>
                <w:lang w:val="en-US" w:eastAsia="zh-CN" w:bidi="zh-CN"/>
              </w:rPr>
              <w:t>供应商须是具备建筑工程施工总承包贰级以上（含贰级）资质，并在人员、设备、资金等方面具有相应的施工能力，具备有效的安全生产考核合格证书，且承担本项目的项目经理未担任其他在建建设工程项目的经理：提供有效的安全生产考核合格证书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951" w:type="dxa"/>
            <w:vMerge w:val="continue"/>
            <w:noWrap w:val="0"/>
            <w:vAlign w:val="top"/>
          </w:tcPr>
          <w:p>
            <w:pPr>
              <w:ind w:right="59" w:rightChars="27"/>
              <w:jc w:val="both"/>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000000"/>
                <w:sz w:val="24"/>
                <w:szCs w:val="24"/>
                <w:lang w:val="en-US" w:eastAsia="zh-CN" w:bidi="zh-CN"/>
              </w:rPr>
            </w:pPr>
            <w:r>
              <w:rPr>
                <w:rFonts w:hint="eastAsia" w:ascii="仿宋" w:hAnsi="仿宋" w:eastAsia="仿宋" w:cs="仿宋"/>
                <w:sz w:val="24"/>
                <w:szCs w:val="24"/>
              </w:rPr>
              <w:t>法律、行政法规规定的其他条件</w:t>
            </w:r>
          </w:p>
        </w:tc>
        <w:tc>
          <w:tcPr>
            <w:tcW w:w="5554" w:type="dxa"/>
            <w:noWrap w:val="0"/>
            <w:vAlign w:val="top"/>
          </w:tcPr>
          <w:p>
            <w:pPr>
              <w:spacing w:line="240" w:lineRule="auto"/>
              <w:ind w:right="59" w:rightChars="27" w:firstLine="480" w:firstLineChars="200"/>
              <w:jc w:val="both"/>
              <w:rPr>
                <w:rFonts w:hint="eastAsia" w:ascii="仿宋" w:hAnsi="仿宋" w:eastAsia="仿宋" w:cs="仿宋"/>
                <w:color w:val="000000"/>
                <w:sz w:val="24"/>
                <w:szCs w:val="24"/>
                <w:lang w:val="en-US" w:eastAsia="zh-CN" w:bidi="zh-CN"/>
              </w:rPr>
            </w:pPr>
            <w:r>
              <w:rPr>
                <w:rFonts w:hint="eastAsia" w:ascii="仿宋" w:hAnsi="仿宋" w:eastAsia="仿宋" w:cs="仿宋"/>
                <w:color w:val="000000"/>
                <w:sz w:val="24"/>
                <w:szCs w:val="24"/>
                <w:lang w:val="en-US"/>
              </w:rPr>
              <w:t>参加本次政府采购活动前没有被列入失信被执行人、重大税收违法案件当事人名单或执行期已结束。（代理机构在投标截止时间后登陆“信用中国”查询，查询起止时间：投标截止时间前三年内）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951" w:type="dxa"/>
            <w:vMerge w:val="restart"/>
            <w:noWrap w:val="0"/>
            <w:vAlign w:val="center"/>
          </w:tcPr>
          <w:p>
            <w:pPr>
              <w:ind w:right="59" w:rightChars="27"/>
              <w:jc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3</w:t>
            </w:r>
          </w:p>
        </w:tc>
        <w:tc>
          <w:tcPr>
            <w:tcW w:w="765" w:type="dxa"/>
            <w:vMerge w:val="restart"/>
            <w:noWrap w:val="0"/>
            <w:vAlign w:val="top"/>
          </w:tcPr>
          <w:p>
            <w:pPr>
              <w:ind w:right="59" w:rightChars="27"/>
              <w:jc w:val="center"/>
              <w:rPr>
                <w:rFonts w:hint="eastAsia" w:ascii="仿宋" w:hAnsi="仿宋" w:eastAsia="仿宋" w:cs="仿宋"/>
                <w:color w:val="000000"/>
                <w:sz w:val="24"/>
                <w:szCs w:val="24"/>
              </w:rPr>
            </w:pPr>
          </w:p>
          <w:p>
            <w:pPr>
              <w:ind w:right="59" w:rightChars="27"/>
              <w:jc w:val="both"/>
              <w:rPr>
                <w:rFonts w:hint="eastAsia" w:ascii="仿宋" w:hAnsi="仿宋" w:eastAsia="仿宋" w:cs="仿宋"/>
                <w:color w:val="000000"/>
                <w:sz w:val="24"/>
                <w:szCs w:val="24"/>
              </w:rPr>
            </w:pPr>
            <w:r>
              <w:rPr>
                <w:rFonts w:hint="eastAsia" w:ascii="仿宋" w:hAnsi="仿宋" w:eastAsia="仿宋" w:cs="仿宋"/>
                <w:color w:val="000000"/>
                <w:sz w:val="24"/>
                <w:szCs w:val="24"/>
              </w:rPr>
              <w:t>符合性评审</w:t>
            </w:r>
          </w:p>
        </w:tc>
        <w:tc>
          <w:tcPr>
            <w:tcW w:w="2885" w:type="dxa"/>
            <w:noWrap w:val="0"/>
            <w:vAlign w:val="top"/>
          </w:tcPr>
          <w:p>
            <w:pPr>
              <w:ind w:right="59" w:rightChars="27"/>
              <w:jc w:val="center"/>
              <w:rPr>
                <w:rFonts w:hint="eastAsia" w:ascii="仿宋" w:hAnsi="仿宋" w:eastAsia="仿宋" w:cs="仿宋"/>
                <w:color w:val="auto"/>
                <w:sz w:val="24"/>
                <w:szCs w:val="24"/>
                <w:lang w:val="en-US"/>
              </w:rPr>
            </w:pPr>
          </w:p>
          <w:p>
            <w:pPr>
              <w:ind w:right="59" w:rightChars="27"/>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rPr>
              <w:t>工期</w:t>
            </w:r>
          </w:p>
        </w:tc>
        <w:tc>
          <w:tcPr>
            <w:tcW w:w="5554" w:type="dxa"/>
            <w:noWrap w:val="0"/>
            <w:vAlign w:val="top"/>
          </w:tcPr>
          <w:p>
            <w:pPr>
              <w:ind w:right="59" w:rightChars="27"/>
              <w:jc w:val="center"/>
              <w:rPr>
                <w:rFonts w:hint="eastAsia" w:ascii="仿宋" w:hAnsi="仿宋" w:eastAsia="仿宋" w:cs="仿宋"/>
                <w:color w:val="auto"/>
                <w:sz w:val="24"/>
                <w:szCs w:val="24"/>
              </w:rPr>
            </w:pPr>
          </w:p>
          <w:p>
            <w:pPr>
              <w:ind w:right="59" w:rightChars="27"/>
              <w:jc w:val="center"/>
              <w:rPr>
                <w:rFonts w:hint="eastAsia" w:ascii="仿宋" w:hAnsi="仿宋" w:eastAsia="仿宋" w:cs="仿宋"/>
                <w:color w:val="auto"/>
                <w:sz w:val="24"/>
                <w:szCs w:val="24"/>
                <w:lang w:val="en-US"/>
              </w:rPr>
            </w:pPr>
            <w:r>
              <w:rPr>
                <w:rFonts w:hint="eastAsia" w:ascii="仿宋" w:hAnsi="仿宋" w:eastAsia="仿宋" w:cs="仿宋"/>
                <w:color w:val="auto"/>
                <w:sz w:val="24"/>
                <w:szCs w:val="24"/>
              </w:rPr>
              <w:t>详见磋商文件第二部分“磋商须知”第</w:t>
            </w:r>
            <w:r>
              <w:rPr>
                <w:rFonts w:hint="eastAsia" w:ascii="仿宋" w:hAnsi="仿宋" w:eastAsia="仿宋" w:cs="仿宋"/>
                <w:color w:val="auto"/>
                <w:sz w:val="24"/>
                <w:szCs w:val="24"/>
                <w:lang w:val="en-US"/>
              </w:rPr>
              <w:t>8条</w:t>
            </w:r>
          </w:p>
          <w:p>
            <w:pPr>
              <w:ind w:right="59" w:rightChars="27"/>
              <w:jc w:val="center"/>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51" w:type="dxa"/>
            <w:vMerge w:val="continue"/>
            <w:noWrap w:val="0"/>
            <w:vAlign w:val="center"/>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rPr>
              <w:t>建设</w:t>
            </w:r>
            <w:r>
              <w:rPr>
                <w:rFonts w:hint="eastAsia" w:ascii="仿宋" w:hAnsi="仿宋" w:eastAsia="仿宋" w:cs="仿宋"/>
                <w:color w:val="auto"/>
                <w:sz w:val="24"/>
                <w:szCs w:val="24"/>
              </w:rPr>
              <w:t>地点</w:t>
            </w:r>
          </w:p>
        </w:tc>
        <w:tc>
          <w:tcPr>
            <w:tcW w:w="5554" w:type="dxa"/>
            <w:tcBorders>
              <w:top w:val="nil"/>
            </w:tcBorders>
            <w:noWrap w:val="0"/>
            <w:vAlign w:val="top"/>
          </w:tcPr>
          <w:p>
            <w:pPr>
              <w:ind w:right="59" w:rightChars="27"/>
              <w:jc w:val="center"/>
              <w:rPr>
                <w:rFonts w:hint="eastAsia" w:ascii="仿宋" w:hAnsi="仿宋" w:eastAsia="仿宋" w:cs="仿宋"/>
                <w:color w:val="auto"/>
                <w:sz w:val="24"/>
                <w:szCs w:val="24"/>
                <w:lang w:val="en-US"/>
              </w:rPr>
            </w:pPr>
            <w:r>
              <w:rPr>
                <w:rFonts w:hint="eastAsia" w:ascii="仿宋" w:hAnsi="仿宋" w:eastAsia="仿宋" w:cs="仿宋"/>
                <w:color w:val="auto"/>
                <w:sz w:val="24"/>
                <w:szCs w:val="24"/>
              </w:rPr>
              <w:t>详见磋商文件第二部分“磋商须知”第</w:t>
            </w:r>
            <w:r>
              <w:rPr>
                <w:rFonts w:hint="eastAsia" w:ascii="仿宋" w:hAnsi="仿宋" w:eastAsia="仿宋" w:cs="仿宋"/>
                <w:color w:val="auto"/>
                <w:sz w:val="24"/>
                <w:szCs w:val="24"/>
                <w:lang w:val="en-US"/>
              </w:rPr>
              <w:t>4条</w:t>
            </w:r>
          </w:p>
          <w:p>
            <w:pPr>
              <w:ind w:right="59" w:rightChars="27"/>
              <w:jc w:val="center"/>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951" w:type="dxa"/>
            <w:vMerge w:val="continue"/>
            <w:noWrap w:val="0"/>
            <w:vAlign w:val="center"/>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auto"/>
                <w:sz w:val="24"/>
                <w:szCs w:val="24"/>
              </w:rPr>
            </w:pPr>
            <w:r>
              <w:rPr>
                <w:rFonts w:hint="eastAsia" w:ascii="仿宋" w:hAnsi="仿宋" w:eastAsia="仿宋" w:cs="仿宋"/>
                <w:color w:val="auto"/>
                <w:sz w:val="24"/>
                <w:szCs w:val="24"/>
              </w:rPr>
              <w:t>质量</w:t>
            </w:r>
          </w:p>
        </w:tc>
        <w:tc>
          <w:tcPr>
            <w:tcW w:w="5554" w:type="dxa"/>
            <w:tcBorders>
              <w:top w:val="nil"/>
            </w:tcBorders>
            <w:noWrap w:val="0"/>
            <w:vAlign w:val="top"/>
          </w:tcPr>
          <w:p>
            <w:pPr>
              <w:ind w:right="59" w:rightChars="27"/>
              <w:jc w:val="center"/>
              <w:rPr>
                <w:rFonts w:hint="eastAsia" w:ascii="仿宋" w:hAnsi="仿宋" w:eastAsia="仿宋" w:cs="仿宋"/>
                <w:color w:val="auto"/>
                <w:sz w:val="24"/>
                <w:szCs w:val="24"/>
                <w:lang w:val="en-US"/>
              </w:rPr>
            </w:pPr>
            <w:r>
              <w:rPr>
                <w:rFonts w:hint="eastAsia" w:ascii="仿宋" w:hAnsi="仿宋" w:eastAsia="仿宋" w:cs="仿宋"/>
                <w:color w:val="auto"/>
                <w:sz w:val="24"/>
                <w:szCs w:val="24"/>
              </w:rPr>
              <w:t>详见磋商文件第二部分“磋商须知”第</w:t>
            </w:r>
            <w:r>
              <w:rPr>
                <w:rFonts w:hint="eastAsia" w:ascii="仿宋" w:hAnsi="仿宋" w:eastAsia="仿宋" w:cs="仿宋"/>
                <w:color w:val="auto"/>
                <w:sz w:val="24"/>
                <w:szCs w:val="24"/>
                <w:lang w:val="en-US"/>
              </w:rPr>
              <w:t>9条</w:t>
            </w:r>
          </w:p>
          <w:p>
            <w:pPr>
              <w:ind w:right="59" w:rightChars="27"/>
              <w:jc w:val="center"/>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51" w:type="dxa"/>
            <w:vMerge w:val="continue"/>
            <w:noWrap w:val="0"/>
            <w:vAlign w:val="center"/>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rPr>
              <w:t>投标</w:t>
            </w:r>
            <w:r>
              <w:rPr>
                <w:rFonts w:hint="eastAsia" w:ascii="仿宋" w:hAnsi="仿宋" w:eastAsia="仿宋" w:cs="仿宋"/>
                <w:color w:val="auto"/>
                <w:sz w:val="24"/>
                <w:szCs w:val="24"/>
              </w:rPr>
              <w:t>保证金</w:t>
            </w:r>
          </w:p>
        </w:tc>
        <w:tc>
          <w:tcPr>
            <w:tcW w:w="5554" w:type="dxa"/>
            <w:tcBorders>
              <w:top w:val="nil"/>
            </w:tcBorders>
            <w:noWrap w:val="0"/>
            <w:vAlign w:val="top"/>
          </w:tcPr>
          <w:p>
            <w:pPr>
              <w:ind w:right="59" w:rightChars="27"/>
              <w:jc w:val="center"/>
              <w:rPr>
                <w:rFonts w:hint="eastAsia" w:ascii="仿宋" w:hAnsi="仿宋" w:eastAsia="仿宋" w:cs="仿宋"/>
                <w:color w:val="auto"/>
                <w:sz w:val="24"/>
                <w:szCs w:val="24"/>
                <w:lang w:val="en-US"/>
              </w:rPr>
            </w:pPr>
            <w:r>
              <w:rPr>
                <w:rFonts w:hint="eastAsia" w:ascii="仿宋" w:hAnsi="仿宋" w:eastAsia="仿宋" w:cs="仿宋"/>
                <w:color w:val="auto"/>
                <w:sz w:val="24"/>
                <w:szCs w:val="24"/>
              </w:rPr>
              <w:t>详见磋商文件第二部分“磋商须知”第</w:t>
            </w:r>
            <w:r>
              <w:rPr>
                <w:rFonts w:hint="eastAsia" w:ascii="仿宋" w:hAnsi="仿宋" w:eastAsia="仿宋" w:cs="仿宋"/>
                <w:color w:val="auto"/>
                <w:sz w:val="24"/>
                <w:szCs w:val="24"/>
                <w:lang w:val="en-US"/>
              </w:rPr>
              <w:t>14条</w:t>
            </w:r>
          </w:p>
          <w:p>
            <w:pPr>
              <w:ind w:right="59" w:rightChars="27"/>
              <w:jc w:val="center"/>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51" w:type="dxa"/>
            <w:vMerge w:val="continue"/>
            <w:noWrap w:val="0"/>
            <w:vAlign w:val="center"/>
          </w:tcPr>
          <w:p>
            <w:pPr>
              <w:ind w:right="59" w:rightChars="27"/>
              <w:jc w:val="center"/>
              <w:rPr>
                <w:rFonts w:hint="eastAsia" w:ascii="仿宋" w:hAnsi="仿宋" w:eastAsia="仿宋" w:cs="仿宋"/>
                <w:color w:val="000000"/>
                <w:sz w:val="24"/>
                <w:szCs w:val="24"/>
              </w:rPr>
            </w:pPr>
          </w:p>
        </w:tc>
        <w:tc>
          <w:tcPr>
            <w:tcW w:w="765" w:type="dxa"/>
            <w:vMerge w:val="continue"/>
            <w:noWrap w:val="0"/>
            <w:vAlign w:val="top"/>
          </w:tcPr>
          <w:p>
            <w:pPr>
              <w:ind w:right="59" w:rightChars="27"/>
              <w:jc w:val="center"/>
              <w:rPr>
                <w:rFonts w:hint="eastAsia" w:ascii="仿宋" w:hAnsi="仿宋" w:eastAsia="仿宋" w:cs="仿宋"/>
                <w:color w:val="000000"/>
                <w:sz w:val="24"/>
                <w:szCs w:val="24"/>
              </w:rPr>
            </w:pPr>
          </w:p>
        </w:tc>
        <w:tc>
          <w:tcPr>
            <w:tcW w:w="2885" w:type="dxa"/>
            <w:noWrap w:val="0"/>
            <w:vAlign w:val="top"/>
          </w:tcPr>
          <w:p>
            <w:pPr>
              <w:ind w:right="59" w:rightChars="27"/>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投标有效期</w:t>
            </w:r>
          </w:p>
        </w:tc>
        <w:tc>
          <w:tcPr>
            <w:tcW w:w="5554" w:type="dxa"/>
            <w:tcBorders>
              <w:top w:val="nil"/>
            </w:tcBorders>
            <w:noWrap w:val="0"/>
            <w:vAlign w:val="top"/>
          </w:tcPr>
          <w:p>
            <w:pPr>
              <w:ind w:right="59" w:rightChars="27"/>
              <w:jc w:val="center"/>
              <w:rPr>
                <w:rFonts w:hint="eastAsia" w:ascii="仿宋" w:hAnsi="仿宋" w:eastAsia="仿宋" w:cs="仿宋"/>
                <w:color w:val="auto"/>
                <w:sz w:val="24"/>
                <w:szCs w:val="24"/>
                <w:lang w:val="en-US"/>
              </w:rPr>
            </w:pPr>
            <w:r>
              <w:rPr>
                <w:rFonts w:hint="eastAsia" w:ascii="仿宋" w:hAnsi="仿宋" w:eastAsia="仿宋" w:cs="仿宋"/>
                <w:color w:val="auto"/>
                <w:sz w:val="24"/>
                <w:szCs w:val="24"/>
              </w:rPr>
              <w:t>详见磋商文件第二部分“磋商须知”第</w:t>
            </w:r>
            <w:r>
              <w:rPr>
                <w:rFonts w:hint="eastAsia" w:ascii="仿宋" w:hAnsi="仿宋" w:eastAsia="仿宋" w:cs="仿宋"/>
                <w:color w:val="auto"/>
                <w:sz w:val="24"/>
                <w:szCs w:val="24"/>
                <w:lang w:val="en-US"/>
              </w:rPr>
              <w:t>11条</w:t>
            </w:r>
          </w:p>
          <w:p>
            <w:pPr>
              <w:ind w:right="59" w:rightChars="27"/>
              <w:jc w:val="center"/>
              <w:rPr>
                <w:rFonts w:hint="eastAsia" w:ascii="仿宋" w:hAnsi="仿宋" w:eastAsia="仿宋" w:cs="仿宋"/>
                <w:color w:val="auto"/>
                <w:sz w:val="24"/>
                <w:szCs w:val="24"/>
              </w:rPr>
            </w:pPr>
          </w:p>
        </w:tc>
      </w:tr>
    </w:tbl>
    <w:p>
      <w:pPr>
        <w:pStyle w:val="6"/>
        <w:spacing w:before="3"/>
        <w:ind w:right="59" w:rightChars="27"/>
        <w:rPr>
          <w:rFonts w:hint="eastAsia" w:ascii="仿宋" w:hAnsi="仿宋" w:eastAsia="仿宋" w:cs="仿宋"/>
          <w:b/>
          <w:color w:val="000000"/>
        </w:rPr>
      </w:pPr>
    </w:p>
    <w:p>
      <w:pPr>
        <w:pStyle w:val="4"/>
        <w:spacing w:before="51"/>
        <w:ind w:left="256" w:right="59" w:rightChars="27"/>
        <w:rPr>
          <w:rFonts w:hint="eastAsia" w:ascii="仿宋" w:hAnsi="仿宋" w:eastAsia="仿宋" w:cs="仿宋"/>
          <w:color w:val="000000"/>
        </w:rPr>
      </w:pPr>
      <w:r>
        <w:rPr>
          <w:rFonts w:hint="eastAsia" w:ascii="仿宋" w:hAnsi="仿宋" w:eastAsia="仿宋" w:cs="仿宋"/>
          <w:color w:val="000000"/>
        </w:rPr>
        <w:t xml:space="preserve">通过初步评审的供应商进入详细评审。 </w:t>
      </w:r>
    </w:p>
    <w:p>
      <w:pPr>
        <w:pStyle w:val="4"/>
        <w:spacing w:before="51"/>
        <w:ind w:left="256" w:right="59" w:rightChars="27"/>
        <w:rPr>
          <w:rFonts w:hint="eastAsia" w:ascii="仿宋" w:hAnsi="仿宋" w:eastAsia="仿宋" w:cs="仿宋"/>
          <w:color w:val="000000"/>
        </w:rPr>
      </w:pPr>
    </w:p>
    <w:p>
      <w:pPr>
        <w:pStyle w:val="4"/>
        <w:spacing w:before="51"/>
        <w:ind w:left="256" w:right="59" w:rightChars="27"/>
        <w:rPr>
          <w:rFonts w:hint="eastAsia" w:ascii="仿宋" w:hAnsi="仿宋" w:eastAsia="仿宋" w:cs="仿宋"/>
          <w:color w:val="000000"/>
        </w:rPr>
      </w:pPr>
      <w:r>
        <w:rPr>
          <w:rFonts w:hint="eastAsia" w:ascii="仿宋" w:hAnsi="仿宋" w:eastAsia="仿宋" w:cs="仿宋"/>
          <w:color w:val="000000"/>
        </w:rPr>
        <w:t>三、详细评审评分标准（满分：100</w:t>
      </w:r>
      <w:r>
        <w:rPr>
          <w:rFonts w:hint="eastAsia" w:ascii="仿宋" w:hAnsi="仿宋" w:eastAsia="仿宋" w:cs="仿宋"/>
          <w:color w:val="000000"/>
          <w:spacing w:val="-4"/>
        </w:rPr>
        <w:t xml:space="preserve"> 分</w:t>
      </w:r>
      <w:r>
        <w:rPr>
          <w:rFonts w:hint="eastAsia" w:ascii="仿宋" w:hAnsi="仿宋" w:eastAsia="仿宋" w:cs="仿宋"/>
          <w:color w:val="000000"/>
          <w:spacing w:val="-14"/>
        </w:rPr>
        <w:t>）</w:t>
      </w:r>
    </w:p>
    <w:p>
      <w:pPr>
        <w:pStyle w:val="4"/>
        <w:ind w:left="0" w:right="59" w:rightChars="27"/>
        <w:rPr>
          <w:rFonts w:hint="eastAsia" w:ascii="仿宋" w:hAnsi="仿宋" w:eastAsia="仿宋" w:cs="仿宋"/>
          <w:color w:val="000000"/>
        </w:rPr>
      </w:pPr>
      <w:r>
        <w:rPr>
          <w:rFonts w:hint="eastAsia" w:ascii="仿宋" w:hAnsi="仿宋" w:eastAsia="仿宋" w:cs="仿宋"/>
          <w:color w:val="000000"/>
        </w:rPr>
        <w:t>1、对各个评标因素按大类进行量化评分的方法。总分 100 分，各类分值为：</w:t>
      </w:r>
    </w:p>
    <w:tbl>
      <w:tblPr>
        <w:tblStyle w:val="9"/>
        <w:tblpPr w:leftFromText="180" w:rightFromText="180" w:vertAnchor="text" w:horzAnchor="page" w:tblpX="1986" w:tblpY="101"/>
        <w:tblOverlap w:val="never"/>
        <w:tblW w:w="84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7"/>
        <w:gridCol w:w="37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677" w:type="dxa"/>
            <w:noWrap w:val="0"/>
            <w:vAlign w:val="top"/>
          </w:tcPr>
          <w:p>
            <w:pPr>
              <w:pStyle w:val="12"/>
              <w:spacing w:before="177"/>
              <w:ind w:left="595" w:right="59" w:rightChars="27"/>
              <w:rPr>
                <w:rFonts w:hint="eastAsia" w:ascii="仿宋" w:hAnsi="仿宋" w:eastAsia="仿宋" w:cs="仿宋"/>
                <w:color w:val="000000"/>
                <w:sz w:val="24"/>
                <w:szCs w:val="24"/>
              </w:rPr>
            </w:pPr>
            <w:r>
              <w:rPr>
                <w:rFonts w:hint="eastAsia" w:ascii="仿宋" w:hAnsi="仿宋" w:eastAsia="仿宋" w:cs="仿宋"/>
                <w:color w:val="000000"/>
                <w:sz w:val="24"/>
                <w:szCs w:val="24"/>
              </w:rPr>
              <w:t>（1）报价得分</w:t>
            </w:r>
          </w:p>
        </w:tc>
        <w:tc>
          <w:tcPr>
            <w:tcW w:w="3742" w:type="dxa"/>
            <w:noWrap w:val="0"/>
            <w:vAlign w:val="top"/>
          </w:tcPr>
          <w:p>
            <w:pPr>
              <w:pStyle w:val="12"/>
              <w:spacing w:before="177"/>
              <w:ind w:right="59" w:rightChars="27"/>
              <w:jc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val="en-US"/>
              </w:rPr>
              <w:t>30</w:t>
            </w:r>
            <w:r>
              <w:rPr>
                <w:rFonts w:hint="eastAsia" w:ascii="仿宋" w:hAnsi="仿宋" w:eastAsia="仿宋" w:cs="仿宋"/>
                <w:b/>
                <w:color w:val="000000"/>
                <w:sz w:val="24"/>
                <w:szCs w:val="24"/>
              </w:rPr>
              <w:t>分（满分）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677" w:type="dxa"/>
            <w:noWrap w:val="0"/>
            <w:vAlign w:val="top"/>
          </w:tcPr>
          <w:p>
            <w:pPr>
              <w:pStyle w:val="12"/>
              <w:spacing w:before="177"/>
              <w:ind w:left="595" w:right="59" w:rightChars="27"/>
              <w:rPr>
                <w:rFonts w:hint="eastAsia" w:ascii="仿宋" w:hAnsi="仿宋" w:eastAsia="仿宋" w:cs="仿宋"/>
                <w:color w:val="000000"/>
                <w:sz w:val="24"/>
                <w:szCs w:val="24"/>
                <w:lang w:val="en-US"/>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rPr>
              <w:t>施工组织设计</w:t>
            </w:r>
          </w:p>
        </w:tc>
        <w:tc>
          <w:tcPr>
            <w:tcW w:w="3742" w:type="dxa"/>
            <w:noWrap w:val="0"/>
            <w:vAlign w:val="top"/>
          </w:tcPr>
          <w:p>
            <w:pPr>
              <w:pStyle w:val="12"/>
              <w:spacing w:before="177"/>
              <w:ind w:right="59" w:rightChars="27"/>
              <w:jc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40</w:t>
            </w:r>
            <w:r>
              <w:rPr>
                <w:rFonts w:hint="eastAsia" w:ascii="仿宋" w:hAnsi="仿宋" w:eastAsia="仿宋" w:cs="仿宋"/>
                <w:b/>
                <w:color w:val="000000"/>
                <w:sz w:val="24"/>
                <w:szCs w:val="24"/>
              </w:rPr>
              <w:t>分（满分）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677" w:type="dxa"/>
            <w:noWrap w:val="0"/>
            <w:vAlign w:val="top"/>
          </w:tcPr>
          <w:p>
            <w:pPr>
              <w:pStyle w:val="12"/>
              <w:spacing w:before="182"/>
              <w:ind w:left="595" w:right="59" w:rightChars="27"/>
              <w:rPr>
                <w:rFonts w:hint="eastAsia" w:ascii="仿宋" w:hAnsi="仿宋" w:eastAsia="仿宋" w:cs="仿宋"/>
                <w:color w:val="000000"/>
                <w:sz w:val="24"/>
                <w:szCs w:val="24"/>
                <w:lang w:val="en-US"/>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rPr>
              <w:t>标书制作</w:t>
            </w:r>
          </w:p>
        </w:tc>
        <w:tc>
          <w:tcPr>
            <w:tcW w:w="3742" w:type="dxa"/>
            <w:noWrap w:val="0"/>
            <w:vAlign w:val="top"/>
          </w:tcPr>
          <w:p>
            <w:pPr>
              <w:pStyle w:val="12"/>
              <w:spacing w:before="182"/>
              <w:ind w:right="59" w:rightChars="27"/>
              <w:jc w:val="center"/>
              <w:rPr>
                <w:rFonts w:hint="eastAsia" w:ascii="仿宋" w:hAnsi="仿宋" w:eastAsia="仿宋" w:cs="仿宋"/>
                <w:b/>
                <w:color w:val="000000"/>
                <w:sz w:val="24"/>
                <w:szCs w:val="24"/>
                <w:lang w:val="en-US"/>
              </w:rPr>
            </w:pPr>
            <w:r>
              <w:rPr>
                <w:rFonts w:hint="eastAsia" w:ascii="仿宋" w:hAnsi="仿宋" w:eastAsia="仿宋" w:cs="仿宋"/>
                <w:b/>
                <w:color w:val="000000"/>
                <w:sz w:val="24"/>
                <w:szCs w:val="24"/>
                <w:lang w:val="en-US"/>
              </w:rPr>
              <w:t>5分</w:t>
            </w:r>
            <w:r>
              <w:rPr>
                <w:rFonts w:hint="eastAsia" w:ascii="仿宋" w:hAnsi="仿宋" w:eastAsia="仿宋" w:cs="仿宋"/>
                <w:b/>
                <w:color w:val="000000"/>
                <w:sz w:val="24"/>
                <w:szCs w:val="24"/>
              </w:rPr>
              <w:t>（满分）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677" w:type="dxa"/>
            <w:noWrap w:val="0"/>
            <w:vAlign w:val="top"/>
          </w:tcPr>
          <w:p>
            <w:pPr>
              <w:pStyle w:val="12"/>
              <w:spacing w:before="182"/>
              <w:ind w:left="595" w:right="59" w:rightChars="27"/>
              <w:rPr>
                <w:rFonts w:hint="eastAsia" w:ascii="仿宋" w:hAnsi="仿宋" w:eastAsia="仿宋" w:cs="仿宋"/>
                <w:color w:val="000000"/>
                <w:sz w:val="24"/>
                <w:szCs w:val="24"/>
                <w:lang w:val="en-US"/>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rPr>
              <w:t>服务承诺</w:t>
            </w:r>
          </w:p>
        </w:tc>
        <w:tc>
          <w:tcPr>
            <w:tcW w:w="3742" w:type="dxa"/>
            <w:noWrap w:val="0"/>
            <w:vAlign w:val="top"/>
          </w:tcPr>
          <w:p>
            <w:pPr>
              <w:pStyle w:val="12"/>
              <w:spacing w:before="182"/>
              <w:ind w:right="59" w:rightChars="27"/>
              <w:jc w:val="center"/>
              <w:rPr>
                <w:rFonts w:hint="eastAsia" w:ascii="仿宋" w:hAnsi="仿宋" w:eastAsia="仿宋" w:cs="仿宋"/>
                <w:b/>
                <w:color w:val="000000"/>
                <w:sz w:val="24"/>
                <w:szCs w:val="24"/>
                <w:lang w:val="en-US"/>
              </w:rPr>
            </w:pPr>
            <w:r>
              <w:rPr>
                <w:rFonts w:hint="eastAsia" w:ascii="仿宋" w:hAnsi="仿宋" w:eastAsia="仿宋" w:cs="仿宋"/>
                <w:b/>
                <w:color w:val="000000"/>
                <w:sz w:val="24"/>
                <w:szCs w:val="24"/>
                <w:lang w:val="en-US" w:eastAsia="zh-CN"/>
              </w:rPr>
              <w:t>10</w:t>
            </w:r>
            <w:r>
              <w:rPr>
                <w:rFonts w:hint="eastAsia" w:ascii="仿宋" w:hAnsi="仿宋" w:eastAsia="仿宋" w:cs="仿宋"/>
                <w:b/>
                <w:color w:val="000000"/>
                <w:sz w:val="24"/>
                <w:szCs w:val="24"/>
                <w:lang w:val="en-US"/>
              </w:rPr>
              <w:t>分</w:t>
            </w:r>
            <w:r>
              <w:rPr>
                <w:rFonts w:hint="eastAsia" w:ascii="仿宋" w:hAnsi="仿宋" w:eastAsia="仿宋" w:cs="仿宋"/>
                <w:b/>
                <w:color w:val="000000"/>
                <w:sz w:val="24"/>
                <w:szCs w:val="24"/>
              </w:rPr>
              <w:t>（满分）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677" w:type="dxa"/>
            <w:noWrap w:val="0"/>
            <w:vAlign w:val="top"/>
          </w:tcPr>
          <w:p>
            <w:pPr>
              <w:pStyle w:val="12"/>
              <w:spacing w:before="182"/>
              <w:ind w:left="595" w:right="59" w:rightChars="27"/>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eastAsia="zh-CN"/>
              </w:rPr>
              <w:t>）拟投入项目人员</w:t>
            </w:r>
          </w:p>
        </w:tc>
        <w:tc>
          <w:tcPr>
            <w:tcW w:w="3742" w:type="dxa"/>
            <w:noWrap w:val="0"/>
            <w:vAlign w:val="top"/>
          </w:tcPr>
          <w:p>
            <w:pPr>
              <w:pStyle w:val="12"/>
              <w:spacing w:before="182"/>
              <w:ind w:right="59" w:rightChars="27"/>
              <w:jc w:val="center"/>
              <w:rPr>
                <w:rFonts w:hint="default"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CN"/>
              </w:rPr>
              <w:t>15分（满分）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677" w:type="dxa"/>
            <w:noWrap w:val="0"/>
            <w:vAlign w:val="top"/>
          </w:tcPr>
          <w:p>
            <w:pPr>
              <w:pStyle w:val="12"/>
              <w:spacing w:before="182"/>
              <w:ind w:left="595" w:right="59" w:rightChars="27"/>
              <w:rPr>
                <w:rFonts w:hint="eastAsia" w:ascii="仿宋" w:hAnsi="仿宋" w:eastAsia="仿宋" w:cs="仿宋"/>
                <w:color w:val="000000"/>
                <w:sz w:val="24"/>
                <w:szCs w:val="24"/>
              </w:rPr>
            </w:pPr>
            <w:r>
              <w:rPr>
                <w:rFonts w:hint="eastAsia" w:ascii="仿宋" w:hAnsi="仿宋" w:eastAsia="仿宋" w:cs="仿宋"/>
                <w:color w:val="000000"/>
                <w:sz w:val="24"/>
                <w:szCs w:val="24"/>
              </w:rPr>
              <w:t>合计：</w:t>
            </w:r>
          </w:p>
          <w:p>
            <w:pPr>
              <w:rPr>
                <w:rFonts w:hint="eastAsia"/>
                <w:sz w:val="21"/>
                <w:szCs w:val="20"/>
              </w:rPr>
            </w:pPr>
          </w:p>
        </w:tc>
        <w:tc>
          <w:tcPr>
            <w:tcW w:w="3742" w:type="dxa"/>
            <w:noWrap w:val="0"/>
            <w:vAlign w:val="top"/>
          </w:tcPr>
          <w:p>
            <w:pPr>
              <w:pStyle w:val="12"/>
              <w:spacing w:before="182"/>
              <w:ind w:right="59" w:rightChars="27"/>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100 分（满分）</w:t>
            </w:r>
          </w:p>
        </w:tc>
      </w:tr>
    </w:tbl>
    <w:p>
      <w:pPr>
        <w:pStyle w:val="6"/>
        <w:spacing w:before="9"/>
        <w:ind w:right="59" w:rightChars="27"/>
        <w:rPr>
          <w:rFonts w:hint="eastAsia" w:ascii="仿宋" w:hAnsi="仿宋" w:eastAsia="仿宋" w:cs="仿宋"/>
          <w:b/>
          <w:color w:val="000000"/>
        </w:rPr>
      </w:pPr>
    </w:p>
    <w:p>
      <w:pPr>
        <w:pStyle w:val="13"/>
        <w:tabs>
          <w:tab w:val="left" w:pos="1207"/>
        </w:tabs>
        <w:spacing w:before="115"/>
        <w:ind w:left="0" w:right="59" w:rightChars="27" w:firstLine="0"/>
        <w:rPr>
          <w:rFonts w:hint="eastAsia" w:ascii="仿宋" w:hAnsi="仿宋" w:eastAsia="仿宋" w:cs="仿宋"/>
          <w:color w:val="000000"/>
          <w:sz w:val="24"/>
          <w:szCs w:val="24"/>
        </w:rPr>
        <w:sectPr>
          <w:pgSz w:w="11920" w:h="16850"/>
          <w:pgMar w:top="1520" w:right="640" w:bottom="460" w:left="1160" w:header="0" w:footer="1134" w:gutter="0"/>
          <w:pgNumType w:fmt="numberInDash"/>
          <w:cols w:space="720" w:num="1"/>
        </w:sectPr>
      </w:pPr>
    </w:p>
    <w:tbl>
      <w:tblPr>
        <w:tblStyle w:val="9"/>
        <w:tblpPr w:leftFromText="180" w:rightFromText="180" w:vertAnchor="text" w:horzAnchor="page" w:tblpXSpec="center" w:tblpY="255"/>
        <w:tblOverlap w:val="never"/>
        <w:tblW w:w="9225" w:type="dxa"/>
        <w:jc w:val="center"/>
        <w:tblLayout w:type="fixed"/>
        <w:tblCellMar>
          <w:top w:w="15" w:type="dxa"/>
          <w:left w:w="15" w:type="dxa"/>
          <w:bottom w:w="15" w:type="dxa"/>
          <w:right w:w="15" w:type="dxa"/>
        </w:tblCellMar>
      </w:tblPr>
      <w:tblGrid>
        <w:gridCol w:w="452"/>
        <w:gridCol w:w="1078"/>
        <w:gridCol w:w="690"/>
        <w:gridCol w:w="1201"/>
        <w:gridCol w:w="5804"/>
      </w:tblGrid>
      <w:tr>
        <w:tblPrEx>
          <w:tblCellMar>
            <w:top w:w="15" w:type="dxa"/>
            <w:left w:w="15" w:type="dxa"/>
            <w:bottom w:w="15" w:type="dxa"/>
            <w:right w:w="15" w:type="dxa"/>
          </w:tblCellMar>
        </w:tblPrEx>
        <w:trPr>
          <w:trHeight w:val="90" w:hRule="atLeast"/>
          <w:jc w:val="center"/>
        </w:trPr>
        <w:tc>
          <w:tcPr>
            <w:tcW w:w="452"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val="en-US" w:bidi="ar"/>
              </w:rPr>
              <w:t>序号</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both"/>
              <w:textAlignment w:val="top"/>
              <w:rPr>
                <w:rFonts w:hint="eastAsia" w:ascii="仿宋" w:hAnsi="仿宋" w:eastAsia="仿宋" w:cs="仿宋"/>
                <w:b/>
                <w:color w:val="000000"/>
                <w:sz w:val="24"/>
                <w:szCs w:val="24"/>
              </w:rPr>
            </w:pPr>
            <w:r>
              <w:rPr>
                <w:rFonts w:hint="eastAsia" w:ascii="仿宋" w:hAnsi="仿宋" w:eastAsia="仿宋" w:cs="仿宋"/>
                <w:b/>
                <w:color w:val="000000"/>
                <w:sz w:val="24"/>
                <w:szCs w:val="24"/>
                <w:lang w:val="en-US" w:bidi="ar"/>
              </w:rPr>
              <w:t>评分内容</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top"/>
              <w:rPr>
                <w:rFonts w:hint="eastAsia" w:ascii="仿宋" w:hAnsi="仿宋" w:eastAsia="仿宋" w:cs="仿宋"/>
                <w:b/>
                <w:color w:val="000000"/>
                <w:sz w:val="24"/>
                <w:szCs w:val="24"/>
              </w:rPr>
            </w:pPr>
            <w:r>
              <w:rPr>
                <w:rFonts w:hint="eastAsia" w:ascii="仿宋" w:hAnsi="仿宋" w:eastAsia="仿宋" w:cs="仿宋"/>
                <w:b/>
                <w:color w:val="000000"/>
                <w:sz w:val="24"/>
                <w:szCs w:val="24"/>
                <w:lang w:val="en-US" w:bidi="ar"/>
              </w:rPr>
              <w:t>分值</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top"/>
              <w:rPr>
                <w:rFonts w:hint="eastAsia" w:ascii="仿宋" w:hAnsi="仿宋" w:eastAsia="仿宋" w:cs="仿宋"/>
                <w:b/>
                <w:color w:val="000000"/>
                <w:sz w:val="24"/>
                <w:szCs w:val="24"/>
              </w:rPr>
            </w:pPr>
            <w:r>
              <w:rPr>
                <w:rFonts w:hint="eastAsia" w:ascii="仿宋" w:hAnsi="仿宋" w:eastAsia="仿宋" w:cs="仿宋"/>
                <w:b/>
                <w:color w:val="000000"/>
                <w:sz w:val="24"/>
                <w:szCs w:val="24"/>
                <w:lang w:val="en-US" w:bidi="ar"/>
              </w:rPr>
              <w:t>评分选项</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top"/>
              <w:rPr>
                <w:rFonts w:hint="eastAsia" w:ascii="仿宋" w:hAnsi="仿宋" w:eastAsia="仿宋" w:cs="仿宋"/>
                <w:b/>
                <w:color w:val="000000"/>
                <w:sz w:val="24"/>
                <w:szCs w:val="24"/>
                <w:lang w:val="en-US" w:bidi="ar"/>
              </w:rPr>
            </w:pPr>
          </w:p>
          <w:p>
            <w:pPr>
              <w:widowControl/>
              <w:ind w:right="59" w:rightChars="27"/>
              <w:jc w:val="center"/>
              <w:textAlignment w:val="top"/>
              <w:rPr>
                <w:rFonts w:hint="eastAsia" w:ascii="仿宋" w:hAnsi="仿宋" w:eastAsia="仿宋" w:cs="仿宋"/>
                <w:b/>
                <w:color w:val="000000"/>
                <w:sz w:val="24"/>
                <w:szCs w:val="24"/>
                <w:lang w:val="en-US" w:bidi="ar"/>
              </w:rPr>
            </w:pPr>
            <w:r>
              <w:rPr>
                <w:rFonts w:hint="eastAsia" w:ascii="仿宋" w:hAnsi="仿宋" w:eastAsia="仿宋" w:cs="仿宋"/>
                <w:b/>
                <w:color w:val="000000"/>
                <w:sz w:val="24"/>
                <w:szCs w:val="24"/>
                <w:lang w:val="en-US" w:bidi="ar"/>
              </w:rPr>
              <w:t>评分标准</w:t>
            </w:r>
          </w:p>
          <w:p>
            <w:pPr>
              <w:widowControl/>
              <w:ind w:right="59" w:rightChars="27"/>
              <w:jc w:val="center"/>
              <w:textAlignment w:val="top"/>
              <w:rPr>
                <w:rFonts w:hint="eastAsia" w:ascii="仿宋" w:hAnsi="仿宋" w:eastAsia="仿宋" w:cs="仿宋"/>
                <w:b/>
                <w:color w:val="000000"/>
                <w:sz w:val="24"/>
                <w:szCs w:val="24"/>
                <w:lang w:val="en-US" w:bidi="ar"/>
              </w:rPr>
            </w:pPr>
          </w:p>
        </w:tc>
      </w:tr>
      <w:tr>
        <w:tblPrEx>
          <w:tblCellMar>
            <w:top w:w="15" w:type="dxa"/>
            <w:left w:w="15" w:type="dxa"/>
            <w:bottom w:w="15" w:type="dxa"/>
            <w:right w:w="15" w:type="dxa"/>
          </w:tblCellMar>
        </w:tblPrEx>
        <w:trPr>
          <w:trHeight w:val="90" w:hRule="atLeast"/>
          <w:jc w:val="center"/>
        </w:trPr>
        <w:tc>
          <w:tcPr>
            <w:tcW w:w="452"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报价</w:t>
            </w:r>
          </w:p>
          <w:p>
            <w:pPr>
              <w:pStyle w:val="5"/>
              <w:ind w:right="59" w:rightChars="27"/>
              <w:rPr>
                <w:rFonts w:hint="eastAsia" w:ascii="仿宋" w:hAnsi="仿宋" w:eastAsia="仿宋" w:cs="仿宋"/>
                <w:color w:val="000000"/>
                <w:sz w:val="24"/>
                <w:szCs w:val="24"/>
              </w:rPr>
            </w:pPr>
            <w:r>
              <w:rPr>
                <w:rFonts w:hint="eastAsia" w:ascii="仿宋" w:hAnsi="仿宋" w:eastAsia="仿宋" w:cs="仿宋"/>
                <w:color w:val="000000"/>
                <w:sz w:val="24"/>
                <w:szCs w:val="24"/>
                <w:lang w:val="en-US"/>
              </w:rPr>
              <w:t>（</w:t>
            </w:r>
            <w:r>
              <w:rPr>
                <w:rFonts w:hint="eastAsia" w:ascii="仿宋" w:hAnsi="仿宋" w:eastAsia="仿宋" w:cs="仿宋"/>
                <w:color w:val="000000"/>
                <w:sz w:val="24"/>
                <w:szCs w:val="24"/>
                <w:lang w:val="en-US" w:eastAsia="zh-CN"/>
              </w:rPr>
              <w:t>30</w:t>
            </w:r>
            <w:r>
              <w:rPr>
                <w:rFonts w:hint="eastAsia" w:ascii="仿宋" w:hAnsi="仿宋" w:eastAsia="仿宋" w:cs="仿宋"/>
                <w:color w:val="000000"/>
                <w:sz w:val="24"/>
                <w:szCs w:val="24"/>
                <w:lang w:val="en-US"/>
              </w:rPr>
              <w:t>分）</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30</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报价得分</w:t>
            </w:r>
          </w:p>
        </w:tc>
        <w:tc>
          <w:tcPr>
            <w:tcW w:w="5804" w:type="dxa"/>
            <w:tcBorders>
              <w:top w:val="single" w:color="000000" w:sz="4" w:space="0"/>
              <w:left w:val="single" w:color="000000" w:sz="4" w:space="0"/>
              <w:bottom w:val="single" w:color="000000" w:sz="4" w:space="0"/>
              <w:right w:val="single" w:color="000000" w:sz="4" w:space="0"/>
            </w:tcBorders>
            <w:noWrap w:val="0"/>
            <w:vAlign w:val="top"/>
          </w:tcPr>
          <w:p>
            <w:pPr>
              <w:widowControl/>
              <w:ind w:right="59" w:rightChars="27"/>
              <w:textAlignment w:val="top"/>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价格分统一采用低价优先法计算，即满足磋商文件要求且磋商价格最低的磋商报价为磋商基准价，其价格分为满分。其他响应单位的价格分统一按照下列公式计算：</w:t>
            </w:r>
          </w:p>
          <w:p>
            <w:pPr>
              <w:widowControl/>
              <w:ind w:right="59" w:rightChars="27"/>
              <w:textAlignment w:val="top"/>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磋商报价得分=(磋商基准价／磋商报价)×价格权值×100</w:t>
            </w:r>
          </w:p>
          <w:p>
            <w:pPr>
              <w:widowControl/>
              <w:ind w:right="59" w:rightChars="27"/>
              <w:textAlignment w:val="top"/>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计算分数时四舍五入取小数点后两位</w:t>
            </w:r>
          </w:p>
        </w:tc>
      </w:tr>
      <w:tr>
        <w:tblPrEx>
          <w:tblCellMar>
            <w:top w:w="15" w:type="dxa"/>
            <w:left w:w="15" w:type="dxa"/>
            <w:bottom w:w="15" w:type="dxa"/>
            <w:right w:w="15" w:type="dxa"/>
          </w:tblCellMar>
        </w:tblPrEx>
        <w:trPr>
          <w:trHeight w:val="875" w:hRule="atLeast"/>
          <w:jc w:val="center"/>
        </w:trPr>
        <w:tc>
          <w:tcPr>
            <w:tcW w:w="452" w:type="dxa"/>
            <w:vMerge w:val="restart"/>
            <w:tcBorders>
              <w:top w:val="single" w:color="000000" w:sz="4" w:space="0"/>
              <w:left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二</w:t>
            </w:r>
          </w:p>
        </w:tc>
        <w:tc>
          <w:tcPr>
            <w:tcW w:w="1078" w:type="dxa"/>
            <w:vMerge w:val="restart"/>
            <w:tcBorders>
              <w:top w:val="single" w:color="000000" w:sz="4" w:space="0"/>
              <w:left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施工组织设计</w:t>
            </w:r>
          </w:p>
          <w:p>
            <w:pPr>
              <w:pStyle w:val="5"/>
              <w:ind w:right="59" w:rightChars="27"/>
              <w:rPr>
                <w:rFonts w:hint="eastAsia" w:ascii="仿宋" w:hAnsi="仿宋" w:eastAsia="仿宋" w:cs="仿宋"/>
                <w:color w:val="000000"/>
                <w:sz w:val="24"/>
                <w:szCs w:val="24"/>
              </w:rPr>
            </w:pPr>
            <w:r>
              <w:rPr>
                <w:rFonts w:hint="eastAsia" w:ascii="仿宋" w:hAnsi="仿宋" w:eastAsia="仿宋" w:cs="仿宋"/>
                <w:color w:val="000000"/>
                <w:sz w:val="24"/>
                <w:szCs w:val="24"/>
                <w:lang w:val="en-US"/>
              </w:rPr>
              <w:t>（</w:t>
            </w:r>
            <w:r>
              <w:rPr>
                <w:rFonts w:hint="eastAsia" w:ascii="仿宋" w:hAnsi="仿宋" w:eastAsia="仿宋" w:cs="仿宋"/>
                <w:color w:val="000000"/>
                <w:sz w:val="24"/>
                <w:szCs w:val="24"/>
                <w:lang w:val="en-US" w:eastAsia="zh-CN"/>
              </w:rPr>
              <w:t>40</w:t>
            </w:r>
            <w:r>
              <w:rPr>
                <w:rFonts w:hint="eastAsia" w:ascii="仿宋" w:hAnsi="仿宋" w:eastAsia="仿宋" w:cs="仿宋"/>
                <w:color w:val="000000"/>
                <w:sz w:val="24"/>
                <w:szCs w:val="24"/>
                <w:lang w:val="en-US"/>
              </w:rPr>
              <w:t>分）</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总体施工布置及规划</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根据投标人提供的施工组织布置规划情况进行评分，内容包括但不限于：项目评估与理解、施工设计、资源准备、施工现场布置、施工过程管理等；</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①内容条理清楚，措施准备充分合理、目标明确且方案完整清晰，完全满足并优于采购要求的得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②内容条理基本清楚，措施准备较充分合理、目标较明确、方案较为完善清晰，基本满足采购要求的得3分；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③内容条理不清楚、措施准备不够充分欠缺合理、目标不明确、方案不够完善且基本不能满足采购要求的得</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分。</w:t>
            </w:r>
          </w:p>
        </w:tc>
      </w:tr>
      <w:tr>
        <w:tblPrEx>
          <w:tblCellMar>
            <w:top w:w="15" w:type="dxa"/>
            <w:left w:w="15" w:type="dxa"/>
            <w:bottom w:w="15" w:type="dxa"/>
            <w:right w:w="15" w:type="dxa"/>
          </w:tblCellMar>
        </w:tblPrEx>
        <w:trPr>
          <w:trHeight w:val="765" w:hRule="atLeast"/>
          <w:jc w:val="center"/>
        </w:trPr>
        <w:tc>
          <w:tcPr>
            <w:tcW w:w="452"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1078"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施工方案及技术措施</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根据投标人提供的施工及技术方案进行评分，施工方案及技术措施的内容包括但不限于：项目概述、现场调查与评估、施工组织、施工计划、进度管理等；</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①方案条理清楚，措施准备充分合理、目标明确且方案完整清晰，完全满足并优于采购要求的得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②方案条理基本清楚，措施准备较充分合理、目标较明确、方案较为完善清晰，基本满足采购要求的得</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③方案条理不清楚、措施准备不够充分欠缺合理、目标不明确、方案不够完善且基本不能满足采购要求的得</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分。</w:t>
            </w:r>
          </w:p>
        </w:tc>
      </w:tr>
      <w:tr>
        <w:tblPrEx>
          <w:tblCellMar>
            <w:top w:w="15" w:type="dxa"/>
            <w:left w:w="15" w:type="dxa"/>
            <w:bottom w:w="15" w:type="dxa"/>
            <w:right w:w="15" w:type="dxa"/>
          </w:tblCellMar>
        </w:tblPrEx>
        <w:trPr>
          <w:trHeight w:val="3786" w:hRule="exact"/>
          <w:jc w:val="center"/>
        </w:trPr>
        <w:tc>
          <w:tcPr>
            <w:tcW w:w="452"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1078"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工期保证体系及保证措施</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根据投标人提供的工期保证体系及措施方案进行评分，内容包括但不限于：现场管理措施、沟通与协调措施、资源管理、建立监控与控制机制、进度报告与审查措施等；</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①</w:t>
            </w:r>
            <w:r>
              <w:rPr>
                <w:rFonts w:hint="eastAsia" w:ascii="仿宋" w:hAnsi="仿宋" w:eastAsia="仿宋" w:cs="仿宋"/>
                <w:color w:val="000000"/>
                <w:sz w:val="24"/>
                <w:szCs w:val="24"/>
              </w:rPr>
              <w:t>方案条理清楚，措施准备充分合理、目标明确且方案完整清晰，完全满足并优于采购要求的得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②</w:t>
            </w:r>
            <w:r>
              <w:rPr>
                <w:rFonts w:hint="eastAsia" w:ascii="仿宋" w:hAnsi="仿宋" w:eastAsia="仿宋" w:cs="仿宋"/>
                <w:color w:val="000000"/>
                <w:sz w:val="24"/>
                <w:szCs w:val="24"/>
              </w:rPr>
              <w:t>方案条理基本清楚，措施准备较充分合理、目标较明确、方案较为完善清晰，基本满足采购要求的得3分；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③</w:t>
            </w:r>
            <w:r>
              <w:rPr>
                <w:rFonts w:hint="eastAsia" w:ascii="仿宋" w:hAnsi="仿宋" w:eastAsia="仿宋" w:cs="仿宋"/>
                <w:color w:val="000000"/>
                <w:sz w:val="24"/>
                <w:szCs w:val="24"/>
              </w:rPr>
              <w:t>方案条理不清楚、措施准备不够充分欠缺合理、目标不明确、方案不够完善且基本不能满足采购要求的得1分。</w:t>
            </w:r>
          </w:p>
        </w:tc>
      </w:tr>
      <w:tr>
        <w:tblPrEx>
          <w:tblCellMar>
            <w:top w:w="15" w:type="dxa"/>
            <w:left w:w="15" w:type="dxa"/>
            <w:bottom w:w="15" w:type="dxa"/>
            <w:right w:w="15" w:type="dxa"/>
          </w:tblCellMar>
        </w:tblPrEx>
        <w:trPr>
          <w:trHeight w:val="1020" w:hRule="atLeast"/>
          <w:jc w:val="center"/>
        </w:trPr>
        <w:tc>
          <w:tcPr>
            <w:tcW w:w="452"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1078"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工程质量管理体系及保证措施</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根据投标人提供的工程质量管理体系及保证措施进行评分，内容包括但不限于：制订质量目标、活动计划、管理项目和措施方案等；</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①</w:t>
            </w:r>
            <w:r>
              <w:rPr>
                <w:rFonts w:hint="eastAsia" w:ascii="仿宋" w:hAnsi="仿宋" w:eastAsia="仿宋" w:cs="仿宋"/>
                <w:color w:val="000000"/>
                <w:sz w:val="24"/>
                <w:szCs w:val="24"/>
              </w:rPr>
              <w:t>方案条理清楚，措施准备充分合理、目标明确且方案完整清晰，完全满足并优于采购要求的得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②</w:t>
            </w:r>
            <w:r>
              <w:rPr>
                <w:rFonts w:hint="eastAsia" w:ascii="仿宋" w:hAnsi="仿宋" w:eastAsia="仿宋" w:cs="仿宋"/>
                <w:color w:val="000000"/>
                <w:sz w:val="24"/>
                <w:szCs w:val="24"/>
              </w:rPr>
              <w:t>方案条理基本清楚，措施准备较充分合理、目标较明确、方案较为完善清晰，基本满足采购要求的得3分；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③</w:t>
            </w:r>
            <w:r>
              <w:rPr>
                <w:rFonts w:hint="eastAsia" w:ascii="仿宋" w:hAnsi="仿宋" w:eastAsia="仿宋" w:cs="仿宋"/>
                <w:color w:val="000000"/>
                <w:sz w:val="24"/>
                <w:szCs w:val="24"/>
              </w:rPr>
              <w:t>方案条理不清楚、措施准备不够充分欠缺合理、目标不明确、方案不够完善且基本不能满足采购要求的得</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分。</w:t>
            </w:r>
          </w:p>
        </w:tc>
      </w:tr>
      <w:tr>
        <w:tblPrEx>
          <w:tblCellMar>
            <w:top w:w="15" w:type="dxa"/>
            <w:left w:w="15" w:type="dxa"/>
            <w:bottom w:w="15" w:type="dxa"/>
            <w:right w:w="15" w:type="dxa"/>
          </w:tblCellMar>
        </w:tblPrEx>
        <w:trPr>
          <w:trHeight w:val="900" w:hRule="atLeast"/>
          <w:jc w:val="center"/>
        </w:trPr>
        <w:tc>
          <w:tcPr>
            <w:tcW w:w="452"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1078"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环境保护及文明施工措施</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根据投标人提供的环境保护及文明施工方案进行评分，内容包括但不限于：文明施工目标、施工现场标准化管理、环境保护措施、文明施工保证措施等；</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①</w:t>
            </w:r>
            <w:r>
              <w:rPr>
                <w:rFonts w:hint="eastAsia" w:ascii="仿宋" w:hAnsi="仿宋" w:eastAsia="仿宋" w:cs="仿宋"/>
                <w:color w:val="000000"/>
                <w:sz w:val="24"/>
                <w:szCs w:val="24"/>
              </w:rPr>
              <w:t>方案条理清楚，措施准备充分合理、目标明确且方案完整清晰，完全满足并优于采购要求的得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②</w:t>
            </w:r>
            <w:r>
              <w:rPr>
                <w:rFonts w:hint="eastAsia" w:ascii="仿宋" w:hAnsi="仿宋" w:eastAsia="仿宋" w:cs="仿宋"/>
                <w:color w:val="000000"/>
                <w:sz w:val="24"/>
                <w:szCs w:val="24"/>
              </w:rPr>
              <w:t>方案条理基本清楚，措施准备较充分合理、目标较明确、方案较为完善清晰，基本满足采购要求的得3分；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③</w:t>
            </w:r>
            <w:r>
              <w:rPr>
                <w:rFonts w:hint="eastAsia" w:ascii="仿宋" w:hAnsi="仿宋" w:eastAsia="仿宋" w:cs="仿宋"/>
                <w:color w:val="000000"/>
                <w:sz w:val="24"/>
                <w:szCs w:val="24"/>
              </w:rPr>
              <w:t>方案条理不清楚、措施准备不够充分欠缺合理、目标不明确、方案不够完善且基本不能满足采购要求的得1分。</w:t>
            </w:r>
          </w:p>
        </w:tc>
      </w:tr>
      <w:tr>
        <w:tblPrEx>
          <w:tblCellMar>
            <w:top w:w="15" w:type="dxa"/>
            <w:left w:w="15" w:type="dxa"/>
            <w:bottom w:w="15" w:type="dxa"/>
            <w:right w:w="15" w:type="dxa"/>
          </w:tblCellMar>
        </w:tblPrEx>
        <w:trPr>
          <w:trHeight w:val="543" w:hRule="atLeast"/>
          <w:jc w:val="center"/>
        </w:trPr>
        <w:tc>
          <w:tcPr>
            <w:tcW w:w="452"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1078"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与发包人、运营商的配合</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根据投标人与发包人、运营商的配合程度进行评分，内容包括但不限于：及时沟通、明确合同要求、了解运营需求、协同工作、反馈与调整等；</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①方案条理清楚，措施准备充分合理、目标明确且方案完整清晰，完全满足并优于采购要求的得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②方案条理基本清楚，措施准备较充分合理、目标较明确、方案较为完善清晰，基本满足采购要求的得</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③方案条理不清楚、措施准备不够充分欠缺合理、目标不明确、方案不够完善且基本不能满足采购要求的得</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分。</w:t>
            </w:r>
          </w:p>
        </w:tc>
      </w:tr>
      <w:tr>
        <w:tblPrEx>
          <w:tblCellMar>
            <w:top w:w="15" w:type="dxa"/>
            <w:left w:w="15" w:type="dxa"/>
            <w:bottom w:w="15" w:type="dxa"/>
            <w:right w:w="15" w:type="dxa"/>
          </w:tblCellMar>
        </w:tblPrEx>
        <w:trPr>
          <w:trHeight w:val="1070" w:hRule="atLeast"/>
          <w:jc w:val="center"/>
        </w:trPr>
        <w:tc>
          <w:tcPr>
            <w:tcW w:w="452"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1078"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施工安全措施</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根据投标人提供的施工安全措施进行评分，内容包括但不限于：安全教育培训、安全设施投入、安全检查与监控、应急处理措施、消防安全措施等；</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①方案条理清楚，措施准备充分合理、目标明确且方案完整清晰，完全满足并优于采购要求的得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②方案条理基本清楚，措施准备较充分合理、目标较明确、方案较为完善清晰，基本满足采购要求的得</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③方案条理不清楚、措施准备不够充分欠缺合理、目标不明确、方案不够完善且基本不能满足采购要求的得</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分。</w:t>
            </w:r>
          </w:p>
        </w:tc>
      </w:tr>
      <w:tr>
        <w:tblPrEx>
          <w:tblCellMar>
            <w:top w:w="15" w:type="dxa"/>
            <w:left w:w="15" w:type="dxa"/>
            <w:bottom w:w="15" w:type="dxa"/>
            <w:right w:w="15" w:type="dxa"/>
          </w:tblCellMar>
        </w:tblPrEx>
        <w:trPr>
          <w:trHeight w:val="1070" w:hRule="atLeast"/>
          <w:jc w:val="center"/>
        </w:trPr>
        <w:tc>
          <w:tcPr>
            <w:tcW w:w="452"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1078"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现场组织管理机构</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根据投标人提供的现场组织管理机构是否完善进行评分，内容包括但不限于：明确的目标导向、灵活的应变措施、机构间高效的沟通与协作、核心机构的现场管理措施等；</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①</w:t>
            </w:r>
            <w:r>
              <w:rPr>
                <w:rFonts w:hint="eastAsia" w:ascii="仿宋" w:hAnsi="仿宋" w:eastAsia="仿宋" w:cs="仿宋"/>
                <w:color w:val="000000"/>
                <w:sz w:val="24"/>
                <w:szCs w:val="24"/>
              </w:rPr>
              <w:t>方案条理清楚，措施准备充分合理、目标明确且方案完整清晰，完全满足并优于采购要求的得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②</w:t>
            </w:r>
            <w:r>
              <w:rPr>
                <w:rFonts w:hint="eastAsia" w:ascii="仿宋" w:hAnsi="仿宋" w:eastAsia="仿宋" w:cs="仿宋"/>
                <w:color w:val="000000"/>
                <w:sz w:val="24"/>
                <w:szCs w:val="24"/>
              </w:rPr>
              <w:t>方案条理基本清楚，措施准备较充分合理、目标较明确、方案较为完善清晰，基本满足采购要求的得</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分；</w:t>
            </w:r>
          </w:p>
          <w:p>
            <w:pPr>
              <w:widowControl/>
              <w:ind w:right="59" w:rightChars="27"/>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③</w:t>
            </w:r>
            <w:r>
              <w:rPr>
                <w:rFonts w:hint="eastAsia" w:ascii="仿宋" w:hAnsi="仿宋" w:eastAsia="仿宋" w:cs="仿宋"/>
                <w:color w:val="000000"/>
                <w:sz w:val="24"/>
                <w:szCs w:val="24"/>
              </w:rPr>
              <w:t>方案条理不清楚、措施准备不够充分欠缺合理、目标不明确、方案不够完善且基本不能满足采购要求的得</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分。</w:t>
            </w:r>
          </w:p>
        </w:tc>
      </w:tr>
      <w:tr>
        <w:tblPrEx>
          <w:tblCellMar>
            <w:top w:w="15" w:type="dxa"/>
            <w:left w:w="15" w:type="dxa"/>
            <w:bottom w:w="15" w:type="dxa"/>
            <w:right w:w="15" w:type="dxa"/>
          </w:tblCellMar>
        </w:tblPrEx>
        <w:trPr>
          <w:trHeight w:val="1038" w:hRule="exact"/>
          <w:jc w:val="center"/>
        </w:trPr>
        <w:tc>
          <w:tcPr>
            <w:tcW w:w="452" w:type="dxa"/>
            <w:tcBorders>
              <w:top w:val="single" w:color="000000" w:sz="4" w:space="0"/>
              <w:left w:val="single" w:color="000000" w:sz="4" w:space="0"/>
              <w:bottom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三</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rPr>
              <w:t>标书</w:t>
            </w:r>
            <w:r>
              <w:rPr>
                <w:rFonts w:hint="eastAsia" w:ascii="仿宋" w:hAnsi="仿宋" w:eastAsia="仿宋" w:cs="仿宋"/>
                <w:color w:val="000000"/>
                <w:sz w:val="24"/>
                <w:szCs w:val="24"/>
                <w:lang w:val="en-US"/>
              </w:rPr>
              <w:t>制作（5分）</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5</w:t>
            </w:r>
            <w:r>
              <w:rPr>
                <w:rFonts w:hint="eastAsia" w:ascii="仿宋" w:hAnsi="仿宋" w:eastAsia="仿宋" w:cs="仿宋"/>
                <w:color w:val="000000"/>
                <w:sz w:val="24"/>
                <w:szCs w:val="24"/>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rPr>
              <w:t>标书的规范性</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left="-1" w:right="59" w:rightChars="27"/>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响应</w:t>
            </w:r>
            <w:r>
              <w:rPr>
                <w:rFonts w:hint="eastAsia" w:ascii="仿宋" w:hAnsi="仿宋" w:eastAsia="仿宋" w:cs="仿宋"/>
                <w:color w:val="000000"/>
                <w:sz w:val="24"/>
                <w:szCs w:val="24"/>
              </w:rPr>
              <w:t>文件制作规范，目录清晰符合要求，页码清楚，文字表达准确，无错字，没有细微偏差情形的得</w:t>
            </w:r>
            <w:r>
              <w:rPr>
                <w:rFonts w:hint="eastAsia" w:ascii="仿宋" w:hAnsi="仿宋" w:eastAsia="仿宋" w:cs="仿宋"/>
                <w:color w:val="000000"/>
                <w:sz w:val="24"/>
                <w:szCs w:val="24"/>
                <w:lang w:val="en-US"/>
              </w:rPr>
              <w:t>5</w:t>
            </w:r>
            <w:r>
              <w:rPr>
                <w:rFonts w:hint="eastAsia" w:ascii="仿宋" w:hAnsi="仿宋" w:eastAsia="仿宋" w:cs="仿宋"/>
                <w:color w:val="000000"/>
                <w:sz w:val="24"/>
                <w:szCs w:val="24"/>
              </w:rPr>
              <w:t>分；有一项细微偏差扣</w:t>
            </w:r>
            <w:r>
              <w:rPr>
                <w:rFonts w:hint="eastAsia" w:ascii="仿宋" w:hAnsi="仿宋" w:eastAsia="仿宋" w:cs="仿宋"/>
                <w:color w:val="000000"/>
                <w:sz w:val="24"/>
                <w:szCs w:val="24"/>
                <w:lang w:val="en-US"/>
              </w:rPr>
              <w:t>1</w:t>
            </w:r>
            <w:r>
              <w:rPr>
                <w:rFonts w:hint="eastAsia" w:ascii="仿宋" w:hAnsi="仿宋" w:eastAsia="仿宋" w:cs="仿宋"/>
                <w:color w:val="000000"/>
                <w:sz w:val="24"/>
                <w:szCs w:val="24"/>
              </w:rPr>
              <w:t>分，直至该项分值扣完为止。</w:t>
            </w:r>
          </w:p>
        </w:tc>
      </w:tr>
      <w:tr>
        <w:tblPrEx>
          <w:tblCellMar>
            <w:top w:w="15" w:type="dxa"/>
            <w:left w:w="15" w:type="dxa"/>
            <w:bottom w:w="15" w:type="dxa"/>
            <w:right w:w="15" w:type="dxa"/>
          </w:tblCellMar>
        </w:tblPrEx>
        <w:trPr>
          <w:trHeight w:val="2159" w:hRule="exact"/>
          <w:jc w:val="center"/>
        </w:trPr>
        <w:tc>
          <w:tcPr>
            <w:tcW w:w="452" w:type="dxa"/>
            <w:tcBorders>
              <w:top w:val="single" w:color="000000" w:sz="4" w:space="0"/>
              <w:left w:val="single" w:color="000000" w:sz="4" w:space="0"/>
              <w:bottom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四</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服务承诺（</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lang w:val="en-US"/>
              </w:rPr>
              <w:t>分）</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lang w:val="en-US"/>
              </w:rPr>
              <w:t>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服务承诺方案</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根据项目特点编写服务承诺方案（包括但不限于工程质量承诺、工期承诺、服务承诺及条款、服务人员配备、应急措施等）：方案为专门针对本项目、符合本项目实际需求的得</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lang w:val="en-US"/>
              </w:rPr>
              <w:t>分，每缺少一项内容，或内容明显错误，或内容非专门针对本项目，或内容不能满足本项目实际需求的每一项扣2分，扣完为止。</w:t>
            </w:r>
          </w:p>
        </w:tc>
      </w:tr>
      <w:tr>
        <w:tblPrEx>
          <w:tblCellMar>
            <w:top w:w="15" w:type="dxa"/>
            <w:left w:w="15" w:type="dxa"/>
            <w:bottom w:w="15" w:type="dxa"/>
            <w:right w:w="15" w:type="dxa"/>
          </w:tblCellMar>
        </w:tblPrEx>
        <w:trPr>
          <w:trHeight w:val="1483" w:hRule="exact"/>
          <w:jc w:val="center"/>
        </w:trPr>
        <w:tc>
          <w:tcPr>
            <w:tcW w:w="452" w:type="dxa"/>
            <w:vMerge w:val="restart"/>
            <w:tcBorders>
              <w:top w:val="single" w:color="000000" w:sz="4" w:space="0"/>
              <w:left w:val="single" w:color="000000" w:sz="4" w:space="0"/>
              <w:right w:val="single" w:color="000000" w:sz="4" w:space="0"/>
            </w:tcBorders>
            <w:noWrap w:val="0"/>
            <w:vAlign w:val="center"/>
          </w:tcPr>
          <w:p>
            <w:pPr>
              <w:ind w:right="59" w:rightChars="27"/>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五</w:t>
            </w:r>
          </w:p>
        </w:tc>
        <w:tc>
          <w:tcPr>
            <w:tcW w:w="1078" w:type="dxa"/>
            <w:vMerge w:val="restart"/>
            <w:tcBorders>
              <w:top w:val="single" w:color="000000" w:sz="4" w:space="0"/>
              <w:left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楷体" w:hAnsi="楷体" w:eastAsia="楷体" w:cs="楷体"/>
                <w:color w:val="000000"/>
                <w:sz w:val="24"/>
                <w:lang w:val="en-US"/>
              </w:rPr>
              <w:t>拟投入项目人员</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项目经理职称</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拟投入本项目的项目经理具备建筑工程专业贰级注册建造师，具备有效的安全生产考核合格证书（B类）的得2分（提供相关证书复印件，不提供或缺项的不得分。）</w:t>
            </w:r>
          </w:p>
        </w:tc>
      </w:tr>
      <w:tr>
        <w:tblPrEx>
          <w:tblCellMar>
            <w:top w:w="15" w:type="dxa"/>
            <w:left w:w="15" w:type="dxa"/>
            <w:bottom w:w="15" w:type="dxa"/>
            <w:right w:w="15" w:type="dxa"/>
          </w:tblCellMar>
        </w:tblPrEx>
        <w:trPr>
          <w:trHeight w:val="998" w:hRule="exact"/>
          <w:jc w:val="center"/>
        </w:trPr>
        <w:tc>
          <w:tcPr>
            <w:tcW w:w="452" w:type="dxa"/>
            <w:vMerge w:val="continue"/>
            <w:tcBorders>
              <w:left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lang w:val="en-US" w:eastAsia="zh-CN"/>
              </w:rPr>
            </w:pPr>
          </w:p>
        </w:tc>
        <w:tc>
          <w:tcPr>
            <w:tcW w:w="1078" w:type="dxa"/>
            <w:vMerge w:val="continue"/>
            <w:tcBorders>
              <w:left w:val="single" w:color="000000" w:sz="4" w:space="0"/>
              <w:right w:val="single" w:color="000000" w:sz="4" w:space="0"/>
            </w:tcBorders>
            <w:noWrap w:val="0"/>
            <w:vAlign w:val="center"/>
          </w:tcPr>
          <w:p>
            <w:pPr>
              <w:widowControl/>
              <w:ind w:right="59" w:rightChars="27"/>
              <w:jc w:val="center"/>
              <w:textAlignment w:val="center"/>
              <w:rPr>
                <w:rFonts w:hint="eastAsia" w:ascii="楷体" w:hAnsi="楷体" w:eastAsia="楷体" w:cs="楷体"/>
                <w:color w:val="000000"/>
                <w:sz w:val="24"/>
                <w:lang w:val="en-US"/>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楷体" w:hAnsi="楷体" w:eastAsia="楷体" w:cs="楷体"/>
                <w:color w:val="000000"/>
                <w:sz w:val="24"/>
              </w:rPr>
              <w:t>技术负责人职称</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提供技术负责人具有中级及以上职称的得2分。</w:t>
            </w:r>
          </w:p>
        </w:tc>
      </w:tr>
      <w:tr>
        <w:tblPrEx>
          <w:tblCellMar>
            <w:top w:w="15" w:type="dxa"/>
            <w:left w:w="15" w:type="dxa"/>
            <w:bottom w:w="15" w:type="dxa"/>
            <w:right w:w="15" w:type="dxa"/>
          </w:tblCellMar>
        </w:tblPrEx>
        <w:trPr>
          <w:trHeight w:val="1446" w:hRule="exact"/>
          <w:jc w:val="center"/>
        </w:trPr>
        <w:tc>
          <w:tcPr>
            <w:tcW w:w="452" w:type="dxa"/>
            <w:vMerge w:val="continue"/>
            <w:tcBorders>
              <w:left w:val="single" w:color="000000" w:sz="4" w:space="0"/>
              <w:bottom w:val="single" w:color="000000" w:sz="4" w:space="0"/>
              <w:right w:val="single" w:color="000000" w:sz="4" w:space="0"/>
            </w:tcBorders>
            <w:noWrap w:val="0"/>
            <w:vAlign w:val="center"/>
          </w:tcPr>
          <w:p>
            <w:pPr>
              <w:ind w:right="59" w:rightChars="27"/>
              <w:jc w:val="center"/>
              <w:rPr>
                <w:rFonts w:hint="eastAsia" w:ascii="仿宋" w:hAnsi="仿宋" w:eastAsia="仿宋" w:cs="仿宋"/>
                <w:color w:val="000000"/>
                <w:sz w:val="24"/>
                <w:szCs w:val="24"/>
                <w:lang w:val="en-US" w:eastAsia="zh-CN"/>
              </w:rPr>
            </w:pPr>
          </w:p>
        </w:tc>
        <w:tc>
          <w:tcPr>
            <w:tcW w:w="1078" w:type="dxa"/>
            <w:vMerge w:val="continue"/>
            <w:tcBorders>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楷体" w:hAnsi="楷体" w:eastAsia="楷体" w:cs="楷体"/>
                <w:color w:val="000000"/>
                <w:sz w:val="24"/>
                <w:lang w:val="en-US"/>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11分</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jc w:val="center"/>
              <w:textAlignment w:val="center"/>
              <w:rPr>
                <w:rFonts w:hint="eastAsia" w:ascii="仿宋" w:hAnsi="仿宋" w:eastAsia="仿宋" w:cs="仿宋"/>
                <w:color w:val="000000"/>
                <w:sz w:val="24"/>
                <w:szCs w:val="24"/>
                <w:lang w:val="en-US"/>
              </w:rPr>
            </w:pPr>
            <w:r>
              <w:rPr>
                <w:rFonts w:hint="eastAsia" w:ascii="楷体" w:hAnsi="楷体" w:eastAsia="楷体" w:cs="楷体"/>
                <w:color w:val="000000"/>
                <w:sz w:val="24"/>
              </w:rPr>
              <w:t>其他主要人员</w:t>
            </w:r>
          </w:p>
        </w:tc>
        <w:tc>
          <w:tcPr>
            <w:tcW w:w="5804" w:type="dxa"/>
            <w:tcBorders>
              <w:top w:val="single" w:color="000000" w:sz="4" w:space="0"/>
              <w:left w:val="single" w:color="000000" w:sz="4" w:space="0"/>
              <w:bottom w:val="single" w:color="000000" w:sz="4" w:space="0"/>
              <w:right w:val="single" w:color="000000" w:sz="4" w:space="0"/>
            </w:tcBorders>
            <w:noWrap w:val="0"/>
            <w:vAlign w:val="center"/>
          </w:tcPr>
          <w:p>
            <w:pPr>
              <w:widowControl/>
              <w:ind w:right="59" w:rightChars="27"/>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lang w:val="en-US"/>
              </w:rPr>
              <w:t>提供主要管理人员：施工员、质检（量）员、安全员、材料员、资料员、应出具资格证书复印件。证件齐全的得11分，提供不全或没有提供的得0分。</w:t>
            </w:r>
          </w:p>
        </w:tc>
      </w:tr>
    </w:tbl>
    <w:p>
      <w:pPr>
        <w:pStyle w:val="11"/>
        <w:rPr>
          <w:rFonts w:hint="eastAsia"/>
          <w:lang w:eastAsia="zh-CN"/>
        </w:rPr>
      </w:pPr>
      <w:bookmarkStart w:id="2" w:name="_GoBack"/>
      <w:bookmarkEnd w:id="2"/>
    </w:p>
    <w:sectPr>
      <w:footerReference r:id="rId3" w:type="default"/>
      <w:pgSz w:w="11906" w:h="16838"/>
      <w:pgMar w:top="1440" w:right="1306" w:bottom="1440" w:left="13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gilent TT Cond">
    <w:altName w:val="Segoe Print"/>
    <w:panose1 w:val="00000000000000000000"/>
    <w:charset w:val="00"/>
    <w:family w:val="swiss"/>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551727"/>
    <w:multiLevelType w:val="singleLevel"/>
    <w:tmpl w:val="925517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NjQxZTFhN2NjMGVmZjczYTYwNzNjY2NiOTdkNTAifQ=="/>
  </w:docVars>
  <w:rsids>
    <w:rsidRoot w:val="33A0607D"/>
    <w:rsid w:val="00382E4B"/>
    <w:rsid w:val="020566CB"/>
    <w:rsid w:val="03BC66CE"/>
    <w:rsid w:val="15456CD8"/>
    <w:rsid w:val="18F91799"/>
    <w:rsid w:val="241A61E3"/>
    <w:rsid w:val="33A0607D"/>
    <w:rsid w:val="37792DCD"/>
    <w:rsid w:val="43871532"/>
    <w:rsid w:val="4AED2163"/>
    <w:rsid w:val="4CA63DFC"/>
    <w:rsid w:val="5245692A"/>
    <w:rsid w:val="569A6A77"/>
    <w:rsid w:val="57E76709"/>
    <w:rsid w:val="5BA652E6"/>
    <w:rsid w:val="6C5C32DF"/>
    <w:rsid w:val="75241B5F"/>
    <w:rsid w:val="77312AC7"/>
    <w:rsid w:val="77CD6F00"/>
    <w:rsid w:val="7C54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1"/>
    <w:pPr>
      <w:spacing w:before="54"/>
      <w:ind w:left="100"/>
      <w:jc w:val="center"/>
      <w:outlineLvl w:val="0"/>
    </w:pPr>
    <w:rPr>
      <w:rFonts w:ascii="宋体" w:hAnsi="宋体" w:eastAsia="宋体" w:cs="宋体"/>
      <w:b/>
      <w:bCs/>
      <w:sz w:val="32"/>
      <w:szCs w:val="32"/>
      <w:lang w:val="zh-CN" w:eastAsia="zh-CN" w:bidi="zh-CN"/>
    </w:rPr>
  </w:style>
  <w:style w:type="paragraph" w:styleId="3">
    <w:name w:val="heading 4"/>
    <w:basedOn w:val="1"/>
    <w:next w:val="1"/>
    <w:autoRedefine/>
    <w:qFormat/>
    <w:uiPriority w:val="99"/>
    <w:pPr>
      <w:keepNext/>
      <w:keepLines/>
      <w:tabs>
        <w:tab w:val="left" w:pos="720"/>
      </w:tabs>
      <w:spacing w:before="560" w:after="290" w:line="377" w:lineRule="auto"/>
      <w:ind w:left="420" w:hanging="420"/>
      <w:outlineLvl w:val="3"/>
    </w:pPr>
    <w:rPr>
      <w:rFonts w:ascii="Arial" w:hAnsi="Arial" w:eastAsia="黑体"/>
      <w:b/>
    </w:rPr>
  </w:style>
  <w:style w:type="paragraph" w:styleId="4">
    <w:name w:val="heading 6"/>
    <w:basedOn w:val="1"/>
    <w:next w:val="1"/>
    <w:autoRedefine/>
    <w:qFormat/>
    <w:uiPriority w:val="1"/>
    <w:pPr>
      <w:ind w:left="1785"/>
      <w:outlineLvl w:val="5"/>
    </w:pPr>
    <w:rPr>
      <w:rFonts w:ascii="宋体" w:hAnsi="宋体" w:eastAsia="宋体" w:cs="宋体"/>
      <w:b/>
      <w:bCs/>
      <w:sz w:val="24"/>
      <w:szCs w:val="24"/>
      <w:lang w:val="zh-CN" w:eastAsia="zh-CN" w:bidi="zh-CN"/>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rPr>
      <w:sz w:val="20"/>
    </w:rPr>
  </w:style>
  <w:style w:type="paragraph" w:styleId="6">
    <w:name w:val="Body Text"/>
    <w:basedOn w:val="1"/>
    <w:next w:val="1"/>
    <w:autoRedefine/>
    <w:qFormat/>
    <w:uiPriority w:val="1"/>
    <w:rPr>
      <w:rFonts w:ascii="宋体" w:hAnsi="宋体" w:eastAsia="宋体" w:cs="宋体"/>
      <w:sz w:val="24"/>
      <w:szCs w:val="24"/>
      <w:lang w:val="zh-CN" w:eastAsia="zh-CN" w:bidi="zh-CN"/>
    </w:rPr>
  </w:style>
  <w:style w:type="paragraph" w:styleId="7">
    <w:name w:val="footer"/>
    <w:basedOn w:val="1"/>
    <w:qFormat/>
    <w:uiPriority w:val="99"/>
    <w:pPr>
      <w:tabs>
        <w:tab w:val="center" w:pos="4153"/>
        <w:tab w:val="right" w:pos="8306"/>
      </w:tabs>
      <w:snapToGrid w:val="0"/>
      <w:jc w:val="left"/>
    </w:pPr>
    <w:rPr>
      <w:sz w:val="18"/>
    </w:rPr>
  </w:style>
  <w:style w:type="paragraph" w:styleId="8">
    <w:name w:val="toc 1"/>
    <w:basedOn w:val="1"/>
    <w:next w:val="1"/>
    <w:autoRedefine/>
    <w:qFormat/>
    <w:uiPriority w:val="99"/>
    <w:pPr>
      <w:tabs>
        <w:tab w:val="left" w:pos="1260"/>
        <w:tab w:val="left" w:pos="1685"/>
        <w:tab w:val="right" w:leader="dot" w:pos="8400"/>
      </w:tabs>
      <w:spacing w:line="320" w:lineRule="exact"/>
      <w:ind w:firstLine="280" w:firstLineChars="100"/>
    </w:pPr>
  </w:style>
  <w:style w:type="paragraph" w:customStyle="1" w:styleId="11">
    <w:name w:val="Default"/>
    <w:autoRedefine/>
    <w:qFormat/>
    <w:uiPriority w:val="0"/>
    <w:pPr>
      <w:autoSpaceDE w:val="0"/>
      <w:autoSpaceDN w:val="0"/>
      <w:adjustRightInd w:val="0"/>
    </w:pPr>
    <w:rPr>
      <w:rFonts w:ascii="Agilent TT Cond" w:hAnsi="Agilent TT Cond" w:eastAsia="宋体" w:cs="Agilent TT Cond"/>
      <w:color w:val="000000"/>
      <w:sz w:val="24"/>
      <w:szCs w:val="24"/>
      <w:lang w:val="en-US" w:eastAsia="zh-CN" w:bidi="ar-SA"/>
    </w:rPr>
  </w:style>
  <w:style w:type="paragraph" w:customStyle="1" w:styleId="12">
    <w:name w:val="Table Paragraph"/>
    <w:basedOn w:val="1"/>
    <w:autoRedefine/>
    <w:qFormat/>
    <w:uiPriority w:val="1"/>
    <w:rPr>
      <w:rFonts w:ascii="宋体" w:hAnsi="宋体" w:eastAsia="宋体" w:cs="宋体"/>
      <w:lang w:val="zh-CN" w:eastAsia="zh-CN" w:bidi="zh-CN"/>
    </w:rPr>
  </w:style>
  <w:style w:type="paragraph" w:styleId="13">
    <w:name w:val="List Paragraph"/>
    <w:basedOn w:val="1"/>
    <w:autoRedefine/>
    <w:qFormat/>
    <w:uiPriority w:val="1"/>
    <w:pPr>
      <w:ind w:left="117" w:hanging="242"/>
    </w:pPr>
    <w:rPr>
      <w:rFonts w:ascii="宋体" w:hAnsi="宋体" w:eastAsia="宋体" w:cs="宋体"/>
      <w:lang w:val="zh-CN" w:eastAsia="zh-CN" w:bidi="zh-CN"/>
    </w:rPr>
  </w:style>
  <w:style w:type="paragraph" w:customStyle="1" w:styleId="14">
    <w:name w:val="Body text|1"/>
    <w:basedOn w:val="1"/>
    <w:autoRedefine/>
    <w:qFormat/>
    <w:uiPriority w:val="0"/>
    <w:pPr>
      <w:spacing w:after="80" w:line="336" w:lineRule="auto"/>
      <w:ind w:firstLine="340"/>
    </w:pPr>
    <w:rPr>
      <w:rFonts w:ascii="宋体" w:hAnsi="宋体" w:eastAsia="宋体" w:cs="宋体"/>
      <w:lang w:val="zh-TW" w:eastAsia="zh-TW" w:bidi="zh-TW"/>
    </w:rPr>
  </w:style>
  <w:style w:type="paragraph" w:customStyle="1" w:styleId="15">
    <w:name w:val="Heading #2|1"/>
    <w:basedOn w:val="1"/>
    <w:autoRedefine/>
    <w:qFormat/>
    <w:uiPriority w:val="0"/>
    <w:pPr>
      <w:spacing w:after="260"/>
      <w:jc w:val="center"/>
      <w:outlineLvl w:val="1"/>
    </w:pPr>
    <w:rPr>
      <w:rFonts w:ascii="宋体" w:hAnsi="宋体" w:eastAsia="宋体" w:cs="宋体"/>
      <w:b/>
      <w:bCs/>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4705</Words>
  <Characters>5062</Characters>
  <Lines>0</Lines>
  <Paragraphs>0</Paragraphs>
  <TotalTime>4</TotalTime>
  <ScaleCrop>false</ScaleCrop>
  <LinksUpToDate>false</LinksUpToDate>
  <CharactersWithSpaces>5117</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2022-05-30T07:36:00Z</dcterms:created>
  <dc:creator>人品爆表的人儿</dc:creator>
  <cp:lastModifiedBy>hoi</cp:lastModifiedBy>
  <dcterms:modified xsi:type="dcterms:W3CDTF">2024-04-30T02:45:06Z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2F85F5EABBFC4E5DB693C5577A92DFBB_13</vt:lpwstr>
  </property>
</Properties>
</file>